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tblpY="-858"/>
        <w:tblW w:w="9889" w:type="dxa"/>
        <w:tblLayout w:type="fixed"/>
        <w:tblLook w:val="0000" w:firstRow="0" w:lastRow="0" w:firstColumn="0" w:lastColumn="0" w:noHBand="0" w:noVBand="0"/>
      </w:tblPr>
      <w:tblGrid>
        <w:gridCol w:w="6772"/>
        <w:gridCol w:w="3117"/>
      </w:tblGrid>
      <w:tr w:rsidR="00B469E0" w14:paraId="7C1D9BE5" w14:textId="77777777" w:rsidTr="00B469E0">
        <w:trPr>
          <w:cantSplit/>
        </w:trPr>
        <w:tc>
          <w:tcPr>
            <w:tcW w:w="6772" w:type="dxa"/>
            <w:vAlign w:val="center"/>
          </w:tcPr>
          <w:p w14:paraId="03E16CE4" w14:textId="77777777" w:rsidR="00B469E0" w:rsidRPr="008F0106" w:rsidRDefault="00B469E0" w:rsidP="00B65C06">
            <w:pPr>
              <w:shd w:val="solid" w:color="FFFFFF" w:fill="FFFFFF"/>
              <w:tabs>
                <w:tab w:val="left" w:pos="568"/>
              </w:tabs>
              <w:spacing w:before="360" w:after="240"/>
              <w:rPr>
                <w:b/>
                <w:caps/>
                <w:sz w:val="32"/>
              </w:rPr>
            </w:pPr>
            <w:r w:rsidRPr="006E291F">
              <w:rPr>
                <w:rFonts w:ascii="Verdana" w:hAnsi="Verdana" w:cs="Times New Roman Bold"/>
                <w:b/>
                <w:sz w:val="26"/>
                <w:szCs w:val="26"/>
              </w:rPr>
              <w:t>Grupo Asesor de Radiocomunicaciones</w:t>
            </w:r>
            <w:r>
              <w:rPr>
                <w:b/>
                <w:caps/>
                <w:sz w:val="32"/>
              </w:rPr>
              <w:br/>
            </w:r>
          </w:p>
        </w:tc>
        <w:tc>
          <w:tcPr>
            <w:tcW w:w="3117" w:type="dxa"/>
            <w:vAlign w:val="center"/>
          </w:tcPr>
          <w:p w14:paraId="7A1B15BB" w14:textId="77777777" w:rsidR="00B469E0" w:rsidRDefault="00B469E0" w:rsidP="00B65C06">
            <w:pPr>
              <w:shd w:val="solid" w:color="FFFFFF" w:fill="FFFFFF"/>
              <w:spacing w:before="0"/>
            </w:pPr>
            <w:r w:rsidRPr="00C126C1">
              <w:rPr>
                <w:noProof/>
                <w:lang w:val="en-US" w:eastAsia="zh-CN"/>
              </w:rPr>
              <w:drawing>
                <wp:inline distT="0" distB="0" distL="0" distR="0" wp14:anchorId="4C55FECE" wp14:editId="1A1CF815">
                  <wp:extent cx="844492" cy="844492"/>
                  <wp:effectExtent l="0" t="0" r="0" b="0"/>
                  <wp:docPr id="2" name="Picture 2"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B469E0" w:rsidRPr="0051782D" w14:paraId="52C022A1" w14:textId="77777777" w:rsidTr="00B469E0">
        <w:trPr>
          <w:cantSplit/>
        </w:trPr>
        <w:tc>
          <w:tcPr>
            <w:tcW w:w="6772" w:type="dxa"/>
            <w:tcBorders>
              <w:bottom w:val="single" w:sz="12" w:space="0" w:color="auto"/>
            </w:tcBorders>
          </w:tcPr>
          <w:p w14:paraId="16F28EDD" w14:textId="77777777" w:rsidR="00B469E0" w:rsidRPr="0051782D" w:rsidRDefault="00B469E0" w:rsidP="00B65C06">
            <w:pPr>
              <w:shd w:val="solid" w:color="FFFFFF" w:fill="FFFFFF"/>
              <w:spacing w:before="0" w:after="48"/>
              <w:rPr>
                <w:rFonts w:ascii="Verdana" w:hAnsi="Verdana" w:cs="Times New Roman Bold"/>
                <w:b/>
                <w:sz w:val="22"/>
                <w:szCs w:val="22"/>
              </w:rPr>
            </w:pPr>
          </w:p>
        </w:tc>
        <w:tc>
          <w:tcPr>
            <w:tcW w:w="3117" w:type="dxa"/>
            <w:tcBorders>
              <w:bottom w:val="single" w:sz="12" w:space="0" w:color="auto"/>
            </w:tcBorders>
          </w:tcPr>
          <w:p w14:paraId="725F72B3" w14:textId="77777777" w:rsidR="00B469E0" w:rsidRPr="0051782D" w:rsidRDefault="00B469E0" w:rsidP="00B65C06">
            <w:pPr>
              <w:shd w:val="solid" w:color="FFFFFF" w:fill="FFFFFF"/>
              <w:spacing w:before="0" w:after="48" w:line="240" w:lineRule="atLeast"/>
              <w:rPr>
                <w:sz w:val="22"/>
                <w:szCs w:val="22"/>
                <w:lang w:val="en-US"/>
              </w:rPr>
            </w:pPr>
          </w:p>
        </w:tc>
      </w:tr>
      <w:tr w:rsidR="00B469E0" w:rsidRPr="00710D66" w14:paraId="4C924DC5" w14:textId="77777777" w:rsidTr="00B469E0">
        <w:trPr>
          <w:cantSplit/>
        </w:trPr>
        <w:tc>
          <w:tcPr>
            <w:tcW w:w="6772" w:type="dxa"/>
            <w:tcBorders>
              <w:top w:val="single" w:sz="12" w:space="0" w:color="auto"/>
            </w:tcBorders>
          </w:tcPr>
          <w:p w14:paraId="2FFD6004" w14:textId="77777777" w:rsidR="00B469E0" w:rsidRPr="0051782D" w:rsidRDefault="00B469E0" w:rsidP="00B65C06">
            <w:pPr>
              <w:shd w:val="solid" w:color="FFFFFF" w:fill="FFFFFF"/>
              <w:spacing w:before="0" w:after="48"/>
              <w:rPr>
                <w:rFonts w:ascii="Verdana" w:hAnsi="Verdana" w:cs="Times New Roman Bold"/>
                <w:bCs/>
                <w:sz w:val="22"/>
                <w:szCs w:val="22"/>
              </w:rPr>
            </w:pPr>
          </w:p>
        </w:tc>
        <w:tc>
          <w:tcPr>
            <w:tcW w:w="3117" w:type="dxa"/>
            <w:tcBorders>
              <w:top w:val="single" w:sz="12" w:space="0" w:color="auto"/>
            </w:tcBorders>
          </w:tcPr>
          <w:p w14:paraId="26595804" w14:textId="35BF6E54" w:rsidR="00B469E0" w:rsidRPr="002D238A" w:rsidRDefault="00B469E0" w:rsidP="00B65C06">
            <w:pPr>
              <w:shd w:val="solid" w:color="FFFFFF" w:fill="FFFFFF"/>
              <w:spacing w:before="0" w:after="48" w:line="240" w:lineRule="atLeast"/>
              <w:rPr>
                <w:rFonts w:ascii="Verdana" w:hAnsi="Verdana"/>
                <w:sz w:val="22"/>
                <w:szCs w:val="22"/>
                <w:lang w:val="en-US"/>
              </w:rPr>
            </w:pPr>
          </w:p>
        </w:tc>
      </w:tr>
      <w:tr w:rsidR="00B469E0" w:rsidRPr="002A127E" w14:paraId="18397C2E" w14:textId="77777777" w:rsidTr="00B469E0">
        <w:trPr>
          <w:cantSplit/>
        </w:trPr>
        <w:tc>
          <w:tcPr>
            <w:tcW w:w="6772" w:type="dxa"/>
            <w:vMerge w:val="restart"/>
          </w:tcPr>
          <w:p w14:paraId="23BE60E0" w14:textId="77777777" w:rsidR="00B469E0" w:rsidRDefault="00B469E0" w:rsidP="00B65C06">
            <w:pPr>
              <w:shd w:val="solid" w:color="FFFFFF" w:fill="FFFFFF"/>
              <w:spacing w:after="240"/>
              <w:rPr>
                <w:sz w:val="20"/>
              </w:rPr>
            </w:pPr>
            <w:bookmarkStart w:id="0" w:name="dnum" w:colFirst="1" w:colLast="1"/>
          </w:p>
        </w:tc>
        <w:tc>
          <w:tcPr>
            <w:tcW w:w="3117" w:type="dxa"/>
          </w:tcPr>
          <w:p w14:paraId="599730D7" w14:textId="30CA65B6" w:rsidR="00B469E0" w:rsidRPr="00786266" w:rsidRDefault="00B469E0" w:rsidP="00B65C06">
            <w:pPr>
              <w:shd w:val="solid" w:color="FFFFFF" w:fill="FFFFFF"/>
              <w:spacing w:before="0" w:line="240" w:lineRule="atLeast"/>
              <w:rPr>
                <w:rFonts w:ascii="Verdana" w:hAnsi="Verdana"/>
                <w:sz w:val="20"/>
              </w:rPr>
            </w:pPr>
            <w:r w:rsidRPr="00A32804">
              <w:rPr>
                <w:rFonts w:ascii="Verdana" w:hAnsi="Verdana"/>
                <w:b/>
                <w:sz w:val="20"/>
                <w:lang w:val="es-ES"/>
              </w:rPr>
              <w:t>Documento RAG/30-S</w:t>
            </w:r>
          </w:p>
        </w:tc>
      </w:tr>
      <w:tr w:rsidR="00B469E0" w:rsidRPr="002A127E" w14:paraId="3153B5B7" w14:textId="77777777" w:rsidTr="00B469E0">
        <w:trPr>
          <w:cantSplit/>
        </w:trPr>
        <w:tc>
          <w:tcPr>
            <w:tcW w:w="6772" w:type="dxa"/>
            <w:vMerge/>
          </w:tcPr>
          <w:p w14:paraId="705D9C8B" w14:textId="77777777" w:rsidR="00B469E0" w:rsidRDefault="00B469E0" w:rsidP="00B469E0">
            <w:pPr>
              <w:spacing w:before="60"/>
              <w:jc w:val="center"/>
              <w:rPr>
                <w:b/>
                <w:smallCaps/>
                <w:sz w:val="32"/>
              </w:rPr>
            </w:pPr>
            <w:bookmarkStart w:id="1" w:name="ddate" w:colFirst="1" w:colLast="1"/>
            <w:bookmarkEnd w:id="0"/>
          </w:p>
        </w:tc>
        <w:tc>
          <w:tcPr>
            <w:tcW w:w="3117" w:type="dxa"/>
          </w:tcPr>
          <w:p w14:paraId="524B644D" w14:textId="437C623E" w:rsidR="00B469E0" w:rsidRPr="00786266" w:rsidRDefault="00B469E0" w:rsidP="00B469E0">
            <w:pPr>
              <w:shd w:val="solid" w:color="FFFFFF" w:fill="FFFFFF"/>
              <w:spacing w:before="0" w:line="240" w:lineRule="atLeast"/>
              <w:rPr>
                <w:rFonts w:ascii="Verdana" w:hAnsi="Verdana"/>
                <w:sz w:val="20"/>
              </w:rPr>
            </w:pPr>
            <w:r w:rsidRPr="00A32804">
              <w:rPr>
                <w:rFonts w:ascii="Verdana" w:hAnsi="Verdana"/>
                <w:b/>
                <w:sz w:val="20"/>
                <w:lang w:val="es-ES"/>
              </w:rPr>
              <w:t>28 de febrero de 2025</w:t>
            </w:r>
          </w:p>
        </w:tc>
      </w:tr>
      <w:tr w:rsidR="00B469E0" w:rsidRPr="002A127E" w14:paraId="18818D10" w14:textId="77777777" w:rsidTr="00B469E0">
        <w:trPr>
          <w:cantSplit/>
        </w:trPr>
        <w:tc>
          <w:tcPr>
            <w:tcW w:w="6772" w:type="dxa"/>
            <w:vMerge/>
          </w:tcPr>
          <w:p w14:paraId="736EFBDA" w14:textId="77777777" w:rsidR="00B469E0" w:rsidRDefault="00B469E0" w:rsidP="00B469E0">
            <w:pPr>
              <w:spacing w:before="60"/>
              <w:jc w:val="center"/>
              <w:rPr>
                <w:b/>
                <w:smallCaps/>
                <w:sz w:val="32"/>
              </w:rPr>
            </w:pPr>
            <w:bookmarkStart w:id="2" w:name="dorlang" w:colFirst="1" w:colLast="1"/>
            <w:bookmarkEnd w:id="1"/>
          </w:p>
        </w:tc>
        <w:tc>
          <w:tcPr>
            <w:tcW w:w="3117" w:type="dxa"/>
          </w:tcPr>
          <w:p w14:paraId="03C0DA40" w14:textId="24AE0144" w:rsidR="00B469E0" w:rsidRPr="00786266" w:rsidRDefault="00B469E0" w:rsidP="00B469E0">
            <w:pPr>
              <w:shd w:val="solid" w:color="FFFFFF" w:fill="FFFFFF"/>
              <w:spacing w:before="0" w:after="120" w:line="240" w:lineRule="atLeast"/>
              <w:rPr>
                <w:rFonts w:ascii="Verdana" w:hAnsi="Verdana"/>
                <w:sz w:val="20"/>
              </w:rPr>
            </w:pPr>
            <w:r w:rsidRPr="00A32804">
              <w:rPr>
                <w:rFonts w:ascii="Verdana" w:hAnsi="Verdana"/>
                <w:b/>
                <w:sz w:val="20"/>
                <w:lang w:val="es-ES"/>
              </w:rPr>
              <w:t>Original: inglés</w:t>
            </w:r>
          </w:p>
        </w:tc>
      </w:tr>
      <w:tr w:rsidR="00B469E0" w14:paraId="4550F914" w14:textId="77777777" w:rsidTr="00B65C06">
        <w:trPr>
          <w:cantSplit/>
        </w:trPr>
        <w:tc>
          <w:tcPr>
            <w:tcW w:w="9889" w:type="dxa"/>
            <w:gridSpan w:val="2"/>
          </w:tcPr>
          <w:p w14:paraId="3D0D610D" w14:textId="540A91F2" w:rsidR="00B469E0" w:rsidRDefault="00B469E0" w:rsidP="00B469E0">
            <w:pPr>
              <w:pStyle w:val="Source"/>
            </w:pPr>
            <w:bookmarkStart w:id="3" w:name="dsource" w:colFirst="0" w:colLast="0"/>
            <w:bookmarkEnd w:id="2"/>
            <w:r w:rsidRPr="00A32804">
              <w:rPr>
                <w:lang w:val="es-ES"/>
              </w:rPr>
              <w:t>Director de la Oficina de Radiocomunicaciones</w:t>
            </w:r>
          </w:p>
        </w:tc>
      </w:tr>
      <w:tr w:rsidR="00B469E0" w14:paraId="44715EFE" w14:textId="77777777" w:rsidTr="00B65C06">
        <w:trPr>
          <w:cantSplit/>
        </w:trPr>
        <w:tc>
          <w:tcPr>
            <w:tcW w:w="9889" w:type="dxa"/>
            <w:gridSpan w:val="2"/>
          </w:tcPr>
          <w:p w14:paraId="4E70476F" w14:textId="7147A1B2" w:rsidR="00B469E0" w:rsidRDefault="00B469E0" w:rsidP="00B469E0">
            <w:pPr>
              <w:pStyle w:val="Title1"/>
            </w:pPr>
            <w:bookmarkStart w:id="4" w:name="dtitle1" w:colFirst="0" w:colLast="0"/>
            <w:bookmarkEnd w:id="3"/>
            <w:r w:rsidRPr="00A32804">
              <w:rPr>
                <w:lang w:val="es-ES"/>
              </w:rPr>
              <w:t>informe a la trigésima segunda reunión DEL</w:t>
            </w:r>
            <w:r>
              <w:rPr>
                <w:lang w:val="es-ES"/>
              </w:rPr>
              <w:br/>
            </w:r>
            <w:r w:rsidRPr="00A32804">
              <w:rPr>
                <w:lang w:val="es-ES"/>
              </w:rPr>
              <w:t>GRUPO ASESOR DE RADIOCOMUNICACIONES</w:t>
            </w:r>
          </w:p>
        </w:tc>
      </w:tr>
    </w:tbl>
    <w:bookmarkEnd w:id="4"/>
    <w:p w14:paraId="7CA43CAF" w14:textId="428F5737" w:rsidR="00B469E0" w:rsidRPr="00A32804" w:rsidRDefault="001515FC" w:rsidP="00B469E0">
      <w:pPr>
        <w:pStyle w:val="Heading1"/>
        <w:rPr>
          <w:lang w:val="es-ES"/>
        </w:rPr>
      </w:pPr>
      <w:r>
        <w:rPr>
          <w:lang w:val="es-ES"/>
        </w:rPr>
        <w:t>1</w:t>
      </w:r>
      <w:r w:rsidR="00B469E0" w:rsidRPr="00A32804">
        <w:rPr>
          <w:lang w:val="es-ES"/>
        </w:rPr>
        <w:tab/>
        <w:t>Introducción</w:t>
      </w:r>
    </w:p>
    <w:p w14:paraId="43B90793" w14:textId="77777777" w:rsidR="00B469E0" w:rsidRPr="00A32804" w:rsidRDefault="00B469E0" w:rsidP="00B469E0">
      <w:pPr>
        <w:rPr>
          <w:lang w:val="es-ES"/>
        </w:rPr>
      </w:pPr>
      <w:r w:rsidRPr="00A32804">
        <w:rPr>
          <w:lang w:val="es-ES"/>
        </w:rPr>
        <w:t xml:space="preserve">El presente documento contiene informes sobre la marcha de los trabajos e información sobre los temas que componen el proyecto de orden del día de la 32ª reunión del GAR (véase la Circular Administrativa </w:t>
      </w:r>
      <w:hyperlink r:id="rId8" w:history="1">
        <w:r w:rsidRPr="00A32804">
          <w:rPr>
            <w:rStyle w:val="Hyperlink"/>
            <w:rFonts w:eastAsia="SimSun"/>
            <w:lang w:val="es-ES"/>
          </w:rPr>
          <w:t>CA/276</w:t>
        </w:r>
      </w:hyperlink>
      <w:r w:rsidRPr="00A32804">
        <w:rPr>
          <w:lang w:val="es-ES"/>
        </w:rPr>
        <w:t>). Su objetivo es ayudar a los participantes en la reunión a examinar los puntos del orden del día correspondientes.</w:t>
      </w:r>
    </w:p>
    <w:p w14:paraId="2C6471F0" w14:textId="77777777" w:rsidR="00B469E0" w:rsidRPr="00A32804" w:rsidRDefault="00B469E0" w:rsidP="00B469E0">
      <w:pPr>
        <w:rPr>
          <w:lang w:val="es-ES"/>
        </w:rPr>
      </w:pPr>
      <w:r w:rsidRPr="00A32804">
        <w:rPr>
          <w:lang w:val="es-ES"/>
        </w:rPr>
        <w:t>Se presentarán informes independientes para ciertos puntos del orden del día.</w:t>
      </w:r>
    </w:p>
    <w:p w14:paraId="2473CE5E" w14:textId="77777777" w:rsidR="00B469E0" w:rsidRPr="00A32804" w:rsidRDefault="00B469E0" w:rsidP="00B469E0">
      <w:pPr>
        <w:pStyle w:val="Heading1"/>
        <w:rPr>
          <w:lang w:val="es-ES"/>
        </w:rPr>
      </w:pPr>
      <w:bookmarkStart w:id="5" w:name="_Toc446060752"/>
      <w:r w:rsidRPr="00A32804">
        <w:rPr>
          <w:lang w:val="es-ES"/>
        </w:rPr>
        <w:t>2</w:t>
      </w:r>
      <w:r w:rsidRPr="00A32804">
        <w:rPr>
          <w:lang w:val="es-ES"/>
        </w:rPr>
        <w:tab/>
        <w:t>Asuntos relativos al Consejo</w:t>
      </w:r>
    </w:p>
    <w:p w14:paraId="09C0BF3F" w14:textId="77777777" w:rsidR="00B469E0" w:rsidRPr="00A32804" w:rsidRDefault="00B469E0" w:rsidP="00B469E0">
      <w:pPr>
        <w:rPr>
          <w:lang w:val="es-ES"/>
        </w:rPr>
      </w:pPr>
      <w:bookmarkStart w:id="6" w:name="_Toc446060753"/>
      <w:bookmarkEnd w:id="5"/>
      <w:r w:rsidRPr="00A32804">
        <w:rPr>
          <w:lang w:val="es-ES"/>
        </w:rPr>
        <w:t xml:space="preserve">En esta sección se abordan los asuntos tratados por el Consejo en la reunión que celebró del 4 al 14 de junio de 2024 (véase: </w:t>
      </w:r>
      <w:hyperlink r:id="rId9" w:history="1">
        <w:r w:rsidRPr="00A32804">
          <w:rPr>
            <w:rStyle w:val="Hyperlink"/>
            <w:rFonts w:eastAsia="SimSun"/>
            <w:lang w:val="es-ES"/>
          </w:rPr>
          <w:t>https://council.itu.int/2024/en/</w:t>
        </w:r>
      </w:hyperlink>
      <w:r w:rsidRPr="00A32804">
        <w:rPr>
          <w:lang w:val="es-ES"/>
        </w:rPr>
        <w:t xml:space="preserve">), así como por los Grupos de Trabajo y los Grupos de Expertos del Consejo en reuniones posteriores. </w:t>
      </w:r>
      <w:bookmarkEnd w:id="6"/>
    </w:p>
    <w:p w14:paraId="42759839" w14:textId="77777777" w:rsidR="00B469E0" w:rsidRPr="00A32804" w:rsidRDefault="00B469E0" w:rsidP="00B469E0">
      <w:pPr>
        <w:pStyle w:val="Heading2"/>
        <w:rPr>
          <w:lang w:val="es-ES"/>
        </w:rPr>
      </w:pPr>
      <w:bookmarkStart w:id="7" w:name="_Toc446060754"/>
      <w:r w:rsidRPr="00A32804">
        <w:rPr>
          <w:lang w:val="es-ES"/>
        </w:rPr>
        <w:t>2.1</w:t>
      </w:r>
      <w:r w:rsidRPr="00A32804">
        <w:rPr>
          <w:lang w:val="es-ES"/>
        </w:rPr>
        <w:tab/>
      </w:r>
      <w:bookmarkEnd w:id="7"/>
      <w:r w:rsidRPr="00A32804">
        <w:rPr>
          <w:lang w:val="es-ES"/>
        </w:rPr>
        <w:t>Recuperación de costes aplicable a las notificaciones de redes de satélites</w:t>
      </w:r>
    </w:p>
    <w:p w14:paraId="345D8F5C" w14:textId="77777777" w:rsidR="00B469E0" w:rsidRPr="00A32804" w:rsidRDefault="00B469E0" w:rsidP="00B469E0">
      <w:pPr>
        <w:rPr>
          <w:szCs w:val="24"/>
          <w:lang w:val="es-ES"/>
        </w:rPr>
      </w:pPr>
      <w:r w:rsidRPr="00A32804">
        <w:rPr>
          <w:lang w:val="es-ES"/>
        </w:rPr>
        <w:t xml:space="preserve">En su reunión de 2024, el Consejo tomó nota </w:t>
      </w:r>
      <w:r w:rsidRPr="00A32804">
        <w:rPr>
          <w:szCs w:val="24"/>
          <w:lang w:val="es-ES"/>
        </w:rPr>
        <w:t xml:space="preserve">del informe anual </w:t>
      </w:r>
      <w:r w:rsidRPr="00A32804">
        <w:rPr>
          <w:lang w:val="es-ES"/>
        </w:rPr>
        <w:t>sobre la aplicación del Acuerdo</w:t>
      </w:r>
      <w:r>
        <w:rPr>
          <w:lang w:val="es-ES"/>
        </w:rPr>
        <w:t> </w:t>
      </w:r>
      <w:r w:rsidRPr="00A32804">
        <w:rPr>
          <w:lang w:val="es-ES"/>
        </w:rPr>
        <w:t xml:space="preserve">482 </w:t>
      </w:r>
      <w:r w:rsidRPr="00A32804">
        <w:rPr>
          <w:szCs w:val="24"/>
          <w:lang w:val="es-ES"/>
        </w:rPr>
        <w:t xml:space="preserve">(C01, última modificación C20) (véase el </w:t>
      </w:r>
      <w:hyperlink r:id="rId10" w:history="1">
        <w:r w:rsidRPr="00A32804">
          <w:rPr>
            <w:rStyle w:val="Hyperlink"/>
            <w:rFonts w:eastAsia="SimSun"/>
            <w:szCs w:val="24"/>
            <w:lang w:val="es-ES"/>
          </w:rPr>
          <w:t>Documento C24/16</w:t>
        </w:r>
      </w:hyperlink>
      <w:r w:rsidRPr="00A32804">
        <w:rPr>
          <w:lang w:val="es-ES"/>
        </w:rPr>
        <w:t>)</w:t>
      </w:r>
      <w:r w:rsidRPr="00A32804">
        <w:rPr>
          <w:szCs w:val="24"/>
          <w:lang w:val="es-ES"/>
        </w:rPr>
        <w:t>.</w:t>
      </w:r>
    </w:p>
    <w:p w14:paraId="04518F4C" w14:textId="77777777" w:rsidR="00B469E0" w:rsidRPr="00A32804" w:rsidRDefault="00B469E0" w:rsidP="00B469E0">
      <w:pPr>
        <w:rPr>
          <w:lang w:val="es-ES"/>
        </w:rPr>
      </w:pPr>
      <w:r w:rsidRPr="00A32804">
        <w:rPr>
          <w:lang w:val="es-ES"/>
        </w:rPr>
        <w:t>El Consejo también aprobó, a título provisional, una propuesta de revisión de su Acuerdo</w:t>
      </w:r>
      <w:r>
        <w:rPr>
          <w:lang w:val="es-ES"/>
        </w:rPr>
        <w:t> </w:t>
      </w:r>
      <w:r w:rsidRPr="00A32804">
        <w:rPr>
          <w:lang w:val="es-ES"/>
        </w:rPr>
        <w:t xml:space="preserve">482 (C01, </w:t>
      </w:r>
      <w:r w:rsidRPr="00A32804">
        <w:rPr>
          <w:szCs w:val="24"/>
          <w:lang w:val="es-ES"/>
        </w:rPr>
        <w:t>última modificación C20</w:t>
      </w:r>
      <w:r w:rsidRPr="00A32804">
        <w:rPr>
          <w:lang w:val="es-ES"/>
        </w:rPr>
        <w:t>), con el objetivo de garantizar la aplicación de la recuperación de costes a la tramitación de las notificaciones de estaciones terrenas en movimiento en virtud de la Resolución</w:t>
      </w:r>
      <w:r>
        <w:rPr>
          <w:lang w:val="es-ES"/>
        </w:rPr>
        <w:t> </w:t>
      </w:r>
      <w:r w:rsidRPr="00A32804">
        <w:rPr>
          <w:b/>
          <w:bCs/>
          <w:lang w:val="es-ES"/>
        </w:rPr>
        <w:t xml:space="preserve">121 (CMR-23) </w:t>
      </w:r>
      <w:r w:rsidRPr="00A32804">
        <w:rPr>
          <w:lang w:val="es-ES"/>
        </w:rPr>
        <w:t>a partir del 1 de</w:t>
      </w:r>
      <w:r w:rsidRPr="00A32804">
        <w:rPr>
          <w:vertAlign w:val="superscript"/>
          <w:lang w:val="es-ES"/>
        </w:rPr>
        <w:t xml:space="preserve"> </w:t>
      </w:r>
      <w:r w:rsidRPr="00A32804">
        <w:rPr>
          <w:lang w:val="es-ES"/>
        </w:rPr>
        <w:t>enero de 2025. El Consejo encargó además al Grupo de Expertos sobre el Acuerdo 482 que examinase los aspectos pertinentes a la recuperación de costes de dichas notificaciones a fin de presentar, de ser necesario, una actualización del Acuerdo</w:t>
      </w:r>
      <w:r>
        <w:rPr>
          <w:lang w:val="es-ES"/>
        </w:rPr>
        <w:t> </w:t>
      </w:r>
      <w:r w:rsidRPr="00A32804">
        <w:rPr>
          <w:lang w:val="es-ES"/>
        </w:rPr>
        <w:t xml:space="preserve">482 en su informe a la reunión de 2025 del Consejo. </w:t>
      </w:r>
    </w:p>
    <w:p w14:paraId="47F3060A" w14:textId="77777777" w:rsidR="00B469E0" w:rsidRPr="00A32804" w:rsidRDefault="00B469E0" w:rsidP="00B469E0">
      <w:pPr>
        <w:rPr>
          <w:lang w:val="es-ES"/>
        </w:rPr>
      </w:pPr>
      <w:r w:rsidRPr="00A32804">
        <w:rPr>
          <w:lang w:val="es-ES"/>
        </w:rPr>
        <w:t xml:space="preserve">En cuanto a la labor que realiza actualmente el Grupo de Expertos sobre el Acuerdo 482, el Consejo tomó nota del informe del Presidente de este Grupo (véase el </w:t>
      </w:r>
      <w:hyperlink r:id="rId11" w:history="1">
        <w:r w:rsidRPr="00A32804">
          <w:rPr>
            <w:rStyle w:val="Hyperlink"/>
            <w:rFonts w:eastAsia="SimSun"/>
            <w:lang w:val="es-ES"/>
          </w:rPr>
          <w:t>Documento C24/10</w:t>
        </w:r>
      </w:hyperlink>
      <w:r w:rsidRPr="00A32804">
        <w:rPr>
          <w:lang w:val="es-ES"/>
        </w:rPr>
        <w:t>) y solicitó al Grupo de Expertos sobre el Acuerdo 482 que presentase un informe final al Consejo en su reunión de 2025, conforme a su mandato, y sometiese un proyecto de informe a la consideración de los Grupos de Trabajo del Consejo sobre recursos humanos y financieros y sobre los planes estratégico y financiero en sus reuniones de febrero de 2025.</w:t>
      </w:r>
    </w:p>
    <w:p w14:paraId="513B86A6" w14:textId="77777777" w:rsidR="00B469E0" w:rsidRPr="00A32804" w:rsidRDefault="00B469E0" w:rsidP="00B469E0">
      <w:pPr>
        <w:rPr>
          <w:lang w:val="es-ES"/>
        </w:rPr>
      </w:pPr>
      <w:r w:rsidRPr="00A32804">
        <w:rPr>
          <w:lang w:val="es-ES"/>
        </w:rPr>
        <w:lastRenderedPageBreak/>
        <w:t>Desde la última reunión del GAR, el Grupo de Expertos sobre el Acuerdo 482 ha celebrado dos reuniones: la primera del 4 al 5 de noviembre de 2024 y la segunda del 10 al 11 de febrero de 2025.</w:t>
      </w:r>
    </w:p>
    <w:p w14:paraId="73A9600C" w14:textId="77777777" w:rsidR="00B469E0" w:rsidRPr="00A32804" w:rsidRDefault="00B469E0" w:rsidP="00B469E0">
      <w:pPr>
        <w:rPr>
          <w:lang w:val="es-ES"/>
        </w:rPr>
      </w:pPr>
      <w:r w:rsidRPr="00A32804">
        <w:rPr>
          <w:lang w:val="es-ES"/>
        </w:rPr>
        <w:t>Durante la reunión de noviembre de 2024, este Grupo examinó la información facilitada por la Oficina de Radiocomunicaciones con respecto a los diez puntos que integran el mandato de dicho Grupo. En relación con cada punto, el Grupo solicitó información adicional para la siguiente reunión y una lista de posibles enmiendas al Acuerdo</w:t>
      </w:r>
      <w:r>
        <w:rPr>
          <w:lang w:val="es-ES"/>
        </w:rPr>
        <w:t> </w:t>
      </w:r>
      <w:r w:rsidRPr="00A32804">
        <w:rPr>
          <w:lang w:val="es-ES"/>
        </w:rPr>
        <w:t>482 del Consejo.</w:t>
      </w:r>
    </w:p>
    <w:p w14:paraId="43D6B315" w14:textId="77777777" w:rsidR="00B469E0" w:rsidRPr="00A32804" w:rsidRDefault="00B469E0" w:rsidP="00B469E0">
      <w:pPr>
        <w:rPr>
          <w:lang w:val="es-ES"/>
        </w:rPr>
      </w:pPr>
      <w:r w:rsidRPr="00A32804">
        <w:rPr>
          <w:lang w:val="es-ES"/>
        </w:rPr>
        <w:t>Durante la reunión de febrero de 2025, el Grupo revisó los diez puntos que integran su mandato con miras a una posible modificación del Acuerdo</w:t>
      </w:r>
      <w:r>
        <w:rPr>
          <w:lang w:val="es-ES"/>
        </w:rPr>
        <w:t> </w:t>
      </w:r>
      <w:r w:rsidRPr="00A32804">
        <w:rPr>
          <w:lang w:val="es-ES"/>
        </w:rPr>
        <w:t>482. A la sazón, se acordó proponer al Consejo posibles revisiones a cuatro apartados del Acuerdo</w:t>
      </w:r>
      <w:r>
        <w:rPr>
          <w:lang w:val="es-ES"/>
        </w:rPr>
        <w:t> </w:t>
      </w:r>
      <w:r w:rsidRPr="00A32804">
        <w:rPr>
          <w:lang w:val="es-ES"/>
        </w:rPr>
        <w:t>482 (a saber, los puntos b, e, h, i). Con respecto a otros tres (a saber, los puntos, d y j), el Grupo acordó no modificar el Acuerdo. Hubo una serie de apartados (a saber, los puntos c, f y g) sobre los que no se llegó a ningún acuerdo.</w:t>
      </w:r>
    </w:p>
    <w:p w14:paraId="1EA0F6E3" w14:textId="77777777" w:rsidR="00B469E0" w:rsidRPr="00A32804" w:rsidRDefault="00B469E0" w:rsidP="00B469E0">
      <w:pPr>
        <w:rPr>
          <w:lang w:val="es-ES"/>
        </w:rPr>
      </w:pPr>
      <w:r w:rsidRPr="00A32804">
        <w:rPr>
          <w:lang w:val="es-ES"/>
        </w:rPr>
        <w:t>El Grupo de Expertos celebrará una 4ª</w:t>
      </w:r>
      <w:r w:rsidRPr="00A32804">
        <w:rPr>
          <w:vertAlign w:val="superscript"/>
          <w:lang w:val="es-ES"/>
        </w:rPr>
        <w:t xml:space="preserve"> </w:t>
      </w:r>
      <w:r w:rsidRPr="00A32804">
        <w:rPr>
          <w:lang w:val="es-ES"/>
        </w:rPr>
        <w:t>reunión los días 10 y 11 de abril de 2025, con objeto de finalizar su informe al Consejo.</w:t>
      </w:r>
    </w:p>
    <w:p w14:paraId="202C162B" w14:textId="77777777" w:rsidR="00B469E0" w:rsidRPr="00A32804" w:rsidRDefault="00B469E0" w:rsidP="00B469E0">
      <w:pPr>
        <w:pStyle w:val="Heading2"/>
        <w:rPr>
          <w:i/>
          <w:lang w:val="es-ES"/>
        </w:rPr>
      </w:pPr>
      <w:bookmarkStart w:id="8" w:name="_Toc446060757"/>
      <w:r w:rsidRPr="00A32804">
        <w:rPr>
          <w:lang w:val="es-ES"/>
        </w:rPr>
        <w:t>2.2</w:t>
      </w:r>
      <w:r w:rsidRPr="00A32804">
        <w:rPr>
          <w:lang w:val="es-ES"/>
        </w:rPr>
        <w:tab/>
        <w:t>Presupuesto para 2024-2025</w:t>
      </w:r>
      <w:bookmarkEnd w:id="8"/>
      <w:r w:rsidRPr="00A32804">
        <w:rPr>
          <w:lang w:val="es-ES"/>
        </w:rPr>
        <w:t xml:space="preserve"> y proyecto de presupuesto para 2026</w:t>
      </w:r>
      <w:r>
        <w:rPr>
          <w:lang w:val="es-ES"/>
        </w:rPr>
        <w:t>-</w:t>
      </w:r>
      <w:r w:rsidRPr="00A32804">
        <w:rPr>
          <w:lang w:val="es-ES"/>
        </w:rPr>
        <w:t>2027</w:t>
      </w:r>
    </w:p>
    <w:p w14:paraId="565B2FD5" w14:textId="77777777" w:rsidR="00B469E0" w:rsidRPr="00211E18" w:rsidRDefault="00B469E0" w:rsidP="00B469E0">
      <w:pPr>
        <w:rPr>
          <w:rFonts w:eastAsia="Calibri"/>
          <w:lang w:val="es-ES"/>
        </w:rPr>
      </w:pPr>
      <w:r w:rsidRPr="00A32804">
        <w:rPr>
          <w:rFonts w:eastAsia="Calibri"/>
          <w:lang w:val="es-ES"/>
        </w:rPr>
        <w:t xml:space="preserve">En 2023, el Consejo acordó destinar el siguiente presupuesto al UIT-R durante el periodo comprendido entre 2024 y 2025 (véase la </w:t>
      </w:r>
      <w:hyperlink r:id="rId12" w:history="1">
        <w:r w:rsidRPr="00A32804">
          <w:rPr>
            <w:rStyle w:val="Hyperlink"/>
            <w:rFonts w:eastAsia="Calibri"/>
            <w:lang w:val="es-ES"/>
          </w:rPr>
          <w:t>Resolución 1417 del Consejo</w:t>
        </w:r>
      </w:hyperlink>
      <w:r w:rsidRPr="00A32804">
        <w:rPr>
          <w:rFonts w:eastAsia="Calibri"/>
          <w:lang w:val="es-ES"/>
        </w:rPr>
        <w:t>).</w:t>
      </w:r>
    </w:p>
    <w:p w14:paraId="0346F1C6" w14:textId="77777777" w:rsidR="00B469E0" w:rsidRPr="00A32804" w:rsidRDefault="00B469E0" w:rsidP="00B469E0">
      <w:pPr>
        <w:pStyle w:val="TableNotitle"/>
        <w:rPr>
          <w:lang w:val="es-ES"/>
        </w:rPr>
      </w:pPr>
      <w:r w:rsidRPr="00A32804">
        <w:rPr>
          <w:lang w:val="es-ES"/>
        </w:rPr>
        <w:t>Cuadro 2.2-1. Presupuesto para 2024-2025</w:t>
      </w:r>
    </w:p>
    <w:p w14:paraId="53B5E1EA" w14:textId="77777777" w:rsidR="00B469E0" w:rsidRPr="00A32804" w:rsidRDefault="00B469E0" w:rsidP="00B469E0">
      <w:pPr>
        <w:jc w:val="center"/>
        <w:rPr>
          <w:rFonts w:eastAsia="Calibri"/>
          <w:lang w:val="es-ES"/>
        </w:rPr>
      </w:pPr>
      <w:r w:rsidRPr="00A32804">
        <w:rPr>
          <w:noProof/>
          <w:lang w:val="es-ES"/>
        </w:rPr>
        <w:drawing>
          <wp:inline distT="0" distB="0" distL="0" distR="0" wp14:anchorId="6C01AFFD" wp14:editId="17C97134">
            <wp:extent cx="6120765" cy="3636332"/>
            <wp:effectExtent l="0" t="0" r="0" b="0"/>
            <wp:docPr id="17" name="Picture 1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screenshot of a computer&#10;&#10;Description automatically generated"/>
                    <pic:cNvPicPr/>
                  </pic:nvPicPr>
                  <pic:blipFill>
                    <a:blip r:embed="rId13"/>
                    <a:stretch>
                      <a:fillRect/>
                    </a:stretch>
                  </pic:blipFill>
                  <pic:spPr>
                    <a:xfrm>
                      <a:off x="0" y="0"/>
                      <a:ext cx="6120765" cy="3636332"/>
                    </a:xfrm>
                    <a:prstGeom prst="rect">
                      <a:avLst/>
                    </a:prstGeom>
                  </pic:spPr>
                </pic:pic>
              </a:graphicData>
            </a:graphic>
          </wp:inline>
        </w:drawing>
      </w:r>
    </w:p>
    <w:p w14:paraId="03A8B591" w14:textId="44B5FEDB" w:rsidR="00B469E0" w:rsidRPr="00A32804" w:rsidRDefault="00B469E0" w:rsidP="00B469E0">
      <w:pPr>
        <w:spacing w:before="240"/>
        <w:rPr>
          <w:lang w:val="es-ES"/>
        </w:rPr>
      </w:pPr>
      <w:r w:rsidRPr="00A32804">
        <w:rPr>
          <w:lang w:val="es-ES"/>
        </w:rPr>
        <w:t xml:space="preserve">En la reunión de febrero de 2025 del Grupo de Trabajo del Consejo sobre recursos humanos y financieros, se presentó el </w:t>
      </w:r>
      <w:hyperlink r:id="rId14" w:history="1">
        <w:r w:rsidRPr="00A32804">
          <w:rPr>
            <w:rStyle w:val="Hyperlink"/>
            <w:rFonts w:eastAsia="SimSun"/>
            <w:lang w:val="es-ES"/>
          </w:rPr>
          <w:t>Documento CWG-FHR-20/15</w:t>
        </w:r>
      </w:hyperlink>
      <w:r w:rsidRPr="00A32804">
        <w:rPr>
          <w:lang w:val="es-ES"/>
        </w:rPr>
        <w:t xml:space="preserve"> sobre la marcha de los trabajos relativos al proyecto de presupuesto bienal para 2026-2027. En esa etapa de la preparación del proyecto de presupuesto para 2026-2027, los gastos y los ingresos no estaban equilibrados y arrojaban un déficit de 18,1 millones</w:t>
      </w:r>
      <w:r>
        <w:rPr>
          <w:lang w:val="es-ES"/>
        </w:rPr>
        <w:t> </w:t>
      </w:r>
      <w:r w:rsidRPr="00A32804">
        <w:rPr>
          <w:lang w:val="es-ES"/>
        </w:rPr>
        <w:t xml:space="preserve">CHF. La Secretaría General seguirá trabajando en el presupuesto bienal y espera </w:t>
      </w:r>
      <w:r w:rsidRPr="00A32804">
        <w:rPr>
          <w:lang w:val="es-ES"/>
        </w:rPr>
        <w:lastRenderedPageBreak/>
        <w:t>finalizar un presupuesto equilibrado a tiempo para su presentación en la reunión de 2025 del Consejo.</w:t>
      </w:r>
    </w:p>
    <w:p w14:paraId="7A4A20D6" w14:textId="77777777" w:rsidR="00B469E0" w:rsidRPr="00A32804" w:rsidRDefault="00B469E0" w:rsidP="00B469E0">
      <w:pPr>
        <w:rPr>
          <w:lang w:val="es-ES"/>
        </w:rPr>
      </w:pPr>
      <w:r w:rsidRPr="00A32804">
        <w:rPr>
          <w:lang w:val="es-ES"/>
        </w:rPr>
        <w:t>En el Cuadro 2.2-2 se desglosa el proyecto de presupuesto del Sector de Radiocomunicaciones para</w:t>
      </w:r>
      <w:r>
        <w:rPr>
          <w:lang w:val="es-ES"/>
        </w:rPr>
        <w:t> </w:t>
      </w:r>
      <w:r w:rsidRPr="00A32804">
        <w:rPr>
          <w:lang w:val="es-ES"/>
        </w:rPr>
        <w:t>2026-2027 por Sección.</w:t>
      </w:r>
    </w:p>
    <w:p w14:paraId="08DAB58B" w14:textId="77777777" w:rsidR="00B469E0" w:rsidRPr="00637B40" w:rsidRDefault="00B469E0" w:rsidP="00B469E0">
      <w:pPr>
        <w:pStyle w:val="TableNotitle"/>
        <w:rPr>
          <w:lang w:val="es-ES"/>
        </w:rPr>
      </w:pPr>
      <w:r w:rsidRPr="00A32804">
        <w:rPr>
          <w:lang w:val="es-ES"/>
        </w:rPr>
        <w:t>Cuadro 2.2-2. Proyecto de presupuesto para 2026-2027</w:t>
      </w:r>
    </w:p>
    <w:p w14:paraId="49735C74" w14:textId="77777777" w:rsidR="00B469E0" w:rsidRDefault="00B469E0" w:rsidP="00B469E0">
      <w:pPr>
        <w:pStyle w:val="Tablehead"/>
        <w:rPr>
          <w:lang w:val="es-ES"/>
        </w:rPr>
      </w:pPr>
      <w:r w:rsidRPr="00637B40">
        <w:rPr>
          <w:noProof/>
          <w:lang w:val="es-ES"/>
        </w:rPr>
        <w:drawing>
          <wp:inline distT="0" distB="0" distL="0" distR="0" wp14:anchorId="260887C6" wp14:editId="304D6D07">
            <wp:extent cx="5866765" cy="1909445"/>
            <wp:effectExtent l="0" t="0" r="635" b="0"/>
            <wp:docPr id="9677813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66765" cy="1909445"/>
                    </a:xfrm>
                    <a:prstGeom prst="rect">
                      <a:avLst/>
                    </a:prstGeom>
                    <a:noFill/>
                    <a:ln>
                      <a:noFill/>
                    </a:ln>
                  </pic:spPr>
                </pic:pic>
              </a:graphicData>
            </a:graphic>
          </wp:inline>
        </w:drawing>
      </w:r>
    </w:p>
    <w:p w14:paraId="69AEA880" w14:textId="77777777" w:rsidR="00B469E0" w:rsidRPr="00A32804" w:rsidRDefault="00B469E0" w:rsidP="00B469E0">
      <w:pPr>
        <w:pStyle w:val="Heading2"/>
        <w:rPr>
          <w:lang w:val="es-ES"/>
        </w:rPr>
      </w:pPr>
      <w:r w:rsidRPr="00A32804">
        <w:rPr>
          <w:lang w:val="es-ES"/>
        </w:rPr>
        <w:t>2.3</w:t>
      </w:r>
      <w:r w:rsidRPr="00A32804">
        <w:rPr>
          <w:lang w:val="es-ES"/>
        </w:rPr>
        <w:tab/>
        <w:t>Utilización de los seis idiomas oficiales de la Unión en igualdad de condiciones</w:t>
      </w:r>
    </w:p>
    <w:p w14:paraId="6C8338F3" w14:textId="77777777" w:rsidR="00B469E0" w:rsidRPr="00A32804" w:rsidRDefault="00B469E0" w:rsidP="00B469E0">
      <w:pPr>
        <w:rPr>
          <w:lang w:val="es-ES"/>
        </w:rPr>
      </w:pPr>
      <w:r w:rsidRPr="00A32804">
        <w:rPr>
          <w:lang w:val="es-ES"/>
        </w:rPr>
        <w:t>La Conferencia de Plenipotenciarios de la UIT de 2022 (PP-22) adoptó la Resolución 154 (Rev.</w:t>
      </w:r>
      <w:r>
        <w:rPr>
          <w:lang w:val="es-ES"/>
        </w:rPr>
        <w:t> </w:t>
      </w:r>
      <w:r w:rsidRPr="00A32804">
        <w:rPr>
          <w:lang w:val="es-ES"/>
        </w:rPr>
        <w:t>Bucarest, 2022), relativa a la utilización de los seis idiomas oficiales de la Unión. En dicha Resolución se pide a la UIT que siga adoptando todas las medidas necesarias para garantizar la utilización de los seis idiomas oficiales de la Unión en igualdad de condiciones y facilitar la interpretación y la traducción de los documentos de la UIT, si bien para algunas actividades de la</w:t>
      </w:r>
      <w:r>
        <w:rPr>
          <w:lang w:val="es-ES"/>
        </w:rPr>
        <w:t> </w:t>
      </w:r>
      <w:r w:rsidRPr="00A32804">
        <w:rPr>
          <w:lang w:val="es-ES"/>
        </w:rPr>
        <w:t>Unión (por ejemplo, Grupos de Trabajo o Conferencias Regionales) quizá no se precisen todos los idiomas oficiales.</w:t>
      </w:r>
    </w:p>
    <w:p w14:paraId="012CA530" w14:textId="66FBEFF3" w:rsidR="00B469E0" w:rsidRPr="00A32804" w:rsidRDefault="00B469E0" w:rsidP="00B469E0">
      <w:pPr>
        <w:rPr>
          <w:lang w:val="es-ES"/>
        </w:rPr>
      </w:pPr>
      <w:r w:rsidRPr="00A32804">
        <w:rPr>
          <w:lang w:val="es-ES"/>
        </w:rPr>
        <w:t>En la Resolución 154 (Rev. Bucarest, 2022) se encarga a la Secretar</w:t>
      </w:r>
      <w:r w:rsidR="00F73E50">
        <w:rPr>
          <w:lang w:val="es-ES"/>
        </w:rPr>
        <w:t>í</w:t>
      </w:r>
      <w:r w:rsidRPr="00A32804">
        <w:rPr>
          <w:lang w:val="es-ES"/>
        </w:rPr>
        <w:t xml:space="preserve">a General de la UIT, en estrecha colaboración con los Directores de las Oficinas, que presente un informe anual al Consejo y al Grupo de Trabajo del Consejo sobre los idiomas (GTC-Idiomas). La UIT presentó al Consejo, en su reunión de 2024, un informe sobre la utilización de los seis idiomas de la Unión en igualdad de condiciones. El Consejo tomó nota del informe, incluido en el </w:t>
      </w:r>
      <w:hyperlink r:id="rId16" w:history="1">
        <w:r w:rsidRPr="00A32804">
          <w:rPr>
            <w:rStyle w:val="Hyperlink"/>
            <w:rFonts w:eastAsia="SimSun"/>
            <w:lang w:val="es-ES"/>
          </w:rPr>
          <w:t>Documento C24/12</w:t>
        </w:r>
      </w:hyperlink>
      <w:r w:rsidRPr="00A32804">
        <w:rPr>
          <w:lang w:val="es-ES"/>
        </w:rPr>
        <w:t xml:space="preserve">, adoptó las versiones revisadas de la </w:t>
      </w:r>
      <w:hyperlink r:id="rId17" w:history="1">
        <w:r w:rsidRPr="00A32804">
          <w:rPr>
            <w:rStyle w:val="Hyperlink"/>
            <w:rFonts w:eastAsia="SimSun"/>
            <w:lang w:val="es-ES"/>
          </w:rPr>
          <w:t xml:space="preserve">Resolución 1386 </w:t>
        </w:r>
      </w:hyperlink>
      <w:r w:rsidRPr="00A32804">
        <w:rPr>
          <w:lang w:val="es-ES"/>
        </w:rPr>
        <w:t xml:space="preserve">(C17, última modificación C24) y la </w:t>
      </w:r>
      <w:hyperlink r:id="rId18" w:history="1">
        <w:r w:rsidRPr="00A32804">
          <w:rPr>
            <w:rStyle w:val="Hyperlink"/>
            <w:rFonts w:eastAsia="SimSun"/>
            <w:lang w:val="es-ES"/>
          </w:rPr>
          <w:t>Resolución 1372</w:t>
        </w:r>
      </w:hyperlink>
      <w:r w:rsidRPr="00A32804">
        <w:rPr>
          <w:lang w:val="es-ES"/>
        </w:rPr>
        <w:t xml:space="preserve"> (C15, última modificación C24) del Consejo, y refrendó la guía actualizada de prácticas actuales y futuras para aplicar el multilingüismo en la UIT, recogida en el Anexo C.</w:t>
      </w:r>
    </w:p>
    <w:p w14:paraId="28C9CCEC" w14:textId="77777777" w:rsidR="00B469E0" w:rsidRPr="00A32804" w:rsidRDefault="00B469E0" w:rsidP="00B469E0">
      <w:pPr>
        <w:rPr>
          <w:lang w:val="es-ES"/>
        </w:rPr>
      </w:pPr>
      <w:r w:rsidRPr="00A32804">
        <w:rPr>
          <w:lang w:val="es-ES"/>
        </w:rPr>
        <w:t>En la Resolución 154 (Rev. Bucarest, 2022) también se encarga a los Grupos Asesores del Sector que examinen anualmente la utilización de todos los idiomas oficiales de la Unión en igualdad de condiciones en las publicaciones y sitios web de la UIT. La BR ha logrado importantes avances en lo que respecta a la transición de sus sitios web de SharePoint a WordPress, que admite el uso de traducción automática. Para obtener más información sobre el nivel de traducción de las páginas web de la BR, véase en la sección 8.6.1.2 del presente informe.</w:t>
      </w:r>
    </w:p>
    <w:p w14:paraId="60C75333" w14:textId="77777777" w:rsidR="00B469E0" w:rsidRPr="00A32804" w:rsidRDefault="00B469E0" w:rsidP="00B469E0">
      <w:pPr>
        <w:pStyle w:val="Heading2"/>
        <w:rPr>
          <w:lang w:val="es-ES"/>
        </w:rPr>
      </w:pPr>
      <w:r w:rsidRPr="00A32804">
        <w:rPr>
          <w:lang w:val="es-ES"/>
        </w:rPr>
        <w:t>2.4</w:t>
      </w:r>
      <w:r w:rsidRPr="00A32804">
        <w:rPr>
          <w:lang w:val="es-ES"/>
        </w:rPr>
        <w:tab/>
        <w:t>Participación a distancia</w:t>
      </w:r>
    </w:p>
    <w:p w14:paraId="59CFAC39" w14:textId="77777777" w:rsidR="00B469E0" w:rsidRPr="00A32804" w:rsidDel="00A705DA" w:rsidRDefault="00B469E0" w:rsidP="00B469E0">
      <w:pPr>
        <w:rPr>
          <w:lang w:val="es-ES"/>
        </w:rPr>
      </w:pPr>
      <w:r w:rsidRPr="00A32804">
        <w:rPr>
          <w:lang w:val="es-ES"/>
        </w:rPr>
        <w:t>La Conferencia de Plenipotenciarios de la UIT de 2022 (PP-22) adoptó la Resolución 167 (Rev.</w:t>
      </w:r>
      <w:r>
        <w:rPr>
          <w:lang w:val="es-ES"/>
        </w:rPr>
        <w:t> </w:t>
      </w:r>
      <w:r w:rsidRPr="00A32804">
        <w:rPr>
          <w:lang w:val="es-ES"/>
        </w:rPr>
        <w:t xml:space="preserve">Bucarest, 2022) sobre el fortalecimiento y el fomento de las capacidades de la UIT para celebrar reuniones totalmente virtuales y reuniones presenciales con participación a distancia, y los </w:t>
      </w:r>
      <w:r w:rsidRPr="00A32804">
        <w:rPr>
          <w:lang w:val="es-ES"/>
        </w:rPr>
        <w:lastRenderedPageBreak/>
        <w:t>medios electrónicos para avanzar la labor de la Unión. En esta Resolución se resuelve que</w:t>
      </w:r>
      <w:r>
        <w:rPr>
          <w:lang w:val="es-ES"/>
        </w:rPr>
        <w:t xml:space="preserve"> </w:t>
      </w:r>
      <w:r w:rsidRPr="00A32804">
        <w:rPr>
          <w:lang w:val="es-ES"/>
        </w:rPr>
        <w:t>la UIT siga elaborando orientaciones de alto nivel para la gestión y la gobernanza de las reuniones totalmente virtuales y las reuniones presenciales</w:t>
      </w:r>
      <w:r>
        <w:rPr>
          <w:lang w:val="es-ES"/>
        </w:rPr>
        <w:t xml:space="preserve"> </w:t>
      </w:r>
      <w:r w:rsidRPr="00A32804">
        <w:rPr>
          <w:lang w:val="es-ES"/>
        </w:rPr>
        <w:t xml:space="preserve">con participación a distancia. </w:t>
      </w:r>
    </w:p>
    <w:p w14:paraId="0F0EDD07" w14:textId="77777777" w:rsidR="00B469E0" w:rsidRPr="00A32804" w:rsidRDefault="00B469E0" w:rsidP="00B469E0">
      <w:pPr>
        <w:rPr>
          <w:rFonts w:eastAsia="Calibri"/>
          <w:lang w:val="es-ES"/>
        </w:rPr>
      </w:pPr>
      <w:r w:rsidRPr="00A32804">
        <w:rPr>
          <w:rFonts w:eastAsia="Calibri"/>
          <w:lang w:val="es-ES"/>
        </w:rPr>
        <w:t xml:space="preserve">En cumplimiento de lo dispuesto en la Resolución 167 (Rev. Bucarest, 2022), el Consejo creó, en su reunión de 2024, un grupo de trabajo por correspondencia encargado de elaborar un </w:t>
      </w:r>
      <w:hyperlink r:id="rId19" w:history="1">
        <w:r w:rsidRPr="00A32804">
          <w:rPr>
            <w:rStyle w:val="Hyperlink"/>
            <w:rFonts w:eastAsia="Calibri"/>
            <w:lang w:val="es-ES"/>
          </w:rPr>
          <w:t>proyecto de directrices sobre la gestión de reuniones plenamente virtuales y reuniones presenciales con participación a distancia en la UIT</w:t>
        </w:r>
      </w:hyperlink>
      <w:r w:rsidRPr="00A32804">
        <w:rPr>
          <w:rFonts w:eastAsia="Calibri"/>
          <w:lang w:val="es-ES"/>
        </w:rPr>
        <w:t xml:space="preserve"> para su consideración por el Grupo de Trabajo del Consejo sobre recursos humanos y financieros (GTC-RHF). El GTC-RHF aprobó el proyecto de directrices elaborado, el cual se someterá a la aprobación del Consejo en su reunión de 2025. </w:t>
      </w:r>
    </w:p>
    <w:p w14:paraId="4842129C" w14:textId="77777777" w:rsidR="00B469E0" w:rsidRPr="00A32804" w:rsidRDefault="00B469E0" w:rsidP="00B469E0">
      <w:pPr>
        <w:pStyle w:val="Heading2"/>
        <w:rPr>
          <w:lang w:val="es-ES"/>
        </w:rPr>
      </w:pPr>
      <w:r w:rsidRPr="00A32804">
        <w:rPr>
          <w:lang w:val="es-ES"/>
        </w:rPr>
        <w:t>2.5</w:t>
      </w:r>
      <w:r w:rsidRPr="00A32804">
        <w:rPr>
          <w:lang w:val="es-ES"/>
        </w:rPr>
        <w:tab/>
        <w:t>Planes Estratégico y Financiero para 2028-2031</w:t>
      </w:r>
    </w:p>
    <w:p w14:paraId="29D0C5F0" w14:textId="77777777" w:rsidR="00B469E0" w:rsidRPr="00A32804" w:rsidRDefault="00B469E0" w:rsidP="00B469E0">
      <w:pPr>
        <w:rPr>
          <w:lang w:val="es-ES"/>
        </w:rPr>
      </w:pPr>
      <w:r w:rsidRPr="00A32804">
        <w:rPr>
          <w:lang w:val="es-ES"/>
        </w:rPr>
        <w:t xml:space="preserve">En su reunión de 2024, el Consejo adoptó la </w:t>
      </w:r>
      <w:hyperlink r:id="rId20" w:history="1">
        <w:r w:rsidRPr="00A32804">
          <w:rPr>
            <w:color w:val="0000FF"/>
            <w:u w:val="single"/>
            <w:lang w:val="es-ES"/>
          </w:rPr>
          <w:t>Resolución 1428 (C24</w:t>
        </w:r>
      </w:hyperlink>
      <w:r w:rsidRPr="00A32804">
        <w:rPr>
          <w:lang w:val="es-ES"/>
        </w:rPr>
        <w:t xml:space="preserve">), en virtud de la cual creó el Grupo de Trabajo del Consejo sobre los Planes Estratégico y Financiero (GTC-PEF) y le encomendó el desarrollo de los proyectos de Plan Estratégico y Plan Financiero para 2028-2031, los cuales se someterán a la consideración de la Conferencia de Plenipotenciarios de 2026 (PP-26). </w:t>
      </w:r>
    </w:p>
    <w:p w14:paraId="494644CE" w14:textId="77777777" w:rsidR="00B469E0" w:rsidRPr="00A32804" w:rsidRDefault="00B469E0" w:rsidP="00B469E0">
      <w:pPr>
        <w:rPr>
          <w:lang w:val="es-ES"/>
        </w:rPr>
      </w:pPr>
      <w:r w:rsidRPr="00A32804">
        <w:rPr>
          <w:lang w:val="es-ES"/>
        </w:rPr>
        <w:t xml:space="preserve">Del mismo modo, este Grupo es el encargado de emitir una recomendación sobre el importe provisional de la unidad contributiva, velar por la conformidad con las Resoluciones de las Conferencias de Plenipotenciarios y elaborar informes sobre la aplicación del concepto </w:t>
      </w:r>
      <w:r>
        <w:rPr>
          <w:lang w:val="es-ES"/>
        </w:rPr>
        <w:t>«</w:t>
      </w:r>
      <w:r w:rsidRPr="00A32804">
        <w:rPr>
          <w:lang w:val="es-ES"/>
        </w:rPr>
        <w:t>Una UIT</w:t>
      </w:r>
      <w:r>
        <w:rPr>
          <w:lang w:val="es-ES"/>
        </w:rPr>
        <w:t>»</w:t>
      </w:r>
      <w:r w:rsidRPr="00A32804">
        <w:rPr>
          <w:lang w:val="es-ES"/>
        </w:rPr>
        <w:t>.</w:t>
      </w:r>
    </w:p>
    <w:p w14:paraId="27CA6AA7" w14:textId="77777777" w:rsidR="00B469E0" w:rsidRPr="00A32804" w:rsidRDefault="00B469E0" w:rsidP="00B469E0">
      <w:pPr>
        <w:pStyle w:val="Heading1"/>
        <w:rPr>
          <w:bCs/>
          <w:lang w:val="es-ES"/>
        </w:rPr>
      </w:pPr>
      <w:r w:rsidRPr="00A32804">
        <w:rPr>
          <w:lang w:val="es-ES"/>
        </w:rPr>
        <w:t>3</w:t>
      </w:r>
      <w:r w:rsidRPr="00A32804">
        <w:rPr>
          <w:lang w:val="es-ES"/>
        </w:rPr>
        <w:tab/>
        <w:t xml:space="preserve">Aplicación </w:t>
      </w:r>
      <w:r w:rsidRPr="00A32804" w:rsidDel="00EB7A06">
        <w:rPr>
          <w:lang w:val="es-ES"/>
        </w:rPr>
        <w:t xml:space="preserve">de </w:t>
      </w:r>
      <w:r w:rsidRPr="00A32804">
        <w:rPr>
          <w:lang w:val="es-ES"/>
        </w:rPr>
        <w:t xml:space="preserve">las decisiones de la </w:t>
      </w:r>
      <w:r w:rsidRPr="00A32804" w:rsidDel="00EB7A06">
        <w:rPr>
          <w:lang w:val="es-ES"/>
        </w:rPr>
        <w:t xml:space="preserve">AR-23 y </w:t>
      </w:r>
      <w:r w:rsidRPr="00A32804">
        <w:rPr>
          <w:lang w:val="es-ES"/>
        </w:rPr>
        <w:t xml:space="preserve">la </w:t>
      </w:r>
      <w:r w:rsidRPr="00A32804" w:rsidDel="00EB7A06">
        <w:rPr>
          <w:lang w:val="es-ES"/>
        </w:rPr>
        <w:t>CMR-23</w:t>
      </w:r>
    </w:p>
    <w:p w14:paraId="1B6A5E04" w14:textId="77777777" w:rsidR="00B469E0" w:rsidRPr="00A32804" w:rsidRDefault="00B469E0" w:rsidP="00B469E0">
      <w:pPr>
        <w:pStyle w:val="Heading2"/>
        <w:rPr>
          <w:lang w:val="es-ES"/>
        </w:rPr>
      </w:pPr>
      <w:r w:rsidRPr="00A32804">
        <w:rPr>
          <w:lang w:val="es-ES"/>
        </w:rPr>
        <w:t>3.1</w:t>
      </w:r>
      <w:r w:rsidRPr="00A32804">
        <w:rPr>
          <w:lang w:val="es-ES"/>
        </w:rPr>
        <w:tab/>
        <w:t>Aplicación de las decisiones de la AR-23</w:t>
      </w:r>
    </w:p>
    <w:p w14:paraId="5AA56EA8" w14:textId="77777777" w:rsidR="00B469E0" w:rsidRPr="00A32804" w:rsidRDefault="00B469E0" w:rsidP="00B469E0">
      <w:pPr>
        <w:rPr>
          <w:lang w:val="es-ES"/>
        </w:rPr>
      </w:pPr>
      <w:r w:rsidRPr="00A32804">
        <w:rPr>
          <w:lang w:val="es-ES"/>
        </w:rPr>
        <w:t xml:space="preserve">En su tercera sesión plenaria (véase el Documento </w:t>
      </w:r>
      <w:hyperlink r:id="rId21" w:history="1">
        <w:r w:rsidRPr="00A32804">
          <w:rPr>
            <w:rStyle w:val="Hyperlink"/>
            <w:rFonts w:eastAsia="SimSun"/>
            <w:lang w:val="es-ES"/>
          </w:rPr>
          <w:t>RA23/PLEN/101(Rev.1)</w:t>
        </w:r>
      </w:hyperlink>
      <w:r w:rsidRPr="00A32804">
        <w:rPr>
          <w:lang w:val="es-ES"/>
        </w:rPr>
        <w:t xml:space="preserve">), la Asamblea de Radiocomunicaciones de 2023 (AR-23) decidió delegar en los grupos correspondientes (CE, CCV, GAR, RPC) la responsabilidad de nombrar a sus respectivos Vicepresidentes para el periodo de estudios 2023-2027 sobre la base del Documento </w:t>
      </w:r>
      <w:hyperlink r:id="rId22" w:history="1">
        <w:r w:rsidRPr="00A32804">
          <w:rPr>
            <w:rStyle w:val="Hyperlink"/>
            <w:rFonts w:eastAsia="SimSun"/>
            <w:lang w:val="es-ES"/>
          </w:rPr>
          <w:t>RA23/PLEN/91</w:t>
        </w:r>
      </w:hyperlink>
      <w:r w:rsidRPr="00A32804">
        <w:rPr>
          <w:lang w:val="es-ES"/>
        </w:rPr>
        <w:t>. Las Comisiones de Estudio, el CCV y el GAR llevaron a cabo los correspondientes nombramientos.</w:t>
      </w:r>
    </w:p>
    <w:p w14:paraId="17930D82" w14:textId="77777777" w:rsidR="00B469E0" w:rsidRPr="00EA0EF0" w:rsidRDefault="00B469E0" w:rsidP="00B469E0">
      <w:pPr>
        <w:rPr>
          <w:rFonts w:eastAsia="SimSun"/>
          <w:lang w:val="es-ES"/>
        </w:rPr>
      </w:pPr>
      <w:r w:rsidRPr="00A32804">
        <w:rPr>
          <w:lang w:val="es-ES"/>
        </w:rPr>
        <w:t xml:space="preserve">Tras el debate mantenido en </w:t>
      </w:r>
      <w:r w:rsidRPr="00A32804" w:rsidDel="003F5AD4">
        <w:rPr>
          <w:lang w:val="es-ES"/>
        </w:rPr>
        <w:t>la AR-23 sobre la posible modificaci</w:t>
      </w:r>
      <w:r w:rsidRPr="00A32804">
        <w:rPr>
          <w:lang w:val="es-ES"/>
        </w:rPr>
        <w:t>ón</w:t>
      </w:r>
      <w:r w:rsidRPr="00A32804" w:rsidDel="003F5AD4">
        <w:rPr>
          <w:lang w:val="es-ES"/>
        </w:rPr>
        <w:t xml:space="preserve"> de </w:t>
      </w:r>
      <w:r w:rsidRPr="00A32804" w:rsidDel="003F5AD4">
        <w:rPr>
          <w:rFonts w:eastAsia="SimSun"/>
          <w:lang w:val="es-ES"/>
        </w:rPr>
        <w:t xml:space="preserve">la Resolución </w:t>
      </w:r>
      <w:r w:rsidRPr="00A32804">
        <w:rPr>
          <w:rFonts w:eastAsia="SimSun"/>
          <w:lang w:val="es-ES"/>
        </w:rPr>
        <w:t xml:space="preserve">UIT-R </w:t>
      </w:r>
      <w:r w:rsidRPr="00A32804" w:rsidDel="003F5AD4">
        <w:rPr>
          <w:rFonts w:eastAsia="SimSun"/>
          <w:lang w:val="es-ES"/>
        </w:rPr>
        <w:t xml:space="preserve">2 (véase </w:t>
      </w:r>
      <w:r w:rsidRPr="00A32804" w:rsidDel="003F5AD4">
        <w:rPr>
          <w:lang w:val="es-ES"/>
        </w:rPr>
        <w:t xml:space="preserve">el Documento </w:t>
      </w:r>
      <w:hyperlink r:id="rId23">
        <w:r w:rsidRPr="00A32804">
          <w:rPr>
            <w:rStyle w:val="Hyperlink"/>
            <w:rFonts w:eastAsia="SimSun"/>
            <w:lang w:val="es-ES"/>
          </w:rPr>
          <w:t>RA-23/PLEN/102</w:t>
        </w:r>
      </w:hyperlink>
      <w:r w:rsidRPr="00A32804" w:rsidDel="003F5AD4">
        <w:rPr>
          <w:lang w:val="es-ES"/>
        </w:rPr>
        <w:t xml:space="preserve">) </w:t>
      </w:r>
      <w:r w:rsidRPr="00A32804">
        <w:rPr>
          <w:lang w:val="es-ES"/>
        </w:rPr>
        <w:t>con miras a</w:t>
      </w:r>
      <w:r w:rsidRPr="00A32804" w:rsidDel="003F5AD4">
        <w:rPr>
          <w:lang w:val="es-ES"/>
        </w:rPr>
        <w:t xml:space="preserve"> </w:t>
      </w:r>
      <w:r w:rsidRPr="00A32804" w:rsidDel="003F5AD4">
        <w:rPr>
          <w:rFonts w:eastAsia="SimSun"/>
          <w:lang w:val="es-ES"/>
        </w:rPr>
        <w:t>verificar la eficacia del proceso de la RPC</w:t>
      </w:r>
      <w:r w:rsidRPr="00A32804">
        <w:rPr>
          <w:rFonts w:eastAsia="SimSun"/>
          <w:lang w:val="es-ES"/>
        </w:rPr>
        <w:t xml:space="preserve">, en su última reunión de 2024 el GAR creó un </w:t>
      </w:r>
      <w:hyperlink r:id="rId24" w:anchor="/es" w:history="1">
        <w:r w:rsidRPr="00A32804">
          <w:rPr>
            <w:rStyle w:val="Hyperlink"/>
            <w:rFonts w:eastAsia="SimSun"/>
            <w:lang w:val="es-ES"/>
          </w:rPr>
          <w:t>Grupo por correspondencia sobre la mejora del proceso de la RPC</w:t>
        </w:r>
      </w:hyperlink>
      <w:r w:rsidRPr="00A32804">
        <w:rPr>
          <w:rFonts w:eastAsia="SimSun"/>
          <w:lang w:val="es-ES"/>
        </w:rPr>
        <w:t>.</w:t>
      </w:r>
    </w:p>
    <w:p w14:paraId="7F79EBF8" w14:textId="77777777" w:rsidR="00B469E0" w:rsidRPr="00A32804" w:rsidRDefault="00B469E0" w:rsidP="00B469E0">
      <w:pPr>
        <w:pStyle w:val="Heading2"/>
        <w:rPr>
          <w:lang w:val="es-ES"/>
        </w:rPr>
      </w:pPr>
      <w:bookmarkStart w:id="9" w:name="_Toc446060760"/>
      <w:r w:rsidRPr="00A32804">
        <w:rPr>
          <w:lang w:val="es-ES"/>
        </w:rPr>
        <w:t>3.2</w:t>
      </w:r>
      <w:r w:rsidRPr="00A32804">
        <w:rPr>
          <w:lang w:val="es-ES"/>
        </w:rPr>
        <w:tab/>
        <w:t>Aplicación de las decisiones de la CMR-</w:t>
      </w:r>
      <w:bookmarkEnd w:id="9"/>
      <w:r w:rsidRPr="00A32804">
        <w:rPr>
          <w:lang w:val="es-ES"/>
        </w:rPr>
        <w:t>23</w:t>
      </w:r>
      <w:bookmarkStart w:id="10" w:name="_Toc446060763"/>
    </w:p>
    <w:p w14:paraId="035E8EB2" w14:textId="77777777" w:rsidR="00B469E0" w:rsidRPr="00A32804" w:rsidRDefault="00B469E0" w:rsidP="00B469E0">
      <w:pPr>
        <w:pStyle w:val="Heading3"/>
        <w:rPr>
          <w:lang w:val="es-ES"/>
        </w:rPr>
      </w:pPr>
      <w:r w:rsidRPr="00A32804">
        <w:rPr>
          <w:rFonts w:eastAsia="Arial Unicode MS"/>
          <w:lang w:val="es-ES"/>
        </w:rPr>
        <w:t>3.2.1</w:t>
      </w:r>
      <w:r w:rsidRPr="00A32804">
        <w:rPr>
          <w:rFonts w:eastAsia="Arial Unicode MS"/>
          <w:lang w:val="es-ES"/>
        </w:rPr>
        <w:tab/>
      </w:r>
      <w:r w:rsidRPr="00A32804">
        <w:rPr>
          <w:lang w:val="es-ES"/>
        </w:rPr>
        <w:t>Consecuencias financieras de las decisiones de la CMR-23</w:t>
      </w:r>
      <w:bookmarkEnd w:id="10"/>
    </w:p>
    <w:p w14:paraId="5D94F10B" w14:textId="77777777" w:rsidR="00B469E0" w:rsidRPr="00A32804" w:rsidRDefault="00B469E0" w:rsidP="00B469E0">
      <w:pPr>
        <w:rPr>
          <w:lang w:val="es-ES"/>
        </w:rPr>
      </w:pPr>
      <w:r w:rsidRPr="00A32804">
        <w:rPr>
          <w:lang w:val="es-ES"/>
        </w:rPr>
        <w:t xml:space="preserve">La Conferencia Mundial de Radiocomunicaciones de 2023 (CMR-23) definió una serie de áreas de trabajo, estudio y desarrollo de </w:t>
      </w:r>
      <w:r>
        <w:rPr>
          <w:i/>
          <w:iCs/>
          <w:lang w:val="es-ES"/>
        </w:rPr>
        <w:t>software</w:t>
      </w:r>
      <w:r w:rsidRPr="00A32804">
        <w:rPr>
          <w:lang w:val="es-ES"/>
        </w:rPr>
        <w:t xml:space="preserve"> adicionales, con miras a la aplicación de las decisiones de la Conferencia. La ejecución de estas nuevas actividades tiene un coste total estimado de 12,6 millones</w:t>
      </w:r>
      <w:r>
        <w:rPr>
          <w:lang w:val="es-ES"/>
        </w:rPr>
        <w:t> </w:t>
      </w:r>
      <w:r w:rsidRPr="00A32804">
        <w:rPr>
          <w:lang w:val="es-ES"/>
        </w:rPr>
        <w:t>CHF, incluidos los costes tanto puntuales como recurrentes, para el periodo 2024-2027. Los cotes generales estimados se indican en el Cuadro 3.2.1-1.</w:t>
      </w:r>
    </w:p>
    <w:p w14:paraId="35F01D8C" w14:textId="77777777" w:rsidR="00B469E0" w:rsidRPr="00A32804" w:rsidRDefault="00B469E0" w:rsidP="00B469E0">
      <w:pPr>
        <w:rPr>
          <w:lang w:val="es-ES"/>
        </w:rPr>
      </w:pPr>
      <w:r w:rsidRPr="00A32804">
        <w:rPr>
          <w:lang w:val="es-ES"/>
        </w:rPr>
        <w:t xml:space="preserve">Las repercusiones presupuestarias anuales de la aplicación de las decisiones de las CMR-23 se transmitieron al Consejo a través del </w:t>
      </w:r>
      <w:hyperlink r:id="rId25" w:history="1">
        <w:r w:rsidRPr="00A32804">
          <w:rPr>
            <w:rStyle w:val="Hyperlink"/>
            <w:rFonts w:eastAsia="SimSun"/>
            <w:lang w:val="es-ES"/>
          </w:rPr>
          <w:t>Documento C24/63</w:t>
        </w:r>
      </w:hyperlink>
      <w:r w:rsidRPr="00A32804">
        <w:rPr>
          <w:lang w:val="es-ES"/>
        </w:rPr>
        <w:t>.</w:t>
      </w:r>
    </w:p>
    <w:p w14:paraId="57AA4293" w14:textId="77777777" w:rsidR="00B469E0" w:rsidRPr="00A32804" w:rsidRDefault="00B469E0" w:rsidP="00B469E0">
      <w:pPr>
        <w:pStyle w:val="TableNotitle"/>
        <w:rPr>
          <w:b w:val="0"/>
          <w:lang w:val="es-ES"/>
        </w:rPr>
      </w:pPr>
      <w:r w:rsidRPr="00A32804">
        <w:rPr>
          <w:lang w:val="es-ES"/>
        </w:rPr>
        <w:lastRenderedPageBreak/>
        <w:t>Cuadro 3.2.1-1 Estimación general de costos</w:t>
      </w:r>
    </w:p>
    <w:p w14:paraId="39C8DC84" w14:textId="77777777" w:rsidR="00B469E0" w:rsidRPr="00A32804" w:rsidRDefault="00B469E0" w:rsidP="00B469E0">
      <w:pPr>
        <w:keepNext/>
        <w:keepLines/>
        <w:jc w:val="center"/>
        <w:rPr>
          <w:lang w:val="es-ES"/>
        </w:rPr>
      </w:pPr>
      <w:r w:rsidRPr="00A32804">
        <w:rPr>
          <w:noProof/>
          <w:lang w:val="es-ES"/>
        </w:rPr>
        <w:drawing>
          <wp:inline distT="0" distB="0" distL="0" distR="0" wp14:anchorId="255C84EE" wp14:editId="69645AB3">
            <wp:extent cx="6120765" cy="134874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20765" cy="1348740"/>
                    </a:xfrm>
                    <a:prstGeom prst="rect">
                      <a:avLst/>
                    </a:prstGeom>
                    <a:noFill/>
                    <a:ln>
                      <a:noFill/>
                    </a:ln>
                  </pic:spPr>
                </pic:pic>
              </a:graphicData>
            </a:graphic>
          </wp:inline>
        </w:drawing>
      </w:r>
    </w:p>
    <w:p w14:paraId="69C088FF" w14:textId="77777777" w:rsidR="00B469E0" w:rsidRPr="00A32804" w:rsidRDefault="00B469E0" w:rsidP="00B469E0">
      <w:pPr>
        <w:rPr>
          <w:lang w:val="es-ES"/>
        </w:rPr>
      </w:pPr>
      <w:r w:rsidRPr="00A32804">
        <w:rPr>
          <w:lang w:val="es-ES"/>
        </w:rPr>
        <w:t xml:space="preserve">El Consejo adoptó la </w:t>
      </w:r>
      <w:hyperlink r:id="rId27" w:history="1">
        <w:r w:rsidRPr="00A32804">
          <w:rPr>
            <w:rStyle w:val="Hyperlink"/>
            <w:rFonts w:eastAsia="SimSun"/>
            <w:lang w:val="es-ES"/>
          </w:rPr>
          <w:t>Resolución 1427</w:t>
        </w:r>
      </w:hyperlink>
      <w:r w:rsidRPr="00A32804">
        <w:rPr>
          <w:lang w:val="es-ES"/>
        </w:rPr>
        <w:t xml:space="preserve"> sobre las atribuciones de ahorros conseguidos en la ejecución del presupuesto de 2023 y el fondo de operaciones de las exposiciones. En dicha Resolución se resuelve atribuir el excedente presupuestario de 2023 a la aplicación de las decisiones de la CMR</w:t>
      </w:r>
      <w:r>
        <w:rPr>
          <w:lang w:val="es-ES"/>
        </w:rPr>
        <w:t> </w:t>
      </w:r>
      <w:r w:rsidRPr="00A32804">
        <w:rPr>
          <w:lang w:val="es-ES"/>
        </w:rPr>
        <w:t>23 (1 423</w:t>
      </w:r>
      <w:r>
        <w:rPr>
          <w:lang w:val="es-ES"/>
        </w:rPr>
        <w:t> </w:t>
      </w:r>
      <w:r w:rsidRPr="00A32804">
        <w:rPr>
          <w:lang w:val="es-ES"/>
        </w:rPr>
        <w:t>000</w:t>
      </w:r>
      <w:r>
        <w:rPr>
          <w:lang w:val="es-ES"/>
        </w:rPr>
        <w:t> </w:t>
      </w:r>
      <w:r w:rsidRPr="00A32804">
        <w:rPr>
          <w:lang w:val="es-ES"/>
        </w:rPr>
        <w:t>CHF).</w:t>
      </w:r>
    </w:p>
    <w:p w14:paraId="1A547EB3" w14:textId="77777777" w:rsidR="00B469E0" w:rsidRPr="00A32804" w:rsidRDefault="00B469E0" w:rsidP="00B469E0">
      <w:pPr>
        <w:rPr>
          <w:lang w:val="es-ES"/>
        </w:rPr>
      </w:pPr>
      <w:r w:rsidRPr="00A32804">
        <w:rPr>
          <w:lang w:val="es-ES"/>
        </w:rPr>
        <w:t>El país anfitrión de la CMR-23, los Emiratos Árabes Unidos, accedió generosamente a aportar el saldo positivo restante en virtud del Acuerdo de país anfitrión −por un total de 1,9 millones</w:t>
      </w:r>
      <w:r>
        <w:rPr>
          <w:lang w:val="es-ES"/>
        </w:rPr>
        <w:t> </w:t>
      </w:r>
      <w:r w:rsidRPr="00A32804">
        <w:rPr>
          <w:lang w:val="es-ES"/>
        </w:rPr>
        <w:t xml:space="preserve">CHF− con miras a facilitar la aplicación de las decisiones de la CMR-23, ayudando así a aliviar parte de la carga financiera de la Unión. Para obtener más información al respecto, véase el </w:t>
      </w:r>
      <w:hyperlink r:id="rId28" w:history="1">
        <w:r w:rsidRPr="00A32804">
          <w:rPr>
            <w:rStyle w:val="Hyperlink"/>
            <w:rFonts w:eastAsia="SimSun"/>
            <w:lang w:val="es-ES"/>
          </w:rPr>
          <w:t>Documento C24/109</w:t>
        </w:r>
      </w:hyperlink>
      <w:r w:rsidRPr="00A32804">
        <w:rPr>
          <w:lang w:val="es-ES"/>
        </w:rPr>
        <w:t>.</w:t>
      </w:r>
    </w:p>
    <w:p w14:paraId="368D4742" w14:textId="77777777" w:rsidR="00B469E0" w:rsidRPr="00A32804" w:rsidRDefault="00B469E0" w:rsidP="00B469E0">
      <w:pPr>
        <w:rPr>
          <w:lang w:val="es-ES"/>
        </w:rPr>
      </w:pPr>
      <w:r w:rsidRPr="00A32804">
        <w:rPr>
          <w:lang w:val="es-ES"/>
        </w:rPr>
        <w:t>En su reunión de 2024, el Consejo expresó su agradecimiento a los Emiratos Árabes Unidos por su extraordinaria contribución financiera para facilitar la aplicación de las decisiones de la CMR-23.</w:t>
      </w:r>
    </w:p>
    <w:p w14:paraId="64F38B96" w14:textId="77777777" w:rsidR="00B469E0" w:rsidRPr="00A32804" w:rsidRDefault="00B469E0" w:rsidP="00B469E0">
      <w:pPr>
        <w:pStyle w:val="Heading3"/>
        <w:rPr>
          <w:lang w:val="es-ES"/>
        </w:rPr>
      </w:pPr>
      <w:r w:rsidRPr="00A32804">
        <w:rPr>
          <w:lang w:val="es-ES"/>
        </w:rPr>
        <w:t>3.2.2</w:t>
      </w:r>
      <w:r w:rsidRPr="00A32804">
        <w:rPr>
          <w:lang w:val="es-ES"/>
        </w:rPr>
        <w:tab/>
        <w:t xml:space="preserve">Desarrollo de </w:t>
      </w:r>
      <w:r>
        <w:rPr>
          <w:i/>
          <w:iCs/>
          <w:lang w:val="es-ES"/>
        </w:rPr>
        <w:t>software</w:t>
      </w:r>
      <w:r w:rsidRPr="00A32804">
        <w:rPr>
          <w:lang w:val="es-ES"/>
        </w:rPr>
        <w:t xml:space="preserve"> para la aplicación de las decisiones de la CMR-23 </w:t>
      </w:r>
    </w:p>
    <w:p w14:paraId="6E3EE6CF" w14:textId="77777777" w:rsidR="00B469E0" w:rsidRPr="00A32804" w:rsidRDefault="00B469E0" w:rsidP="00B469E0">
      <w:pPr>
        <w:pStyle w:val="Heading4"/>
        <w:rPr>
          <w:rFonts w:eastAsia="Verdana"/>
          <w:lang w:val="es-ES"/>
        </w:rPr>
      </w:pPr>
      <w:r w:rsidRPr="00A32804">
        <w:rPr>
          <w:rFonts w:eastAsia="Verdana"/>
          <w:lang w:val="es-ES"/>
        </w:rPr>
        <w:t>3.2.2.</w:t>
      </w:r>
      <w:r w:rsidRPr="00A32804" w:rsidDel="00902FDE">
        <w:rPr>
          <w:rFonts w:eastAsia="Verdana"/>
          <w:lang w:val="es-ES"/>
        </w:rPr>
        <w:t>1</w:t>
      </w:r>
      <w:r>
        <w:rPr>
          <w:rFonts w:eastAsia="Verdana"/>
          <w:lang w:val="es-ES"/>
        </w:rPr>
        <w:tab/>
      </w:r>
      <w:r w:rsidRPr="00A32804">
        <w:rPr>
          <w:lang w:val="es-ES"/>
        </w:rPr>
        <w:t>Aplicación de las decisiones de la CMR-23 relativas a los servicios terrenales</w:t>
      </w:r>
    </w:p>
    <w:p w14:paraId="7E2993EC" w14:textId="77777777" w:rsidR="00B469E0" w:rsidRPr="00A32804" w:rsidRDefault="00B469E0" w:rsidP="00B469E0">
      <w:pPr>
        <w:pStyle w:val="enumlev1"/>
        <w:rPr>
          <w:lang w:val="es-ES"/>
        </w:rPr>
      </w:pPr>
      <w:r w:rsidRPr="00EA0EF0">
        <w:t>•</w:t>
      </w:r>
      <w:r w:rsidRPr="00EA0EF0">
        <w:tab/>
        <w:t>Finalización</w:t>
      </w:r>
      <w:r w:rsidRPr="00A32804">
        <w:rPr>
          <w:lang w:val="es-ES"/>
        </w:rPr>
        <w:t xml:space="preserve"> de la actualización del </w:t>
      </w:r>
      <w:r>
        <w:rPr>
          <w:i/>
          <w:iCs/>
          <w:lang w:val="es-ES"/>
        </w:rPr>
        <w:t>software</w:t>
      </w:r>
      <w:r w:rsidRPr="00A32804">
        <w:rPr>
          <w:lang w:val="es-ES"/>
        </w:rPr>
        <w:t xml:space="preserve"> utilizado para tramitar y publicar notificaciones terrenales, en los planos tanto interno (</w:t>
      </w:r>
      <w:r w:rsidRPr="00A32804">
        <w:rPr>
          <w:i/>
          <w:iCs/>
          <w:lang w:val="es-ES"/>
        </w:rPr>
        <w:t>TerRaSys</w:t>
      </w:r>
      <w:r w:rsidRPr="00A32804">
        <w:rPr>
          <w:lang w:val="es-ES"/>
        </w:rPr>
        <w:t xml:space="preserve">) como externo (BR IFIC (servicios terrenales)), de acuerdo con las decisiones de la CMR-23 y las Reglas de Procedimiento conexas. Ello incluye la modificación de las bases de datos terrenales, el </w:t>
      </w:r>
      <w:r>
        <w:rPr>
          <w:i/>
          <w:iCs/>
          <w:lang w:val="es-ES"/>
        </w:rPr>
        <w:t>software</w:t>
      </w:r>
      <w:r w:rsidRPr="00A32804">
        <w:rPr>
          <w:lang w:val="es-ES"/>
        </w:rPr>
        <w:t xml:space="preserve"> de validación y examen y los cuadros de referencia para las bandas de frecuencias compartidas con los servicios espaciales, a tenor del número </w:t>
      </w:r>
      <w:r w:rsidRPr="00A32804">
        <w:rPr>
          <w:b/>
          <w:bCs/>
          <w:lang w:val="es-ES"/>
        </w:rPr>
        <w:t xml:space="preserve">9.21 </w:t>
      </w:r>
      <w:r w:rsidRPr="00A32804">
        <w:rPr>
          <w:lang w:val="es-ES"/>
        </w:rPr>
        <w:t xml:space="preserve">del RR, identificadas para las IMT, etc. Se llevaron a cabo todos los cambios necesarios y se espera completar el proceso de integración en 2025 (véase la sección 7.1.1 </w:t>
      </w:r>
      <w:r w:rsidRPr="00A32804">
        <w:rPr>
          <w:i/>
          <w:iCs/>
          <w:lang w:val="es-ES"/>
        </w:rPr>
        <w:t>infra</w:t>
      </w:r>
      <w:r w:rsidRPr="00A32804">
        <w:rPr>
          <w:lang w:val="es-ES"/>
        </w:rPr>
        <w:t>).</w:t>
      </w:r>
    </w:p>
    <w:p w14:paraId="1C1CC756" w14:textId="77777777" w:rsidR="00B469E0" w:rsidRPr="00A32804" w:rsidRDefault="00B469E0" w:rsidP="00B469E0">
      <w:pPr>
        <w:pStyle w:val="enumlev1"/>
        <w:rPr>
          <w:color w:val="000000" w:themeColor="text1"/>
          <w:lang w:val="es-ES"/>
        </w:rPr>
      </w:pPr>
      <w:r w:rsidRPr="00EA0EF0">
        <w:t>•</w:t>
      </w:r>
      <w:r w:rsidRPr="00EA0EF0">
        <w:tab/>
        <w:t xml:space="preserve">Desarrollo de los módulos de </w:t>
      </w:r>
      <w:r>
        <w:rPr>
          <w:i/>
          <w:iCs/>
        </w:rPr>
        <w:t>software</w:t>
      </w:r>
      <w:r w:rsidRPr="00EA0EF0">
        <w:t xml:space="preserve"> necesarios para tramitar notificaciones de HIBS</w:t>
      </w:r>
      <w:r w:rsidRPr="00A32804">
        <w:rPr>
          <w:color w:val="000000" w:themeColor="text1"/>
          <w:lang w:val="es-ES"/>
        </w:rPr>
        <w:t xml:space="preserve"> (herramientas de validación, examen y publicación). Esta tarea comprende asimismo el desarrollo de módulos de cálculo a efectos de la verificación de las condiciones técnicas especificadas en las Resoluciones </w:t>
      </w:r>
      <w:r w:rsidRPr="00A32804">
        <w:rPr>
          <w:b/>
          <w:bCs/>
          <w:color w:val="000000" w:themeColor="text1"/>
          <w:lang w:val="es-ES"/>
        </w:rPr>
        <w:t xml:space="preserve">213 (CMR-23), 221 (Rev.CMR-23) </w:t>
      </w:r>
      <w:r w:rsidRPr="00A32804">
        <w:rPr>
          <w:color w:val="000000" w:themeColor="text1"/>
          <w:lang w:val="es-ES"/>
        </w:rPr>
        <w:t>y</w:t>
      </w:r>
      <w:r w:rsidRPr="00A32804">
        <w:rPr>
          <w:b/>
          <w:bCs/>
          <w:color w:val="000000" w:themeColor="text1"/>
          <w:lang w:val="es-ES"/>
        </w:rPr>
        <w:t xml:space="preserve"> 218 (CMR-23)</w:t>
      </w:r>
      <w:r w:rsidRPr="00A32804">
        <w:rPr>
          <w:color w:val="000000" w:themeColor="text1"/>
          <w:lang w:val="es-ES"/>
        </w:rPr>
        <w:t>, y la modificación de la base de datos y la estructura de las notificaciones.</w:t>
      </w:r>
    </w:p>
    <w:p w14:paraId="1717F8CC" w14:textId="77777777" w:rsidR="00B469E0" w:rsidRPr="00A32804" w:rsidRDefault="00B469E0" w:rsidP="00B469E0">
      <w:pPr>
        <w:pStyle w:val="Heading4"/>
        <w:rPr>
          <w:rFonts w:eastAsia="Verdana"/>
          <w:lang w:val="es-ES"/>
        </w:rPr>
      </w:pPr>
      <w:r w:rsidRPr="00A32804">
        <w:rPr>
          <w:rFonts w:eastAsia="Verdana"/>
          <w:lang w:val="es-ES"/>
        </w:rPr>
        <w:t>3.2.</w:t>
      </w:r>
      <w:r w:rsidRPr="00A32804" w:rsidDel="001379E6">
        <w:rPr>
          <w:rFonts w:eastAsia="Verdana"/>
          <w:lang w:val="es-ES"/>
        </w:rPr>
        <w:t>2</w:t>
      </w:r>
      <w:r w:rsidRPr="00A32804">
        <w:rPr>
          <w:rFonts w:eastAsia="Verdana"/>
          <w:lang w:val="es-ES"/>
        </w:rPr>
        <w:t>.2</w:t>
      </w:r>
      <w:r>
        <w:rPr>
          <w:rFonts w:eastAsia="Verdana"/>
          <w:lang w:val="es-ES"/>
        </w:rPr>
        <w:tab/>
      </w:r>
      <w:r w:rsidRPr="00A32804">
        <w:rPr>
          <w:rFonts w:eastAsia="Verdana"/>
          <w:lang w:val="es-ES"/>
        </w:rPr>
        <w:t>Aplicación de las decisiones de la CMR-23 relativas a los servicios espaciales</w:t>
      </w:r>
    </w:p>
    <w:p w14:paraId="0DB079B0" w14:textId="77777777" w:rsidR="00B469E0" w:rsidRPr="00A32804" w:rsidRDefault="00B469E0" w:rsidP="00B469E0">
      <w:pPr>
        <w:pStyle w:val="enumlev1"/>
        <w:rPr>
          <w:lang w:val="es-ES"/>
        </w:rPr>
      </w:pPr>
      <w:r w:rsidRPr="00EA0EF0">
        <w:t>•</w:t>
      </w:r>
      <w:r w:rsidRPr="00EA0EF0">
        <w:tab/>
      </w:r>
      <w:r w:rsidRPr="00A32804">
        <w:rPr>
          <w:lang w:val="es-ES"/>
        </w:rPr>
        <w:t xml:space="preserve">En 2024 se revisó y actualizó la mayoría de las aplicaciones de </w:t>
      </w:r>
      <w:r>
        <w:rPr>
          <w:i/>
          <w:iCs/>
          <w:lang w:val="es-ES"/>
        </w:rPr>
        <w:t>software</w:t>
      </w:r>
      <w:r w:rsidRPr="00A32804">
        <w:rPr>
          <w:lang w:val="es-ES"/>
        </w:rPr>
        <w:t xml:space="preserve"> utilizadas en el marco de los servicios espaciales de la BR para registrar, tramitar y publicar comunicaciones relativas a redes de satélites. El nuevo </w:t>
      </w:r>
      <w:r>
        <w:rPr>
          <w:i/>
          <w:iCs/>
          <w:lang w:val="es-ES"/>
        </w:rPr>
        <w:t>software</w:t>
      </w:r>
      <w:r w:rsidRPr="00A32804">
        <w:rPr>
          <w:lang w:val="es-ES"/>
        </w:rPr>
        <w:t xml:space="preserve"> y las nuevas bases de datos se presentaron en el SMR-24, incluidos los cambios introducidos en la estructura de la base de datos y los módulos de los cuadros de referencia, el registro de datos, la validación y el examen resultantes de las decisiones de la CMR-23 y las Reglas de Procedimiento conexas. El 10 de diciembre de 2024, se publicó el </w:t>
      </w:r>
      <w:r>
        <w:rPr>
          <w:i/>
          <w:iCs/>
          <w:lang w:val="es-ES"/>
        </w:rPr>
        <w:t>software</w:t>
      </w:r>
      <w:r w:rsidRPr="00A32804">
        <w:rPr>
          <w:lang w:val="es-ES"/>
        </w:rPr>
        <w:t xml:space="preserve"> administrativo externo en la IFIC 3036 </w:t>
      </w:r>
      <w:r w:rsidRPr="00A32804">
        <w:rPr>
          <w:lang w:val="es-ES"/>
        </w:rPr>
        <w:lastRenderedPageBreak/>
        <w:t xml:space="preserve">como BR Soft v10 y, el 7 de enero de 2025, se publicó el nuevo formato de base de datos v10 y el </w:t>
      </w:r>
      <w:r>
        <w:rPr>
          <w:i/>
          <w:iCs/>
          <w:lang w:val="es-ES"/>
        </w:rPr>
        <w:t>software</w:t>
      </w:r>
      <w:r w:rsidRPr="00A32804">
        <w:rPr>
          <w:lang w:val="es-ES"/>
        </w:rPr>
        <w:t xml:space="preserve"> de examen técnico externo v10 en la IFIC 3037.</w:t>
      </w:r>
    </w:p>
    <w:p w14:paraId="463904AB" w14:textId="77777777" w:rsidR="00B469E0" w:rsidRPr="00A32804" w:rsidRDefault="00B469E0" w:rsidP="00B469E0">
      <w:pPr>
        <w:pStyle w:val="Heading1"/>
        <w:rPr>
          <w:lang w:val="es-ES"/>
        </w:rPr>
      </w:pPr>
      <w:bookmarkStart w:id="11" w:name="_Toc446060768"/>
      <w:r w:rsidRPr="00A32804">
        <w:rPr>
          <w:lang w:val="es-ES"/>
        </w:rPr>
        <w:t>4</w:t>
      </w:r>
      <w:r w:rsidRPr="00A32804">
        <w:rPr>
          <w:lang w:val="es-ES"/>
        </w:rPr>
        <w:tab/>
        <w:t>Orden del día de la CMR-27 y preparativos conexos</w:t>
      </w:r>
    </w:p>
    <w:p w14:paraId="1474E2A6" w14:textId="77777777" w:rsidR="00B469E0" w:rsidRPr="00A32804" w:rsidRDefault="00B469E0" w:rsidP="00B469E0">
      <w:pPr>
        <w:rPr>
          <w:lang w:val="es-ES"/>
        </w:rPr>
      </w:pPr>
      <w:r w:rsidRPr="00A32804">
        <w:rPr>
          <w:lang w:val="es-ES"/>
        </w:rPr>
        <w:t xml:space="preserve">El orden del día de la Conferencia Mundial de Radiocomunicaciones de 2027 (CMR-27), que figura en la Resolución </w:t>
      </w:r>
      <w:r w:rsidRPr="00A32804">
        <w:rPr>
          <w:b/>
          <w:bCs/>
          <w:lang w:val="es-ES"/>
        </w:rPr>
        <w:t xml:space="preserve">813 </w:t>
      </w:r>
      <w:r w:rsidRPr="00A32804">
        <w:rPr>
          <w:b/>
          <w:lang w:val="es-ES"/>
        </w:rPr>
        <w:t>(</w:t>
      </w:r>
      <w:r w:rsidRPr="00A32804">
        <w:rPr>
          <w:b/>
          <w:bCs/>
          <w:lang w:val="es-ES"/>
        </w:rPr>
        <w:t>CMR-23</w:t>
      </w:r>
      <w:r w:rsidRPr="00A32804">
        <w:rPr>
          <w:b/>
          <w:lang w:val="es-ES"/>
        </w:rPr>
        <w:t>)</w:t>
      </w:r>
      <w:r w:rsidRPr="00A32804">
        <w:rPr>
          <w:lang w:val="es-ES"/>
        </w:rPr>
        <w:t>, fue objeto de examen en la reunión de 2024 del Consejo (Ginebra,</w:t>
      </w:r>
      <w:r>
        <w:rPr>
          <w:lang w:val="es-ES"/>
        </w:rPr>
        <w:t> </w:t>
      </w:r>
      <w:r w:rsidRPr="00A32804">
        <w:rPr>
          <w:lang w:val="es-ES"/>
        </w:rPr>
        <w:t xml:space="preserve">4-14 de junio de 2024). </w:t>
      </w:r>
      <w:r w:rsidRPr="00A32804">
        <w:rPr>
          <w:rFonts w:eastAsia="Arial Unicode MS"/>
          <w:szCs w:val="24"/>
          <w:lang w:val="es-ES"/>
        </w:rPr>
        <w:t xml:space="preserve">El Consejo adoptó la </w:t>
      </w:r>
      <w:hyperlink r:id="rId29" w:history="1">
        <w:r w:rsidRPr="00A32804">
          <w:rPr>
            <w:rStyle w:val="Hyperlink"/>
            <w:rFonts w:eastAsia="Arial Unicode MS"/>
            <w:szCs w:val="24"/>
            <w:lang w:val="es-ES"/>
          </w:rPr>
          <w:t xml:space="preserve">Resolución </w:t>
        </w:r>
        <w:r w:rsidRPr="00A32804">
          <w:rPr>
            <w:rStyle w:val="Hyperlink"/>
            <w:rFonts w:eastAsia="SimSun"/>
            <w:lang w:val="es-ES"/>
          </w:rPr>
          <w:t>1422 (C24)</w:t>
        </w:r>
      </w:hyperlink>
      <w:r w:rsidRPr="00A32804">
        <w:rPr>
          <w:rFonts w:eastAsia="Arial Unicode MS"/>
          <w:szCs w:val="24"/>
          <w:lang w:val="es-ES"/>
        </w:rPr>
        <w:t xml:space="preserve">, la cual contiene un orden del día de la CMR-27 con los mismos puntos específicos y permanentes que el orden del día incluido en la </w:t>
      </w:r>
      <w:r w:rsidRPr="00A32804">
        <w:rPr>
          <w:lang w:val="es-ES"/>
        </w:rPr>
        <w:t xml:space="preserve">Resolución </w:t>
      </w:r>
      <w:r w:rsidRPr="00A32804">
        <w:rPr>
          <w:b/>
          <w:bCs/>
          <w:lang w:val="es-ES"/>
        </w:rPr>
        <w:t>813 (CMR-23)</w:t>
      </w:r>
      <w:r w:rsidRPr="00A32804">
        <w:rPr>
          <w:rFonts w:eastAsia="Arial Unicode MS"/>
          <w:szCs w:val="24"/>
          <w:lang w:val="es-ES"/>
        </w:rPr>
        <w:t>. El 31 de agosto de 2024, los Estados Miembros de la</w:t>
      </w:r>
      <w:r>
        <w:rPr>
          <w:rFonts w:eastAsia="Arial Unicode MS"/>
          <w:szCs w:val="24"/>
          <w:lang w:val="es-ES"/>
        </w:rPr>
        <w:t> </w:t>
      </w:r>
      <w:r w:rsidRPr="00A32804">
        <w:rPr>
          <w:rFonts w:eastAsia="Arial Unicode MS"/>
          <w:szCs w:val="24"/>
          <w:lang w:val="es-ES"/>
        </w:rPr>
        <w:t xml:space="preserve">UIT aprobaron dicho orden del día (véanse los Documentos </w:t>
      </w:r>
      <w:hyperlink r:id="rId30" w:history="1">
        <w:r w:rsidRPr="00A32804">
          <w:rPr>
            <w:rStyle w:val="Hyperlink"/>
            <w:rFonts w:eastAsia="Arial Unicode MS"/>
            <w:lang w:val="es-ES"/>
          </w:rPr>
          <w:t xml:space="preserve">CL-24/38 </w:t>
        </w:r>
      </w:hyperlink>
      <w:r w:rsidRPr="00A32804">
        <w:rPr>
          <w:rFonts w:eastAsia="Arial Unicode MS"/>
          <w:lang w:val="es-ES"/>
        </w:rPr>
        <w:t xml:space="preserve">y </w:t>
      </w:r>
      <w:hyperlink r:id="rId31" w:history="1">
        <w:r w:rsidRPr="00A32804">
          <w:rPr>
            <w:rStyle w:val="Hyperlink"/>
            <w:rFonts w:eastAsia="Arial Unicode MS"/>
            <w:lang w:val="es-ES"/>
          </w:rPr>
          <w:t>CL-24/49</w:t>
        </w:r>
      </w:hyperlink>
      <w:r w:rsidRPr="00A32804">
        <w:rPr>
          <w:rFonts w:eastAsia="Arial Unicode MS"/>
          <w:lang w:val="es-ES"/>
        </w:rPr>
        <w:t>).</w:t>
      </w:r>
    </w:p>
    <w:p w14:paraId="6327BB91" w14:textId="77777777" w:rsidR="00B469E0" w:rsidRPr="00A32804" w:rsidRDefault="00B469E0" w:rsidP="00B469E0">
      <w:pPr>
        <w:rPr>
          <w:lang w:val="es-ES"/>
        </w:rPr>
      </w:pPr>
      <w:r w:rsidRPr="00A32804">
        <w:rPr>
          <w:lang w:val="es-ES"/>
        </w:rPr>
        <w:t>Se invitó al Consejo a que, en su reunión de 2024, tomase nota del interés expresado por acoger la</w:t>
      </w:r>
      <w:r>
        <w:rPr>
          <w:lang w:val="es-ES"/>
        </w:rPr>
        <w:t> </w:t>
      </w:r>
      <w:r w:rsidRPr="00A32804">
        <w:rPr>
          <w:lang w:val="es-ES"/>
        </w:rPr>
        <w:t xml:space="preserve">AR-27, la CMR-27 y la RPC31-1 en la ciudad de Kigali por la Administración de Rwanda y en la ciudad de Shanghái por la Administración de China (véase el Documento </w:t>
      </w:r>
      <w:hyperlink r:id="rId32" w:tgtFrame="_blank" w:history="1">
        <w:r w:rsidRPr="00A32804">
          <w:rPr>
            <w:rStyle w:val="Hyperlink"/>
            <w:rFonts w:eastAsia="Arial Unicode MS"/>
            <w:lang w:val="es-ES"/>
          </w:rPr>
          <w:t>C24/64(Rev.1)</w:t>
        </w:r>
      </w:hyperlink>
      <w:r w:rsidRPr="00A32804">
        <w:rPr>
          <w:lang w:val="es-ES"/>
        </w:rPr>
        <w:t>).</w:t>
      </w:r>
    </w:p>
    <w:p w14:paraId="06538B89" w14:textId="77777777" w:rsidR="00B469E0" w:rsidRPr="00A32804" w:rsidRDefault="00B469E0" w:rsidP="00B469E0">
      <w:pPr>
        <w:rPr>
          <w:rStyle w:val="normaltextrun"/>
          <w:lang w:val="es-ES"/>
        </w:rPr>
      </w:pPr>
      <w:r w:rsidRPr="00A32804">
        <w:rPr>
          <w:lang w:val="es-ES"/>
        </w:rPr>
        <w:t xml:space="preserve">Habida cuenta de lo anterior, la BR ha transmitido a ambas Administraciones los requisitos preliminares de la UIT para la organización de dichos eventos. Se realizaron visitas a las instalaciones de ambas ciudades; la BR informará al respecto al Consejo en su próxima reunión. Convendría solicitar al Consejo </w:t>
      </w:r>
      <w:r w:rsidRPr="00A32804">
        <w:rPr>
          <w:rStyle w:val="normaltextrun"/>
          <w:lang w:val="es-ES"/>
        </w:rPr>
        <w:t xml:space="preserve">que adoptase un nuevo Acuerdo, en el que figurasen la fecha exacta y el lugar de celebración preciso de </w:t>
      </w:r>
      <w:r w:rsidRPr="00A32804">
        <w:rPr>
          <w:color w:val="000000"/>
          <w:lang w:val="es-ES"/>
        </w:rPr>
        <w:t>la AR-27, la CMR-27 y la RPC31-1</w:t>
      </w:r>
      <w:r w:rsidRPr="00A32804">
        <w:rPr>
          <w:rStyle w:val="normaltextrun"/>
          <w:lang w:val="es-ES"/>
        </w:rPr>
        <w:t>. De conformidad con las disposiciones aplicables de los números 47 y 118 del Convenio de la UIT, este nuevo Acuerdo del Consejo debería estar sujeto a la aprobación de la mayoría de los Estados Miembros de la UIT.</w:t>
      </w:r>
    </w:p>
    <w:p w14:paraId="4E1CC2C9" w14:textId="77777777" w:rsidR="00B469E0" w:rsidRPr="00A32804" w:rsidRDefault="00B469E0" w:rsidP="00B469E0">
      <w:pPr>
        <w:rPr>
          <w:lang w:val="es-ES"/>
        </w:rPr>
      </w:pPr>
      <w:bookmarkStart w:id="12" w:name="_Hlk67921078"/>
      <w:r w:rsidRPr="00A32804">
        <w:rPr>
          <w:lang w:val="es-ES"/>
        </w:rPr>
        <w:t>Tras la reunión de 2024 del Consejo, la Comisión de Dirección de la RPC-27 celebró dos reuniones híbridas. También fueron invitados a estas reuniones los demás miembros del Equipo de Gestión de la RPC-27 (es decir, los Presidentes de las Comisiones de Estudio del UIT-R y de los Grupos de Trabajo (GT) responsables).</w:t>
      </w:r>
    </w:p>
    <w:p w14:paraId="406985D1" w14:textId="77777777" w:rsidR="00B469E0" w:rsidRPr="00A32804" w:rsidRDefault="00B469E0" w:rsidP="00B469E0">
      <w:pPr>
        <w:rPr>
          <w:lang w:val="es-ES"/>
        </w:rPr>
      </w:pPr>
      <w:r w:rsidRPr="00A32804">
        <w:rPr>
          <w:lang w:val="es-ES"/>
        </w:rPr>
        <w:t>La primera reunión de la Comisión de Dirección de la RPC-27 tuvo lugar el 24 de junio de 2024 y su objetivo principal fue examinar la preparación del proyecto de Informe de la RPC a la CMR-27. En dicha ocasión se llegó a las siguientes conclusiones:</w:t>
      </w:r>
    </w:p>
    <w:p w14:paraId="2B3F72E0" w14:textId="77777777" w:rsidR="00B469E0" w:rsidRPr="00A32804" w:rsidRDefault="00B469E0" w:rsidP="00B469E0">
      <w:pPr>
        <w:pStyle w:val="enumlev1"/>
        <w:rPr>
          <w:lang w:val="es-ES"/>
        </w:rPr>
      </w:pPr>
      <w:r w:rsidRPr="00EA0EF0">
        <w:rPr>
          <w:lang w:val="es-ES"/>
        </w:rPr>
        <w:t>–</w:t>
      </w:r>
      <w:r w:rsidRPr="00A32804">
        <w:rPr>
          <w:lang w:val="es-ES"/>
        </w:rPr>
        <w:tab/>
        <w:t xml:space="preserve">los proyectos de textos definitivos de la RPC procedentes de los GT responsables debían obrar en poder de los respectivos Relatores de Capítulo de la RPC, con copia al Presidente de la RPC y a la BR, a más tardar el </w:t>
      </w:r>
      <w:r w:rsidRPr="00A32804">
        <w:rPr>
          <w:b/>
          <w:bCs/>
          <w:lang w:val="es-ES"/>
        </w:rPr>
        <w:t>23 de octubre de 2026</w:t>
      </w:r>
      <w:r w:rsidRPr="00A32804">
        <w:rPr>
          <w:lang w:val="es-ES"/>
        </w:rPr>
        <w:t>*;</w:t>
      </w:r>
    </w:p>
    <w:p w14:paraId="3C26CDF2" w14:textId="77777777" w:rsidR="00B469E0" w:rsidRPr="00A32804" w:rsidRDefault="00B469E0" w:rsidP="00B469E0">
      <w:pPr>
        <w:pStyle w:val="enumlev1"/>
        <w:rPr>
          <w:lang w:val="es-ES"/>
        </w:rPr>
      </w:pPr>
      <w:r w:rsidRPr="00EA0EF0">
        <w:rPr>
          <w:lang w:val="es-ES"/>
        </w:rPr>
        <w:t>–</w:t>
      </w:r>
      <w:r w:rsidRPr="00A32804">
        <w:rPr>
          <w:lang w:val="es-ES"/>
        </w:rPr>
        <w:tab/>
        <w:t>la reunión del Equipo de Gestión de la RPC-27 se celebraría los días 11 y 12 de noviembre de 2026</w:t>
      </w:r>
      <w:r w:rsidRPr="00A32804">
        <w:rPr>
          <w:position w:val="6"/>
          <w:sz w:val="18"/>
          <w:lang w:val="es-ES"/>
        </w:rPr>
        <w:t>*</w:t>
      </w:r>
      <w:r w:rsidRPr="00A32804">
        <w:rPr>
          <w:lang w:val="es-ES"/>
        </w:rPr>
        <w:t>;</w:t>
      </w:r>
    </w:p>
    <w:p w14:paraId="37B79D33" w14:textId="77777777" w:rsidR="00B469E0" w:rsidRPr="00A32804" w:rsidRDefault="00B469E0" w:rsidP="00B469E0">
      <w:pPr>
        <w:pStyle w:val="enumlev1"/>
        <w:rPr>
          <w:lang w:val="es-ES"/>
        </w:rPr>
      </w:pPr>
      <w:r w:rsidRPr="00EA0EF0">
        <w:rPr>
          <w:lang w:val="es-ES"/>
        </w:rPr>
        <w:t>–</w:t>
      </w:r>
      <w:r w:rsidRPr="00A32804">
        <w:rPr>
          <w:lang w:val="es-ES"/>
        </w:rPr>
        <w:tab/>
      </w:r>
      <w:r>
        <w:rPr>
          <w:lang w:val="es-ES"/>
        </w:rPr>
        <w:t>s</w:t>
      </w:r>
      <w:r w:rsidRPr="00A32804">
        <w:rPr>
          <w:lang w:val="es-ES"/>
        </w:rPr>
        <w:t>e recordó que, si bien el plazo general para la presentación de los criterios, características y metodologías atinentes a los estudios preparatorios de la CMR-27 por los GT contribuyentes a los GT responsables expiraba el 31 de diciembre de 2024, la Comisión de Dirección de la RPC-27 podía prorrogarlo hasta el 1 de julio de 2025 basándose en la información proporcionada por un GT contribuyente.</w:t>
      </w:r>
    </w:p>
    <w:p w14:paraId="1A1670AA" w14:textId="77777777" w:rsidR="00B469E0" w:rsidRPr="00A32804" w:rsidRDefault="00B469E0" w:rsidP="00B469E0">
      <w:pPr>
        <w:rPr>
          <w:lang w:val="es-ES"/>
        </w:rPr>
      </w:pPr>
      <w:r w:rsidRPr="00A32804">
        <w:rPr>
          <w:lang w:val="es-ES"/>
        </w:rPr>
        <w:t>En la segunda reunión de la Comisión de Dirección de la RPC-27, celebrada el 3 de diciembre de</w:t>
      </w:r>
      <w:r>
        <w:rPr>
          <w:lang w:val="es-ES"/>
        </w:rPr>
        <w:t> </w:t>
      </w:r>
      <w:r w:rsidRPr="00A32804">
        <w:rPr>
          <w:lang w:val="es-ES"/>
        </w:rPr>
        <w:t>2024, se examinaron los avances logrados tras los bloques de reuniones de los GT, que tuvieron lugar entre septiembre y noviembre de 2024, y la fecha límite general del 31 de diciembre de 2024. Considerando las solicitudes y la información presentadas por diversos GT, se decidió prorrogar el plazo para la presentación de los criterios, características y metodologías atinentes a los estudios preparatorios de la CMR-27 hasta el 1 de julio de 2025.</w:t>
      </w:r>
    </w:p>
    <w:p w14:paraId="69ECFA01" w14:textId="77777777" w:rsidR="00B469E0" w:rsidRPr="00A32804" w:rsidRDefault="00B469E0" w:rsidP="00B469E0">
      <w:pPr>
        <w:rPr>
          <w:lang w:val="es-ES"/>
        </w:rPr>
      </w:pPr>
      <w:r w:rsidRPr="00A32804">
        <w:rPr>
          <w:lang w:val="es-ES"/>
        </w:rPr>
        <w:lastRenderedPageBreak/>
        <w:t>En ambas reuniones, la Comisión de Dirección de la RPC-27 modificó las listas de GT contribuyentes a los estudios preparatorios de la CMR-27 de acuerdo con la información proporcionada por los propios Grupos.</w:t>
      </w:r>
    </w:p>
    <w:p w14:paraId="433FE6CF" w14:textId="77777777" w:rsidR="00B469E0" w:rsidRPr="00A32804" w:rsidRDefault="00B469E0" w:rsidP="00B469E0">
      <w:pPr>
        <w:rPr>
          <w:lang w:val="es-ES"/>
        </w:rPr>
      </w:pPr>
      <w:r w:rsidRPr="00A32804">
        <w:rPr>
          <w:lang w:val="es-ES"/>
        </w:rPr>
        <w:t xml:space="preserve">Las conclusiones de </w:t>
      </w:r>
      <w:r w:rsidRPr="00A32804">
        <w:rPr>
          <w:szCs w:val="24"/>
          <w:lang w:val="es-ES"/>
        </w:rPr>
        <w:t>ambas reuniones</w:t>
      </w:r>
      <w:r w:rsidRPr="00A32804">
        <w:rPr>
          <w:lang w:val="es-ES"/>
        </w:rPr>
        <w:t xml:space="preserve">, acompañadas de otra información útil para la preparación del proyecto de Informe de la RPC, se publicaron el 15 de julio de 2024 en el Addéndum 1 a la </w:t>
      </w:r>
      <w:hyperlink r:id="rId33" w:history="1">
        <w:r w:rsidRPr="00A32804">
          <w:rPr>
            <w:rStyle w:val="Hyperlink"/>
            <w:rFonts w:eastAsia="SimSun"/>
            <w:szCs w:val="24"/>
            <w:lang w:val="es-ES"/>
          </w:rPr>
          <w:t>Circular Administrativa CA/270</w:t>
        </w:r>
      </w:hyperlink>
      <w:r w:rsidRPr="00A32804">
        <w:rPr>
          <w:lang w:val="es-ES"/>
        </w:rPr>
        <w:t xml:space="preserve"> y el 12 de diciembre de 2024 en el Corrigéndum 1 a esta última. El 15 de julio de 2024, el Presidente de la RPC-27 proporcionó referencias y directrices útiles a los GT interesados.</w:t>
      </w:r>
    </w:p>
    <w:bookmarkEnd w:id="12"/>
    <w:p w14:paraId="05866300" w14:textId="77777777" w:rsidR="00B469E0" w:rsidRPr="00A32804" w:rsidRDefault="00B469E0" w:rsidP="00B469E0">
      <w:pPr>
        <w:rPr>
          <w:lang w:val="es-ES"/>
        </w:rPr>
      </w:pPr>
      <w:r w:rsidRPr="00A32804">
        <w:rPr>
          <w:lang w:val="es-ES"/>
        </w:rPr>
        <w:t xml:space="preserve">En la siguiente página web de la UIT se ha publicado información detallada acerca de los estudios preparatorios del UIT-R sobre los puntos del orden del día de la CMR-27, que se actualiza periódicamente: </w:t>
      </w:r>
      <w:hyperlink r:id="rId34" w:history="1">
        <w:r w:rsidRPr="00A32804">
          <w:rPr>
            <w:rStyle w:val="Hyperlink"/>
            <w:rFonts w:eastAsia="SimSun"/>
            <w:szCs w:val="24"/>
            <w:lang w:val="es-ES"/>
          </w:rPr>
          <w:t>www.itu.int/go/rcpm-wrc-27-studies</w:t>
        </w:r>
      </w:hyperlink>
      <w:r w:rsidRPr="00A32804">
        <w:rPr>
          <w:lang w:val="es-ES"/>
        </w:rPr>
        <w:t xml:space="preserve">. En esta página web se ha incluido también un enlace a los </w:t>
      </w:r>
      <w:hyperlink r:id="rId35" w:history="1">
        <w:r w:rsidRPr="00A32804">
          <w:rPr>
            <w:rStyle w:val="Hyperlink"/>
            <w:rFonts w:eastAsia="SimSun"/>
            <w:szCs w:val="24"/>
            <w:lang w:val="es-ES"/>
          </w:rPr>
          <w:t>estudios sobre los puntos del orden del día preliminar de la CMR-31</w:t>
        </w:r>
      </w:hyperlink>
      <w:r w:rsidRPr="00A32804">
        <w:rPr>
          <w:lang w:val="es-ES"/>
        </w:rPr>
        <w:t>.</w:t>
      </w:r>
    </w:p>
    <w:p w14:paraId="0F90BBA3" w14:textId="77777777" w:rsidR="00B469E0" w:rsidRPr="00A32804" w:rsidRDefault="00B469E0" w:rsidP="00B469E0">
      <w:pPr>
        <w:rPr>
          <w:lang w:val="es-ES"/>
        </w:rPr>
      </w:pPr>
      <w:r w:rsidRPr="00A32804">
        <w:rPr>
          <w:lang w:val="es-ES"/>
        </w:rPr>
        <w:t xml:space="preserve">A finales de enero de 2025, la UIT presentó una versión preliminar de la </w:t>
      </w:r>
      <w:hyperlink r:id="rId36" w:history="1">
        <w:r w:rsidRPr="00A32804">
          <w:rPr>
            <w:rStyle w:val="Hyperlink"/>
            <w:rFonts w:eastAsia="SimSun"/>
            <w:lang w:val="es-ES"/>
          </w:rPr>
          <w:t>interfaz de propuestas a la Conferencia (CPI) para la CMR-27</w:t>
        </w:r>
      </w:hyperlink>
      <w:r w:rsidRPr="00A32804">
        <w:rPr>
          <w:lang w:val="es-ES"/>
        </w:rPr>
        <w:t>, con miras a facilitar la preparación de los documentos y contribuciones que contuviesen textos extraídos de la edición 2024 del Reglamento de Radiocomunicaciones en una plantilla correcta. La BR ha informado en consecuencia a los GR encargados de la preparación de los proyectos de textos de la RPC.</w:t>
      </w:r>
    </w:p>
    <w:p w14:paraId="3E7B1E60" w14:textId="77777777" w:rsidR="00B469E0" w:rsidRPr="00A32804" w:rsidRDefault="00B469E0" w:rsidP="00B469E0">
      <w:pPr>
        <w:rPr>
          <w:lang w:val="es-ES"/>
        </w:rPr>
      </w:pPr>
      <w:r w:rsidRPr="00A32804">
        <w:rPr>
          <w:lang w:val="es-ES"/>
        </w:rPr>
        <w:t xml:space="preserve">Conforme a lo dispuesto en la Resolución 80 (Rev. Marrakech, 2002) y la Resolución </w:t>
      </w:r>
      <w:r w:rsidRPr="00A32804">
        <w:rPr>
          <w:b/>
          <w:bCs/>
          <w:lang w:val="es-ES"/>
        </w:rPr>
        <w:t>72 (Rev.CMR-19)</w:t>
      </w:r>
      <w:r w:rsidRPr="00A32804">
        <w:rPr>
          <w:lang w:val="es-ES"/>
        </w:rPr>
        <w:t xml:space="preserve"> de la PP, los preparativos para la CMR-27 prosiguieron también a escala regional, con la participación activa de la BR en algunas reuniones de grupos regionales, véanse la APT, el</w:t>
      </w:r>
      <w:r>
        <w:rPr>
          <w:lang w:val="es-ES"/>
        </w:rPr>
        <w:t> </w:t>
      </w:r>
      <w:r w:rsidRPr="00A32804">
        <w:rPr>
          <w:lang w:val="es-ES"/>
        </w:rPr>
        <w:t xml:space="preserve">ASMG, la UAT, la CEPT, la CITEL y la CRC, siempre que fue posible. Puede encontrarse información actualizada sobre los preparativos de la CMR-27 por parte de los grupos regionales en la siguiente dirección: </w:t>
      </w:r>
      <w:hyperlink r:id="rId37" w:history="1">
        <w:r w:rsidRPr="00A32804">
          <w:rPr>
            <w:rStyle w:val="Hyperlink"/>
            <w:rFonts w:eastAsia="SimSun"/>
            <w:szCs w:val="24"/>
            <w:lang w:val="es-ES"/>
          </w:rPr>
          <w:t>www.itu.int/en/ITU-R/conferences/wrc/2027/Pages/reg-prep.aspx</w:t>
        </w:r>
      </w:hyperlink>
      <w:r w:rsidRPr="00A32804">
        <w:rPr>
          <w:lang w:val="es-ES"/>
        </w:rPr>
        <w:t>.</w:t>
      </w:r>
    </w:p>
    <w:p w14:paraId="144931A1" w14:textId="77777777" w:rsidR="00B469E0" w:rsidRPr="00A32804" w:rsidRDefault="00B469E0" w:rsidP="00B469E0">
      <w:pPr>
        <w:rPr>
          <w:lang w:val="es-ES"/>
        </w:rPr>
      </w:pPr>
      <w:r w:rsidRPr="00A32804">
        <w:rPr>
          <w:lang w:val="es-ES"/>
        </w:rPr>
        <w:t>La Oficina ha previsto organizar tres talleres interregionales de la UIT sobre los preparativos de la</w:t>
      </w:r>
      <w:r>
        <w:rPr>
          <w:lang w:val="es-ES"/>
        </w:rPr>
        <w:t> </w:t>
      </w:r>
      <w:r w:rsidRPr="00A32804">
        <w:rPr>
          <w:lang w:val="es-ES"/>
        </w:rPr>
        <w:t>CMR-27. El primero se celebrará en Ginebra del 3 al 5 de diciembre de 2025, a mediados del ciclo preparatorio, con el objetivo de examinar los avances logrados en el marco de los estudios del</w:t>
      </w:r>
      <w:r>
        <w:rPr>
          <w:lang w:val="es-ES"/>
        </w:rPr>
        <w:t> </w:t>
      </w:r>
      <w:r w:rsidRPr="00A32804">
        <w:rPr>
          <w:lang w:val="es-ES"/>
        </w:rPr>
        <w:t>UIT-R relacionados con los puntos del orden del día de la CMR-27. Este taller debería brindar asimismo la oportunidad de intercambiar información y ahondar en los anteproyectos de propuestas comunes, posiciones y/o puntos de vista sobre los temas de la CMR-27 que hayan elaborado las entidades interesadas, incluidos los principales grupos regionales, las organizaciones internacionales y otras partes interesadas. A su debido tiempo, se facilitará más información acerca de los talleres interregionales de la UIT sobre los preparativos de la CMR-27 en una página web específica.</w:t>
      </w:r>
    </w:p>
    <w:p w14:paraId="57019E6A" w14:textId="77777777" w:rsidR="00B469E0" w:rsidRPr="00A32804" w:rsidRDefault="00B469E0" w:rsidP="00B469E0">
      <w:pPr>
        <w:rPr>
          <w:highlight w:val="yellow"/>
          <w:lang w:val="es-ES"/>
        </w:rPr>
      </w:pPr>
      <w:r w:rsidRPr="00A32804">
        <w:rPr>
          <w:lang w:val="es-ES"/>
        </w:rPr>
        <w:t xml:space="preserve">La información antes mencionada se ha publicado, o se publicará una vez disponible, en el </w:t>
      </w:r>
      <w:hyperlink r:id="rId38" w:history="1">
        <w:r w:rsidRPr="00A32804">
          <w:rPr>
            <w:rStyle w:val="Hyperlink"/>
            <w:rFonts w:eastAsia="SimSun"/>
            <w:lang w:val="es-ES"/>
          </w:rPr>
          <w:t>sitio web de la RPC</w:t>
        </w:r>
      </w:hyperlink>
      <w:r w:rsidRPr="00A32804">
        <w:rPr>
          <w:lang w:val="es-ES"/>
        </w:rPr>
        <w:t>.</w:t>
      </w:r>
    </w:p>
    <w:p w14:paraId="742739CC" w14:textId="77777777" w:rsidR="00B469E0" w:rsidRPr="00A32804" w:rsidRDefault="00B469E0" w:rsidP="00B469E0">
      <w:pPr>
        <w:pStyle w:val="Heading1"/>
        <w:rPr>
          <w:lang w:val="es-ES"/>
        </w:rPr>
      </w:pPr>
      <w:r w:rsidRPr="00A32804">
        <w:rPr>
          <w:lang w:val="es-ES"/>
        </w:rPr>
        <w:t>5</w:t>
      </w:r>
      <w:r w:rsidRPr="00A32804">
        <w:rPr>
          <w:lang w:val="es-ES"/>
        </w:rPr>
        <w:tab/>
        <w:t>Actividades de las Comisiones de Estudio</w:t>
      </w:r>
    </w:p>
    <w:p w14:paraId="1FE13987" w14:textId="77777777" w:rsidR="00B469E0" w:rsidRPr="00A32804" w:rsidRDefault="00B469E0" w:rsidP="00B469E0">
      <w:pPr>
        <w:rPr>
          <w:rFonts w:eastAsia="SimSun"/>
          <w:lang w:val="es-ES"/>
        </w:rPr>
      </w:pPr>
      <w:r w:rsidRPr="00A32804">
        <w:rPr>
          <w:rFonts w:eastAsia="SimSun"/>
          <w:lang w:val="es-ES"/>
        </w:rPr>
        <w:t>Este tema se aborda en el Anexo 1 al presente documento.</w:t>
      </w:r>
    </w:p>
    <w:bookmarkEnd w:id="11"/>
    <w:p w14:paraId="1E68B19C" w14:textId="77777777" w:rsidR="00B469E0" w:rsidRPr="00A32804" w:rsidRDefault="00B469E0" w:rsidP="00B469E0">
      <w:pPr>
        <w:pStyle w:val="Heading1"/>
        <w:numPr>
          <w:ilvl w:val="0"/>
          <w:numId w:val="1"/>
        </w:numPr>
        <w:ind w:left="792" w:hanging="792"/>
        <w:rPr>
          <w:szCs w:val="24"/>
          <w:lang w:val="es-ES"/>
        </w:rPr>
      </w:pPr>
      <w:r w:rsidRPr="00A32804">
        <w:rPr>
          <w:szCs w:val="24"/>
          <w:lang w:val="es-ES"/>
        </w:rPr>
        <w:t>Plan Operacional</w:t>
      </w:r>
    </w:p>
    <w:p w14:paraId="31725EAD" w14:textId="77777777" w:rsidR="00B469E0" w:rsidRPr="00A32804" w:rsidRDefault="00B469E0" w:rsidP="00B469E0">
      <w:pPr>
        <w:rPr>
          <w:rFonts w:eastAsia="SimSun"/>
          <w:lang w:val="es-ES"/>
        </w:rPr>
      </w:pPr>
      <w:r w:rsidRPr="00A32804">
        <w:rPr>
          <w:rFonts w:eastAsia="SimSun"/>
          <w:lang w:val="es-ES"/>
        </w:rPr>
        <w:t xml:space="preserve">En su reunión de 2024, el Consejo aprobó el Plan Operacional cuatrienal renovable de la Unión para 2025-2028 (véase el </w:t>
      </w:r>
      <w:hyperlink r:id="rId39" w:history="1">
        <w:r w:rsidRPr="00A32804">
          <w:rPr>
            <w:rStyle w:val="Hyperlink"/>
            <w:rFonts w:eastAsia="SimSun"/>
            <w:lang w:val="es-ES"/>
          </w:rPr>
          <w:t>Documento C24/28</w:t>
        </w:r>
      </w:hyperlink>
      <w:r w:rsidRPr="00A32804">
        <w:rPr>
          <w:rFonts w:eastAsia="SimSun"/>
          <w:lang w:val="es-ES"/>
        </w:rPr>
        <w:t xml:space="preserve">) y adoptó la </w:t>
      </w:r>
      <w:hyperlink r:id="rId40" w:history="1">
        <w:r w:rsidRPr="00A32804">
          <w:rPr>
            <w:rStyle w:val="Hyperlink"/>
            <w:rFonts w:eastAsia="SimSun"/>
            <w:lang w:val="es-ES"/>
          </w:rPr>
          <w:t>Resolución 1421</w:t>
        </w:r>
      </w:hyperlink>
      <w:r w:rsidRPr="00A32804">
        <w:rPr>
          <w:rFonts w:eastAsia="SimSun"/>
          <w:lang w:val="es-ES"/>
        </w:rPr>
        <w:t>.</w:t>
      </w:r>
    </w:p>
    <w:p w14:paraId="0BA6E4BF" w14:textId="77777777" w:rsidR="00B469E0" w:rsidRPr="00A32804" w:rsidRDefault="00B469E0" w:rsidP="00B469E0">
      <w:pPr>
        <w:rPr>
          <w:rFonts w:eastAsia="SimSun"/>
          <w:lang w:val="es-ES"/>
        </w:rPr>
      </w:pPr>
      <w:r w:rsidRPr="00A32804">
        <w:rPr>
          <w:rFonts w:eastAsia="SimSun"/>
          <w:lang w:val="es-ES"/>
        </w:rPr>
        <w:lastRenderedPageBreak/>
        <w:t>El Plan Operacional para 2025-2028 se articula en torno a 5 prioridades temáticas y 43 productos, y</w:t>
      </w:r>
      <w:r w:rsidRPr="00A32804">
        <w:rPr>
          <w:lang w:val="es-ES"/>
        </w:rPr>
        <w:t xml:space="preserve"> s</w:t>
      </w:r>
      <w:r w:rsidRPr="00A32804">
        <w:rPr>
          <w:rFonts w:eastAsia="SimSun"/>
          <w:lang w:val="es-ES"/>
        </w:rPr>
        <w:t>igue la estructura de los Planes Estratégico y Financiero para 2024-2027 aprobados por la Conferencia de Plenipotenciarios de 2022.</w:t>
      </w:r>
    </w:p>
    <w:p w14:paraId="1CA23B52" w14:textId="77777777" w:rsidR="00B469E0" w:rsidRPr="00A32804" w:rsidRDefault="00B469E0" w:rsidP="00B469E0">
      <w:pPr>
        <w:rPr>
          <w:lang w:val="es-ES"/>
        </w:rPr>
      </w:pPr>
      <w:r w:rsidRPr="00A32804">
        <w:rPr>
          <w:lang w:val="es-ES"/>
        </w:rPr>
        <w:t xml:space="preserve">El proyecto de </w:t>
      </w:r>
      <w:r w:rsidRPr="00A32804">
        <w:rPr>
          <w:rFonts w:eastAsia="SimSun"/>
          <w:lang w:val="es-ES"/>
        </w:rPr>
        <w:t xml:space="preserve">Plan Operacional renovable </w:t>
      </w:r>
      <w:r w:rsidRPr="00A32804">
        <w:rPr>
          <w:lang w:val="es-ES"/>
        </w:rPr>
        <w:t>del UIT-R para el periodo 2026-2029 se presenta en una contribución independiente a esta reunión.</w:t>
      </w:r>
    </w:p>
    <w:p w14:paraId="16CA7AA7" w14:textId="77777777" w:rsidR="00B469E0" w:rsidRPr="00A32804" w:rsidRDefault="00B469E0" w:rsidP="00B469E0">
      <w:pPr>
        <w:pStyle w:val="Heading1"/>
        <w:rPr>
          <w:lang w:val="es-ES"/>
        </w:rPr>
      </w:pPr>
      <w:bookmarkStart w:id="13" w:name="_Toc446060769"/>
      <w:r w:rsidRPr="00A32804">
        <w:rPr>
          <w:lang w:val="es-ES"/>
        </w:rPr>
        <w:t>7</w:t>
      </w:r>
      <w:r w:rsidRPr="00A32804">
        <w:rPr>
          <w:lang w:val="es-ES"/>
        </w:rPr>
        <w:tab/>
        <w:t>Sistema de información de la BR</w:t>
      </w:r>
      <w:bookmarkEnd w:id="13"/>
    </w:p>
    <w:p w14:paraId="70D0258B" w14:textId="77777777" w:rsidR="00B469E0" w:rsidRPr="00A32804" w:rsidRDefault="00B469E0" w:rsidP="00B469E0">
      <w:pPr>
        <w:pStyle w:val="Heading2"/>
        <w:rPr>
          <w:lang w:val="es-ES"/>
        </w:rPr>
      </w:pPr>
      <w:r w:rsidRPr="00A32804">
        <w:rPr>
          <w:lang w:val="es-ES"/>
        </w:rPr>
        <w:t>7.1</w:t>
      </w:r>
      <w:r w:rsidRPr="00A32804">
        <w:rPr>
          <w:lang w:val="es-ES"/>
        </w:rPr>
        <w:tab/>
      </w:r>
      <w:r>
        <w:rPr>
          <w:i/>
          <w:iCs/>
          <w:lang w:val="es-ES"/>
        </w:rPr>
        <w:t>Software</w:t>
      </w:r>
      <w:r w:rsidRPr="00A32804">
        <w:rPr>
          <w:lang w:val="es-ES"/>
        </w:rPr>
        <w:t xml:space="preserve"> y herramientas terrenales</w:t>
      </w:r>
    </w:p>
    <w:p w14:paraId="7C3D2D45" w14:textId="77777777" w:rsidR="00B469E0" w:rsidRPr="00A32804" w:rsidRDefault="00B469E0" w:rsidP="00B469E0">
      <w:pPr>
        <w:pStyle w:val="Heading3"/>
        <w:rPr>
          <w:lang w:val="es-ES"/>
        </w:rPr>
      </w:pPr>
      <w:r w:rsidRPr="00A32804">
        <w:rPr>
          <w:rFonts w:eastAsia="Verdana"/>
          <w:lang w:val="es-ES"/>
        </w:rPr>
        <w:t>7.1.1</w:t>
      </w:r>
      <w:r w:rsidRPr="00A32804">
        <w:rPr>
          <w:rFonts w:eastAsia="Verdana"/>
          <w:lang w:val="es-ES"/>
        </w:rPr>
        <w:tab/>
      </w:r>
      <w:r w:rsidRPr="00A32804">
        <w:rPr>
          <w:lang w:val="es-ES"/>
        </w:rPr>
        <w:t>Tramitación de solicitudes de coordinación con arreglo al número 9.21 del RR</w:t>
      </w:r>
    </w:p>
    <w:p w14:paraId="51FE9FEF" w14:textId="77777777" w:rsidR="00B469E0" w:rsidRPr="00A32804" w:rsidRDefault="00B469E0" w:rsidP="00B469E0">
      <w:pPr>
        <w:rPr>
          <w:lang w:val="es-ES"/>
        </w:rPr>
      </w:pPr>
      <w:r w:rsidRPr="00A32804">
        <w:rPr>
          <w:lang w:val="es-ES"/>
        </w:rPr>
        <w:t xml:space="preserve">Durante el periodo que abarca el informe, se siguió trabajando en el desarrollo de los módulos de </w:t>
      </w:r>
      <w:r>
        <w:rPr>
          <w:i/>
          <w:iCs/>
          <w:lang w:val="es-ES"/>
        </w:rPr>
        <w:t>software</w:t>
      </w:r>
      <w:r w:rsidRPr="00A32804">
        <w:rPr>
          <w:lang w:val="es-ES"/>
        </w:rPr>
        <w:t xml:space="preserve"> y las herramientas conexas que se utilizan para la tramitación de solicitudes de coordinación con arreglo al número </w:t>
      </w:r>
      <w:r w:rsidRPr="00A32804">
        <w:rPr>
          <w:b/>
          <w:bCs/>
          <w:lang w:val="es-ES"/>
        </w:rPr>
        <w:t>9.21</w:t>
      </w:r>
      <w:r w:rsidRPr="00A32804">
        <w:rPr>
          <w:lang w:val="es-ES"/>
        </w:rPr>
        <w:t xml:space="preserve"> del RR. Se ha previsto ultimar el </w:t>
      </w:r>
      <w:r>
        <w:rPr>
          <w:i/>
          <w:iCs/>
          <w:lang w:val="es-ES"/>
        </w:rPr>
        <w:t>software</w:t>
      </w:r>
      <w:r w:rsidRPr="00A32804">
        <w:rPr>
          <w:lang w:val="es-ES"/>
        </w:rPr>
        <w:t xml:space="preserve"> de comprobación de las correspondientes asignaciones (conforme al número </w:t>
      </w:r>
      <w:r w:rsidRPr="00A32804">
        <w:rPr>
          <w:b/>
          <w:bCs/>
          <w:lang w:val="es-ES"/>
        </w:rPr>
        <w:t>9.21</w:t>
      </w:r>
      <w:r w:rsidRPr="00A32804">
        <w:rPr>
          <w:lang w:val="es-ES"/>
        </w:rPr>
        <w:t>) notificadas en virtud del Artículo </w:t>
      </w:r>
      <w:r w:rsidRPr="00A32804">
        <w:rPr>
          <w:b/>
          <w:bCs/>
          <w:lang w:val="es-ES"/>
        </w:rPr>
        <w:t>11</w:t>
      </w:r>
      <w:r w:rsidRPr="00A32804">
        <w:rPr>
          <w:lang w:val="es-ES"/>
        </w:rPr>
        <w:t xml:space="preserve"> del RR para el Registro Internacional de Frecuencias y su integración en TerRaSys a lo largo de 2025 en el contexto de la migración general del sistema.</w:t>
      </w:r>
    </w:p>
    <w:p w14:paraId="304A7502" w14:textId="77777777" w:rsidR="00B469E0" w:rsidRPr="00A32804" w:rsidRDefault="00B469E0" w:rsidP="00B469E0">
      <w:pPr>
        <w:pStyle w:val="Heading2"/>
        <w:rPr>
          <w:rFonts w:eastAsia="Verdana"/>
          <w:lang w:val="es-ES"/>
        </w:rPr>
      </w:pPr>
      <w:r w:rsidRPr="00A32804">
        <w:rPr>
          <w:rFonts w:eastAsia="Verdana"/>
          <w:lang w:val="es-ES"/>
        </w:rPr>
        <w:t>7.1</w:t>
      </w:r>
      <w:r w:rsidRPr="00A32804">
        <w:rPr>
          <w:rFonts w:eastAsia="Verdana"/>
          <w:lang w:val="es-ES"/>
        </w:rPr>
        <w:tab/>
      </w:r>
      <w:r w:rsidRPr="00A32804">
        <w:rPr>
          <w:lang w:val="es-ES"/>
        </w:rPr>
        <w:t xml:space="preserve">Tramitación </w:t>
      </w:r>
      <w:r w:rsidRPr="00A32804">
        <w:rPr>
          <w:rFonts w:eastAsia="Verdana"/>
          <w:lang w:val="es-ES"/>
        </w:rPr>
        <w:t>de notificaciones de HAPS</w:t>
      </w:r>
    </w:p>
    <w:p w14:paraId="337797C2" w14:textId="77777777" w:rsidR="00B469E0" w:rsidRPr="00A32804" w:rsidRDefault="00B469E0" w:rsidP="00B469E0">
      <w:pPr>
        <w:rPr>
          <w:lang w:val="es-ES"/>
        </w:rPr>
      </w:pPr>
      <w:r w:rsidRPr="00A32804">
        <w:rPr>
          <w:color w:val="000000" w:themeColor="text1"/>
          <w:lang w:val="es-ES"/>
        </w:rPr>
        <w:t xml:space="preserve">Se ha seguido </w:t>
      </w:r>
      <w:r w:rsidRPr="00A32804">
        <w:rPr>
          <w:lang w:val="es-ES"/>
        </w:rPr>
        <w:t xml:space="preserve">trabajando en el desarrollo de </w:t>
      </w:r>
      <w:r w:rsidRPr="00A32804">
        <w:rPr>
          <w:color w:val="000000" w:themeColor="text1"/>
          <w:lang w:val="es-ES"/>
        </w:rPr>
        <w:t xml:space="preserve">los módulos de cálculo utilizados </w:t>
      </w:r>
      <w:r w:rsidRPr="00A32804">
        <w:rPr>
          <w:lang w:val="es-ES"/>
        </w:rPr>
        <w:t xml:space="preserve">para comprobar las condiciones técnicas especificadas en las Resoluciones </w:t>
      </w:r>
      <w:r w:rsidRPr="00A32804">
        <w:rPr>
          <w:b/>
          <w:bCs/>
          <w:lang w:val="es-ES"/>
        </w:rPr>
        <w:t>122 (Rev.CMR-19)</w:t>
      </w:r>
      <w:r w:rsidRPr="00A32804">
        <w:rPr>
          <w:lang w:val="es-ES"/>
        </w:rPr>
        <w:t xml:space="preserve">, </w:t>
      </w:r>
      <w:r w:rsidRPr="00A32804">
        <w:rPr>
          <w:b/>
          <w:bCs/>
          <w:lang w:val="es-ES"/>
        </w:rPr>
        <w:t>145 (Rev.CMR-19)</w:t>
      </w:r>
      <w:r w:rsidRPr="00A32804">
        <w:rPr>
          <w:lang w:val="es-ES"/>
        </w:rPr>
        <w:t xml:space="preserve">, </w:t>
      </w:r>
      <w:r w:rsidRPr="00A32804">
        <w:rPr>
          <w:b/>
          <w:bCs/>
          <w:lang w:val="es-ES"/>
        </w:rPr>
        <w:t>165 (Rev.CMR-23)</w:t>
      </w:r>
      <w:r w:rsidRPr="00A32804">
        <w:rPr>
          <w:lang w:val="es-ES"/>
        </w:rPr>
        <w:t xml:space="preserve">, </w:t>
      </w:r>
      <w:r w:rsidRPr="00A32804">
        <w:rPr>
          <w:b/>
          <w:bCs/>
          <w:lang w:val="es-ES"/>
        </w:rPr>
        <w:t>166 (Rev.CMR-23)</w:t>
      </w:r>
      <w:r w:rsidRPr="00A32804">
        <w:rPr>
          <w:lang w:val="es-ES"/>
        </w:rPr>
        <w:t xml:space="preserve">, </w:t>
      </w:r>
      <w:r w:rsidRPr="00A32804">
        <w:rPr>
          <w:b/>
          <w:bCs/>
          <w:lang w:val="es-ES"/>
        </w:rPr>
        <w:t>167 (Rev.CMR-23</w:t>
      </w:r>
      <w:r w:rsidRPr="00A32804">
        <w:rPr>
          <w:lang w:val="es-ES"/>
        </w:rPr>
        <w:t xml:space="preserve">) y </w:t>
      </w:r>
      <w:r w:rsidRPr="00A32804">
        <w:rPr>
          <w:b/>
          <w:bCs/>
          <w:lang w:val="es-ES"/>
        </w:rPr>
        <w:t>168 (Rev.CMR-23)</w:t>
      </w:r>
      <w:r w:rsidRPr="00A32804">
        <w:rPr>
          <w:lang w:val="es-ES"/>
        </w:rPr>
        <w:t>.</w:t>
      </w:r>
    </w:p>
    <w:p w14:paraId="0E05B2A4" w14:textId="77777777" w:rsidR="00B469E0" w:rsidRPr="00A32804" w:rsidRDefault="00B469E0" w:rsidP="00B469E0">
      <w:pPr>
        <w:pStyle w:val="Heading3"/>
        <w:rPr>
          <w:lang w:val="es-ES"/>
        </w:rPr>
      </w:pPr>
      <w:r w:rsidRPr="00A32804">
        <w:rPr>
          <w:lang w:val="es-ES"/>
        </w:rPr>
        <w:t>7.1.3</w:t>
      </w:r>
      <w:r w:rsidRPr="00A32804">
        <w:rPr>
          <w:lang w:val="es-ES"/>
        </w:rPr>
        <w:tab/>
        <w:t xml:space="preserve">Reingeniería del </w:t>
      </w:r>
      <w:r>
        <w:rPr>
          <w:i/>
          <w:iCs/>
          <w:lang w:val="es-ES"/>
        </w:rPr>
        <w:t>software</w:t>
      </w:r>
      <w:r w:rsidRPr="00A32804">
        <w:rPr>
          <w:lang w:val="es-ES"/>
        </w:rPr>
        <w:t xml:space="preserve"> HFBC</w:t>
      </w:r>
    </w:p>
    <w:p w14:paraId="0BA2E3CC" w14:textId="77777777" w:rsidR="00B469E0" w:rsidRPr="00A32804" w:rsidRDefault="00B469E0" w:rsidP="00B469E0">
      <w:pPr>
        <w:rPr>
          <w:lang w:val="es-ES"/>
        </w:rPr>
      </w:pPr>
      <w:r w:rsidRPr="00A32804">
        <w:rPr>
          <w:lang w:val="es-ES"/>
        </w:rPr>
        <w:t>De conformidad con lo dispuesto en el Artículo </w:t>
      </w:r>
      <w:r w:rsidRPr="00A32804">
        <w:rPr>
          <w:b/>
          <w:bCs/>
          <w:lang w:val="es-ES"/>
        </w:rPr>
        <w:t>12</w:t>
      </w:r>
      <w:r w:rsidRPr="00A32804">
        <w:rPr>
          <w:lang w:val="es-ES"/>
        </w:rPr>
        <w:t xml:space="preserve"> del Reglamento de Radiocomunicaciones (RR), la BR prepara y publica el horario estacional de radiodifusión por ondas decamétricas, junto con los resultados de los análisis de compatibilidad. Los horarios están disponibles en el sitio web de la BR.</w:t>
      </w:r>
    </w:p>
    <w:p w14:paraId="0309AEA7" w14:textId="77777777" w:rsidR="00B469E0" w:rsidRPr="00A32804" w:rsidRDefault="00B469E0" w:rsidP="00B469E0">
      <w:pPr>
        <w:rPr>
          <w:lang w:val="es-ES"/>
        </w:rPr>
      </w:pPr>
      <w:r w:rsidRPr="00A32804">
        <w:rPr>
          <w:lang w:val="es-ES"/>
        </w:rPr>
        <w:t xml:space="preserve">En aras de la coherencia con otros programas y aplicaciones terrenales, se ha procedido a la reingeniería del </w:t>
      </w:r>
      <w:r>
        <w:rPr>
          <w:i/>
          <w:iCs/>
          <w:lang w:val="es-ES"/>
        </w:rPr>
        <w:t>software</w:t>
      </w:r>
      <w:r w:rsidRPr="00A32804">
        <w:rPr>
          <w:lang w:val="es-ES"/>
        </w:rPr>
        <w:t xml:space="preserve"> HFBC en una única aplicación en línea utilizando el marco .NET en C#.</w:t>
      </w:r>
    </w:p>
    <w:p w14:paraId="257DF038" w14:textId="77777777" w:rsidR="00B469E0" w:rsidRDefault="00B469E0" w:rsidP="00B469E0">
      <w:pPr>
        <w:rPr>
          <w:szCs w:val="24"/>
          <w:lang w:val="es-ES"/>
        </w:rPr>
      </w:pPr>
      <w:r w:rsidRPr="00A32804">
        <w:rPr>
          <w:lang w:val="es-ES"/>
        </w:rPr>
        <w:t>La nueva aplicación HFBC se ha completado e integrado en la plataforma en línea para servicios terrenales eTerrestrial/eBroadcasting. La primera publicación oficial en eHFBC fue el Horario B23</w:t>
      </w:r>
      <w:r>
        <w:rPr>
          <w:lang w:val="es-ES"/>
        </w:rPr>
        <w:noBreakHyphen/>
      </w:r>
      <w:r w:rsidRPr="00A32804">
        <w:rPr>
          <w:lang w:val="es-ES"/>
        </w:rPr>
        <w:t xml:space="preserve">S1 en octubre de 2023. Actualmente, eHFBC se halla en una fase activa de desarrollo progresivo, centrada en introducir una serie de funcionalidades nuevas y mejoras a lo largo del tiempo. </w:t>
      </w:r>
      <w:r w:rsidRPr="00A32804">
        <w:rPr>
          <w:szCs w:val="24"/>
          <w:lang w:val="es-ES"/>
        </w:rPr>
        <w:t xml:space="preserve">Entre las nuevas </w:t>
      </w:r>
      <w:r w:rsidRPr="00A32804">
        <w:rPr>
          <w:lang w:val="es-ES"/>
        </w:rPr>
        <w:t xml:space="preserve">funcionalidades </w:t>
      </w:r>
      <w:r w:rsidRPr="00A32804">
        <w:rPr>
          <w:szCs w:val="24"/>
          <w:lang w:val="es-ES"/>
        </w:rPr>
        <w:t>y mejoras introducidas en 2024 figuran las siguientes:</w:t>
      </w:r>
    </w:p>
    <w:p w14:paraId="6B756CFC" w14:textId="77777777" w:rsidR="00B469E0" w:rsidRPr="007B1DAE" w:rsidRDefault="00B469E0" w:rsidP="00B469E0">
      <w:pPr>
        <w:pStyle w:val="enumlev1"/>
        <w:rPr>
          <w:szCs w:val="24"/>
          <w:lang w:val="es-ES"/>
        </w:rPr>
      </w:pPr>
      <w:r w:rsidRPr="007B1DAE">
        <w:rPr>
          <w:lang w:val="es-ES"/>
        </w:rPr>
        <w:t>•</w:t>
      </w:r>
      <w:r>
        <w:rPr>
          <w:lang w:val="es-ES"/>
        </w:rPr>
        <w:tab/>
      </w:r>
      <w:r w:rsidRPr="00A32804">
        <w:rPr>
          <w:lang w:val="es-ES"/>
        </w:rPr>
        <w:t>tipos de cálculo (interfaz de usuario y de administrador): trabajo único, tres meses, sobre la marcha y publicación automática;</w:t>
      </w:r>
    </w:p>
    <w:p w14:paraId="12E2EBD2"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herramientas de gestión y mapas de navegación para el cuadro de referencia;</w:t>
      </w:r>
    </w:p>
    <w:p w14:paraId="267D9CE6"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 xml:space="preserve">mejora de las herramientas utilizadas para abrir archivos y gestionar archivos nuevos; </w:t>
      </w:r>
    </w:p>
    <w:p w14:paraId="3BF8F394"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exportación de datos en varios formatos y visualización del diagrama de antena en el mapa.</w:t>
      </w:r>
    </w:p>
    <w:p w14:paraId="58A54E4E" w14:textId="77777777" w:rsidR="00B469E0" w:rsidRPr="00A32804" w:rsidRDefault="00B469E0" w:rsidP="00B469E0">
      <w:pPr>
        <w:pStyle w:val="Heading3"/>
        <w:rPr>
          <w:lang w:val="es-ES"/>
        </w:rPr>
      </w:pPr>
      <w:r w:rsidRPr="00A32804">
        <w:rPr>
          <w:lang w:val="es-ES"/>
        </w:rPr>
        <w:t>7.1.4</w:t>
      </w:r>
      <w:r w:rsidRPr="00A32804">
        <w:rPr>
          <w:lang w:val="es-ES"/>
        </w:rPr>
        <w:tab/>
        <w:t>Migración de Ingres a SQL Server</w:t>
      </w:r>
    </w:p>
    <w:p w14:paraId="58B9E27F" w14:textId="77777777" w:rsidR="00B469E0" w:rsidRPr="00A32804" w:rsidRDefault="00B469E0" w:rsidP="00B469E0">
      <w:pPr>
        <w:rPr>
          <w:lang w:val="es-ES"/>
        </w:rPr>
      </w:pPr>
      <w:r w:rsidRPr="00A32804">
        <w:rPr>
          <w:lang w:val="es-ES"/>
        </w:rPr>
        <w:t xml:space="preserve">Los trabajos encaminados a la migración del sistema TerRaSys finalizaron en 2024, incluidas tanto la migración de la base de datos como la reescritura y la mejora de los módulos del sistema utilizando nuevas técnicas de codificación. La migración ha concluido y el nuevo sistema se halla en fase de producción desde el 3 de marzo de 2025. Se rediseñaron y desarrollaron varios </w:t>
      </w:r>
      <w:r w:rsidRPr="00A32804">
        <w:rPr>
          <w:lang w:val="es-ES"/>
        </w:rPr>
        <w:lastRenderedPageBreak/>
        <w:t xml:space="preserve">componentes de </w:t>
      </w:r>
      <w:r>
        <w:rPr>
          <w:i/>
          <w:iCs/>
          <w:lang w:val="es-ES"/>
        </w:rPr>
        <w:t>software</w:t>
      </w:r>
      <w:r w:rsidRPr="00A32804">
        <w:rPr>
          <w:lang w:val="es-ES"/>
        </w:rPr>
        <w:t xml:space="preserve"> y aplicaciones TerRaSys utilizados para acceder a la base de datos, con el objetivo de aprovechar las ventajas de la moderna tecnología que ofrece el nuevo sistema de gestión de bases de datos (SGBD) utilizando aplicaciones web y técnicas de desarrollo de</w:t>
      </w:r>
      <w:r w:rsidRPr="00A05079">
        <w:rPr>
          <w:i/>
          <w:iCs/>
          <w:lang w:val="es-ES"/>
        </w:rPr>
        <w:t xml:space="preserve"> </w:t>
      </w:r>
      <w:r>
        <w:rPr>
          <w:i/>
          <w:iCs/>
          <w:lang w:val="es-ES"/>
        </w:rPr>
        <w:t>software</w:t>
      </w:r>
      <w:r w:rsidRPr="00A32804">
        <w:rPr>
          <w:lang w:val="es-ES"/>
        </w:rPr>
        <w:t xml:space="preserve"> punteras.</w:t>
      </w:r>
    </w:p>
    <w:p w14:paraId="6E330C02" w14:textId="77777777" w:rsidR="00B469E0" w:rsidRPr="00A32804" w:rsidRDefault="00B469E0" w:rsidP="00B469E0">
      <w:pPr>
        <w:rPr>
          <w:lang w:val="es-ES"/>
        </w:rPr>
      </w:pPr>
      <w:r w:rsidRPr="00A32804">
        <w:rPr>
          <w:lang w:val="es-ES"/>
        </w:rPr>
        <w:t xml:space="preserve">Se ultimaron la nueva estructura de la base de datos y los módulos de </w:t>
      </w:r>
      <w:r>
        <w:rPr>
          <w:i/>
          <w:iCs/>
          <w:lang w:val="es-ES"/>
        </w:rPr>
        <w:t>software</w:t>
      </w:r>
      <w:r w:rsidRPr="00A32804">
        <w:rPr>
          <w:lang w:val="es-ES"/>
        </w:rPr>
        <w:t xml:space="preserve"> para la tramitación y la validación de las notificaciones terrenales electrónicas, incluidas las HAPS. También se modernizaron los módulos de </w:t>
      </w:r>
      <w:r>
        <w:rPr>
          <w:i/>
          <w:iCs/>
          <w:lang w:val="es-ES"/>
        </w:rPr>
        <w:t>software</w:t>
      </w:r>
      <w:r w:rsidRPr="00A05079">
        <w:rPr>
          <w:i/>
          <w:iCs/>
          <w:lang w:val="es-ES"/>
        </w:rPr>
        <w:t xml:space="preserve"> </w:t>
      </w:r>
      <w:r w:rsidRPr="00A32804">
        <w:rPr>
          <w:lang w:val="es-ES"/>
        </w:rPr>
        <w:t>utilizados para los exámenes técnicos, incluidos los módulos de visualización de los resultados de los exámenes. Han concluido los trabajos encaminados a la publicación y preparación de los nuevos paquetes de la BR IFIC.</w:t>
      </w:r>
    </w:p>
    <w:p w14:paraId="37609BD1" w14:textId="77777777" w:rsidR="00B469E0" w:rsidRPr="00A32804" w:rsidRDefault="00B469E0" w:rsidP="00B469E0">
      <w:pPr>
        <w:rPr>
          <w:color w:val="000000" w:themeColor="text1"/>
          <w:lang w:val="es-ES"/>
        </w:rPr>
      </w:pPr>
      <w:r w:rsidRPr="00A32804">
        <w:rPr>
          <w:lang w:val="es-ES"/>
        </w:rPr>
        <w:t xml:space="preserve">Se han diseñado e implementado varias aplicaciones web, que se someten a pruebas y modificaciones continuas, para permitir el acceso en línea a las consultas de la base de datos y otras herramientas de </w:t>
      </w:r>
      <w:r>
        <w:rPr>
          <w:i/>
          <w:iCs/>
          <w:lang w:val="es-ES"/>
        </w:rPr>
        <w:t>software</w:t>
      </w:r>
      <w:r w:rsidRPr="00A32804">
        <w:rPr>
          <w:lang w:val="es-ES"/>
        </w:rPr>
        <w:t xml:space="preserve">, incluida la validación en línea de las notificaciones terrenales de asignaciones de frecuencias. Ya se dispone de copias de la base de datos de servicios terrenales existente en la nueva plataforma del SGBD, que diversas aplicaciones de la BR están utilizando a través de la web para </w:t>
      </w:r>
      <w:r w:rsidRPr="00A32804">
        <w:rPr>
          <w:color w:val="000000" w:themeColor="text1"/>
          <w:lang w:val="es-ES"/>
        </w:rPr>
        <w:t>visualizar</w:t>
      </w:r>
      <w:r w:rsidRPr="00A32804">
        <w:rPr>
          <w:lang w:val="es-ES"/>
        </w:rPr>
        <w:t>, validar y tramitar notificaciones de frecuencias terrenales.</w:t>
      </w:r>
    </w:p>
    <w:p w14:paraId="10467AC5" w14:textId="77777777" w:rsidR="00B469E0" w:rsidRPr="00A32804" w:rsidRDefault="00B469E0" w:rsidP="00B469E0">
      <w:pPr>
        <w:rPr>
          <w:lang w:val="es-ES"/>
        </w:rPr>
      </w:pPr>
      <w:r w:rsidRPr="00A32804">
        <w:rPr>
          <w:lang w:val="es-ES"/>
        </w:rPr>
        <w:t xml:space="preserve">Como consecuencia de este trabajo y de acuerdo con la nueva política de acceso, las Administraciones de los Estados Miembros pueden acceder gratuitamente en línea a la BR IFIC (servicios terrenales) actual en </w:t>
      </w:r>
      <w:hyperlink r:id="rId41" w:history="1">
        <w:r w:rsidRPr="00A32804">
          <w:rPr>
            <w:rStyle w:val="Hyperlink"/>
            <w:rFonts w:eastAsia="SimSun"/>
            <w:szCs w:val="24"/>
            <w:lang w:val="es-ES"/>
          </w:rPr>
          <w:t>terrestrial BR IFIC</w:t>
        </w:r>
      </w:hyperlink>
      <w:r w:rsidRPr="00A32804">
        <w:rPr>
          <w:lang w:val="es-ES"/>
        </w:rPr>
        <w:t>, así como a ediciones anteriores de dicha BR IFIC publicadas durante el año en curso. También se han puesto a disposición en línea varias herramientas de consulta y exportación.</w:t>
      </w:r>
    </w:p>
    <w:p w14:paraId="7AE082DF" w14:textId="77777777" w:rsidR="00B469E0" w:rsidRPr="00A32804" w:rsidRDefault="00B469E0" w:rsidP="00B469E0">
      <w:pPr>
        <w:rPr>
          <w:lang w:val="es-ES"/>
        </w:rPr>
      </w:pPr>
      <w:r w:rsidRPr="00A32804">
        <w:rPr>
          <w:lang w:val="es-ES"/>
        </w:rPr>
        <w:t>A partir de la BR IFIC (servicios terrenales) 3042, publicada el 18 de marzo de 2025, la estructura de datos de la base de datos terrenales (</w:t>
      </w:r>
      <w:r w:rsidRPr="00A32804">
        <w:rPr>
          <w:b/>
          <w:i/>
          <w:lang w:val="es-ES"/>
        </w:rPr>
        <w:t>TerRaBase</w:t>
      </w:r>
      <w:r w:rsidRPr="00A32804">
        <w:rPr>
          <w:lang w:val="es-ES"/>
        </w:rPr>
        <w:t xml:space="preserve">) publicada en el archivo de imagen ISO se ajusta a la nueva estructura de datos. </w:t>
      </w:r>
      <w:r w:rsidRPr="00A32804">
        <w:rPr>
          <w:color w:val="000000" w:themeColor="text1"/>
          <w:lang w:val="es-ES"/>
        </w:rPr>
        <w:t>Desde el punto de vista de los Estados Miembros y los usuarios externos</w:t>
      </w:r>
      <w:r w:rsidRPr="00A32804">
        <w:rPr>
          <w:lang w:val="es-ES"/>
        </w:rPr>
        <w:t xml:space="preserve">, esta transición no debería suponer un obstáculo al uso de las herramientas proporcionadas por la Oficina en el archivo de imagen ISO (a saber, </w:t>
      </w:r>
      <w:r w:rsidRPr="00A32804">
        <w:rPr>
          <w:b/>
          <w:i/>
          <w:lang w:val="es-ES"/>
        </w:rPr>
        <w:t xml:space="preserve">TerRaQ </w:t>
      </w:r>
      <w:r w:rsidRPr="00A32804">
        <w:rPr>
          <w:lang w:val="es-ES"/>
        </w:rPr>
        <w:t xml:space="preserve">y </w:t>
      </w:r>
      <w:r w:rsidRPr="00A32804">
        <w:rPr>
          <w:b/>
          <w:i/>
          <w:lang w:val="es-ES"/>
        </w:rPr>
        <w:t>TerRaNotices</w:t>
      </w:r>
      <w:r w:rsidRPr="00A32804">
        <w:rPr>
          <w:lang w:val="es-ES"/>
        </w:rPr>
        <w:t>).</w:t>
      </w:r>
    </w:p>
    <w:p w14:paraId="1209A4C5" w14:textId="77777777" w:rsidR="00B469E0" w:rsidRPr="00A32804" w:rsidRDefault="00B469E0" w:rsidP="00B469E0">
      <w:pPr>
        <w:rPr>
          <w:lang w:val="es-ES"/>
        </w:rPr>
      </w:pPr>
      <w:r w:rsidRPr="00A32804">
        <w:rPr>
          <w:lang w:val="es-ES"/>
        </w:rPr>
        <w:t xml:space="preserve">No obstante, es posible que el </w:t>
      </w:r>
      <w:r>
        <w:rPr>
          <w:i/>
          <w:iCs/>
          <w:lang w:val="es-ES"/>
        </w:rPr>
        <w:t>software</w:t>
      </w:r>
      <w:r w:rsidRPr="00A32804">
        <w:rPr>
          <w:lang w:val="es-ES"/>
        </w:rPr>
        <w:t xml:space="preserve"> desarrollado por terceros deba adaptarse y ajustarse a la nueva estructura. En aras de una transición fluida, la BR también ha desarrollado una </w:t>
      </w:r>
      <w:r>
        <w:rPr>
          <w:lang w:val="es-ES"/>
        </w:rPr>
        <w:t>«</w:t>
      </w:r>
      <w:r w:rsidRPr="00A32804">
        <w:rPr>
          <w:lang w:val="es-ES"/>
        </w:rPr>
        <w:t>herramienta de conversión de retrocompatibilidad</w:t>
      </w:r>
      <w:r>
        <w:rPr>
          <w:lang w:val="es-ES"/>
        </w:rPr>
        <w:t>»</w:t>
      </w:r>
      <w:r w:rsidRPr="00A32804">
        <w:rPr>
          <w:lang w:val="es-ES"/>
        </w:rPr>
        <w:t xml:space="preserve">, que permite generar automáticamente un archivo de base de datos convertido. Todo </w:t>
      </w:r>
      <w:r>
        <w:rPr>
          <w:i/>
          <w:iCs/>
          <w:lang w:val="es-ES"/>
        </w:rPr>
        <w:t>software</w:t>
      </w:r>
      <w:r w:rsidRPr="00A32804">
        <w:rPr>
          <w:lang w:val="es-ES"/>
        </w:rPr>
        <w:t xml:space="preserve"> diseñado para trabajar con la anterior estructura de datos seguirá pudiendo acceder a los archivos convertidos y leer su contenido. Puede encontrarse información detallada sobre el proceso de conversión en este </w:t>
      </w:r>
      <w:hyperlink r:id="rId42" w:history="1">
        <w:r w:rsidRPr="00A32804">
          <w:rPr>
            <w:rStyle w:val="Hyperlink"/>
            <w:rFonts w:eastAsia="SimSun"/>
            <w:szCs w:val="24"/>
            <w:lang w:val="es-ES"/>
          </w:rPr>
          <w:t>enlace</w:t>
        </w:r>
      </w:hyperlink>
      <w:r w:rsidRPr="00A32804">
        <w:rPr>
          <w:lang w:val="es-ES"/>
        </w:rPr>
        <w:t xml:space="preserve"> (véase el apartado </w:t>
      </w:r>
      <w:r w:rsidRPr="00A32804">
        <w:rPr>
          <w:i/>
          <w:lang w:val="es-ES"/>
        </w:rPr>
        <w:t>Database Structure/legacy Format</w:t>
      </w:r>
      <w:r w:rsidRPr="00A32804">
        <w:rPr>
          <w:lang w:val="es-ES"/>
        </w:rPr>
        <w:t xml:space="preserve">). Véase asimismo la descripción de las modificaciones introducidas en la estructura de la base de datos en la dirección </w:t>
      </w:r>
      <w:hyperlink r:id="rId43" w:history="1">
        <w:r w:rsidRPr="00A32804">
          <w:rPr>
            <w:rStyle w:val="Hyperlink"/>
            <w:rFonts w:eastAsia="SimSun"/>
            <w:szCs w:val="24"/>
            <w:lang w:val="es-ES"/>
          </w:rPr>
          <w:t xml:space="preserve">https://www.itu.int/ITU-R/terrasys/docs </w:t>
        </w:r>
      </w:hyperlink>
      <w:r w:rsidRPr="00A32804">
        <w:rPr>
          <w:lang w:val="es-ES"/>
        </w:rPr>
        <w:t>para obtener información detallada sobre las diferencias entre la estructura antigua y la nueva.</w:t>
      </w:r>
    </w:p>
    <w:p w14:paraId="1702C182" w14:textId="77777777" w:rsidR="00B469E0" w:rsidRPr="00A32804" w:rsidRDefault="00B469E0" w:rsidP="00B469E0">
      <w:pPr>
        <w:rPr>
          <w:lang w:val="es-ES"/>
        </w:rPr>
      </w:pPr>
      <w:r w:rsidRPr="00A32804">
        <w:rPr>
          <w:lang w:val="es-ES"/>
        </w:rPr>
        <w:t xml:space="preserve">Se envió a las Administraciones de los Estados Miembros y a otros usuarios la Carta Circular </w:t>
      </w:r>
      <w:hyperlink r:id="rId44" w:history="1">
        <w:r w:rsidRPr="00A32804">
          <w:rPr>
            <w:rStyle w:val="Hyperlink"/>
            <w:rFonts w:eastAsia="SimSun"/>
            <w:szCs w:val="24"/>
            <w:lang w:val="es-ES"/>
          </w:rPr>
          <w:t>CR/516</w:t>
        </w:r>
      </w:hyperlink>
      <w:r w:rsidRPr="00A32804">
        <w:rPr>
          <w:lang w:val="es-ES"/>
        </w:rPr>
        <w:t>, en la que se describe la estructura de la base de datos de servicios terrenales nueva y modificada, así como las herramientas relacionadas con la BR IFIC.</w:t>
      </w:r>
    </w:p>
    <w:p w14:paraId="5FC64495" w14:textId="77777777" w:rsidR="00B469E0" w:rsidRPr="00A32804" w:rsidRDefault="00B469E0" w:rsidP="00B469E0">
      <w:pPr>
        <w:pStyle w:val="Heading2"/>
        <w:rPr>
          <w:lang w:val="es-ES"/>
        </w:rPr>
      </w:pPr>
      <w:r w:rsidRPr="00A32804">
        <w:rPr>
          <w:lang w:val="es-ES"/>
        </w:rPr>
        <w:t>7.2</w:t>
      </w:r>
      <w:r w:rsidRPr="00A32804">
        <w:rPr>
          <w:lang w:val="es-ES"/>
        </w:rPr>
        <w:tab/>
        <w:t>Avances en el cumplimiento de la hoja de ruta de los sistemas de información espacial de la BR (GAR-19, 2012)</w:t>
      </w:r>
    </w:p>
    <w:p w14:paraId="5441F659" w14:textId="77777777" w:rsidR="00B469E0" w:rsidRPr="00A32804" w:rsidRDefault="00B469E0" w:rsidP="00B469E0">
      <w:pPr>
        <w:rPr>
          <w:lang w:val="es-ES"/>
        </w:rPr>
      </w:pPr>
      <w:r w:rsidRPr="00A32804">
        <w:rPr>
          <w:lang w:val="es-ES"/>
        </w:rPr>
        <w:t xml:space="preserve">En su 19ª reunión (2012), el GAR aconsejó al Director que aplicase las medidas recomendadas en los plazos propuestos, tal y como se describe en la hoja de ruta, que comprende las siguientes fases: Fase 1 (Aplicación de las decisiones de la CMR 12); Fase 2 (Reescribir parte del </w:t>
      </w:r>
      <w:r>
        <w:rPr>
          <w:i/>
          <w:iCs/>
          <w:lang w:val="es-ES"/>
        </w:rPr>
        <w:t>software</w:t>
      </w:r>
      <w:r w:rsidRPr="00A32804">
        <w:rPr>
          <w:lang w:val="es-ES"/>
        </w:rPr>
        <w:t xml:space="preserve"> existente); y Fase 3 (Crear un equipo de proyecto para implementar un marco común, un sistema de </w:t>
      </w:r>
      <w:r w:rsidRPr="00A32804">
        <w:rPr>
          <w:lang w:val="es-ES"/>
        </w:rPr>
        <w:lastRenderedPageBreak/>
        <w:t>seguridad y una base de datos espacial centralizada). El GAR alentó a los Estados Miembros y a los Miembros de Sector a formular comentarios sobre la Fase 3.</w:t>
      </w:r>
    </w:p>
    <w:p w14:paraId="01949598" w14:textId="77777777" w:rsidR="00B469E0" w:rsidRPr="00A32804" w:rsidRDefault="00B469E0" w:rsidP="00B469E0">
      <w:pPr>
        <w:rPr>
          <w:lang w:val="es-ES"/>
        </w:rPr>
      </w:pPr>
      <w:r w:rsidRPr="00A32804">
        <w:rPr>
          <w:lang w:val="es-ES"/>
        </w:rPr>
        <w:t xml:space="preserve">En 2024, la BR continuó manteniendo el </w:t>
      </w:r>
      <w:r>
        <w:rPr>
          <w:i/>
          <w:iCs/>
          <w:lang w:val="es-ES"/>
        </w:rPr>
        <w:t>software</w:t>
      </w:r>
      <w:r w:rsidRPr="00A32804">
        <w:rPr>
          <w:lang w:val="es-ES"/>
        </w:rPr>
        <w:t xml:space="preserve"> existente, al tiempo que trabajó en la implementación de nuevas versiones de aplicaciones de </w:t>
      </w:r>
      <w:r>
        <w:rPr>
          <w:i/>
          <w:iCs/>
          <w:lang w:val="es-ES"/>
        </w:rPr>
        <w:t>software</w:t>
      </w:r>
      <w:r w:rsidRPr="00A32804">
        <w:rPr>
          <w:lang w:val="es-ES"/>
        </w:rPr>
        <w:t xml:space="preserve"> fundamentales. Este esfuerzo paralelo es tanto una necesidad, dadas las exigencias operacionales, como la razón por la que ciertos proyectos de modernización siguen en curso.</w:t>
      </w:r>
    </w:p>
    <w:p w14:paraId="3C3B92DA" w14:textId="77777777" w:rsidR="00B469E0" w:rsidRPr="00A32804" w:rsidRDefault="00B469E0" w:rsidP="00B469E0">
      <w:pPr>
        <w:pStyle w:val="Heading3"/>
        <w:rPr>
          <w:lang w:val="es-ES"/>
        </w:rPr>
      </w:pPr>
      <w:r w:rsidRPr="00A32804">
        <w:rPr>
          <w:lang w:val="es-ES"/>
        </w:rPr>
        <w:t>7.2.1</w:t>
      </w:r>
      <w:r w:rsidRPr="00A32804">
        <w:rPr>
          <w:lang w:val="es-ES"/>
        </w:rPr>
        <w:tab/>
        <w:t>Avances en favor de los objetivos de la Fase 2 de la hoja de ruta</w:t>
      </w:r>
    </w:p>
    <w:p w14:paraId="547D9C99" w14:textId="77777777" w:rsidR="00B469E0" w:rsidRPr="00A32804" w:rsidRDefault="00B469E0" w:rsidP="00B469E0">
      <w:pPr>
        <w:pStyle w:val="Heading4"/>
        <w:rPr>
          <w:lang w:val="es-ES"/>
        </w:rPr>
      </w:pPr>
      <w:r w:rsidRPr="00A32804">
        <w:rPr>
          <w:lang w:val="es-ES"/>
        </w:rPr>
        <w:t>7.2.1.1</w:t>
      </w:r>
      <w:r w:rsidRPr="00A32804">
        <w:rPr>
          <w:lang w:val="es-ES"/>
        </w:rPr>
        <w:tab/>
        <w:t xml:space="preserve">Reescritura del </w:t>
      </w:r>
      <w:r>
        <w:rPr>
          <w:i/>
          <w:iCs/>
          <w:lang w:val="es-ES"/>
        </w:rPr>
        <w:t>software</w:t>
      </w:r>
      <w:r w:rsidRPr="00A32804">
        <w:rPr>
          <w:lang w:val="es-ES"/>
        </w:rPr>
        <w:t xml:space="preserve"> existente para los exámenes técnicos</w:t>
      </w:r>
    </w:p>
    <w:p w14:paraId="71ED71FF"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 xml:space="preserve">Reescritura del examen de la dfp para la protección de los servicios espaciales: El </w:t>
      </w:r>
      <w:r>
        <w:rPr>
          <w:i/>
          <w:iCs/>
          <w:lang w:val="es-ES"/>
        </w:rPr>
        <w:t>software</w:t>
      </w:r>
      <w:r w:rsidRPr="00A05079">
        <w:rPr>
          <w:i/>
          <w:iCs/>
          <w:lang w:val="es-ES"/>
        </w:rPr>
        <w:t xml:space="preserve"> </w:t>
      </w:r>
      <w:r w:rsidRPr="00A32804">
        <w:rPr>
          <w:lang w:val="es-ES"/>
        </w:rPr>
        <w:t xml:space="preserve">PXT se presentó en la BR IFIC 3037 en el marco de la implementación del </w:t>
      </w:r>
      <w:r>
        <w:rPr>
          <w:i/>
          <w:iCs/>
          <w:lang w:val="es-ES"/>
        </w:rPr>
        <w:t>software</w:t>
      </w:r>
      <w:r w:rsidRPr="00A32804">
        <w:rPr>
          <w:lang w:val="es-ES"/>
        </w:rPr>
        <w:t xml:space="preserve"> de la</w:t>
      </w:r>
      <w:r>
        <w:rPr>
          <w:lang w:val="es-ES"/>
        </w:rPr>
        <w:t> </w:t>
      </w:r>
      <w:r w:rsidRPr="00A32804">
        <w:rPr>
          <w:lang w:val="es-ES"/>
        </w:rPr>
        <w:t>CMR-23.</w:t>
      </w:r>
    </w:p>
    <w:p w14:paraId="3D3B2A5D"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Migración de los componentes del Fortran del GIMS: En curso.</w:t>
      </w:r>
    </w:p>
    <w:p w14:paraId="21D50CD3"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Mspace – Migración de los componentes de Visual Basic 6 a .NET: En curso.</w:t>
      </w:r>
    </w:p>
    <w:p w14:paraId="0559C8BB" w14:textId="77777777" w:rsidR="00B469E0" w:rsidRDefault="00B469E0" w:rsidP="00B469E0">
      <w:pPr>
        <w:pStyle w:val="Heading4"/>
        <w:rPr>
          <w:lang w:val="es-ES"/>
        </w:rPr>
      </w:pPr>
      <w:r w:rsidRPr="00A32804">
        <w:rPr>
          <w:lang w:val="es-ES"/>
        </w:rPr>
        <w:t>7.2.1.2</w:t>
      </w:r>
      <w:r w:rsidRPr="00A32804">
        <w:rPr>
          <w:lang w:val="es-ES"/>
        </w:rPr>
        <w:tab/>
        <w:t>Diseño y desarrollo del sistema de información espacial de la BR (BR SIS)</w:t>
      </w:r>
    </w:p>
    <w:p w14:paraId="60766BBF"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 xml:space="preserve">Reescritura de la versión de SpaceCap en Visual Basic 6: En curso. En 2024, se entregaron dos módulos de la nueva aplicación BRSIS-Capture, relacionados con las Resoluciones </w:t>
      </w:r>
      <w:r w:rsidRPr="00A32804">
        <w:rPr>
          <w:b/>
          <w:bCs/>
          <w:lang w:val="es-ES"/>
        </w:rPr>
        <w:t xml:space="preserve">8 (CMR-23) </w:t>
      </w:r>
      <w:r w:rsidRPr="00A32804">
        <w:rPr>
          <w:lang w:val="es-ES"/>
        </w:rPr>
        <w:t xml:space="preserve">y </w:t>
      </w:r>
      <w:r w:rsidRPr="00A32804">
        <w:rPr>
          <w:b/>
          <w:bCs/>
          <w:lang w:val="es-ES"/>
        </w:rPr>
        <w:t>35 (Rev. CMR-23)</w:t>
      </w:r>
      <w:r w:rsidRPr="00A32804">
        <w:rPr>
          <w:lang w:val="es-ES"/>
        </w:rPr>
        <w:t>, así como varios módulos que permiten el registro de compromisos y parámetros relacionados con la dfpe.</w:t>
      </w:r>
    </w:p>
    <w:p w14:paraId="3A1078F8"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 xml:space="preserve">Migración de SRS MDB a tecnologías más modernas: </w:t>
      </w:r>
      <w:r>
        <w:rPr>
          <w:lang w:val="es-ES"/>
        </w:rPr>
        <w:t>l</w:t>
      </w:r>
      <w:r w:rsidRPr="00A32804">
        <w:rPr>
          <w:lang w:val="es-ES"/>
        </w:rPr>
        <w:t xml:space="preserve">os trabajos conexos continuarán únicamente tras la aplicación de las decisiones de la CMR-23. Una vez que las aplicaciones del </w:t>
      </w:r>
      <w:r w:rsidRPr="00A05079">
        <w:rPr>
          <w:i/>
          <w:iCs/>
          <w:lang w:val="es-ES"/>
        </w:rPr>
        <w:t>software</w:t>
      </w:r>
      <w:r w:rsidRPr="00A32804">
        <w:rPr>
          <w:lang w:val="es-ES"/>
        </w:rPr>
        <w:t xml:space="preserve"> espacial de la BR pasen a SQLite, se garantizará la compatibilidad con el formato MDB y las herramientas de conversión asociadas.</w:t>
      </w:r>
    </w:p>
    <w:p w14:paraId="24FDA23B"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 xml:space="preserve">Migración de la base de datos SNS de Ingres a SQL Server: La migración a SQL Server se completó el 10 de enero de 2025. </w:t>
      </w:r>
    </w:p>
    <w:p w14:paraId="314566A2"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Examen de SNTrack: En curso. SNTrack se reemplazará gradualmente por un sistema de información de gestión espacial, que complementará la funcionalidad de administración del sistema e-Submissions.</w:t>
      </w:r>
    </w:p>
    <w:p w14:paraId="4E7F2D57"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 xml:space="preserve">Examen de la SNS en línea (y fusión con la SNL en línea): </w:t>
      </w:r>
      <w:r>
        <w:rPr>
          <w:lang w:val="es-ES"/>
        </w:rPr>
        <w:t>l</w:t>
      </w:r>
      <w:r w:rsidRPr="00A32804">
        <w:rPr>
          <w:lang w:val="es-ES"/>
        </w:rPr>
        <w:t xml:space="preserve">a aplicación web </w:t>
      </w:r>
      <w:hyperlink r:id="rId45" w:history="1">
        <w:r w:rsidRPr="00A32804">
          <w:rPr>
            <w:rStyle w:val="Hyperlink"/>
            <w:rFonts w:eastAsia="SimSun"/>
            <w:lang w:val="es-ES"/>
          </w:rPr>
          <w:t>ITU Space Explorer</w:t>
        </w:r>
      </w:hyperlink>
      <w:r w:rsidRPr="00A32804">
        <w:rPr>
          <w:lang w:val="es-ES"/>
        </w:rPr>
        <w:t xml:space="preserve"> entró en fase de producción el 18 de diciembre de 2024.</w:t>
      </w:r>
    </w:p>
    <w:p w14:paraId="7FFB504C" w14:textId="77777777" w:rsidR="00B469E0" w:rsidRPr="00A32804" w:rsidRDefault="00B469E0" w:rsidP="00B469E0">
      <w:pPr>
        <w:pStyle w:val="Heading3"/>
        <w:rPr>
          <w:lang w:val="es-ES"/>
        </w:rPr>
      </w:pPr>
      <w:r w:rsidRPr="00A32804">
        <w:rPr>
          <w:lang w:val="es-ES"/>
        </w:rPr>
        <w:t>7.2.2</w:t>
      </w:r>
      <w:r w:rsidRPr="00A32804">
        <w:rPr>
          <w:lang w:val="es-ES"/>
        </w:rPr>
        <w:tab/>
        <w:t>Avances en favor de los objetivos de la Fase 3 de la hoja de ruta</w:t>
      </w:r>
    </w:p>
    <w:p w14:paraId="674470D0" w14:textId="77777777" w:rsidR="00B469E0" w:rsidRPr="00A32804" w:rsidRDefault="00B469E0" w:rsidP="00B469E0">
      <w:pPr>
        <w:rPr>
          <w:lang w:val="es-ES"/>
        </w:rPr>
      </w:pPr>
      <w:r w:rsidRPr="00A32804">
        <w:rPr>
          <w:lang w:val="es-ES"/>
        </w:rPr>
        <w:t>El trabajo realizado durante las fases anteriores, así como las opciones tecnológicas y de diseño adoptadas, constituyen la base para finalizar de forma satisfactoria la Fase 3, que se desarrollará como sigue:</w:t>
      </w:r>
    </w:p>
    <w:p w14:paraId="47A8C97B"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El rediseño de la arquitectura, conservando la equivalencia de los datos, pero con el objetivo de eliminar ciertas redundancias, se entregará como v10.5 a principios de 2027, en un punto intermedio entre la implementación de las decisiones de la CRM-23 y la CMR-27, a fin de no modificar la arquitectura de la base de datos con excesiva frecuencia.</w:t>
      </w:r>
    </w:p>
    <w:p w14:paraId="31465F6F" w14:textId="77777777" w:rsidR="00B469E0" w:rsidRPr="00A32804" w:rsidRDefault="00B469E0" w:rsidP="00B469E0">
      <w:pPr>
        <w:pStyle w:val="enumlev1"/>
        <w:rPr>
          <w:lang w:val="es-ES"/>
        </w:rPr>
      </w:pPr>
      <w:r w:rsidRPr="007B1DAE">
        <w:rPr>
          <w:lang w:val="es-ES"/>
        </w:rPr>
        <w:t>•</w:t>
      </w:r>
      <w:r>
        <w:rPr>
          <w:lang w:val="es-ES"/>
        </w:rPr>
        <w:tab/>
      </w:r>
      <w:r w:rsidRPr="00A32804">
        <w:rPr>
          <w:lang w:val="es-ES"/>
        </w:rPr>
        <w:t>Las actividades relacionadas con la centralización y racionalización de la gestión de riesgos, la recuperación y la seguridad están en curso.</w:t>
      </w:r>
    </w:p>
    <w:p w14:paraId="73C7E071" w14:textId="77777777" w:rsidR="00B469E0" w:rsidRPr="00A32804" w:rsidRDefault="00B469E0" w:rsidP="00B469E0">
      <w:pPr>
        <w:pStyle w:val="Heading2"/>
        <w:rPr>
          <w:lang w:val="es-ES"/>
        </w:rPr>
      </w:pPr>
      <w:r w:rsidRPr="00A32804">
        <w:rPr>
          <w:lang w:val="es-ES"/>
        </w:rPr>
        <w:lastRenderedPageBreak/>
        <w:t>7.3</w:t>
      </w:r>
      <w:r w:rsidRPr="00A32804">
        <w:rPr>
          <w:lang w:val="es-ES"/>
        </w:rPr>
        <w:tab/>
        <w:t xml:space="preserve">Desarrollos de </w:t>
      </w:r>
      <w:r w:rsidRPr="00A05079">
        <w:rPr>
          <w:i/>
          <w:iCs/>
          <w:lang w:val="es-ES"/>
        </w:rPr>
        <w:t>software</w:t>
      </w:r>
      <w:r w:rsidRPr="00A32804">
        <w:rPr>
          <w:lang w:val="es-ES"/>
        </w:rPr>
        <w:t xml:space="preserve"> relacionados con los servicios espaciales</w:t>
      </w:r>
    </w:p>
    <w:p w14:paraId="55FA34F4" w14:textId="77777777" w:rsidR="00B469E0" w:rsidRPr="00A32804" w:rsidRDefault="00B469E0" w:rsidP="00B469E0">
      <w:pPr>
        <w:rPr>
          <w:lang w:val="es-ES"/>
        </w:rPr>
      </w:pPr>
      <w:r w:rsidRPr="00A32804">
        <w:rPr>
          <w:lang w:val="es-ES"/>
        </w:rPr>
        <w:t xml:space="preserve">La Oficina tomó nota de que los Grupos de Trabajo del UIT-R solicitaban cada vez más a la Oficina que extrajera datos de las bases de datos de la BR (véase, por ejemplo, el Anexo 42 al último Informe del Presidente del Grupo de Trabajo 4A del UIT-R en el Documento </w:t>
      </w:r>
      <w:hyperlink r:id="rId46" w:history="1">
        <w:r w:rsidRPr="00A32804">
          <w:rPr>
            <w:rStyle w:val="Hyperlink"/>
            <w:rFonts w:eastAsia="SimSun"/>
            <w:lang w:val="es-ES"/>
          </w:rPr>
          <w:t>4A/343</w:t>
        </w:r>
      </w:hyperlink>
      <w:r w:rsidRPr="00A32804">
        <w:rPr>
          <w:lang w:val="es-ES"/>
        </w:rPr>
        <w:t xml:space="preserve">), si bien disponen de herramientas a tal efecto, como BRSIS Query o Space Explorer. Habida cuenta de los recursos que necesita la Oficina para desarrollar dichas herramientas, así como de las actuales limitaciones presupuestarias, se invita a las Administraciones a indicar a la Oficina si consideran necesario que dichas herramientas de búsqueda sigan desarrollándose. </w:t>
      </w:r>
    </w:p>
    <w:p w14:paraId="7ACE4FAD" w14:textId="77777777" w:rsidR="00B469E0" w:rsidRPr="00A32804" w:rsidRDefault="00B469E0" w:rsidP="00B469E0">
      <w:pPr>
        <w:pStyle w:val="Heading3"/>
        <w:rPr>
          <w:lang w:val="es-ES"/>
        </w:rPr>
      </w:pPr>
      <w:r w:rsidRPr="00A32804">
        <w:rPr>
          <w:lang w:val="es-ES"/>
        </w:rPr>
        <w:t>7.3.1</w:t>
      </w:r>
      <w:r w:rsidRPr="00A32804">
        <w:rPr>
          <w:lang w:val="es-ES"/>
        </w:rPr>
        <w:tab/>
        <w:t xml:space="preserve">Aplicación de la Resolución </w:t>
      </w:r>
      <w:r w:rsidRPr="00A32804">
        <w:rPr>
          <w:lang w:val="es-ES" w:eastAsia="ja-JP"/>
        </w:rPr>
        <w:t xml:space="preserve">55 </w:t>
      </w:r>
      <w:r w:rsidRPr="00A32804">
        <w:rPr>
          <w:lang w:val="es-ES"/>
        </w:rPr>
        <w:t>(Rev.</w:t>
      </w:r>
      <w:r w:rsidRPr="00A32804">
        <w:rPr>
          <w:lang w:val="es-ES" w:eastAsia="ja-JP"/>
        </w:rPr>
        <w:t>CMR-23</w:t>
      </w:r>
      <w:r w:rsidRPr="00A32804">
        <w:rPr>
          <w:lang w:val="es-ES"/>
        </w:rPr>
        <w:t xml:space="preserve">): </w:t>
      </w:r>
      <w:bookmarkStart w:id="14" w:name="_Toc161652718"/>
      <w:bookmarkStart w:id="15" w:name="_Toc162257816"/>
      <w:bookmarkStart w:id="16" w:name="_Toc166147660"/>
      <w:r w:rsidRPr="00A32804">
        <w:rPr>
          <w:lang w:val="es-ES"/>
        </w:rPr>
        <w:t xml:space="preserve">Presentación electrónica de formularios de notificación para redes de satélites, estaciones terrenas, estaciones de radioastronomía e informes de interferencia perjudicial causada a servicios espaciales, y comunicaciones correspondientes </w:t>
      </w:r>
    </w:p>
    <w:bookmarkEnd w:id="14"/>
    <w:bookmarkEnd w:id="15"/>
    <w:bookmarkEnd w:id="16"/>
    <w:p w14:paraId="57D39449" w14:textId="77777777" w:rsidR="00B469E0" w:rsidRPr="00A32804" w:rsidDel="00991912" w:rsidRDefault="00B469E0" w:rsidP="00B469E0">
      <w:pPr>
        <w:rPr>
          <w:sz w:val="28"/>
          <w:szCs w:val="28"/>
          <w:lang w:val="es-ES"/>
        </w:rPr>
      </w:pPr>
      <w:r w:rsidRPr="00A32804" w:rsidDel="00991912">
        <w:rPr>
          <w:rFonts w:eastAsia="Calibri"/>
          <w:lang w:val="es-ES"/>
        </w:rPr>
        <w:t xml:space="preserve">La CMR-23 fusionó las Resoluciones </w:t>
      </w:r>
      <w:r w:rsidRPr="00A32804" w:rsidDel="00991912">
        <w:rPr>
          <w:rFonts w:eastAsia="Calibri"/>
          <w:b/>
          <w:lang w:val="es-ES"/>
        </w:rPr>
        <w:t xml:space="preserve">907 </w:t>
      </w:r>
      <w:r w:rsidRPr="00A32804" w:rsidDel="00991912">
        <w:rPr>
          <w:rFonts w:eastAsia="Calibri"/>
          <w:lang w:val="es-ES"/>
        </w:rPr>
        <w:t xml:space="preserve">y </w:t>
      </w:r>
      <w:r w:rsidRPr="00A32804" w:rsidDel="00991912">
        <w:rPr>
          <w:rFonts w:eastAsia="Calibri"/>
          <w:b/>
          <w:lang w:val="es-ES"/>
        </w:rPr>
        <w:t xml:space="preserve">908 </w:t>
      </w:r>
      <w:r w:rsidRPr="00A32804" w:rsidDel="00991912">
        <w:rPr>
          <w:rFonts w:eastAsia="Calibri"/>
          <w:lang w:val="es-ES"/>
        </w:rPr>
        <w:t xml:space="preserve">en la Resolución </w:t>
      </w:r>
      <w:r w:rsidRPr="00A32804" w:rsidDel="00991912">
        <w:rPr>
          <w:rFonts w:eastAsia="Calibri"/>
          <w:b/>
          <w:lang w:val="es-ES"/>
        </w:rPr>
        <w:t>55 (Rev. CMR-23)</w:t>
      </w:r>
      <w:r w:rsidRPr="00A32804" w:rsidDel="00991912">
        <w:rPr>
          <w:rFonts w:eastAsia="Calibri"/>
          <w:lang w:val="es-ES"/>
        </w:rPr>
        <w:t xml:space="preserve">, </w:t>
      </w:r>
      <w:r w:rsidRPr="00A32804">
        <w:rPr>
          <w:rFonts w:eastAsia="Calibri"/>
          <w:lang w:val="es-ES"/>
        </w:rPr>
        <w:t>por lo que todos los desarrollos futuros de los sistemas presentación electrónica e-Submission y de comunicación electrónica e-Communications se realizarán con arreglo a la Resolución </w:t>
      </w:r>
      <w:r w:rsidRPr="00A32804">
        <w:rPr>
          <w:rFonts w:eastAsia="Calibri"/>
          <w:b/>
          <w:bCs/>
          <w:lang w:val="es-ES"/>
        </w:rPr>
        <w:t>55 (Rev.CMR-23)</w:t>
      </w:r>
      <w:r w:rsidRPr="00A32804">
        <w:rPr>
          <w:rFonts w:eastAsia="Calibri"/>
          <w:lang w:val="es-ES"/>
        </w:rPr>
        <w:t>.</w:t>
      </w:r>
    </w:p>
    <w:p w14:paraId="6AEC98D9" w14:textId="77777777" w:rsidR="00B469E0" w:rsidRPr="00A32804" w:rsidRDefault="00B469E0" w:rsidP="00B469E0">
      <w:pPr>
        <w:rPr>
          <w:lang w:val="es-ES" w:eastAsia="ja-JP"/>
        </w:rPr>
      </w:pPr>
      <w:r w:rsidRPr="00A32804">
        <w:rPr>
          <w:rFonts w:eastAsia="Calibri"/>
          <w:lang w:val="es-ES"/>
        </w:rPr>
        <w:t>El sistema e-Submission ha estado funcionando de forma fiable las 24 horas del día a lo largo de</w:t>
      </w:r>
      <w:r>
        <w:rPr>
          <w:rFonts w:eastAsia="Calibri"/>
          <w:lang w:val="es-ES"/>
        </w:rPr>
        <w:t> </w:t>
      </w:r>
      <w:r w:rsidRPr="00A32804">
        <w:rPr>
          <w:rFonts w:eastAsia="Calibri"/>
          <w:lang w:val="es-ES"/>
        </w:rPr>
        <w:t xml:space="preserve">2024, con el objetivo de que las administraciones y empresas de explotación pudieran notificar sus redes de satélites. El número de administraciones registradas ha aumentado de 154 a principios de 2024 a </w:t>
      </w:r>
      <w:r w:rsidRPr="00A32804">
        <w:rPr>
          <w:lang w:val="es-ES" w:eastAsia="ja-JP"/>
        </w:rPr>
        <w:t xml:space="preserve">156 </w:t>
      </w:r>
      <w:r w:rsidRPr="00A32804">
        <w:rPr>
          <w:rFonts w:eastAsia="Calibri"/>
          <w:lang w:val="es-ES"/>
        </w:rPr>
        <w:t>en la fecha de redacción del presente informe.</w:t>
      </w:r>
    </w:p>
    <w:p w14:paraId="11B09EFE" w14:textId="77777777" w:rsidR="00B469E0" w:rsidRPr="00A32804" w:rsidRDefault="00B469E0" w:rsidP="00B469E0">
      <w:pPr>
        <w:rPr>
          <w:lang w:val="es-ES" w:eastAsia="ja-JP"/>
        </w:rPr>
      </w:pPr>
      <w:r w:rsidRPr="00A32804">
        <w:rPr>
          <w:lang w:val="es-ES" w:eastAsia="ja-JP"/>
        </w:rPr>
        <w:t xml:space="preserve">Con miras a facilitar la aplicación de las decisiones de la CMR-23, </w:t>
      </w:r>
      <w:r w:rsidRPr="00A32804">
        <w:rPr>
          <w:rFonts w:eastAsia="Calibri"/>
          <w:lang w:val="es-ES"/>
        </w:rPr>
        <w:t xml:space="preserve">el 20 de diciembre de </w:t>
      </w:r>
      <w:r w:rsidRPr="00A32804">
        <w:rPr>
          <w:lang w:val="es-ES" w:eastAsia="ja-JP"/>
        </w:rPr>
        <w:t xml:space="preserve">2024 la Oficina actualizó </w:t>
      </w:r>
      <w:r w:rsidRPr="00A32804">
        <w:rPr>
          <w:rFonts w:eastAsia="Calibri"/>
          <w:lang w:val="es-ES"/>
        </w:rPr>
        <w:t xml:space="preserve">el </w:t>
      </w:r>
      <w:r w:rsidRPr="00A32804">
        <w:rPr>
          <w:lang w:val="es-ES" w:eastAsia="ja-JP"/>
        </w:rPr>
        <w:t xml:space="preserve">sistema </w:t>
      </w:r>
      <w:r w:rsidRPr="00A32804">
        <w:rPr>
          <w:rFonts w:eastAsia="Calibri"/>
          <w:lang w:val="es-ES"/>
        </w:rPr>
        <w:t xml:space="preserve">e-Submission para que las administraciones y empresas de explotación pudieran notificar sus </w:t>
      </w:r>
      <w:r w:rsidRPr="00A32804">
        <w:rPr>
          <w:lang w:val="es-ES" w:eastAsia="ja-JP"/>
        </w:rPr>
        <w:t>redes de satélite en el formato SNS V10, incluidos los nuevos tipos de notificaciones introducidos por la CMR-23</w:t>
      </w:r>
      <w:r w:rsidRPr="00A32804">
        <w:rPr>
          <w:rFonts w:eastAsia="Calibri"/>
          <w:lang w:val="es-ES"/>
        </w:rPr>
        <w:t xml:space="preserve">. Además, conforme a lo indicado en la Carta Circular </w:t>
      </w:r>
      <w:r w:rsidRPr="00A32804">
        <w:rPr>
          <w:lang w:val="es-ES" w:eastAsia="ja-JP"/>
        </w:rPr>
        <w:t>CR/511</w:t>
      </w:r>
      <w:r w:rsidRPr="00A32804">
        <w:rPr>
          <w:rFonts w:eastAsia="Calibri"/>
          <w:lang w:val="es-ES"/>
        </w:rPr>
        <w:t xml:space="preserve">, el sistema e-Submission acepta la presentación oficial de notificaciones en formato SNS </w:t>
      </w:r>
      <w:r w:rsidRPr="00A32804">
        <w:rPr>
          <w:lang w:val="es-ES" w:eastAsia="ja-JP"/>
        </w:rPr>
        <w:t>V10 desde el 1 de enero de 2025</w:t>
      </w:r>
      <w:r w:rsidRPr="00A32804">
        <w:rPr>
          <w:rFonts w:eastAsia="Calibri"/>
          <w:lang w:val="es-ES"/>
        </w:rPr>
        <w:t>.</w:t>
      </w:r>
    </w:p>
    <w:p w14:paraId="3FD027F4" w14:textId="77777777" w:rsidR="00B469E0" w:rsidRPr="00A32804" w:rsidRDefault="00B469E0" w:rsidP="00B469E0">
      <w:pPr>
        <w:rPr>
          <w:rFonts w:eastAsia="Calibri"/>
          <w:lang w:val="es-ES"/>
        </w:rPr>
      </w:pPr>
      <w:r w:rsidRPr="00A32804">
        <w:rPr>
          <w:rFonts w:eastAsia="Calibri"/>
          <w:lang w:val="es-ES"/>
        </w:rPr>
        <w:t>Con miras a facilitar el desarrollo y la puesta a prueba de esta herramienta, la Administración de Japón ha realizado una contribución financiera y ha puesto a disposición un experto en cuestiones técnicas y normativas de los servicios espaciales en la Sede de la UIT. La Oficina de Radiocomunicaciones reitera su agradecimiento a la Administración de Japón por su constante apoyo y por la asistencia prestada en el desarrollo de este proyecto.</w:t>
      </w:r>
    </w:p>
    <w:p w14:paraId="2F997F87" w14:textId="77777777" w:rsidR="00B469E0" w:rsidRPr="00A32804" w:rsidRDefault="00B469E0" w:rsidP="00B469E0">
      <w:pPr>
        <w:rPr>
          <w:lang w:val="es-ES" w:eastAsia="ja-JP"/>
        </w:rPr>
      </w:pPr>
      <w:r w:rsidRPr="00A32804">
        <w:rPr>
          <w:rFonts w:eastAsia="Calibri"/>
          <w:lang w:val="es-ES"/>
        </w:rPr>
        <w:t xml:space="preserve">El sistema e-Communications </w:t>
      </w:r>
      <w:r w:rsidRPr="00A32804">
        <w:rPr>
          <w:lang w:val="es-ES" w:eastAsia="ja-JP"/>
        </w:rPr>
        <w:t>también</w:t>
      </w:r>
      <w:r w:rsidRPr="00A32804">
        <w:rPr>
          <w:rFonts w:eastAsia="Calibri"/>
          <w:lang w:val="es-ES"/>
        </w:rPr>
        <w:t xml:space="preserve"> ha estado funcionando de forma fiable las 24 horas del día a lo largo de 2024 para que las administraciones pudieran enviar comunicaciones. El número de administraciones registradas ha pasado de 158 a principios de 2024 a </w:t>
      </w:r>
      <w:r w:rsidRPr="00A32804">
        <w:rPr>
          <w:lang w:val="es-ES" w:eastAsia="ja-JP"/>
        </w:rPr>
        <w:t>163</w:t>
      </w:r>
      <w:r w:rsidRPr="00A32804">
        <w:rPr>
          <w:rFonts w:eastAsia="Calibri"/>
          <w:lang w:val="es-ES"/>
        </w:rPr>
        <w:t xml:space="preserve">, de las cuales </w:t>
      </w:r>
      <w:r w:rsidRPr="00A32804">
        <w:rPr>
          <w:lang w:val="es-ES" w:eastAsia="ja-JP"/>
        </w:rPr>
        <w:t xml:space="preserve">133 </w:t>
      </w:r>
      <w:r w:rsidRPr="00A32804">
        <w:rPr>
          <w:rFonts w:eastAsia="Calibri"/>
          <w:lang w:val="es-ES"/>
        </w:rPr>
        <w:t>habían enviado correspondencia a través del sistema en la fecha en que se redactó el presente informe.</w:t>
      </w:r>
    </w:p>
    <w:p w14:paraId="2EBE2740" w14:textId="77777777" w:rsidR="00B469E0" w:rsidRPr="00A32804" w:rsidRDefault="00B469E0" w:rsidP="00B469E0">
      <w:pPr>
        <w:rPr>
          <w:lang w:val="es-ES" w:eastAsia="ja-JP"/>
        </w:rPr>
      </w:pPr>
      <w:r w:rsidRPr="00A32804">
        <w:rPr>
          <w:lang w:val="es-ES" w:eastAsia="ja-JP"/>
        </w:rPr>
        <w:t xml:space="preserve">El 6 de marzo </w:t>
      </w:r>
      <w:r w:rsidRPr="00A32804">
        <w:rPr>
          <w:rFonts w:eastAsia="Calibri"/>
          <w:lang w:val="es-ES"/>
        </w:rPr>
        <w:t xml:space="preserve">de 2024, </w:t>
      </w:r>
      <w:r w:rsidRPr="00A32804">
        <w:rPr>
          <w:lang w:val="es-ES" w:eastAsia="ja-JP"/>
        </w:rPr>
        <w:t xml:space="preserve">se introdujeron </w:t>
      </w:r>
      <w:r w:rsidRPr="00A32804">
        <w:rPr>
          <w:rFonts w:eastAsia="Calibri"/>
          <w:lang w:val="es-ES"/>
        </w:rPr>
        <w:t xml:space="preserve">nuevas funcionalidades con objeto de integrar mejor los sistemas e-Submission </w:t>
      </w:r>
      <w:r w:rsidRPr="00A32804">
        <w:rPr>
          <w:lang w:val="es-ES" w:eastAsia="ja-JP"/>
        </w:rPr>
        <w:t>y e-Communications</w:t>
      </w:r>
      <w:r w:rsidRPr="00A32804">
        <w:rPr>
          <w:rFonts w:eastAsia="Calibri"/>
          <w:lang w:val="es-ES"/>
        </w:rPr>
        <w:t xml:space="preserve"> y, de esta forma, </w:t>
      </w:r>
      <w:r w:rsidRPr="00A32804">
        <w:rPr>
          <w:lang w:val="es-ES" w:eastAsia="ja-JP"/>
        </w:rPr>
        <w:t xml:space="preserve">ayudar a las administraciones y a las organizaciones intergubernamentales de satélites a revisar eficazmente las notificaciones de redes de satélites presentadas a través de e-Submission, así como a gestionar la correspondencia enviada a través de e-Communications por administraciones inmersas en procedimientos reglamentarios relativos a sistemas de satélites o a estaciones terrenas o de radioastronomía. </w:t>
      </w:r>
      <w:bookmarkStart w:id="17" w:name="_Hlk191077505"/>
      <w:r w:rsidRPr="00A32804">
        <w:rPr>
          <w:color w:val="000000"/>
          <w:shd w:val="clear" w:color="auto" w:fill="FFFFFF"/>
          <w:lang w:val="es-ES"/>
        </w:rPr>
        <w:t xml:space="preserve">Al mismo tiempo, una nueva funcionalidad para las administraciones muestra la fecha de vencimiento de las cartas recibidas de la Oficina que requieren una respuesta e incluye recordatorios automáticos a medida </w:t>
      </w:r>
      <w:r w:rsidRPr="00A32804">
        <w:rPr>
          <w:color w:val="000000"/>
          <w:shd w:val="clear" w:color="auto" w:fill="FFFFFF"/>
          <w:lang w:val="es-ES"/>
        </w:rPr>
        <w:lastRenderedPageBreak/>
        <w:t xml:space="preserve">que se va acercando la fecha de vencimiento. A lo largo de 2024, </w:t>
      </w:r>
      <w:r w:rsidRPr="00A32804">
        <w:rPr>
          <w:lang w:val="es-ES" w:eastAsia="ja-JP"/>
        </w:rPr>
        <w:t>la Oficina actualizó esta función de recordatorio de forma continua, junto con las interfaces de usuario de e-Communications.</w:t>
      </w:r>
    </w:p>
    <w:bookmarkEnd w:id="17"/>
    <w:p w14:paraId="4FF4877C" w14:textId="77777777" w:rsidR="00B469E0" w:rsidRPr="00A32804" w:rsidRDefault="00B469E0" w:rsidP="00B469E0">
      <w:pPr>
        <w:rPr>
          <w:lang w:val="es-ES" w:eastAsia="ja-JP"/>
        </w:rPr>
      </w:pPr>
      <w:r w:rsidRPr="00A32804">
        <w:rPr>
          <w:rFonts w:eastAsia="Calibri"/>
          <w:lang w:val="es-ES"/>
        </w:rPr>
        <w:t xml:space="preserve">Se está trabajando para ofrecer otras funciones, por ejemplo, para </w:t>
      </w:r>
      <w:r w:rsidRPr="00A32804">
        <w:rPr>
          <w:lang w:val="es-ES" w:eastAsia="ja-JP"/>
        </w:rPr>
        <w:t>que las</w:t>
      </w:r>
      <w:r w:rsidRPr="00A32804">
        <w:rPr>
          <w:rFonts w:eastAsia="Calibri"/>
          <w:lang w:val="es-ES"/>
        </w:rPr>
        <w:t xml:space="preserve"> empresas de explotación</w:t>
      </w:r>
      <w:r w:rsidRPr="00A32804">
        <w:rPr>
          <w:lang w:val="es-ES" w:eastAsia="ja-JP"/>
        </w:rPr>
        <w:t xml:space="preserve"> puedan utilizar </w:t>
      </w:r>
      <w:r w:rsidRPr="00A32804">
        <w:rPr>
          <w:rFonts w:eastAsia="Calibri"/>
          <w:lang w:val="es-ES"/>
        </w:rPr>
        <w:t xml:space="preserve">el sistema </w:t>
      </w:r>
      <w:r w:rsidRPr="00A32804">
        <w:rPr>
          <w:lang w:val="es-ES" w:eastAsia="ja-JP"/>
        </w:rPr>
        <w:t>e-Communications</w:t>
      </w:r>
      <w:r w:rsidRPr="00A32804">
        <w:rPr>
          <w:rFonts w:eastAsia="Calibri"/>
          <w:lang w:val="es-ES"/>
        </w:rPr>
        <w:t xml:space="preserve">. Se ha previsto introducir esta función en el </w:t>
      </w:r>
      <w:r w:rsidRPr="00A32804">
        <w:rPr>
          <w:lang w:val="es-ES" w:eastAsia="ja-JP"/>
        </w:rPr>
        <w:t xml:space="preserve">segundo </w:t>
      </w:r>
      <w:r w:rsidRPr="00A32804">
        <w:rPr>
          <w:rFonts w:eastAsia="Calibri"/>
          <w:lang w:val="es-ES"/>
        </w:rPr>
        <w:t xml:space="preserve">trimestre de </w:t>
      </w:r>
      <w:r w:rsidRPr="00A32804">
        <w:rPr>
          <w:lang w:val="es-ES" w:eastAsia="ja-JP"/>
        </w:rPr>
        <w:t>2025</w:t>
      </w:r>
      <w:r w:rsidRPr="00A32804">
        <w:rPr>
          <w:rFonts w:eastAsia="Calibri"/>
          <w:lang w:val="es-ES"/>
        </w:rPr>
        <w:t>. La Oficina también seguirá trabajando en el sistema de presentación de observaciones en línea; no obstante, esta tarea dependerá de la disponibilidad de recursos adicionales.</w:t>
      </w:r>
    </w:p>
    <w:p w14:paraId="72FE7397" w14:textId="77777777" w:rsidR="00B469E0" w:rsidRPr="00A32804" w:rsidRDefault="00B469E0" w:rsidP="00B469E0">
      <w:pPr>
        <w:pStyle w:val="Heading3"/>
        <w:rPr>
          <w:lang w:val="es-ES"/>
        </w:rPr>
      </w:pPr>
      <w:r w:rsidRPr="00A32804">
        <w:rPr>
          <w:lang w:val="es-ES"/>
        </w:rPr>
        <w:t>7.3.2</w:t>
      </w:r>
      <w:r w:rsidRPr="00A32804">
        <w:rPr>
          <w:lang w:val="es-ES"/>
        </w:rPr>
        <w:tab/>
        <w:t>Aplicación de la BR IFIC (servicios espaciales) en línea</w:t>
      </w:r>
    </w:p>
    <w:p w14:paraId="26A55600" w14:textId="77777777" w:rsidR="00B469E0" w:rsidRPr="00A32804" w:rsidRDefault="00B469E0" w:rsidP="00B469E0">
      <w:pPr>
        <w:rPr>
          <w:rFonts w:eastAsia="Calibri"/>
          <w:lang w:val="es-ES"/>
        </w:rPr>
      </w:pPr>
      <w:r w:rsidRPr="00A32804">
        <w:rPr>
          <w:rFonts w:eastAsia="Calibri"/>
          <w:lang w:val="es-ES"/>
        </w:rPr>
        <w:t>La aplicación de la BR IFIC (servicios espaciales) en línea se puso en marcha oficialmente el 23 de enero de 2024 en un servidor seguro al que puede accederse las 24 horas al día, los 7 días de la semana. Esta interfaz permite a los usuarios navegar por el contenido de la BR IFIC (servicios espaciales) y descargar las publicaciones y bases de datos pertinentes.</w:t>
      </w:r>
    </w:p>
    <w:p w14:paraId="2FE11871" w14:textId="77777777" w:rsidR="00B469E0" w:rsidRPr="00A32804" w:rsidRDefault="00B469E0" w:rsidP="00B469E0">
      <w:pPr>
        <w:rPr>
          <w:lang w:val="es-ES"/>
        </w:rPr>
      </w:pPr>
      <w:r w:rsidRPr="00A32804">
        <w:rPr>
          <w:lang w:val="es-ES"/>
        </w:rPr>
        <w:t xml:space="preserve">A partir del 1 de enero de 2025, el principal medio de difusión de la BR IFIC es la distribución por la web del fichero ISO y la aplicación de la BR IFIC en línea. La BR IFIC ya no se distribuye en DVD-ROM ni a las administraciones ni a los suscriptores, a menos que los interesados lo soliciten explícitamente (en febrero de 2025 se contaban 11 solicitudes). </w:t>
      </w:r>
    </w:p>
    <w:p w14:paraId="697363BE" w14:textId="77777777" w:rsidR="00B469E0" w:rsidRPr="00A32804" w:rsidRDefault="00B469E0" w:rsidP="00B469E0">
      <w:pPr>
        <w:rPr>
          <w:rFonts w:eastAsia="Calibri"/>
          <w:lang w:val="es-ES"/>
        </w:rPr>
      </w:pPr>
      <w:r w:rsidRPr="00A32804">
        <w:rPr>
          <w:lang w:val="es-ES"/>
        </w:rPr>
        <w:t>Las administraciones de los Estados Miembros gozan de acceso ilimitado a la BR IFIC en línea. Cada suscripción de pago incluye un acceso para un usuario designado a la aplicación de la BR IFIC en línea y la distribución por la web del archivo ISO.</w:t>
      </w:r>
    </w:p>
    <w:p w14:paraId="0AC64ED0" w14:textId="77777777" w:rsidR="00B469E0" w:rsidRPr="00A32804" w:rsidRDefault="00B469E0" w:rsidP="00B469E0">
      <w:pPr>
        <w:rPr>
          <w:rFonts w:eastAsia="Calibri"/>
          <w:lang w:val="es-ES"/>
        </w:rPr>
      </w:pPr>
      <w:r w:rsidRPr="00A32804">
        <w:rPr>
          <w:rFonts w:eastAsia="Calibri"/>
          <w:lang w:val="es-ES"/>
        </w:rPr>
        <w:t xml:space="preserve">Además, la Oficina ha previsto ofrecer una interfaz de programación de aplicaciones (API), que permitirá a los usuarios acceder a la BR IFIC y recuperar información conexa gracias a la integración entre empresas (B2B). El diseño de esta API brindará un acceso estructurado y eficiente a los datos publicados, las consultas y las bases de datos, y admitirá la presentación de respuestas en varios formatos, tales como JSON y CSV. </w:t>
      </w:r>
      <w:r w:rsidRPr="00A32804">
        <w:rPr>
          <w:lang w:val="es-ES"/>
        </w:rPr>
        <w:t xml:space="preserve">La seguridad de la API de la BR IFIC vendrá garantizada por un mecanismo de autenticación basado en claves de acceso, que permitirá identificar a los suscriptores y autorizar su acceso. Actualmente, se están llevando a cabo </w:t>
      </w:r>
      <w:r w:rsidRPr="00A32804">
        <w:rPr>
          <w:rFonts w:eastAsia="Calibri"/>
          <w:lang w:val="es-ES"/>
        </w:rPr>
        <w:t>pruebas centradas en autenticar los procesos y garantizar el cumplimiento de los requisitos institucionales.</w:t>
      </w:r>
    </w:p>
    <w:p w14:paraId="74CA2C6B" w14:textId="77777777" w:rsidR="00B469E0" w:rsidRPr="00A32804" w:rsidRDefault="00B469E0" w:rsidP="00B469E0">
      <w:pPr>
        <w:rPr>
          <w:rFonts w:eastAsia="Calibri"/>
          <w:lang w:val="es-ES"/>
        </w:rPr>
      </w:pPr>
      <w:r w:rsidRPr="00A32804">
        <w:rPr>
          <w:rFonts w:eastAsia="Calibri"/>
          <w:lang w:val="es-ES"/>
        </w:rPr>
        <w:t xml:space="preserve">Por último, se está trabajando con el objetivo de otorgar a los </w:t>
      </w:r>
      <w:r w:rsidRPr="00A32804">
        <w:rPr>
          <w:lang w:val="es-ES"/>
        </w:rPr>
        <w:t xml:space="preserve">suscriptores </w:t>
      </w:r>
      <w:r w:rsidRPr="00A32804">
        <w:rPr>
          <w:rFonts w:eastAsia="Calibri"/>
          <w:lang w:val="es-ES"/>
        </w:rPr>
        <w:t>a la BR IFIC acceso a los archivos completos de las publicaciones de la BR WIC y la BR IFIC anteriores.</w:t>
      </w:r>
    </w:p>
    <w:p w14:paraId="0B17012E" w14:textId="77777777" w:rsidR="00B469E0" w:rsidRPr="00A32804" w:rsidRDefault="00B469E0" w:rsidP="00B469E0">
      <w:pPr>
        <w:pStyle w:val="Heading2"/>
        <w:rPr>
          <w:lang w:val="es-ES"/>
        </w:rPr>
      </w:pPr>
      <w:r w:rsidRPr="00A32804">
        <w:rPr>
          <w:lang w:val="es-ES"/>
        </w:rPr>
        <w:t>7.4</w:t>
      </w:r>
      <w:r w:rsidRPr="00A32804">
        <w:rPr>
          <w:lang w:val="es-ES"/>
        </w:rPr>
        <w:tab/>
        <w:t xml:space="preserve">Desarrollos de </w:t>
      </w:r>
      <w:r w:rsidRPr="00A05079">
        <w:rPr>
          <w:i/>
          <w:iCs/>
          <w:lang w:val="es-ES"/>
        </w:rPr>
        <w:t>software</w:t>
      </w:r>
      <w:r w:rsidRPr="00A32804">
        <w:rPr>
          <w:lang w:val="es-ES"/>
        </w:rPr>
        <w:t xml:space="preserve"> relacionados con los servicios terrenales y otros </w:t>
      </w:r>
      <w:r w:rsidRPr="00A05079">
        <w:rPr>
          <w:i/>
          <w:iCs/>
          <w:lang w:val="es-ES"/>
        </w:rPr>
        <w:t>software</w:t>
      </w:r>
      <w:r w:rsidRPr="00A32804">
        <w:rPr>
          <w:lang w:val="es-ES"/>
        </w:rPr>
        <w:t xml:space="preserve"> y herramientas de la BR</w:t>
      </w:r>
    </w:p>
    <w:p w14:paraId="0C950261" w14:textId="77777777" w:rsidR="00B469E0" w:rsidRPr="00A32804" w:rsidRDefault="00B469E0" w:rsidP="00B469E0">
      <w:pPr>
        <w:pStyle w:val="Heading3"/>
        <w:rPr>
          <w:lang w:val="es-ES"/>
        </w:rPr>
      </w:pPr>
      <w:r w:rsidRPr="00A32804">
        <w:rPr>
          <w:lang w:val="es-ES"/>
        </w:rPr>
        <w:t>7.4.1</w:t>
      </w:r>
      <w:r w:rsidRPr="00A32804">
        <w:rPr>
          <w:lang w:val="es-ES"/>
        </w:rPr>
        <w:tab/>
        <w:t>Herramientas relativas al Reglamento de Radiocomunicaciones</w:t>
      </w:r>
    </w:p>
    <w:p w14:paraId="4B88ED59" w14:textId="77777777" w:rsidR="00B469E0" w:rsidRPr="00A32804" w:rsidRDefault="00B469E0" w:rsidP="00B469E0">
      <w:pPr>
        <w:rPr>
          <w:lang w:val="es-ES"/>
        </w:rPr>
      </w:pPr>
      <w:r w:rsidRPr="00A32804">
        <w:rPr>
          <w:lang w:val="es-ES"/>
        </w:rPr>
        <w:t xml:space="preserve">La Oficina sigue actualizando y manteniendo herramientas de </w:t>
      </w:r>
      <w:r w:rsidRPr="00A05079">
        <w:rPr>
          <w:i/>
          <w:iCs/>
          <w:lang w:val="es-ES"/>
        </w:rPr>
        <w:t>software</w:t>
      </w:r>
      <w:r w:rsidRPr="00A32804">
        <w:rPr>
          <w:lang w:val="es-ES"/>
        </w:rPr>
        <w:t xml:space="preserve"> para facilitar la utilización y el análisis del Reglamento de Radiocomunicaciones (RR), en concreto:</w:t>
      </w:r>
    </w:p>
    <w:p w14:paraId="5F064C51" w14:textId="77777777" w:rsidR="00B469E0" w:rsidRPr="00A32804" w:rsidRDefault="00B469E0" w:rsidP="00B469E0">
      <w:pPr>
        <w:pStyle w:val="enumlev1"/>
        <w:rPr>
          <w:lang w:val="es-ES"/>
        </w:rPr>
      </w:pPr>
      <w:r w:rsidRPr="00A32804">
        <w:rPr>
          <w:lang w:val="es-ES"/>
        </w:rPr>
        <w:t>a)</w:t>
      </w:r>
      <w:r w:rsidRPr="00A32804">
        <w:rPr>
          <w:lang w:val="es-ES"/>
        </w:rPr>
        <w:tab/>
        <w:t xml:space="preserve">Se ha procedido a actualizar la </w:t>
      </w:r>
      <w:r>
        <w:rPr>
          <w:b/>
          <w:i/>
          <w:lang w:val="es-ES"/>
        </w:rPr>
        <w:t>H</w:t>
      </w:r>
      <w:r w:rsidRPr="00A32804">
        <w:rPr>
          <w:b/>
          <w:i/>
          <w:lang w:val="es-ES"/>
        </w:rPr>
        <w:t xml:space="preserve">erramienta de navegación del Reglamento de Radiocomunicaciones </w:t>
      </w:r>
      <w:r w:rsidRPr="00A32804">
        <w:rPr>
          <w:bCs/>
          <w:iCs/>
          <w:lang w:val="es-ES"/>
        </w:rPr>
        <w:t xml:space="preserve">de acuerdo con </w:t>
      </w:r>
      <w:r w:rsidRPr="00A32804">
        <w:rPr>
          <w:lang w:val="es-ES"/>
        </w:rPr>
        <w:t>la versión de 2024 del Reglamento de Radiocomunicaciones y otros textos pertinentes (Reglas de Procedimiento, textos fundamentales, etc.). Su publicación está prevista para abril de 2025.</w:t>
      </w:r>
    </w:p>
    <w:p w14:paraId="0FAAA93A" w14:textId="77777777" w:rsidR="00B469E0" w:rsidRPr="00A32804" w:rsidRDefault="00B469E0" w:rsidP="00B469E0">
      <w:pPr>
        <w:pStyle w:val="enumlev1"/>
        <w:rPr>
          <w:lang w:val="es-ES"/>
        </w:rPr>
      </w:pPr>
      <w:r w:rsidRPr="00A32804">
        <w:rPr>
          <w:lang w:val="es-ES"/>
        </w:rPr>
        <w:t>b)</w:t>
      </w:r>
      <w:r w:rsidRPr="00A32804">
        <w:rPr>
          <w:lang w:val="es-ES"/>
        </w:rPr>
        <w:tab/>
        <w:t xml:space="preserve">La herramienta de </w:t>
      </w:r>
      <w:r w:rsidRPr="00A05079">
        <w:rPr>
          <w:i/>
          <w:iCs/>
          <w:lang w:val="es-ES"/>
        </w:rPr>
        <w:t>software</w:t>
      </w:r>
      <w:r w:rsidRPr="00A32804">
        <w:rPr>
          <w:lang w:val="es-ES"/>
        </w:rPr>
        <w:t xml:space="preserve"> del</w:t>
      </w:r>
      <w:r w:rsidRPr="00A32804">
        <w:rPr>
          <w:b/>
          <w:i/>
          <w:lang w:val="es-ES"/>
        </w:rPr>
        <w:t xml:space="preserve"> Cuadro de atribución de bandas de frecuencias del Artículo 5 del RR</w:t>
      </w:r>
      <w:r w:rsidRPr="00A32804">
        <w:rPr>
          <w:lang w:val="es-ES"/>
        </w:rPr>
        <w:t xml:space="preserve">, diseñada para realizar búsquedas y análisis detallados del Cuadro de atribución de bandas de frecuencias del Artículo 5 del Reglamento de </w:t>
      </w:r>
      <w:r w:rsidRPr="00A32804">
        <w:rPr>
          <w:lang w:val="es-ES"/>
        </w:rPr>
        <w:lastRenderedPageBreak/>
        <w:t xml:space="preserve">Radiocomunicaciones, permite filtrar y reconfigurar los datos en función de la gama de frecuencias, el servicio, la categoría de servicio, la nota, el país, etc. </w:t>
      </w:r>
    </w:p>
    <w:p w14:paraId="212ADBD5" w14:textId="77777777" w:rsidR="00B469E0" w:rsidRPr="00A32804" w:rsidRDefault="00B469E0" w:rsidP="00B469E0">
      <w:pPr>
        <w:rPr>
          <w:lang w:val="es-ES"/>
        </w:rPr>
      </w:pPr>
      <w:r w:rsidRPr="00A32804">
        <w:rPr>
          <w:lang w:val="es-ES"/>
        </w:rPr>
        <w:t>La herramienta se ha actualizado de acuerdo con los resultados de la CMR-23 y la edición de 2024 del RR, a fin de incorporar los cambios en las atribuciones de frecuencias, las notas de los países y las referencias correspondientes a las Resoluciones y Recomendaciones asociadas. También se han incluido enlaces a las Recomendaciones UIT-R pertinentes a las que se remite el Artículo 5 del RR, además de la última versión de las Reglas de Procedimiento aplicables.</w:t>
      </w:r>
    </w:p>
    <w:p w14:paraId="044031FB" w14:textId="77777777" w:rsidR="00B469E0" w:rsidRPr="00A32804" w:rsidRDefault="00B469E0" w:rsidP="00B469E0">
      <w:pPr>
        <w:rPr>
          <w:lang w:val="es-ES"/>
        </w:rPr>
      </w:pPr>
      <w:r w:rsidRPr="00A32804">
        <w:rPr>
          <w:lang w:val="es-ES"/>
        </w:rPr>
        <w:t>El paquete incluye asimismo un servicio que permite extraer el Cuadro nacional de atribución de frecuencias de un país concreto, previa combinación de las diferentes disposiciones del Artículo 5 del RR. A lo largo de 2024, se hicieron demostraciones de esta herramienta en varios talleres (en Addis Abeba, Shanghái y México) dedicados al establecimiento de Cuadros nacionales de atribución de frecuencias.</w:t>
      </w:r>
    </w:p>
    <w:p w14:paraId="2DCA151E" w14:textId="77777777" w:rsidR="00B469E0" w:rsidRPr="00A32804" w:rsidRDefault="00B469E0" w:rsidP="00B469E0">
      <w:pPr>
        <w:rPr>
          <w:lang w:val="es-ES"/>
        </w:rPr>
      </w:pPr>
      <w:r w:rsidRPr="00A32804">
        <w:rPr>
          <w:lang w:val="es-ES"/>
        </w:rPr>
        <w:t xml:space="preserve">La versión más reciente del paquete puede adquirirse en el sitio web de ventas de la UIT desde octubre de 2024. Todas las actualizaciones del </w:t>
      </w:r>
      <w:r w:rsidRPr="00A05079">
        <w:rPr>
          <w:i/>
          <w:iCs/>
          <w:lang w:val="es-ES"/>
        </w:rPr>
        <w:t>software</w:t>
      </w:r>
      <w:r w:rsidRPr="00A32804">
        <w:rPr>
          <w:lang w:val="es-ES"/>
        </w:rPr>
        <w:t xml:space="preserve"> y de los datos se proporcionarán de forma periódica y gratuita a los suscriptores hasta que se publique la nueva versión, conforme a las decisiones de la CMR-27.</w:t>
      </w:r>
    </w:p>
    <w:p w14:paraId="3C98FCCF" w14:textId="77777777" w:rsidR="00B469E0" w:rsidRPr="00A32804" w:rsidRDefault="00B469E0" w:rsidP="00B469E0">
      <w:pPr>
        <w:pStyle w:val="Heading3"/>
        <w:rPr>
          <w:lang w:val="es-ES"/>
        </w:rPr>
      </w:pPr>
      <w:r w:rsidRPr="00A32804">
        <w:rPr>
          <w:lang w:val="es-ES"/>
        </w:rPr>
        <w:t>7.4.2</w:t>
      </w:r>
      <w:r w:rsidRPr="00A32804">
        <w:rPr>
          <w:lang w:val="es-ES"/>
        </w:rPr>
        <w:tab/>
        <w:t xml:space="preserve">Nuevas mejoras de las herramientas web </w:t>
      </w:r>
    </w:p>
    <w:p w14:paraId="54277407" w14:textId="77777777" w:rsidR="00B469E0" w:rsidRPr="00A32804" w:rsidRDefault="00B469E0" w:rsidP="00B469E0">
      <w:pPr>
        <w:rPr>
          <w:lang w:val="es-ES"/>
        </w:rPr>
      </w:pPr>
      <w:r w:rsidRPr="00A32804">
        <w:rPr>
          <w:szCs w:val="24"/>
          <w:lang w:val="es-ES"/>
        </w:rPr>
        <w:t xml:space="preserve">La BR sigue trabajando en el desarrollo de herramientas web </w:t>
      </w:r>
      <w:r w:rsidRPr="00A32804">
        <w:rPr>
          <w:lang w:val="es-ES"/>
        </w:rPr>
        <w:t>terrenales</w:t>
      </w:r>
      <w:r w:rsidRPr="00A32804">
        <w:rPr>
          <w:szCs w:val="24"/>
          <w:lang w:val="es-ES"/>
        </w:rPr>
        <w:t xml:space="preserve"> y su </w:t>
      </w:r>
      <w:r w:rsidRPr="00A32804">
        <w:rPr>
          <w:lang w:val="es-ES"/>
        </w:rPr>
        <w:t xml:space="preserve">integración en el portal eTerrestrial, que cuenta con las tecnologías web más novedosas, tal y como se describe a continuación. </w:t>
      </w:r>
    </w:p>
    <w:p w14:paraId="089B20CA" w14:textId="77777777" w:rsidR="00B469E0" w:rsidRPr="00A32804" w:rsidRDefault="00B469E0" w:rsidP="00B469E0">
      <w:pPr>
        <w:rPr>
          <w:lang w:val="es-ES"/>
        </w:rPr>
      </w:pPr>
      <w:r w:rsidRPr="00A32804">
        <w:rPr>
          <w:lang w:val="es-ES"/>
        </w:rPr>
        <w:t>Las herramientas eBroadcasting se han mejorado gracias a la introducción de capacidades cartográficas avanzadas y la integración de una biblioteca de plantillas cartográficas desarrollada por un Grupo de Tareas Especiales de la BR (véase el apartado 7.4.4). La simulación en eTools del plan acorde al Artículo 4 del Acuerdo</w:t>
      </w:r>
      <w:r>
        <w:rPr>
          <w:lang w:val="es-ES"/>
        </w:rPr>
        <w:t> </w:t>
      </w:r>
      <w:r w:rsidRPr="00A32804">
        <w:rPr>
          <w:lang w:val="es-ES"/>
        </w:rPr>
        <w:t>GE06 utiliza ahora los servicios TerRaSys para realizar los cálculos, si bien mantiene el mismo aspecto. El examen conforme al Artículo 5 del Acuerdo</w:t>
      </w:r>
      <w:r>
        <w:rPr>
          <w:lang w:val="es-ES"/>
        </w:rPr>
        <w:t> </w:t>
      </w:r>
      <w:r w:rsidRPr="00A32804">
        <w:rPr>
          <w:lang w:val="es-ES"/>
        </w:rPr>
        <w:t>GE06 ya se ha integrado en eTools y se lanzará, junto con TerRaSys2020, en marzo de 2025, lo que permitirá retirar la funcionalidad disponible actualmente en la herramienta autónoma GE06Calc.</w:t>
      </w:r>
    </w:p>
    <w:p w14:paraId="42459C9B" w14:textId="77777777" w:rsidR="00B469E0" w:rsidRPr="00A32804" w:rsidRDefault="00B469E0" w:rsidP="00B469E0">
      <w:pPr>
        <w:rPr>
          <w:lang w:val="es-ES"/>
        </w:rPr>
      </w:pPr>
      <w:r w:rsidRPr="00A32804">
        <w:rPr>
          <w:lang w:val="es-ES"/>
        </w:rPr>
        <w:t>Se ha integrado una nueva funcionalidad en la plataforma eBroadcasting para generar y enviar automáticamente correos electrónicos a las administraciones interesadas tras recibir comentarios en virtud del Acuerdo</w:t>
      </w:r>
      <w:r>
        <w:rPr>
          <w:lang w:val="es-ES"/>
        </w:rPr>
        <w:t> </w:t>
      </w:r>
      <w:r w:rsidRPr="00A32804">
        <w:rPr>
          <w:lang w:val="es-ES"/>
        </w:rPr>
        <w:t>GE84 (es decir, acuerdos u objeciones a modificaciones del Plan publicadas). También es posible acceder a la correspondencia entrante, que contiene los comentarios, a través de myAdmin, de forma complementaria a la correspondencia saliente de la BR para todos los planes de radiodifusión. Esta nueva funcionalidad reduce considerablemente la carga de trabajo de la BR, así como los posibles errores, dado el importante volumen de correspondencia vinculado al Plan GE84.</w:t>
      </w:r>
    </w:p>
    <w:p w14:paraId="0395BB22" w14:textId="77777777" w:rsidR="00B469E0" w:rsidRPr="00A32804" w:rsidRDefault="00B469E0" w:rsidP="00B469E0">
      <w:pPr>
        <w:rPr>
          <w:lang w:val="es-ES"/>
        </w:rPr>
      </w:pPr>
      <w:r w:rsidRPr="00A32804">
        <w:rPr>
          <w:lang w:val="es-ES"/>
        </w:rPr>
        <w:t>Las simulaciones P1546 en ePropagation se han mejorado significativamente con la inclusión de la funcionalidad de multipunto a punto, la cual permite tener en cuenta varios transmisores y combinar diferentes intensidades de señal en la ubicación del receptor.</w:t>
      </w:r>
    </w:p>
    <w:p w14:paraId="2238AC25" w14:textId="77777777" w:rsidR="00B469E0" w:rsidRPr="00A32804" w:rsidRDefault="00B469E0" w:rsidP="00B469E0">
      <w:pPr>
        <w:rPr>
          <w:lang w:val="es-ES"/>
        </w:rPr>
      </w:pPr>
      <w:r w:rsidRPr="00A32804">
        <w:rPr>
          <w:lang w:val="es-ES"/>
        </w:rPr>
        <w:t>Se ha integrado la herramienta de simulación punto a punto P452 en el módulo ePropagation, a fin de permitir la predicción de interferencias entre estaciones terrenales que funcionan por encima de</w:t>
      </w:r>
      <w:r>
        <w:rPr>
          <w:lang w:val="es-ES"/>
        </w:rPr>
        <w:t> </w:t>
      </w:r>
      <w:r w:rsidRPr="00A32804">
        <w:rPr>
          <w:lang w:val="es-ES"/>
        </w:rPr>
        <w:t>0,1</w:t>
      </w:r>
      <w:r>
        <w:rPr>
          <w:lang w:val="es-ES"/>
        </w:rPr>
        <w:t> </w:t>
      </w:r>
      <w:r w:rsidRPr="00A32804">
        <w:rPr>
          <w:lang w:val="es-ES"/>
        </w:rPr>
        <w:t xml:space="preserve">GHz. Esta herramienta utiliza modelos digitales de elevación de alta resolución (SRTM1, SRTM3 y ASTER v3). Actualmente, se está trabajando en el desarrollo de la herramienta de simulación punto a zona P452, para ayudar a las administraciones a identificar países vecinos potencialmente afectados en virtud del número </w:t>
      </w:r>
      <w:r w:rsidRPr="00A32804">
        <w:rPr>
          <w:b/>
          <w:lang w:val="es-ES"/>
        </w:rPr>
        <w:t xml:space="preserve">9.21 </w:t>
      </w:r>
      <w:r w:rsidRPr="00A32804">
        <w:rPr>
          <w:lang w:val="es-ES"/>
        </w:rPr>
        <w:t>del RR.</w:t>
      </w:r>
    </w:p>
    <w:p w14:paraId="7330C208" w14:textId="77777777" w:rsidR="00B469E0" w:rsidRPr="00A32804" w:rsidRDefault="00B469E0" w:rsidP="00B469E0">
      <w:pPr>
        <w:rPr>
          <w:lang w:val="es-ES"/>
        </w:rPr>
      </w:pPr>
      <w:r w:rsidRPr="00A32804">
        <w:rPr>
          <w:lang w:val="es-ES"/>
        </w:rPr>
        <w:lastRenderedPageBreak/>
        <w:t>Se han incluido mapas de navegación en otras herramientas (eMIFR, myAdmin y ePub) y se ha integrado la funcionalidad de visualización de mapas en la herramienta de propagación punto a zona</w:t>
      </w:r>
      <w:r>
        <w:rPr>
          <w:lang w:val="es-ES"/>
        </w:rPr>
        <w:t> </w:t>
      </w:r>
      <w:r w:rsidRPr="00A32804">
        <w:rPr>
          <w:lang w:val="es-ES"/>
        </w:rPr>
        <w:t>P1812. Se ha mejorado ePropagation con una nueva herramienta punto a punto P1546 y una nueva funcionalidad que tiene en cuenta las atenuaciones de antena en los cálculos para todas las herramientas.</w:t>
      </w:r>
    </w:p>
    <w:p w14:paraId="3090AEC2" w14:textId="77777777" w:rsidR="00B469E0" w:rsidRPr="00A32804" w:rsidRDefault="00B469E0" w:rsidP="00B469E0">
      <w:pPr>
        <w:rPr>
          <w:lang w:val="es-ES"/>
        </w:rPr>
      </w:pPr>
      <w:r w:rsidRPr="00A32804">
        <w:rPr>
          <w:lang w:val="es-ES"/>
        </w:rPr>
        <w:t xml:space="preserve">Los nuevos componentes de la plataforma en línea para servicios fijos y móviles (eFXM), es decir, ePubFXM y MyAdminFXM, se desarrollaron e integraron en la eFXM en 2024. Gracias a ePubFXM, las administraciones pueden consultar las Secciones Especiales relativas al número </w:t>
      </w:r>
      <w:r w:rsidRPr="00A32804">
        <w:rPr>
          <w:b/>
          <w:bCs/>
          <w:lang w:val="es-ES"/>
        </w:rPr>
        <w:t>9.21</w:t>
      </w:r>
      <w:r w:rsidRPr="00A32804">
        <w:rPr>
          <w:lang w:val="es-ES"/>
        </w:rPr>
        <w:t xml:space="preserve"> del RR y la Lista GE06L publicadas y anexas a la BR IFIC (servicios terrenales), así como las correspondientes asignaciones del Registro. MyAdminFXM ayuda a las administraciones a realizar un seguimiento de los procedimientos de coordinación FXM y de modificación del plan FXM.</w:t>
      </w:r>
    </w:p>
    <w:p w14:paraId="398D1A13" w14:textId="77777777" w:rsidR="00B469E0" w:rsidRPr="00A32804" w:rsidRDefault="00B469E0" w:rsidP="00B469E0">
      <w:pPr>
        <w:pStyle w:val="Heading3"/>
        <w:rPr>
          <w:lang w:val="es-ES"/>
        </w:rPr>
      </w:pPr>
      <w:r w:rsidRPr="00A32804">
        <w:rPr>
          <w:lang w:val="es-ES"/>
        </w:rPr>
        <w:t>7.4.3</w:t>
      </w:r>
      <w:r w:rsidRPr="00A32804">
        <w:rPr>
          <w:lang w:val="es-ES"/>
        </w:rPr>
        <w:tab/>
      </w:r>
      <w:r w:rsidRPr="00A32804">
        <w:rPr>
          <w:lang w:val="es-ES" w:eastAsia="zh-CN"/>
        </w:rPr>
        <w:t>Sistema de Información Geográfica de la BR</w:t>
      </w:r>
    </w:p>
    <w:p w14:paraId="752E1D52" w14:textId="6FAD523C" w:rsidR="00B469E0" w:rsidRPr="00A32804" w:rsidRDefault="00B469E0" w:rsidP="00B469E0">
      <w:pPr>
        <w:rPr>
          <w:lang w:val="es-ES"/>
        </w:rPr>
      </w:pPr>
      <w:r w:rsidRPr="00A32804">
        <w:rPr>
          <w:lang w:val="es-ES"/>
        </w:rPr>
        <w:t xml:space="preserve">El Grupo de Tareas Especiales sobre el Sistema de Información Geográfica (SIG) de la BR, compuesto por personal de todos los departamentos de la Oficina, se creó con el objetivo de armonizar las actividades relacionadas con el SIG en la BR. Este Grupo de Tareas Especiales utilizó GeoServer para implementar la plataforma del SIG de la BR, la cual está lista para su despliegue. Se ha finalizado la conversión de todos los conjuntos de datos IDWM del formato patentado al formato geoespacial, y se está procediendo al almacenamiento de los datos radiometeorológicos de la CE 3 en dicha plataforma. </w:t>
      </w:r>
      <w:r w:rsidRPr="00A32804">
        <w:rPr>
          <w:szCs w:val="24"/>
          <w:lang w:val="es-ES"/>
        </w:rPr>
        <w:t>El paquete IDWM está disponible de forma gratuita desde enero de</w:t>
      </w:r>
      <w:r w:rsidR="00304C1F">
        <w:rPr>
          <w:szCs w:val="24"/>
          <w:lang w:val="es-ES"/>
        </w:rPr>
        <w:t> </w:t>
      </w:r>
      <w:r w:rsidRPr="00A32804">
        <w:rPr>
          <w:szCs w:val="24"/>
          <w:lang w:val="es-ES"/>
        </w:rPr>
        <w:t>2025 y lo</w:t>
      </w:r>
      <w:r w:rsidRPr="00A32804">
        <w:rPr>
          <w:lang w:val="es-ES"/>
        </w:rPr>
        <w:t>s datos IDWM se pondrán a disposición de los usuarios a través de servicios web compatibles con el Open Geospatial Consortium (OGC). El Grupo de Tareas Especiales ha creado una</w:t>
      </w:r>
      <w:r w:rsidRPr="00A32804">
        <w:rPr>
          <w:szCs w:val="24"/>
          <w:lang w:val="es-ES"/>
        </w:rPr>
        <w:t xml:space="preserve"> biblioteca de plantillas de mapas, que ya ha sido integrada en varias herramientas terrenales y que puede reutilizarse para garantizar la coherencia visual de las aplicaciones web de la RB</w:t>
      </w:r>
      <w:r w:rsidRPr="00A32804">
        <w:rPr>
          <w:lang w:val="es-ES"/>
        </w:rPr>
        <w:t xml:space="preserve">. </w:t>
      </w:r>
    </w:p>
    <w:p w14:paraId="0527CB81" w14:textId="77777777" w:rsidR="00B469E0" w:rsidRPr="00A32804" w:rsidRDefault="00B469E0" w:rsidP="00B469E0">
      <w:pPr>
        <w:rPr>
          <w:lang w:val="es-ES"/>
        </w:rPr>
      </w:pPr>
      <w:r w:rsidRPr="00A32804">
        <w:rPr>
          <w:lang w:val="es-ES"/>
        </w:rPr>
        <w:t>El Grupo de Tareas Especiales avanzará aún más en su labor gracias a la incorporación de un recurso, a saber, un oficial de información geoespacial asociado que se incorporará a la BR en marzo de 2025.</w:t>
      </w:r>
    </w:p>
    <w:p w14:paraId="62B6B8F3" w14:textId="77777777" w:rsidR="00B469E0" w:rsidRPr="00A32804" w:rsidRDefault="00B469E0" w:rsidP="00B469E0">
      <w:pPr>
        <w:rPr>
          <w:lang w:val="es-ES"/>
        </w:rPr>
      </w:pPr>
      <w:r w:rsidRPr="00A32804">
        <w:rPr>
          <w:lang w:val="es-ES"/>
        </w:rPr>
        <w:t xml:space="preserve">La UIT es miembro de la Red Geoespacial de las Naciones Unidas, una coalición de organismos del sistema de las Naciones Unidas encargada de reforzar la coordinación y la coherencia en materia de gestión de la información geoespacial en el sistema de las Naciones Unidas. La BR participa en el Comité Directivo de esta red y dirige el Grupo Intersectorial de Tareas Especiales de la UIT sobre Gestión de la Información Geoespacial. </w:t>
      </w:r>
    </w:p>
    <w:p w14:paraId="16E23F1C" w14:textId="77777777" w:rsidR="00B469E0" w:rsidRPr="00A32804" w:rsidRDefault="00B469E0" w:rsidP="00B469E0">
      <w:pPr>
        <w:pStyle w:val="Heading3"/>
        <w:rPr>
          <w:lang w:val="es-ES"/>
        </w:rPr>
      </w:pPr>
      <w:r w:rsidRPr="00A32804">
        <w:rPr>
          <w:lang w:val="es-ES"/>
        </w:rPr>
        <w:t>7.4.4</w:t>
      </w:r>
      <w:r w:rsidRPr="00A32804">
        <w:rPr>
          <w:lang w:val="es-ES"/>
        </w:rPr>
        <w:tab/>
        <w:t>Proyecto de publicaciones de servicios marítimos</w:t>
      </w:r>
    </w:p>
    <w:p w14:paraId="009BE02E" w14:textId="77777777" w:rsidR="00B469E0" w:rsidRPr="00A32804" w:rsidRDefault="00B469E0" w:rsidP="00B469E0">
      <w:pPr>
        <w:rPr>
          <w:lang w:val="es-ES"/>
        </w:rPr>
      </w:pPr>
      <w:r w:rsidRPr="00A32804">
        <w:rPr>
          <w:lang w:val="es-ES"/>
        </w:rPr>
        <w:t>La BR ha emprendido la fase final de este proyecto. La plataforma de venta en línea y la aplicación de escritorio que contienen las tres publicaciones digitales (Lista IV, Lista V y Manual Marítimo) se hallan en fase de producción. En cuanto a las aplicaciones móviles asociadas, cabe señalar que la aplicación móvil para usuarios, que incluye versiones simplificadas de las tres publicaciones digitales, está casi terminada. La aplicación para inspectores (ITU Publication Verifier) está terminada y lista para su puesta a disposición de forma gratuita en las principales tiendas de aplicaciones móviles (Google y Apple). Antes del lanzamiento de las aplicaciones móviles, la BR está estudiando diversas formas de abordar los requisitos específicos para habilitar la publicación.</w:t>
      </w:r>
    </w:p>
    <w:p w14:paraId="76F3F15D" w14:textId="77777777" w:rsidR="00B469E0" w:rsidRPr="00A32804" w:rsidRDefault="00B469E0" w:rsidP="00B469E0">
      <w:pPr>
        <w:pStyle w:val="Heading2"/>
        <w:rPr>
          <w:lang w:val="es-ES"/>
        </w:rPr>
      </w:pPr>
      <w:r w:rsidRPr="00A32804">
        <w:rPr>
          <w:lang w:val="es-ES"/>
        </w:rPr>
        <w:t>7.4</w:t>
      </w:r>
      <w:r w:rsidRPr="00A32804">
        <w:rPr>
          <w:lang w:val="es-ES"/>
        </w:rPr>
        <w:tab/>
        <w:t>Interferencia perjudicial a servicios terrenales</w:t>
      </w:r>
    </w:p>
    <w:p w14:paraId="077F86E2" w14:textId="77777777" w:rsidR="00B469E0" w:rsidRPr="00A32804" w:rsidRDefault="00B469E0" w:rsidP="00B469E0">
      <w:pPr>
        <w:rPr>
          <w:bCs/>
          <w:lang w:val="es-ES"/>
        </w:rPr>
      </w:pPr>
      <w:r w:rsidRPr="00A32804">
        <w:rPr>
          <w:lang w:val="es-ES"/>
        </w:rPr>
        <w:t xml:space="preserve">En cuanto a la interferencia perjudicial a servicios terrenales (HITS), se ha empezado a trabajar en el desarrollo de una nueva plataforma en línea para la tramitación de informes de interferencia </w:t>
      </w:r>
      <w:r w:rsidRPr="00A32804">
        <w:rPr>
          <w:lang w:val="es-ES"/>
        </w:rPr>
        <w:lastRenderedPageBreak/>
        <w:t xml:space="preserve">perjudicial e infracción. </w:t>
      </w:r>
      <w:r w:rsidRPr="00A32804">
        <w:rPr>
          <w:bCs/>
          <w:szCs w:val="24"/>
          <w:lang w:val="es-ES"/>
        </w:rPr>
        <w:t xml:space="preserve">En mayo de 2024, se puso a disposición de algunas administraciones </w:t>
      </w:r>
      <w:r w:rsidRPr="00A32804">
        <w:rPr>
          <w:lang w:val="es-ES"/>
        </w:rPr>
        <w:t xml:space="preserve">una versión </w:t>
      </w:r>
      <w:r w:rsidRPr="00A32804">
        <w:rPr>
          <w:bCs/>
          <w:szCs w:val="24"/>
          <w:lang w:val="es-ES"/>
        </w:rPr>
        <w:t xml:space="preserve">de prueba para recabar comentarios. En febrero de 2025, se puso a disposición de todos los Estados Miembros otra versión de prueba (a través de </w:t>
      </w:r>
      <w:hyperlink r:id="rId47" w:history="1">
        <w:r>
          <w:rPr>
            <w:rStyle w:val="Hyperlink"/>
            <w:rFonts w:eastAsia="SimSun"/>
            <w:bCs/>
            <w:szCs w:val="24"/>
            <w:lang w:val="es-ES"/>
          </w:rPr>
          <w:t>https://www.itu.int/md/R00-CR-CIR-0515/es</w:t>
        </w:r>
      </w:hyperlink>
      <w:r w:rsidRPr="00A32804">
        <w:rPr>
          <w:bCs/>
          <w:szCs w:val="24"/>
          <w:lang w:val="es-ES"/>
        </w:rPr>
        <w:t>) para recabar nuevos comentarios. Al mismo tiempo, se sigue trabajando en la interfaz de usuario y en la adición de nuevas funcionalidades</w:t>
      </w:r>
    </w:p>
    <w:p w14:paraId="42664220" w14:textId="77777777" w:rsidR="00B469E0" w:rsidRPr="00A32804" w:rsidRDefault="00B469E0" w:rsidP="00B469E0">
      <w:pPr>
        <w:pStyle w:val="Heading2"/>
        <w:rPr>
          <w:lang w:val="es-ES"/>
        </w:rPr>
      </w:pPr>
      <w:r w:rsidRPr="00A32804">
        <w:rPr>
          <w:lang w:val="es-ES"/>
        </w:rPr>
        <w:t>7.5</w:t>
      </w:r>
      <w:r w:rsidRPr="00A32804">
        <w:rPr>
          <w:lang w:val="es-ES"/>
        </w:rPr>
        <w:tab/>
        <w:t>Continuidad de las actividades y recuperación en caso de catástrofe (servicios espaciales y terrenales)</w:t>
      </w:r>
    </w:p>
    <w:p w14:paraId="68039E0A" w14:textId="77777777" w:rsidR="00B469E0" w:rsidRPr="00A32804" w:rsidRDefault="00B469E0" w:rsidP="00B469E0">
      <w:pPr>
        <w:rPr>
          <w:lang w:val="es-ES"/>
        </w:rPr>
      </w:pPr>
      <w:r w:rsidRPr="00A32804">
        <w:rPr>
          <w:lang w:val="es-ES"/>
        </w:rPr>
        <w:t xml:space="preserve">En 2025 se seguirá trabajando para fortalecer aún más el marco de gestión de riesgos de la UIT, por conducto de diversas sesiones de formación que organizarán el coordinador del Sistema de Gestión de la Resiliencia Institucional de la UIT (ORMS) y el Gestor de Riesgos Institucionales de la UIT. </w:t>
      </w:r>
    </w:p>
    <w:p w14:paraId="6DD2CC5B" w14:textId="77777777" w:rsidR="00B469E0" w:rsidRPr="00A32804" w:rsidRDefault="00B469E0" w:rsidP="00B469E0">
      <w:pPr>
        <w:pStyle w:val="Heading2"/>
        <w:rPr>
          <w:lang w:val="es-ES"/>
        </w:rPr>
      </w:pPr>
      <w:r w:rsidRPr="00A32804">
        <w:rPr>
          <w:lang w:val="es-ES"/>
        </w:rPr>
        <w:t>7.6</w:t>
      </w:r>
      <w:r w:rsidRPr="00A32804">
        <w:rPr>
          <w:lang w:val="es-ES"/>
        </w:rPr>
        <w:tab/>
        <w:t>Computación en la nube</w:t>
      </w:r>
    </w:p>
    <w:p w14:paraId="4AF6C062" w14:textId="77777777" w:rsidR="00B469E0" w:rsidRPr="00A32804" w:rsidRDefault="00B469E0" w:rsidP="00B469E0">
      <w:pPr>
        <w:rPr>
          <w:lang w:val="es-ES"/>
        </w:rPr>
      </w:pPr>
      <w:r w:rsidRPr="00A32804">
        <w:rPr>
          <w:lang w:val="es-ES"/>
        </w:rPr>
        <w:t>En enero de 2025, la Dirección de la BR recibió un informe sobre la marcha de los trabajos del Grupo de Tareas Especiales para la migración a la nube de la BR y decidió apoyar la continuación de los proyectos piloto de Documentum y la plataforma SIG de la BR en la nube, en estrecha colaboración con el departamento de servicios informáticos de la UIT.</w:t>
      </w:r>
    </w:p>
    <w:p w14:paraId="773F5D38" w14:textId="77777777" w:rsidR="00B469E0" w:rsidRPr="00A32804" w:rsidRDefault="00B469E0" w:rsidP="00B469E0">
      <w:pPr>
        <w:pStyle w:val="Heading1"/>
        <w:rPr>
          <w:i/>
          <w:iCs/>
          <w:lang w:val="es-ES"/>
        </w:rPr>
      </w:pPr>
      <w:bookmarkStart w:id="18" w:name="_Toc446060776"/>
      <w:r w:rsidRPr="00A32804">
        <w:rPr>
          <w:lang w:val="es-ES"/>
        </w:rPr>
        <w:t>8</w:t>
      </w:r>
      <w:r w:rsidRPr="00A32804">
        <w:rPr>
          <w:lang w:val="es-ES"/>
        </w:rPr>
        <w:tab/>
      </w:r>
      <w:bookmarkEnd w:id="18"/>
      <w:r w:rsidRPr="00D74AEE">
        <w:t>Divulgación</w:t>
      </w:r>
    </w:p>
    <w:p w14:paraId="54E82394" w14:textId="77777777" w:rsidR="00B469E0" w:rsidRPr="00A32804" w:rsidRDefault="00B469E0" w:rsidP="00B469E0">
      <w:pPr>
        <w:rPr>
          <w:lang w:val="es-ES"/>
        </w:rPr>
      </w:pPr>
      <w:r w:rsidRPr="00A32804">
        <w:rPr>
          <w:lang w:val="es-ES"/>
        </w:rPr>
        <w:t>Las actividades de divulgación comprenden la difusión de información y asistencia a los miembros, la publicación de productos del UIT-R, la organización de seminarios y talleres, además de la participación en los mismos, y la elaboración y mantenimiento de herramientas de comunicación y promoción. El objetivo de estas actividades es garantizar que los productos del UIT-R (Reglamentos, Recomendaciones, Informes y Manuales) se difundan a escala mundial, de manera que puedan sentar las bases necesarias para la formulación de políticas y decisiones nacionales y regionales a efectos de la utilización del espectro radioeléctrico. Para llevar a cabo estas actividades, la BR coopera estrechamente con las demás Oficinas, así como con la Secretaría General, las Oficinas Regionales y Zonales de la UIT, y las organizaciones internacionales y autoridades nacionales pertinentes.</w:t>
      </w:r>
    </w:p>
    <w:p w14:paraId="68A9D6E1" w14:textId="77777777" w:rsidR="00B469E0" w:rsidRPr="00A32804" w:rsidRDefault="00B469E0" w:rsidP="00B469E0">
      <w:pPr>
        <w:pStyle w:val="Heading2"/>
        <w:rPr>
          <w:lang w:val="es-ES"/>
        </w:rPr>
      </w:pPr>
      <w:bookmarkStart w:id="19" w:name="_Toc418163376"/>
      <w:bookmarkStart w:id="20" w:name="_Toc418232294"/>
      <w:bookmarkStart w:id="21" w:name="_Toc424047595"/>
      <w:bookmarkStart w:id="22" w:name="_Toc446060777"/>
      <w:r w:rsidRPr="00A32804">
        <w:rPr>
          <w:lang w:val="es-ES"/>
        </w:rPr>
        <w:t>8.1</w:t>
      </w:r>
      <w:r w:rsidRPr="00A32804">
        <w:rPr>
          <w:lang w:val="es-ES"/>
        </w:rPr>
        <w:tab/>
        <w:t>Publicaciones</w:t>
      </w:r>
      <w:bookmarkEnd w:id="19"/>
      <w:bookmarkEnd w:id="20"/>
      <w:bookmarkEnd w:id="21"/>
      <w:bookmarkEnd w:id="22"/>
    </w:p>
    <w:p w14:paraId="56A56814" w14:textId="77777777" w:rsidR="00B469E0" w:rsidRPr="00A32804" w:rsidRDefault="00B469E0" w:rsidP="00B469E0">
      <w:pPr>
        <w:pStyle w:val="Heading3"/>
        <w:rPr>
          <w:lang w:val="es-ES"/>
        </w:rPr>
      </w:pPr>
      <w:bookmarkStart w:id="23" w:name="_Toc424047596"/>
      <w:bookmarkStart w:id="24" w:name="_Toc446060778"/>
      <w:r w:rsidRPr="00A32804">
        <w:rPr>
          <w:lang w:val="es-ES"/>
        </w:rPr>
        <w:t>8.1.1</w:t>
      </w:r>
      <w:r w:rsidRPr="00A32804">
        <w:rPr>
          <w:lang w:val="es-ES"/>
        </w:rPr>
        <w:tab/>
        <w:t>Publicaciones reglamentarias</w:t>
      </w:r>
      <w:bookmarkEnd w:id="23"/>
      <w:bookmarkEnd w:id="24"/>
    </w:p>
    <w:p w14:paraId="2296A826" w14:textId="77777777" w:rsidR="00B469E0" w:rsidRPr="00A32804" w:rsidRDefault="00B469E0" w:rsidP="00B469E0">
      <w:pPr>
        <w:pStyle w:val="Heading4"/>
        <w:rPr>
          <w:lang w:val="es-ES"/>
        </w:rPr>
      </w:pPr>
      <w:r w:rsidRPr="00A32804">
        <w:rPr>
          <w:lang w:val="es-ES"/>
        </w:rPr>
        <w:t>8.1.1.1</w:t>
      </w:r>
      <w:r w:rsidRPr="00A32804">
        <w:rPr>
          <w:lang w:val="es-ES"/>
        </w:rPr>
        <w:tab/>
        <w:t>Antecedentes y observaciones generales</w:t>
      </w:r>
    </w:p>
    <w:p w14:paraId="08BD8E54" w14:textId="77777777" w:rsidR="00B469E0" w:rsidRPr="00A32804" w:rsidRDefault="00B469E0" w:rsidP="00B469E0">
      <w:pPr>
        <w:rPr>
          <w:lang w:val="es-ES"/>
        </w:rPr>
      </w:pPr>
      <w:r w:rsidRPr="00A32804">
        <w:rPr>
          <w:lang w:val="es-ES"/>
        </w:rPr>
        <w:t>Las publicaciones reglamentarias forman parte integrante del Reglamento Administrativo. Constituyen publicaciones reglamentarias el Reglamento de Radiocomunicaciones, que contiene los textos completos adoptados por la CMR, y las Actas Finales y Reglas de Procedimiento, las cuales complementan el Reglamento de Radiocomunicaciones.</w:t>
      </w:r>
    </w:p>
    <w:p w14:paraId="6B09DBCB" w14:textId="77777777" w:rsidR="00B469E0" w:rsidRPr="00A32804" w:rsidRDefault="00B469E0" w:rsidP="00B469E0">
      <w:pPr>
        <w:rPr>
          <w:lang w:val="es-ES"/>
        </w:rPr>
      </w:pPr>
      <w:r w:rsidRPr="00A32804">
        <w:rPr>
          <w:lang w:val="es-ES"/>
        </w:rPr>
        <w:t xml:space="preserve">En marzo de 2024 se publicaron las Actas Finales de la CMR-23, seguidas de la nueva edición del Reglamento de Radiocomunicaciones en septiembre de 2024. </w:t>
      </w:r>
    </w:p>
    <w:p w14:paraId="7441EC2F" w14:textId="77777777" w:rsidR="00B469E0" w:rsidRPr="00A32804" w:rsidRDefault="00B469E0" w:rsidP="00B469E0">
      <w:pPr>
        <w:rPr>
          <w:lang w:val="es-ES"/>
        </w:rPr>
      </w:pPr>
      <w:r w:rsidRPr="00A32804">
        <w:rPr>
          <w:lang w:val="es-ES"/>
        </w:rPr>
        <w:t>En julio de 2023 se publicó una tercera actualización de las Reglas de Procedimiento (edición de</w:t>
      </w:r>
      <w:r>
        <w:rPr>
          <w:lang w:val="es-ES"/>
        </w:rPr>
        <w:t> </w:t>
      </w:r>
      <w:r w:rsidRPr="00A32804">
        <w:rPr>
          <w:lang w:val="es-ES"/>
        </w:rPr>
        <w:t>2021), seguida de una cuarta actualización en marzo de 2024 y una quinta actualización en diciembre de 2024.</w:t>
      </w:r>
    </w:p>
    <w:p w14:paraId="200EC794" w14:textId="77777777" w:rsidR="00B469E0" w:rsidRPr="00D74AEE" w:rsidRDefault="00B469E0" w:rsidP="00B469E0">
      <w:pPr>
        <w:rPr>
          <w:lang w:val="es-ES"/>
        </w:rPr>
      </w:pPr>
      <w:r w:rsidRPr="00A32804">
        <w:rPr>
          <w:lang w:val="es-ES"/>
        </w:rPr>
        <w:t>BR también publicaba once horarios HFBC por año, conforme a lo estipulado en el Artículo </w:t>
      </w:r>
      <w:r w:rsidRPr="00A32804">
        <w:rPr>
          <w:b/>
          <w:bCs/>
          <w:lang w:val="es-ES"/>
        </w:rPr>
        <w:t>12</w:t>
      </w:r>
      <w:r w:rsidRPr="00A32804">
        <w:rPr>
          <w:lang w:val="es-ES"/>
        </w:rPr>
        <w:t xml:space="preserve"> del</w:t>
      </w:r>
      <w:r>
        <w:rPr>
          <w:lang w:val="es-ES"/>
        </w:rPr>
        <w:t> </w:t>
      </w:r>
      <w:r w:rsidRPr="00A32804">
        <w:rPr>
          <w:lang w:val="es-ES"/>
        </w:rPr>
        <w:t>RR.</w:t>
      </w:r>
    </w:p>
    <w:p w14:paraId="720B4005" w14:textId="77777777" w:rsidR="00B469E0" w:rsidRPr="00A32804" w:rsidRDefault="00B469E0" w:rsidP="00B469E0">
      <w:pPr>
        <w:pStyle w:val="Heading3"/>
        <w:rPr>
          <w:lang w:val="es-ES"/>
        </w:rPr>
      </w:pPr>
      <w:bookmarkStart w:id="25" w:name="_Toc424047597"/>
      <w:bookmarkStart w:id="26" w:name="_Toc446060779"/>
      <w:r w:rsidRPr="00A32804">
        <w:rPr>
          <w:lang w:val="es-ES"/>
        </w:rPr>
        <w:lastRenderedPageBreak/>
        <w:t>8.1.2</w:t>
      </w:r>
      <w:r w:rsidRPr="00A32804">
        <w:rPr>
          <w:lang w:val="es-ES"/>
        </w:rPr>
        <w:tab/>
        <w:t>Publicaciones de servicio</w:t>
      </w:r>
      <w:bookmarkEnd w:id="25"/>
      <w:bookmarkEnd w:id="26"/>
    </w:p>
    <w:p w14:paraId="34A3F60E" w14:textId="77777777" w:rsidR="00B469E0" w:rsidRPr="00A32804" w:rsidRDefault="00B469E0" w:rsidP="00B469E0">
      <w:pPr>
        <w:pStyle w:val="Heading4"/>
        <w:rPr>
          <w:lang w:val="es-ES"/>
        </w:rPr>
      </w:pPr>
      <w:r w:rsidRPr="00A32804">
        <w:rPr>
          <w:lang w:val="es-ES"/>
        </w:rPr>
        <w:t>8.1.2.1</w:t>
      </w:r>
      <w:r w:rsidRPr="00A32804">
        <w:rPr>
          <w:lang w:val="es-ES"/>
        </w:rPr>
        <w:tab/>
        <w:t>Antecedentes y observaciones generales</w:t>
      </w:r>
    </w:p>
    <w:p w14:paraId="112342D7" w14:textId="77777777" w:rsidR="00B469E0" w:rsidRPr="00A32804" w:rsidRDefault="00B469E0" w:rsidP="00B469E0">
      <w:pPr>
        <w:rPr>
          <w:bCs/>
          <w:lang w:val="es-ES"/>
        </w:rPr>
      </w:pPr>
      <w:bookmarkStart w:id="27" w:name="lt_pId632"/>
      <w:r w:rsidRPr="00A32804">
        <w:rPr>
          <w:bCs/>
          <w:lang w:val="es-ES"/>
        </w:rPr>
        <w:t>La Oficina elabora y publica los siguientes documentos de servicio, tal como especifica el Artículo </w:t>
      </w:r>
      <w:r w:rsidRPr="00A32804">
        <w:rPr>
          <w:b/>
          <w:lang w:val="es-ES"/>
        </w:rPr>
        <w:t>20</w:t>
      </w:r>
      <w:r w:rsidRPr="00A32804">
        <w:rPr>
          <w:bCs/>
          <w:lang w:val="es-ES"/>
        </w:rPr>
        <w:t xml:space="preserve"> del Reglamento de Radiocomunicaciones:</w:t>
      </w:r>
      <w:bookmarkEnd w:id="27"/>
    </w:p>
    <w:p w14:paraId="10C7FE16" w14:textId="77777777" w:rsidR="00B469E0" w:rsidRPr="00A32804" w:rsidRDefault="00B469E0" w:rsidP="00B469E0">
      <w:pPr>
        <w:pStyle w:val="enumlev1"/>
        <w:rPr>
          <w:lang w:val="es-ES"/>
        </w:rPr>
      </w:pPr>
      <w:bookmarkStart w:id="28" w:name="lt_pId633"/>
      <w:r w:rsidRPr="00A32804">
        <w:rPr>
          <w:lang w:val="es-ES"/>
        </w:rPr>
        <w:t>•</w:t>
      </w:r>
      <w:r w:rsidRPr="00A32804">
        <w:rPr>
          <w:lang w:val="es-ES"/>
        </w:rPr>
        <w:tab/>
        <w:t>BR IFIC – Circular Internacional de Información sobre Frecuencias</w:t>
      </w:r>
      <w:bookmarkEnd w:id="28"/>
    </w:p>
    <w:p w14:paraId="636B4C82" w14:textId="77777777" w:rsidR="00B469E0" w:rsidRPr="00A32804" w:rsidRDefault="00B469E0" w:rsidP="00B469E0">
      <w:pPr>
        <w:pStyle w:val="enumlev1"/>
        <w:rPr>
          <w:lang w:val="es-ES"/>
        </w:rPr>
      </w:pPr>
      <w:bookmarkStart w:id="29" w:name="lt_pId634"/>
      <w:r w:rsidRPr="00A32804">
        <w:rPr>
          <w:lang w:val="es-ES"/>
        </w:rPr>
        <w:t>•</w:t>
      </w:r>
      <w:r w:rsidRPr="00A32804">
        <w:rPr>
          <w:lang w:val="es-ES"/>
        </w:rPr>
        <w:tab/>
        <w:t>Lista IV − Nomenclátor de las estaciones costeras y de las estaciones que efectúan servicios especiales</w:t>
      </w:r>
      <w:bookmarkEnd w:id="29"/>
    </w:p>
    <w:p w14:paraId="2663121C" w14:textId="77777777" w:rsidR="00B469E0" w:rsidRPr="00A32804" w:rsidRDefault="00B469E0" w:rsidP="00B469E0">
      <w:pPr>
        <w:pStyle w:val="enumlev1"/>
        <w:rPr>
          <w:lang w:val="es-ES"/>
        </w:rPr>
      </w:pPr>
      <w:bookmarkStart w:id="30" w:name="lt_pId635"/>
      <w:r w:rsidRPr="00A32804">
        <w:rPr>
          <w:lang w:val="es-ES"/>
        </w:rPr>
        <w:t>•</w:t>
      </w:r>
      <w:r w:rsidRPr="00A32804">
        <w:rPr>
          <w:lang w:val="es-ES"/>
        </w:rPr>
        <w:tab/>
        <w:t>Lista V − Nomenclátor de las estaciones de barco y de las asignaciones a identidades del servicio móvil marítimo</w:t>
      </w:r>
      <w:bookmarkEnd w:id="30"/>
    </w:p>
    <w:p w14:paraId="41BA91D1" w14:textId="77777777" w:rsidR="00B469E0" w:rsidRPr="00A32804" w:rsidRDefault="00B469E0" w:rsidP="00B469E0">
      <w:pPr>
        <w:pStyle w:val="enumlev1"/>
        <w:rPr>
          <w:lang w:val="es-ES"/>
        </w:rPr>
      </w:pPr>
      <w:bookmarkStart w:id="31" w:name="lt_pId636"/>
      <w:r w:rsidRPr="00A32804">
        <w:rPr>
          <w:lang w:val="es-ES"/>
        </w:rPr>
        <w:t>•</w:t>
      </w:r>
      <w:r w:rsidRPr="00A32804">
        <w:rPr>
          <w:lang w:val="es-ES"/>
        </w:rPr>
        <w:tab/>
        <w:t>Lista VIII − Nomenclátor de las estaciones de comprobación técnica internacional de las emisiones</w:t>
      </w:r>
      <w:bookmarkEnd w:id="31"/>
    </w:p>
    <w:p w14:paraId="2D78CA01" w14:textId="77777777" w:rsidR="00B469E0" w:rsidRPr="00A32804" w:rsidRDefault="00B469E0" w:rsidP="00B469E0">
      <w:pPr>
        <w:pStyle w:val="enumlev1"/>
        <w:rPr>
          <w:lang w:val="es-ES"/>
        </w:rPr>
      </w:pPr>
      <w:bookmarkStart w:id="32" w:name="lt_pId637"/>
      <w:r w:rsidRPr="00A32804">
        <w:rPr>
          <w:lang w:val="es-ES"/>
        </w:rPr>
        <w:t>•</w:t>
      </w:r>
      <w:r w:rsidRPr="00A32804">
        <w:rPr>
          <w:lang w:val="es-ES"/>
        </w:rPr>
        <w:tab/>
        <w:t>Manual para uso de los servicios móvil marítimo y móvil marítimo por satélite</w:t>
      </w:r>
      <w:bookmarkEnd w:id="32"/>
      <w:r w:rsidRPr="00A32804">
        <w:rPr>
          <w:lang w:val="es-ES"/>
        </w:rPr>
        <w:t xml:space="preserve"> (Manual Marítimo)</w:t>
      </w:r>
    </w:p>
    <w:p w14:paraId="0DEA625B" w14:textId="77777777" w:rsidR="00B469E0" w:rsidRPr="00A32804" w:rsidRDefault="00B469E0" w:rsidP="00B469E0">
      <w:pPr>
        <w:pStyle w:val="Heading4"/>
        <w:rPr>
          <w:lang w:val="es-ES"/>
        </w:rPr>
      </w:pPr>
      <w:r w:rsidRPr="00A32804">
        <w:rPr>
          <w:lang w:val="es-ES"/>
        </w:rPr>
        <w:t>8.1.2.2</w:t>
      </w:r>
      <w:r w:rsidRPr="00A32804">
        <w:rPr>
          <w:lang w:val="es-ES"/>
        </w:rPr>
        <w:tab/>
        <w:t>Nomenclátor de las estaciones costeras y de las estaciones que efectúan servicios especiales (Lista IV)</w:t>
      </w:r>
    </w:p>
    <w:p w14:paraId="73CBF64D" w14:textId="77777777" w:rsidR="00B469E0" w:rsidRPr="00A32804" w:rsidRDefault="00B469E0" w:rsidP="00B469E0">
      <w:pPr>
        <w:rPr>
          <w:lang w:val="es-ES"/>
        </w:rPr>
      </w:pPr>
      <w:r w:rsidRPr="00A32804">
        <w:rPr>
          <w:lang w:val="es-ES"/>
        </w:rPr>
        <w:t xml:space="preserve">Este Nomenclátor contiene la información notificada a la UIT (es decir, distintivo de llamada, MMSI, coordenadas geográficas, frecuencias de transmisión y de recepción, etc.) en relación con las estaciones costeras que prestan servicios de vigilancia mediante técnicas de llamada selectiva digital, servicio de correspondencia pública, asesoramiento médico, avisos náuticos y meteorológicos, avisos a los navegantes y señales horarias radioeléctricas, etc. </w:t>
      </w:r>
    </w:p>
    <w:p w14:paraId="72B4DF7B" w14:textId="77777777" w:rsidR="00B469E0" w:rsidRPr="00A32804" w:rsidRDefault="00B469E0" w:rsidP="00B469E0">
      <w:pPr>
        <w:rPr>
          <w:lang w:val="es-ES"/>
        </w:rPr>
      </w:pPr>
      <w:r w:rsidRPr="00A32804">
        <w:rPr>
          <w:lang w:val="es-ES"/>
        </w:rPr>
        <w:t xml:space="preserve">El Nomenclátor de las estaciones costeras y de las estaciones que efectúan servicios especiales (Lista IV) se publica con una periodicidad bienal, en </w:t>
      </w:r>
      <w:r w:rsidRPr="0008580E">
        <w:rPr>
          <w:bCs/>
          <w:lang w:val="es-ES"/>
        </w:rPr>
        <w:t xml:space="preserve">CD-ROM/USB </w:t>
      </w:r>
      <w:r w:rsidRPr="00A32804">
        <w:rPr>
          <w:bCs/>
          <w:lang w:val="es-ES"/>
        </w:rPr>
        <w:t>y en formato digital</w:t>
      </w:r>
      <w:r w:rsidRPr="00A32804">
        <w:rPr>
          <w:lang w:val="es-ES"/>
        </w:rPr>
        <w:t>. En noviembre de 2023 se publicó una edición de la Lista IV.</w:t>
      </w:r>
      <w:bookmarkStart w:id="33" w:name="lt_pId642"/>
      <w:bookmarkEnd w:id="33"/>
    </w:p>
    <w:p w14:paraId="1FEE6719" w14:textId="77777777" w:rsidR="00B469E0" w:rsidRPr="00A32804" w:rsidRDefault="00B469E0" w:rsidP="00B469E0">
      <w:pPr>
        <w:rPr>
          <w:lang w:val="es-ES"/>
        </w:rPr>
      </w:pPr>
      <w:bookmarkStart w:id="34" w:name="lt_pId643"/>
      <w:r w:rsidRPr="00A32804">
        <w:rPr>
          <w:lang w:val="es-ES"/>
        </w:rPr>
        <w:t>La información relativa a esta Lista puede consultarse a través del sistema de información en línea «Sistema de acceso y extracción en el servicio móvil marítimo» (MARS) de la UIT. Cada seis meses, se publica en la web una recopilación de todos los cambios notificados a la UIT</w:t>
      </w:r>
      <w:bookmarkStart w:id="35" w:name="lt_pId644"/>
      <w:bookmarkEnd w:id="34"/>
      <w:bookmarkEnd w:id="35"/>
      <w:r w:rsidRPr="00A32804">
        <w:rPr>
          <w:lang w:val="es-ES"/>
        </w:rPr>
        <w:t>.</w:t>
      </w:r>
    </w:p>
    <w:p w14:paraId="17F5F5D6" w14:textId="77777777" w:rsidR="00B469E0" w:rsidRPr="00A32804" w:rsidRDefault="00B469E0" w:rsidP="00B469E0">
      <w:pPr>
        <w:pStyle w:val="Heading4"/>
        <w:rPr>
          <w:lang w:val="es-ES"/>
        </w:rPr>
      </w:pPr>
      <w:r w:rsidRPr="00A32804">
        <w:rPr>
          <w:lang w:val="es-ES"/>
        </w:rPr>
        <w:t>8.1.2.3</w:t>
      </w:r>
      <w:r w:rsidRPr="00A32804">
        <w:rPr>
          <w:lang w:val="es-ES"/>
        </w:rPr>
        <w:tab/>
        <w:t>Nomenclátor de las estaciones de barco y de las asignaciones a identidades del servicio móvil marítimo (Lista V)</w:t>
      </w:r>
    </w:p>
    <w:p w14:paraId="51E4DEB8" w14:textId="77777777" w:rsidR="00B469E0" w:rsidRPr="00A32804" w:rsidRDefault="00B469E0" w:rsidP="00B469E0">
      <w:pPr>
        <w:rPr>
          <w:lang w:val="es-ES"/>
        </w:rPr>
      </w:pPr>
      <w:bookmarkStart w:id="36" w:name="lt_pId647"/>
      <w:r w:rsidRPr="00A32804">
        <w:rPr>
          <w:lang w:val="es-ES"/>
        </w:rPr>
        <w:t>Este Nomenclátor contiene la información notificada a la UIT en relación con las estaciones de barco, costeras y de aeronaves de búsqueda y salvamento (SAR), las estaciones a bordo de aeronaves, los códigos de identificación de la autoridad encargada de la contabilidad (CCA) y la información de contacto de las administraciones notificantes.</w:t>
      </w:r>
      <w:bookmarkEnd w:id="36"/>
    </w:p>
    <w:p w14:paraId="544119BA" w14:textId="77777777" w:rsidR="00B469E0" w:rsidRPr="00A32804" w:rsidRDefault="00B469E0" w:rsidP="00B469E0">
      <w:pPr>
        <w:rPr>
          <w:lang w:val="es-ES"/>
        </w:rPr>
      </w:pPr>
      <w:r w:rsidRPr="00A32804">
        <w:rPr>
          <w:lang w:val="es-ES"/>
        </w:rPr>
        <w:t>El Nomenclátor de las estaciones de barco y de las asignaciones a identidades del servicio móvil marítimo (Lista V) se publica con una periodicidad anual, en CD-ROM/USB y en formato digital. En abril de 2024 se publicó una edición de la Lista V.</w:t>
      </w:r>
    </w:p>
    <w:p w14:paraId="6084C916" w14:textId="77777777" w:rsidR="00B469E0" w:rsidRPr="00A32804" w:rsidRDefault="00B469E0" w:rsidP="00B469E0">
      <w:pPr>
        <w:rPr>
          <w:lang w:val="es-ES"/>
        </w:rPr>
      </w:pPr>
      <w:bookmarkStart w:id="37" w:name="lt_pId650"/>
      <w:r w:rsidRPr="00A32804">
        <w:rPr>
          <w:lang w:val="es-ES"/>
        </w:rPr>
        <w:t>La información relativa a esta Lista también puede consultarse a través del sistema de información en línea MARS. Cada tres meses, se publica en la web una recopilación de todos los cambios notificados a la UIT.</w:t>
      </w:r>
      <w:bookmarkStart w:id="38" w:name="lt_pId651"/>
      <w:bookmarkEnd w:id="37"/>
      <w:bookmarkEnd w:id="38"/>
    </w:p>
    <w:p w14:paraId="61234CFF" w14:textId="77777777" w:rsidR="00B469E0" w:rsidRPr="00A32804" w:rsidRDefault="00B469E0" w:rsidP="00B469E0">
      <w:pPr>
        <w:pStyle w:val="Heading4"/>
        <w:rPr>
          <w:lang w:val="es-ES"/>
        </w:rPr>
      </w:pPr>
      <w:r w:rsidRPr="00A32804">
        <w:rPr>
          <w:lang w:val="es-ES"/>
        </w:rPr>
        <w:lastRenderedPageBreak/>
        <w:t>8.1.2.4</w:t>
      </w:r>
      <w:r w:rsidRPr="00A32804">
        <w:rPr>
          <w:lang w:val="es-ES"/>
        </w:rPr>
        <w:tab/>
        <w:t>Nomenclátor de las estaciones de comprobación técnica internacional de las emisiones (Lista VIII)</w:t>
      </w:r>
    </w:p>
    <w:p w14:paraId="224DC415" w14:textId="77777777" w:rsidR="00B469E0" w:rsidRPr="00A32804" w:rsidRDefault="00B469E0" w:rsidP="00B469E0">
      <w:pPr>
        <w:rPr>
          <w:b/>
          <w:lang w:val="es-ES"/>
        </w:rPr>
      </w:pPr>
      <w:r w:rsidRPr="00A32804">
        <w:rPr>
          <w:lang w:val="es-ES"/>
        </w:rPr>
        <w:t>El Nomenclátor de las estaciones de comprobación técnica internacional de las emisiones (Lista VIII) contiene las direcciones y otros datos pertinentes de las oficinas centralizadoras, incluida información detallada sobre las estaciones de comprobación técnica que miden emisiones terrenales y espaciales. Se ha puesto a disposición un servicio de descarga directa, gratuito y exclusivo con acceso TIES.</w:t>
      </w:r>
    </w:p>
    <w:p w14:paraId="1C680D42" w14:textId="77777777" w:rsidR="00B469E0" w:rsidRPr="00A32804" w:rsidRDefault="00B469E0" w:rsidP="00B469E0">
      <w:pPr>
        <w:rPr>
          <w:lang w:val="es-ES"/>
        </w:rPr>
      </w:pPr>
      <w:r w:rsidRPr="00A32804">
        <w:rPr>
          <w:lang w:val="es-ES"/>
        </w:rPr>
        <w:t>La última edición de esta Lista se publicó en diciembre de 2022.</w:t>
      </w:r>
    </w:p>
    <w:p w14:paraId="5ED15638" w14:textId="77777777" w:rsidR="00B469E0" w:rsidRPr="00A32804" w:rsidRDefault="00B469E0" w:rsidP="00B469E0">
      <w:pPr>
        <w:pStyle w:val="Heading3"/>
        <w:rPr>
          <w:lang w:val="es-ES"/>
        </w:rPr>
      </w:pPr>
      <w:r w:rsidRPr="00A32804">
        <w:rPr>
          <w:lang w:val="es-ES"/>
        </w:rPr>
        <w:t>8.1.2.</w:t>
      </w:r>
      <w:r w:rsidRPr="00A32804">
        <w:rPr>
          <w:lang w:val="es-ES"/>
        </w:rPr>
        <w:tab/>
        <w:t>Manual para uso de los servicios móvil marítimo y móvil marítimo por satélite (Manual Marítimo)</w:t>
      </w:r>
    </w:p>
    <w:p w14:paraId="1FE599DB" w14:textId="77777777" w:rsidR="00B469E0" w:rsidRPr="00A32804" w:rsidRDefault="00B469E0" w:rsidP="00B469E0">
      <w:pPr>
        <w:rPr>
          <w:lang w:val="es-ES"/>
        </w:rPr>
      </w:pPr>
      <w:r w:rsidRPr="00A32804">
        <w:rPr>
          <w:lang w:val="es-ES"/>
        </w:rPr>
        <w:t>El Manual para uso de los servicios móvil marítimo y móvil marítimo por satélite (Manual Marítimo) es un documento de referencia, en el que se describen de forma exhaustiva las comunicaciones marítimas. La edición de 2024 incluye las decisiones adoptadas por la CMR-23 en relación con los servicios mencionados y las últimas novedades relativas a los actuales sistemas de radiocomunicaciones marítimas, que reflejan los avances más recientes en la materia.</w:t>
      </w:r>
    </w:p>
    <w:p w14:paraId="464C3588" w14:textId="77777777" w:rsidR="00B469E0" w:rsidRPr="00A32804" w:rsidRDefault="00B469E0" w:rsidP="00B469E0">
      <w:pPr>
        <w:rPr>
          <w:lang w:val="es-ES"/>
        </w:rPr>
      </w:pPr>
      <w:r w:rsidRPr="00A32804">
        <w:rPr>
          <w:lang w:val="es-ES"/>
        </w:rPr>
        <w:t xml:space="preserve">En el volumen 1 se describe la organización y el funcionamiento del SMSSM y otros procedimientos operativos marítimos. El Volumen 2 contiene una recopilación de los textos reglamentarios, técnicos y operativos pertinentes de la UIT que guardan relación con los servicios móvil marítimo y móvil marítimo por satélite. </w:t>
      </w:r>
    </w:p>
    <w:p w14:paraId="74AE8D7A" w14:textId="77777777" w:rsidR="00B469E0" w:rsidRPr="00A32804" w:rsidRDefault="00B469E0" w:rsidP="00B469E0">
      <w:pPr>
        <w:rPr>
          <w:lang w:val="es-ES"/>
        </w:rPr>
      </w:pPr>
      <w:r w:rsidRPr="00A32804">
        <w:rPr>
          <w:lang w:val="es-ES"/>
        </w:rPr>
        <w:t>La edición de 2024 del Manual Marítimo se publicó en diciembre de 2024.</w:t>
      </w:r>
    </w:p>
    <w:p w14:paraId="677670D0" w14:textId="77777777" w:rsidR="00B469E0" w:rsidRPr="00A32804" w:rsidRDefault="00B469E0" w:rsidP="00B469E0">
      <w:pPr>
        <w:pStyle w:val="Heading3"/>
        <w:rPr>
          <w:lang w:val="es-ES"/>
        </w:rPr>
      </w:pPr>
      <w:r w:rsidRPr="00A32804">
        <w:rPr>
          <w:lang w:val="es-ES"/>
        </w:rPr>
        <w:t>8.1.2</w:t>
      </w:r>
      <w:r w:rsidRPr="00A32804">
        <w:rPr>
          <w:lang w:val="es-ES"/>
        </w:rPr>
        <w:tab/>
        <w:t>Lista de documentos de servicio publicados</w:t>
      </w:r>
    </w:p>
    <w:p w14:paraId="45D2C031" w14:textId="77777777" w:rsidR="00B469E0" w:rsidRPr="00A32804" w:rsidRDefault="00B469E0" w:rsidP="00B469E0">
      <w:pPr>
        <w:rPr>
          <w:lang w:val="es-ES"/>
        </w:rPr>
      </w:pPr>
      <w:r w:rsidRPr="00A32804">
        <w:rPr>
          <w:lang w:val="es-ES"/>
        </w:rPr>
        <w:t>En el Cuadro 8.1.2.5-1 se resumen las diferentes publicaciones del periodo 2021-2024:</w:t>
      </w:r>
    </w:p>
    <w:p w14:paraId="4123EF78" w14:textId="77777777" w:rsidR="00B469E0" w:rsidRPr="00A32804" w:rsidRDefault="00B469E0" w:rsidP="00B469E0">
      <w:pPr>
        <w:pStyle w:val="TableNotitle"/>
        <w:spacing w:before="240"/>
        <w:rPr>
          <w:lang w:val="es-ES"/>
        </w:rPr>
      </w:pPr>
      <w:r w:rsidRPr="00A32804">
        <w:rPr>
          <w:lang w:val="es-ES"/>
        </w:rPr>
        <w:t>CUADRO 8.1.2.5-1</w:t>
      </w:r>
    </w:p>
    <w:tbl>
      <w:tblPr>
        <w:tblStyle w:val="GridTable5Dark-Accent1"/>
        <w:tblW w:w="9053" w:type="dxa"/>
        <w:jc w:val="center"/>
        <w:tblLayout w:type="fixed"/>
        <w:tblLook w:val="04A0" w:firstRow="1" w:lastRow="0" w:firstColumn="1" w:lastColumn="0" w:noHBand="0" w:noVBand="1"/>
      </w:tblPr>
      <w:tblGrid>
        <w:gridCol w:w="2386"/>
        <w:gridCol w:w="1666"/>
        <w:gridCol w:w="1667"/>
        <w:gridCol w:w="1667"/>
        <w:gridCol w:w="1667"/>
      </w:tblGrid>
      <w:tr w:rsidR="00B469E0" w:rsidRPr="00A32804" w14:paraId="05851CDC" w14:textId="77777777" w:rsidTr="00B65C06">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1AA69601" w14:textId="77777777" w:rsidR="00B469E0" w:rsidRPr="00A32804" w:rsidRDefault="00B469E0" w:rsidP="00B65C06">
            <w:pPr>
              <w:pStyle w:val="Tablehead"/>
              <w:rPr>
                <w:lang w:val="es-ES"/>
              </w:rPr>
            </w:pPr>
          </w:p>
        </w:tc>
        <w:tc>
          <w:tcPr>
            <w:tcW w:w="1666" w:type="dxa"/>
          </w:tcPr>
          <w:p w14:paraId="03D55BD0"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2021</w:t>
            </w:r>
          </w:p>
        </w:tc>
        <w:tc>
          <w:tcPr>
            <w:tcW w:w="1667" w:type="dxa"/>
          </w:tcPr>
          <w:p w14:paraId="2B2FFDED"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2022</w:t>
            </w:r>
          </w:p>
        </w:tc>
        <w:tc>
          <w:tcPr>
            <w:tcW w:w="1667" w:type="dxa"/>
          </w:tcPr>
          <w:p w14:paraId="6B2D2BE3"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2023</w:t>
            </w:r>
          </w:p>
        </w:tc>
        <w:tc>
          <w:tcPr>
            <w:tcW w:w="1667" w:type="dxa"/>
          </w:tcPr>
          <w:p w14:paraId="3EF9858C"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2024</w:t>
            </w:r>
          </w:p>
        </w:tc>
      </w:tr>
      <w:tr w:rsidR="00B469E0" w:rsidRPr="00A32804" w14:paraId="62E39480" w14:textId="77777777" w:rsidTr="00B65C0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5EB0E4F5" w14:textId="77777777" w:rsidR="00B469E0" w:rsidRPr="00A32804" w:rsidRDefault="00B469E0" w:rsidP="00B65C06">
            <w:pPr>
              <w:pStyle w:val="Tabletext"/>
              <w:rPr>
                <w:lang w:val="es-ES"/>
              </w:rPr>
            </w:pPr>
            <w:bookmarkStart w:id="39" w:name="lt_pId665"/>
            <w:r w:rsidRPr="00A32804">
              <w:rPr>
                <w:lang w:val="es-ES"/>
              </w:rPr>
              <w:t>BR IFIC (Circular Internacional de Información sobre Frecuencias)</w:t>
            </w:r>
            <w:bookmarkEnd w:id="39"/>
          </w:p>
        </w:tc>
        <w:tc>
          <w:tcPr>
            <w:tcW w:w="1666" w:type="dxa"/>
          </w:tcPr>
          <w:p w14:paraId="434C7E52"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26</w:t>
            </w:r>
          </w:p>
        </w:tc>
        <w:tc>
          <w:tcPr>
            <w:tcW w:w="1667" w:type="dxa"/>
          </w:tcPr>
          <w:p w14:paraId="6896D82B"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25</w:t>
            </w:r>
          </w:p>
        </w:tc>
        <w:tc>
          <w:tcPr>
            <w:tcW w:w="1667" w:type="dxa"/>
          </w:tcPr>
          <w:p w14:paraId="7DEFD54A"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25</w:t>
            </w:r>
          </w:p>
        </w:tc>
        <w:tc>
          <w:tcPr>
            <w:tcW w:w="1667" w:type="dxa"/>
          </w:tcPr>
          <w:p w14:paraId="74D678C2"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p>
        </w:tc>
      </w:tr>
      <w:tr w:rsidR="00B469E0" w:rsidRPr="00A32804" w14:paraId="1B8A286D" w14:textId="77777777" w:rsidTr="00B65C06">
        <w:trPr>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4FC4CD3D" w14:textId="77777777" w:rsidR="00B469E0" w:rsidRPr="00A32804" w:rsidRDefault="00B469E0" w:rsidP="00B65C06">
            <w:pPr>
              <w:pStyle w:val="Tabletext"/>
              <w:rPr>
                <w:lang w:val="es-ES"/>
              </w:rPr>
            </w:pPr>
            <w:bookmarkStart w:id="40" w:name="lt_pId670"/>
            <w:r w:rsidRPr="00A32804">
              <w:rPr>
                <w:lang w:val="es-ES"/>
              </w:rPr>
              <w:t>Lista IV (Nomenclátor de las estaciones costeras y de las estaciones que efectúan servicios especiales)</w:t>
            </w:r>
            <w:bookmarkEnd w:id="40"/>
          </w:p>
        </w:tc>
        <w:tc>
          <w:tcPr>
            <w:tcW w:w="1666" w:type="dxa"/>
          </w:tcPr>
          <w:p w14:paraId="4C0275B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Edición de 2021</w:t>
            </w:r>
            <w:r w:rsidRPr="00A32804">
              <w:rPr>
                <w:lang w:val="es-ES"/>
              </w:rPr>
              <w:br/>
              <w:t>(diciembre)</w:t>
            </w:r>
          </w:p>
        </w:tc>
        <w:tc>
          <w:tcPr>
            <w:tcW w:w="1667" w:type="dxa"/>
          </w:tcPr>
          <w:p w14:paraId="156B2EE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p>
        </w:tc>
        <w:tc>
          <w:tcPr>
            <w:tcW w:w="1667" w:type="dxa"/>
          </w:tcPr>
          <w:p w14:paraId="4BF1F3B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Edición de 2023</w:t>
            </w:r>
            <w:r w:rsidRPr="00A32804">
              <w:rPr>
                <w:lang w:val="es-ES"/>
              </w:rPr>
              <w:br/>
              <w:t>(noviembre)</w:t>
            </w:r>
          </w:p>
        </w:tc>
        <w:tc>
          <w:tcPr>
            <w:tcW w:w="1667" w:type="dxa"/>
          </w:tcPr>
          <w:p w14:paraId="1C203B28"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p>
        </w:tc>
      </w:tr>
      <w:tr w:rsidR="00B469E0" w:rsidRPr="00A32804" w14:paraId="6E3230BB" w14:textId="77777777" w:rsidTr="00B65C0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1E3DAE99" w14:textId="77777777" w:rsidR="00B469E0" w:rsidRPr="00A32804" w:rsidRDefault="00B469E0" w:rsidP="00B65C06">
            <w:pPr>
              <w:pStyle w:val="Tabletext"/>
              <w:rPr>
                <w:lang w:val="es-ES"/>
              </w:rPr>
            </w:pPr>
            <w:bookmarkStart w:id="41" w:name="lt_pId675"/>
            <w:r w:rsidRPr="00A32804">
              <w:rPr>
                <w:lang w:val="es-ES"/>
              </w:rPr>
              <w:t>Lista V (Nomenclátor de las estaciones de barco y de las asignaciones a identidades del servicio móvil marítimo)</w:t>
            </w:r>
            <w:bookmarkEnd w:id="41"/>
          </w:p>
        </w:tc>
        <w:tc>
          <w:tcPr>
            <w:tcW w:w="1666" w:type="dxa"/>
          </w:tcPr>
          <w:p w14:paraId="3F5FE49F"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Edición de 2021</w:t>
            </w:r>
            <w:r w:rsidRPr="00A32804">
              <w:rPr>
                <w:lang w:val="es-ES"/>
              </w:rPr>
              <w:br/>
              <w:t>(abril)</w:t>
            </w:r>
          </w:p>
        </w:tc>
        <w:tc>
          <w:tcPr>
            <w:tcW w:w="1667" w:type="dxa"/>
          </w:tcPr>
          <w:p w14:paraId="5CD274B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Edición de 2022</w:t>
            </w:r>
            <w:r w:rsidRPr="00A32804">
              <w:rPr>
                <w:lang w:val="es-ES"/>
              </w:rPr>
              <w:br/>
              <w:t>(abril)</w:t>
            </w:r>
          </w:p>
        </w:tc>
        <w:tc>
          <w:tcPr>
            <w:tcW w:w="1667" w:type="dxa"/>
          </w:tcPr>
          <w:p w14:paraId="10D458DD"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Edición de 2023</w:t>
            </w:r>
            <w:r w:rsidRPr="00A32804">
              <w:rPr>
                <w:lang w:val="es-ES"/>
              </w:rPr>
              <w:br/>
              <w:t>(abril)</w:t>
            </w:r>
          </w:p>
        </w:tc>
        <w:tc>
          <w:tcPr>
            <w:tcW w:w="1667" w:type="dxa"/>
          </w:tcPr>
          <w:p w14:paraId="3D61DB98"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ascii="Times New Roman Bold" w:eastAsia="Times New Roman Bold" w:hAnsi="Times New Roman Bold" w:cs="Times New Roman Bold"/>
                <w:color w:val="212121"/>
                <w:lang w:val="es-ES"/>
              </w:rPr>
            </w:pPr>
            <w:r w:rsidRPr="00A32804">
              <w:rPr>
                <w:rFonts w:ascii="Times New Roman Bold" w:eastAsia="Times New Roman Bold" w:hAnsi="Times New Roman Bold" w:cs="Times New Roman Bold"/>
                <w:color w:val="212121"/>
                <w:lang w:val="es-ES"/>
              </w:rPr>
              <w:t>Edición de 2024 (abril)</w:t>
            </w:r>
          </w:p>
        </w:tc>
      </w:tr>
      <w:tr w:rsidR="00B469E0" w:rsidRPr="00A32804" w14:paraId="58795640" w14:textId="77777777" w:rsidTr="00B65C06">
        <w:trPr>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16845FF6" w14:textId="77777777" w:rsidR="00B469E0" w:rsidRPr="00A32804" w:rsidRDefault="00B469E0" w:rsidP="00B65C06">
            <w:pPr>
              <w:pStyle w:val="Tabletext"/>
              <w:rPr>
                <w:lang w:val="es-ES"/>
              </w:rPr>
            </w:pPr>
            <w:bookmarkStart w:id="42" w:name="lt_pId684"/>
            <w:r w:rsidRPr="00A32804">
              <w:rPr>
                <w:lang w:val="es-ES"/>
              </w:rPr>
              <w:lastRenderedPageBreak/>
              <w:t>Lista VIII (Nomenclátor de las estaciones de comprobación técnica internacional de las emisiones)</w:t>
            </w:r>
            <w:bookmarkEnd w:id="42"/>
          </w:p>
        </w:tc>
        <w:tc>
          <w:tcPr>
            <w:tcW w:w="1666" w:type="dxa"/>
          </w:tcPr>
          <w:p w14:paraId="6F6214BD"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p>
        </w:tc>
        <w:tc>
          <w:tcPr>
            <w:tcW w:w="1667" w:type="dxa"/>
          </w:tcPr>
          <w:p w14:paraId="20C29597"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Edición de 2022</w:t>
            </w:r>
            <w:r w:rsidRPr="00A32804">
              <w:rPr>
                <w:lang w:val="es-ES"/>
              </w:rPr>
              <w:br/>
              <w:t xml:space="preserve">(diciembre) </w:t>
            </w:r>
          </w:p>
        </w:tc>
        <w:tc>
          <w:tcPr>
            <w:tcW w:w="1667" w:type="dxa"/>
          </w:tcPr>
          <w:p w14:paraId="63F1904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p>
        </w:tc>
        <w:tc>
          <w:tcPr>
            <w:tcW w:w="1667" w:type="dxa"/>
          </w:tcPr>
          <w:p w14:paraId="4539E0F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p>
        </w:tc>
      </w:tr>
      <w:tr w:rsidR="00B469E0" w:rsidRPr="00A32804" w14:paraId="38A241E2" w14:textId="77777777" w:rsidTr="00B65C06">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386" w:type="dxa"/>
          </w:tcPr>
          <w:p w14:paraId="41EEB742" w14:textId="77777777" w:rsidR="00B469E0" w:rsidRPr="00A32804" w:rsidRDefault="00B469E0" w:rsidP="00B65C06">
            <w:pPr>
              <w:pStyle w:val="Tabletext"/>
              <w:rPr>
                <w:lang w:val="es-ES"/>
              </w:rPr>
            </w:pPr>
            <w:bookmarkStart w:id="43" w:name="lt_pId687"/>
            <w:r w:rsidRPr="00A32804">
              <w:rPr>
                <w:lang w:val="es-ES"/>
              </w:rPr>
              <w:t>Manual Marítimo</w:t>
            </w:r>
            <w:bookmarkEnd w:id="43"/>
          </w:p>
        </w:tc>
        <w:tc>
          <w:tcPr>
            <w:tcW w:w="1666" w:type="dxa"/>
          </w:tcPr>
          <w:p w14:paraId="7DF928ED"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p>
        </w:tc>
        <w:tc>
          <w:tcPr>
            <w:tcW w:w="1667" w:type="dxa"/>
          </w:tcPr>
          <w:p w14:paraId="5AA41703"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p>
        </w:tc>
        <w:tc>
          <w:tcPr>
            <w:tcW w:w="1667" w:type="dxa"/>
          </w:tcPr>
          <w:p w14:paraId="6413C54D"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p>
        </w:tc>
        <w:tc>
          <w:tcPr>
            <w:tcW w:w="1667" w:type="dxa"/>
          </w:tcPr>
          <w:p w14:paraId="6584F46F"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 xml:space="preserve">Edición de 2024 </w:t>
            </w:r>
            <w:r w:rsidRPr="00A32804">
              <w:rPr>
                <w:lang w:val="es-ES"/>
              </w:rPr>
              <w:br/>
              <w:t>(diciembre)</w:t>
            </w:r>
          </w:p>
        </w:tc>
      </w:tr>
    </w:tbl>
    <w:p w14:paraId="43C642BC" w14:textId="77777777" w:rsidR="00B469E0" w:rsidRPr="00A32804" w:rsidRDefault="00B469E0" w:rsidP="00B469E0">
      <w:pPr>
        <w:pStyle w:val="Heading3"/>
        <w:rPr>
          <w:lang w:val="es-ES"/>
        </w:rPr>
      </w:pPr>
      <w:bookmarkStart w:id="44" w:name="_Toc418163378"/>
      <w:bookmarkStart w:id="45" w:name="_Toc418232296"/>
      <w:bookmarkStart w:id="46" w:name="_Toc424047598"/>
      <w:bookmarkStart w:id="47" w:name="_Toc446060780"/>
      <w:r w:rsidRPr="00A32804">
        <w:rPr>
          <w:lang w:val="es-ES"/>
        </w:rPr>
        <w:t>8.1.3</w:t>
      </w:r>
      <w:r w:rsidRPr="00A32804">
        <w:rPr>
          <w:lang w:val="es-ES"/>
        </w:rPr>
        <w:tab/>
        <w:t>Publicaciones de las Comisiones de Estudio</w:t>
      </w:r>
    </w:p>
    <w:p w14:paraId="27FAF2A7" w14:textId="77777777" w:rsidR="00B469E0" w:rsidRPr="00A32804" w:rsidRDefault="00B469E0" w:rsidP="00B469E0">
      <w:pPr>
        <w:rPr>
          <w:lang w:val="es-ES"/>
        </w:rPr>
      </w:pPr>
      <w:r w:rsidRPr="00A32804">
        <w:rPr>
          <w:lang w:val="es-ES"/>
        </w:rPr>
        <w:t>Desde la reunión de 2024 del GAR, las publicaciones de las Comisiones de Estudio del UIT-R han seguido elaborándose de conformidad con la Resolución UIT-R 1.</w:t>
      </w:r>
    </w:p>
    <w:p w14:paraId="613BA7AA" w14:textId="77777777" w:rsidR="00B469E0" w:rsidRPr="00EA508B" w:rsidRDefault="00B469E0" w:rsidP="00B469E0">
      <w:pPr>
        <w:rPr>
          <w:lang w:val="es-ES"/>
        </w:rPr>
      </w:pPr>
      <w:r w:rsidRPr="00A32804">
        <w:rPr>
          <w:lang w:val="es-ES"/>
        </w:rPr>
        <w:t>El Addéndum 1 al presente informe contiene la lista completa de las Cuestiones UIT-R, las Recomendaciones UIT-R y los Informes UIT-R aprobados.</w:t>
      </w:r>
      <w:bookmarkStart w:id="48" w:name="_Toc424047599"/>
      <w:bookmarkStart w:id="49" w:name="_Toc446060781"/>
      <w:bookmarkEnd w:id="44"/>
      <w:bookmarkEnd w:id="45"/>
      <w:bookmarkEnd w:id="46"/>
      <w:bookmarkEnd w:id="47"/>
    </w:p>
    <w:p w14:paraId="489C0B09" w14:textId="77777777" w:rsidR="00B469E0" w:rsidRPr="00A32804" w:rsidRDefault="00B469E0" w:rsidP="00B469E0">
      <w:pPr>
        <w:pStyle w:val="Heading3"/>
        <w:rPr>
          <w:lang w:val="es-ES"/>
        </w:rPr>
      </w:pPr>
      <w:r w:rsidRPr="00A32804">
        <w:rPr>
          <w:lang w:val="es-ES"/>
        </w:rPr>
        <w:t>8.1.4</w:t>
      </w:r>
      <w:r w:rsidRPr="00A32804">
        <w:rPr>
          <w:lang w:val="es-ES"/>
        </w:rPr>
        <w:tab/>
        <w:t>Descargas de publicaciones del UIT-R</w:t>
      </w:r>
      <w:bookmarkEnd w:id="48"/>
      <w:bookmarkEnd w:id="49"/>
    </w:p>
    <w:p w14:paraId="25602FCA" w14:textId="77777777" w:rsidR="00B469E0" w:rsidRPr="00A32804" w:rsidRDefault="00B469E0" w:rsidP="00B469E0">
      <w:pPr>
        <w:pStyle w:val="Heading4"/>
        <w:rPr>
          <w:lang w:val="es-ES"/>
        </w:rPr>
      </w:pPr>
      <w:bookmarkStart w:id="50" w:name="_Toc424047600"/>
      <w:bookmarkStart w:id="51" w:name="_Toc446060782"/>
      <w:r w:rsidRPr="00A32804">
        <w:rPr>
          <w:lang w:val="es-ES"/>
        </w:rPr>
        <w:t>8.1.4.1</w:t>
      </w:r>
      <w:r w:rsidRPr="00A32804">
        <w:rPr>
          <w:lang w:val="es-ES"/>
        </w:rPr>
        <w:tab/>
        <w:t>Reglamento de Radiocomunicaciones y Reglas de Procedimiento</w:t>
      </w:r>
    </w:p>
    <w:p w14:paraId="761611DA" w14:textId="1011A4D0" w:rsidR="00B469E0" w:rsidRPr="00A32804" w:rsidRDefault="00B469E0" w:rsidP="00B469E0">
      <w:pPr>
        <w:rPr>
          <w:lang w:val="es-ES"/>
        </w:rPr>
      </w:pPr>
      <w:r w:rsidRPr="00A32804">
        <w:rPr>
          <w:lang w:val="es-ES"/>
        </w:rPr>
        <w:t xml:space="preserve">En relación con estos documentos reglamentarios, en el Cuadro 8.1.4.1-1 se indica el número de ejemplares distribuidos de las ediciones de </w:t>
      </w:r>
      <w:hyperlink r:id="rId48" w:history="1">
        <w:r w:rsidRPr="00A32804">
          <w:rPr>
            <w:rStyle w:val="Hyperlink"/>
            <w:rFonts w:eastAsia="SimSun"/>
            <w:lang w:val="es-ES"/>
          </w:rPr>
          <w:t xml:space="preserve">2020 </w:t>
        </w:r>
      </w:hyperlink>
      <w:r w:rsidRPr="00A32804">
        <w:rPr>
          <w:lang w:val="es-ES"/>
        </w:rPr>
        <w:t xml:space="preserve">y </w:t>
      </w:r>
      <w:hyperlink r:id="rId49" w:history="1">
        <w:r w:rsidRPr="00A32804">
          <w:rPr>
            <w:rStyle w:val="Hyperlink"/>
            <w:rFonts w:eastAsia="SimSun"/>
            <w:lang w:val="es-ES"/>
          </w:rPr>
          <w:t>2024</w:t>
        </w:r>
      </w:hyperlink>
      <w:r w:rsidRPr="00A32804">
        <w:rPr>
          <w:lang w:val="es-ES"/>
        </w:rPr>
        <w:t xml:space="preserve"> del RR. Atendiendo a la solicitud que se formuló en la reunión del GAR, las versiones en pdf y MS Word del Reglamento de Radiocomunicaciones pueden descargarse gratuitamente desde el sitio web de la UIT.</w:t>
      </w:r>
    </w:p>
    <w:p w14:paraId="47B7BE3F" w14:textId="77777777" w:rsidR="00B469E0" w:rsidRPr="00A32804" w:rsidRDefault="00B469E0" w:rsidP="00B469E0">
      <w:pPr>
        <w:spacing w:before="0"/>
        <w:rPr>
          <w:lang w:val="es-ES"/>
        </w:rPr>
      </w:pPr>
      <w:r w:rsidRPr="00A32804">
        <w:rPr>
          <w:lang w:val="es-ES"/>
        </w:rPr>
        <w:t>En el Cuadro 8.1.4.1-2 se indica el número total de descargas durante el mismo periodo de las Reglas de Procedimiento. La edición más reciente de las Reglas de Procedimiento se publicó en junio de 2021, de acuerdo con las decisiones adoptadas por la CMR-19. Desde entonces, esta publicación se ha actualizado en tres ocasiones, a fin de integrar las Reglas de Procedimiento nuevas y revisadas que ha aprobado la Junta del Reglamento de Radiocomunicaciones.</w:t>
      </w:r>
    </w:p>
    <w:p w14:paraId="6F0A6002" w14:textId="77777777" w:rsidR="00B469E0" w:rsidRPr="00EA508B" w:rsidRDefault="00B469E0" w:rsidP="00B469E0">
      <w:pPr>
        <w:pStyle w:val="TableNotitle"/>
        <w:rPr>
          <w:lang w:val="es-ES"/>
        </w:rPr>
      </w:pPr>
      <w:r w:rsidRPr="00A32804">
        <w:rPr>
          <w:lang w:val="es-ES"/>
        </w:rPr>
        <w:t>CUADRO 8.1.4.1-1</w:t>
      </w:r>
      <w:r>
        <w:rPr>
          <w:lang w:val="es-ES"/>
        </w:rPr>
        <w:br/>
      </w:r>
      <w:r>
        <w:rPr>
          <w:lang w:val="es-ES"/>
        </w:rPr>
        <w:br/>
      </w:r>
      <w:r w:rsidRPr="00A32804">
        <w:rPr>
          <w:lang w:val="es-ES"/>
        </w:rPr>
        <w:t>Número de ejemplares distribuidos del Reglamento de Radiocomunicaciones</w:t>
      </w:r>
    </w:p>
    <w:tbl>
      <w:tblPr>
        <w:tblStyle w:val="GridTable5Dark-Accent1"/>
        <w:tblW w:w="9119" w:type="dxa"/>
        <w:jc w:val="center"/>
        <w:tblLook w:val="04A0" w:firstRow="1" w:lastRow="0" w:firstColumn="1" w:lastColumn="0" w:noHBand="0" w:noVBand="1"/>
      </w:tblPr>
      <w:tblGrid>
        <w:gridCol w:w="2422"/>
        <w:gridCol w:w="1322"/>
        <w:gridCol w:w="1537"/>
        <w:gridCol w:w="1537"/>
        <w:gridCol w:w="2301"/>
      </w:tblGrid>
      <w:tr w:rsidR="00B469E0" w:rsidRPr="00A32804" w14:paraId="332AE8AD" w14:textId="77777777" w:rsidTr="00B65C06">
        <w:trPr>
          <w:cnfStyle w:val="100000000000" w:firstRow="1" w:lastRow="0" w:firstColumn="0" w:lastColumn="0" w:oddVBand="0" w:evenVBand="0" w:oddHBand="0" w:evenHBand="0" w:firstRowFirstColumn="0" w:firstRowLastColumn="0" w:lastRowFirstColumn="0" w:lastRowLastColumn="0"/>
          <w:trHeight w:val="761"/>
          <w:jc w:val="center"/>
        </w:trPr>
        <w:tc>
          <w:tcPr>
            <w:cnfStyle w:val="001000000000" w:firstRow="0" w:lastRow="0" w:firstColumn="1" w:lastColumn="0" w:oddVBand="0" w:evenVBand="0" w:oddHBand="0" w:evenHBand="0" w:firstRowFirstColumn="0" w:firstRowLastColumn="0" w:lastRowFirstColumn="0" w:lastRowLastColumn="0"/>
            <w:tcW w:w="2422" w:type="dxa"/>
            <w:hideMark/>
          </w:tcPr>
          <w:p w14:paraId="7C1226DB" w14:textId="77777777" w:rsidR="00B469E0" w:rsidRPr="00A32804" w:rsidRDefault="00B469E0" w:rsidP="00B65C06">
            <w:pPr>
              <w:pStyle w:val="Tablehead"/>
              <w:rPr>
                <w:lang w:val="es-ES"/>
              </w:rPr>
            </w:pPr>
          </w:p>
        </w:tc>
        <w:tc>
          <w:tcPr>
            <w:tcW w:w="1322" w:type="dxa"/>
          </w:tcPr>
          <w:p w14:paraId="5F69A2C2"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2021</w:t>
            </w:r>
            <w:r w:rsidRPr="00292644">
              <w:rPr>
                <w:b/>
                <w:bCs w:val="0"/>
                <w:lang w:val="es-ES"/>
              </w:rPr>
              <w:br/>
              <w:t>RR-20</w:t>
            </w:r>
          </w:p>
        </w:tc>
        <w:tc>
          <w:tcPr>
            <w:tcW w:w="1537" w:type="dxa"/>
          </w:tcPr>
          <w:p w14:paraId="7295C869"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2022</w:t>
            </w:r>
            <w:r w:rsidRPr="00292644">
              <w:rPr>
                <w:b/>
                <w:bCs w:val="0"/>
                <w:lang w:val="es-ES"/>
              </w:rPr>
              <w:br/>
              <w:t>RR-20</w:t>
            </w:r>
          </w:p>
        </w:tc>
        <w:tc>
          <w:tcPr>
            <w:tcW w:w="1537" w:type="dxa"/>
          </w:tcPr>
          <w:p w14:paraId="77365F79"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2023</w:t>
            </w:r>
            <w:r w:rsidRPr="00292644">
              <w:rPr>
                <w:b/>
                <w:bCs w:val="0"/>
                <w:lang w:val="es-ES"/>
              </w:rPr>
              <w:br/>
              <w:t>RR-20</w:t>
            </w:r>
          </w:p>
        </w:tc>
        <w:tc>
          <w:tcPr>
            <w:tcW w:w="2301" w:type="dxa"/>
          </w:tcPr>
          <w:p w14:paraId="7BF9A48E"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2024</w:t>
            </w:r>
            <w:r w:rsidRPr="00292644">
              <w:rPr>
                <w:b/>
                <w:bCs w:val="0"/>
                <w:lang w:val="es-ES"/>
              </w:rPr>
              <w:br/>
              <w:t>RR-20 y RR-24</w:t>
            </w:r>
          </w:p>
        </w:tc>
      </w:tr>
      <w:tr w:rsidR="00B469E0" w:rsidRPr="00A32804" w14:paraId="4E25809D" w14:textId="77777777" w:rsidTr="00B65C06">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2422" w:type="dxa"/>
            <w:hideMark/>
          </w:tcPr>
          <w:p w14:paraId="102D0FE4" w14:textId="77777777" w:rsidR="00B469E0" w:rsidRPr="00A32804" w:rsidRDefault="00B469E0" w:rsidP="00B65C06">
            <w:pPr>
              <w:pStyle w:val="Tabletext"/>
              <w:rPr>
                <w:lang w:val="es-ES"/>
              </w:rPr>
            </w:pPr>
            <w:bookmarkStart w:id="52" w:name="lt_pId712"/>
            <w:r w:rsidRPr="00A32804">
              <w:rPr>
                <w:lang w:val="es-ES"/>
              </w:rPr>
              <w:t>Copias impresas vendidas</w:t>
            </w:r>
            <w:bookmarkEnd w:id="52"/>
          </w:p>
        </w:tc>
        <w:tc>
          <w:tcPr>
            <w:tcW w:w="1322" w:type="dxa"/>
          </w:tcPr>
          <w:p w14:paraId="2BC7458B"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274</w:t>
            </w:r>
          </w:p>
        </w:tc>
        <w:tc>
          <w:tcPr>
            <w:tcW w:w="1537" w:type="dxa"/>
          </w:tcPr>
          <w:p w14:paraId="16C3A351"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117</w:t>
            </w:r>
          </w:p>
        </w:tc>
        <w:tc>
          <w:tcPr>
            <w:tcW w:w="1537" w:type="dxa"/>
          </w:tcPr>
          <w:p w14:paraId="6A5D0848"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1</w:t>
            </w:r>
            <w:r>
              <w:rPr>
                <w:lang w:val="es-ES"/>
              </w:rPr>
              <w:t> </w:t>
            </w:r>
            <w:r w:rsidRPr="00A32804">
              <w:rPr>
                <w:lang w:val="es-ES"/>
              </w:rPr>
              <w:t>611</w:t>
            </w:r>
          </w:p>
        </w:tc>
        <w:tc>
          <w:tcPr>
            <w:tcW w:w="2301" w:type="dxa"/>
          </w:tcPr>
          <w:p w14:paraId="0E13924B"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2020:22</w:t>
            </w:r>
          </w:p>
          <w:p w14:paraId="1FDFFC73"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2024:231</w:t>
            </w:r>
          </w:p>
          <w:p w14:paraId="6EE479E7"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Total: 253</w:t>
            </w:r>
          </w:p>
        </w:tc>
      </w:tr>
      <w:tr w:rsidR="00B469E0" w:rsidRPr="00A32804" w14:paraId="2EAB8712" w14:textId="77777777" w:rsidTr="00B65C06">
        <w:trPr>
          <w:trHeight w:val="315"/>
          <w:jc w:val="center"/>
        </w:trPr>
        <w:tc>
          <w:tcPr>
            <w:cnfStyle w:val="001000000000" w:firstRow="0" w:lastRow="0" w:firstColumn="1" w:lastColumn="0" w:oddVBand="0" w:evenVBand="0" w:oddHBand="0" w:evenHBand="0" w:firstRowFirstColumn="0" w:firstRowLastColumn="0" w:lastRowFirstColumn="0" w:lastRowLastColumn="0"/>
            <w:tcW w:w="2422" w:type="dxa"/>
            <w:hideMark/>
          </w:tcPr>
          <w:p w14:paraId="0FC3DDE1" w14:textId="77777777" w:rsidR="00B469E0" w:rsidRPr="00A32804" w:rsidRDefault="00B469E0" w:rsidP="00B65C06">
            <w:pPr>
              <w:pStyle w:val="Tabletext"/>
              <w:rPr>
                <w:lang w:val="es-ES"/>
              </w:rPr>
            </w:pPr>
            <w:bookmarkStart w:id="53" w:name="lt_pId718"/>
            <w:r w:rsidRPr="00A32804">
              <w:rPr>
                <w:lang w:val="es-ES"/>
              </w:rPr>
              <w:t>DVD vendidos</w:t>
            </w:r>
            <w:bookmarkEnd w:id="53"/>
          </w:p>
        </w:tc>
        <w:tc>
          <w:tcPr>
            <w:tcW w:w="1322" w:type="dxa"/>
          </w:tcPr>
          <w:p w14:paraId="6823C838"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3</w:t>
            </w:r>
            <w:r>
              <w:rPr>
                <w:lang w:val="es-ES"/>
              </w:rPr>
              <w:t> </w:t>
            </w:r>
            <w:r w:rsidRPr="00A32804">
              <w:rPr>
                <w:lang w:val="es-ES"/>
              </w:rPr>
              <w:t>855</w:t>
            </w:r>
          </w:p>
        </w:tc>
        <w:tc>
          <w:tcPr>
            <w:tcW w:w="1537" w:type="dxa"/>
          </w:tcPr>
          <w:p w14:paraId="3FC4F11F"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1</w:t>
            </w:r>
            <w:r>
              <w:rPr>
                <w:lang w:val="es-ES"/>
              </w:rPr>
              <w:t> </w:t>
            </w:r>
            <w:r w:rsidRPr="00A32804">
              <w:rPr>
                <w:lang w:val="es-ES"/>
              </w:rPr>
              <w:t>638</w:t>
            </w:r>
          </w:p>
        </w:tc>
        <w:tc>
          <w:tcPr>
            <w:tcW w:w="1537" w:type="dxa"/>
          </w:tcPr>
          <w:p w14:paraId="016317D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11</w:t>
            </w:r>
            <w:r>
              <w:rPr>
                <w:lang w:val="es-ES"/>
              </w:rPr>
              <w:t> </w:t>
            </w:r>
            <w:r w:rsidRPr="00A32804">
              <w:rPr>
                <w:lang w:val="es-ES"/>
              </w:rPr>
              <w:t>700</w:t>
            </w:r>
          </w:p>
        </w:tc>
        <w:tc>
          <w:tcPr>
            <w:tcW w:w="2301" w:type="dxa"/>
          </w:tcPr>
          <w:p w14:paraId="51975ED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2020:922</w:t>
            </w:r>
          </w:p>
          <w:p w14:paraId="371D302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2024:3</w:t>
            </w:r>
            <w:r>
              <w:rPr>
                <w:lang w:val="es-ES"/>
              </w:rPr>
              <w:t> </w:t>
            </w:r>
            <w:r w:rsidRPr="00A32804">
              <w:rPr>
                <w:lang w:val="es-ES"/>
              </w:rPr>
              <w:t>750</w:t>
            </w:r>
          </w:p>
          <w:p w14:paraId="75CC0367"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Total: 4</w:t>
            </w:r>
            <w:r>
              <w:rPr>
                <w:lang w:val="es-ES"/>
              </w:rPr>
              <w:t> </w:t>
            </w:r>
            <w:r w:rsidRPr="00A32804">
              <w:rPr>
                <w:lang w:val="es-ES"/>
              </w:rPr>
              <w:t>672</w:t>
            </w:r>
          </w:p>
        </w:tc>
      </w:tr>
      <w:tr w:rsidR="00B469E0" w:rsidRPr="00A32804" w14:paraId="5B4B1005" w14:textId="77777777" w:rsidTr="00B65C06">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2422" w:type="dxa"/>
          </w:tcPr>
          <w:p w14:paraId="056992BD" w14:textId="77777777" w:rsidR="00B469E0" w:rsidRPr="00A32804" w:rsidRDefault="00B469E0" w:rsidP="00B65C06">
            <w:pPr>
              <w:pStyle w:val="Tabletext"/>
              <w:rPr>
                <w:lang w:val="es-ES"/>
              </w:rPr>
            </w:pPr>
            <w:r w:rsidRPr="00A32804">
              <w:rPr>
                <w:lang w:val="es-ES"/>
              </w:rPr>
              <w:t>USB vendidos</w:t>
            </w:r>
          </w:p>
        </w:tc>
        <w:tc>
          <w:tcPr>
            <w:tcW w:w="1322" w:type="dxa"/>
          </w:tcPr>
          <w:p w14:paraId="3E2EFDEE" w14:textId="5476A8E6" w:rsidR="00B469E0" w:rsidRPr="00A32804" w:rsidRDefault="00872095"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872095">
              <w:rPr>
                <w:lang w:val="es-ES"/>
              </w:rPr>
              <w:t>–</w:t>
            </w:r>
          </w:p>
        </w:tc>
        <w:tc>
          <w:tcPr>
            <w:tcW w:w="1537" w:type="dxa"/>
          </w:tcPr>
          <w:p w14:paraId="2BD05FD0" w14:textId="77E5C42B" w:rsidR="00B469E0" w:rsidRPr="00A32804" w:rsidRDefault="00872095"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872095">
              <w:rPr>
                <w:lang w:val="es-ES"/>
              </w:rPr>
              <w:t>–</w:t>
            </w:r>
          </w:p>
        </w:tc>
        <w:tc>
          <w:tcPr>
            <w:tcW w:w="1537" w:type="dxa"/>
          </w:tcPr>
          <w:p w14:paraId="73F88BEC" w14:textId="09AD9625" w:rsidR="00B469E0" w:rsidRPr="00A32804" w:rsidRDefault="00872095"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872095">
              <w:rPr>
                <w:lang w:val="es-ES"/>
              </w:rPr>
              <w:t>–</w:t>
            </w:r>
          </w:p>
        </w:tc>
        <w:tc>
          <w:tcPr>
            <w:tcW w:w="2301" w:type="dxa"/>
          </w:tcPr>
          <w:p w14:paraId="211CC304" w14:textId="7E47F6CC"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2020:</w:t>
            </w:r>
            <w:r w:rsidR="00D30D1B">
              <w:rPr>
                <w:lang w:val="es-ES"/>
              </w:rPr>
              <w:t xml:space="preserve"> </w:t>
            </w:r>
            <w:r w:rsidR="001515FC" w:rsidRPr="001515FC">
              <w:rPr>
                <w:lang w:val="es-ES"/>
              </w:rPr>
              <w:t>–</w:t>
            </w:r>
          </w:p>
          <w:p w14:paraId="677221AE"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2024:3</w:t>
            </w:r>
          </w:p>
          <w:p w14:paraId="2082F704"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Total: 3</w:t>
            </w:r>
          </w:p>
        </w:tc>
      </w:tr>
      <w:tr w:rsidR="00B469E0" w:rsidRPr="00A32804" w14:paraId="01DA8346" w14:textId="77777777" w:rsidTr="00B65C06">
        <w:trPr>
          <w:trHeight w:val="315"/>
          <w:jc w:val="center"/>
        </w:trPr>
        <w:tc>
          <w:tcPr>
            <w:cnfStyle w:val="001000000000" w:firstRow="0" w:lastRow="0" w:firstColumn="1" w:lastColumn="0" w:oddVBand="0" w:evenVBand="0" w:oddHBand="0" w:evenHBand="0" w:firstRowFirstColumn="0" w:firstRowLastColumn="0" w:lastRowFirstColumn="0" w:lastRowLastColumn="0"/>
            <w:tcW w:w="2422" w:type="dxa"/>
            <w:hideMark/>
          </w:tcPr>
          <w:p w14:paraId="69B2792A" w14:textId="77777777" w:rsidR="00B469E0" w:rsidRPr="00A32804" w:rsidRDefault="00B469E0" w:rsidP="00B65C06">
            <w:pPr>
              <w:pStyle w:val="Tabletext"/>
              <w:rPr>
                <w:lang w:val="es-ES"/>
              </w:rPr>
            </w:pPr>
            <w:r w:rsidRPr="00A32804">
              <w:rPr>
                <w:lang w:val="es-ES"/>
              </w:rPr>
              <w:t>Descargas gratuitas</w:t>
            </w:r>
          </w:p>
        </w:tc>
        <w:tc>
          <w:tcPr>
            <w:tcW w:w="1322" w:type="dxa"/>
          </w:tcPr>
          <w:p w14:paraId="7EDF28E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18</w:t>
            </w:r>
            <w:r>
              <w:rPr>
                <w:lang w:val="es-ES"/>
              </w:rPr>
              <w:t> </w:t>
            </w:r>
            <w:r w:rsidRPr="00A32804">
              <w:rPr>
                <w:lang w:val="es-ES"/>
              </w:rPr>
              <w:t>092</w:t>
            </w:r>
          </w:p>
        </w:tc>
        <w:tc>
          <w:tcPr>
            <w:tcW w:w="1537" w:type="dxa"/>
          </w:tcPr>
          <w:p w14:paraId="52322926"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13</w:t>
            </w:r>
            <w:r>
              <w:rPr>
                <w:lang w:val="es-ES"/>
              </w:rPr>
              <w:t> </w:t>
            </w:r>
            <w:r w:rsidRPr="00A32804">
              <w:rPr>
                <w:lang w:val="es-ES"/>
              </w:rPr>
              <w:t>467</w:t>
            </w:r>
          </w:p>
        </w:tc>
        <w:tc>
          <w:tcPr>
            <w:tcW w:w="1537" w:type="dxa"/>
          </w:tcPr>
          <w:p w14:paraId="696165D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42</w:t>
            </w:r>
            <w:r>
              <w:rPr>
                <w:lang w:val="es-ES"/>
              </w:rPr>
              <w:t> </w:t>
            </w:r>
            <w:r w:rsidRPr="00A32804">
              <w:rPr>
                <w:lang w:val="es-ES"/>
              </w:rPr>
              <w:t>439</w:t>
            </w:r>
          </w:p>
        </w:tc>
        <w:tc>
          <w:tcPr>
            <w:tcW w:w="2301" w:type="dxa"/>
          </w:tcPr>
          <w:p w14:paraId="588D4E3C"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2020: 29</w:t>
            </w:r>
            <w:r>
              <w:rPr>
                <w:lang w:val="es-ES"/>
              </w:rPr>
              <w:t> </w:t>
            </w:r>
            <w:r w:rsidRPr="00A32804">
              <w:rPr>
                <w:lang w:val="es-ES"/>
              </w:rPr>
              <w:t>537</w:t>
            </w:r>
          </w:p>
          <w:p w14:paraId="3FFF3F2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2024: 12</w:t>
            </w:r>
            <w:r>
              <w:rPr>
                <w:lang w:val="es-ES"/>
              </w:rPr>
              <w:t> </w:t>
            </w:r>
            <w:r w:rsidRPr="00A32804">
              <w:rPr>
                <w:lang w:val="es-ES"/>
              </w:rPr>
              <w:t>445</w:t>
            </w:r>
          </w:p>
          <w:p w14:paraId="3E2739A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lang w:val="es-ES"/>
              </w:rPr>
            </w:pPr>
            <w:r w:rsidRPr="00A32804">
              <w:rPr>
                <w:lang w:val="es-ES"/>
              </w:rPr>
              <w:t>Total: 41</w:t>
            </w:r>
            <w:r>
              <w:rPr>
                <w:lang w:val="es-ES"/>
              </w:rPr>
              <w:t> </w:t>
            </w:r>
            <w:r w:rsidRPr="00A32804">
              <w:rPr>
                <w:lang w:val="es-ES"/>
              </w:rPr>
              <w:t>982</w:t>
            </w:r>
          </w:p>
        </w:tc>
      </w:tr>
    </w:tbl>
    <w:p w14:paraId="36EAC73B" w14:textId="77777777" w:rsidR="00B469E0" w:rsidRPr="00A32804" w:rsidRDefault="00B469E0" w:rsidP="00B469E0">
      <w:pPr>
        <w:pStyle w:val="TableNotitle"/>
        <w:rPr>
          <w:lang w:val="es-ES"/>
        </w:rPr>
      </w:pPr>
      <w:r w:rsidRPr="00A32804">
        <w:rPr>
          <w:lang w:val="es-ES"/>
        </w:rPr>
        <w:lastRenderedPageBreak/>
        <w:t>CUADRO 8.1.4.1-2</w:t>
      </w:r>
      <w:r>
        <w:rPr>
          <w:lang w:val="es-ES"/>
        </w:rPr>
        <w:br/>
      </w:r>
      <w:r>
        <w:rPr>
          <w:lang w:val="es-ES"/>
        </w:rPr>
        <w:br/>
      </w:r>
      <w:r w:rsidRPr="00A32804">
        <w:rPr>
          <w:lang w:val="es-ES"/>
        </w:rPr>
        <w:t>Reglas de Procedimiento (descargas)</w:t>
      </w:r>
    </w:p>
    <w:tbl>
      <w:tblPr>
        <w:tblStyle w:val="GridTable5Dark-Accent1"/>
        <w:tblW w:w="9606" w:type="dxa"/>
        <w:jc w:val="center"/>
        <w:tblLook w:val="04A0" w:firstRow="1" w:lastRow="0" w:firstColumn="1" w:lastColumn="0" w:noHBand="0" w:noVBand="1"/>
      </w:tblPr>
      <w:tblGrid>
        <w:gridCol w:w="2288"/>
        <w:gridCol w:w="1839"/>
        <w:gridCol w:w="1827"/>
        <w:gridCol w:w="1826"/>
        <w:gridCol w:w="1826"/>
      </w:tblGrid>
      <w:tr w:rsidR="00B469E0" w:rsidRPr="00A32804" w14:paraId="25DC92CC" w14:textId="77777777" w:rsidTr="00B65C06">
        <w:trPr>
          <w:cnfStyle w:val="100000000000" w:firstRow="1" w:lastRow="0" w:firstColumn="0" w:lastColumn="0" w:oddVBand="0" w:evenVBand="0" w:oddHBand="0" w:evenHBand="0" w:firstRowFirstColumn="0" w:firstRowLastColumn="0" w:lastRowFirstColumn="0" w:lastRowLastColumn="0"/>
          <w:trHeight w:val="525"/>
          <w:jc w:val="center"/>
        </w:trPr>
        <w:tc>
          <w:tcPr>
            <w:cnfStyle w:val="001000000000" w:firstRow="0" w:lastRow="0" w:firstColumn="1" w:lastColumn="0" w:oddVBand="0" w:evenVBand="0" w:oddHBand="0" w:evenHBand="0" w:firstRowFirstColumn="0" w:firstRowLastColumn="0" w:lastRowFirstColumn="0" w:lastRowLastColumn="0"/>
            <w:tcW w:w="2288" w:type="dxa"/>
            <w:hideMark/>
          </w:tcPr>
          <w:p w14:paraId="67EA021E" w14:textId="77777777" w:rsidR="00B469E0" w:rsidRPr="00A32804" w:rsidRDefault="00B469E0" w:rsidP="00B65C06">
            <w:pPr>
              <w:keepNext/>
              <w:keepLines/>
              <w:spacing w:after="120"/>
              <w:jc w:val="center"/>
              <w:rPr>
                <w:rFonts w:ascii="Times" w:hAnsi="Times" w:cs="Times"/>
                <w:b w:val="0"/>
                <w:bCs w:val="0"/>
                <w:color w:val="auto"/>
                <w:lang w:val="es-ES"/>
              </w:rPr>
            </w:pPr>
          </w:p>
        </w:tc>
        <w:tc>
          <w:tcPr>
            <w:tcW w:w="1839" w:type="dxa"/>
          </w:tcPr>
          <w:p w14:paraId="17602805"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2021</w:t>
            </w:r>
          </w:p>
        </w:tc>
        <w:tc>
          <w:tcPr>
            <w:tcW w:w="1827" w:type="dxa"/>
          </w:tcPr>
          <w:p w14:paraId="5EEC099A"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2022</w:t>
            </w:r>
          </w:p>
        </w:tc>
        <w:tc>
          <w:tcPr>
            <w:tcW w:w="1826" w:type="dxa"/>
          </w:tcPr>
          <w:p w14:paraId="20394538"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2023</w:t>
            </w:r>
          </w:p>
        </w:tc>
        <w:tc>
          <w:tcPr>
            <w:tcW w:w="1826" w:type="dxa"/>
          </w:tcPr>
          <w:p w14:paraId="50213AE0"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eastAsia="zh-CN"/>
              </w:rPr>
            </w:pPr>
            <w:r w:rsidRPr="00292644">
              <w:rPr>
                <w:b/>
                <w:bCs w:val="0"/>
                <w:lang w:val="es-ES" w:eastAsia="zh-CN"/>
              </w:rPr>
              <w:t>2024*</w:t>
            </w:r>
          </w:p>
        </w:tc>
      </w:tr>
      <w:tr w:rsidR="00B469E0" w:rsidRPr="00A32804" w14:paraId="5D031F19" w14:textId="77777777" w:rsidTr="00B65C06">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2288" w:type="dxa"/>
            <w:hideMark/>
          </w:tcPr>
          <w:p w14:paraId="19F85369" w14:textId="77777777" w:rsidR="00B469E0" w:rsidRPr="00A32804" w:rsidRDefault="00B469E0" w:rsidP="00B65C06">
            <w:pPr>
              <w:pStyle w:val="Tabletext"/>
              <w:rPr>
                <w:color w:val="auto"/>
                <w:lang w:val="es-ES"/>
              </w:rPr>
            </w:pPr>
            <w:bookmarkStart w:id="54" w:name="lt_pId736"/>
            <w:r w:rsidRPr="00A32804">
              <w:rPr>
                <w:lang w:val="es-ES"/>
              </w:rPr>
              <w:t xml:space="preserve">RdP </w:t>
            </w:r>
            <w:r w:rsidRPr="00A32804">
              <w:rPr>
                <w:lang w:val="es-ES"/>
              </w:rPr>
              <w:br/>
              <w:t>(Reglas de Procedimiento)</w:t>
            </w:r>
            <w:bookmarkEnd w:id="54"/>
          </w:p>
        </w:tc>
        <w:tc>
          <w:tcPr>
            <w:tcW w:w="1839" w:type="dxa"/>
          </w:tcPr>
          <w:p w14:paraId="66A49891"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10</w:t>
            </w:r>
            <w:r>
              <w:rPr>
                <w:lang w:val="es-ES"/>
              </w:rPr>
              <w:t> </w:t>
            </w:r>
            <w:r w:rsidRPr="00A32804">
              <w:rPr>
                <w:lang w:val="es-ES"/>
              </w:rPr>
              <w:t>539</w:t>
            </w:r>
          </w:p>
        </w:tc>
        <w:tc>
          <w:tcPr>
            <w:tcW w:w="1827" w:type="dxa"/>
          </w:tcPr>
          <w:p w14:paraId="537DE012"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11</w:t>
            </w:r>
            <w:r>
              <w:rPr>
                <w:lang w:val="es-ES"/>
              </w:rPr>
              <w:t> </w:t>
            </w:r>
            <w:r w:rsidRPr="00A32804">
              <w:rPr>
                <w:lang w:val="es-ES"/>
              </w:rPr>
              <w:t>887</w:t>
            </w:r>
          </w:p>
        </w:tc>
        <w:tc>
          <w:tcPr>
            <w:tcW w:w="1826" w:type="dxa"/>
          </w:tcPr>
          <w:p w14:paraId="1F09F3E0"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16</w:t>
            </w:r>
            <w:r>
              <w:rPr>
                <w:lang w:val="es-ES"/>
              </w:rPr>
              <w:t> </w:t>
            </w:r>
            <w:r w:rsidRPr="00A32804">
              <w:rPr>
                <w:lang w:val="es-ES"/>
              </w:rPr>
              <w:t>875</w:t>
            </w:r>
          </w:p>
        </w:tc>
        <w:tc>
          <w:tcPr>
            <w:tcW w:w="1826" w:type="dxa"/>
          </w:tcPr>
          <w:p w14:paraId="5BDD89FA"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lang w:val="es-ES"/>
              </w:rPr>
            </w:pPr>
            <w:r w:rsidRPr="00A32804">
              <w:rPr>
                <w:lang w:val="es-ES"/>
              </w:rPr>
              <w:t>14</w:t>
            </w:r>
            <w:r>
              <w:rPr>
                <w:lang w:val="es-ES"/>
              </w:rPr>
              <w:t> </w:t>
            </w:r>
            <w:r w:rsidRPr="00A32804">
              <w:rPr>
                <w:lang w:val="es-ES"/>
              </w:rPr>
              <w:t>510</w:t>
            </w:r>
          </w:p>
        </w:tc>
      </w:tr>
    </w:tbl>
    <w:p w14:paraId="5BCCF5C5" w14:textId="77777777" w:rsidR="00B469E0" w:rsidRPr="00A32804" w:rsidRDefault="00B469E0" w:rsidP="00B469E0">
      <w:pPr>
        <w:tabs>
          <w:tab w:val="clear" w:pos="1191"/>
          <w:tab w:val="left" w:pos="142"/>
        </w:tabs>
        <w:rPr>
          <w:lang w:val="es-ES"/>
        </w:rPr>
      </w:pPr>
      <w:r w:rsidRPr="00A32804">
        <w:rPr>
          <w:lang w:val="es-ES"/>
        </w:rPr>
        <w:t>*</w:t>
      </w:r>
      <w:r>
        <w:rPr>
          <w:lang w:val="es-ES"/>
        </w:rPr>
        <w:tab/>
      </w:r>
      <w:r w:rsidRPr="00A32804">
        <w:rPr>
          <w:lang w:val="es-ES"/>
        </w:rPr>
        <w:t>Sin distinción de la edición de las RdP; en consecuencia, los valores de 2024 incluyen todas las RdP en vigor.</w:t>
      </w:r>
    </w:p>
    <w:p w14:paraId="60FD71C9" w14:textId="77777777" w:rsidR="00B469E0" w:rsidRPr="00A32804" w:rsidRDefault="00B469E0" w:rsidP="00B469E0">
      <w:pPr>
        <w:pStyle w:val="Heading4"/>
        <w:rPr>
          <w:lang w:val="es-ES"/>
        </w:rPr>
      </w:pPr>
      <w:r w:rsidRPr="00A32804">
        <w:rPr>
          <w:lang w:val="es-ES"/>
        </w:rPr>
        <w:t>8.1.4.2</w:t>
      </w:r>
      <w:r w:rsidRPr="00A32804">
        <w:rPr>
          <w:lang w:val="es-ES"/>
        </w:rPr>
        <w:tab/>
        <w:t>Recomendaciones UIT-R</w:t>
      </w:r>
    </w:p>
    <w:p w14:paraId="76032972" w14:textId="77777777" w:rsidR="00B469E0" w:rsidRPr="00A32804" w:rsidRDefault="00B469E0" w:rsidP="00B469E0">
      <w:pPr>
        <w:rPr>
          <w:lang w:val="es-ES"/>
        </w:rPr>
      </w:pPr>
      <w:r w:rsidRPr="00A32804">
        <w:rPr>
          <w:lang w:val="es-ES"/>
        </w:rPr>
        <w:t>Como resultado de la política de acceso gratuito en línea, es posible acceder a las Recomendaciones</w:t>
      </w:r>
      <w:r>
        <w:rPr>
          <w:lang w:val="es-ES"/>
        </w:rPr>
        <w:t> </w:t>
      </w:r>
      <w:r w:rsidRPr="00A32804">
        <w:rPr>
          <w:lang w:val="es-ES"/>
        </w:rPr>
        <w:t>UIT-R y descargarlas desde cualquier parte del mundo. Entre enero de 2021 y diciembre de 2024, se registraron cerca de siete millones de descargas de Recomendaciones UIT-R desde el sitio web de la UIT. En el Cuadro 8.1.4.2-1 se resume su distribución por año y serie. Actualmente, existen 1 203 Recomendaciones UIT-R en vigor.</w:t>
      </w:r>
    </w:p>
    <w:p w14:paraId="7259FD29" w14:textId="77777777" w:rsidR="00B469E0" w:rsidRPr="00A32804" w:rsidRDefault="00B469E0" w:rsidP="00B469E0">
      <w:pPr>
        <w:pStyle w:val="TableNotitle"/>
        <w:rPr>
          <w:lang w:val="es-ES"/>
        </w:rPr>
      </w:pPr>
      <w:r w:rsidRPr="00A32804">
        <w:rPr>
          <w:lang w:val="es-ES"/>
        </w:rPr>
        <w:t>CUADRO 8.1.4.2-1</w:t>
      </w:r>
      <w:r>
        <w:rPr>
          <w:lang w:val="es-ES"/>
        </w:rPr>
        <w:br/>
      </w:r>
      <w:r>
        <w:rPr>
          <w:lang w:val="es-ES"/>
        </w:rPr>
        <w:br/>
      </w:r>
      <w:r w:rsidRPr="00A32804">
        <w:rPr>
          <w:lang w:val="es-ES"/>
        </w:rPr>
        <w:t>Distribución de Recomendaciones UIT-R (descargas)</w:t>
      </w:r>
    </w:p>
    <w:tbl>
      <w:tblPr>
        <w:tblStyle w:val="GridTable5Dark-Accent1"/>
        <w:tblW w:w="8356" w:type="dxa"/>
        <w:jc w:val="center"/>
        <w:tblLook w:val="04A0" w:firstRow="1" w:lastRow="0" w:firstColumn="1" w:lastColumn="0" w:noHBand="0" w:noVBand="1"/>
      </w:tblPr>
      <w:tblGrid>
        <w:gridCol w:w="1165"/>
        <w:gridCol w:w="1100"/>
        <w:gridCol w:w="1100"/>
        <w:gridCol w:w="1100"/>
        <w:gridCol w:w="1100"/>
        <w:gridCol w:w="1100"/>
        <w:gridCol w:w="1691"/>
      </w:tblGrid>
      <w:tr w:rsidR="00B469E0" w:rsidRPr="00A32804" w14:paraId="6DE9A536" w14:textId="77777777" w:rsidTr="00B65C06">
        <w:trPr>
          <w:cnfStyle w:val="100000000000" w:firstRow="1" w:lastRow="0" w:firstColumn="0" w:lastColumn="0" w:oddVBand="0" w:evenVBand="0" w:oddHBand="0" w:evenHBand="0" w:firstRowFirstColumn="0" w:firstRowLastColumn="0" w:lastRowFirstColumn="0" w:lastRowLastColumn="0"/>
          <w:cantSplit/>
          <w:trHeight w:val="465"/>
          <w:tblHeader/>
          <w:jc w:val="center"/>
        </w:trPr>
        <w:tc>
          <w:tcPr>
            <w:cnfStyle w:val="001000000000" w:firstRow="0" w:lastRow="0" w:firstColumn="1" w:lastColumn="0" w:oddVBand="0" w:evenVBand="0" w:oddHBand="0" w:evenHBand="0" w:firstRowFirstColumn="0" w:firstRowLastColumn="0" w:lastRowFirstColumn="0" w:lastRowLastColumn="0"/>
            <w:tcW w:w="0" w:type="dxa"/>
            <w:vAlign w:val="center"/>
          </w:tcPr>
          <w:p w14:paraId="01520CC1" w14:textId="77777777" w:rsidR="00B469E0" w:rsidRPr="00292644" w:rsidRDefault="00B469E0" w:rsidP="00B65C06">
            <w:pPr>
              <w:pStyle w:val="Tablehead"/>
              <w:rPr>
                <w:b/>
                <w:bCs w:val="0"/>
                <w:lang w:val="es-ES"/>
              </w:rPr>
            </w:pPr>
            <w:r w:rsidRPr="00292644">
              <w:rPr>
                <w:b/>
                <w:bCs w:val="0"/>
                <w:lang w:val="es-ES"/>
              </w:rPr>
              <w:t>SERIE</w:t>
            </w:r>
          </w:p>
        </w:tc>
        <w:tc>
          <w:tcPr>
            <w:tcW w:w="0" w:type="dxa"/>
            <w:vAlign w:val="center"/>
          </w:tcPr>
          <w:p w14:paraId="43BFE928"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2021</w:t>
            </w:r>
          </w:p>
        </w:tc>
        <w:tc>
          <w:tcPr>
            <w:tcW w:w="0" w:type="dxa"/>
            <w:vAlign w:val="center"/>
          </w:tcPr>
          <w:p w14:paraId="34608158"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2022</w:t>
            </w:r>
          </w:p>
        </w:tc>
        <w:tc>
          <w:tcPr>
            <w:tcW w:w="0" w:type="dxa"/>
            <w:vAlign w:val="center"/>
          </w:tcPr>
          <w:p w14:paraId="754EDBCA"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2023</w:t>
            </w:r>
          </w:p>
        </w:tc>
        <w:tc>
          <w:tcPr>
            <w:tcW w:w="0" w:type="dxa"/>
            <w:vAlign w:val="center"/>
          </w:tcPr>
          <w:p w14:paraId="6D52D7E1"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2024</w:t>
            </w:r>
          </w:p>
        </w:tc>
        <w:tc>
          <w:tcPr>
            <w:tcW w:w="0" w:type="dxa"/>
            <w:vAlign w:val="center"/>
          </w:tcPr>
          <w:p w14:paraId="1E30CA8D"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TOTAL</w:t>
            </w:r>
          </w:p>
        </w:tc>
        <w:tc>
          <w:tcPr>
            <w:tcW w:w="0" w:type="dxa"/>
            <w:vAlign w:val="center"/>
          </w:tcPr>
          <w:p w14:paraId="50D747C8"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w:t>
            </w:r>
          </w:p>
        </w:tc>
      </w:tr>
      <w:tr w:rsidR="00B469E0" w:rsidRPr="00A32804" w14:paraId="15762EA1"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3773F57D" w14:textId="77777777" w:rsidR="00B469E0" w:rsidRPr="00A32804" w:rsidRDefault="00B469E0" w:rsidP="00B65C06">
            <w:pPr>
              <w:pStyle w:val="Tabletext"/>
              <w:rPr>
                <w:b w:val="0"/>
                <w:bCs w:val="0"/>
                <w:lang w:val="es-ES"/>
              </w:rPr>
            </w:pPr>
            <w:r w:rsidRPr="00A32804">
              <w:rPr>
                <w:lang w:val="es-ES"/>
              </w:rPr>
              <w:t>P</w:t>
            </w:r>
          </w:p>
        </w:tc>
        <w:tc>
          <w:tcPr>
            <w:tcW w:w="1100" w:type="dxa"/>
          </w:tcPr>
          <w:p w14:paraId="769D936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410</w:t>
            </w:r>
            <w:r>
              <w:rPr>
                <w:rFonts w:eastAsia="Calibri"/>
                <w:lang w:val="es-ES"/>
              </w:rPr>
              <w:t> </w:t>
            </w:r>
            <w:r w:rsidRPr="00A32804">
              <w:rPr>
                <w:rFonts w:eastAsia="Calibri"/>
                <w:lang w:val="es-ES"/>
              </w:rPr>
              <w:t>918</w:t>
            </w:r>
          </w:p>
        </w:tc>
        <w:tc>
          <w:tcPr>
            <w:tcW w:w="1100" w:type="dxa"/>
          </w:tcPr>
          <w:p w14:paraId="162CABD7"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347</w:t>
            </w:r>
            <w:r>
              <w:rPr>
                <w:rFonts w:eastAsia="Calibri"/>
                <w:lang w:val="es-ES"/>
              </w:rPr>
              <w:t> </w:t>
            </w:r>
            <w:r w:rsidRPr="00A32804">
              <w:rPr>
                <w:rFonts w:eastAsia="Calibri"/>
                <w:lang w:val="es-ES"/>
              </w:rPr>
              <w:t>953</w:t>
            </w:r>
          </w:p>
        </w:tc>
        <w:tc>
          <w:tcPr>
            <w:tcW w:w="1100" w:type="dxa"/>
          </w:tcPr>
          <w:p w14:paraId="4AC90D47"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401</w:t>
            </w:r>
            <w:r>
              <w:rPr>
                <w:rFonts w:eastAsia="Calibri"/>
                <w:lang w:val="es-ES"/>
              </w:rPr>
              <w:t> </w:t>
            </w:r>
            <w:r w:rsidRPr="00A32804">
              <w:rPr>
                <w:rFonts w:eastAsia="Calibri"/>
                <w:lang w:val="es-ES"/>
              </w:rPr>
              <w:t>927</w:t>
            </w:r>
          </w:p>
        </w:tc>
        <w:tc>
          <w:tcPr>
            <w:tcW w:w="1100" w:type="dxa"/>
          </w:tcPr>
          <w:p w14:paraId="1E0F432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425</w:t>
            </w:r>
            <w:r>
              <w:rPr>
                <w:lang w:val="es-ES"/>
              </w:rPr>
              <w:t> </w:t>
            </w:r>
            <w:r w:rsidRPr="00A32804">
              <w:rPr>
                <w:lang w:val="es-ES"/>
              </w:rPr>
              <w:t>058</w:t>
            </w:r>
          </w:p>
        </w:tc>
        <w:tc>
          <w:tcPr>
            <w:tcW w:w="1100" w:type="dxa"/>
          </w:tcPr>
          <w:p w14:paraId="4A8FC0ED"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w:t>
            </w:r>
            <w:r>
              <w:rPr>
                <w:lang w:val="es-ES"/>
              </w:rPr>
              <w:t> </w:t>
            </w:r>
            <w:r w:rsidRPr="00A32804">
              <w:rPr>
                <w:lang w:val="es-ES"/>
              </w:rPr>
              <w:t>589</w:t>
            </w:r>
            <w:r>
              <w:rPr>
                <w:lang w:val="es-ES"/>
              </w:rPr>
              <w:t> </w:t>
            </w:r>
            <w:r w:rsidRPr="00A32804">
              <w:rPr>
                <w:lang w:val="es-ES"/>
              </w:rPr>
              <w:t>856</w:t>
            </w:r>
          </w:p>
        </w:tc>
        <w:tc>
          <w:tcPr>
            <w:tcW w:w="1691" w:type="dxa"/>
          </w:tcPr>
          <w:p w14:paraId="07E91FD0"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22</w:t>
            </w:r>
            <w:r>
              <w:rPr>
                <w:lang w:val="es-ES"/>
              </w:rPr>
              <w:t>,</w:t>
            </w:r>
            <w:r w:rsidRPr="00A32804">
              <w:rPr>
                <w:lang w:val="es-ES"/>
              </w:rPr>
              <w:t>86%</w:t>
            </w:r>
          </w:p>
        </w:tc>
      </w:tr>
      <w:tr w:rsidR="00B469E0" w:rsidRPr="00A32804" w14:paraId="6AE5ADA7"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71E79593" w14:textId="77777777" w:rsidR="00B469E0" w:rsidRPr="00A32804" w:rsidRDefault="00B469E0" w:rsidP="00B65C06">
            <w:pPr>
              <w:pStyle w:val="Tabletext"/>
              <w:rPr>
                <w:b w:val="0"/>
                <w:bCs w:val="0"/>
                <w:lang w:val="es-ES"/>
              </w:rPr>
            </w:pPr>
            <w:r w:rsidRPr="00A32804">
              <w:rPr>
                <w:lang w:val="es-ES"/>
              </w:rPr>
              <w:t>M</w:t>
            </w:r>
          </w:p>
        </w:tc>
        <w:tc>
          <w:tcPr>
            <w:tcW w:w="1100" w:type="dxa"/>
          </w:tcPr>
          <w:p w14:paraId="5C62265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365</w:t>
            </w:r>
            <w:r>
              <w:rPr>
                <w:rFonts w:eastAsia="Calibri"/>
                <w:lang w:val="es-ES"/>
              </w:rPr>
              <w:t> </w:t>
            </w:r>
            <w:r w:rsidRPr="00A32804">
              <w:rPr>
                <w:rFonts w:eastAsia="Calibri"/>
                <w:lang w:val="es-ES"/>
              </w:rPr>
              <w:t>675</w:t>
            </w:r>
          </w:p>
        </w:tc>
        <w:tc>
          <w:tcPr>
            <w:tcW w:w="1100" w:type="dxa"/>
          </w:tcPr>
          <w:p w14:paraId="3C6657F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314</w:t>
            </w:r>
            <w:r>
              <w:rPr>
                <w:rFonts w:eastAsia="Calibri"/>
                <w:lang w:val="es-ES"/>
              </w:rPr>
              <w:t> </w:t>
            </w:r>
            <w:r w:rsidRPr="00A32804">
              <w:rPr>
                <w:rFonts w:eastAsia="Calibri"/>
                <w:lang w:val="es-ES"/>
              </w:rPr>
              <w:t>920</w:t>
            </w:r>
          </w:p>
        </w:tc>
        <w:tc>
          <w:tcPr>
            <w:tcW w:w="1100" w:type="dxa"/>
          </w:tcPr>
          <w:p w14:paraId="3D4854B9"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355</w:t>
            </w:r>
            <w:r>
              <w:rPr>
                <w:rFonts w:eastAsia="Calibri"/>
                <w:lang w:val="es-ES"/>
              </w:rPr>
              <w:t> </w:t>
            </w:r>
            <w:r w:rsidRPr="00A32804">
              <w:rPr>
                <w:rFonts w:eastAsia="Calibri"/>
                <w:lang w:val="es-ES"/>
              </w:rPr>
              <w:t>079</w:t>
            </w:r>
          </w:p>
        </w:tc>
        <w:tc>
          <w:tcPr>
            <w:tcW w:w="1100" w:type="dxa"/>
          </w:tcPr>
          <w:p w14:paraId="1AE7227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349</w:t>
            </w:r>
            <w:r>
              <w:rPr>
                <w:lang w:val="es-ES"/>
              </w:rPr>
              <w:t> </w:t>
            </w:r>
            <w:r w:rsidRPr="00A32804">
              <w:rPr>
                <w:lang w:val="es-ES"/>
              </w:rPr>
              <w:t>004</w:t>
            </w:r>
          </w:p>
        </w:tc>
        <w:tc>
          <w:tcPr>
            <w:tcW w:w="1100" w:type="dxa"/>
          </w:tcPr>
          <w:p w14:paraId="3020E56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w:t>
            </w:r>
            <w:r>
              <w:rPr>
                <w:lang w:val="es-ES"/>
              </w:rPr>
              <w:t> </w:t>
            </w:r>
            <w:r w:rsidRPr="00A32804">
              <w:rPr>
                <w:lang w:val="es-ES"/>
              </w:rPr>
              <w:t>389</w:t>
            </w:r>
            <w:r>
              <w:rPr>
                <w:lang w:val="es-ES"/>
              </w:rPr>
              <w:t> </w:t>
            </w:r>
            <w:r w:rsidRPr="00A32804">
              <w:rPr>
                <w:lang w:val="es-ES"/>
              </w:rPr>
              <w:t>678</w:t>
            </w:r>
          </w:p>
        </w:tc>
        <w:tc>
          <w:tcPr>
            <w:tcW w:w="1691" w:type="dxa"/>
          </w:tcPr>
          <w:p w14:paraId="790C60AC"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19</w:t>
            </w:r>
            <w:r>
              <w:rPr>
                <w:lang w:val="es-ES"/>
              </w:rPr>
              <w:t>,</w:t>
            </w:r>
            <w:r w:rsidRPr="00A32804">
              <w:rPr>
                <w:lang w:val="es-ES"/>
              </w:rPr>
              <w:t>99%</w:t>
            </w:r>
          </w:p>
        </w:tc>
      </w:tr>
      <w:tr w:rsidR="00B469E0" w:rsidRPr="00A32804" w14:paraId="05215478"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0843D396" w14:textId="77777777" w:rsidR="00B469E0" w:rsidRPr="00A32804" w:rsidRDefault="00B469E0" w:rsidP="00B65C06">
            <w:pPr>
              <w:pStyle w:val="Tabletext"/>
              <w:rPr>
                <w:b w:val="0"/>
                <w:bCs w:val="0"/>
                <w:lang w:val="es-ES"/>
              </w:rPr>
            </w:pPr>
            <w:r w:rsidRPr="00A32804">
              <w:rPr>
                <w:lang w:val="es-ES"/>
              </w:rPr>
              <w:t>BT</w:t>
            </w:r>
          </w:p>
        </w:tc>
        <w:tc>
          <w:tcPr>
            <w:tcW w:w="1100" w:type="dxa"/>
          </w:tcPr>
          <w:p w14:paraId="2D18D4F8"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231</w:t>
            </w:r>
            <w:r>
              <w:rPr>
                <w:rFonts w:eastAsia="Calibri"/>
                <w:lang w:val="es-ES"/>
              </w:rPr>
              <w:t> </w:t>
            </w:r>
            <w:r w:rsidRPr="00A32804">
              <w:rPr>
                <w:rFonts w:eastAsia="Calibri"/>
                <w:lang w:val="es-ES"/>
              </w:rPr>
              <w:t>981</w:t>
            </w:r>
          </w:p>
        </w:tc>
        <w:tc>
          <w:tcPr>
            <w:tcW w:w="1100" w:type="dxa"/>
          </w:tcPr>
          <w:p w14:paraId="2CAEFFC4"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218</w:t>
            </w:r>
            <w:r>
              <w:rPr>
                <w:rFonts w:eastAsia="Calibri"/>
                <w:lang w:val="es-ES"/>
              </w:rPr>
              <w:t> </w:t>
            </w:r>
            <w:r w:rsidRPr="00A32804">
              <w:rPr>
                <w:rFonts w:eastAsia="Calibri"/>
                <w:lang w:val="es-ES"/>
              </w:rPr>
              <w:t>403</w:t>
            </w:r>
          </w:p>
        </w:tc>
        <w:tc>
          <w:tcPr>
            <w:tcW w:w="1100" w:type="dxa"/>
          </w:tcPr>
          <w:p w14:paraId="5096DB98"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240</w:t>
            </w:r>
            <w:r>
              <w:rPr>
                <w:rFonts w:eastAsia="Calibri"/>
                <w:lang w:val="es-ES"/>
              </w:rPr>
              <w:t> </w:t>
            </w:r>
            <w:r w:rsidRPr="00A32804">
              <w:rPr>
                <w:rFonts w:eastAsia="Calibri"/>
                <w:lang w:val="es-ES"/>
              </w:rPr>
              <w:t>031</w:t>
            </w:r>
          </w:p>
        </w:tc>
        <w:tc>
          <w:tcPr>
            <w:tcW w:w="1100" w:type="dxa"/>
          </w:tcPr>
          <w:p w14:paraId="46732472"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237</w:t>
            </w:r>
            <w:r>
              <w:rPr>
                <w:lang w:val="es-ES"/>
              </w:rPr>
              <w:t> </w:t>
            </w:r>
            <w:r w:rsidRPr="00A32804">
              <w:rPr>
                <w:lang w:val="es-ES"/>
              </w:rPr>
              <w:t>839</w:t>
            </w:r>
          </w:p>
        </w:tc>
        <w:tc>
          <w:tcPr>
            <w:tcW w:w="1100" w:type="dxa"/>
          </w:tcPr>
          <w:p w14:paraId="4A49F52B"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928</w:t>
            </w:r>
            <w:r>
              <w:rPr>
                <w:lang w:val="es-ES"/>
              </w:rPr>
              <w:t> </w:t>
            </w:r>
            <w:r w:rsidRPr="00A32804">
              <w:rPr>
                <w:lang w:val="es-ES"/>
              </w:rPr>
              <w:t>254</w:t>
            </w:r>
          </w:p>
        </w:tc>
        <w:tc>
          <w:tcPr>
            <w:tcW w:w="1691" w:type="dxa"/>
          </w:tcPr>
          <w:p w14:paraId="124F3E9A"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13</w:t>
            </w:r>
            <w:r>
              <w:rPr>
                <w:lang w:val="es-ES"/>
              </w:rPr>
              <w:t>,</w:t>
            </w:r>
            <w:r w:rsidRPr="00A32804">
              <w:rPr>
                <w:lang w:val="es-ES"/>
              </w:rPr>
              <w:t>35%</w:t>
            </w:r>
          </w:p>
        </w:tc>
      </w:tr>
      <w:tr w:rsidR="00B469E0" w:rsidRPr="00A32804" w14:paraId="31F7F658"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6AB22DBF" w14:textId="77777777" w:rsidR="00B469E0" w:rsidRPr="00A32804" w:rsidRDefault="00B469E0" w:rsidP="00B65C06">
            <w:pPr>
              <w:pStyle w:val="Tabletext"/>
              <w:rPr>
                <w:b w:val="0"/>
                <w:bCs w:val="0"/>
                <w:lang w:val="es-ES"/>
              </w:rPr>
            </w:pPr>
            <w:r w:rsidRPr="00A32804">
              <w:rPr>
                <w:lang w:val="es-ES"/>
              </w:rPr>
              <w:t>SM</w:t>
            </w:r>
          </w:p>
        </w:tc>
        <w:tc>
          <w:tcPr>
            <w:tcW w:w="1100" w:type="dxa"/>
          </w:tcPr>
          <w:p w14:paraId="5091F464"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196</w:t>
            </w:r>
            <w:r>
              <w:rPr>
                <w:rFonts w:eastAsia="Calibri"/>
                <w:lang w:val="es-ES"/>
              </w:rPr>
              <w:t> </w:t>
            </w:r>
            <w:r w:rsidRPr="00A32804">
              <w:rPr>
                <w:rFonts w:eastAsia="Calibri"/>
                <w:lang w:val="es-ES"/>
              </w:rPr>
              <w:t>660</w:t>
            </w:r>
          </w:p>
        </w:tc>
        <w:tc>
          <w:tcPr>
            <w:tcW w:w="1100" w:type="dxa"/>
          </w:tcPr>
          <w:p w14:paraId="0A5991C6"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169</w:t>
            </w:r>
            <w:r>
              <w:rPr>
                <w:rFonts w:eastAsia="Calibri"/>
                <w:lang w:val="es-ES"/>
              </w:rPr>
              <w:t> </w:t>
            </w:r>
            <w:r w:rsidRPr="00A32804">
              <w:rPr>
                <w:rFonts w:eastAsia="Calibri"/>
                <w:lang w:val="es-ES"/>
              </w:rPr>
              <w:t>755</w:t>
            </w:r>
          </w:p>
        </w:tc>
        <w:tc>
          <w:tcPr>
            <w:tcW w:w="1100" w:type="dxa"/>
          </w:tcPr>
          <w:p w14:paraId="293A0C8F"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177</w:t>
            </w:r>
            <w:r>
              <w:rPr>
                <w:rFonts w:eastAsia="Calibri"/>
                <w:lang w:val="es-ES"/>
              </w:rPr>
              <w:t> </w:t>
            </w:r>
            <w:r w:rsidRPr="00A32804">
              <w:rPr>
                <w:rFonts w:eastAsia="Calibri"/>
                <w:lang w:val="es-ES"/>
              </w:rPr>
              <w:t>372</w:t>
            </w:r>
          </w:p>
        </w:tc>
        <w:tc>
          <w:tcPr>
            <w:tcW w:w="1100" w:type="dxa"/>
          </w:tcPr>
          <w:p w14:paraId="33008332"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166</w:t>
            </w:r>
            <w:r>
              <w:rPr>
                <w:lang w:val="es-ES"/>
              </w:rPr>
              <w:t> </w:t>
            </w:r>
            <w:r w:rsidRPr="00A32804">
              <w:rPr>
                <w:lang w:val="es-ES"/>
              </w:rPr>
              <w:t>663</w:t>
            </w:r>
          </w:p>
        </w:tc>
        <w:tc>
          <w:tcPr>
            <w:tcW w:w="1100" w:type="dxa"/>
          </w:tcPr>
          <w:p w14:paraId="35B5E65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710</w:t>
            </w:r>
            <w:r>
              <w:rPr>
                <w:lang w:val="es-ES"/>
              </w:rPr>
              <w:t> </w:t>
            </w:r>
            <w:r w:rsidRPr="00A32804">
              <w:rPr>
                <w:lang w:val="es-ES"/>
              </w:rPr>
              <w:t>450</w:t>
            </w:r>
          </w:p>
        </w:tc>
        <w:tc>
          <w:tcPr>
            <w:tcW w:w="1691" w:type="dxa"/>
          </w:tcPr>
          <w:p w14:paraId="1E515A0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10</w:t>
            </w:r>
            <w:r>
              <w:rPr>
                <w:lang w:val="es-ES"/>
              </w:rPr>
              <w:t>,</w:t>
            </w:r>
            <w:r w:rsidRPr="00A32804">
              <w:rPr>
                <w:lang w:val="es-ES"/>
              </w:rPr>
              <w:t>22%</w:t>
            </w:r>
          </w:p>
        </w:tc>
      </w:tr>
      <w:tr w:rsidR="00B469E0" w:rsidRPr="00A32804" w14:paraId="7273F088"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10B2571A" w14:textId="77777777" w:rsidR="00B469E0" w:rsidRPr="00A32804" w:rsidRDefault="00B469E0" w:rsidP="00B65C06">
            <w:pPr>
              <w:pStyle w:val="Tabletext"/>
              <w:rPr>
                <w:lang w:val="es-ES"/>
              </w:rPr>
            </w:pPr>
            <w:r w:rsidRPr="00A32804">
              <w:rPr>
                <w:lang w:val="es-ES"/>
              </w:rPr>
              <w:t>BS</w:t>
            </w:r>
          </w:p>
        </w:tc>
        <w:tc>
          <w:tcPr>
            <w:tcW w:w="1100" w:type="dxa"/>
          </w:tcPr>
          <w:p w14:paraId="24C43EB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166</w:t>
            </w:r>
            <w:r>
              <w:rPr>
                <w:rFonts w:eastAsia="Calibri"/>
                <w:lang w:val="es-ES"/>
              </w:rPr>
              <w:t> </w:t>
            </w:r>
            <w:r w:rsidRPr="00A32804">
              <w:rPr>
                <w:rFonts w:eastAsia="Calibri"/>
                <w:lang w:val="es-ES"/>
              </w:rPr>
              <w:t>563</w:t>
            </w:r>
          </w:p>
        </w:tc>
        <w:tc>
          <w:tcPr>
            <w:tcW w:w="1100" w:type="dxa"/>
          </w:tcPr>
          <w:p w14:paraId="17A6A3C9"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143</w:t>
            </w:r>
            <w:r>
              <w:rPr>
                <w:rFonts w:eastAsia="Calibri"/>
                <w:lang w:val="es-ES"/>
              </w:rPr>
              <w:t> </w:t>
            </w:r>
            <w:r w:rsidRPr="00A32804">
              <w:rPr>
                <w:rFonts w:eastAsia="Calibri"/>
                <w:lang w:val="es-ES"/>
              </w:rPr>
              <w:t>107</w:t>
            </w:r>
          </w:p>
        </w:tc>
        <w:tc>
          <w:tcPr>
            <w:tcW w:w="1100" w:type="dxa"/>
          </w:tcPr>
          <w:p w14:paraId="6EE61D6C"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158</w:t>
            </w:r>
            <w:r>
              <w:rPr>
                <w:rFonts w:eastAsia="Calibri"/>
                <w:lang w:val="es-ES"/>
              </w:rPr>
              <w:t> </w:t>
            </w:r>
            <w:r w:rsidRPr="00A32804">
              <w:rPr>
                <w:rFonts w:eastAsia="Calibri"/>
                <w:lang w:val="es-ES"/>
              </w:rPr>
              <w:t>493</w:t>
            </w:r>
          </w:p>
        </w:tc>
        <w:tc>
          <w:tcPr>
            <w:tcW w:w="1100" w:type="dxa"/>
          </w:tcPr>
          <w:p w14:paraId="0D03BC69"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135</w:t>
            </w:r>
            <w:r>
              <w:rPr>
                <w:lang w:val="es-ES"/>
              </w:rPr>
              <w:t> </w:t>
            </w:r>
            <w:r w:rsidRPr="00A32804">
              <w:rPr>
                <w:lang w:val="es-ES"/>
              </w:rPr>
              <w:t>612</w:t>
            </w:r>
          </w:p>
        </w:tc>
        <w:tc>
          <w:tcPr>
            <w:tcW w:w="1100" w:type="dxa"/>
          </w:tcPr>
          <w:p w14:paraId="635FCB81"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603</w:t>
            </w:r>
            <w:r>
              <w:rPr>
                <w:lang w:val="es-ES"/>
              </w:rPr>
              <w:t> </w:t>
            </w:r>
            <w:r w:rsidRPr="00A32804">
              <w:rPr>
                <w:lang w:val="es-ES"/>
              </w:rPr>
              <w:t>775</w:t>
            </w:r>
          </w:p>
        </w:tc>
        <w:tc>
          <w:tcPr>
            <w:tcW w:w="1691" w:type="dxa"/>
          </w:tcPr>
          <w:p w14:paraId="6D0EF904"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8</w:t>
            </w:r>
            <w:r>
              <w:rPr>
                <w:lang w:val="es-ES"/>
              </w:rPr>
              <w:t>,</w:t>
            </w:r>
            <w:r w:rsidRPr="00A32804">
              <w:rPr>
                <w:lang w:val="es-ES"/>
              </w:rPr>
              <w:t>68%</w:t>
            </w:r>
          </w:p>
        </w:tc>
      </w:tr>
      <w:tr w:rsidR="00B469E0" w:rsidRPr="00A32804" w14:paraId="4D5D9EA2"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64DF88C4" w14:textId="77777777" w:rsidR="00B469E0" w:rsidRPr="00A32804" w:rsidRDefault="00B469E0" w:rsidP="00B65C06">
            <w:pPr>
              <w:pStyle w:val="Tabletext"/>
              <w:rPr>
                <w:lang w:val="es-ES"/>
              </w:rPr>
            </w:pPr>
            <w:r w:rsidRPr="00A32804">
              <w:rPr>
                <w:lang w:val="es-ES"/>
              </w:rPr>
              <w:t>F</w:t>
            </w:r>
          </w:p>
        </w:tc>
        <w:tc>
          <w:tcPr>
            <w:tcW w:w="1100" w:type="dxa"/>
          </w:tcPr>
          <w:p w14:paraId="6E8EAEAD"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147</w:t>
            </w:r>
            <w:r>
              <w:rPr>
                <w:rFonts w:eastAsia="Calibri"/>
                <w:lang w:val="es-ES"/>
              </w:rPr>
              <w:t> </w:t>
            </w:r>
            <w:r w:rsidRPr="00A32804">
              <w:rPr>
                <w:rFonts w:eastAsia="Calibri"/>
                <w:lang w:val="es-ES"/>
              </w:rPr>
              <w:t>667</w:t>
            </w:r>
          </w:p>
        </w:tc>
        <w:tc>
          <w:tcPr>
            <w:tcW w:w="1100" w:type="dxa"/>
          </w:tcPr>
          <w:p w14:paraId="72D01D2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116</w:t>
            </w:r>
            <w:r>
              <w:rPr>
                <w:rFonts w:eastAsia="Calibri"/>
                <w:lang w:val="es-ES"/>
              </w:rPr>
              <w:t> </w:t>
            </w:r>
            <w:r w:rsidRPr="00A32804">
              <w:rPr>
                <w:rFonts w:eastAsia="Calibri"/>
                <w:lang w:val="es-ES"/>
              </w:rPr>
              <w:t>539</w:t>
            </w:r>
          </w:p>
        </w:tc>
        <w:tc>
          <w:tcPr>
            <w:tcW w:w="1100" w:type="dxa"/>
          </w:tcPr>
          <w:p w14:paraId="34FA659D"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139</w:t>
            </w:r>
            <w:r>
              <w:rPr>
                <w:rFonts w:eastAsia="Calibri"/>
                <w:lang w:val="es-ES"/>
              </w:rPr>
              <w:t> </w:t>
            </w:r>
            <w:r w:rsidRPr="00A32804">
              <w:rPr>
                <w:rFonts w:eastAsia="Calibri"/>
                <w:lang w:val="es-ES"/>
              </w:rPr>
              <w:t>580</w:t>
            </w:r>
          </w:p>
        </w:tc>
        <w:tc>
          <w:tcPr>
            <w:tcW w:w="1100" w:type="dxa"/>
          </w:tcPr>
          <w:p w14:paraId="0518FDCC"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123</w:t>
            </w:r>
            <w:r>
              <w:rPr>
                <w:lang w:val="es-ES"/>
              </w:rPr>
              <w:t> </w:t>
            </w:r>
            <w:r w:rsidRPr="00A32804">
              <w:rPr>
                <w:lang w:val="es-ES"/>
              </w:rPr>
              <w:t>807</w:t>
            </w:r>
          </w:p>
        </w:tc>
        <w:tc>
          <w:tcPr>
            <w:tcW w:w="1100" w:type="dxa"/>
          </w:tcPr>
          <w:p w14:paraId="2ACD32B5"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527</w:t>
            </w:r>
            <w:r>
              <w:rPr>
                <w:lang w:val="es-ES"/>
              </w:rPr>
              <w:t> </w:t>
            </w:r>
            <w:r w:rsidRPr="00A32804">
              <w:rPr>
                <w:lang w:val="es-ES"/>
              </w:rPr>
              <w:t>593</w:t>
            </w:r>
          </w:p>
        </w:tc>
        <w:tc>
          <w:tcPr>
            <w:tcW w:w="1691" w:type="dxa"/>
          </w:tcPr>
          <w:p w14:paraId="1D1F1B0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7</w:t>
            </w:r>
            <w:r>
              <w:rPr>
                <w:lang w:val="es-ES"/>
              </w:rPr>
              <w:t>,</w:t>
            </w:r>
            <w:r w:rsidRPr="00A32804">
              <w:rPr>
                <w:lang w:val="es-ES"/>
              </w:rPr>
              <w:t>59%</w:t>
            </w:r>
          </w:p>
        </w:tc>
      </w:tr>
      <w:tr w:rsidR="00B469E0" w:rsidRPr="00A32804" w14:paraId="7D1BE7B2"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1B9B8FAF" w14:textId="77777777" w:rsidR="00B469E0" w:rsidRPr="00A32804" w:rsidRDefault="00B469E0" w:rsidP="00B65C06">
            <w:pPr>
              <w:pStyle w:val="Tabletext"/>
              <w:rPr>
                <w:b w:val="0"/>
                <w:bCs w:val="0"/>
                <w:lang w:val="es-ES"/>
              </w:rPr>
            </w:pPr>
            <w:r w:rsidRPr="00A32804">
              <w:rPr>
                <w:lang w:val="es-ES"/>
              </w:rPr>
              <w:t>S</w:t>
            </w:r>
          </w:p>
        </w:tc>
        <w:tc>
          <w:tcPr>
            <w:tcW w:w="1100" w:type="dxa"/>
          </w:tcPr>
          <w:p w14:paraId="39E3F674"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123</w:t>
            </w:r>
            <w:r>
              <w:rPr>
                <w:rFonts w:eastAsia="Calibri"/>
                <w:lang w:val="es-ES"/>
              </w:rPr>
              <w:t> </w:t>
            </w:r>
            <w:r w:rsidRPr="00A32804">
              <w:rPr>
                <w:rFonts w:eastAsia="Calibri"/>
                <w:lang w:val="es-ES"/>
              </w:rPr>
              <w:t>593</w:t>
            </w:r>
          </w:p>
        </w:tc>
        <w:tc>
          <w:tcPr>
            <w:tcW w:w="1100" w:type="dxa"/>
          </w:tcPr>
          <w:p w14:paraId="79729DB9"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87</w:t>
            </w:r>
            <w:r>
              <w:rPr>
                <w:rFonts w:eastAsia="Calibri"/>
                <w:lang w:val="es-ES"/>
              </w:rPr>
              <w:t> </w:t>
            </w:r>
            <w:r w:rsidRPr="00A32804">
              <w:rPr>
                <w:rFonts w:eastAsia="Calibri"/>
                <w:lang w:val="es-ES"/>
              </w:rPr>
              <w:t>801</w:t>
            </w:r>
          </w:p>
        </w:tc>
        <w:tc>
          <w:tcPr>
            <w:tcW w:w="1100" w:type="dxa"/>
          </w:tcPr>
          <w:p w14:paraId="3D19BD64"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105</w:t>
            </w:r>
            <w:r>
              <w:rPr>
                <w:rFonts w:eastAsia="Calibri"/>
                <w:lang w:val="es-ES"/>
              </w:rPr>
              <w:t> </w:t>
            </w:r>
            <w:r w:rsidRPr="00A32804">
              <w:rPr>
                <w:rFonts w:eastAsia="Calibri"/>
                <w:lang w:val="es-ES"/>
              </w:rPr>
              <w:t>480</w:t>
            </w:r>
          </w:p>
        </w:tc>
        <w:tc>
          <w:tcPr>
            <w:tcW w:w="1100" w:type="dxa"/>
          </w:tcPr>
          <w:p w14:paraId="1F83707C"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110</w:t>
            </w:r>
            <w:r>
              <w:rPr>
                <w:lang w:val="es-ES"/>
              </w:rPr>
              <w:t> </w:t>
            </w:r>
            <w:r w:rsidRPr="00A32804">
              <w:rPr>
                <w:lang w:val="es-ES"/>
              </w:rPr>
              <w:t>982</w:t>
            </w:r>
          </w:p>
        </w:tc>
        <w:tc>
          <w:tcPr>
            <w:tcW w:w="1100" w:type="dxa"/>
          </w:tcPr>
          <w:p w14:paraId="107EFFA5"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427</w:t>
            </w:r>
            <w:r>
              <w:rPr>
                <w:lang w:val="es-ES"/>
              </w:rPr>
              <w:t> </w:t>
            </w:r>
            <w:r w:rsidRPr="00A32804">
              <w:rPr>
                <w:lang w:val="es-ES"/>
              </w:rPr>
              <w:t>856</w:t>
            </w:r>
          </w:p>
        </w:tc>
        <w:tc>
          <w:tcPr>
            <w:tcW w:w="1691" w:type="dxa"/>
          </w:tcPr>
          <w:p w14:paraId="73221210"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6</w:t>
            </w:r>
            <w:r>
              <w:rPr>
                <w:lang w:val="es-ES"/>
              </w:rPr>
              <w:t>,</w:t>
            </w:r>
            <w:r w:rsidRPr="00A32804">
              <w:rPr>
                <w:lang w:val="es-ES"/>
              </w:rPr>
              <w:t>15%</w:t>
            </w:r>
          </w:p>
        </w:tc>
      </w:tr>
      <w:tr w:rsidR="00B469E0" w:rsidRPr="00A32804" w14:paraId="07541369"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3294897B" w14:textId="77777777" w:rsidR="00B469E0" w:rsidRPr="00A32804" w:rsidRDefault="00B469E0" w:rsidP="00B65C06">
            <w:pPr>
              <w:pStyle w:val="Tabletext"/>
              <w:rPr>
                <w:lang w:val="es-ES"/>
              </w:rPr>
            </w:pPr>
            <w:r w:rsidRPr="00A32804">
              <w:rPr>
                <w:lang w:val="es-ES"/>
              </w:rPr>
              <w:t>V</w:t>
            </w:r>
          </w:p>
        </w:tc>
        <w:tc>
          <w:tcPr>
            <w:tcW w:w="1100" w:type="dxa"/>
          </w:tcPr>
          <w:p w14:paraId="076B0A3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47</w:t>
            </w:r>
            <w:r>
              <w:rPr>
                <w:rFonts w:eastAsia="Calibri"/>
                <w:lang w:val="es-ES"/>
              </w:rPr>
              <w:t> </w:t>
            </w:r>
            <w:r w:rsidRPr="00A32804">
              <w:rPr>
                <w:rFonts w:eastAsia="Calibri"/>
                <w:lang w:val="es-ES"/>
              </w:rPr>
              <w:t>032</w:t>
            </w:r>
          </w:p>
        </w:tc>
        <w:tc>
          <w:tcPr>
            <w:tcW w:w="1100" w:type="dxa"/>
          </w:tcPr>
          <w:p w14:paraId="3074250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44</w:t>
            </w:r>
            <w:r>
              <w:rPr>
                <w:rFonts w:eastAsia="Calibri"/>
                <w:lang w:val="es-ES"/>
              </w:rPr>
              <w:t> </w:t>
            </w:r>
            <w:r w:rsidRPr="00A32804">
              <w:rPr>
                <w:rFonts w:eastAsia="Calibri"/>
                <w:lang w:val="es-ES"/>
              </w:rPr>
              <w:t>707</w:t>
            </w:r>
          </w:p>
        </w:tc>
        <w:tc>
          <w:tcPr>
            <w:tcW w:w="1100" w:type="dxa"/>
          </w:tcPr>
          <w:p w14:paraId="72BDE5E5"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39</w:t>
            </w:r>
            <w:r>
              <w:rPr>
                <w:rFonts w:eastAsia="Calibri"/>
                <w:lang w:val="es-ES"/>
              </w:rPr>
              <w:t> </w:t>
            </w:r>
            <w:r w:rsidRPr="00A32804">
              <w:rPr>
                <w:rFonts w:eastAsia="Calibri"/>
                <w:lang w:val="es-ES"/>
              </w:rPr>
              <w:t>508</w:t>
            </w:r>
          </w:p>
        </w:tc>
        <w:tc>
          <w:tcPr>
            <w:tcW w:w="1100" w:type="dxa"/>
          </w:tcPr>
          <w:p w14:paraId="7A29664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49</w:t>
            </w:r>
            <w:r>
              <w:rPr>
                <w:lang w:val="es-ES"/>
              </w:rPr>
              <w:t> </w:t>
            </w:r>
            <w:r w:rsidRPr="00A32804">
              <w:rPr>
                <w:lang w:val="es-ES"/>
              </w:rPr>
              <w:t>133</w:t>
            </w:r>
          </w:p>
        </w:tc>
        <w:tc>
          <w:tcPr>
            <w:tcW w:w="1100" w:type="dxa"/>
          </w:tcPr>
          <w:p w14:paraId="21463EDD"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180</w:t>
            </w:r>
            <w:r>
              <w:rPr>
                <w:lang w:val="es-ES"/>
              </w:rPr>
              <w:t> </w:t>
            </w:r>
            <w:r w:rsidRPr="00A32804">
              <w:rPr>
                <w:lang w:val="es-ES"/>
              </w:rPr>
              <w:t>380</w:t>
            </w:r>
          </w:p>
        </w:tc>
        <w:tc>
          <w:tcPr>
            <w:tcW w:w="1691" w:type="dxa"/>
          </w:tcPr>
          <w:p w14:paraId="1EE6624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w:t>
            </w:r>
            <w:r>
              <w:rPr>
                <w:lang w:val="es-ES"/>
              </w:rPr>
              <w:t>,</w:t>
            </w:r>
            <w:r w:rsidRPr="00A32804">
              <w:rPr>
                <w:lang w:val="es-ES"/>
              </w:rPr>
              <w:t>59%</w:t>
            </w:r>
          </w:p>
        </w:tc>
      </w:tr>
      <w:tr w:rsidR="00B469E0" w:rsidRPr="00A32804" w14:paraId="2787C973"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3F7954AC" w14:textId="77777777" w:rsidR="00B469E0" w:rsidRPr="00A32804" w:rsidRDefault="00B469E0" w:rsidP="00B65C06">
            <w:pPr>
              <w:pStyle w:val="Tabletext"/>
              <w:rPr>
                <w:lang w:val="es-ES"/>
              </w:rPr>
            </w:pPr>
            <w:r w:rsidRPr="00A32804">
              <w:rPr>
                <w:lang w:val="es-ES"/>
              </w:rPr>
              <w:t>SA</w:t>
            </w:r>
          </w:p>
        </w:tc>
        <w:tc>
          <w:tcPr>
            <w:tcW w:w="1100" w:type="dxa"/>
          </w:tcPr>
          <w:p w14:paraId="2CB226CC"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43</w:t>
            </w:r>
            <w:r>
              <w:rPr>
                <w:rFonts w:eastAsia="Calibri"/>
                <w:lang w:val="es-ES"/>
              </w:rPr>
              <w:t> </w:t>
            </w:r>
            <w:r w:rsidRPr="00A32804">
              <w:rPr>
                <w:rFonts w:eastAsia="Calibri"/>
                <w:lang w:val="es-ES"/>
              </w:rPr>
              <w:t>137</w:t>
            </w:r>
          </w:p>
        </w:tc>
        <w:tc>
          <w:tcPr>
            <w:tcW w:w="1100" w:type="dxa"/>
          </w:tcPr>
          <w:p w14:paraId="4987318E"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33</w:t>
            </w:r>
            <w:r>
              <w:rPr>
                <w:rFonts w:eastAsia="Calibri"/>
                <w:lang w:val="es-ES"/>
              </w:rPr>
              <w:t> </w:t>
            </w:r>
            <w:r w:rsidRPr="00A32804">
              <w:rPr>
                <w:rFonts w:eastAsia="Calibri"/>
                <w:lang w:val="es-ES"/>
              </w:rPr>
              <w:t>274</w:t>
            </w:r>
          </w:p>
        </w:tc>
        <w:tc>
          <w:tcPr>
            <w:tcW w:w="1100" w:type="dxa"/>
          </w:tcPr>
          <w:p w14:paraId="6284FF6F"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46</w:t>
            </w:r>
            <w:r>
              <w:rPr>
                <w:rFonts w:eastAsia="Calibri"/>
                <w:lang w:val="es-ES"/>
              </w:rPr>
              <w:t> </w:t>
            </w:r>
            <w:r w:rsidRPr="00A32804">
              <w:rPr>
                <w:rFonts w:eastAsia="Calibri"/>
                <w:lang w:val="es-ES"/>
              </w:rPr>
              <w:t>373</w:t>
            </w:r>
          </w:p>
        </w:tc>
        <w:tc>
          <w:tcPr>
            <w:tcW w:w="1100" w:type="dxa"/>
          </w:tcPr>
          <w:p w14:paraId="23481FEA"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42</w:t>
            </w:r>
            <w:r>
              <w:rPr>
                <w:lang w:val="es-ES"/>
              </w:rPr>
              <w:t> </w:t>
            </w:r>
            <w:r w:rsidRPr="00A32804">
              <w:rPr>
                <w:lang w:val="es-ES"/>
              </w:rPr>
              <w:t>201</w:t>
            </w:r>
          </w:p>
        </w:tc>
        <w:tc>
          <w:tcPr>
            <w:tcW w:w="1100" w:type="dxa"/>
          </w:tcPr>
          <w:p w14:paraId="20FD1EA3"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164</w:t>
            </w:r>
            <w:r>
              <w:rPr>
                <w:lang w:val="es-ES"/>
              </w:rPr>
              <w:t> </w:t>
            </w:r>
            <w:r w:rsidRPr="00A32804">
              <w:rPr>
                <w:lang w:val="es-ES"/>
              </w:rPr>
              <w:t>985</w:t>
            </w:r>
          </w:p>
        </w:tc>
        <w:tc>
          <w:tcPr>
            <w:tcW w:w="1691" w:type="dxa"/>
          </w:tcPr>
          <w:p w14:paraId="298D29C2"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2</w:t>
            </w:r>
            <w:r>
              <w:rPr>
                <w:lang w:val="es-ES"/>
              </w:rPr>
              <w:t>,</w:t>
            </w:r>
            <w:r w:rsidRPr="00A32804">
              <w:rPr>
                <w:lang w:val="es-ES"/>
              </w:rPr>
              <w:t>37%</w:t>
            </w:r>
          </w:p>
        </w:tc>
      </w:tr>
      <w:tr w:rsidR="00B469E0" w:rsidRPr="00A32804" w14:paraId="79207F97"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1F480FAE" w14:textId="77777777" w:rsidR="00B469E0" w:rsidRPr="00A32804" w:rsidRDefault="00B469E0" w:rsidP="00B65C06">
            <w:pPr>
              <w:pStyle w:val="Tabletext"/>
              <w:rPr>
                <w:lang w:val="es-ES"/>
              </w:rPr>
            </w:pPr>
            <w:r w:rsidRPr="00A32804">
              <w:rPr>
                <w:lang w:val="es-ES"/>
              </w:rPr>
              <w:t>RS</w:t>
            </w:r>
          </w:p>
        </w:tc>
        <w:tc>
          <w:tcPr>
            <w:tcW w:w="1100" w:type="dxa"/>
          </w:tcPr>
          <w:p w14:paraId="2A8E43F4"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23</w:t>
            </w:r>
            <w:r>
              <w:rPr>
                <w:rFonts w:eastAsia="Calibri"/>
                <w:lang w:val="es-ES"/>
              </w:rPr>
              <w:t> </w:t>
            </w:r>
            <w:r w:rsidRPr="00A32804">
              <w:rPr>
                <w:rFonts w:eastAsia="Calibri"/>
                <w:lang w:val="es-ES"/>
              </w:rPr>
              <w:t>253</w:t>
            </w:r>
          </w:p>
        </w:tc>
        <w:tc>
          <w:tcPr>
            <w:tcW w:w="1100" w:type="dxa"/>
          </w:tcPr>
          <w:p w14:paraId="2ED1B4E5"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19</w:t>
            </w:r>
            <w:r>
              <w:rPr>
                <w:rFonts w:eastAsia="Calibri"/>
                <w:lang w:val="es-ES"/>
              </w:rPr>
              <w:t> </w:t>
            </w:r>
            <w:r w:rsidRPr="00A32804">
              <w:rPr>
                <w:rFonts w:eastAsia="Calibri"/>
                <w:lang w:val="es-ES"/>
              </w:rPr>
              <w:t>350</w:t>
            </w:r>
          </w:p>
        </w:tc>
        <w:tc>
          <w:tcPr>
            <w:tcW w:w="1100" w:type="dxa"/>
          </w:tcPr>
          <w:p w14:paraId="3E157315"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24</w:t>
            </w:r>
            <w:r>
              <w:rPr>
                <w:rFonts w:eastAsia="Calibri"/>
                <w:lang w:val="es-ES"/>
              </w:rPr>
              <w:t> </w:t>
            </w:r>
            <w:r w:rsidRPr="00A32804">
              <w:rPr>
                <w:rFonts w:eastAsia="Calibri"/>
                <w:lang w:val="es-ES"/>
              </w:rPr>
              <w:t>932</w:t>
            </w:r>
          </w:p>
        </w:tc>
        <w:tc>
          <w:tcPr>
            <w:tcW w:w="1100" w:type="dxa"/>
          </w:tcPr>
          <w:p w14:paraId="57ECC7D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27</w:t>
            </w:r>
            <w:r>
              <w:rPr>
                <w:lang w:val="es-ES"/>
              </w:rPr>
              <w:t> </w:t>
            </w:r>
            <w:r w:rsidRPr="00A32804">
              <w:rPr>
                <w:lang w:val="es-ES"/>
              </w:rPr>
              <w:t>680</w:t>
            </w:r>
          </w:p>
        </w:tc>
        <w:tc>
          <w:tcPr>
            <w:tcW w:w="1100" w:type="dxa"/>
          </w:tcPr>
          <w:p w14:paraId="31BA78F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95</w:t>
            </w:r>
            <w:r>
              <w:rPr>
                <w:lang w:val="es-ES"/>
              </w:rPr>
              <w:t> </w:t>
            </w:r>
            <w:r w:rsidRPr="00A32804">
              <w:rPr>
                <w:lang w:val="es-ES"/>
              </w:rPr>
              <w:t>215</w:t>
            </w:r>
          </w:p>
        </w:tc>
        <w:tc>
          <w:tcPr>
            <w:tcW w:w="1691" w:type="dxa"/>
          </w:tcPr>
          <w:p w14:paraId="59BE6B2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w:t>
            </w:r>
            <w:r>
              <w:rPr>
                <w:lang w:val="es-ES"/>
              </w:rPr>
              <w:t>,</w:t>
            </w:r>
            <w:r w:rsidRPr="00A32804">
              <w:rPr>
                <w:lang w:val="es-ES"/>
              </w:rPr>
              <w:t>37%</w:t>
            </w:r>
          </w:p>
        </w:tc>
      </w:tr>
      <w:tr w:rsidR="00B469E0" w:rsidRPr="00A32804" w14:paraId="15862578"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6ECBC34E" w14:textId="77777777" w:rsidR="00B469E0" w:rsidRPr="00A32804" w:rsidRDefault="00B469E0" w:rsidP="00B65C06">
            <w:pPr>
              <w:pStyle w:val="Tabletext"/>
              <w:rPr>
                <w:lang w:val="es-ES"/>
              </w:rPr>
            </w:pPr>
            <w:r w:rsidRPr="00A32804">
              <w:rPr>
                <w:lang w:val="es-ES"/>
              </w:rPr>
              <w:t>BO</w:t>
            </w:r>
          </w:p>
        </w:tc>
        <w:tc>
          <w:tcPr>
            <w:tcW w:w="1100" w:type="dxa"/>
          </w:tcPr>
          <w:p w14:paraId="1A10867E"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23</w:t>
            </w:r>
            <w:r>
              <w:rPr>
                <w:rFonts w:eastAsia="Calibri"/>
                <w:lang w:val="es-ES"/>
              </w:rPr>
              <w:t> </w:t>
            </w:r>
            <w:r w:rsidRPr="00A32804">
              <w:rPr>
                <w:rFonts w:eastAsia="Calibri"/>
                <w:lang w:val="es-ES"/>
              </w:rPr>
              <w:t>173</w:t>
            </w:r>
          </w:p>
        </w:tc>
        <w:tc>
          <w:tcPr>
            <w:tcW w:w="1100" w:type="dxa"/>
          </w:tcPr>
          <w:p w14:paraId="07044CB2"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16</w:t>
            </w:r>
            <w:r>
              <w:rPr>
                <w:rFonts w:eastAsia="Calibri"/>
                <w:lang w:val="es-ES"/>
              </w:rPr>
              <w:t> </w:t>
            </w:r>
            <w:r w:rsidRPr="00A32804">
              <w:rPr>
                <w:rFonts w:eastAsia="Calibri"/>
                <w:lang w:val="es-ES"/>
              </w:rPr>
              <w:t>489</w:t>
            </w:r>
          </w:p>
        </w:tc>
        <w:tc>
          <w:tcPr>
            <w:tcW w:w="1100" w:type="dxa"/>
          </w:tcPr>
          <w:p w14:paraId="4AFEEFA0"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22</w:t>
            </w:r>
            <w:r>
              <w:rPr>
                <w:rFonts w:eastAsia="Calibri"/>
                <w:lang w:val="es-ES"/>
              </w:rPr>
              <w:t> </w:t>
            </w:r>
            <w:r w:rsidRPr="00A32804">
              <w:rPr>
                <w:rFonts w:eastAsia="Calibri"/>
                <w:lang w:val="es-ES"/>
              </w:rPr>
              <w:t>760</w:t>
            </w:r>
          </w:p>
        </w:tc>
        <w:tc>
          <w:tcPr>
            <w:tcW w:w="1100" w:type="dxa"/>
          </w:tcPr>
          <w:p w14:paraId="313BB859"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20</w:t>
            </w:r>
            <w:r>
              <w:rPr>
                <w:lang w:val="es-ES"/>
              </w:rPr>
              <w:t> </w:t>
            </w:r>
            <w:r w:rsidRPr="00A32804">
              <w:rPr>
                <w:lang w:val="es-ES"/>
              </w:rPr>
              <w:t>941</w:t>
            </w:r>
          </w:p>
        </w:tc>
        <w:tc>
          <w:tcPr>
            <w:tcW w:w="1100" w:type="dxa"/>
          </w:tcPr>
          <w:p w14:paraId="5B1C056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83</w:t>
            </w:r>
            <w:r>
              <w:rPr>
                <w:lang w:val="es-ES"/>
              </w:rPr>
              <w:t> </w:t>
            </w:r>
            <w:r w:rsidRPr="00A32804">
              <w:rPr>
                <w:lang w:val="es-ES"/>
              </w:rPr>
              <w:t>363</w:t>
            </w:r>
          </w:p>
        </w:tc>
        <w:tc>
          <w:tcPr>
            <w:tcW w:w="1691" w:type="dxa"/>
          </w:tcPr>
          <w:p w14:paraId="5D07F671"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w:t>
            </w:r>
            <w:r>
              <w:rPr>
                <w:lang w:val="es-ES"/>
              </w:rPr>
              <w:t>,</w:t>
            </w:r>
            <w:r w:rsidRPr="00A32804">
              <w:rPr>
                <w:lang w:val="es-ES"/>
              </w:rPr>
              <w:t>20%</w:t>
            </w:r>
          </w:p>
        </w:tc>
      </w:tr>
      <w:tr w:rsidR="00B469E0" w:rsidRPr="00A32804" w14:paraId="7A988BA7"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56582CF5" w14:textId="77777777" w:rsidR="00B469E0" w:rsidRPr="00A32804" w:rsidRDefault="00B469E0" w:rsidP="00B65C06">
            <w:pPr>
              <w:pStyle w:val="Tabletext"/>
              <w:rPr>
                <w:b w:val="0"/>
                <w:bCs w:val="0"/>
                <w:lang w:val="es-ES"/>
              </w:rPr>
            </w:pPr>
            <w:r w:rsidRPr="00A32804">
              <w:rPr>
                <w:lang w:val="es-ES"/>
              </w:rPr>
              <w:t>TF</w:t>
            </w:r>
          </w:p>
        </w:tc>
        <w:tc>
          <w:tcPr>
            <w:tcW w:w="1100" w:type="dxa"/>
          </w:tcPr>
          <w:p w14:paraId="0FC18DF8"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22</w:t>
            </w:r>
            <w:r>
              <w:rPr>
                <w:rFonts w:eastAsia="Calibri"/>
                <w:lang w:val="es-ES"/>
              </w:rPr>
              <w:t> </w:t>
            </w:r>
            <w:r w:rsidRPr="00A32804">
              <w:rPr>
                <w:rFonts w:eastAsia="Calibri"/>
                <w:lang w:val="es-ES"/>
              </w:rPr>
              <w:t>729</w:t>
            </w:r>
          </w:p>
        </w:tc>
        <w:tc>
          <w:tcPr>
            <w:tcW w:w="1100" w:type="dxa"/>
          </w:tcPr>
          <w:p w14:paraId="0F702A34"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18</w:t>
            </w:r>
            <w:r>
              <w:rPr>
                <w:rFonts w:eastAsia="Calibri"/>
                <w:lang w:val="es-ES"/>
              </w:rPr>
              <w:t> </w:t>
            </w:r>
            <w:r w:rsidRPr="00A32804">
              <w:rPr>
                <w:rFonts w:eastAsia="Calibri"/>
                <w:lang w:val="es-ES"/>
              </w:rPr>
              <w:t>211</w:t>
            </w:r>
          </w:p>
        </w:tc>
        <w:tc>
          <w:tcPr>
            <w:tcW w:w="1100" w:type="dxa"/>
          </w:tcPr>
          <w:p w14:paraId="5D0FCED3"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20</w:t>
            </w:r>
            <w:r>
              <w:rPr>
                <w:rFonts w:eastAsia="Calibri"/>
                <w:lang w:val="es-ES"/>
              </w:rPr>
              <w:t> </w:t>
            </w:r>
            <w:r w:rsidRPr="00A32804">
              <w:rPr>
                <w:rFonts w:eastAsia="Calibri"/>
                <w:lang w:val="es-ES"/>
              </w:rPr>
              <w:t>903</w:t>
            </w:r>
          </w:p>
        </w:tc>
        <w:tc>
          <w:tcPr>
            <w:tcW w:w="1100" w:type="dxa"/>
          </w:tcPr>
          <w:p w14:paraId="427E6EDC"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20</w:t>
            </w:r>
            <w:r>
              <w:rPr>
                <w:lang w:val="es-ES"/>
              </w:rPr>
              <w:t> </w:t>
            </w:r>
            <w:r w:rsidRPr="00A32804">
              <w:rPr>
                <w:lang w:val="es-ES"/>
              </w:rPr>
              <w:t>589</w:t>
            </w:r>
          </w:p>
        </w:tc>
        <w:tc>
          <w:tcPr>
            <w:tcW w:w="1100" w:type="dxa"/>
          </w:tcPr>
          <w:p w14:paraId="076FD195"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82</w:t>
            </w:r>
            <w:r>
              <w:rPr>
                <w:lang w:val="es-ES"/>
              </w:rPr>
              <w:t> </w:t>
            </w:r>
            <w:r w:rsidRPr="00A32804">
              <w:rPr>
                <w:lang w:val="es-ES"/>
              </w:rPr>
              <w:t>432</w:t>
            </w:r>
          </w:p>
        </w:tc>
        <w:tc>
          <w:tcPr>
            <w:tcW w:w="1691" w:type="dxa"/>
          </w:tcPr>
          <w:p w14:paraId="67C7E49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w:t>
            </w:r>
            <w:r>
              <w:rPr>
                <w:lang w:val="es-ES"/>
              </w:rPr>
              <w:t>,</w:t>
            </w:r>
            <w:r w:rsidRPr="00A32804">
              <w:rPr>
                <w:lang w:val="es-ES"/>
              </w:rPr>
              <w:t>19%</w:t>
            </w:r>
          </w:p>
        </w:tc>
      </w:tr>
      <w:tr w:rsidR="00B469E0" w:rsidRPr="00A32804" w14:paraId="0F407EBA"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493284F9" w14:textId="77777777" w:rsidR="00B469E0" w:rsidRPr="00A32804" w:rsidRDefault="00B469E0" w:rsidP="00B65C06">
            <w:pPr>
              <w:pStyle w:val="Tabletext"/>
              <w:rPr>
                <w:b w:val="0"/>
                <w:bCs w:val="0"/>
                <w:lang w:val="es-ES"/>
              </w:rPr>
            </w:pPr>
            <w:r w:rsidRPr="00A32804">
              <w:rPr>
                <w:lang w:val="es-ES"/>
              </w:rPr>
              <w:t>SF</w:t>
            </w:r>
          </w:p>
        </w:tc>
        <w:tc>
          <w:tcPr>
            <w:tcW w:w="1100" w:type="dxa"/>
          </w:tcPr>
          <w:p w14:paraId="32240F50"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16</w:t>
            </w:r>
            <w:r>
              <w:rPr>
                <w:rFonts w:eastAsia="Calibri"/>
                <w:lang w:val="es-ES"/>
              </w:rPr>
              <w:t> </w:t>
            </w:r>
            <w:r w:rsidRPr="00A32804">
              <w:rPr>
                <w:rFonts w:eastAsia="Calibri"/>
                <w:lang w:val="es-ES"/>
              </w:rPr>
              <w:t>720</w:t>
            </w:r>
          </w:p>
        </w:tc>
        <w:tc>
          <w:tcPr>
            <w:tcW w:w="1100" w:type="dxa"/>
          </w:tcPr>
          <w:p w14:paraId="2C6C352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13</w:t>
            </w:r>
            <w:r>
              <w:rPr>
                <w:rFonts w:eastAsia="Calibri"/>
                <w:lang w:val="es-ES"/>
              </w:rPr>
              <w:t> </w:t>
            </w:r>
            <w:r w:rsidRPr="00A32804">
              <w:rPr>
                <w:rFonts w:eastAsia="Calibri"/>
                <w:lang w:val="es-ES"/>
              </w:rPr>
              <w:t>102</w:t>
            </w:r>
          </w:p>
        </w:tc>
        <w:tc>
          <w:tcPr>
            <w:tcW w:w="1100" w:type="dxa"/>
          </w:tcPr>
          <w:p w14:paraId="4E3FB86A"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15</w:t>
            </w:r>
            <w:r>
              <w:rPr>
                <w:rFonts w:eastAsia="Calibri"/>
                <w:lang w:val="es-ES"/>
              </w:rPr>
              <w:t> </w:t>
            </w:r>
            <w:r w:rsidRPr="00A32804">
              <w:rPr>
                <w:rFonts w:eastAsia="Calibri"/>
                <w:lang w:val="es-ES"/>
              </w:rPr>
              <w:t>980</w:t>
            </w:r>
          </w:p>
        </w:tc>
        <w:tc>
          <w:tcPr>
            <w:tcW w:w="1100" w:type="dxa"/>
          </w:tcPr>
          <w:p w14:paraId="7D928A87"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14</w:t>
            </w:r>
            <w:r>
              <w:rPr>
                <w:lang w:val="es-ES"/>
              </w:rPr>
              <w:t> </w:t>
            </w:r>
            <w:r w:rsidRPr="00A32804">
              <w:rPr>
                <w:lang w:val="es-ES"/>
              </w:rPr>
              <w:t>142</w:t>
            </w:r>
          </w:p>
        </w:tc>
        <w:tc>
          <w:tcPr>
            <w:tcW w:w="1100" w:type="dxa"/>
          </w:tcPr>
          <w:p w14:paraId="79D95CF1"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59</w:t>
            </w:r>
            <w:r>
              <w:rPr>
                <w:lang w:val="es-ES"/>
              </w:rPr>
              <w:t> </w:t>
            </w:r>
            <w:r w:rsidRPr="00A32804">
              <w:rPr>
                <w:lang w:val="es-ES"/>
              </w:rPr>
              <w:t>944</w:t>
            </w:r>
          </w:p>
        </w:tc>
        <w:tc>
          <w:tcPr>
            <w:tcW w:w="1691" w:type="dxa"/>
          </w:tcPr>
          <w:p w14:paraId="22CF8C27"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0</w:t>
            </w:r>
            <w:r>
              <w:rPr>
                <w:lang w:val="es-ES"/>
              </w:rPr>
              <w:t>,</w:t>
            </w:r>
            <w:r w:rsidRPr="00A32804">
              <w:rPr>
                <w:lang w:val="es-ES"/>
              </w:rPr>
              <w:t>86%</w:t>
            </w:r>
          </w:p>
        </w:tc>
      </w:tr>
      <w:tr w:rsidR="00B469E0" w:rsidRPr="00A32804" w14:paraId="3020A4ED"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384A4EC8" w14:textId="77777777" w:rsidR="00B469E0" w:rsidRPr="00A32804" w:rsidRDefault="00B469E0" w:rsidP="00B65C06">
            <w:pPr>
              <w:pStyle w:val="Tabletext"/>
              <w:rPr>
                <w:b w:val="0"/>
                <w:bCs w:val="0"/>
                <w:lang w:val="es-ES"/>
              </w:rPr>
            </w:pPr>
            <w:r w:rsidRPr="00A32804">
              <w:rPr>
                <w:lang w:val="es-ES"/>
              </w:rPr>
              <w:t>BR</w:t>
            </w:r>
          </w:p>
        </w:tc>
        <w:tc>
          <w:tcPr>
            <w:tcW w:w="1100" w:type="dxa"/>
          </w:tcPr>
          <w:p w14:paraId="15BD24C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15</w:t>
            </w:r>
            <w:r>
              <w:rPr>
                <w:rFonts w:eastAsia="Calibri"/>
                <w:lang w:val="es-ES"/>
              </w:rPr>
              <w:t> </w:t>
            </w:r>
            <w:r w:rsidRPr="00A32804">
              <w:rPr>
                <w:rFonts w:eastAsia="Calibri"/>
                <w:lang w:val="es-ES"/>
              </w:rPr>
              <w:t>009</w:t>
            </w:r>
          </w:p>
        </w:tc>
        <w:tc>
          <w:tcPr>
            <w:tcW w:w="1100" w:type="dxa"/>
          </w:tcPr>
          <w:p w14:paraId="1437A847"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9</w:t>
            </w:r>
            <w:r>
              <w:rPr>
                <w:rFonts w:eastAsia="Calibri"/>
                <w:lang w:val="es-ES"/>
              </w:rPr>
              <w:t> </w:t>
            </w:r>
            <w:r w:rsidRPr="00A32804">
              <w:rPr>
                <w:rFonts w:eastAsia="Calibri"/>
                <w:lang w:val="es-ES"/>
              </w:rPr>
              <w:t>838</w:t>
            </w:r>
          </w:p>
        </w:tc>
        <w:tc>
          <w:tcPr>
            <w:tcW w:w="1100" w:type="dxa"/>
          </w:tcPr>
          <w:p w14:paraId="363F6D0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13</w:t>
            </w:r>
            <w:r>
              <w:rPr>
                <w:rFonts w:eastAsia="Calibri"/>
                <w:lang w:val="es-ES"/>
              </w:rPr>
              <w:t> </w:t>
            </w:r>
            <w:r w:rsidRPr="00A32804">
              <w:rPr>
                <w:rFonts w:eastAsia="Calibri"/>
                <w:lang w:val="es-ES"/>
              </w:rPr>
              <w:t>285</w:t>
            </w:r>
          </w:p>
        </w:tc>
        <w:tc>
          <w:tcPr>
            <w:tcW w:w="1100" w:type="dxa"/>
          </w:tcPr>
          <w:p w14:paraId="3A4793F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13</w:t>
            </w:r>
            <w:r>
              <w:rPr>
                <w:lang w:val="es-ES"/>
              </w:rPr>
              <w:t> </w:t>
            </w:r>
            <w:r w:rsidRPr="00A32804">
              <w:rPr>
                <w:lang w:val="es-ES"/>
              </w:rPr>
              <w:t>260</w:t>
            </w:r>
          </w:p>
        </w:tc>
        <w:tc>
          <w:tcPr>
            <w:tcW w:w="1100" w:type="dxa"/>
          </w:tcPr>
          <w:p w14:paraId="670366E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51</w:t>
            </w:r>
            <w:r>
              <w:rPr>
                <w:lang w:val="es-ES"/>
              </w:rPr>
              <w:t> </w:t>
            </w:r>
            <w:r w:rsidRPr="00A32804">
              <w:rPr>
                <w:lang w:val="es-ES"/>
              </w:rPr>
              <w:t>392</w:t>
            </w:r>
          </w:p>
        </w:tc>
        <w:tc>
          <w:tcPr>
            <w:tcW w:w="1691" w:type="dxa"/>
          </w:tcPr>
          <w:p w14:paraId="0890A543"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0</w:t>
            </w:r>
            <w:r>
              <w:rPr>
                <w:lang w:val="es-ES"/>
              </w:rPr>
              <w:t>,</w:t>
            </w:r>
            <w:r w:rsidRPr="00A32804">
              <w:rPr>
                <w:lang w:val="es-ES"/>
              </w:rPr>
              <w:t>74%</w:t>
            </w:r>
          </w:p>
        </w:tc>
      </w:tr>
      <w:tr w:rsidR="00B469E0" w:rsidRPr="00A32804" w14:paraId="15F99FAD"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6F63EAAB" w14:textId="77777777" w:rsidR="00B469E0" w:rsidRPr="00A32804" w:rsidRDefault="00B469E0" w:rsidP="00B65C06">
            <w:pPr>
              <w:pStyle w:val="Tabletext"/>
              <w:rPr>
                <w:b w:val="0"/>
                <w:bCs w:val="0"/>
                <w:lang w:val="es-ES"/>
              </w:rPr>
            </w:pPr>
            <w:r w:rsidRPr="00A32804">
              <w:rPr>
                <w:lang w:val="es-ES"/>
              </w:rPr>
              <w:t>RA</w:t>
            </w:r>
          </w:p>
        </w:tc>
        <w:tc>
          <w:tcPr>
            <w:tcW w:w="1100" w:type="dxa"/>
          </w:tcPr>
          <w:p w14:paraId="672E8267"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10</w:t>
            </w:r>
            <w:r>
              <w:rPr>
                <w:rFonts w:eastAsia="Calibri"/>
                <w:lang w:val="es-ES"/>
              </w:rPr>
              <w:t> </w:t>
            </w:r>
            <w:r w:rsidRPr="00A32804">
              <w:rPr>
                <w:rFonts w:eastAsia="Calibri"/>
                <w:lang w:val="es-ES"/>
              </w:rPr>
              <w:t>777</w:t>
            </w:r>
          </w:p>
        </w:tc>
        <w:tc>
          <w:tcPr>
            <w:tcW w:w="1100" w:type="dxa"/>
          </w:tcPr>
          <w:p w14:paraId="7E4D92FD"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9</w:t>
            </w:r>
            <w:r>
              <w:rPr>
                <w:rFonts w:eastAsia="Calibri"/>
                <w:lang w:val="es-ES"/>
              </w:rPr>
              <w:t> </w:t>
            </w:r>
            <w:r w:rsidRPr="00A32804">
              <w:rPr>
                <w:rFonts w:eastAsia="Calibri"/>
                <w:lang w:val="es-ES"/>
              </w:rPr>
              <w:t>169</w:t>
            </w:r>
          </w:p>
        </w:tc>
        <w:tc>
          <w:tcPr>
            <w:tcW w:w="1100" w:type="dxa"/>
          </w:tcPr>
          <w:p w14:paraId="010CF17E"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11</w:t>
            </w:r>
            <w:r>
              <w:rPr>
                <w:rFonts w:eastAsia="Calibri"/>
                <w:lang w:val="es-ES"/>
              </w:rPr>
              <w:t> </w:t>
            </w:r>
            <w:r w:rsidRPr="00A32804">
              <w:rPr>
                <w:rFonts w:eastAsia="Calibri"/>
                <w:lang w:val="es-ES"/>
              </w:rPr>
              <w:t>546</w:t>
            </w:r>
          </w:p>
        </w:tc>
        <w:tc>
          <w:tcPr>
            <w:tcW w:w="1100" w:type="dxa"/>
          </w:tcPr>
          <w:p w14:paraId="689932BB"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10</w:t>
            </w:r>
            <w:r>
              <w:rPr>
                <w:lang w:val="es-ES"/>
              </w:rPr>
              <w:t> </w:t>
            </w:r>
            <w:r w:rsidRPr="00A32804">
              <w:rPr>
                <w:lang w:val="es-ES"/>
              </w:rPr>
              <w:t>619</w:t>
            </w:r>
          </w:p>
        </w:tc>
        <w:tc>
          <w:tcPr>
            <w:tcW w:w="1100" w:type="dxa"/>
          </w:tcPr>
          <w:p w14:paraId="583C2678"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42</w:t>
            </w:r>
            <w:r>
              <w:rPr>
                <w:lang w:val="es-ES"/>
              </w:rPr>
              <w:t> </w:t>
            </w:r>
            <w:r w:rsidRPr="00A32804">
              <w:rPr>
                <w:lang w:val="es-ES"/>
              </w:rPr>
              <w:t>111</w:t>
            </w:r>
          </w:p>
        </w:tc>
        <w:tc>
          <w:tcPr>
            <w:tcW w:w="1691" w:type="dxa"/>
          </w:tcPr>
          <w:p w14:paraId="169CBC89"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0</w:t>
            </w:r>
            <w:r>
              <w:rPr>
                <w:lang w:val="es-ES"/>
              </w:rPr>
              <w:t>,</w:t>
            </w:r>
            <w:r w:rsidRPr="00A32804">
              <w:rPr>
                <w:lang w:val="es-ES"/>
              </w:rPr>
              <w:t>61%</w:t>
            </w:r>
          </w:p>
        </w:tc>
      </w:tr>
      <w:tr w:rsidR="00B469E0" w:rsidRPr="00A32804" w14:paraId="76499D22"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246F6366" w14:textId="77777777" w:rsidR="00B469E0" w:rsidRPr="00A32804" w:rsidRDefault="00B469E0" w:rsidP="00B65C06">
            <w:pPr>
              <w:pStyle w:val="Tabletext"/>
              <w:rPr>
                <w:b w:val="0"/>
                <w:bCs w:val="0"/>
                <w:lang w:val="es-ES"/>
              </w:rPr>
            </w:pPr>
            <w:r w:rsidRPr="00A32804">
              <w:rPr>
                <w:lang w:val="es-ES"/>
              </w:rPr>
              <w:t>SNG</w:t>
            </w:r>
          </w:p>
        </w:tc>
        <w:tc>
          <w:tcPr>
            <w:tcW w:w="1100" w:type="dxa"/>
          </w:tcPr>
          <w:p w14:paraId="604518B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2</w:t>
            </w:r>
            <w:r>
              <w:rPr>
                <w:rFonts w:eastAsia="Calibri"/>
                <w:lang w:val="es-ES"/>
              </w:rPr>
              <w:t> </w:t>
            </w:r>
            <w:r w:rsidRPr="00A32804">
              <w:rPr>
                <w:rFonts w:eastAsia="Calibri"/>
                <w:lang w:val="es-ES"/>
              </w:rPr>
              <w:t>548</w:t>
            </w:r>
          </w:p>
        </w:tc>
        <w:tc>
          <w:tcPr>
            <w:tcW w:w="1100" w:type="dxa"/>
          </w:tcPr>
          <w:p w14:paraId="55D139E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w:t>
            </w:r>
            <w:r>
              <w:rPr>
                <w:rFonts w:eastAsia="Calibri"/>
                <w:lang w:val="es-ES"/>
              </w:rPr>
              <w:t> </w:t>
            </w:r>
            <w:r w:rsidRPr="00A32804">
              <w:rPr>
                <w:rFonts w:eastAsia="Calibri"/>
                <w:lang w:val="es-ES"/>
              </w:rPr>
              <w:t>987</w:t>
            </w:r>
          </w:p>
        </w:tc>
        <w:tc>
          <w:tcPr>
            <w:tcW w:w="1100" w:type="dxa"/>
          </w:tcPr>
          <w:p w14:paraId="56A8546C"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3</w:t>
            </w:r>
            <w:r>
              <w:rPr>
                <w:rFonts w:eastAsia="Calibri"/>
                <w:lang w:val="es-ES"/>
              </w:rPr>
              <w:t> </w:t>
            </w:r>
            <w:r w:rsidRPr="00A32804">
              <w:rPr>
                <w:rFonts w:eastAsia="Calibri"/>
                <w:lang w:val="es-ES"/>
              </w:rPr>
              <w:t>045</w:t>
            </w:r>
          </w:p>
        </w:tc>
        <w:tc>
          <w:tcPr>
            <w:tcW w:w="1100" w:type="dxa"/>
          </w:tcPr>
          <w:p w14:paraId="12BBA1D5"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26</w:t>
            </w:r>
            <w:r>
              <w:rPr>
                <w:lang w:val="es-ES"/>
              </w:rPr>
              <w:t> </w:t>
            </w:r>
            <w:r w:rsidRPr="00A32804">
              <w:rPr>
                <w:lang w:val="es-ES"/>
              </w:rPr>
              <w:t>73</w:t>
            </w:r>
          </w:p>
        </w:tc>
        <w:tc>
          <w:tcPr>
            <w:tcW w:w="1100" w:type="dxa"/>
          </w:tcPr>
          <w:p w14:paraId="433C1FC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10</w:t>
            </w:r>
            <w:r>
              <w:rPr>
                <w:lang w:val="es-ES"/>
              </w:rPr>
              <w:t> </w:t>
            </w:r>
            <w:r w:rsidRPr="00A32804">
              <w:rPr>
                <w:lang w:val="es-ES"/>
              </w:rPr>
              <w:t>253</w:t>
            </w:r>
          </w:p>
        </w:tc>
        <w:tc>
          <w:tcPr>
            <w:tcW w:w="1691" w:type="dxa"/>
          </w:tcPr>
          <w:p w14:paraId="749AEB8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0</w:t>
            </w:r>
            <w:r>
              <w:rPr>
                <w:lang w:val="es-ES"/>
              </w:rPr>
              <w:t>,</w:t>
            </w:r>
            <w:r w:rsidRPr="00A32804">
              <w:rPr>
                <w:lang w:val="es-ES"/>
              </w:rPr>
              <w:t>15%</w:t>
            </w:r>
          </w:p>
        </w:tc>
      </w:tr>
      <w:tr w:rsidR="00B469E0" w:rsidRPr="00A32804" w14:paraId="55D67162"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011E2980" w14:textId="77777777" w:rsidR="00B469E0" w:rsidRPr="00A32804" w:rsidRDefault="00B469E0" w:rsidP="00B65C06">
            <w:pPr>
              <w:pStyle w:val="Tabletext"/>
              <w:rPr>
                <w:b w:val="0"/>
                <w:bCs w:val="0"/>
                <w:lang w:val="es-ES"/>
              </w:rPr>
            </w:pPr>
            <w:r w:rsidRPr="00A32804">
              <w:rPr>
                <w:lang w:val="es-ES"/>
              </w:rPr>
              <w:t>IS</w:t>
            </w:r>
          </w:p>
        </w:tc>
        <w:tc>
          <w:tcPr>
            <w:tcW w:w="1100" w:type="dxa"/>
          </w:tcPr>
          <w:p w14:paraId="7D2AC89F"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w:t>
            </w:r>
            <w:r>
              <w:rPr>
                <w:rFonts w:eastAsia="Calibri"/>
                <w:lang w:val="es-ES"/>
              </w:rPr>
              <w:t> </w:t>
            </w:r>
            <w:r w:rsidRPr="00A32804">
              <w:rPr>
                <w:rFonts w:eastAsia="Calibri"/>
                <w:lang w:val="es-ES"/>
              </w:rPr>
              <w:t>366</w:t>
            </w:r>
          </w:p>
        </w:tc>
        <w:tc>
          <w:tcPr>
            <w:tcW w:w="1100" w:type="dxa"/>
          </w:tcPr>
          <w:p w14:paraId="6D5F73A5"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w:t>
            </w:r>
            <w:r>
              <w:rPr>
                <w:rFonts w:eastAsia="Calibri"/>
                <w:lang w:val="es-ES"/>
              </w:rPr>
              <w:t> </w:t>
            </w:r>
            <w:r w:rsidRPr="00A32804">
              <w:rPr>
                <w:rFonts w:eastAsia="Calibri"/>
                <w:lang w:val="es-ES"/>
              </w:rPr>
              <w:t>203</w:t>
            </w:r>
          </w:p>
        </w:tc>
        <w:tc>
          <w:tcPr>
            <w:tcW w:w="1100" w:type="dxa"/>
          </w:tcPr>
          <w:p w14:paraId="01E47E4D"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w:t>
            </w:r>
            <w:r>
              <w:rPr>
                <w:rFonts w:eastAsia="Calibri"/>
                <w:lang w:val="es-ES"/>
              </w:rPr>
              <w:t> </w:t>
            </w:r>
            <w:r w:rsidRPr="00A32804">
              <w:rPr>
                <w:rFonts w:eastAsia="Calibri"/>
                <w:lang w:val="es-ES"/>
              </w:rPr>
              <w:t>416</w:t>
            </w:r>
          </w:p>
        </w:tc>
        <w:tc>
          <w:tcPr>
            <w:tcW w:w="1100" w:type="dxa"/>
          </w:tcPr>
          <w:p w14:paraId="35CDFF1A"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997</w:t>
            </w:r>
          </w:p>
        </w:tc>
        <w:tc>
          <w:tcPr>
            <w:tcW w:w="1100" w:type="dxa"/>
          </w:tcPr>
          <w:p w14:paraId="3AC06BF4"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4</w:t>
            </w:r>
            <w:r>
              <w:rPr>
                <w:lang w:val="es-ES"/>
              </w:rPr>
              <w:t> </w:t>
            </w:r>
            <w:r w:rsidRPr="00A32804">
              <w:rPr>
                <w:lang w:val="es-ES"/>
              </w:rPr>
              <w:t>982</w:t>
            </w:r>
          </w:p>
        </w:tc>
        <w:tc>
          <w:tcPr>
            <w:tcW w:w="1691" w:type="dxa"/>
          </w:tcPr>
          <w:p w14:paraId="02FA4284"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0</w:t>
            </w:r>
            <w:r>
              <w:rPr>
                <w:lang w:val="es-ES"/>
              </w:rPr>
              <w:t>,</w:t>
            </w:r>
            <w:r w:rsidRPr="00A32804">
              <w:rPr>
                <w:lang w:val="es-ES"/>
              </w:rPr>
              <w:t>07%</w:t>
            </w:r>
          </w:p>
        </w:tc>
      </w:tr>
      <w:tr w:rsidR="00B469E0" w:rsidRPr="00A32804" w14:paraId="78876503"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65" w:type="dxa"/>
          </w:tcPr>
          <w:p w14:paraId="1EC8959F" w14:textId="77777777" w:rsidR="00B469E0" w:rsidRPr="00A32804" w:rsidRDefault="00B469E0" w:rsidP="00B65C06">
            <w:pPr>
              <w:pStyle w:val="Tabletext"/>
              <w:rPr>
                <w:b w:val="0"/>
                <w:bCs w:val="0"/>
                <w:lang w:val="es-ES"/>
              </w:rPr>
            </w:pPr>
            <w:r w:rsidRPr="00A32804">
              <w:rPr>
                <w:lang w:val="es-ES"/>
              </w:rPr>
              <w:t>PI</w:t>
            </w:r>
          </w:p>
        </w:tc>
        <w:tc>
          <w:tcPr>
            <w:tcW w:w="1100" w:type="dxa"/>
          </w:tcPr>
          <w:p w14:paraId="1020B727"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206</w:t>
            </w:r>
          </w:p>
        </w:tc>
        <w:tc>
          <w:tcPr>
            <w:tcW w:w="1100" w:type="dxa"/>
          </w:tcPr>
          <w:p w14:paraId="521F0418"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143</w:t>
            </w:r>
          </w:p>
        </w:tc>
        <w:tc>
          <w:tcPr>
            <w:tcW w:w="1100" w:type="dxa"/>
          </w:tcPr>
          <w:p w14:paraId="0AECFE04"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288</w:t>
            </w:r>
          </w:p>
        </w:tc>
        <w:tc>
          <w:tcPr>
            <w:tcW w:w="1100" w:type="dxa"/>
          </w:tcPr>
          <w:p w14:paraId="40D98524"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248</w:t>
            </w:r>
          </w:p>
        </w:tc>
        <w:tc>
          <w:tcPr>
            <w:tcW w:w="1100" w:type="dxa"/>
          </w:tcPr>
          <w:p w14:paraId="73D59DED"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885</w:t>
            </w:r>
          </w:p>
        </w:tc>
        <w:tc>
          <w:tcPr>
            <w:tcW w:w="1691" w:type="dxa"/>
          </w:tcPr>
          <w:p w14:paraId="651883D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0</w:t>
            </w:r>
            <w:r>
              <w:rPr>
                <w:lang w:val="es-ES"/>
              </w:rPr>
              <w:t>,</w:t>
            </w:r>
            <w:r w:rsidRPr="00A32804">
              <w:rPr>
                <w:lang w:val="es-ES"/>
              </w:rPr>
              <w:t>01%</w:t>
            </w:r>
          </w:p>
        </w:tc>
      </w:tr>
      <w:tr w:rsidR="00B469E0" w:rsidRPr="00A32804" w14:paraId="78EAF9F7" w14:textId="77777777" w:rsidTr="00B65C06">
        <w:trPr>
          <w:cnfStyle w:val="000000100000" w:firstRow="0" w:lastRow="0" w:firstColumn="0" w:lastColumn="0" w:oddVBand="0" w:evenVBand="0" w:oddHBand="1" w:evenHBand="0" w:firstRowFirstColumn="0" w:firstRowLastColumn="0" w:lastRowFirstColumn="0" w:lastRowLastColumn="0"/>
          <w:trHeight w:val="567"/>
          <w:jc w:val="center"/>
        </w:trPr>
        <w:tc>
          <w:tcPr>
            <w:cnfStyle w:val="001000000000" w:firstRow="0" w:lastRow="0" w:firstColumn="1" w:lastColumn="0" w:oddVBand="0" w:evenVBand="0" w:oddHBand="0" w:evenHBand="0" w:firstRowFirstColumn="0" w:firstRowLastColumn="0" w:lastRowFirstColumn="0" w:lastRowLastColumn="0"/>
            <w:tcW w:w="1165" w:type="dxa"/>
          </w:tcPr>
          <w:p w14:paraId="7D3B18F9" w14:textId="77777777" w:rsidR="00B469E0" w:rsidRPr="00A32804" w:rsidRDefault="00B469E0" w:rsidP="00B65C06">
            <w:pPr>
              <w:pStyle w:val="Tabletext"/>
              <w:rPr>
                <w:b w:val="0"/>
                <w:bCs w:val="0"/>
                <w:lang w:val="es-ES"/>
              </w:rPr>
            </w:pPr>
            <w:r w:rsidRPr="00A32804">
              <w:rPr>
                <w:lang w:val="es-ES"/>
              </w:rPr>
              <w:lastRenderedPageBreak/>
              <w:t>TOTAL</w:t>
            </w:r>
          </w:p>
        </w:tc>
        <w:tc>
          <w:tcPr>
            <w:tcW w:w="1100" w:type="dxa"/>
          </w:tcPr>
          <w:p w14:paraId="5F3A1672" w14:textId="77777777" w:rsidR="00B469E0" w:rsidRPr="00EA508B"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EA508B">
              <w:rPr>
                <w:rFonts w:eastAsia="Calibri"/>
                <w:b/>
                <w:bCs/>
                <w:lang w:val="es-ES"/>
              </w:rPr>
              <w:t>1</w:t>
            </w:r>
            <w:r>
              <w:rPr>
                <w:rFonts w:eastAsia="Calibri"/>
                <w:b/>
                <w:bCs/>
                <w:lang w:val="es-ES"/>
              </w:rPr>
              <w:t> </w:t>
            </w:r>
            <w:r w:rsidRPr="00EA508B">
              <w:rPr>
                <w:rFonts w:eastAsia="Calibri"/>
                <w:b/>
                <w:bCs/>
                <w:lang w:val="es-ES"/>
              </w:rPr>
              <w:t>849</w:t>
            </w:r>
            <w:r>
              <w:rPr>
                <w:rFonts w:eastAsia="Calibri"/>
                <w:b/>
                <w:bCs/>
                <w:lang w:val="es-ES"/>
              </w:rPr>
              <w:t> </w:t>
            </w:r>
            <w:r w:rsidRPr="00EA508B">
              <w:rPr>
                <w:rFonts w:eastAsia="Calibri"/>
                <w:b/>
                <w:bCs/>
                <w:lang w:val="es-ES"/>
              </w:rPr>
              <w:t>007</w:t>
            </w:r>
          </w:p>
        </w:tc>
        <w:tc>
          <w:tcPr>
            <w:tcW w:w="1100" w:type="dxa"/>
          </w:tcPr>
          <w:p w14:paraId="527BF558" w14:textId="77777777" w:rsidR="00B469E0" w:rsidRPr="00EA508B"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EA508B">
              <w:rPr>
                <w:rFonts w:eastAsia="Calibri"/>
                <w:b/>
                <w:bCs/>
                <w:lang w:val="es-ES"/>
              </w:rPr>
              <w:t>1</w:t>
            </w:r>
            <w:r>
              <w:rPr>
                <w:rFonts w:eastAsia="Calibri"/>
                <w:b/>
                <w:bCs/>
                <w:lang w:val="es-ES"/>
              </w:rPr>
              <w:t> </w:t>
            </w:r>
            <w:r w:rsidRPr="00EA508B">
              <w:rPr>
                <w:rFonts w:eastAsia="Calibri"/>
                <w:b/>
                <w:bCs/>
                <w:lang w:val="es-ES"/>
              </w:rPr>
              <w:t>565</w:t>
            </w:r>
            <w:r>
              <w:rPr>
                <w:rFonts w:eastAsia="Calibri"/>
                <w:b/>
                <w:bCs/>
                <w:lang w:val="es-ES"/>
              </w:rPr>
              <w:t> </w:t>
            </w:r>
            <w:r w:rsidRPr="00EA508B">
              <w:rPr>
                <w:rFonts w:eastAsia="Calibri"/>
                <w:b/>
                <w:bCs/>
                <w:lang w:val="es-ES"/>
              </w:rPr>
              <w:t>951</w:t>
            </w:r>
          </w:p>
        </w:tc>
        <w:tc>
          <w:tcPr>
            <w:tcW w:w="1100" w:type="dxa"/>
          </w:tcPr>
          <w:p w14:paraId="78801A51" w14:textId="77777777" w:rsidR="00B469E0" w:rsidRPr="00EA508B"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EA508B">
              <w:rPr>
                <w:rFonts w:eastAsia="Calibri"/>
                <w:b/>
                <w:bCs/>
                <w:lang w:val="es-ES"/>
              </w:rPr>
              <w:t>1</w:t>
            </w:r>
            <w:r>
              <w:rPr>
                <w:rFonts w:eastAsia="Calibri"/>
                <w:b/>
                <w:bCs/>
                <w:lang w:val="es-ES"/>
              </w:rPr>
              <w:t> </w:t>
            </w:r>
            <w:r w:rsidRPr="00EA508B">
              <w:rPr>
                <w:rFonts w:eastAsia="Calibri"/>
                <w:b/>
                <w:bCs/>
                <w:lang w:val="es-ES"/>
              </w:rPr>
              <w:t>777</w:t>
            </w:r>
            <w:r>
              <w:rPr>
                <w:rFonts w:eastAsia="Calibri"/>
                <w:b/>
                <w:bCs/>
                <w:lang w:val="es-ES"/>
              </w:rPr>
              <w:t> </w:t>
            </w:r>
            <w:r w:rsidRPr="00EA508B">
              <w:rPr>
                <w:rFonts w:eastAsia="Calibri"/>
                <w:b/>
                <w:bCs/>
                <w:lang w:val="es-ES"/>
              </w:rPr>
              <w:t>998</w:t>
            </w:r>
          </w:p>
        </w:tc>
        <w:tc>
          <w:tcPr>
            <w:tcW w:w="1100" w:type="dxa"/>
          </w:tcPr>
          <w:p w14:paraId="657E7E19" w14:textId="77777777" w:rsidR="00B469E0" w:rsidRPr="00EA508B"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EA508B">
              <w:rPr>
                <w:b/>
                <w:bCs/>
                <w:lang w:val="es-ES"/>
              </w:rPr>
              <w:t>1</w:t>
            </w:r>
            <w:r>
              <w:rPr>
                <w:b/>
                <w:bCs/>
                <w:lang w:val="es-ES"/>
              </w:rPr>
              <w:t> </w:t>
            </w:r>
            <w:r w:rsidRPr="00EA508B">
              <w:rPr>
                <w:b/>
                <w:bCs/>
                <w:lang w:val="es-ES"/>
              </w:rPr>
              <w:t>751</w:t>
            </w:r>
            <w:r>
              <w:rPr>
                <w:b/>
                <w:bCs/>
                <w:lang w:val="es-ES"/>
              </w:rPr>
              <w:t> </w:t>
            </w:r>
            <w:r w:rsidRPr="00EA508B">
              <w:rPr>
                <w:b/>
                <w:bCs/>
                <w:lang w:val="es-ES"/>
              </w:rPr>
              <w:t>448</w:t>
            </w:r>
          </w:p>
        </w:tc>
        <w:tc>
          <w:tcPr>
            <w:tcW w:w="1100" w:type="dxa"/>
          </w:tcPr>
          <w:p w14:paraId="40B87BD8" w14:textId="77777777" w:rsidR="00B469E0" w:rsidRPr="00EA508B"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EA508B">
              <w:rPr>
                <w:b/>
                <w:bCs/>
                <w:lang w:val="es-ES"/>
              </w:rPr>
              <w:t>6</w:t>
            </w:r>
            <w:r>
              <w:rPr>
                <w:b/>
                <w:bCs/>
                <w:lang w:val="es-ES"/>
              </w:rPr>
              <w:t> </w:t>
            </w:r>
            <w:r w:rsidRPr="00EA508B">
              <w:rPr>
                <w:b/>
                <w:bCs/>
                <w:lang w:val="es-ES"/>
              </w:rPr>
              <w:t>943</w:t>
            </w:r>
            <w:r>
              <w:rPr>
                <w:b/>
                <w:bCs/>
                <w:lang w:val="es-ES"/>
              </w:rPr>
              <w:t> </w:t>
            </w:r>
            <w:r w:rsidRPr="00EA508B">
              <w:rPr>
                <w:b/>
                <w:bCs/>
                <w:lang w:val="es-ES"/>
              </w:rPr>
              <w:t>404</w:t>
            </w:r>
          </w:p>
        </w:tc>
        <w:tc>
          <w:tcPr>
            <w:tcW w:w="1691" w:type="dxa"/>
          </w:tcPr>
          <w:p w14:paraId="0073E37E"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100%</w:t>
            </w:r>
          </w:p>
        </w:tc>
      </w:tr>
    </w:tbl>
    <w:p w14:paraId="6984647A" w14:textId="77777777" w:rsidR="00B469E0" w:rsidRPr="00A32804" w:rsidRDefault="00B469E0" w:rsidP="00B469E0">
      <w:pPr>
        <w:rPr>
          <w:lang w:val="es-ES"/>
        </w:rPr>
      </w:pPr>
    </w:p>
    <w:p w14:paraId="170F8958" w14:textId="77777777" w:rsidR="00B469E0" w:rsidRPr="00A32804" w:rsidRDefault="00B469E0" w:rsidP="00B469E0">
      <w:pPr>
        <w:pStyle w:val="Heading4"/>
        <w:rPr>
          <w:lang w:val="es-ES"/>
        </w:rPr>
      </w:pPr>
      <w:r w:rsidRPr="00A32804">
        <w:rPr>
          <w:lang w:val="es-ES"/>
        </w:rPr>
        <w:t>8.1.4.3</w:t>
      </w:r>
      <w:r w:rsidRPr="00A32804">
        <w:rPr>
          <w:lang w:val="es-ES"/>
        </w:rPr>
        <w:tab/>
        <w:t>Informes UIT-R</w:t>
      </w:r>
    </w:p>
    <w:p w14:paraId="4A14B375" w14:textId="77777777" w:rsidR="00B469E0" w:rsidRPr="00A32804" w:rsidRDefault="00B469E0" w:rsidP="00B469E0">
      <w:pPr>
        <w:rPr>
          <w:lang w:val="es-ES"/>
        </w:rPr>
      </w:pPr>
      <w:r w:rsidRPr="00A32804">
        <w:rPr>
          <w:lang w:val="es-ES"/>
        </w:rPr>
        <w:t xml:space="preserve">Al igual que en el caso de las Recomendaciones UIT-R, los Informes UIT-R se han difundido a escala mundial, alcanzando a casi todas las audiencias y contribuyendo a la definición de buenas prácticas técnicas en determinados aspectos de las radiocomunicaciones. Entre enero de 2021 y diciembre de 2024, se registraron </w:t>
      </w:r>
      <w:r w:rsidRPr="00A32804">
        <w:rPr>
          <w:szCs w:val="24"/>
          <w:lang w:val="es-ES"/>
        </w:rPr>
        <w:t xml:space="preserve">más de un millón y medio de descargas de </w:t>
      </w:r>
      <w:r w:rsidRPr="00A32804">
        <w:rPr>
          <w:lang w:val="es-ES"/>
        </w:rPr>
        <w:t>Informes UIT-R desde el sitio web de la UIT. En el Cuadro 8.1.4.3-1 se resume su distribución por año y serie. Actualmente, existen 641 Informes UIT-R en vigor.</w:t>
      </w:r>
    </w:p>
    <w:p w14:paraId="17357C14" w14:textId="77777777" w:rsidR="00B469E0" w:rsidRPr="00A32804" w:rsidRDefault="00B469E0" w:rsidP="00B469E0">
      <w:pPr>
        <w:pStyle w:val="TableNotitle"/>
        <w:rPr>
          <w:lang w:val="es-ES"/>
        </w:rPr>
      </w:pPr>
      <w:r w:rsidRPr="00A32804">
        <w:rPr>
          <w:lang w:val="es-ES"/>
        </w:rPr>
        <w:t>CUADRO 8.1.4.3-1</w:t>
      </w:r>
      <w:r>
        <w:rPr>
          <w:lang w:val="es-ES"/>
        </w:rPr>
        <w:br/>
      </w:r>
      <w:r>
        <w:rPr>
          <w:lang w:val="es-ES"/>
        </w:rPr>
        <w:br/>
      </w:r>
      <w:r w:rsidRPr="00A32804">
        <w:rPr>
          <w:lang w:val="es-ES"/>
        </w:rPr>
        <w:t>Distribución de Informes UIT-R (descargas)</w:t>
      </w:r>
    </w:p>
    <w:tbl>
      <w:tblPr>
        <w:tblStyle w:val="GridTable5Dark-Accent1"/>
        <w:tblW w:w="8692" w:type="dxa"/>
        <w:jc w:val="center"/>
        <w:tblLook w:val="04A0" w:firstRow="1" w:lastRow="0" w:firstColumn="1" w:lastColumn="0" w:noHBand="0" w:noVBand="1"/>
      </w:tblPr>
      <w:tblGrid>
        <w:gridCol w:w="1119"/>
        <w:gridCol w:w="937"/>
        <w:gridCol w:w="1124"/>
        <w:gridCol w:w="1125"/>
        <w:gridCol w:w="1051"/>
        <w:gridCol w:w="1881"/>
        <w:gridCol w:w="1455"/>
      </w:tblGrid>
      <w:tr w:rsidR="00B469E0" w:rsidRPr="00A32804" w14:paraId="78DBC87F" w14:textId="77777777" w:rsidTr="00B65C06">
        <w:trPr>
          <w:cnfStyle w:val="100000000000" w:firstRow="1" w:lastRow="0" w:firstColumn="0" w:lastColumn="0" w:oddVBand="0" w:evenVBand="0" w:oddHBand="0" w:evenHBand="0" w:firstRowFirstColumn="0" w:firstRowLastColumn="0" w:lastRowFirstColumn="0" w:lastRowLastColumn="0"/>
          <w:trHeight w:val="336"/>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tcPr>
          <w:p w14:paraId="79E5C64E" w14:textId="77777777" w:rsidR="00B469E0" w:rsidRPr="00292644" w:rsidRDefault="00B469E0" w:rsidP="00B65C06">
            <w:pPr>
              <w:pStyle w:val="Tablehead"/>
              <w:rPr>
                <w:b/>
                <w:bCs w:val="0"/>
                <w:lang w:val="es-ES"/>
              </w:rPr>
            </w:pPr>
            <w:r w:rsidRPr="00292644">
              <w:rPr>
                <w:b/>
                <w:bCs w:val="0"/>
                <w:lang w:val="es-ES"/>
              </w:rPr>
              <w:t>SERIE</w:t>
            </w:r>
          </w:p>
        </w:tc>
        <w:tc>
          <w:tcPr>
            <w:tcW w:w="937" w:type="dxa"/>
            <w:noWrap/>
            <w:vAlign w:val="bottom"/>
          </w:tcPr>
          <w:p w14:paraId="7EF5A3A1"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rFonts w:eastAsia="Calibri"/>
                <w:b/>
                <w:bCs w:val="0"/>
                <w:lang w:val="es-ES"/>
              </w:rPr>
            </w:pPr>
            <w:r w:rsidRPr="00292644">
              <w:rPr>
                <w:b/>
                <w:bCs w:val="0"/>
                <w:lang w:val="es-ES"/>
              </w:rPr>
              <w:t>2021</w:t>
            </w:r>
          </w:p>
        </w:tc>
        <w:tc>
          <w:tcPr>
            <w:tcW w:w="1124" w:type="dxa"/>
            <w:vAlign w:val="bottom"/>
          </w:tcPr>
          <w:p w14:paraId="30935D16"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rFonts w:eastAsia="Calibri"/>
                <w:b/>
                <w:bCs w:val="0"/>
                <w:lang w:val="es-ES"/>
              </w:rPr>
            </w:pPr>
            <w:r w:rsidRPr="00292644">
              <w:rPr>
                <w:b/>
                <w:bCs w:val="0"/>
                <w:lang w:val="es-ES"/>
              </w:rPr>
              <w:t>2022</w:t>
            </w:r>
          </w:p>
        </w:tc>
        <w:tc>
          <w:tcPr>
            <w:tcW w:w="1125" w:type="dxa"/>
            <w:vAlign w:val="bottom"/>
          </w:tcPr>
          <w:p w14:paraId="2066E9BD"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rFonts w:eastAsia="Calibri"/>
                <w:b/>
                <w:bCs w:val="0"/>
                <w:lang w:val="es-ES"/>
              </w:rPr>
            </w:pPr>
            <w:r w:rsidRPr="00292644">
              <w:rPr>
                <w:b/>
                <w:bCs w:val="0"/>
                <w:lang w:val="es-ES"/>
              </w:rPr>
              <w:t>2023</w:t>
            </w:r>
          </w:p>
        </w:tc>
        <w:tc>
          <w:tcPr>
            <w:tcW w:w="1051" w:type="dxa"/>
            <w:vAlign w:val="bottom"/>
          </w:tcPr>
          <w:p w14:paraId="2721BBD9"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2024</w:t>
            </w:r>
          </w:p>
        </w:tc>
        <w:tc>
          <w:tcPr>
            <w:tcW w:w="1881" w:type="dxa"/>
            <w:noWrap/>
            <w:vAlign w:val="bottom"/>
          </w:tcPr>
          <w:p w14:paraId="5430328C"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rFonts w:eastAsia="Calibri"/>
                <w:b/>
                <w:bCs w:val="0"/>
                <w:lang w:val="es-ES"/>
              </w:rPr>
            </w:pPr>
            <w:r w:rsidRPr="00292644">
              <w:rPr>
                <w:b/>
                <w:bCs w:val="0"/>
                <w:lang w:val="es-ES"/>
              </w:rPr>
              <w:t>TOTAL</w:t>
            </w:r>
          </w:p>
        </w:tc>
        <w:tc>
          <w:tcPr>
            <w:tcW w:w="1455" w:type="dxa"/>
            <w:vAlign w:val="bottom"/>
          </w:tcPr>
          <w:p w14:paraId="580FFFF9"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rFonts w:eastAsia="Calibri"/>
                <w:b/>
                <w:bCs w:val="0"/>
                <w:lang w:val="es-ES"/>
              </w:rPr>
            </w:pPr>
            <w:r w:rsidRPr="00292644">
              <w:rPr>
                <w:b/>
                <w:bCs w:val="0"/>
                <w:lang w:val="es-ES"/>
              </w:rPr>
              <w:t>%</w:t>
            </w:r>
          </w:p>
        </w:tc>
      </w:tr>
      <w:tr w:rsidR="00B469E0" w:rsidRPr="00A32804" w14:paraId="57DDEE57"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22A7B68F" w14:textId="77777777" w:rsidR="00B469E0" w:rsidRPr="00A32804" w:rsidRDefault="00B469E0" w:rsidP="00B65C06">
            <w:pPr>
              <w:pStyle w:val="Tabletext"/>
              <w:rPr>
                <w:b w:val="0"/>
                <w:bCs w:val="0"/>
                <w:lang w:val="es-ES"/>
              </w:rPr>
            </w:pPr>
            <w:r w:rsidRPr="00A32804">
              <w:rPr>
                <w:lang w:val="es-ES"/>
              </w:rPr>
              <w:t>SM</w:t>
            </w:r>
          </w:p>
        </w:tc>
        <w:tc>
          <w:tcPr>
            <w:tcW w:w="937" w:type="dxa"/>
            <w:noWrap/>
            <w:vAlign w:val="bottom"/>
          </w:tcPr>
          <w:p w14:paraId="171360B2"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149</w:t>
            </w:r>
            <w:r>
              <w:rPr>
                <w:rFonts w:eastAsia="Calibri"/>
                <w:lang w:val="es-ES"/>
              </w:rPr>
              <w:t> </w:t>
            </w:r>
            <w:r w:rsidRPr="00A32804">
              <w:rPr>
                <w:rFonts w:eastAsia="Calibri"/>
                <w:lang w:val="es-ES"/>
              </w:rPr>
              <w:t>392</w:t>
            </w:r>
          </w:p>
        </w:tc>
        <w:tc>
          <w:tcPr>
            <w:tcW w:w="1124" w:type="dxa"/>
            <w:vAlign w:val="bottom"/>
          </w:tcPr>
          <w:p w14:paraId="5D7150D9"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105</w:t>
            </w:r>
            <w:r>
              <w:rPr>
                <w:rFonts w:eastAsia="Calibri"/>
                <w:lang w:val="es-ES"/>
              </w:rPr>
              <w:t> </w:t>
            </w:r>
            <w:r w:rsidRPr="00A32804">
              <w:rPr>
                <w:rFonts w:eastAsia="Calibri"/>
                <w:lang w:val="es-ES"/>
              </w:rPr>
              <w:t>880</w:t>
            </w:r>
          </w:p>
        </w:tc>
        <w:tc>
          <w:tcPr>
            <w:tcW w:w="1125" w:type="dxa"/>
            <w:vAlign w:val="bottom"/>
          </w:tcPr>
          <w:p w14:paraId="5F3779E9"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116</w:t>
            </w:r>
            <w:r>
              <w:rPr>
                <w:rFonts w:eastAsia="Calibri"/>
                <w:lang w:val="es-ES"/>
              </w:rPr>
              <w:t> </w:t>
            </w:r>
            <w:r w:rsidRPr="00A32804">
              <w:rPr>
                <w:rFonts w:eastAsia="Calibri"/>
                <w:lang w:val="es-ES"/>
              </w:rPr>
              <w:t>282</w:t>
            </w:r>
          </w:p>
        </w:tc>
        <w:tc>
          <w:tcPr>
            <w:tcW w:w="1051" w:type="dxa"/>
            <w:vAlign w:val="bottom"/>
          </w:tcPr>
          <w:p w14:paraId="6E4CBAC1"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128</w:t>
            </w:r>
            <w:r>
              <w:rPr>
                <w:lang w:val="es-ES"/>
              </w:rPr>
              <w:t> </w:t>
            </w:r>
            <w:r w:rsidRPr="00A32804">
              <w:rPr>
                <w:lang w:val="es-ES"/>
              </w:rPr>
              <w:t>647</w:t>
            </w:r>
          </w:p>
        </w:tc>
        <w:tc>
          <w:tcPr>
            <w:tcW w:w="1881" w:type="dxa"/>
            <w:noWrap/>
            <w:vAlign w:val="bottom"/>
          </w:tcPr>
          <w:p w14:paraId="10A5798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500</w:t>
            </w:r>
            <w:r>
              <w:rPr>
                <w:lang w:val="es-ES"/>
              </w:rPr>
              <w:t> </w:t>
            </w:r>
            <w:r w:rsidRPr="00A32804">
              <w:rPr>
                <w:lang w:val="es-ES"/>
              </w:rPr>
              <w:t>201</w:t>
            </w:r>
          </w:p>
        </w:tc>
        <w:tc>
          <w:tcPr>
            <w:tcW w:w="1455" w:type="dxa"/>
            <w:vAlign w:val="bottom"/>
          </w:tcPr>
          <w:p w14:paraId="3733C373"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30</w:t>
            </w:r>
            <w:r>
              <w:rPr>
                <w:lang w:val="es-ES"/>
              </w:rPr>
              <w:t>,</w:t>
            </w:r>
            <w:r w:rsidRPr="00A32804">
              <w:rPr>
                <w:lang w:val="es-ES"/>
              </w:rPr>
              <w:t>07%</w:t>
            </w:r>
          </w:p>
        </w:tc>
      </w:tr>
      <w:tr w:rsidR="00B469E0" w:rsidRPr="00A32804" w14:paraId="73CEF308" w14:textId="77777777" w:rsidTr="00B65C06">
        <w:trPr>
          <w:trHeight w:val="354"/>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780D5818" w14:textId="77777777" w:rsidR="00B469E0" w:rsidRPr="00A32804" w:rsidRDefault="00B469E0" w:rsidP="00B65C06">
            <w:pPr>
              <w:pStyle w:val="Tabletext"/>
              <w:rPr>
                <w:b w:val="0"/>
                <w:bCs w:val="0"/>
                <w:lang w:val="es-ES"/>
              </w:rPr>
            </w:pPr>
            <w:r w:rsidRPr="00A32804">
              <w:rPr>
                <w:lang w:val="es-ES"/>
              </w:rPr>
              <w:t>M</w:t>
            </w:r>
          </w:p>
        </w:tc>
        <w:tc>
          <w:tcPr>
            <w:tcW w:w="937" w:type="dxa"/>
            <w:noWrap/>
            <w:vAlign w:val="bottom"/>
          </w:tcPr>
          <w:p w14:paraId="32F97E6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118</w:t>
            </w:r>
            <w:r>
              <w:rPr>
                <w:rFonts w:eastAsia="Calibri"/>
                <w:lang w:val="es-ES"/>
              </w:rPr>
              <w:t> </w:t>
            </w:r>
            <w:r w:rsidRPr="00A32804">
              <w:rPr>
                <w:rFonts w:eastAsia="Calibri"/>
                <w:lang w:val="es-ES"/>
              </w:rPr>
              <w:t>785</w:t>
            </w:r>
          </w:p>
        </w:tc>
        <w:tc>
          <w:tcPr>
            <w:tcW w:w="1124" w:type="dxa"/>
            <w:vAlign w:val="bottom"/>
          </w:tcPr>
          <w:p w14:paraId="28737F5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102</w:t>
            </w:r>
            <w:r>
              <w:rPr>
                <w:rFonts w:eastAsia="Calibri"/>
                <w:lang w:val="es-ES"/>
              </w:rPr>
              <w:t> </w:t>
            </w:r>
            <w:r w:rsidRPr="00A32804">
              <w:rPr>
                <w:rFonts w:eastAsia="Calibri"/>
                <w:lang w:val="es-ES"/>
              </w:rPr>
              <w:t>742</w:t>
            </w:r>
          </w:p>
        </w:tc>
        <w:tc>
          <w:tcPr>
            <w:tcW w:w="1125" w:type="dxa"/>
            <w:vAlign w:val="bottom"/>
          </w:tcPr>
          <w:p w14:paraId="71E9672D"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121</w:t>
            </w:r>
            <w:r>
              <w:rPr>
                <w:rFonts w:eastAsia="Calibri"/>
                <w:lang w:val="es-ES"/>
              </w:rPr>
              <w:t> </w:t>
            </w:r>
            <w:r w:rsidRPr="00A32804">
              <w:rPr>
                <w:rFonts w:eastAsia="Calibri"/>
                <w:lang w:val="es-ES"/>
              </w:rPr>
              <w:t>622</w:t>
            </w:r>
          </w:p>
        </w:tc>
        <w:tc>
          <w:tcPr>
            <w:tcW w:w="1051" w:type="dxa"/>
            <w:vAlign w:val="bottom"/>
          </w:tcPr>
          <w:p w14:paraId="22280E2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103</w:t>
            </w:r>
            <w:r>
              <w:rPr>
                <w:lang w:val="es-ES"/>
              </w:rPr>
              <w:t> </w:t>
            </w:r>
            <w:r w:rsidRPr="00A32804">
              <w:rPr>
                <w:lang w:val="es-ES"/>
              </w:rPr>
              <w:t>466</w:t>
            </w:r>
          </w:p>
        </w:tc>
        <w:tc>
          <w:tcPr>
            <w:tcW w:w="1881" w:type="dxa"/>
            <w:noWrap/>
            <w:vAlign w:val="bottom"/>
          </w:tcPr>
          <w:p w14:paraId="75B2C74D"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446</w:t>
            </w:r>
            <w:r>
              <w:rPr>
                <w:lang w:val="es-ES"/>
              </w:rPr>
              <w:t> </w:t>
            </w:r>
            <w:r w:rsidRPr="00A32804">
              <w:rPr>
                <w:lang w:val="es-ES"/>
              </w:rPr>
              <w:t>615</w:t>
            </w:r>
          </w:p>
        </w:tc>
        <w:tc>
          <w:tcPr>
            <w:tcW w:w="1455" w:type="dxa"/>
            <w:vAlign w:val="bottom"/>
          </w:tcPr>
          <w:p w14:paraId="6694C177"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26</w:t>
            </w:r>
            <w:r>
              <w:rPr>
                <w:lang w:val="es-ES"/>
              </w:rPr>
              <w:t>,</w:t>
            </w:r>
            <w:r w:rsidRPr="00A32804">
              <w:rPr>
                <w:lang w:val="es-ES"/>
              </w:rPr>
              <w:t>85%</w:t>
            </w:r>
          </w:p>
        </w:tc>
      </w:tr>
      <w:tr w:rsidR="00B469E0" w:rsidRPr="00A32804" w14:paraId="52669313"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654E5CF6" w14:textId="77777777" w:rsidR="00B469E0" w:rsidRPr="00A32804" w:rsidRDefault="00B469E0" w:rsidP="00B65C06">
            <w:pPr>
              <w:pStyle w:val="Tabletext"/>
              <w:rPr>
                <w:b w:val="0"/>
                <w:bCs w:val="0"/>
                <w:lang w:val="es-ES"/>
              </w:rPr>
            </w:pPr>
            <w:r w:rsidRPr="00A32804">
              <w:rPr>
                <w:lang w:val="es-ES"/>
              </w:rPr>
              <w:t>BT</w:t>
            </w:r>
          </w:p>
        </w:tc>
        <w:tc>
          <w:tcPr>
            <w:tcW w:w="937" w:type="dxa"/>
            <w:noWrap/>
            <w:vAlign w:val="bottom"/>
          </w:tcPr>
          <w:p w14:paraId="0A51284E"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75</w:t>
            </w:r>
            <w:r>
              <w:rPr>
                <w:rFonts w:eastAsia="Calibri"/>
                <w:lang w:val="es-ES"/>
              </w:rPr>
              <w:t> </w:t>
            </w:r>
            <w:r w:rsidRPr="00A32804">
              <w:rPr>
                <w:rFonts w:eastAsia="Calibri"/>
                <w:lang w:val="es-ES"/>
              </w:rPr>
              <w:t>168</w:t>
            </w:r>
          </w:p>
        </w:tc>
        <w:tc>
          <w:tcPr>
            <w:tcW w:w="1124" w:type="dxa"/>
            <w:vAlign w:val="bottom"/>
          </w:tcPr>
          <w:p w14:paraId="6683F121"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76</w:t>
            </w:r>
            <w:r>
              <w:rPr>
                <w:rFonts w:eastAsia="Calibri"/>
                <w:lang w:val="es-ES"/>
              </w:rPr>
              <w:t> </w:t>
            </w:r>
            <w:r w:rsidRPr="00A32804">
              <w:rPr>
                <w:rFonts w:eastAsia="Calibri"/>
                <w:lang w:val="es-ES"/>
              </w:rPr>
              <w:t>421</w:t>
            </w:r>
          </w:p>
        </w:tc>
        <w:tc>
          <w:tcPr>
            <w:tcW w:w="1125" w:type="dxa"/>
            <w:vAlign w:val="bottom"/>
          </w:tcPr>
          <w:p w14:paraId="6EC6730D"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83</w:t>
            </w:r>
            <w:r>
              <w:rPr>
                <w:rFonts w:eastAsia="Calibri"/>
                <w:lang w:val="es-ES"/>
              </w:rPr>
              <w:t> </w:t>
            </w:r>
            <w:r w:rsidRPr="00A32804">
              <w:rPr>
                <w:rFonts w:eastAsia="Calibri"/>
                <w:lang w:val="es-ES"/>
              </w:rPr>
              <w:t>612</w:t>
            </w:r>
          </w:p>
        </w:tc>
        <w:tc>
          <w:tcPr>
            <w:tcW w:w="1051" w:type="dxa"/>
            <w:vAlign w:val="bottom"/>
          </w:tcPr>
          <w:p w14:paraId="4E38A16C"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75</w:t>
            </w:r>
            <w:r>
              <w:rPr>
                <w:lang w:val="es-ES"/>
              </w:rPr>
              <w:t> </w:t>
            </w:r>
            <w:r w:rsidRPr="00A32804">
              <w:rPr>
                <w:lang w:val="es-ES"/>
              </w:rPr>
              <w:t>390</w:t>
            </w:r>
          </w:p>
        </w:tc>
        <w:tc>
          <w:tcPr>
            <w:tcW w:w="1881" w:type="dxa"/>
            <w:noWrap/>
            <w:vAlign w:val="bottom"/>
          </w:tcPr>
          <w:p w14:paraId="6D95950E"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310</w:t>
            </w:r>
            <w:r>
              <w:rPr>
                <w:lang w:val="es-ES"/>
              </w:rPr>
              <w:t> </w:t>
            </w:r>
            <w:r w:rsidRPr="00A32804">
              <w:rPr>
                <w:lang w:val="es-ES"/>
              </w:rPr>
              <w:t>591</w:t>
            </w:r>
          </w:p>
        </w:tc>
        <w:tc>
          <w:tcPr>
            <w:tcW w:w="1455" w:type="dxa"/>
            <w:vAlign w:val="bottom"/>
          </w:tcPr>
          <w:p w14:paraId="1E843EB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18</w:t>
            </w:r>
            <w:r>
              <w:rPr>
                <w:lang w:val="es-ES"/>
              </w:rPr>
              <w:t>,</w:t>
            </w:r>
            <w:r w:rsidRPr="00A32804">
              <w:rPr>
                <w:lang w:val="es-ES"/>
              </w:rPr>
              <w:t>67%</w:t>
            </w:r>
          </w:p>
        </w:tc>
      </w:tr>
      <w:tr w:rsidR="00B469E0" w:rsidRPr="00A32804" w14:paraId="3E5AA674"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44251A44" w14:textId="77777777" w:rsidR="00B469E0" w:rsidRPr="00A32804" w:rsidRDefault="00B469E0" w:rsidP="00B65C06">
            <w:pPr>
              <w:pStyle w:val="Tabletext"/>
              <w:rPr>
                <w:b w:val="0"/>
                <w:bCs w:val="0"/>
                <w:lang w:val="es-ES"/>
              </w:rPr>
            </w:pPr>
            <w:r w:rsidRPr="00A32804">
              <w:rPr>
                <w:lang w:val="es-ES"/>
              </w:rPr>
              <w:t>BS</w:t>
            </w:r>
          </w:p>
        </w:tc>
        <w:tc>
          <w:tcPr>
            <w:tcW w:w="937" w:type="dxa"/>
            <w:noWrap/>
            <w:vAlign w:val="bottom"/>
          </w:tcPr>
          <w:p w14:paraId="5E6D7EC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35</w:t>
            </w:r>
            <w:r>
              <w:rPr>
                <w:rFonts w:eastAsia="Calibri"/>
                <w:lang w:val="es-ES"/>
              </w:rPr>
              <w:t> </w:t>
            </w:r>
            <w:r w:rsidRPr="00A32804">
              <w:rPr>
                <w:rFonts w:eastAsia="Calibri"/>
                <w:lang w:val="es-ES"/>
              </w:rPr>
              <w:t>392</w:t>
            </w:r>
          </w:p>
        </w:tc>
        <w:tc>
          <w:tcPr>
            <w:tcW w:w="1124" w:type="dxa"/>
            <w:vAlign w:val="bottom"/>
          </w:tcPr>
          <w:p w14:paraId="29A5EE4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30</w:t>
            </w:r>
            <w:r>
              <w:rPr>
                <w:rFonts w:eastAsia="Calibri"/>
                <w:lang w:val="es-ES"/>
              </w:rPr>
              <w:t> </w:t>
            </w:r>
            <w:r w:rsidRPr="00A32804">
              <w:rPr>
                <w:rFonts w:eastAsia="Calibri"/>
                <w:lang w:val="es-ES"/>
              </w:rPr>
              <w:t>002</w:t>
            </w:r>
          </w:p>
        </w:tc>
        <w:tc>
          <w:tcPr>
            <w:tcW w:w="1125" w:type="dxa"/>
            <w:vAlign w:val="bottom"/>
          </w:tcPr>
          <w:p w14:paraId="5DB35DB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31</w:t>
            </w:r>
            <w:r>
              <w:rPr>
                <w:rFonts w:eastAsia="Calibri"/>
                <w:lang w:val="es-ES"/>
              </w:rPr>
              <w:t> </w:t>
            </w:r>
            <w:r w:rsidRPr="00A32804">
              <w:rPr>
                <w:rFonts w:eastAsia="Calibri"/>
                <w:lang w:val="es-ES"/>
              </w:rPr>
              <w:t>013</w:t>
            </w:r>
          </w:p>
        </w:tc>
        <w:tc>
          <w:tcPr>
            <w:tcW w:w="1051" w:type="dxa"/>
            <w:vAlign w:val="bottom"/>
          </w:tcPr>
          <w:p w14:paraId="451FA866"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25</w:t>
            </w:r>
            <w:r>
              <w:rPr>
                <w:lang w:val="es-ES"/>
              </w:rPr>
              <w:t> </w:t>
            </w:r>
            <w:r w:rsidRPr="00A32804">
              <w:rPr>
                <w:lang w:val="es-ES"/>
              </w:rPr>
              <w:t>730</w:t>
            </w:r>
          </w:p>
        </w:tc>
        <w:tc>
          <w:tcPr>
            <w:tcW w:w="1881" w:type="dxa"/>
            <w:noWrap/>
            <w:vAlign w:val="bottom"/>
          </w:tcPr>
          <w:p w14:paraId="6A8C263F"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122</w:t>
            </w:r>
            <w:r>
              <w:rPr>
                <w:lang w:val="es-ES"/>
              </w:rPr>
              <w:t> </w:t>
            </w:r>
            <w:r w:rsidRPr="00A32804">
              <w:rPr>
                <w:lang w:val="es-ES"/>
              </w:rPr>
              <w:t>137</w:t>
            </w:r>
          </w:p>
        </w:tc>
        <w:tc>
          <w:tcPr>
            <w:tcW w:w="1455" w:type="dxa"/>
            <w:vAlign w:val="bottom"/>
          </w:tcPr>
          <w:p w14:paraId="1DA42CE2"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7</w:t>
            </w:r>
            <w:r>
              <w:rPr>
                <w:lang w:val="es-ES"/>
              </w:rPr>
              <w:t>,</w:t>
            </w:r>
            <w:r w:rsidRPr="00A32804">
              <w:rPr>
                <w:lang w:val="es-ES"/>
              </w:rPr>
              <w:t>34%</w:t>
            </w:r>
          </w:p>
        </w:tc>
      </w:tr>
      <w:tr w:rsidR="00B469E0" w:rsidRPr="00A32804" w14:paraId="25ED8751"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36B08D81" w14:textId="77777777" w:rsidR="00B469E0" w:rsidRPr="00A32804" w:rsidRDefault="00B469E0" w:rsidP="00B65C06">
            <w:pPr>
              <w:pStyle w:val="Tabletext"/>
              <w:rPr>
                <w:lang w:val="es-ES"/>
              </w:rPr>
            </w:pPr>
            <w:r w:rsidRPr="00A32804">
              <w:rPr>
                <w:lang w:val="es-ES"/>
              </w:rPr>
              <w:t>BO</w:t>
            </w:r>
          </w:p>
        </w:tc>
        <w:tc>
          <w:tcPr>
            <w:tcW w:w="937" w:type="dxa"/>
            <w:noWrap/>
            <w:vAlign w:val="bottom"/>
          </w:tcPr>
          <w:p w14:paraId="2E314DC7"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16</w:t>
            </w:r>
            <w:r>
              <w:rPr>
                <w:rFonts w:eastAsia="Calibri"/>
                <w:lang w:val="es-ES"/>
              </w:rPr>
              <w:t> </w:t>
            </w:r>
            <w:r w:rsidRPr="00A32804">
              <w:rPr>
                <w:rFonts w:eastAsia="Calibri"/>
                <w:lang w:val="es-ES"/>
              </w:rPr>
              <w:t>812</w:t>
            </w:r>
          </w:p>
        </w:tc>
        <w:tc>
          <w:tcPr>
            <w:tcW w:w="1124" w:type="dxa"/>
            <w:vAlign w:val="bottom"/>
          </w:tcPr>
          <w:p w14:paraId="3481A2CF"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16</w:t>
            </w:r>
            <w:r>
              <w:rPr>
                <w:rFonts w:eastAsia="Calibri"/>
                <w:lang w:val="es-ES"/>
              </w:rPr>
              <w:t> </w:t>
            </w:r>
            <w:r w:rsidRPr="00A32804">
              <w:rPr>
                <w:rFonts w:eastAsia="Calibri"/>
                <w:lang w:val="es-ES"/>
              </w:rPr>
              <w:t>721</w:t>
            </w:r>
          </w:p>
        </w:tc>
        <w:tc>
          <w:tcPr>
            <w:tcW w:w="1125" w:type="dxa"/>
            <w:vAlign w:val="bottom"/>
          </w:tcPr>
          <w:p w14:paraId="6C4FBF08"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16</w:t>
            </w:r>
            <w:r>
              <w:rPr>
                <w:rFonts w:eastAsia="Calibri"/>
                <w:lang w:val="es-ES"/>
              </w:rPr>
              <w:t> </w:t>
            </w:r>
            <w:r w:rsidRPr="00A32804">
              <w:rPr>
                <w:rFonts w:eastAsia="Calibri"/>
                <w:lang w:val="es-ES"/>
              </w:rPr>
              <w:t>993</w:t>
            </w:r>
          </w:p>
        </w:tc>
        <w:tc>
          <w:tcPr>
            <w:tcW w:w="1051" w:type="dxa"/>
            <w:vAlign w:val="bottom"/>
          </w:tcPr>
          <w:p w14:paraId="4A607BF5"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13</w:t>
            </w:r>
            <w:r>
              <w:rPr>
                <w:lang w:val="es-ES"/>
              </w:rPr>
              <w:t> </w:t>
            </w:r>
            <w:r w:rsidRPr="00A32804">
              <w:rPr>
                <w:lang w:val="es-ES"/>
              </w:rPr>
              <w:t>740</w:t>
            </w:r>
          </w:p>
        </w:tc>
        <w:tc>
          <w:tcPr>
            <w:tcW w:w="1881" w:type="dxa"/>
            <w:noWrap/>
            <w:vAlign w:val="bottom"/>
          </w:tcPr>
          <w:p w14:paraId="72804F20"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64</w:t>
            </w:r>
            <w:r>
              <w:rPr>
                <w:lang w:val="es-ES"/>
              </w:rPr>
              <w:t> </w:t>
            </w:r>
            <w:r w:rsidRPr="00A32804">
              <w:rPr>
                <w:lang w:val="es-ES"/>
              </w:rPr>
              <w:t>266</w:t>
            </w:r>
          </w:p>
        </w:tc>
        <w:tc>
          <w:tcPr>
            <w:tcW w:w="1455" w:type="dxa"/>
            <w:vAlign w:val="bottom"/>
          </w:tcPr>
          <w:p w14:paraId="3F6878C2"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3</w:t>
            </w:r>
            <w:r>
              <w:rPr>
                <w:lang w:val="es-ES"/>
              </w:rPr>
              <w:t>,</w:t>
            </w:r>
            <w:r w:rsidRPr="00A32804">
              <w:rPr>
                <w:lang w:val="es-ES"/>
              </w:rPr>
              <w:t>86%</w:t>
            </w:r>
          </w:p>
        </w:tc>
      </w:tr>
      <w:tr w:rsidR="00B469E0" w:rsidRPr="00A32804" w14:paraId="6EF6F4CE"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246CE3ED" w14:textId="77777777" w:rsidR="00B469E0" w:rsidRPr="00A32804" w:rsidRDefault="00B469E0" w:rsidP="00B65C06">
            <w:pPr>
              <w:pStyle w:val="Tabletext"/>
              <w:rPr>
                <w:lang w:val="es-ES"/>
              </w:rPr>
            </w:pPr>
            <w:r w:rsidRPr="00A32804">
              <w:rPr>
                <w:lang w:val="es-ES"/>
              </w:rPr>
              <w:t>P</w:t>
            </w:r>
          </w:p>
        </w:tc>
        <w:tc>
          <w:tcPr>
            <w:tcW w:w="937" w:type="dxa"/>
            <w:noWrap/>
            <w:vAlign w:val="bottom"/>
          </w:tcPr>
          <w:p w14:paraId="0070C91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18</w:t>
            </w:r>
            <w:r>
              <w:rPr>
                <w:rFonts w:eastAsia="Calibri"/>
                <w:lang w:val="es-ES"/>
              </w:rPr>
              <w:t> </w:t>
            </w:r>
            <w:r w:rsidRPr="00A32804">
              <w:rPr>
                <w:rFonts w:eastAsia="Calibri"/>
                <w:lang w:val="es-ES"/>
              </w:rPr>
              <w:t>142</w:t>
            </w:r>
          </w:p>
        </w:tc>
        <w:tc>
          <w:tcPr>
            <w:tcW w:w="1124" w:type="dxa"/>
            <w:vAlign w:val="bottom"/>
          </w:tcPr>
          <w:p w14:paraId="01DFA14C"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15</w:t>
            </w:r>
            <w:r>
              <w:rPr>
                <w:rFonts w:eastAsia="Calibri"/>
                <w:lang w:val="es-ES"/>
              </w:rPr>
              <w:t> </w:t>
            </w:r>
            <w:r w:rsidRPr="00A32804">
              <w:rPr>
                <w:rFonts w:eastAsia="Calibri"/>
                <w:lang w:val="es-ES"/>
              </w:rPr>
              <w:t>647</w:t>
            </w:r>
          </w:p>
        </w:tc>
        <w:tc>
          <w:tcPr>
            <w:tcW w:w="1125" w:type="dxa"/>
            <w:vAlign w:val="bottom"/>
          </w:tcPr>
          <w:p w14:paraId="7B3B9296"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15</w:t>
            </w:r>
            <w:r>
              <w:rPr>
                <w:rFonts w:eastAsia="Calibri"/>
                <w:lang w:val="es-ES"/>
              </w:rPr>
              <w:t> </w:t>
            </w:r>
            <w:r w:rsidRPr="00A32804">
              <w:rPr>
                <w:rFonts w:eastAsia="Calibri"/>
                <w:lang w:val="es-ES"/>
              </w:rPr>
              <w:t>536</w:t>
            </w:r>
          </w:p>
        </w:tc>
        <w:tc>
          <w:tcPr>
            <w:tcW w:w="1051" w:type="dxa"/>
            <w:vAlign w:val="bottom"/>
          </w:tcPr>
          <w:p w14:paraId="37736FC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11</w:t>
            </w:r>
            <w:r>
              <w:rPr>
                <w:lang w:val="es-ES"/>
              </w:rPr>
              <w:t> </w:t>
            </w:r>
            <w:r w:rsidRPr="00A32804">
              <w:rPr>
                <w:lang w:val="es-ES"/>
              </w:rPr>
              <w:t>673</w:t>
            </w:r>
          </w:p>
        </w:tc>
        <w:tc>
          <w:tcPr>
            <w:tcW w:w="1881" w:type="dxa"/>
            <w:noWrap/>
            <w:vAlign w:val="bottom"/>
          </w:tcPr>
          <w:p w14:paraId="6292EF97"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60</w:t>
            </w:r>
            <w:r>
              <w:rPr>
                <w:lang w:val="es-ES"/>
              </w:rPr>
              <w:t> </w:t>
            </w:r>
            <w:r w:rsidRPr="00A32804">
              <w:rPr>
                <w:lang w:val="es-ES"/>
              </w:rPr>
              <w:t>998</w:t>
            </w:r>
          </w:p>
        </w:tc>
        <w:tc>
          <w:tcPr>
            <w:tcW w:w="1455" w:type="dxa"/>
            <w:vAlign w:val="bottom"/>
          </w:tcPr>
          <w:p w14:paraId="39FE61B3"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3</w:t>
            </w:r>
            <w:r>
              <w:rPr>
                <w:lang w:val="es-ES"/>
              </w:rPr>
              <w:t>,</w:t>
            </w:r>
            <w:r w:rsidRPr="00A32804">
              <w:rPr>
                <w:lang w:val="es-ES"/>
              </w:rPr>
              <w:t>67%</w:t>
            </w:r>
          </w:p>
        </w:tc>
      </w:tr>
      <w:tr w:rsidR="00B469E0" w:rsidRPr="00A32804" w14:paraId="325E3677"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131A6871" w14:textId="77777777" w:rsidR="00B469E0" w:rsidRPr="00A32804" w:rsidRDefault="00B469E0" w:rsidP="00B65C06">
            <w:pPr>
              <w:pStyle w:val="Tabletext"/>
              <w:rPr>
                <w:b w:val="0"/>
                <w:bCs w:val="0"/>
                <w:lang w:val="es-ES"/>
              </w:rPr>
            </w:pPr>
            <w:r w:rsidRPr="00A32804">
              <w:rPr>
                <w:lang w:val="es-ES"/>
              </w:rPr>
              <w:t>F</w:t>
            </w:r>
          </w:p>
        </w:tc>
        <w:tc>
          <w:tcPr>
            <w:tcW w:w="937" w:type="dxa"/>
            <w:noWrap/>
            <w:vAlign w:val="bottom"/>
          </w:tcPr>
          <w:p w14:paraId="7725763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15</w:t>
            </w:r>
            <w:r>
              <w:rPr>
                <w:rFonts w:eastAsia="Calibri"/>
                <w:lang w:val="es-ES"/>
              </w:rPr>
              <w:t> </w:t>
            </w:r>
            <w:r w:rsidRPr="00A32804">
              <w:rPr>
                <w:rFonts w:eastAsia="Calibri"/>
                <w:lang w:val="es-ES"/>
              </w:rPr>
              <w:t>138</w:t>
            </w:r>
          </w:p>
        </w:tc>
        <w:tc>
          <w:tcPr>
            <w:tcW w:w="1124" w:type="dxa"/>
            <w:vAlign w:val="bottom"/>
          </w:tcPr>
          <w:p w14:paraId="7334FA8A"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8</w:t>
            </w:r>
            <w:r>
              <w:rPr>
                <w:rFonts w:eastAsia="Calibri"/>
                <w:lang w:val="es-ES"/>
              </w:rPr>
              <w:t> </w:t>
            </w:r>
            <w:r w:rsidRPr="00A32804">
              <w:rPr>
                <w:rFonts w:eastAsia="Calibri"/>
                <w:lang w:val="es-ES"/>
              </w:rPr>
              <w:t>623</w:t>
            </w:r>
          </w:p>
        </w:tc>
        <w:tc>
          <w:tcPr>
            <w:tcW w:w="1125" w:type="dxa"/>
            <w:vAlign w:val="bottom"/>
          </w:tcPr>
          <w:p w14:paraId="527C62F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9</w:t>
            </w:r>
            <w:r>
              <w:rPr>
                <w:rFonts w:eastAsia="Calibri"/>
                <w:lang w:val="es-ES"/>
              </w:rPr>
              <w:t> </w:t>
            </w:r>
            <w:r w:rsidRPr="00A32804">
              <w:rPr>
                <w:rFonts w:eastAsia="Calibri"/>
                <w:lang w:val="es-ES"/>
              </w:rPr>
              <w:t>397</w:t>
            </w:r>
          </w:p>
        </w:tc>
        <w:tc>
          <w:tcPr>
            <w:tcW w:w="1051" w:type="dxa"/>
            <w:vAlign w:val="bottom"/>
          </w:tcPr>
          <w:p w14:paraId="08ED67B0"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9</w:t>
            </w:r>
            <w:r>
              <w:rPr>
                <w:lang w:val="es-ES"/>
              </w:rPr>
              <w:t> </w:t>
            </w:r>
            <w:r w:rsidRPr="00A32804">
              <w:rPr>
                <w:lang w:val="es-ES"/>
              </w:rPr>
              <w:t>940</w:t>
            </w:r>
          </w:p>
        </w:tc>
        <w:tc>
          <w:tcPr>
            <w:tcW w:w="1881" w:type="dxa"/>
            <w:noWrap/>
            <w:vAlign w:val="bottom"/>
          </w:tcPr>
          <w:p w14:paraId="16AF8921"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43</w:t>
            </w:r>
            <w:r>
              <w:rPr>
                <w:lang w:val="es-ES"/>
              </w:rPr>
              <w:t> </w:t>
            </w:r>
            <w:r w:rsidRPr="00A32804">
              <w:rPr>
                <w:lang w:val="es-ES"/>
              </w:rPr>
              <w:t>098</w:t>
            </w:r>
          </w:p>
        </w:tc>
        <w:tc>
          <w:tcPr>
            <w:tcW w:w="1455" w:type="dxa"/>
            <w:vAlign w:val="bottom"/>
          </w:tcPr>
          <w:p w14:paraId="672C87AF"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2</w:t>
            </w:r>
            <w:r>
              <w:rPr>
                <w:lang w:val="es-ES"/>
              </w:rPr>
              <w:t>,</w:t>
            </w:r>
            <w:r w:rsidRPr="00A32804">
              <w:rPr>
                <w:lang w:val="es-ES"/>
              </w:rPr>
              <w:t>59%</w:t>
            </w:r>
          </w:p>
        </w:tc>
      </w:tr>
      <w:tr w:rsidR="00B469E0" w:rsidRPr="00A32804" w14:paraId="7A4139EE"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635C50AA" w14:textId="77777777" w:rsidR="00B469E0" w:rsidRPr="00A32804" w:rsidRDefault="00B469E0" w:rsidP="00B65C06">
            <w:pPr>
              <w:pStyle w:val="Tabletext"/>
              <w:rPr>
                <w:b w:val="0"/>
                <w:bCs w:val="0"/>
                <w:lang w:val="es-ES"/>
              </w:rPr>
            </w:pPr>
            <w:r w:rsidRPr="00A32804">
              <w:rPr>
                <w:lang w:val="es-ES"/>
              </w:rPr>
              <w:t>S</w:t>
            </w:r>
          </w:p>
        </w:tc>
        <w:tc>
          <w:tcPr>
            <w:tcW w:w="937" w:type="dxa"/>
            <w:noWrap/>
            <w:vAlign w:val="bottom"/>
          </w:tcPr>
          <w:p w14:paraId="678F770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9</w:t>
            </w:r>
            <w:r>
              <w:rPr>
                <w:rFonts w:eastAsia="Calibri"/>
                <w:lang w:val="es-ES"/>
              </w:rPr>
              <w:t> </w:t>
            </w:r>
            <w:r w:rsidRPr="00A32804">
              <w:rPr>
                <w:rFonts w:eastAsia="Calibri"/>
                <w:lang w:val="es-ES"/>
              </w:rPr>
              <w:t>918</w:t>
            </w:r>
          </w:p>
        </w:tc>
        <w:tc>
          <w:tcPr>
            <w:tcW w:w="1124" w:type="dxa"/>
            <w:vAlign w:val="bottom"/>
          </w:tcPr>
          <w:p w14:paraId="05D534C3"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9</w:t>
            </w:r>
            <w:r>
              <w:rPr>
                <w:rFonts w:eastAsia="Calibri"/>
                <w:lang w:val="es-ES"/>
              </w:rPr>
              <w:t> </w:t>
            </w:r>
            <w:r w:rsidRPr="00A32804">
              <w:rPr>
                <w:rFonts w:eastAsia="Calibri"/>
                <w:lang w:val="es-ES"/>
              </w:rPr>
              <w:t>170</w:t>
            </w:r>
          </w:p>
        </w:tc>
        <w:tc>
          <w:tcPr>
            <w:tcW w:w="1125" w:type="dxa"/>
            <w:vAlign w:val="bottom"/>
          </w:tcPr>
          <w:p w14:paraId="5F55D6AF"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10</w:t>
            </w:r>
            <w:r>
              <w:rPr>
                <w:rFonts w:eastAsia="Calibri"/>
                <w:lang w:val="es-ES"/>
              </w:rPr>
              <w:t> </w:t>
            </w:r>
            <w:r w:rsidRPr="00A32804">
              <w:rPr>
                <w:rFonts w:eastAsia="Calibri"/>
                <w:lang w:val="es-ES"/>
              </w:rPr>
              <w:t>174</w:t>
            </w:r>
          </w:p>
        </w:tc>
        <w:tc>
          <w:tcPr>
            <w:tcW w:w="1051" w:type="dxa"/>
            <w:vAlign w:val="bottom"/>
          </w:tcPr>
          <w:p w14:paraId="7B19DA1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8</w:t>
            </w:r>
            <w:r>
              <w:rPr>
                <w:lang w:val="es-ES"/>
              </w:rPr>
              <w:t> </w:t>
            </w:r>
            <w:r w:rsidRPr="00A32804">
              <w:rPr>
                <w:lang w:val="es-ES"/>
              </w:rPr>
              <w:t>220</w:t>
            </w:r>
          </w:p>
        </w:tc>
        <w:tc>
          <w:tcPr>
            <w:tcW w:w="1881" w:type="dxa"/>
            <w:noWrap/>
            <w:vAlign w:val="bottom"/>
          </w:tcPr>
          <w:p w14:paraId="29D1122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37</w:t>
            </w:r>
            <w:r>
              <w:rPr>
                <w:lang w:val="es-ES"/>
              </w:rPr>
              <w:t> </w:t>
            </w:r>
            <w:r w:rsidRPr="00A32804">
              <w:rPr>
                <w:lang w:val="es-ES"/>
              </w:rPr>
              <w:t>482</w:t>
            </w:r>
          </w:p>
        </w:tc>
        <w:tc>
          <w:tcPr>
            <w:tcW w:w="1455" w:type="dxa"/>
            <w:vAlign w:val="bottom"/>
          </w:tcPr>
          <w:p w14:paraId="54B3369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w:t>
            </w:r>
            <w:r>
              <w:rPr>
                <w:lang w:val="es-ES"/>
              </w:rPr>
              <w:t>,</w:t>
            </w:r>
            <w:r w:rsidRPr="00A32804">
              <w:rPr>
                <w:lang w:val="es-ES"/>
              </w:rPr>
              <w:t>25%</w:t>
            </w:r>
          </w:p>
        </w:tc>
      </w:tr>
      <w:tr w:rsidR="00B469E0" w:rsidRPr="00A32804" w14:paraId="46908794"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335856D3" w14:textId="77777777" w:rsidR="00B469E0" w:rsidRPr="00A32804" w:rsidRDefault="00B469E0" w:rsidP="00B65C06">
            <w:pPr>
              <w:pStyle w:val="Tabletext"/>
              <w:rPr>
                <w:b w:val="0"/>
                <w:bCs w:val="0"/>
                <w:lang w:val="es-ES"/>
              </w:rPr>
            </w:pPr>
            <w:r w:rsidRPr="00A32804">
              <w:rPr>
                <w:lang w:val="es-ES"/>
              </w:rPr>
              <w:t>SA</w:t>
            </w:r>
          </w:p>
        </w:tc>
        <w:tc>
          <w:tcPr>
            <w:tcW w:w="937" w:type="dxa"/>
            <w:noWrap/>
            <w:vAlign w:val="bottom"/>
          </w:tcPr>
          <w:p w14:paraId="5F079DC3"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9</w:t>
            </w:r>
            <w:r>
              <w:rPr>
                <w:rFonts w:eastAsia="Calibri"/>
                <w:lang w:val="es-ES"/>
              </w:rPr>
              <w:t> </w:t>
            </w:r>
            <w:r w:rsidRPr="00A32804">
              <w:rPr>
                <w:rFonts w:eastAsia="Calibri"/>
                <w:lang w:val="es-ES"/>
              </w:rPr>
              <w:t>042</w:t>
            </w:r>
          </w:p>
        </w:tc>
        <w:tc>
          <w:tcPr>
            <w:tcW w:w="1124" w:type="dxa"/>
            <w:vAlign w:val="bottom"/>
          </w:tcPr>
          <w:p w14:paraId="423C3C1F"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5</w:t>
            </w:r>
            <w:r>
              <w:rPr>
                <w:rFonts w:eastAsia="Calibri"/>
                <w:lang w:val="es-ES"/>
              </w:rPr>
              <w:t> </w:t>
            </w:r>
            <w:r w:rsidRPr="00A32804">
              <w:rPr>
                <w:rFonts w:eastAsia="Calibri"/>
                <w:lang w:val="es-ES"/>
              </w:rPr>
              <w:t>346</w:t>
            </w:r>
          </w:p>
        </w:tc>
        <w:tc>
          <w:tcPr>
            <w:tcW w:w="1125" w:type="dxa"/>
            <w:vAlign w:val="bottom"/>
          </w:tcPr>
          <w:p w14:paraId="1BDB5BE3"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6</w:t>
            </w:r>
            <w:r>
              <w:rPr>
                <w:rFonts w:eastAsia="Calibri"/>
                <w:lang w:val="es-ES"/>
              </w:rPr>
              <w:t> </w:t>
            </w:r>
            <w:r w:rsidRPr="00A32804">
              <w:rPr>
                <w:rFonts w:eastAsia="Calibri"/>
                <w:lang w:val="es-ES"/>
              </w:rPr>
              <w:t>856</w:t>
            </w:r>
          </w:p>
        </w:tc>
        <w:tc>
          <w:tcPr>
            <w:tcW w:w="1051" w:type="dxa"/>
            <w:vAlign w:val="bottom"/>
          </w:tcPr>
          <w:p w14:paraId="4960D92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6</w:t>
            </w:r>
            <w:r>
              <w:rPr>
                <w:lang w:val="es-ES"/>
              </w:rPr>
              <w:t> </w:t>
            </w:r>
            <w:r w:rsidRPr="00A32804">
              <w:rPr>
                <w:lang w:val="es-ES"/>
              </w:rPr>
              <w:t>745</w:t>
            </w:r>
          </w:p>
        </w:tc>
        <w:tc>
          <w:tcPr>
            <w:tcW w:w="1881" w:type="dxa"/>
            <w:noWrap/>
            <w:vAlign w:val="bottom"/>
          </w:tcPr>
          <w:p w14:paraId="23775DCC"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27</w:t>
            </w:r>
            <w:r>
              <w:rPr>
                <w:lang w:val="es-ES"/>
              </w:rPr>
              <w:t> </w:t>
            </w:r>
            <w:r w:rsidRPr="00A32804">
              <w:rPr>
                <w:lang w:val="es-ES"/>
              </w:rPr>
              <w:t>989</w:t>
            </w:r>
          </w:p>
        </w:tc>
        <w:tc>
          <w:tcPr>
            <w:tcW w:w="1455" w:type="dxa"/>
            <w:vAlign w:val="bottom"/>
          </w:tcPr>
          <w:p w14:paraId="35563087"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w:t>
            </w:r>
            <w:r>
              <w:rPr>
                <w:lang w:val="es-ES"/>
              </w:rPr>
              <w:t>,</w:t>
            </w:r>
            <w:r w:rsidRPr="00A32804">
              <w:rPr>
                <w:lang w:val="es-ES"/>
              </w:rPr>
              <w:t>68%</w:t>
            </w:r>
          </w:p>
        </w:tc>
      </w:tr>
      <w:tr w:rsidR="00B469E0" w:rsidRPr="00A32804" w14:paraId="3CAF5748"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31AE1F1E" w14:textId="77777777" w:rsidR="00B469E0" w:rsidRPr="00A32804" w:rsidRDefault="00B469E0" w:rsidP="00B65C06">
            <w:pPr>
              <w:pStyle w:val="Tabletext"/>
              <w:rPr>
                <w:b w:val="0"/>
                <w:bCs w:val="0"/>
                <w:lang w:val="es-ES"/>
              </w:rPr>
            </w:pPr>
            <w:r w:rsidRPr="00A32804">
              <w:rPr>
                <w:lang w:val="es-ES"/>
              </w:rPr>
              <w:t>RS</w:t>
            </w:r>
          </w:p>
        </w:tc>
        <w:tc>
          <w:tcPr>
            <w:tcW w:w="937" w:type="dxa"/>
            <w:noWrap/>
            <w:vAlign w:val="bottom"/>
          </w:tcPr>
          <w:p w14:paraId="7FECA06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6</w:t>
            </w:r>
            <w:r>
              <w:rPr>
                <w:rFonts w:eastAsia="Calibri"/>
                <w:lang w:val="es-ES"/>
              </w:rPr>
              <w:t> </w:t>
            </w:r>
            <w:r w:rsidRPr="00A32804">
              <w:rPr>
                <w:rFonts w:eastAsia="Calibri"/>
                <w:lang w:val="es-ES"/>
              </w:rPr>
              <w:t>343</w:t>
            </w:r>
          </w:p>
        </w:tc>
        <w:tc>
          <w:tcPr>
            <w:tcW w:w="1124" w:type="dxa"/>
            <w:vAlign w:val="bottom"/>
          </w:tcPr>
          <w:p w14:paraId="33D1AB5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4</w:t>
            </w:r>
            <w:r>
              <w:rPr>
                <w:rFonts w:eastAsia="Calibri"/>
                <w:lang w:val="es-ES"/>
              </w:rPr>
              <w:t> </w:t>
            </w:r>
            <w:r w:rsidRPr="00A32804">
              <w:rPr>
                <w:rFonts w:eastAsia="Calibri"/>
                <w:lang w:val="es-ES"/>
              </w:rPr>
              <w:t>486</w:t>
            </w:r>
          </w:p>
        </w:tc>
        <w:tc>
          <w:tcPr>
            <w:tcW w:w="1125" w:type="dxa"/>
            <w:vAlign w:val="bottom"/>
          </w:tcPr>
          <w:p w14:paraId="0DA6027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6</w:t>
            </w:r>
            <w:r>
              <w:rPr>
                <w:rFonts w:eastAsia="Calibri"/>
                <w:lang w:val="es-ES"/>
              </w:rPr>
              <w:t> </w:t>
            </w:r>
            <w:r w:rsidRPr="00A32804">
              <w:rPr>
                <w:rFonts w:eastAsia="Calibri"/>
                <w:lang w:val="es-ES"/>
              </w:rPr>
              <w:t>236</w:t>
            </w:r>
          </w:p>
        </w:tc>
        <w:tc>
          <w:tcPr>
            <w:tcW w:w="1051" w:type="dxa"/>
            <w:vAlign w:val="bottom"/>
          </w:tcPr>
          <w:p w14:paraId="34BA5ADD"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6</w:t>
            </w:r>
            <w:r>
              <w:rPr>
                <w:lang w:val="es-ES"/>
              </w:rPr>
              <w:t> </w:t>
            </w:r>
            <w:r w:rsidRPr="00A32804">
              <w:rPr>
                <w:lang w:val="es-ES"/>
              </w:rPr>
              <w:t>584</w:t>
            </w:r>
          </w:p>
        </w:tc>
        <w:tc>
          <w:tcPr>
            <w:tcW w:w="1881" w:type="dxa"/>
            <w:noWrap/>
            <w:vAlign w:val="bottom"/>
          </w:tcPr>
          <w:p w14:paraId="6C3CA7E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23</w:t>
            </w:r>
            <w:r>
              <w:rPr>
                <w:lang w:val="es-ES"/>
              </w:rPr>
              <w:t> </w:t>
            </w:r>
            <w:r w:rsidRPr="00A32804">
              <w:rPr>
                <w:lang w:val="es-ES"/>
              </w:rPr>
              <w:t>649</w:t>
            </w:r>
          </w:p>
        </w:tc>
        <w:tc>
          <w:tcPr>
            <w:tcW w:w="1455" w:type="dxa"/>
            <w:vAlign w:val="bottom"/>
          </w:tcPr>
          <w:p w14:paraId="6E01232D"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w:t>
            </w:r>
            <w:r>
              <w:rPr>
                <w:lang w:val="es-ES"/>
              </w:rPr>
              <w:t>,</w:t>
            </w:r>
            <w:r w:rsidRPr="00A32804">
              <w:rPr>
                <w:lang w:val="es-ES"/>
              </w:rPr>
              <w:t>42%</w:t>
            </w:r>
          </w:p>
        </w:tc>
      </w:tr>
      <w:tr w:rsidR="00B469E0" w:rsidRPr="00A32804" w14:paraId="75655448" w14:textId="77777777" w:rsidTr="00B65C06">
        <w:trPr>
          <w:cnfStyle w:val="000000100000" w:firstRow="0" w:lastRow="0" w:firstColumn="0" w:lastColumn="0" w:oddVBand="0" w:evenVBand="0" w:oddHBand="1" w:evenHBand="0" w:firstRowFirstColumn="0" w:firstRowLastColumn="0" w:lastRowFirstColumn="0" w:lastRowLastColumn="0"/>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2DB42838" w14:textId="77777777" w:rsidR="00B469E0" w:rsidRPr="00A32804" w:rsidRDefault="00B469E0" w:rsidP="00B65C06">
            <w:pPr>
              <w:pStyle w:val="Tabletext"/>
              <w:rPr>
                <w:b w:val="0"/>
                <w:bCs w:val="0"/>
                <w:lang w:val="es-ES"/>
              </w:rPr>
            </w:pPr>
            <w:r w:rsidRPr="00A32804">
              <w:rPr>
                <w:lang w:val="es-ES"/>
              </w:rPr>
              <w:t>RA</w:t>
            </w:r>
          </w:p>
        </w:tc>
        <w:tc>
          <w:tcPr>
            <w:tcW w:w="937" w:type="dxa"/>
            <w:noWrap/>
            <w:vAlign w:val="bottom"/>
          </w:tcPr>
          <w:p w14:paraId="7377B59F"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4</w:t>
            </w:r>
            <w:r>
              <w:rPr>
                <w:rFonts w:eastAsia="Calibri"/>
                <w:lang w:val="es-ES"/>
              </w:rPr>
              <w:t> </w:t>
            </w:r>
            <w:r w:rsidRPr="00A32804">
              <w:rPr>
                <w:rFonts w:eastAsia="Calibri"/>
                <w:lang w:val="es-ES"/>
              </w:rPr>
              <w:t>834</w:t>
            </w:r>
          </w:p>
        </w:tc>
        <w:tc>
          <w:tcPr>
            <w:tcW w:w="1124" w:type="dxa"/>
            <w:vAlign w:val="bottom"/>
          </w:tcPr>
          <w:p w14:paraId="527F8754"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4</w:t>
            </w:r>
            <w:r>
              <w:rPr>
                <w:rFonts w:eastAsia="Calibri"/>
                <w:lang w:val="es-ES"/>
              </w:rPr>
              <w:t> </w:t>
            </w:r>
            <w:r w:rsidRPr="00A32804">
              <w:rPr>
                <w:rFonts w:eastAsia="Calibri"/>
                <w:lang w:val="es-ES"/>
              </w:rPr>
              <w:t>840</w:t>
            </w:r>
          </w:p>
        </w:tc>
        <w:tc>
          <w:tcPr>
            <w:tcW w:w="1125" w:type="dxa"/>
            <w:vAlign w:val="bottom"/>
          </w:tcPr>
          <w:p w14:paraId="01777105"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6</w:t>
            </w:r>
            <w:r>
              <w:rPr>
                <w:rFonts w:eastAsia="Calibri"/>
                <w:lang w:val="es-ES"/>
              </w:rPr>
              <w:t> </w:t>
            </w:r>
            <w:r w:rsidRPr="00A32804">
              <w:rPr>
                <w:rFonts w:eastAsia="Calibri"/>
                <w:lang w:val="es-ES"/>
              </w:rPr>
              <w:t>463</w:t>
            </w:r>
          </w:p>
        </w:tc>
        <w:tc>
          <w:tcPr>
            <w:tcW w:w="1051" w:type="dxa"/>
            <w:vAlign w:val="bottom"/>
          </w:tcPr>
          <w:p w14:paraId="5E377593"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6</w:t>
            </w:r>
            <w:r>
              <w:rPr>
                <w:lang w:val="es-ES"/>
              </w:rPr>
              <w:t> </w:t>
            </w:r>
            <w:r w:rsidRPr="00A32804">
              <w:rPr>
                <w:lang w:val="es-ES"/>
              </w:rPr>
              <w:t>208</w:t>
            </w:r>
          </w:p>
        </w:tc>
        <w:tc>
          <w:tcPr>
            <w:tcW w:w="1881" w:type="dxa"/>
            <w:noWrap/>
            <w:vAlign w:val="bottom"/>
          </w:tcPr>
          <w:p w14:paraId="10A6816A"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22</w:t>
            </w:r>
            <w:r>
              <w:rPr>
                <w:lang w:val="es-ES"/>
              </w:rPr>
              <w:t> </w:t>
            </w:r>
            <w:r w:rsidRPr="00A32804">
              <w:rPr>
                <w:lang w:val="es-ES"/>
              </w:rPr>
              <w:t>345</w:t>
            </w:r>
          </w:p>
        </w:tc>
        <w:tc>
          <w:tcPr>
            <w:tcW w:w="1455" w:type="dxa"/>
            <w:vAlign w:val="bottom"/>
          </w:tcPr>
          <w:p w14:paraId="5EBF8BDC"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w:t>
            </w:r>
            <w:r>
              <w:rPr>
                <w:lang w:val="es-ES"/>
              </w:rPr>
              <w:t>,</w:t>
            </w:r>
            <w:r w:rsidRPr="00A32804">
              <w:rPr>
                <w:lang w:val="es-ES"/>
              </w:rPr>
              <w:t>34%</w:t>
            </w:r>
          </w:p>
        </w:tc>
      </w:tr>
      <w:tr w:rsidR="00B469E0" w:rsidRPr="00A32804" w14:paraId="63D507B6" w14:textId="77777777" w:rsidTr="00B65C06">
        <w:trPr>
          <w:trHeight w:val="330"/>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4B5F346F" w14:textId="77777777" w:rsidR="00B469E0" w:rsidRPr="00A32804" w:rsidRDefault="00B469E0" w:rsidP="00B65C06">
            <w:pPr>
              <w:pStyle w:val="Tabletext"/>
              <w:rPr>
                <w:b w:val="0"/>
                <w:bCs w:val="0"/>
                <w:lang w:val="es-ES"/>
              </w:rPr>
            </w:pPr>
            <w:r w:rsidRPr="00A32804">
              <w:rPr>
                <w:lang w:val="es-ES"/>
              </w:rPr>
              <w:t>TF</w:t>
            </w:r>
          </w:p>
        </w:tc>
        <w:tc>
          <w:tcPr>
            <w:tcW w:w="937" w:type="dxa"/>
            <w:noWrap/>
            <w:vAlign w:val="bottom"/>
          </w:tcPr>
          <w:p w14:paraId="1E6B5DE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97</w:t>
            </w:r>
          </w:p>
        </w:tc>
        <w:tc>
          <w:tcPr>
            <w:tcW w:w="1124" w:type="dxa"/>
            <w:vAlign w:val="bottom"/>
          </w:tcPr>
          <w:p w14:paraId="17FEC0D0"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466</w:t>
            </w:r>
          </w:p>
        </w:tc>
        <w:tc>
          <w:tcPr>
            <w:tcW w:w="1125" w:type="dxa"/>
            <w:vAlign w:val="bottom"/>
          </w:tcPr>
          <w:p w14:paraId="2337A722"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948</w:t>
            </w:r>
          </w:p>
        </w:tc>
        <w:tc>
          <w:tcPr>
            <w:tcW w:w="1051" w:type="dxa"/>
            <w:vAlign w:val="bottom"/>
          </w:tcPr>
          <w:p w14:paraId="29138657"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1</w:t>
            </w:r>
            <w:r>
              <w:rPr>
                <w:lang w:val="es-ES"/>
              </w:rPr>
              <w:t> </w:t>
            </w:r>
            <w:r w:rsidRPr="00A32804">
              <w:rPr>
                <w:lang w:val="es-ES"/>
              </w:rPr>
              <w:t>017</w:t>
            </w:r>
          </w:p>
        </w:tc>
        <w:tc>
          <w:tcPr>
            <w:tcW w:w="1881" w:type="dxa"/>
            <w:noWrap/>
            <w:vAlign w:val="bottom"/>
          </w:tcPr>
          <w:p w14:paraId="6D1579EA"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2</w:t>
            </w:r>
            <w:r>
              <w:rPr>
                <w:lang w:val="es-ES"/>
              </w:rPr>
              <w:t> </w:t>
            </w:r>
            <w:r w:rsidRPr="00A32804">
              <w:rPr>
                <w:lang w:val="es-ES"/>
              </w:rPr>
              <w:t>528</w:t>
            </w:r>
          </w:p>
        </w:tc>
        <w:tc>
          <w:tcPr>
            <w:tcW w:w="1455" w:type="dxa"/>
            <w:vAlign w:val="bottom"/>
          </w:tcPr>
          <w:p w14:paraId="6BF2FCB1"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0</w:t>
            </w:r>
            <w:r>
              <w:rPr>
                <w:lang w:val="es-ES"/>
              </w:rPr>
              <w:t>,</w:t>
            </w:r>
            <w:r w:rsidRPr="00A32804">
              <w:rPr>
                <w:lang w:val="es-ES"/>
              </w:rPr>
              <w:t>15%</w:t>
            </w:r>
          </w:p>
        </w:tc>
      </w:tr>
      <w:tr w:rsidR="00B469E0" w:rsidRPr="00A32804" w14:paraId="341C2F67" w14:textId="77777777" w:rsidTr="00B65C06">
        <w:trPr>
          <w:cnfStyle w:val="000000100000" w:firstRow="0" w:lastRow="0" w:firstColumn="0" w:lastColumn="0" w:oddVBand="0" w:evenVBand="0" w:oddHBand="1" w:evenHBand="0" w:firstRowFirstColumn="0" w:firstRowLastColumn="0" w:lastRowFirstColumn="0" w:lastRowLastColumn="0"/>
          <w:trHeight w:val="361"/>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hideMark/>
          </w:tcPr>
          <w:p w14:paraId="7E95C33B" w14:textId="77777777" w:rsidR="00B469E0" w:rsidRPr="00A32804" w:rsidRDefault="00B469E0" w:rsidP="00B65C06">
            <w:pPr>
              <w:pStyle w:val="Tabletext"/>
              <w:rPr>
                <w:b w:val="0"/>
                <w:bCs w:val="0"/>
                <w:lang w:val="es-ES"/>
              </w:rPr>
            </w:pPr>
            <w:r w:rsidRPr="00A32804">
              <w:rPr>
                <w:lang w:val="es-ES"/>
              </w:rPr>
              <w:t>SF</w:t>
            </w:r>
          </w:p>
        </w:tc>
        <w:tc>
          <w:tcPr>
            <w:tcW w:w="937" w:type="dxa"/>
            <w:noWrap/>
            <w:vAlign w:val="bottom"/>
          </w:tcPr>
          <w:p w14:paraId="526FA0C6"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397</w:t>
            </w:r>
          </w:p>
        </w:tc>
        <w:tc>
          <w:tcPr>
            <w:tcW w:w="1124" w:type="dxa"/>
            <w:vAlign w:val="bottom"/>
          </w:tcPr>
          <w:p w14:paraId="1F77ACF7"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326</w:t>
            </w:r>
          </w:p>
        </w:tc>
        <w:tc>
          <w:tcPr>
            <w:tcW w:w="1125" w:type="dxa"/>
            <w:vAlign w:val="bottom"/>
          </w:tcPr>
          <w:p w14:paraId="4D333BD3"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rFonts w:eastAsia="Calibri"/>
                <w:lang w:val="es-ES"/>
              </w:rPr>
              <w:t>345</w:t>
            </w:r>
          </w:p>
        </w:tc>
        <w:tc>
          <w:tcPr>
            <w:tcW w:w="1051" w:type="dxa"/>
            <w:vAlign w:val="bottom"/>
          </w:tcPr>
          <w:p w14:paraId="418ADB0E"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269</w:t>
            </w:r>
          </w:p>
        </w:tc>
        <w:tc>
          <w:tcPr>
            <w:tcW w:w="1881" w:type="dxa"/>
            <w:noWrap/>
            <w:vAlign w:val="bottom"/>
          </w:tcPr>
          <w:p w14:paraId="070273EB"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1</w:t>
            </w:r>
            <w:r>
              <w:rPr>
                <w:lang w:val="es-ES"/>
              </w:rPr>
              <w:t> </w:t>
            </w:r>
            <w:r w:rsidRPr="00A32804">
              <w:rPr>
                <w:lang w:val="es-ES"/>
              </w:rPr>
              <w:t>337</w:t>
            </w:r>
          </w:p>
        </w:tc>
        <w:tc>
          <w:tcPr>
            <w:tcW w:w="1455" w:type="dxa"/>
            <w:vAlign w:val="bottom"/>
          </w:tcPr>
          <w:p w14:paraId="0425AAF5" w14:textId="77777777" w:rsidR="00B469E0" w:rsidRPr="00A3280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lang w:val="es-ES"/>
              </w:rPr>
            </w:pPr>
            <w:r w:rsidRPr="00A32804">
              <w:rPr>
                <w:lang w:val="es-ES"/>
              </w:rPr>
              <w:t>0</w:t>
            </w:r>
            <w:r>
              <w:rPr>
                <w:lang w:val="es-ES"/>
              </w:rPr>
              <w:t>,</w:t>
            </w:r>
            <w:r w:rsidRPr="00A32804">
              <w:rPr>
                <w:lang w:val="es-ES"/>
              </w:rPr>
              <w:t>08%</w:t>
            </w:r>
          </w:p>
        </w:tc>
      </w:tr>
      <w:tr w:rsidR="00B469E0" w:rsidRPr="00A32804" w14:paraId="11D55F44" w14:textId="77777777" w:rsidTr="00B65C06">
        <w:trPr>
          <w:trHeight w:val="361"/>
          <w:jc w:val="center"/>
        </w:trPr>
        <w:tc>
          <w:tcPr>
            <w:cnfStyle w:val="001000000000" w:firstRow="0" w:lastRow="0" w:firstColumn="1" w:lastColumn="0" w:oddVBand="0" w:evenVBand="0" w:oddHBand="0" w:evenHBand="0" w:firstRowFirstColumn="0" w:firstRowLastColumn="0" w:lastRowFirstColumn="0" w:lastRowLastColumn="0"/>
            <w:tcW w:w="1119" w:type="dxa"/>
            <w:noWrap/>
            <w:vAlign w:val="bottom"/>
          </w:tcPr>
          <w:p w14:paraId="38535750" w14:textId="77777777" w:rsidR="00B469E0" w:rsidRPr="00A32804" w:rsidRDefault="00B469E0" w:rsidP="00B65C06">
            <w:pPr>
              <w:pStyle w:val="Tabletext"/>
              <w:rPr>
                <w:b w:val="0"/>
                <w:bCs w:val="0"/>
                <w:lang w:val="es-ES"/>
              </w:rPr>
            </w:pPr>
            <w:r w:rsidRPr="00A32804">
              <w:rPr>
                <w:lang w:val="es-ES"/>
              </w:rPr>
              <w:t>BR</w:t>
            </w:r>
          </w:p>
        </w:tc>
        <w:tc>
          <w:tcPr>
            <w:tcW w:w="937" w:type="dxa"/>
            <w:noWrap/>
            <w:vAlign w:val="bottom"/>
          </w:tcPr>
          <w:p w14:paraId="70496A2E"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61</w:t>
            </w:r>
          </w:p>
        </w:tc>
        <w:tc>
          <w:tcPr>
            <w:tcW w:w="1124" w:type="dxa"/>
            <w:vAlign w:val="bottom"/>
          </w:tcPr>
          <w:p w14:paraId="4B7B69E9"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88</w:t>
            </w:r>
          </w:p>
        </w:tc>
        <w:tc>
          <w:tcPr>
            <w:tcW w:w="1125" w:type="dxa"/>
            <w:vAlign w:val="bottom"/>
          </w:tcPr>
          <w:p w14:paraId="589AEB95"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rFonts w:eastAsia="Calibri"/>
                <w:lang w:val="es-ES"/>
              </w:rPr>
              <w:t>97</w:t>
            </w:r>
          </w:p>
        </w:tc>
        <w:tc>
          <w:tcPr>
            <w:tcW w:w="1051" w:type="dxa"/>
            <w:vAlign w:val="bottom"/>
          </w:tcPr>
          <w:p w14:paraId="4A4C8819"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65</w:t>
            </w:r>
          </w:p>
        </w:tc>
        <w:tc>
          <w:tcPr>
            <w:tcW w:w="1881" w:type="dxa"/>
            <w:noWrap/>
            <w:vAlign w:val="bottom"/>
          </w:tcPr>
          <w:p w14:paraId="750E002B"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311</w:t>
            </w:r>
          </w:p>
        </w:tc>
        <w:tc>
          <w:tcPr>
            <w:tcW w:w="1455" w:type="dxa"/>
            <w:vAlign w:val="bottom"/>
          </w:tcPr>
          <w:p w14:paraId="352970B3" w14:textId="77777777" w:rsidR="00B469E0" w:rsidRPr="00A32804" w:rsidRDefault="00B469E0" w:rsidP="00B65C06">
            <w:pPr>
              <w:pStyle w:val="Tabletext"/>
              <w:cnfStyle w:val="000000000000" w:firstRow="0" w:lastRow="0" w:firstColumn="0" w:lastColumn="0" w:oddVBand="0" w:evenVBand="0" w:oddHBand="0" w:evenHBand="0" w:firstRowFirstColumn="0" w:firstRowLastColumn="0" w:lastRowFirstColumn="0" w:lastRowLastColumn="0"/>
              <w:rPr>
                <w:rFonts w:eastAsia="Calibri"/>
                <w:lang w:val="es-ES"/>
              </w:rPr>
            </w:pPr>
            <w:r w:rsidRPr="00A32804">
              <w:rPr>
                <w:lang w:val="es-ES"/>
              </w:rPr>
              <w:t>0</w:t>
            </w:r>
            <w:r>
              <w:rPr>
                <w:lang w:val="es-ES"/>
              </w:rPr>
              <w:t>,</w:t>
            </w:r>
            <w:r w:rsidRPr="00A32804">
              <w:rPr>
                <w:lang w:val="es-ES"/>
              </w:rPr>
              <w:t>02%</w:t>
            </w:r>
          </w:p>
        </w:tc>
      </w:tr>
      <w:tr w:rsidR="00B469E0" w:rsidRPr="00A32804" w14:paraId="62603592" w14:textId="77777777" w:rsidTr="00B65C06">
        <w:trPr>
          <w:cnfStyle w:val="000000100000" w:firstRow="0" w:lastRow="0" w:firstColumn="0" w:lastColumn="0" w:oddVBand="0" w:evenVBand="0" w:oddHBand="1" w:evenHBand="0" w:firstRowFirstColumn="0" w:firstRowLastColumn="0" w:lastRowFirstColumn="0" w:lastRowLastColumn="0"/>
          <w:trHeight w:val="511"/>
          <w:jc w:val="center"/>
        </w:trPr>
        <w:tc>
          <w:tcPr>
            <w:cnfStyle w:val="001000000000" w:firstRow="0" w:lastRow="0" w:firstColumn="1" w:lastColumn="0" w:oddVBand="0" w:evenVBand="0" w:oddHBand="0" w:evenHBand="0" w:firstRowFirstColumn="0" w:firstRowLastColumn="0" w:lastRowFirstColumn="0" w:lastRowLastColumn="0"/>
            <w:tcW w:w="1119" w:type="dxa"/>
            <w:noWrap/>
            <w:hideMark/>
          </w:tcPr>
          <w:p w14:paraId="41B47E2F" w14:textId="77777777" w:rsidR="00B469E0" w:rsidRPr="00A32804" w:rsidRDefault="00B469E0" w:rsidP="00B65C06">
            <w:pPr>
              <w:pStyle w:val="Tabletext"/>
              <w:rPr>
                <w:lang w:val="es-ES"/>
              </w:rPr>
            </w:pPr>
            <w:r w:rsidRPr="00A32804">
              <w:rPr>
                <w:lang w:val="es-ES"/>
              </w:rPr>
              <w:t>TOTAL</w:t>
            </w:r>
          </w:p>
        </w:tc>
        <w:tc>
          <w:tcPr>
            <w:tcW w:w="937" w:type="dxa"/>
            <w:noWrap/>
          </w:tcPr>
          <w:p w14:paraId="445999AE" w14:textId="77777777" w:rsidR="00B469E0" w:rsidRPr="0096443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964434">
              <w:rPr>
                <w:rFonts w:eastAsia="Calibri"/>
                <w:b/>
                <w:bCs/>
                <w:lang w:val="es-ES"/>
              </w:rPr>
              <w:t>459</w:t>
            </w:r>
            <w:r>
              <w:rPr>
                <w:rFonts w:eastAsia="Calibri"/>
                <w:b/>
                <w:bCs/>
                <w:lang w:val="es-ES"/>
              </w:rPr>
              <w:t> </w:t>
            </w:r>
            <w:r w:rsidRPr="00964434">
              <w:rPr>
                <w:rFonts w:eastAsia="Calibri"/>
                <w:b/>
                <w:bCs/>
                <w:lang w:val="es-ES"/>
              </w:rPr>
              <w:t>521</w:t>
            </w:r>
          </w:p>
        </w:tc>
        <w:tc>
          <w:tcPr>
            <w:tcW w:w="1124" w:type="dxa"/>
          </w:tcPr>
          <w:p w14:paraId="3C69826D" w14:textId="77777777" w:rsidR="00B469E0" w:rsidRPr="0096443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964434">
              <w:rPr>
                <w:rFonts w:eastAsia="Calibri"/>
                <w:b/>
                <w:bCs/>
                <w:lang w:val="es-ES"/>
              </w:rPr>
              <w:t>380</w:t>
            </w:r>
            <w:r>
              <w:rPr>
                <w:rFonts w:eastAsia="Calibri"/>
                <w:b/>
                <w:bCs/>
                <w:lang w:val="es-ES"/>
              </w:rPr>
              <w:t> </w:t>
            </w:r>
            <w:r w:rsidRPr="00964434">
              <w:rPr>
                <w:rFonts w:eastAsia="Calibri"/>
                <w:b/>
                <w:bCs/>
                <w:lang w:val="es-ES"/>
              </w:rPr>
              <w:t>758</w:t>
            </w:r>
          </w:p>
        </w:tc>
        <w:tc>
          <w:tcPr>
            <w:tcW w:w="1125" w:type="dxa"/>
          </w:tcPr>
          <w:p w14:paraId="36BD5DC0" w14:textId="77777777" w:rsidR="00B469E0" w:rsidRPr="0096443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964434">
              <w:rPr>
                <w:rFonts w:eastAsia="Calibri"/>
                <w:b/>
                <w:bCs/>
                <w:lang w:val="es-ES"/>
              </w:rPr>
              <w:t>425</w:t>
            </w:r>
            <w:r>
              <w:rPr>
                <w:rFonts w:eastAsia="Calibri"/>
                <w:b/>
                <w:bCs/>
                <w:lang w:val="es-ES"/>
              </w:rPr>
              <w:t> </w:t>
            </w:r>
            <w:r w:rsidRPr="00964434">
              <w:rPr>
                <w:rFonts w:eastAsia="Calibri"/>
                <w:b/>
                <w:bCs/>
                <w:lang w:val="es-ES"/>
              </w:rPr>
              <w:t>574</w:t>
            </w:r>
          </w:p>
        </w:tc>
        <w:tc>
          <w:tcPr>
            <w:tcW w:w="1051" w:type="dxa"/>
          </w:tcPr>
          <w:p w14:paraId="19C25389" w14:textId="77777777" w:rsidR="00B469E0" w:rsidRPr="0096443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964434">
              <w:rPr>
                <w:b/>
                <w:bCs/>
                <w:lang w:val="es-ES"/>
              </w:rPr>
              <w:t>397</w:t>
            </w:r>
            <w:r>
              <w:rPr>
                <w:b/>
                <w:bCs/>
                <w:lang w:val="es-ES"/>
              </w:rPr>
              <w:t> </w:t>
            </w:r>
            <w:r w:rsidRPr="00964434">
              <w:rPr>
                <w:b/>
                <w:bCs/>
                <w:lang w:val="es-ES"/>
              </w:rPr>
              <w:t>694</w:t>
            </w:r>
          </w:p>
        </w:tc>
        <w:tc>
          <w:tcPr>
            <w:tcW w:w="1881" w:type="dxa"/>
            <w:noWrap/>
          </w:tcPr>
          <w:p w14:paraId="4F0B7EDE" w14:textId="77777777" w:rsidR="00B469E0" w:rsidRPr="00964434" w:rsidRDefault="00B469E0" w:rsidP="00B65C06">
            <w:pPr>
              <w:pStyle w:val="Tabletext"/>
              <w:cnfStyle w:val="000000100000" w:firstRow="0" w:lastRow="0" w:firstColumn="0" w:lastColumn="0" w:oddVBand="0" w:evenVBand="0" w:oddHBand="1" w:evenHBand="0" w:firstRowFirstColumn="0" w:firstRowLastColumn="0" w:lastRowFirstColumn="0" w:lastRowLastColumn="0"/>
              <w:rPr>
                <w:b/>
                <w:bCs/>
                <w:lang w:val="es-ES" w:eastAsia="zh-CN"/>
              </w:rPr>
            </w:pPr>
            <w:r w:rsidRPr="00964434">
              <w:rPr>
                <w:b/>
                <w:bCs/>
                <w:lang w:val="es-ES"/>
              </w:rPr>
              <w:t>1</w:t>
            </w:r>
            <w:r>
              <w:rPr>
                <w:b/>
                <w:bCs/>
                <w:lang w:val="es-ES"/>
              </w:rPr>
              <w:t> </w:t>
            </w:r>
            <w:r w:rsidRPr="00964434">
              <w:rPr>
                <w:b/>
                <w:bCs/>
                <w:lang w:val="es-ES"/>
              </w:rPr>
              <w:t>663</w:t>
            </w:r>
            <w:r>
              <w:rPr>
                <w:b/>
                <w:bCs/>
                <w:lang w:val="es-ES"/>
              </w:rPr>
              <w:t> </w:t>
            </w:r>
            <w:r w:rsidRPr="00964434">
              <w:rPr>
                <w:b/>
                <w:bCs/>
                <w:lang w:val="es-ES"/>
              </w:rPr>
              <w:t>547</w:t>
            </w:r>
          </w:p>
        </w:tc>
        <w:tc>
          <w:tcPr>
            <w:tcW w:w="1455" w:type="dxa"/>
          </w:tcPr>
          <w:p w14:paraId="070EEB29" w14:textId="77777777" w:rsidR="00B469E0" w:rsidRPr="00964434" w:rsidRDefault="00B469E0" w:rsidP="00B65C06">
            <w:pPr>
              <w:pStyle w:val="Tabletext"/>
              <w:cnfStyle w:val="000000100000" w:firstRow="0" w:lastRow="0" w:firstColumn="0" w:lastColumn="0" w:oddVBand="0" w:evenVBand="0" w:oddHBand="1" w:evenHBand="0" w:firstRowFirstColumn="0" w:firstRowLastColumn="0" w:lastRowFirstColumn="0" w:lastRowLastColumn="0"/>
              <w:rPr>
                <w:rFonts w:eastAsia="Calibri"/>
                <w:b/>
                <w:bCs/>
                <w:lang w:val="es-ES"/>
              </w:rPr>
            </w:pPr>
            <w:r w:rsidRPr="00964434">
              <w:rPr>
                <w:rFonts w:eastAsia="Calibri"/>
                <w:b/>
                <w:bCs/>
                <w:lang w:val="es-ES"/>
              </w:rPr>
              <w:t>100%</w:t>
            </w:r>
          </w:p>
        </w:tc>
      </w:tr>
    </w:tbl>
    <w:p w14:paraId="1FF40C4A" w14:textId="77777777" w:rsidR="00B469E0" w:rsidRPr="00A32804" w:rsidRDefault="00B469E0" w:rsidP="00B469E0">
      <w:pPr>
        <w:pStyle w:val="Heading4"/>
        <w:rPr>
          <w:lang w:val="es-ES"/>
        </w:rPr>
      </w:pPr>
      <w:r w:rsidRPr="00A32804">
        <w:rPr>
          <w:lang w:val="es-ES"/>
        </w:rPr>
        <w:t>8.1.4.4</w:t>
      </w:r>
      <w:r w:rsidRPr="00A32804">
        <w:rPr>
          <w:lang w:val="es-ES"/>
        </w:rPr>
        <w:tab/>
        <w:t>Manuales</w:t>
      </w:r>
    </w:p>
    <w:p w14:paraId="70883C16" w14:textId="77777777" w:rsidR="00B469E0" w:rsidRPr="00A32804" w:rsidRDefault="00B469E0" w:rsidP="00B469E0">
      <w:pPr>
        <w:rPr>
          <w:lang w:val="es-ES"/>
        </w:rPr>
      </w:pPr>
      <w:r w:rsidRPr="00A32804">
        <w:rPr>
          <w:lang w:val="es-ES"/>
        </w:rPr>
        <w:t xml:space="preserve">Los Manuales del UIT-R también pueden descargarse gratuitamente desde el sitio web de la UIT. </w:t>
      </w:r>
      <w:r w:rsidRPr="00A32804">
        <w:rPr>
          <w:szCs w:val="24"/>
          <w:lang w:val="es-ES"/>
        </w:rPr>
        <w:t xml:space="preserve">Entre 2021 y 2024, se registró casi medio millón de descargas. </w:t>
      </w:r>
      <w:r w:rsidRPr="00A32804">
        <w:rPr>
          <w:lang w:val="es-ES"/>
        </w:rPr>
        <w:t>En el Cuadro 8.1.4.4-1 se indica el número de ejemplares distribuidos de Manuales del UIT-R de la serie sobre gestión del espectro, así como de otros Manuales a la venta.</w:t>
      </w:r>
    </w:p>
    <w:p w14:paraId="35760397" w14:textId="77777777" w:rsidR="00B469E0" w:rsidRPr="00A32804" w:rsidRDefault="00B469E0" w:rsidP="00B469E0">
      <w:pPr>
        <w:rPr>
          <w:lang w:val="es-ES"/>
        </w:rPr>
      </w:pPr>
      <w:r w:rsidRPr="00A32804">
        <w:rPr>
          <w:lang w:val="es-ES"/>
        </w:rPr>
        <w:t>Hasta la fecha, se han publicado 48 Manuales del UIT-R.</w:t>
      </w:r>
    </w:p>
    <w:p w14:paraId="0B748B67" w14:textId="77777777" w:rsidR="00B469E0" w:rsidRPr="00A32804" w:rsidRDefault="00B469E0" w:rsidP="00B469E0">
      <w:pPr>
        <w:pStyle w:val="TableNotitle"/>
        <w:rPr>
          <w:lang w:val="es-ES"/>
        </w:rPr>
      </w:pPr>
      <w:r w:rsidRPr="00A32804">
        <w:rPr>
          <w:lang w:val="es-ES"/>
        </w:rPr>
        <w:lastRenderedPageBreak/>
        <w:t>CUADRO 8.1.4.4-1</w:t>
      </w:r>
      <w:r>
        <w:rPr>
          <w:lang w:val="es-ES"/>
        </w:rPr>
        <w:br/>
      </w:r>
      <w:r>
        <w:rPr>
          <w:lang w:val="es-ES"/>
        </w:rPr>
        <w:br/>
      </w:r>
      <w:r w:rsidRPr="00A32804">
        <w:rPr>
          <w:lang w:val="es-ES"/>
        </w:rPr>
        <w:t>Distribución de Manuales del UIT-R sobre gestión del espectro y otros Manuales</w:t>
      </w:r>
    </w:p>
    <w:tbl>
      <w:tblPr>
        <w:tblW w:w="9411" w:type="dxa"/>
        <w:jc w:val="center"/>
        <w:tblLook w:val="04A0" w:firstRow="1" w:lastRow="0" w:firstColumn="1" w:lastColumn="0" w:noHBand="0" w:noVBand="1"/>
      </w:tblPr>
      <w:tblGrid>
        <w:gridCol w:w="3879"/>
        <w:gridCol w:w="1461"/>
        <w:gridCol w:w="1357"/>
        <w:gridCol w:w="1357"/>
        <w:gridCol w:w="1357"/>
      </w:tblGrid>
      <w:tr w:rsidR="00B469E0" w:rsidRPr="00A32804" w14:paraId="2743B59A" w14:textId="77777777" w:rsidTr="00B65C06">
        <w:trPr>
          <w:trHeight w:val="481"/>
          <w:jc w:val="center"/>
        </w:trPr>
        <w:tc>
          <w:tcPr>
            <w:tcW w:w="3879" w:type="dxa"/>
            <w:tcBorders>
              <w:top w:val="single" w:sz="8" w:space="0" w:color="FFFFFF" w:themeColor="background1"/>
              <w:left w:val="single" w:sz="8" w:space="0" w:color="FFFFFF" w:themeColor="background1"/>
              <w:bottom w:val="single" w:sz="8" w:space="0" w:color="FFFFFF" w:themeColor="background1"/>
              <w:right w:val="nil"/>
            </w:tcBorders>
            <w:shd w:val="clear" w:color="auto" w:fill="4472C4"/>
            <w:tcMar>
              <w:top w:w="0" w:type="dxa"/>
              <w:left w:w="108" w:type="dxa"/>
              <w:bottom w:w="0" w:type="dxa"/>
              <w:right w:w="108" w:type="dxa"/>
            </w:tcMar>
            <w:vAlign w:val="center"/>
            <w:hideMark/>
          </w:tcPr>
          <w:p w14:paraId="1114B634" w14:textId="77777777" w:rsidR="00B469E0" w:rsidRPr="00292644" w:rsidRDefault="00B469E0" w:rsidP="00B65C06">
            <w:pPr>
              <w:pStyle w:val="Tablehead"/>
              <w:rPr>
                <w:color w:val="FFFFFF" w:themeColor="background1"/>
                <w:lang w:val="es-ES"/>
              </w:rPr>
            </w:pPr>
            <w:r w:rsidRPr="00292644">
              <w:rPr>
                <w:color w:val="FFFFFF" w:themeColor="background1"/>
                <w:lang w:val="es-ES"/>
              </w:rPr>
              <w:t xml:space="preserve"> Manual</w:t>
            </w:r>
          </w:p>
        </w:tc>
        <w:tc>
          <w:tcPr>
            <w:tcW w:w="1461" w:type="dxa"/>
            <w:tcBorders>
              <w:top w:val="single" w:sz="8" w:space="0" w:color="FFFFFF" w:themeColor="background1"/>
              <w:left w:val="nil"/>
              <w:bottom w:val="single" w:sz="8" w:space="0" w:color="FFFFFF" w:themeColor="background1"/>
            </w:tcBorders>
            <w:shd w:val="clear" w:color="auto" w:fill="4472C4"/>
            <w:tcMar>
              <w:top w:w="0" w:type="dxa"/>
              <w:left w:w="108" w:type="dxa"/>
              <w:bottom w:w="0" w:type="dxa"/>
              <w:right w:w="108" w:type="dxa"/>
            </w:tcMar>
            <w:vAlign w:val="center"/>
            <w:hideMark/>
          </w:tcPr>
          <w:p w14:paraId="629E9CD0" w14:textId="77777777" w:rsidR="00B469E0" w:rsidRPr="00292644" w:rsidRDefault="00B469E0" w:rsidP="00B65C06">
            <w:pPr>
              <w:pStyle w:val="Tablehead"/>
              <w:rPr>
                <w:color w:val="FFFFFF" w:themeColor="background1"/>
                <w:lang w:val="es-ES"/>
              </w:rPr>
            </w:pPr>
            <w:r w:rsidRPr="00292644">
              <w:rPr>
                <w:color w:val="FFFFFF" w:themeColor="background1"/>
                <w:lang w:val="es-ES"/>
              </w:rPr>
              <w:t>2021</w:t>
            </w:r>
          </w:p>
        </w:tc>
        <w:tc>
          <w:tcPr>
            <w:tcW w:w="1357" w:type="dxa"/>
            <w:tcBorders>
              <w:top w:val="single" w:sz="8" w:space="0" w:color="FFFFFF" w:themeColor="background1"/>
              <w:bottom w:val="single" w:sz="8" w:space="0" w:color="FFFFFF" w:themeColor="background1"/>
            </w:tcBorders>
            <w:shd w:val="clear" w:color="auto" w:fill="4472C4"/>
            <w:vAlign w:val="center"/>
          </w:tcPr>
          <w:p w14:paraId="79F2D30B" w14:textId="77777777" w:rsidR="00B469E0" w:rsidRPr="00292644" w:rsidRDefault="00B469E0" w:rsidP="00B65C06">
            <w:pPr>
              <w:pStyle w:val="Tablehead"/>
              <w:rPr>
                <w:color w:val="FFFFFF" w:themeColor="background1"/>
                <w:lang w:val="es-ES"/>
              </w:rPr>
            </w:pPr>
            <w:r w:rsidRPr="00292644">
              <w:rPr>
                <w:color w:val="FFFFFF" w:themeColor="background1"/>
                <w:lang w:val="es-ES"/>
              </w:rPr>
              <w:t>2022</w:t>
            </w:r>
          </w:p>
        </w:tc>
        <w:tc>
          <w:tcPr>
            <w:tcW w:w="1357" w:type="dxa"/>
            <w:tcBorders>
              <w:top w:val="single" w:sz="8" w:space="0" w:color="FFFFFF" w:themeColor="background1"/>
              <w:bottom w:val="single" w:sz="8" w:space="0" w:color="FFFFFF" w:themeColor="background1"/>
              <w:right w:val="single" w:sz="8" w:space="0" w:color="FFFFFF" w:themeColor="background1"/>
            </w:tcBorders>
            <w:shd w:val="clear" w:color="auto" w:fill="4472C4"/>
            <w:vAlign w:val="center"/>
          </w:tcPr>
          <w:p w14:paraId="73973405" w14:textId="77777777" w:rsidR="00B469E0" w:rsidRPr="00292644" w:rsidRDefault="00B469E0" w:rsidP="00B65C06">
            <w:pPr>
              <w:pStyle w:val="Tablehead"/>
              <w:rPr>
                <w:color w:val="FFFFFF" w:themeColor="background1"/>
                <w:lang w:val="es-ES"/>
              </w:rPr>
            </w:pPr>
            <w:r w:rsidRPr="00292644">
              <w:rPr>
                <w:color w:val="FFFFFF" w:themeColor="background1"/>
                <w:lang w:val="es-ES"/>
              </w:rPr>
              <w:t>2023</w:t>
            </w:r>
          </w:p>
        </w:tc>
        <w:tc>
          <w:tcPr>
            <w:tcW w:w="1357" w:type="dxa"/>
            <w:tcBorders>
              <w:top w:val="single" w:sz="8" w:space="0" w:color="FFFFFF" w:themeColor="background1"/>
              <w:bottom w:val="single" w:sz="8" w:space="0" w:color="FFFFFF" w:themeColor="background1"/>
              <w:right w:val="single" w:sz="8" w:space="0" w:color="FFFFFF" w:themeColor="background1"/>
            </w:tcBorders>
            <w:shd w:val="clear" w:color="auto" w:fill="4472C4"/>
            <w:vAlign w:val="center"/>
          </w:tcPr>
          <w:p w14:paraId="0AB39ABB" w14:textId="77777777" w:rsidR="00B469E0" w:rsidRPr="00292644" w:rsidRDefault="00B469E0" w:rsidP="00B65C06">
            <w:pPr>
              <w:pStyle w:val="Tablehead"/>
              <w:rPr>
                <w:color w:val="FFFFFF" w:themeColor="background1"/>
                <w:lang w:val="es-ES"/>
              </w:rPr>
            </w:pPr>
            <w:r w:rsidRPr="00292644">
              <w:rPr>
                <w:color w:val="FFFFFF" w:themeColor="background1"/>
                <w:lang w:val="es-ES"/>
              </w:rPr>
              <w:t>2024</w:t>
            </w:r>
          </w:p>
        </w:tc>
      </w:tr>
      <w:tr w:rsidR="00B469E0" w:rsidRPr="00A32804" w14:paraId="60D75914" w14:textId="77777777" w:rsidTr="00B65C06">
        <w:trPr>
          <w:trHeight w:val="510"/>
          <w:jc w:val="center"/>
        </w:trPr>
        <w:tc>
          <w:tcPr>
            <w:tcW w:w="3879" w:type="dxa"/>
            <w:tcBorders>
              <w:top w:val="nil"/>
              <w:left w:val="single" w:sz="8" w:space="0" w:color="FFFFFF" w:themeColor="background1"/>
              <w:bottom w:val="single" w:sz="8" w:space="0" w:color="FFFFFF" w:themeColor="background1"/>
              <w:right w:val="single" w:sz="8" w:space="0" w:color="FFFFFF" w:themeColor="background1"/>
            </w:tcBorders>
            <w:shd w:val="clear" w:color="auto" w:fill="4472C4"/>
            <w:tcMar>
              <w:top w:w="0" w:type="dxa"/>
              <w:left w:w="108" w:type="dxa"/>
              <w:bottom w:w="0" w:type="dxa"/>
              <w:right w:w="108" w:type="dxa"/>
            </w:tcMar>
            <w:vAlign w:val="center"/>
            <w:hideMark/>
          </w:tcPr>
          <w:p w14:paraId="6B9A9B3A" w14:textId="77777777" w:rsidR="00B469E0" w:rsidRPr="00292644" w:rsidRDefault="00B469E0" w:rsidP="00B65C06">
            <w:pPr>
              <w:pStyle w:val="Tabletext"/>
              <w:rPr>
                <w:b/>
                <w:bCs/>
                <w:color w:val="FFFFFF" w:themeColor="background1"/>
                <w:lang w:val="es-ES"/>
              </w:rPr>
            </w:pPr>
            <w:r w:rsidRPr="00292644">
              <w:rPr>
                <w:b/>
                <w:bCs/>
                <w:color w:val="FFFFFF" w:themeColor="background1"/>
                <w:lang w:val="es-ES"/>
              </w:rPr>
              <w:t xml:space="preserve">Serie sobre gestión del espectro </w:t>
            </w:r>
          </w:p>
          <w:p w14:paraId="2541E873" w14:textId="77777777" w:rsidR="00B469E0" w:rsidRPr="00292644" w:rsidRDefault="00B469E0" w:rsidP="00B65C06">
            <w:pPr>
              <w:pStyle w:val="Tabletext"/>
              <w:rPr>
                <w:b/>
                <w:bCs/>
                <w:color w:val="FFFFFF" w:themeColor="background1"/>
                <w:lang w:val="es-ES"/>
              </w:rPr>
            </w:pPr>
            <w:r w:rsidRPr="00292644">
              <w:rPr>
                <w:b/>
                <w:bCs/>
                <w:color w:val="FFFFFF" w:themeColor="background1"/>
                <w:lang w:val="es-ES"/>
              </w:rPr>
              <w:t>(copias impresas vendidas)</w:t>
            </w:r>
          </w:p>
        </w:tc>
        <w:tc>
          <w:tcPr>
            <w:tcW w:w="1461" w:type="dxa"/>
            <w:tcBorders>
              <w:top w:val="nil"/>
              <w:left w:val="nil"/>
              <w:bottom w:val="single" w:sz="8" w:space="0" w:color="FFFFFF" w:themeColor="background1"/>
              <w:right w:val="single" w:sz="8" w:space="0" w:color="FFFFFF" w:themeColor="background1"/>
            </w:tcBorders>
            <w:shd w:val="clear" w:color="auto" w:fill="B4C6E7"/>
            <w:tcMar>
              <w:top w:w="0" w:type="dxa"/>
              <w:left w:w="108" w:type="dxa"/>
              <w:bottom w:w="0" w:type="dxa"/>
              <w:right w:w="108" w:type="dxa"/>
            </w:tcMar>
            <w:vAlign w:val="center"/>
            <w:hideMark/>
          </w:tcPr>
          <w:p w14:paraId="6C7F384D" w14:textId="77777777" w:rsidR="00B469E0" w:rsidRPr="00292644" w:rsidRDefault="00B469E0" w:rsidP="00B65C06">
            <w:pPr>
              <w:pStyle w:val="Tabletext"/>
            </w:pPr>
            <w:r w:rsidRPr="00292644">
              <w:t>5</w:t>
            </w:r>
          </w:p>
        </w:tc>
        <w:tc>
          <w:tcPr>
            <w:tcW w:w="1357" w:type="dxa"/>
            <w:tcBorders>
              <w:top w:val="nil"/>
              <w:left w:val="nil"/>
              <w:bottom w:val="single" w:sz="8" w:space="0" w:color="FFFFFF" w:themeColor="background1"/>
              <w:right w:val="single" w:sz="8" w:space="0" w:color="FFFFFF" w:themeColor="background1"/>
            </w:tcBorders>
            <w:shd w:val="clear" w:color="auto" w:fill="B4C6E7"/>
            <w:vAlign w:val="center"/>
          </w:tcPr>
          <w:p w14:paraId="679FC879" w14:textId="77777777" w:rsidR="00B469E0" w:rsidRPr="00292644" w:rsidRDefault="00B469E0" w:rsidP="00B65C06">
            <w:pPr>
              <w:pStyle w:val="Tabletext"/>
            </w:pPr>
            <w:r w:rsidRPr="00292644">
              <w:t>0</w:t>
            </w:r>
          </w:p>
        </w:tc>
        <w:tc>
          <w:tcPr>
            <w:tcW w:w="1357" w:type="dxa"/>
            <w:tcBorders>
              <w:top w:val="nil"/>
              <w:left w:val="nil"/>
              <w:bottom w:val="single" w:sz="8" w:space="0" w:color="FFFFFF" w:themeColor="background1"/>
              <w:right w:val="single" w:sz="8" w:space="0" w:color="FFFFFF" w:themeColor="background1"/>
            </w:tcBorders>
            <w:shd w:val="clear" w:color="auto" w:fill="B4C6E7"/>
            <w:vAlign w:val="center"/>
          </w:tcPr>
          <w:p w14:paraId="77DAB660" w14:textId="77777777" w:rsidR="00B469E0" w:rsidRPr="00292644" w:rsidRDefault="00B469E0" w:rsidP="00B65C06">
            <w:pPr>
              <w:pStyle w:val="Tabletext"/>
            </w:pPr>
            <w:r w:rsidRPr="00292644">
              <w:t>-</w:t>
            </w:r>
          </w:p>
        </w:tc>
        <w:tc>
          <w:tcPr>
            <w:tcW w:w="1357" w:type="dxa"/>
            <w:tcBorders>
              <w:top w:val="nil"/>
              <w:left w:val="nil"/>
              <w:bottom w:val="single" w:sz="8" w:space="0" w:color="FFFFFF" w:themeColor="background1"/>
              <w:right w:val="single" w:sz="8" w:space="0" w:color="FFFFFF" w:themeColor="background1"/>
            </w:tcBorders>
            <w:shd w:val="clear" w:color="auto" w:fill="B4C6E7"/>
            <w:vAlign w:val="center"/>
          </w:tcPr>
          <w:p w14:paraId="1C937AB6" w14:textId="77777777" w:rsidR="00B469E0" w:rsidRPr="00292644" w:rsidRDefault="00B469E0" w:rsidP="00B65C06">
            <w:pPr>
              <w:pStyle w:val="Tabletext"/>
            </w:pPr>
            <w:r w:rsidRPr="00292644">
              <w:t>0</w:t>
            </w:r>
          </w:p>
        </w:tc>
      </w:tr>
      <w:tr w:rsidR="00B469E0" w:rsidRPr="00A32804" w14:paraId="26F89EC7" w14:textId="77777777" w:rsidTr="00B65C06">
        <w:trPr>
          <w:trHeight w:val="441"/>
          <w:jc w:val="center"/>
        </w:trPr>
        <w:tc>
          <w:tcPr>
            <w:tcW w:w="3879" w:type="dxa"/>
            <w:tcBorders>
              <w:top w:val="nil"/>
              <w:left w:val="single" w:sz="8" w:space="0" w:color="FFFFFF" w:themeColor="background1"/>
              <w:bottom w:val="single" w:sz="8" w:space="0" w:color="FFFFFF" w:themeColor="background1"/>
              <w:right w:val="single" w:sz="8" w:space="0" w:color="FFFFFF" w:themeColor="background1"/>
            </w:tcBorders>
            <w:shd w:val="clear" w:color="auto" w:fill="4472C4"/>
            <w:tcMar>
              <w:top w:w="0" w:type="dxa"/>
              <w:left w:w="108" w:type="dxa"/>
              <w:bottom w:w="0" w:type="dxa"/>
              <w:right w:w="108" w:type="dxa"/>
            </w:tcMar>
            <w:vAlign w:val="center"/>
            <w:hideMark/>
          </w:tcPr>
          <w:p w14:paraId="4081409D" w14:textId="77777777" w:rsidR="00B469E0" w:rsidRPr="00292644" w:rsidRDefault="00B469E0" w:rsidP="00B65C06">
            <w:pPr>
              <w:pStyle w:val="Tabletext"/>
              <w:rPr>
                <w:b/>
                <w:bCs/>
                <w:color w:val="FFFFFF" w:themeColor="background1"/>
                <w:lang w:val="es-ES"/>
              </w:rPr>
            </w:pPr>
            <w:r w:rsidRPr="00292644">
              <w:rPr>
                <w:b/>
                <w:bCs/>
                <w:color w:val="FFFFFF" w:themeColor="background1"/>
                <w:lang w:val="es-ES"/>
              </w:rPr>
              <w:t xml:space="preserve">Otros Manuales </w:t>
            </w:r>
          </w:p>
          <w:p w14:paraId="3998938A" w14:textId="77777777" w:rsidR="00B469E0" w:rsidRPr="00292644" w:rsidRDefault="00B469E0" w:rsidP="00B65C06">
            <w:pPr>
              <w:pStyle w:val="Tabletext"/>
              <w:rPr>
                <w:b/>
                <w:bCs/>
                <w:color w:val="FFFFFF" w:themeColor="background1"/>
                <w:lang w:val="es-ES"/>
              </w:rPr>
            </w:pPr>
            <w:r w:rsidRPr="00292644">
              <w:rPr>
                <w:b/>
                <w:bCs/>
                <w:color w:val="FFFFFF" w:themeColor="background1"/>
                <w:lang w:val="es-ES"/>
              </w:rPr>
              <w:t>(copias impresas vendidas)</w:t>
            </w:r>
          </w:p>
        </w:tc>
        <w:tc>
          <w:tcPr>
            <w:tcW w:w="1461" w:type="dxa"/>
            <w:tcBorders>
              <w:top w:val="nil"/>
              <w:left w:val="nil"/>
              <w:bottom w:val="single" w:sz="8" w:space="0" w:color="FFFFFF" w:themeColor="background1"/>
              <w:right w:val="single" w:sz="8" w:space="0" w:color="FFFFFF" w:themeColor="background1"/>
            </w:tcBorders>
            <w:shd w:val="clear" w:color="auto" w:fill="D9E2F3"/>
            <w:tcMar>
              <w:top w:w="0" w:type="dxa"/>
              <w:left w:w="108" w:type="dxa"/>
              <w:bottom w:w="0" w:type="dxa"/>
              <w:right w:w="108" w:type="dxa"/>
            </w:tcMar>
            <w:vAlign w:val="center"/>
            <w:hideMark/>
          </w:tcPr>
          <w:p w14:paraId="2D60DA11" w14:textId="77777777" w:rsidR="00B469E0" w:rsidRPr="00292644" w:rsidRDefault="00B469E0" w:rsidP="00B65C06">
            <w:pPr>
              <w:pStyle w:val="Tabletext"/>
            </w:pPr>
            <w:r w:rsidRPr="00292644">
              <w:t>5</w:t>
            </w:r>
          </w:p>
        </w:tc>
        <w:tc>
          <w:tcPr>
            <w:tcW w:w="1357" w:type="dxa"/>
            <w:tcBorders>
              <w:top w:val="nil"/>
              <w:left w:val="nil"/>
              <w:bottom w:val="single" w:sz="8" w:space="0" w:color="FFFFFF" w:themeColor="background1"/>
              <w:right w:val="single" w:sz="8" w:space="0" w:color="FFFFFF" w:themeColor="background1"/>
            </w:tcBorders>
            <w:shd w:val="clear" w:color="auto" w:fill="D9E2F3"/>
            <w:vAlign w:val="center"/>
          </w:tcPr>
          <w:p w14:paraId="779A9C35" w14:textId="77777777" w:rsidR="00B469E0" w:rsidRPr="00292644" w:rsidRDefault="00B469E0" w:rsidP="00B65C06">
            <w:pPr>
              <w:pStyle w:val="Tabletext"/>
            </w:pPr>
            <w:r w:rsidRPr="00292644">
              <w:t>4</w:t>
            </w:r>
          </w:p>
        </w:tc>
        <w:tc>
          <w:tcPr>
            <w:tcW w:w="1357" w:type="dxa"/>
            <w:tcBorders>
              <w:top w:val="nil"/>
              <w:left w:val="nil"/>
              <w:bottom w:val="single" w:sz="8" w:space="0" w:color="FFFFFF" w:themeColor="background1"/>
              <w:right w:val="single" w:sz="8" w:space="0" w:color="FFFFFF" w:themeColor="background1"/>
            </w:tcBorders>
            <w:shd w:val="clear" w:color="auto" w:fill="D9E2F3"/>
            <w:vAlign w:val="center"/>
          </w:tcPr>
          <w:p w14:paraId="01679BE3" w14:textId="77777777" w:rsidR="00B469E0" w:rsidRPr="00292644" w:rsidRDefault="00B469E0" w:rsidP="00B65C06">
            <w:pPr>
              <w:pStyle w:val="Tabletext"/>
            </w:pPr>
            <w:r w:rsidRPr="00292644">
              <w:t>-</w:t>
            </w:r>
          </w:p>
        </w:tc>
        <w:tc>
          <w:tcPr>
            <w:tcW w:w="1357" w:type="dxa"/>
            <w:tcBorders>
              <w:top w:val="nil"/>
              <w:left w:val="nil"/>
              <w:bottom w:val="single" w:sz="8" w:space="0" w:color="FFFFFF" w:themeColor="background1"/>
              <w:right w:val="single" w:sz="8" w:space="0" w:color="FFFFFF" w:themeColor="background1"/>
            </w:tcBorders>
            <w:shd w:val="clear" w:color="auto" w:fill="D9E2F3"/>
            <w:vAlign w:val="center"/>
          </w:tcPr>
          <w:p w14:paraId="7ED4060A" w14:textId="77777777" w:rsidR="00B469E0" w:rsidRPr="00292644" w:rsidRDefault="00B469E0" w:rsidP="00B65C06">
            <w:pPr>
              <w:pStyle w:val="Tabletext"/>
            </w:pPr>
            <w:r w:rsidRPr="00292644">
              <w:t>0</w:t>
            </w:r>
          </w:p>
        </w:tc>
      </w:tr>
      <w:tr w:rsidR="00B469E0" w:rsidRPr="00A32804" w14:paraId="49C142C4" w14:textId="77777777" w:rsidTr="00B65C06">
        <w:trPr>
          <w:trHeight w:val="248"/>
          <w:jc w:val="center"/>
        </w:trPr>
        <w:tc>
          <w:tcPr>
            <w:tcW w:w="3879" w:type="dxa"/>
            <w:tcBorders>
              <w:top w:val="single" w:sz="8" w:space="0" w:color="FFFFFF" w:themeColor="background1"/>
              <w:left w:val="single" w:sz="8" w:space="0" w:color="FFFFFF" w:themeColor="background1"/>
              <w:bottom w:val="single" w:sz="4" w:space="0" w:color="FFFFFF" w:themeColor="background1"/>
              <w:right w:val="single" w:sz="8" w:space="0" w:color="FFFFFF" w:themeColor="background1"/>
            </w:tcBorders>
            <w:shd w:val="clear" w:color="auto" w:fill="4472C4"/>
            <w:tcMar>
              <w:top w:w="0" w:type="dxa"/>
              <w:left w:w="108" w:type="dxa"/>
              <w:bottom w:w="0" w:type="dxa"/>
              <w:right w:w="108" w:type="dxa"/>
            </w:tcMar>
            <w:vAlign w:val="center"/>
            <w:hideMark/>
          </w:tcPr>
          <w:p w14:paraId="2AF001F3" w14:textId="77777777" w:rsidR="00B469E0" w:rsidRPr="00292644" w:rsidRDefault="00B469E0" w:rsidP="00B65C06">
            <w:pPr>
              <w:pStyle w:val="Tabletext"/>
              <w:rPr>
                <w:b/>
                <w:bCs/>
                <w:color w:val="FFFFFF" w:themeColor="background1"/>
                <w:lang w:val="es-ES"/>
              </w:rPr>
            </w:pPr>
            <w:r w:rsidRPr="00292644">
              <w:rPr>
                <w:b/>
                <w:bCs/>
                <w:color w:val="FFFFFF" w:themeColor="background1"/>
                <w:lang w:val="es-ES"/>
              </w:rPr>
              <w:t>Total</w:t>
            </w:r>
          </w:p>
        </w:tc>
        <w:tc>
          <w:tcPr>
            <w:tcW w:w="1461" w:type="dxa"/>
            <w:tcBorders>
              <w:top w:val="single" w:sz="8" w:space="0" w:color="FFFFFF" w:themeColor="background1"/>
              <w:left w:val="nil"/>
              <w:bottom w:val="single" w:sz="4" w:space="0" w:color="FFFFFF" w:themeColor="background1"/>
              <w:right w:val="single" w:sz="8" w:space="0" w:color="FFFFFF" w:themeColor="background1"/>
            </w:tcBorders>
            <w:shd w:val="clear" w:color="auto" w:fill="B4C6E7"/>
            <w:tcMar>
              <w:top w:w="0" w:type="dxa"/>
              <w:left w:w="108" w:type="dxa"/>
              <w:bottom w:w="0" w:type="dxa"/>
              <w:right w:w="108" w:type="dxa"/>
            </w:tcMar>
            <w:vAlign w:val="center"/>
            <w:hideMark/>
          </w:tcPr>
          <w:p w14:paraId="54878FF5" w14:textId="77777777" w:rsidR="00B469E0" w:rsidRPr="00292644" w:rsidRDefault="00B469E0" w:rsidP="00B65C06">
            <w:pPr>
              <w:pStyle w:val="Tabletext"/>
              <w:rPr>
                <w:b/>
                <w:bCs/>
              </w:rPr>
            </w:pPr>
            <w:r w:rsidRPr="00292644">
              <w:rPr>
                <w:b/>
                <w:bCs/>
              </w:rPr>
              <w:t>10</w:t>
            </w:r>
          </w:p>
        </w:tc>
        <w:tc>
          <w:tcPr>
            <w:tcW w:w="1357" w:type="dxa"/>
            <w:tcBorders>
              <w:top w:val="single" w:sz="8" w:space="0" w:color="FFFFFF" w:themeColor="background1"/>
              <w:left w:val="nil"/>
              <w:bottom w:val="single" w:sz="4" w:space="0" w:color="FFFFFF" w:themeColor="background1"/>
              <w:right w:val="single" w:sz="8" w:space="0" w:color="FFFFFF" w:themeColor="background1"/>
            </w:tcBorders>
            <w:shd w:val="clear" w:color="auto" w:fill="B4C6E7"/>
            <w:vAlign w:val="center"/>
          </w:tcPr>
          <w:p w14:paraId="6FAA8B2F" w14:textId="77777777" w:rsidR="00B469E0" w:rsidRPr="00292644" w:rsidRDefault="00B469E0" w:rsidP="00B65C06">
            <w:pPr>
              <w:pStyle w:val="Tabletext"/>
              <w:rPr>
                <w:b/>
                <w:bCs/>
              </w:rPr>
            </w:pPr>
            <w:r w:rsidRPr="00292644">
              <w:rPr>
                <w:b/>
                <w:bCs/>
              </w:rPr>
              <w:t>4</w:t>
            </w:r>
          </w:p>
        </w:tc>
        <w:tc>
          <w:tcPr>
            <w:tcW w:w="1357" w:type="dxa"/>
            <w:tcBorders>
              <w:top w:val="single" w:sz="8" w:space="0" w:color="FFFFFF" w:themeColor="background1"/>
              <w:left w:val="nil"/>
              <w:bottom w:val="single" w:sz="4" w:space="0" w:color="FFFFFF" w:themeColor="background1"/>
              <w:right w:val="single" w:sz="8" w:space="0" w:color="FFFFFF" w:themeColor="background1"/>
            </w:tcBorders>
            <w:shd w:val="clear" w:color="auto" w:fill="B4C6E7"/>
            <w:vAlign w:val="center"/>
          </w:tcPr>
          <w:p w14:paraId="7CAA7A77" w14:textId="77777777" w:rsidR="00B469E0" w:rsidRPr="00292644" w:rsidRDefault="00B469E0" w:rsidP="00B65C06">
            <w:pPr>
              <w:pStyle w:val="Tabletext"/>
              <w:rPr>
                <w:b/>
                <w:bCs/>
              </w:rPr>
            </w:pPr>
            <w:r w:rsidRPr="00292644">
              <w:rPr>
                <w:b/>
                <w:bCs/>
              </w:rPr>
              <w:t>-</w:t>
            </w:r>
          </w:p>
        </w:tc>
        <w:tc>
          <w:tcPr>
            <w:tcW w:w="1357" w:type="dxa"/>
            <w:tcBorders>
              <w:top w:val="single" w:sz="8" w:space="0" w:color="FFFFFF" w:themeColor="background1"/>
              <w:left w:val="nil"/>
              <w:bottom w:val="single" w:sz="4" w:space="0" w:color="FFFFFF" w:themeColor="background1"/>
              <w:right w:val="single" w:sz="8" w:space="0" w:color="FFFFFF" w:themeColor="background1"/>
            </w:tcBorders>
            <w:shd w:val="clear" w:color="auto" w:fill="B4C6E7"/>
            <w:vAlign w:val="center"/>
          </w:tcPr>
          <w:p w14:paraId="332912C1" w14:textId="77777777" w:rsidR="00B469E0" w:rsidRPr="00292644" w:rsidRDefault="00B469E0" w:rsidP="00B65C06">
            <w:pPr>
              <w:pStyle w:val="Tabletext"/>
              <w:rPr>
                <w:b/>
                <w:bCs/>
              </w:rPr>
            </w:pPr>
            <w:r w:rsidRPr="00292644">
              <w:rPr>
                <w:b/>
                <w:bCs/>
              </w:rPr>
              <w:t>0</w:t>
            </w:r>
          </w:p>
        </w:tc>
      </w:tr>
      <w:tr w:rsidR="00B469E0" w:rsidRPr="00A32804" w14:paraId="4C29FBE4" w14:textId="77777777" w:rsidTr="00B65C06">
        <w:trPr>
          <w:trHeight w:val="248"/>
          <w:jc w:val="center"/>
        </w:trPr>
        <w:tc>
          <w:tcPr>
            <w:tcW w:w="3879" w:type="dxa"/>
            <w:tcBorders>
              <w:top w:val="single" w:sz="4"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4472C4"/>
            <w:tcMar>
              <w:top w:w="0" w:type="dxa"/>
              <w:left w:w="108" w:type="dxa"/>
              <w:bottom w:w="0" w:type="dxa"/>
              <w:right w:w="108" w:type="dxa"/>
            </w:tcMar>
            <w:vAlign w:val="center"/>
          </w:tcPr>
          <w:p w14:paraId="162B2C14" w14:textId="77777777" w:rsidR="00B469E0" w:rsidRPr="00292644" w:rsidRDefault="00B469E0" w:rsidP="00B65C06">
            <w:pPr>
              <w:pStyle w:val="Tabletext"/>
              <w:rPr>
                <w:b/>
                <w:bCs/>
                <w:color w:val="FFFFFF" w:themeColor="background1"/>
                <w:lang w:val="es-ES"/>
              </w:rPr>
            </w:pPr>
            <w:r w:rsidRPr="00292644">
              <w:rPr>
                <w:b/>
                <w:bCs/>
                <w:color w:val="FFFFFF" w:themeColor="background1"/>
                <w:lang w:val="es-ES"/>
              </w:rPr>
              <w:t>Descargas GRATUITAS</w:t>
            </w:r>
          </w:p>
        </w:tc>
        <w:tc>
          <w:tcPr>
            <w:tcW w:w="1461" w:type="dxa"/>
            <w:tcBorders>
              <w:top w:val="single" w:sz="4" w:space="0" w:color="FFFFFF" w:themeColor="background1"/>
              <w:left w:val="nil"/>
              <w:bottom w:val="single" w:sz="8" w:space="0" w:color="FFFFFF" w:themeColor="background1"/>
              <w:right w:val="single" w:sz="8" w:space="0" w:color="FFFFFF" w:themeColor="background1"/>
            </w:tcBorders>
            <w:shd w:val="clear" w:color="auto" w:fill="B4C6E7"/>
            <w:tcMar>
              <w:top w:w="0" w:type="dxa"/>
              <w:left w:w="108" w:type="dxa"/>
              <w:bottom w:w="0" w:type="dxa"/>
              <w:right w:w="108" w:type="dxa"/>
            </w:tcMar>
            <w:vAlign w:val="center"/>
          </w:tcPr>
          <w:p w14:paraId="1146AAB3" w14:textId="77777777" w:rsidR="00B469E0" w:rsidRPr="00292644" w:rsidRDefault="00B469E0" w:rsidP="00B65C06">
            <w:pPr>
              <w:pStyle w:val="Tabletext"/>
              <w:rPr>
                <w:b/>
                <w:bCs/>
              </w:rPr>
            </w:pPr>
            <w:r w:rsidRPr="00292644">
              <w:rPr>
                <w:b/>
                <w:bCs/>
              </w:rPr>
              <w:t>126 201</w:t>
            </w:r>
          </w:p>
        </w:tc>
        <w:tc>
          <w:tcPr>
            <w:tcW w:w="1357" w:type="dxa"/>
            <w:tcBorders>
              <w:top w:val="single" w:sz="4" w:space="0" w:color="FFFFFF" w:themeColor="background1"/>
              <w:left w:val="nil"/>
              <w:bottom w:val="single" w:sz="8" w:space="0" w:color="FFFFFF" w:themeColor="background1"/>
              <w:right w:val="single" w:sz="8" w:space="0" w:color="FFFFFF" w:themeColor="background1"/>
            </w:tcBorders>
            <w:shd w:val="clear" w:color="auto" w:fill="B4C6E7"/>
            <w:vAlign w:val="center"/>
          </w:tcPr>
          <w:p w14:paraId="5F0F47AD" w14:textId="77777777" w:rsidR="00B469E0" w:rsidRPr="00292644" w:rsidRDefault="00B469E0" w:rsidP="00B65C06">
            <w:pPr>
              <w:pStyle w:val="Tabletext"/>
              <w:rPr>
                <w:b/>
                <w:bCs/>
              </w:rPr>
            </w:pPr>
            <w:r w:rsidRPr="00292644">
              <w:rPr>
                <w:b/>
                <w:bCs/>
              </w:rPr>
              <w:t>134 159</w:t>
            </w:r>
          </w:p>
        </w:tc>
        <w:tc>
          <w:tcPr>
            <w:tcW w:w="1357" w:type="dxa"/>
            <w:tcBorders>
              <w:top w:val="single" w:sz="4" w:space="0" w:color="FFFFFF" w:themeColor="background1"/>
              <w:left w:val="nil"/>
              <w:bottom w:val="single" w:sz="8" w:space="0" w:color="FFFFFF" w:themeColor="background1"/>
              <w:right w:val="single" w:sz="8" w:space="0" w:color="FFFFFF" w:themeColor="background1"/>
            </w:tcBorders>
            <w:shd w:val="clear" w:color="auto" w:fill="B4C6E7"/>
            <w:vAlign w:val="center"/>
          </w:tcPr>
          <w:p w14:paraId="683DAFF5" w14:textId="77777777" w:rsidR="00B469E0" w:rsidRPr="00292644" w:rsidRDefault="00B469E0" w:rsidP="00B65C06">
            <w:pPr>
              <w:pStyle w:val="Tabletext"/>
              <w:rPr>
                <w:b/>
                <w:bCs/>
              </w:rPr>
            </w:pPr>
            <w:r w:rsidRPr="00292644">
              <w:rPr>
                <w:b/>
                <w:bCs/>
              </w:rPr>
              <w:t>143 478</w:t>
            </w:r>
          </w:p>
        </w:tc>
        <w:tc>
          <w:tcPr>
            <w:tcW w:w="1357" w:type="dxa"/>
            <w:tcBorders>
              <w:top w:val="single" w:sz="4" w:space="0" w:color="FFFFFF" w:themeColor="background1"/>
              <w:left w:val="nil"/>
              <w:bottom w:val="single" w:sz="8" w:space="0" w:color="FFFFFF" w:themeColor="background1"/>
              <w:right w:val="single" w:sz="8" w:space="0" w:color="FFFFFF" w:themeColor="background1"/>
            </w:tcBorders>
            <w:shd w:val="clear" w:color="auto" w:fill="B4C6E7"/>
            <w:vAlign w:val="center"/>
          </w:tcPr>
          <w:p w14:paraId="21942A5D" w14:textId="77777777" w:rsidR="00B469E0" w:rsidRPr="00292644" w:rsidRDefault="00B469E0" w:rsidP="00B65C06">
            <w:pPr>
              <w:pStyle w:val="Tabletext"/>
              <w:rPr>
                <w:b/>
                <w:bCs/>
              </w:rPr>
            </w:pPr>
            <w:r w:rsidRPr="00292644">
              <w:rPr>
                <w:b/>
                <w:bCs/>
              </w:rPr>
              <w:t>97 290</w:t>
            </w:r>
          </w:p>
        </w:tc>
      </w:tr>
    </w:tbl>
    <w:p w14:paraId="01B125F6" w14:textId="77777777" w:rsidR="00B469E0" w:rsidRPr="00A32804" w:rsidRDefault="00B469E0" w:rsidP="00B469E0">
      <w:pPr>
        <w:pStyle w:val="Heading4"/>
        <w:rPr>
          <w:lang w:val="es-ES"/>
        </w:rPr>
      </w:pPr>
      <w:r w:rsidRPr="00A32804">
        <w:rPr>
          <w:lang w:val="es-ES"/>
        </w:rPr>
        <w:t>8.1.4.5</w:t>
      </w:r>
      <w:r w:rsidRPr="00A32804">
        <w:rPr>
          <w:lang w:val="es-ES"/>
        </w:rPr>
        <w:tab/>
        <w:t xml:space="preserve"> Manual Marítimo</w:t>
      </w:r>
    </w:p>
    <w:p w14:paraId="0409F077" w14:textId="77777777" w:rsidR="00B469E0" w:rsidRPr="00A32804" w:rsidRDefault="00B469E0" w:rsidP="00B469E0">
      <w:pPr>
        <w:rPr>
          <w:lang w:val="es-ES"/>
        </w:rPr>
      </w:pPr>
      <w:r w:rsidRPr="00A32804">
        <w:rPr>
          <w:lang w:val="es-ES"/>
        </w:rPr>
        <w:t xml:space="preserve">En relación con esta publicación de servicio, en el Cuadro 8.1.4.5-1 se indica el número de ejemplares distribuidos de las ediciones de 2020 y 2024 de este Manual. La edición de 2024 se publicó en diciembre de 2024 y puede adquirirse en formato CD-ROM, USB, digital o en papel. </w:t>
      </w:r>
    </w:p>
    <w:p w14:paraId="0C5AAB26" w14:textId="77777777" w:rsidR="00B469E0" w:rsidRPr="00A32804" w:rsidRDefault="00B469E0" w:rsidP="00B469E0">
      <w:pPr>
        <w:pStyle w:val="TableNotitle"/>
        <w:rPr>
          <w:lang w:val="es-ES"/>
        </w:rPr>
      </w:pPr>
      <w:r w:rsidRPr="00A32804">
        <w:rPr>
          <w:lang w:val="es-ES"/>
        </w:rPr>
        <w:t>CUADRO 8.1.4.5-1</w:t>
      </w:r>
    </w:p>
    <w:tbl>
      <w:tblPr>
        <w:tblStyle w:val="GridTable5Dark-Accent1"/>
        <w:tblW w:w="0" w:type="auto"/>
        <w:tblInd w:w="135" w:type="dxa"/>
        <w:tblLayout w:type="fixed"/>
        <w:tblLook w:val="04A0" w:firstRow="1" w:lastRow="0" w:firstColumn="1" w:lastColumn="0" w:noHBand="0" w:noVBand="1"/>
      </w:tblPr>
      <w:tblGrid>
        <w:gridCol w:w="1855"/>
        <w:gridCol w:w="1790"/>
        <w:gridCol w:w="1558"/>
        <w:gridCol w:w="1516"/>
        <w:gridCol w:w="2731"/>
      </w:tblGrid>
      <w:tr w:rsidR="00B469E0" w:rsidRPr="00A32804" w14:paraId="3D1E43E8" w14:textId="77777777" w:rsidTr="00B65C06">
        <w:trPr>
          <w:cnfStyle w:val="100000000000" w:firstRow="1" w:lastRow="0" w:firstColumn="0" w:lastColumn="0" w:oddVBand="0" w:evenVBand="0" w:oddHBand="0" w:evenHBand="0" w:firstRowFirstColumn="0" w:firstRowLastColumn="0" w:lastRowFirstColumn="0" w:lastRowLastColumn="0"/>
          <w:trHeight w:val="76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tcBorders>
            <w:tcMar>
              <w:left w:w="108" w:type="dxa"/>
              <w:right w:w="108" w:type="dxa"/>
            </w:tcMar>
          </w:tcPr>
          <w:p w14:paraId="0D6497D5" w14:textId="77777777" w:rsidR="00B469E0" w:rsidRPr="00A32804" w:rsidRDefault="00B469E0" w:rsidP="00B65C06">
            <w:pPr>
              <w:spacing w:before="0"/>
              <w:rPr>
                <w:szCs w:val="24"/>
                <w:lang w:val="es-ES"/>
              </w:rPr>
            </w:pPr>
          </w:p>
        </w:tc>
        <w:tc>
          <w:tcPr>
            <w:tcW w:w="1790" w:type="dxa"/>
            <w:tcBorders>
              <w:top w:val="single" w:sz="8" w:space="0" w:color="FFFFFF" w:themeColor="background1"/>
              <w:bottom w:val="single" w:sz="8" w:space="0" w:color="FFFFFF" w:themeColor="background1"/>
            </w:tcBorders>
            <w:tcMar>
              <w:left w:w="108" w:type="dxa"/>
              <w:right w:w="108" w:type="dxa"/>
            </w:tcMar>
          </w:tcPr>
          <w:p w14:paraId="67217217"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2021</w:t>
            </w:r>
            <w:r w:rsidRPr="00292644">
              <w:rPr>
                <w:b/>
                <w:bCs w:val="0"/>
                <w:lang w:val="es-ES"/>
              </w:rPr>
              <w:br/>
              <w:t xml:space="preserve"> MM-20</w:t>
            </w:r>
          </w:p>
        </w:tc>
        <w:tc>
          <w:tcPr>
            <w:tcW w:w="1558" w:type="dxa"/>
            <w:tcBorders>
              <w:top w:val="single" w:sz="8" w:space="0" w:color="FFFFFF" w:themeColor="background1"/>
              <w:bottom w:val="single" w:sz="8" w:space="0" w:color="FFFFFF" w:themeColor="background1"/>
            </w:tcBorders>
            <w:tcMar>
              <w:left w:w="108" w:type="dxa"/>
              <w:right w:w="108" w:type="dxa"/>
            </w:tcMar>
          </w:tcPr>
          <w:p w14:paraId="0922B9A5"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2022</w:t>
            </w:r>
            <w:r w:rsidRPr="00292644">
              <w:rPr>
                <w:b/>
                <w:bCs w:val="0"/>
                <w:lang w:val="es-ES"/>
              </w:rPr>
              <w:br/>
              <w:t xml:space="preserve"> MM-20</w:t>
            </w:r>
          </w:p>
        </w:tc>
        <w:tc>
          <w:tcPr>
            <w:tcW w:w="1516" w:type="dxa"/>
            <w:tcBorders>
              <w:top w:val="single" w:sz="8" w:space="0" w:color="FFFFFF" w:themeColor="background1"/>
              <w:bottom w:val="single" w:sz="8" w:space="0" w:color="FFFFFF" w:themeColor="background1"/>
            </w:tcBorders>
            <w:tcMar>
              <w:left w:w="108" w:type="dxa"/>
              <w:right w:w="108" w:type="dxa"/>
            </w:tcMar>
          </w:tcPr>
          <w:p w14:paraId="1438A7E4"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2023</w:t>
            </w:r>
            <w:r w:rsidRPr="00292644">
              <w:rPr>
                <w:b/>
                <w:bCs w:val="0"/>
                <w:lang w:val="es-ES"/>
              </w:rPr>
              <w:br/>
              <w:t xml:space="preserve"> MM-20 </w:t>
            </w:r>
          </w:p>
        </w:tc>
        <w:tc>
          <w:tcPr>
            <w:tcW w:w="2731" w:type="dxa"/>
            <w:tcBorders>
              <w:top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5C8D8B1A" w14:textId="77777777" w:rsidR="00B469E0" w:rsidRPr="00292644" w:rsidRDefault="00B469E0" w:rsidP="00B65C06">
            <w:pPr>
              <w:pStyle w:val="Tablehead"/>
              <w:cnfStyle w:val="100000000000" w:firstRow="1" w:lastRow="0" w:firstColumn="0" w:lastColumn="0" w:oddVBand="0" w:evenVBand="0" w:oddHBand="0" w:evenHBand="0" w:firstRowFirstColumn="0" w:firstRowLastColumn="0" w:lastRowFirstColumn="0" w:lastRowLastColumn="0"/>
              <w:rPr>
                <w:b/>
                <w:bCs w:val="0"/>
                <w:lang w:val="es-ES"/>
              </w:rPr>
            </w:pPr>
            <w:r w:rsidRPr="00292644">
              <w:rPr>
                <w:b/>
                <w:bCs w:val="0"/>
                <w:lang w:val="es-ES"/>
              </w:rPr>
              <w:t>2024</w:t>
            </w:r>
            <w:r w:rsidRPr="00292644">
              <w:rPr>
                <w:b/>
                <w:bCs w:val="0"/>
                <w:lang w:val="es-ES"/>
              </w:rPr>
              <w:br/>
              <w:t>Ediciones de 2020 y 2024</w:t>
            </w:r>
          </w:p>
        </w:tc>
      </w:tr>
      <w:tr w:rsidR="00B469E0" w:rsidRPr="00A32804" w14:paraId="0435DB2D" w14:textId="77777777" w:rsidTr="00B65C0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4D1FDE7E" w14:textId="77777777" w:rsidR="00B469E0" w:rsidRPr="00292644" w:rsidRDefault="00B469E0" w:rsidP="00B65C06">
            <w:pPr>
              <w:pStyle w:val="Tabletext"/>
              <w:rPr>
                <w:lang w:val="es-ES"/>
              </w:rPr>
            </w:pPr>
            <w:r w:rsidRPr="00A32804">
              <w:rPr>
                <w:lang w:val="es-ES"/>
              </w:rPr>
              <w:t>Copias impresas vendidas</w:t>
            </w:r>
          </w:p>
        </w:tc>
        <w:tc>
          <w:tcPr>
            <w:tcW w:w="179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5AA75EFD"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rsidRPr="00292644">
              <w:t>1</w:t>
            </w:r>
            <w:r>
              <w:t> </w:t>
            </w:r>
            <w:r w:rsidRPr="00292644">
              <w:t>396</w:t>
            </w:r>
          </w:p>
        </w:tc>
        <w:tc>
          <w:tcPr>
            <w:tcW w:w="15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61F3FA3B"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rsidRPr="00292644">
              <w:t>189</w:t>
            </w:r>
          </w:p>
        </w:tc>
        <w:tc>
          <w:tcPr>
            <w:tcW w:w="15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67D39FF8"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rsidRPr="00292644">
              <w:t>73</w:t>
            </w:r>
          </w:p>
        </w:tc>
        <w:tc>
          <w:tcPr>
            <w:tcW w:w="273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3CACD492"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rsidRPr="00292644">
              <w:t>2020: 64</w:t>
            </w:r>
          </w:p>
          <w:p w14:paraId="4D63B8F5"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rsidRPr="00292644">
              <w:t>2024: 148</w:t>
            </w:r>
          </w:p>
          <w:p w14:paraId="05BB79A1"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rPr>
                <w:b/>
                <w:bCs/>
              </w:rPr>
            </w:pPr>
            <w:r w:rsidRPr="00292644">
              <w:rPr>
                <w:b/>
                <w:bCs/>
              </w:rPr>
              <w:t>Total: 212</w:t>
            </w:r>
          </w:p>
        </w:tc>
      </w:tr>
      <w:tr w:rsidR="00B469E0" w:rsidRPr="00A32804" w14:paraId="5C7BB0A3" w14:textId="77777777" w:rsidTr="00B65C06">
        <w:trPr>
          <w:trHeight w:val="31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2125FDFA" w14:textId="77777777" w:rsidR="00B469E0" w:rsidRPr="00292644" w:rsidRDefault="00B469E0" w:rsidP="00B65C06">
            <w:pPr>
              <w:pStyle w:val="Tabletext"/>
              <w:rPr>
                <w:lang w:val="es-ES"/>
              </w:rPr>
            </w:pPr>
            <w:r w:rsidRPr="00A32804">
              <w:rPr>
                <w:lang w:val="es-ES"/>
              </w:rPr>
              <w:t>DVD vendidos</w:t>
            </w:r>
          </w:p>
        </w:tc>
        <w:tc>
          <w:tcPr>
            <w:tcW w:w="179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498D353D"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rsidRPr="00292644">
              <w:t>19</w:t>
            </w:r>
            <w:r>
              <w:t> </w:t>
            </w:r>
            <w:r w:rsidRPr="00292644">
              <w:t>079</w:t>
            </w:r>
          </w:p>
        </w:tc>
        <w:tc>
          <w:tcPr>
            <w:tcW w:w="15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494041B2"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rsidRPr="00292644">
              <w:t>5</w:t>
            </w:r>
            <w:r>
              <w:t> </w:t>
            </w:r>
            <w:r w:rsidRPr="00292644">
              <w:t>637</w:t>
            </w:r>
          </w:p>
        </w:tc>
        <w:tc>
          <w:tcPr>
            <w:tcW w:w="15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41253004"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rsidRPr="00292644">
              <w:t>3</w:t>
            </w:r>
            <w:r>
              <w:t> </w:t>
            </w:r>
            <w:r w:rsidRPr="00292644">
              <w:t>363</w:t>
            </w:r>
          </w:p>
        </w:tc>
        <w:tc>
          <w:tcPr>
            <w:tcW w:w="273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4AAFE7F0"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rsidRPr="00292644">
              <w:t>2020: 2</w:t>
            </w:r>
            <w:r>
              <w:t> </w:t>
            </w:r>
            <w:r w:rsidRPr="00292644">
              <w:t>771</w:t>
            </w:r>
          </w:p>
          <w:p w14:paraId="5961BDE6"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rsidRPr="00292644">
              <w:t>2024: 10</w:t>
            </w:r>
            <w:r>
              <w:t> </w:t>
            </w:r>
            <w:r w:rsidRPr="00292644">
              <w:t>166</w:t>
            </w:r>
          </w:p>
          <w:p w14:paraId="15BF06FC"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rPr>
                <w:b/>
                <w:bCs/>
              </w:rPr>
            </w:pPr>
            <w:r w:rsidRPr="00292644">
              <w:rPr>
                <w:b/>
                <w:bCs/>
              </w:rPr>
              <w:t>Total: 12</w:t>
            </w:r>
            <w:r>
              <w:rPr>
                <w:b/>
                <w:bCs/>
              </w:rPr>
              <w:t> </w:t>
            </w:r>
            <w:r w:rsidRPr="00292644">
              <w:rPr>
                <w:b/>
                <w:bCs/>
              </w:rPr>
              <w:t>937</w:t>
            </w:r>
          </w:p>
        </w:tc>
      </w:tr>
      <w:tr w:rsidR="00B469E0" w:rsidRPr="00A32804" w14:paraId="445FBFDC" w14:textId="77777777" w:rsidTr="00B65C06">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103434CF" w14:textId="77777777" w:rsidR="00B469E0" w:rsidRPr="00292644" w:rsidRDefault="00B469E0" w:rsidP="00B65C06">
            <w:pPr>
              <w:pStyle w:val="Tabletext"/>
              <w:rPr>
                <w:lang w:val="es-ES"/>
              </w:rPr>
            </w:pPr>
            <w:r w:rsidRPr="00A32804">
              <w:rPr>
                <w:lang w:val="es-ES"/>
              </w:rPr>
              <w:t>USB vendidos</w:t>
            </w:r>
          </w:p>
        </w:tc>
        <w:tc>
          <w:tcPr>
            <w:tcW w:w="179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3DDAA9A3"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t>–</w:t>
            </w:r>
          </w:p>
        </w:tc>
        <w:tc>
          <w:tcPr>
            <w:tcW w:w="15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08AAB426"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t>–</w:t>
            </w:r>
          </w:p>
        </w:tc>
        <w:tc>
          <w:tcPr>
            <w:tcW w:w="15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17CDD8CB"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t>–</w:t>
            </w:r>
          </w:p>
        </w:tc>
        <w:tc>
          <w:tcPr>
            <w:tcW w:w="273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4F02A60F"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rsidRPr="00292644">
              <w:t xml:space="preserve">2020: </w:t>
            </w:r>
            <w:r>
              <w:t>–</w:t>
            </w:r>
          </w:p>
          <w:p w14:paraId="33A95DC6"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pPr>
            <w:r w:rsidRPr="00292644">
              <w:t>2024: 440</w:t>
            </w:r>
          </w:p>
          <w:p w14:paraId="037F43FC" w14:textId="77777777" w:rsidR="00B469E0" w:rsidRPr="00292644" w:rsidRDefault="00B469E0" w:rsidP="00B65C06">
            <w:pPr>
              <w:pStyle w:val="Tabletext"/>
              <w:cnfStyle w:val="000000100000" w:firstRow="0" w:lastRow="0" w:firstColumn="0" w:lastColumn="0" w:oddVBand="0" w:evenVBand="0" w:oddHBand="1" w:evenHBand="0" w:firstRowFirstColumn="0" w:firstRowLastColumn="0" w:lastRowFirstColumn="0" w:lastRowLastColumn="0"/>
              <w:rPr>
                <w:b/>
                <w:bCs/>
              </w:rPr>
            </w:pPr>
            <w:r w:rsidRPr="00292644">
              <w:rPr>
                <w:b/>
                <w:bCs/>
              </w:rPr>
              <w:t>Total: 440</w:t>
            </w:r>
          </w:p>
        </w:tc>
      </w:tr>
      <w:tr w:rsidR="00B469E0" w:rsidRPr="00A32804" w14:paraId="0FE7284D" w14:textId="77777777" w:rsidTr="00B65C06">
        <w:trPr>
          <w:trHeight w:val="315"/>
        </w:trPr>
        <w:tc>
          <w:tcPr>
            <w:cnfStyle w:val="001000000000" w:firstRow="0" w:lastRow="0" w:firstColumn="1" w:lastColumn="0" w:oddVBand="0" w:evenVBand="0" w:oddHBand="0" w:evenHBand="0" w:firstRowFirstColumn="0" w:firstRowLastColumn="0" w:lastRowFirstColumn="0" w:lastRowLastColumn="0"/>
            <w:tcW w:w="1855"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2850464C" w14:textId="77777777" w:rsidR="00B469E0" w:rsidRPr="00292644" w:rsidRDefault="00B469E0" w:rsidP="00B65C06">
            <w:pPr>
              <w:pStyle w:val="Tabletext"/>
              <w:rPr>
                <w:lang w:val="es-ES"/>
              </w:rPr>
            </w:pPr>
            <w:r w:rsidRPr="00292644">
              <w:rPr>
                <w:lang w:val="es-ES"/>
              </w:rPr>
              <w:t>Formato digital</w:t>
            </w:r>
          </w:p>
        </w:tc>
        <w:tc>
          <w:tcPr>
            <w:tcW w:w="179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2AA59040"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t>–</w:t>
            </w:r>
          </w:p>
        </w:tc>
        <w:tc>
          <w:tcPr>
            <w:tcW w:w="15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2C9BBB65"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t>–</w:t>
            </w:r>
          </w:p>
        </w:tc>
        <w:tc>
          <w:tcPr>
            <w:tcW w:w="151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6D70EADB"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t>–</w:t>
            </w:r>
          </w:p>
        </w:tc>
        <w:tc>
          <w:tcPr>
            <w:tcW w:w="2731"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Mar>
              <w:left w:w="108" w:type="dxa"/>
              <w:right w:w="108" w:type="dxa"/>
            </w:tcMar>
          </w:tcPr>
          <w:p w14:paraId="1FEEB33F"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rsidRPr="00292644">
              <w:t xml:space="preserve">2020: </w:t>
            </w:r>
            <w:r>
              <w:t>–</w:t>
            </w:r>
          </w:p>
          <w:p w14:paraId="235F29B7"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pPr>
            <w:r w:rsidRPr="00292644">
              <w:t>2024: 277</w:t>
            </w:r>
          </w:p>
          <w:p w14:paraId="14D0234E" w14:textId="77777777" w:rsidR="00B469E0" w:rsidRPr="00292644" w:rsidRDefault="00B469E0" w:rsidP="00B65C06">
            <w:pPr>
              <w:pStyle w:val="Tabletext"/>
              <w:cnfStyle w:val="000000000000" w:firstRow="0" w:lastRow="0" w:firstColumn="0" w:lastColumn="0" w:oddVBand="0" w:evenVBand="0" w:oddHBand="0" w:evenHBand="0" w:firstRowFirstColumn="0" w:firstRowLastColumn="0" w:lastRowFirstColumn="0" w:lastRowLastColumn="0"/>
              <w:rPr>
                <w:b/>
                <w:bCs/>
              </w:rPr>
            </w:pPr>
            <w:r w:rsidRPr="00292644">
              <w:rPr>
                <w:b/>
                <w:bCs/>
              </w:rPr>
              <w:t>Total: 277</w:t>
            </w:r>
          </w:p>
        </w:tc>
      </w:tr>
    </w:tbl>
    <w:p w14:paraId="3201D7F5" w14:textId="77777777" w:rsidR="00B469E0" w:rsidRPr="00A32804" w:rsidRDefault="00B469E0" w:rsidP="00B469E0">
      <w:pPr>
        <w:pStyle w:val="Heading2"/>
        <w:rPr>
          <w:i/>
          <w:lang w:val="es-ES"/>
        </w:rPr>
      </w:pPr>
      <w:bookmarkStart w:id="55" w:name="_Toc424047601"/>
      <w:bookmarkStart w:id="56" w:name="_Toc446060783"/>
      <w:bookmarkEnd w:id="50"/>
      <w:bookmarkEnd w:id="51"/>
      <w:r w:rsidRPr="00A32804">
        <w:rPr>
          <w:lang w:val="es-ES"/>
        </w:rPr>
        <w:t>8.2</w:t>
      </w:r>
      <w:r w:rsidRPr="00A32804">
        <w:rPr>
          <w:lang w:val="es-ES"/>
        </w:rPr>
        <w:tab/>
        <w:t>Seminarios, talleres</w:t>
      </w:r>
      <w:bookmarkEnd w:id="55"/>
      <w:bookmarkEnd w:id="56"/>
      <w:r w:rsidRPr="00A32804">
        <w:rPr>
          <w:lang w:val="es-ES"/>
        </w:rPr>
        <w:t xml:space="preserve"> y otros eventos</w:t>
      </w:r>
    </w:p>
    <w:p w14:paraId="0BC69E82" w14:textId="77777777" w:rsidR="00B469E0" w:rsidRPr="00A32804" w:rsidRDefault="00B469E0" w:rsidP="00B469E0">
      <w:pPr>
        <w:rPr>
          <w:lang w:val="es-ES"/>
        </w:rPr>
      </w:pPr>
      <w:r w:rsidRPr="00A32804">
        <w:rPr>
          <w:lang w:val="es-ES"/>
        </w:rPr>
        <w:t>Desde 2024, se ha iniciado el nuevo ciclo de seminarios SMR y SRR entre dos CMR: el ciclo de SMR y SRR para el periodo 2024-2027. El objetivo de estos seminarios es divulgar a escala mundial las actualizaciones que contiene la edición de 2024 del Reglamento de Radiocomunicaciones (a raíz de las decisiones adoptadas por la CMR-23) y las Reglas de Procedimiento (RdP) correspondientes. En base a la experiencia de los SMR y SRR anteriores, la planificación del ciclo de SMR y SRR para 2024-2027 prevé la celebración de dos Seminarios Mundiales de Radiocomunicaciones (SMR) bienales y de 11 Seminarios Regionales de Radiocomunicaciones (SRR) (cada uno dedicado a una subregión diferente), tal y como se indica a continuación:</w:t>
      </w:r>
    </w:p>
    <w:p w14:paraId="5DBBA629" w14:textId="77777777" w:rsidR="00B469E0" w:rsidRPr="00A32804" w:rsidRDefault="00B469E0" w:rsidP="00B469E0">
      <w:pPr>
        <w:pStyle w:val="TableNotitle"/>
        <w:rPr>
          <w:lang w:val="es-ES"/>
        </w:rPr>
      </w:pPr>
      <w:r w:rsidRPr="00A32804">
        <w:rPr>
          <w:lang w:val="es-ES"/>
        </w:rPr>
        <w:lastRenderedPageBreak/>
        <w:t>CUADRO 8.2-1</w:t>
      </w:r>
    </w:p>
    <w:tbl>
      <w:tblPr>
        <w:tblStyle w:val="TableGrid"/>
        <w:tblW w:w="5000" w:type="pct"/>
        <w:jc w:val="center"/>
        <w:tblLayout w:type="fixed"/>
        <w:tblLook w:val="04A0" w:firstRow="1" w:lastRow="0" w:firstColumn="1" w:lastColumn="0" w:noHBand="0" w:noVBand="1"/>
      </w:tblPr>
      <w:tblGrid>
        <w:gridCol w:w="2711"/>
        <w:gridCol w:w="1596"/>
        <w:gridCol w:w="1903"/>
        <w:gridCol w:w="1134"/>
        <w:gridCol w:w="1218"/>
        <w:gridCol w:w="1067"/>
      </w:tblGrid>
      <w:tr w:rsidR="00B469E0" w:rsidRPr="00A32804" w14:paraId="61053D3E" w14:textId="77777777" w:rsidTr="00B65C06">
        <w:trPr>
          <w:jc w:val="center"/>
        </w:trPr>
        <w:tc>
          <w:tcPr>
            <w:tcW w:w="2711" w:type="dxa"/>
            <w:noWrap/>
            <w:hideMark/>
          </w:tcPr>
          <w:p w14:paraId="02E250EF" w14:textId="77777777" w:rsidR="00B469E0" w:rsidRPr="00A32804" w:rsidRDefault="00B469E0" w:rsidP="00B65C06">
            <w:pPr>
              <w:pStyle w:val="Tablehead"/>
              <w:rPr>
                <w:lang w:val="es-ES"/>
              </w:rPr>
            </w:pPr>
          </w:p>
        </w:tc>
        <w:tc>
          <w:tcPr>
            <w:tcW w:w="1596" w:type="dxa"/>
            <w:noWrap/>
            <w:hideMark/>
          </w:tcPr>
          <w:p w14:paraId="3F4792BA" w14:textId="77777777" w:rsidR="00B469E0" w:rsidRPr="00A32804" w:rsidRDefault="00B469E0" w:rsidP="00B65C06">
            <w:pPr>
              <w:pStyle w:val="Tablehead"/>
              <w:rPr>
                <w:bCs/>
                <w:lang w:val="es-ES"/>
              </w:rPr>
            </w:pPr>
            <w:bookmarkStart w:id="57" w:name="lt_pId1057"/>
            <w:r w:rsidRPr="00A32804">
              <w:rPr>
                <w:bCs/>
                <w:lang w:val="es-ES"/>
              </w:rPr>
              <w:t>Idioma</w:t>
            </w:r>
            <w:bookmarkEnd w:id="57"/>
          </w:p>
        </w:tc>
        <w:tc>
          <w:tcPr>
            <w:tcW w:w="1903" w:type="dxa"/>
            <w:noWrap/>
            <w:hideMark/>
          </w:tcPr>
          <w:p w14:paraId="37D4C25D" w14:textId="77777777" w:rsidR="00B469E0" w:rsidRPr="00A32804" w:rsidRDefault="00B469E0" w:rsidP="00B65C06">
            <w:pPr>
              <w:pStyle w:val="Tablehead"/>
              <w:rPr>
                <w:bCs/>
                <w:lang w:val="es-ES"/>
              </w:rPr>
            </w:pPr>
            <w:r w:rsidRPr="00A32804">
              <w:rPr>
                <w:bCs/>
                <w:lang w:val="es-ES"/>
              </w:rPr>
              <w:t>2024</w:t>
            </w:r>
          </w:p>
        </w:tc>
        <w:tc>
          <w:tcPr>
            <w:tcW w:w="1134" w:type="dxa"/>
            <w:noWrap/>
            <w:hideMark/>
          </w:tcPr>
          <w:p w14:paraId="78313DA0" w14:textId="77777777" w:rsidR="00B469E0" w:rsidRPr="00A32804" w:rsidRDefault="00B469E0" w:rsidP="00B65C06">
            <w:pPr>
              <w:pStyle w:val="Tablehead"/>
              <w:rPr>
                <w:bCs/>
                <w:lang w:val="es-ES"/>
              </w:rPr>
            </w:pPr>
            <w:r w:rsidRPr="00A32804">
              <w:rPr>
                <w:bCs/>
                <w:lang w:val="es-ES"/>
              </w:rPr>
              <w:t>2025</w:t>
            </w:r>
          </w:p>
        </w:tc>
        <w:tc>
          <w:tcPr>
            <w:tcW w:w="1218" w:type="dxa"/>
            <w:noWrap/>
            <w:hideMark/>
          </w:tcPr>
          <w:p w14:paraId="14162D25" w14:textId="77777777" w:rsidR="00B469E0" w:rsidRPr="00A32804" w:rsidRDefault="00B469E0" w:rsidP="00B65C06">
            <w:pPr>
              <w:pStyle w:val="Tablehead"/>
              <w:rPr>
                <w:bCs/>
                <w:lang w:val="es-ES"/>
              </w:rPr>
            </w:pPr>
            <w:r w:rsidRPr="00A32804">
              <w:rPr>
                <w:bCs/>
                <w:lang w:val="es-ES"/>
              </w:rPr>
              <w:t>2026</w:t>
            </w:r>
          </w:p>
        </w:tc>
        <w:tc>
          <w:tcPr>
            <w:tcW w:w="1067" w:type="dxa"/>
            <w:noWrap/>
            <w:hideMark/>
          </w:tcPr>
          <w:p w14:paraId="31CEAE66" w14:textId="77777777" w:rsidR="00B469E0" w:rsidRPr="00A32804" w:rsidRDefault="00B469E0" w:rsidP="00B65C06">
            <w:pPr>
              <w:pStyle w:val="Tablehead"/>
              <w:rPr>
                <w:bCs/>
                <w:lang w:val="es-ES"/>
              </w:rPr>
            </w:pPr>
            <w:r w:rsidRPr="00A32804">
              <w:rPr>
                <w:bCs/>
                <w:lang w:val="es-ES"/>
              </w:rPr>
              <w:t>2027</w:t>
            </w:r>
          </w:p>
        </w:tc>
      </w:tr>
      <w:tr w:rsidR="00B469E0" w:rsidRPr="00A32804" w14:paraId="08944946" w14:textId="77777777" w:rsidTr="00B65C06">
        <w:trPr>
          <w:jc w:val="center"/>
        </w:trPr>
        <w:tc>
          <w:tcPr>
            <w:tcW w:w="2711" w:type="dxa"/>
            <w:shd w:val="clear" w:color="auto" w:fill="DAEEF3" w:themeFill="accent5" w:themeFillTint="33"/>
            <w:noWrap/>
            <w:hideMark/>
          </w:tcPr>
          <w:p w14:paraId="210B6A96" w14:textId="77777777" w:rsidR="00B469E0" w:rsidRPr="00A32804" w:rsidRDefault="00B469E0" w:rsidP="00B65C06">
            <w:pPr>
              <w:pStyle w:val="Tabletext"/>
              <w:rPr>
                <w:b/>
                <w:bCs/>
                <w:lang w:val="es-ES"/>
              </w:rPr>
            </w:pPr>
            <w:bookmarkStart w:id="58" w:name="lt_pId1062"/>
            <w:r w:rsidRPr="00A32804">
              <w:rPr>
                <w:b/>
                <w:bCs/>
                <w:lang w:val="es-ES"/>
              </w:rPr>
              <w:t>SMR (2)</w:t>
            </w:r>
            <w:bookmarkEnd w:id="58"/>
          </w:p>
        </w:tc>
        <w:tc>
          <w:tcPr>
            <w:tcW w:w="1596" w:type="dxa"/>
            <w:noWrap/>
            <w:hideMark/>
          </w:tcPr>
          <w:p w14:paraId="4E04C805" w14:textId="77777777" w:rsidR="00B469E0" w:rsidRPr="00A32804" w:rsidRDefault="00B469E0" w:rsidP="00B65C06">
            <w:pPr>
              <w:pStyle w:val="Tabletext"/>
              <w:jc w:val="center"/>
              <w:rPr>
                <w:lang w:val="es-ES"/>
              </w:rPr>
            </w:pPr>
            <w:bookmarkStart w:id="59" w:name="lt_pId1063"/>
            <w:r w:rsidRPr="00A32804">
              <w:rPr>
                <w:lang w:val="es-ES"/>
              </w:rPr>
              <w:t>Naciones Unidas</w:t>
            </w:r>
            <w:bookmarkEnd w:id="59"/>
          </w:p>
        </w:tc>
        <w:tc>
          <w:tcPr>
            <w:tcW w:w="1903" w:type="dxa"/>
            <w:noWrap/>
            <w:hideMark/>
          </w:tcPr>
          <w:p w14:paraId="287A4541" w14:textId="77777777" w:rsidR="00B469E0" w:rsidRPr="00A32804" w:rsidRDefault="00B469E0" w:rsidP="00B65C06">
            <w:pPr>
              <w:pStyle w:val="Tabletext"/>
              <w:jc w:val="center"/>
              <w:rPr>
                <w:lang w:val="es-ES"/>
              </w:rPr>
            </w:pPr>
            <w:bookmarkStart w:id="60" w:name="lt_pId1064"/>
            <w:r w:rsidRPr="00A32804">
              <w:rPr>
                <w:lang w:val="es-ES"/>
              </w:rPr>
              <w:t>2-6 de diciembre</w:t>
            </w:r>
            <w:bookmarkEnd w:id="60"/>
          </w:p>
          <w:p w14:paraId="75BF957E" w14:textId="77777777" w:rsidR="00B469E0" w:rsidRPr="00A32804" w:rsidRDefault="00B469E0" w:rsidP="00B65C06">
            <w:pPr>
              <w:pStyle w:val="Tabletext"/>
              <w:jc w:val="center"/>
              <w:rPr>
                <w:lang w:val="es-ES"/>
              </w:rPr>
            </w:pPr>
            <w:bookmarkStart w:id="61" w:name="lt_pId1065"/>
            <w:r w:rsidRPr="00A32804">
              <w:rPr>
                <w:lang w:val="es-ES"/>
              </w:rPr>
              <w:t>Ginebra</w:t>
            </w:r>
            <w:bookmarkEnd w:id="61"/>
          </w:p>
        </w:tc>
        <w:tc>
          <w:tcPr>
            <w:tcW w:w="1134" w:type="dxa"/>
            <w:noWrap/>
            <w:hideMark/>
          </w:tcPr>
          <w:p w14:paraId="51D6FC88" w14:textId="77777777" w:rsidR="00B469E0" w:rsidRPr="00A32804" w:rsidRDefault="00B469E0" w:rsidP="00B65C06">
            <w:pPr>
              <w:pStyle w:val="Tabletext"/>
              <w:jc w:val="center"/>
              <w:rPr>
                <w:lang w:val="es-ES"/>
              </w:rPr>
            </w:pPr>
            <w:r w:rsidRPr="00A32804">
              <w:rPr>
                <w:lang w:val="es-ES"/>
              </w:rPr>
              <w:t>−</w:t>
            </w:r>
          </w:p>
        </w:tc>
        <w:tc>
          <w:tcPr>
            <w:tcW w:w="1218" w:type="dxa"/>
            <w:noWrap/>
            <w:hideMark/>
          </w:tcPr>
          <w:p w14:paraId="3FA2CDB0" w14:textId="77777777" w:rsidR="00B469E0" w:rsidRPr="00A32804" w:rsidRDefault="00B469E0" w:rsidP="00B65C06">
            <w:pPr>
              <w:pStyle w:val="Tabletext"/>
              <w:jc w:val="center"/>
              <w:rPr>
                <w:lang w:val="es-ES"/>
              </w:rPr>
            </w:pPr>
            <w:bookmarkStart w:id="62" w:name="lt_pId1067"/>
            <w:r w:rsidRPr="00A32804">
              <w:rPr>
                <w:lang w:val="es-ES"/>
              </w:rPr>
              <w:t>Diciembre</w:t>
            </w:r>
            <w:bookmarkEnd w:id="62"/>
          </w:p>
          <w:p w14:paraId="63B9C26F" w14:textId="77777777" w:rsidR="00B469E0" w:rsidRPr="00A32804" w:rsidRDefault="00B469E0" w:rsidP="00B65C06">
            <w:pPr>
              <w:pStyle w:val="Tabletext"/>
              <w:jc w:val="center"/>
              <w:rPr>
                <w:lang w:val="es-ES"/>
              </w:rPr>
            </w:pPr>
            <w:bookmarkStart w:id="63" w:name="lt_pId1068"/>
            <w:r w:rsidRPr="00A32804">
              <w:rPr>
                <w:lang w:val="es-ES"/>
              </w:rPr>
              <w:t>Ginebra</w:t>
            </w:r>
            <w:bookmarkEnd w:id="63"/>
          </w:p>
        </w:tc>
        <w:tc>
          <w:tcPr>
            <w:tcW w:w="1067" w:type="dxa"/>
            <w:noWrap/>
            <w:hideMark/>
          </w:tcPr>
          <w:p w14:paraId="686512EF" w14:textId="77777777" w:rsidR="00B469E0" w:rsidRPr="00A32804" w:rsidRDefault="00B469E0" w:rsidP="00B65C06">
            <w:pPr>
              <w:pStyle w:val="Tabletext"/>
              <w:jc w:val="center"/>
              <w:rPr>
                <w:lang w:val="es-ES"/>
              </w:rPr>
            </w:pPr>
            <w:r w:rsidRPr="00A32804">
              <w:rPr>
                <w:lang w:val="es-ES"/>
              </w:rPr>
              <w:t>−</w:t>
            </w:r>
          </w:p>
        </w:tc>
      </w:tr>
      <w:tr w:rsidR="00B469E0" w:rsidRPr="00A32804" w14:paraId="0F8D2849" w14:textId="77777777" w:rsidTr="00B65C06">
        <w:trPr>
          <w:jc w:val="center"/>
        </w:trPr>
        <w:tc>
          <w:tcPr>
            <w:tcW w:w="9629" w:type="dxa"/>
            <w:gridSpan w:val="6"/>
            <w:shd w:val="clear" w:color="auto" w:fill="F2F2F2" w:themeFill="background1" w:themeFillShade="F2"/>
            <w:noWrap/>
            <w:hideMark/>
          </w:tcPr>
          <w:p w14:paraId="3BCBABDE" w14:textId="77777777" w:rsidR="00B469E0" w:rsidRPr="00A32804" w:rsidRDefault="00B469E0" w:rsidP="00B65C06">
            <w:pPr>
              <w:pStyle w:val="Tabletext"/>
              <w:rPr>
                <w:b/>
                <w:bCs/>
                <w:lang w:val="es-ES"/>
              </w:rPr>
            </w:pPr>
            <w:bookmarkStart w:id="64" w:name="lt_pId1070"/>
            <w:r w:rsidRPr="00A32804">
              <w:rPr>
                <w:b/>
                <w:bCs/>
                <w:lang w:val="es-ES"/>
              </w:rPr>
              <w:t>SRR (11)</w:t>
            </w:r>
            <w:bookmarkEnd w:id="64"/>
          </w:p>
        </w:tc>
      </w:tr>
      <w:tr w:rsidR="00B469E0" w:rsidRPr="00A32804" w14:paraId="3B8B0DF6" w14:textId="77777777" w:rsidTr="00B65C06">
        <w:trPr>
          <w:jc w:val="center"/>
        </w:trPr>
        <w:tc>
          <w:tcPr>
            <w:tcW w:w="9629" w:type="dxa"/>
            <w:gridSpan w:val="6"/>
            <w:shd w:val="clear" w:color="auto" w:fill="F2F2F2" w:themeFill="background1" w:themeFillShade="F2"/>
            <w:hideMark/>
          </w:tcPr>
          <w:p w14:paraId="354F3AAF" w14:textId="77777777" w:rsidR="00B469E0" w:rsidRPr="00A32804" w:rsidRDefault="00B469E0" w:rsidP="00B65C06">
            <w:pPr>
              <w:pStyle w:val="Tabletext"/>
              <w:rPr>
                <w:b/>
                <w:bCs/>
                <w:i/>
                <w:iCs/>
                <w:lang w:val="es-ES"/>
              </w:rPr>
            </w:pPr>
            <w:bookmarkStart w:id="65" w:name="lt_pId1071"/>
            <w:r w:rsidRPr="00A32804">
              <w:rPr>
                <w:b/>
                <w:bCs/>
                <w:lang w:val="es-ES"/>
              </w:rPr>
              <w:t>África: AFR (2)</w:t>
            </w:r>
            <w:bookmarkEnd w:id="65"/>
          </w:p>
        </w:tc>
      </w:tr>
      <w:tr w:rsidR="00B469E0" w:rsidRPr="00A32804" w14:paraId="07512236" w14:textId="77777777" w:rsidTr="00B65C06">
        <w:trPr>
          <w:jc w:val="center"/>
        </w:trPr>
        <w:tc>
          <w:tcPr>
            <w:tcW w:w="2711" w:type="dxa"/>
            <w:noWrap/>
            <w:hideMark/>
          </w:tcPr>
          <w:p w14:paraId="60A36DA8" w14:textId="77777777" w:rsidR="00B469E0" w:rsidRPr="00A32804" w:rsidRDefault="00B469E0" w:rsidP="00B65C06">
            <w:pPr>
              <w:pStyle w:val="Tabletext"/>
              <w:rPr>
                <w:lang w:val="es-ES"/>
              </w:rPr>
            </w:pPr>
            <w:r w:rsidRPr="00A32804">
              <w:rPr>
                <w:lang w:val="es-ES"/>
              </w:rPr>
              <w:t>África</w:t>
            </w:r>
            <w:bookmarkStart w:id="66" w:name="lt_pId1072"/>
            <w:bookmarkEnd w:id="66"/>
          </w:p>
        </w:tc>
        <w:tc>
          <w:tcPr>
            <w:tcW w:w="1596" w:type="dxa"/>
            <w:noWrap/>
            <w:hideMark/>
          </w:tcPr>
          <w:p w14:paraId="78B2B752" w14:textId="77777777" w:rsidR="00B469E0" w:rsidRPr="00A32804" w:rsidRDefault="00B469E0" w:rsidP="00B65C06">
            <w:pPr>
              <w:pStyle w:val="Tabletext"/>
              <w:jc w:val="center"/>
              <w:rPr>
                <w:lang w:val="es-ES"/>
              </w:rPr>
            </w:pPr>
            <w:bookmarkStart w:id="67" w:name="lt_pId1073"/>
            <w:r w:rsidRPr="00A32804">
              <w:rPr>
                <w:lang w:val="es-ES"/>
              </w:rPr>
              <w:t>Inglés/francés</w:t>
            </w:r>
            <w:bookmarkEnd w:id="67"/>
          </w:p>
        </w:tc>
        <w:tc>
          <w:tcPr>
            <w:tcW w:w="1903" w:type="dxa"/>
            <w:noWrap/>
            <w:hideMark/>
          </w:tcPr>
          <w:p w14:paraId="7B2FB734" w14:textId="77777777" w:rsidR="00B469E0" w:rsidRPr="00A32804" w:rsidRDefault="00B469E0" w:rsidP="00B65C06">
            <w:pPr>
              <w:pStyle w:val="Tabletext"/>
              <w:jc w:val="center"/>
              <w:rPr>
                <w:lang w:val="es-ES"/>
              </w:rPr>
            </w:pPr>
            <w:r w:rsidRPr="00A32804">
              <w:rPr>
                <w:lang w:val="es-ES"/>
              </w:rPr>
              <w:t>−</w:t>
            </w:r>
          </w:p>
        </w:tc>
        <w:tc>
          <w:tcPr>
            <w:tcW w:w="1134" w:type="dxa"/>
            <w:hideMark/>
          </w:tcPr>
          <w:p w14:paraId="70942DD0" w14:textId="77777777" w:rsidR="00B469E0" w:rsidRPr="00A32804" w:rsidRDefault="00B469E0" w:rsidP="00B65C06">
            <w:pPr>
              <w:pStyle w:val="Tabletext"/>
              <w:jc w:val="center"/>
              <w:rPr>
                <w:lang w:val="es-ES"/>
              </w:rPr>
            </w:pPr>
            <w:r w:rsidRPr="00A32804">
              <w:rPr>
                <w:lang w:val="es-ES"/>
              </w:rPr>
              <w:t>5-8 de mayo</w:t>
            </w:r>
            <w:r w:rsidRPr="00A32804">
              <w:rPr>
                <w:lang w:val="es-ES"/>
              </w:rPr>
              <w:br/>
              <w:t>Ciudad de Djibouti, Djibouti (República de)</w:t>
            </w:r>
          </w:p>
        </w:tc>
        <w:tc>
          <w:tcPr>
            <w:tcW w:w="1218" w:type="dxa"/>
            <w:noWrap/>
            <w:hideMark/>
          </w:tcPr>
          <w:p w14:paraId="7FAE825D" w14:textId="77777777" w:rsidR="00B469E0" w:rsidRPr="00A32804" w:rsidRDefault="00B469E0" w:rsidP="00B65C06">
            <w:pPr>
              <w:pStyle w:val="Tabletext"/>
              <w:jc w:val="center"/>
              <w:rPr>
                <w:lang w:val="es-ES"/>
              </w:rPr>
            </w:pPr>
            <w:r w:rsidRPr="00A32804">
              <w:rPr>
                <w:lang w:val="es-ES"/>
              </w:rPr>
              <w:t>−</w:t>
            </w:r>
          </w:p>
        </w:tc>
        <w:tc>
          <w:tcPr>
            <w:tcW w:w="1067" w:type="dxa"/>
            <w:noWrap/>
            <w:hideMark/>
          </w:tcPr>
          <w:p w14:paraId="64CC2916" w14:textId="77777777" w:rsidR="00B469E0" w:rsidRPr="00A32804" w:rsidRDefault="00B469E0" w:rsidP="00B65C06">
            <w:pPr>
              <w:pStyle w:val="Tabletext"/>
              <w:jc w:val="center"/>
              <w:rPr>
                <w:lang w:val="es-ES"/>
              </w:rPr>
            </w:pPr>
            <w:r w:rsidRPr="00A32804">
              <w:rPr>
                <w:lang w:val="es-ES"/>
              </w:rPr>
              <w:t>−</w:t>
            </w:r>
          </w:p>
        </w:tc>
      </w:tr>
      <w:tr w:rsidR="00B469E0" w:rsidRPr="00A32804" w14:paraId="78888BE2" w14:textId="77777777" w:rsidTr="00B65C06">
        <w:trPr>
          <w:jc w:val="center"/>
        </w:trPr>
        <w:tc>
          <w:tcPr>
            <w:tcW w:w="2711" w:type="dxa"/>
            <w:noWrap/>
            <w:hideMark/>
          </w:tcPr>
          <w:p w14:paraId="4E9A36B3" w14:textId="77777777" w:rsidR="00B469E0" w:rsidRPr="00A32804" w:rsidRDefault="00B469E0" w:rsidP="00B65C06">
            <w:pPr>
              <w:pStyle w:val="Tabletext"/>
              <w:rPr>
                <w:lang w:val="es-ES"/>
              </w:rPr>
            </w:pPr>
            <w:r w:rsidRPr="00A32804">
              <w:rPr>
                <w:lang w:val="es-ES"/>
              </w:rPr>
              <w:t xml:space="preserve">África </w:t>
            </w:r>
            <w:bookmarkStart w:id="68" w:name="lt_pId1078"/>
            <w:bookmarkEnd w:id="68"/>
          </w:p>
        </w:tc>
        <w:tc>
          <w:tcPr>
            <w:tcW w:w="1596" w:type="dxa"/>
            <w:noWrap/>
            <w:hideMark/>
          </w:tcPr>
          <w:p w14:paraId="0D315D01" w14:textId="77777777" w:rsidR="00B469E0" w:rsidRPr="00A32804" w:rsidRDefault="00B469E0" w:rsidP="00B65C06">
            <w:pPr>
              <w:pStyle w:val="Tabletext"/>
              <w:jc w:val="center"/>
              <w:rPr>
                <w:lang w:val="es-ES"/>
              </w:rPr>
            </w:pPr>
            <w:bookmarkStart w:id="69" w:name="lt_pId1079"/>
            <w:r w:rsidRPr="00A32804">
              <w:rPr>
                <w:lang w:val="es-ES"/>
              </w:rPr>
              <w:t>Inglés/francés</w:t>
            </w:r>
            <w:bookmarkEnd w:id="69"/>
          </w:p>
        </w:tc>
        <w:tc>
          <w:tcPr>
            <w:tcW w:w="1903" w:type="dxa"/>
            <w:noWrap/>
            <w:hideMark/>
          </w:tcPr>
          <w:p w14:paraId="39C99906" w14:textId="77777777" w:rsidR="00B469E0" w:rsidRPr="00A32804" w:rsidRDefault="00B469E0" w:rsidP="00B65C06">
            <w:pPr>
              <w:pStyle w:val="Tabletext"/>
              <w:jc w:val="center"/>
              <w:rPr>
                <w:lang w:val="es-ES"/>
              </w:rPr>
            </w:pPr>
            <w:r w:rsidRPr="00A32804">
              <w:rPr>
                <w:lang w:val="es-ES"/>
              </w:rPr>
              <w:t>−</w:t>
            </w:r>
          </w:p>
        </w:tc>
        <w:tc>
          <w:tcPr>
            <w:tcW w:w="1134" w:type="dxa"/>
            <w:noWrap/>
            <w:hideMark/>
          </w:tcPr>
          <w:p w14:paraId="060054B9" w14:textId="77777777" w:rsidR="00B469E0" w:rsidRPr="00A32804" w:rsidRDefault="00B469E0" w:rsidP="00B65C06">
            <w:pPr>
              <w:pStyle w:val="Tabletext"/>
              <w:jc w:val="center"/>
              <w:rPr>
                <w:lang w:val="es-ES"/>
              </w:rPr>
            </w:pPr>
            <w:r w:rsidRPr="00A32804">
              <w:rPr>
                <w:lang w:val="es-ES"/>
              </w:rPr>
              <w:t>−</w:t>
            </w:r>
          </w:p>
        </w:tc>
        <w:tc>
          <w:tcPr>
            <w:tcW w:w="1218" w:type="dxa"/>
            <w:noWrap/>
            <w:hideMark/>
          </w:tcPr>
          <w:p w14:paraId="55BEF301" w14:textId="77777777" w:rsidR="00B469E0" w:rsidRPr="00A32804" w:rsidRDefault="00B469E0" w:rsidP="00B65C06">
            <w:pPr>
              <w:pStyle w:val="Tabletext"/>
              <w:jc w:val="center"/>
              <w:rPr>
                <w:lang w:val="es-ES"/>
              </w:rPr>
            </w:pPr>
            <w:r w:rsidRPr="00A32804">
              <w:rPr>
                <w:lang w:val="es-ES"/>
              </w:rPr>
              <w:t>−</w:t>
            </w:r>
          </w:p>
        </w:tc>
        <w:tc>
          <w:tcPr>
            <w:tcW w:w="1067" w:type="dxa"/>
            <w:hideMark/>
          </w:tcPr>
          <w:p w14:paraId="197D573D" w14:textId="77777777" w:rsidR="00B469E0" w:rsidRPr="00A32804" w:rsidRDefault="00B469E0" w:rsidP="00B65C06">
            <w:pPr>
              <w:pStyle w:val="Tabletext"/>
              <w:jc w:val="center"/>
              <w:rPr>
                <w:lang w:val="es-ES"/>
              </w:rPr>
            </w:pPr>
            <w:bookmarkStart w:id="70" w:name="lt_pId1083"/>
            <w:r w:rsidRPr="00A32804">
              <w:rPr>
                <w:lang w:val="es-ES"/>
              </w:rPr>
              <w:t>Julio</w:t>
            </w:r>
            <w:bookmarkEnd w:id="70"/>
          </w:p>
        </w:tc>
      </w:tr>
      <w:tr w:rsidR="00B469E0" w:rsidRPr="00A32804" w14:paraId="16E74B16" w14:textId="77777777" w:rsidTr="00B65C06">
        <w:trPr>
          <w:jc w:val="center"/>
        </w:trPr>
        <w:tc>
          <w:tcPr>
            <w:tcW w:w="9629" w:type="dxa"/>
            <w:gridSpan w:val="6"/>
            <w:shd w:val="clear" w:color="auto" w:fill="F2F2F2" w:themeFill="background1" w:themeFillShade="F2"/>
            <w:hideMark/>
          </w:tcPr>
          <w:p w14:paraId="296B5D4E" w14:textId="77777777" w:rsidR="00B469E0" w:rsidRPr="00A32804" w:rsidRDefault="00B469E0" w:rsidP="00B65C06">
            <w:pPr>
              <w:pStyle w:val="Tabletext"/>
              <w:rPr>
                <w:b/>
                <w:bCs/>
                <w:lang w:val="es-ES"/>
              </w:rPr>
            </w:pPr>
            <w:bookmarkStart w:id="71" w:name="lt_pId1084"/>
            <w:r w:rsidRPr="00A32804">
              <w:rPr>
                <w:b/>
                <w:bCs/>
                <w:lang w:val="es-ES"/>
              </w:rPr>
              <w:t>Américas: AMS (3)</w:t>
            </w:r>
            <w:bookmarkEnd w:id="71"/>
          </w:p>
        </w:tc>
      </w:tr>
      <w:tr w:rsidR="00B469E0" w:rsidRPr="00A32804" w14:paraId="1A281990" w14:textId="77777777" w:rsidTr="00B65C06">
        <w:trPr>
          <w:jc w:val="center"/>
        </w:trPr>
        <w:tc>
          <w:tcPr>
            <w:tcW w:w="2711" w:type="dxa"/>
            <w:noWrap/>
          </w:tcPr>
          <w:p w14:paraId="423844FD" w14:textId="77777777" w:rsidR="00B469E0" w:rsidRPr="00A32804" w:rsidRDefault="00B469E0" w:rsidP="00B65C06">
            <w:pPr>
              <w:pStyle w:val="Tabletext"/>
              <w:rPr>
                <w:lang w:val="es-ES"/>
              </w:rPr>
            </w:pPr>
            <w:bookmarkStart w:id="72" w:name="lt_pId1085"/>
            <w:r w:rsidRPr="00A32804">
              <w:rPr>
                <w:lang w:val="es-ES"/>
              </w:rPr>
              <w:t>Caribe</w:t>
            </w:r>
            <w:bookmarkEnd w:id="72"/>
          </w:p>
        </w:tc>
        <w:tc>
          <w:tcPr>
            <w:tcW w:w="1596" w:type="dxa"/>
            <w:noWrap/>
          </w:tcPr>
          <w:p w14:paraId="03BB6805" w14:textId="77777777" w:rsidR="00B469E0" w:rsidRPr="00A32804" w:rsidRDefault="00B469E0" w:rsidP="00B65C06">
            <w:pPr>
              <w:pStyle w:val="Tabletext"/>
              <w:jc w:val="center"/>
              <w:rPr>
                <w:lang w:val="es-ES"/>
              </w:rPr>
            </w:pPr>
            <w:bookmarkStart w:id="73" w:name="lt_pId1086"/>
            <w:r w:rsidRPr="00A32804">
              <w:rPr>
                <w:lang w:val="es-ES"/>
              </w:rPr>
              <w:t>Inglés</w:t>
            </w:r>
            <w:bookmarkEnd w:id="73"/>
          </w:p>
        </w:tc>
        <w:tc>
          <w:tcPr>
            <w:tcW w:w="1903" w:type="dxa"/>
          </w:tcPr>
          <w:p w14:paraId="47922D95" w14:textId="77777777" w:rsidR="00B469E0" w:rsidRPr="00A32804" w:rsidRDefault="00B469E0" w:rsidP="00B65C06">
            <w:pPr>
              <w:pStyle w:val="Tabletext"/>
              <w:jc w:val="center"/>
              <w:rPr>
                <w:lang w:val="es-ES"/>
              </w:rPr>
            </w:pPr>
            <w:r w:rsidRPr="00A32804">
              <w:rPr>
                <w:lang w:val="es-ES"/>
              </w:rPr>
              <w:t>22-27 de julio</w:t>
            </w:r>
          </w:p>
          <w:p w14:paraId="4DEB7596" w14:textId="77777777" w:rsidR="00B469E0" w:rsidRPr="00A32804" w:rsidRDefault="00B469E0" w:rsidP="00B65C06">
            <w:pPr>
              <w:pStyle w:val="Tabletext"/>
              <w:jc w:val="center"/>
              <w:rPr>
                <w:lang w:val="es-ES"/>
              </w:rPr>
            </w:pPr>
            <w:r w:rsidRPr="00A32804">
              <w:rPr>
                <w:lang w:val="es-ES"/>
              </w:rPr>
              <w:t>Saint George, Granada</w:t>
            </w:r>
          </w:p>
        </w:tc>
        <w:tc>
          <w:tcPr>
            <w:tcW w:w="1134" w:type="dxa"/>
            <w:noWrap/>
          </w:tcPr>
          <w:p w14:paraId="5D0AC7C5" w14:textId="77777777" w:rsidR="00B469E0" w:rsidRPr="00A32804" w:rsidRDefault="00B469E0" w:rsidP="00B65C06">
            <w:pPr>
              <w:pStyle w:val="Tabletext"/>
              <w:jc w:val="center"/>
              <w:rPr>
                <w:lang w:val="es-ES"/>
              </w:rPr>
            </w:pPr>
            <w:r w:rsidRPr="00A32804">
              <w:rPr>
                <w:lang w:val="es-ES"/>
              </w:rPr>
              <w:t>−</w:t>
            </w:r>
          </w:p>
        </w:tc>
        <w:tc>
          <w:tcPr>
            <w:tcW w:w="1218" w:type="dxa"/>
            <w:noWrap/>
          </w:tcPr>
          <w:p w14:paraId="019EA6F6" w14:textId="77777777" w:rsidR="00B469E0" w:rsidRPr="00A32804" w:rsidRDefault="00B469E0" w:rsidP="00B65C06">
            <w:pPr>
              <w:pStyle w:val="Tabletext"/>
              <w:jc w:val="center"/>
              <w:rPr>
                <w:lang w:val="es-ES"/>
              </w:rPr>
            </w:pPr>
            <w:r w:rsidRPr="00A32804">
              <w:rPr>
                <w:lang w:val="es-ES"/>
              </w:rPr>
              <w:t>−</w:t>
            </w:r>
          </w:p>
        </w:tc>
        <w:tc>
          <w:tcPr>
            <w:tcW w:w="1067" w:type="dxa"/>
            <w:noWrap/>
          </w:tcPr>
          <w:p w14:paraId="3E77EF67" w14:textId="77777777" w:rsidR="00B469E0" w:rsidRPr="00A32804" w:rsidRDefault="00B469E0" w:rsidP="00B65C06">
            <w:pPr>
              <w:pStyle w:val="Tabletext"/>
              <w:jc w:val="center"/>
              <w:rPr>
                <w:lang w:val="es-ES"/>
              </w:rPr>
            </w:pPr>
            <w:r w:rsidRPr="00A32804">
              <w:rPr>
                <w:lang w:val="es-ES"/>
              </w:rPr>
              <w:t>−</w:t>
            </w:r>
          </w:p>
        </w:tc>
      </w:tr>
      <w:tr w:rsidR="00B469E0" w:rsidRPr="00A32804" w14:paraId="1797AD84" w14:textId="77777777" w:rsidTr="00B65C06">
        <w:trPr>
          <w:jc w:val="center"/>
        </w:trPr>
        <w:tc>
          <w:tcPr>
            <w:tcW w:w="2711" w:type="dxa"/>
            <w:noWrap/>
            <w:hideMark/>
          </w:tcPr>
          <w:p w14:paraId="0F6971C5" w14:textId="77777777" w:rsidR="00B469E0" w:rsidRPr="00A32804" w:rsidRDefault="00B469E0" w:rsidP="00B65C06">
            <w:pPr>
              <w:pStyle w:val="Tabletext"/>
              <w:rPr>
                <w:lang w:val="es-ES"/>
              </w:rPr>
            </w:pPr>
            <w:bookmarkStart w:id="74" w:name="lt_pId1092"/>
            <w:r w:rsidRPr="00A32804">
              <w:rPr>
                <w:lang w:val="es-ES"/>
              </w:rPr>
              <w:t>América del Sur</w:t>
            </w:r>
            <w:bookmarkEnd w:id="74"/>
          </w:p>
        </w:tc>
        <w:tc>
          <w:tcPr>
            <w:tcW w:w="1596" w:type="dxa"/>
            <w:noWrap/>
            <w:hideMark/>
          </w:tcPr>
          <w:p w14:paraId="5B3E5ED8" w14:textId="77777777" w:rsidR="00B469E0" w:rsidRPr="00A32804" w:rsidRDefault="00B469E0" w:rsidP="00B65C06">
            <w:pPr>
              <w:pStyle w:val="Tabletext"/>
              <w:jc w:val="center"/>
              <w:rPr>
                <w:lang w:val="es-ES"/>
              </w:rPr>
            </w:pPr>
            <w:bookmarkStart w:id="75" w:name="lt_pId1093"/>
            <w:r w:rsidRPr="00A32804">
              <w:rPr>
                <w:lang w:val="es-ES"/>
              </w:rPr>
              <w:t>Español</w:t>
            </w:r>
            <w:bookmarkEnd w:id="75"/>
          </w:p>
        </w:tc>
        <w:tc>
          <w:tcPr>
            <w:tcW w:w="1903" w:type="dxa"/>
            <w:hideMark/>
          </w:tcPr>
          <w:p w14:paraId="02C95ADD" w14:textId="77777777" w:rsidR="00B469E0" w:rsidRPr="00A32804" w:rsidRDefault="00B469E0" w:rsidP="00B65C06">
            <w:pPr>
              <w:pStyle w:val="Tabletext"/>
              <w:jc w:val="center"/>
              <w:rPr>
                <w:lang w:val="es-ES"/>
              </w:rPr>
            </w:pPr>
            <w:r w:rsidRPr="00A32804">
              <w:rPr>
                <w:lang w:val="es-ES"/>
              </w:rPr>
              <w:t>−</w:t>
            </w:r>
          </w:p>
        </w:tc>
        <w:tc>
          <w:tcPr>
            <w:tcW w:w="1134" w:type="dxa"/>
            <w:noWrap/>
            <w:hideMark/>
          </w:tcPr>
          <w:p w14:paraId="01AF9453" w14:textId="77777777" w:rsidR="00B469E0" w:rsidRPr="00A32804" w:rsidRDefault="00B469E0" w:rsidP="00B65C06">
            <w:pPr>
              <w:pStyle w:val="Tabletext"/>
              <w:jc w:val="center"/>
              <w:rPr>
                <w:lang w:val="es-ES"/>
              </w:rPr>
            </w:pPr>
            <w:bookmarkStart w:id="76" w:name="lt_pId1095"/>
            <w:bookmarkEnd w:id="76"/>
          </w:p>
        </w:tc>
        <w:tc>
          <w:tcPr>
            <w:tcW w:w="1218" w:type="dxa"/>
            <w:noWrap/>
            <w:hideMark/>
          </w:tcPr>
          <w:p w14:paraId="47D9E4EF" w14:textId="77777777" w:rsidR="00B469E0" w:rsidRPr="00A32804" w:rsidRDefault="00B469E0" w:rsidP="00B65C06">
            <w:pPr>
              <w:pStyle w:val="Tabletext"/>
              <w:jc w:val="center"/>
              <w:rPr>
                <w:lang w:val="es-ES"/>
              </w:rPr>
            </w:pPr>
            <w:r w:rsidRPr="00A32804">
              <w:rPr>
                <w:lang w:val="es-ES"/>
              </w:rPr>
              <w:t>−</w:t>
            </w:r>
          </w:p>
        </w:tc>
        <w:tc>
          <w:tcPr>
            <w:tcW w:w="1067" w:type="dxa"/>
            <w:noWrap/>
            <w:hideMark/>
          </w:tcPr>
          <w:p w14:paraId="0D3078D1" w14:textId="77777777" w:rsidR="00B469E0" w:rsidRPr="00A32804" w:rsidRDefault="00B469E0" w:rsidP="00B65C06">
            <w:pPr>
              <w:pStyle w:val="Tabletext"/>
              <w:jc w:val="center"/>
              <w:rPr>
                <w:lang w:val="es-ES"/>
              </w:rPr>
            </w:pPr>
            <w:r w:rsidRPr="00A32804">
              <w:rPr>
                <w:lang w:val="es-ES"/>
              </w:rPr>
              <w:t>−</w:t>
            </w:r>
          </w:p>
        </w:tc>
      </w:tr>
      <w:tr w:rsidR="00B469E0" w:rsidRPr="00A32804" w14:paraId="4750F27F" w14:textId="77777777" w:rsidTr="00B65C06">
        <w:trPr>
          <w:jc w:val="center"/>
        </w:trPr>
        <w:tc>
          <w:tcPr>
            <w:tcW w:w="2711" w:type="dxa"/>
            <w:noWrap/>
            <w:hideMark/>
          </w:tcPr>
          <w:p w14:paraId="30E84E49" w14:textId="77777777" w:rsidR="00B469E0" w:rsidRPr="00A32804" w:rsidRDefault="00B469E0" w:rsidP="00B65C06">
            <w:pPr>
              <w:pStyle w:val="Tabletext"/>
              <w:rPr>
                <w:lang w:val="es-ES"/>
              </w:rPr>
            </w:pPr>
            <w:bookmarkStart w:id="77" w:name="lt_pId1098"/>
            <w:r w:rsidRPr="00A32804">
              <w:rPr>
                <w:lang w:val="es-ES"/>
              </w:rPr>
              <w:t>Mesoamérica</w:t>
            </w:r>
            <w:bookmarkEnd w:id="77"/>
          </w:p>
        </w:tc>
        <w:tc>
          <w:tcPr>
            <w:tcW w:w="1596" w:type="dxa"/>
            <w:noWrap/>
            <w:hideMark/>
          </w:tcPr>
          <w:p w14:paraId="5B101C3C" w14:textId="77777777" w:rsidR="00B469E0" w:rsidRPr="00A32804" w:rsidRDefault="00B469E0" w:rsidP="00B65C06">
            <w:pPr>
              <w:pStyle w:val="Tabletext"/>
              <w:jc w:val="center"/>
              <w:rPr>
                <w:lang w:val="es-ES"/>
              </w:rPr>
            </w:pPr>
            <w:bookmarkStart w:id="78" w:name="lt_pId1099"/>
            <w:r w:rsidRPr="00A32804">
              <w:rPr>
                <w:lang w:val="es-ES"/>
              </w:rPr>
              <w:t>Español</w:t>
            </w:r>
            <w:bookmarkEnd w:id="78"/>
            <w:r w:rsidRPr="00A32804">
              <w:rPr>
                <w:lang w:val="es-ES"/>
              </w:rPr>
              <w:t>/inglés</w:t>
            </w:r>
          </w:p>
        </w:tc>
        <w:tc>
          <w:tcPr>
            <w:tcW w:w="1903" w:type="dxa"/>
            <w:noWrap/>
            <w:hideMark/>
          </w:tcPr>
          <w:p w14:paraId="14182236" w14:textId="77777777" w:rsidR="00B469E0" w:rsidRPr="00A32804" w:rsidRDefault="00B469E0" w:rsidP="00B65C06">
            <w:pPr>
              <w:pStyle w:val="Tabletext"/>
              <w:jc w:val="center"/>
              <w:rPr>
                <w:lang w:val="es-ES"/>
              </w:rPr>
            </w:pPr>
            <w:r w:rsidRPr="00A32804">
              <w:rPr>
                <w:lang w:val="es-ES"/>
              </w:rPr>
              <w:t>−</w:t>
            </w:r>
          </w:p>
        </w:tc>
        <w:tc>
          <w:tcPr>
            <w:tcW w:w="1134" w:type="dxa"/>
            <w:noWrap/>
            <w:hideMark/>
          </w:tcPr>
          <w:p w14:paraId="7CE5211E" w14:textId="77777777" w:rsidR="00B469E0" w:rsidRPr="00A32804" w:rsidRDefault="00B469E0" w:rsidP="00B65C06">
            <w:pPr>
              <w:pStyle w:val="Tabletext"/>
              <w:jc w:val="center"/>
              <w:rPr>
                <w:lang w:val="es-ES"/>
              </w:rPr>
            </w:pPr>
            <w:r w:rsidRPr="00A32804">
              <w:rPr>
                <w:lang w:val="es-ES"/>
              </w:rPr>
              <w:t>16-20 de junio</w:t>
            </w:r>
          </w:p>
          <w:p w14:paraId="7D34823E" w14:textId="77777777" w:rsidR="00B469E0" w:rsidRPr="00A32804" w:rsidRDefault="00B469E0" w:rsidP="00B65C06">
            <w:pPr>
              <w:pStyle w:val="Tabletext"/>
              <w:jc w:val="center"/>
              <w:rPr>
                <w:lang w:val="es-ES"/>
              </w:rPr>
            </w:pPr>
            <w:r w:rsidRPr="00A32804">
              <w:rPr>
                <w:lang w:val="es-ES"/>
              </w:rPr>
              <w:t>Tegucigalpa, Honduras</w:t>
            </w:r>
          </w:p>
        </w:tc>
        <w:tc>
          <w:tcPr>
            <w:tcW w:w="1218" w:type="dxa"/>
            <w:noWrap/>
            <w:hideMark/>
          </w:tcPr>
          <w:p w14:paraId="62757896" w14:textId="77777777" w:rsidR="00B469E0" w:rsidRPr="00A32804" w:rsidRDefault="00B469E0" w:rsidP="00B65C06">
            <w:pPr>
              <w:pStyle w:val="Tabletext"/>
              <w:jc w:val="center"/>
              <w:rPr>
                <w:lang w:val="es-ES"/>
              </w:rPr>
            </w:pPr>
            <w:bookmarkStart w:id="79" w:name="lt_pId1102"/>
            <w:r w:rsidRPr="00A32804">
              <w:rPr>
                <w:lang w:val="es-ES"/>
              </w:rPr>
              <w:t>Junio</w:t>
            </w:r>
            <w:bookmarkEnd w:id="79"/>
          </w:p>
        </w:tc>
        <w:tc>
          <w:tcPr>
            <w:tcW w:w="1067" w:type="dxa"/>
            <w:hideMark/>
          </w:tcPr>
          <w:p w14:paraId="4F9FFA44" w14:textId="77777777" w:rsidR="00B469E0" w:rsidRPr="00A32804" w:rsidRDefault="00B469E0" w:rsidP="00B65C06">
            <w:pPr>
              <w:pStyle w:val="Tabletext"/>
              <w:jc w:val="center"/>
              <w:rPr>
                <w:lang w:val="es-ES"/>
              </w:rPr>
            </w:pPr>
            <w:r w:rsidRPr="00A32804">
              <w:rPr>
                <w:lang w:val="es-ES"/>
              </w:rPr>
              <w:t>−</w:t>
            </w:r>
          </w:p>
        </w:tc>
      </w:tr>
      <w:tr w:rsidR="00B469E0" w:rsidRPr="00A32804" w14:paraId="007086FB" w14:textId="77777777" w:rsidTr="00B65C06">
        <w:trPr>
          <w:jc w:val="center"/>
        </w:trPr>
        <w:tc>
          <w:tcPr>
            <w:tcW w:w="9629" w:type="dxa"/>
            <w:gridSpan w:val="6"/>
            <w:shd w:val="clear" w:color="auto" w:fill="F2F2F2" w:themeFill="background1" w:themeFillShade="F2"/>
            <w:hideMark/>
          </w:tcPr>
          <w:p w14:paraId="0773CC47" w14:textId="77777777" w:rsidR="00B469E0" w:rsidRPr="00A32804" w:rsidRDefault="00B469E0" w:rsidP="00B65C06">
            <w:pPr>
              <w:pStyle w:val="Tabletext"/>
              <w:rPr>
                <w:b/>
                <w:bCs/>
                <w:lang w:val="es-ES"/>
              </w:rPr>
            </w:pPr>
            <w:bookmarkStart w:id="80" w:name="lt_pId1104"/>
            <w:r w:rsidRPr="00A32804">
              <w:rPr>
                <w:b/>
                <w:bCs/>
                <w:lang w:val="es-ES"/>
              </w:rPr>
              <w:t>Asia-Pacífico: APC (3)</w:t>
            </w:r>
            <w:bookmarkEnd w:id="80"/>
          </w:p>
        </w:tc>
      </w:tr>
      <w:tr w:rsidR="00B469E0" w:rsidRPr="00A32804" w14:paraId="18FC8EFC" w14:textId="77777777" w:rsidTr="00B65C06">
        <w:trPr>
          <w:jc w:val="center"/>
        </w:trPr>
        <w:tc>
          <w:tcPr>
            <w:tcW w:w="2711" w:type="dxa"/>
            <w:noWrap/>
          </w:tcPr>
          <w:p w14:paraId="77F6EDB9" w14:textId="77777777" w:rsidR="00B469E0" w:rsidRPr="00A32804" w:rsidRDefault="00B469E0" w:rsidP="00B65C06">
            <w:pPr>
              <w:pStyle w:val="Tabletext"/>
              <w:rPr>
                <w:lang w:val="es-ES"/>
              </w:rPr>
            </w:pPr>
            <w:bookmarkStart w:id="81" w:name="lt_pId1105"/>
            <w:r w:rsidRPr="00A32804">
              <w:rPr>
                <w:lang w:val="es-ES"/>
              </w:rPr>
              <w:t>Estados insulares del Pacífico</w:t>
            </w:r>
            <w:bookmarkEnd w:id="81"/>
          </w:p>
        </w:tc>
        <w:tc>
          <w:tcPr>
            <w:tcW w:w="1596" w:type="dxa"/>
            <w:noWrap/>
          </w:tcPr>
          <w:p w14:paraId="570AC84B" w14:textId="77777777" w:rsidR="00B469E0" w:rsidRPr="00A32804" w:rsidRDefault="00B469E0" w:rsidP="00B65C06">
            <w:pPr>
              <w:pStyle w:val="Tabletext"/>
              <w:jc w:val="center"/>
              <w:rPr>
                <w:lang w:val="es-ES"/>
              </w:rPr>
            </w:pPr>
            <w:bookmarkStart w:id="82" w:name="lt_pId1106"/>
            <w:r w:rsidRPr="00A32804">
              <w:rPr>
                <w:lang w:val="es-ES"/>
              </w:rPr>
              <w:t>Inglés</w:t>
            </w:r>
            <w:bookmarkEnd w:id="82"/>
          </w:p>
        </w:tc>
        <w:tc>
          <w:tcPr>
            <w:tcW w:w="1903" w:type="dxa"/>
            <w:noWrap/>
            <w:hideMark/>
          </w:tcPr>
          <w:p w14:paraId="53B2D4D0" w14:textId="77777777" w:rsidR="00B469E0" w:rsidRPr="00A32804" w:rsidRDefault="00B469E0" w:rsidP="00B65C06">
            <w:pPr>
              <w:pStyle w:val="Tabletext"/>
              <w:jc w:val="center"/>
              <w:rPr>
                <w:lang w:val="es-ES"/>
              </w:rPr>
            </w:pPr>
            <w:r w:rsidRPr="00A32804">
              <w:rPr>
                <w:lang w:val="es-ES"/>
              </w:rPr>
              <w:t>16-21 de septiembre</w:t>
            </w:r>
          </w:p>
          <w:p w14:paraId="0E9B1B2A" w14:textId="77777777" w:rsidR="00B469E0" w:rsidRPr="00A32804" w:rsidRDefault="00B469E0" w:rsidP="00B65C06">
            <w:pPr>
              <w:pStyle w:val="Tabletext"/>
              <w:jc w:val="center"/>
              <w:rPr>
                <w:lang w:val="es-ES"/>
              </w:rPr>
            </w:pPr>
            <w:r w:rsidRPr="00A32804">
              <w:rPr>
                <w:lang w:val="es-ES"/>
              </w:rPr>
              <w:t>Apia, Samoa</w:t>
            </w:r>
          </w:p>
        </w:tc>
        <w:tc>
          <w:tcPr>
            <w:tcW w:w="1134" w:type="dxa"/>
            <w:noWrap/>
            <w:hideMark/>
          </w:tcPr>
          <w:p w14:paraId="6F6DC770" w14:textId="77777777" w:rsidR="00B469E0" w:rsidRPr="00A32804" w:rsidRDefault="00B469E0" w:rsidP="00B65C06">
            <w:pPr>
              <w:pStyle w:val="Tabletext"/>
              <w:jc w:val="center"/>
              <w:rPr>
                <w:lang w:val="es-ES"/>
              </w:rPr>
            </w:pPr>
            <w:r w:rsidRPr="00A32804">
              <w:rPr>
                <w:lang w:val="es-ES"/>
              </w:rPr>
              <w:t>−</w:t>
            </w:r>
          </w:p>
        </w:tc>
        <w:tc>
          <w:tcPr>
            <w:tcW w:w="1218" w:type="dxa"/>
            <w:hideMark/>
          </w:tcPr>
          <w:p w14:paraId="618901D5" w14:textId="77777777" w:rsidR="00B469E0" w:rsidRPr="00A32804" w:rsidRDefault="00B469E0" w:rsidP="00B65C06">
            <w:pPr>
              <w:pStyle w:val="Tabletext"/>
              <w:jc w:val="center"/>
              <w:rPr>
                <w:lang w:val="es-ES"/>
              </w:rPr>
            </w:pPr>
            <w:r w:rsidRPr="00A32804">
              <w:rPr>
                <w:lang w:val="es-ES"/>
              </w:rPr>
              <w:t>−</w:t>
            </w:r>
          </w:p>
        </w:tc>
        <w:tc>
          <w:tcPr>
            <w:tcW w:w="1067" w:type="dxa"/>
            <w:noWrap/>
            <w:hideMark/>
          </w:tcPr>
          <w:p w14:paraId="601822D1" w14:textId="77777777" w:rsidR="00B469E0" w:rsidRPr="00A32804" w:rsidRDefault="00B469E0" w:rsidP="00B65C06">
            <w:pPr>
              <w:pStyle w:val="Tabletext"/>
              <w:jc w:val="center"/>
              <w:rPr>
                <w:lang w:val="es-ES"/>
              </w:rPr>
            </w:pPr>
            <w:r w:rsidRPr="00A32804">
              <w:rPr>
                <w:lang w:val="es-ES"/>
              </w:rPr>
              <w:t>−</w:t>
            </w:r>
          </w:p>
        </w:tc>
      </w:tr>
      <w:tr w:rsidR="00B469E0" w:rsidRPr="00A32804" w14:paraId="2E1F8531" w14:textId="77777777" w:rsidTr="00B65C06">
        <w:trPr>
          <w:jc w:val="center"/>
        </w:trPr>
        <w:tc>
          <w:tcPr>
            <w:tcW w:w="2711" w:type="dxa"/>
            <w:noWrap/>
            <w:hideMark/>
          </w:tcPr>
          <w:p w14:paraId="2C0611F8" w14:textId="77777777" w:rsidR="00B469E0" w:rsidRPr="00A32804" w:rsidRDefault="00B469E0" w:rsidP="00B65C06">
            <w:pPr>
              <w:pStyle w:val="Tabletext"/>
              <w:rPr>
                <w:lang w:val="es-ES"/>
              </w:rPr>
            </w:pPr>
            <w:bookmarkStart w:id="83" w:name="lt_pId1112"/>
            <w:r w:rsidRPr="00A32804">
              <w:rPr>
                <w:lang w:val="es-ES"/>
              </w:rPr>
              <w:t>Asia Meridional</w:t>
            </w:r>
            <w:bookmarkEnd w:id="83"/>
          </w:p>
        </w:tc>
        <w:tc>
          <w:tcPr>
            <w:tcW w:w="1596" w:type="dxa"/>
            <w:noWrap/>
            <w:hideMark/>
          </w:tcPr>
          <w:p w14:paraId="7FEC2850" w14:textId="77777777" w:rsidR="00B469E0" w:rsidRPr="00A32804" w:rsidRDefault="00B469E0" w:rsidP="00B65C06">
            <w:pPr>
              <w:pStyle w:val="Tabletext"/>
              <w:jc w:val="center"/>
              <w:rPr>
                <w:lang w:val="es-ES"/>
              </w:rPr>
            </w:pPr>
            <w:bookmarkStart w:id="84" w:name="lt_pId1113"/>
            <w:r w:rsidRPr="00A32804">
              <w:rPr>
                <w:lang w:val="es-ES"/>
              </w:rPr>
              <w:t>Inglés</w:t>
            </w:r>
            <w:bookmarkEnd w:id="84"/>
          </w:p>
        </w:tc>
        <w:tc>
          <w:tcPr>
            <w:tcW w:w="1903" w:type="dxa"/>
            <w:hideMark/>
          </w:tcPr>
          <w:p w14:paraId="21D3815F" w14:textId="77777777" w:rsidR="00B469E0" w:rsidRPr="00A32804" w:rsidRDefault="00B469E0" w:rsidP="00B65C06">
            <w:pPr>
              <w:pStyle w:val="Tabletext"/>
              <w:jc w:val="center"/>
              <w:rPr>
                <w:lang w:val="es-ES"/>
              </w:rPr>
            </w:pPr>
            <w:r w:rsidRPr="00A32804">
              <w:rPr>
                <w:lang w:val="es-ES"/>
              </w:rPr>
              <w:t>−</w:t>
            </w:r>
          </w:p>
        </w:tc>
        <w:tc>
          <w:tcPr>
            <w:tcW w:w="1134" w:type="dxa"/>
            <w:noWrap/>
            <w:hideMark/>
          </w:tcPr>
          <w:p w14:paraId="4A16DA2D" w14:textId="77777777" w:rsidR="00B469E0" w:rsidRPr="00A32804" w:rsidRDefault="00B469E0" w:rsidP="00B65C06">
            <w:pPr>
              <w:pStyle w:val="Tabletext"/>
              <w:jc w:val="center"/>
              <w:rPr>
                <w:lang w:val="es-ES"/>
              </w:rPr>
            </w:pPr>
            <w:r w:rsidRPr="00A32804">
              <w:rPr>
                <w:lang w:val="es-ES"/>
              </w:rPr>
              <w:t>15-19 de septiembre</w:t>
            </w:r>
            <w:r w:rsidRPr="00A32804">
              <w:rPr>
                <w:lang w:val="es-ES"/>
              </w:rPr>
              <w:br/>
              <w:t xml:space="preserve">China </w:t>
            </w:r>
          </w:p>
          <w:p w14:paraId="69BCC0D2" w14:textId="77777777" w:rsidR="00B469E0" w:rsidRPr="00A32804" w:rsidRDefault="00B469E0" w:rsidP="00B65C06">
            <w:pPr>
              <w:pStyle w:val="Tabletext"/>
              <w:jc w:val="center"/>
              <w:rPr>
                <w:lang w:val="es-ES"/>
              </w:rPr>
            </w:pPr>
            <w:r w:rsidRPr="00A32804">
              <w:rPr>
                <w:lang w:val="es-ES"/>
              </w:rPr>
              <w:t>(lugar y fechas por confirmar)</w:t>
            </w:r>
          </w:p>
        </w:tc>
        <w:tc>
          <w:tcPr>
            <w:tcW w:w="1218" w:type="dxa"/>
            <w:noWrap/>
            <w:hideMark/>
          </w:tcPr>
          <w:p w14:paraId="093E1547" w14:textId="77777777" w:rsidR="00B469E0" w:rsidRPr="00A32804" w:rsidRDefault="00B469E0" w:rsidP="00B65C06">
            <w:pPr>
              <w:pStyle w:val="Tabletext"/>
              <w:jc w:val="center"/>
              <w:rPr>
                <w:lang w:val="es-ES"/>
              </w:rPr>
            </w:pPr>
            <w:r w:rsidRPr="00A32804">
              <w:rPr>
                <w:lang w:val="es-ES"/>
              </w:rPr>
              <w:t>−</w:t>
            </w:r>
          </w:p>
        </w:tc>
        <w:tc>
          <w:tcPr>
            <w:tcW w:w="1067" w:type="dxa"/>
            <w:noWrap/>
            <w:hideMark/>
          </w:tcPr>
          <w:p w14:paraId="2DC3083B" w14:textId="77777777" w:rsidR="00B469E0" w:rsidRPr="00A32804" w:rsidRDefault="00B469E0" w:rsidP="00B65C06">
            <w:pPr>
              <w:pStyle w:val="Tabletext"/>
              <w:jc w:val="center"/>
              <w:rPr>
                <w:lang w:val="es-ES"/>
              </w:rPr>
            </w:pPr>
            <w:r w:rsidRPr="00A32804">
              <w:rPr>
                <w:lang w:val="es-ES"/>
              </w:rPr>
              <w:t>−</w:t>
            </w:r>
          </w:p>
        </w:tc>
      </w:tr>
      <w:tr w:rsidR="00B469E0" w:rsidRPr="00A32804" w14:paraId="276B52D5" w14:textId="77777777" w:rsidTr="00B65C06">
        <w:trPr>
          <w:jc w:val="center"/>
        </w:trPr>
        <w:tc>
          <w:tcPr>
            <w:tcW w:w="2711" w:type="dxa"/>
            <w:noWrap/>
          </w:tcPr>
          <w:p w14:paraId="0A4586C4" w14:textId="77777777" w:rsidR="00B469E0" w:rsidRPr="00A32804" w:rsidRDefault="00B469E0" w:rsidP="00B65C06">
            <w:pPr>
              <w:pStyle w:val="Tabletext"/>
              <w:rPr>
                <w:lang w:val="es-ES"/>
              </w:rPr>
            </w:pPr>
            <w:bookmarkStart w:id="85" w:name="lt_pId1118"/>
            <w:r w:rsidRPr="00A32804">
              <w:rPr>
                <w:lang w:val="es-ES"/>
              </w:rPr>
              <w:t>Asia Central</w:t>
            </w:r>
            <w:bookmarkEnd w:id="85"/>
          </w:p>
        </w:tc>
        <w:tc>
          <w:tcPr>
            <w:tcW w:w="1596" w:type="dxa"/>
            <w:noWrap/>
          </w:tcPr>
          <w:p w14:paraId="284FB824" w14:textId="77777777" w:rsidR="00B469E0" w:rsidRPr="00A32804" w:rsidRDefault="00B469E0" w:rsidP="00B65C06">
            <w:pPr>
              <w:pStyle w:val="Tabletext"/>
              <w:jc w:val="center"/>
              <w:rPr>
                <w:lang w:val="es-ES"/>
              </w:rPr>
            </w:pPr>
            <w:bookmarkStart w:id="86" w:name="lt_pId1119"/>
            <w:r w:rsidRPr="00A32804">
              <w:rPr>
                <w:lang w:val="es-ES"/>
              </w:rPr>
              <w:t>Inglés</w:t>
            </w:r>
            <w:bookmarkEnd w:id="86"/>
          </w:p>
        </w:tc>
        <w:tc>
          <w:tcPr>
            <w:tcW w:w="1903" w:type="dxa"/>
            <w:noWrap/>
          </w:tcPr>
          <w:p w14:paraId="1557F3A1" w14:textId="77777777" w:rsidR="00B469E0" w:rsidRPr="00A32804" w:rsidRDefault="00B469E0" w:rsidP="00B65C06">
            <w:pPr>
              <w:pStyle w:val="Tabletext"/>
              <w:jc w:val="center"/>
              <w:rPr>
                <w:lang w:val="es-ES"/>
              </w:rPr>
            </w:pPr>
            <w:r w:rsidRPr="00A32804">
              <w:rPr>
                <w:lang w:val="es-ES"/>
              </w:rPr>
              <w:t>−</w:t>
            </w:r>
          </w:p>
        </w:tc>
        <w:tc>
          <w:tcPr>
            <w:tcW w:w="1134" w:type="dxa"/>
          </w:tcPr>
          <w:p w14:paraId="6A2A23F4" w14:textId="77777777" w:rsidR="00B469E0" w:rsidRPr="00A32804" w:rsidRDefault="00B469E0" w:rsidP="00B65C06">
            <w:pPr>
              <w:pStyle w:val="Tabletext"/>
              <w:jc w:val="center"/>
              <w:rPr>
                <w:lang w:val="es-ES"/>
              </w:rPr>
            </w:pPr>
            <w:r w:rsidRPr="00A32804">
              <w:rPr>
                <w:lang w:val="es-ES"/>
              </w:rPr>
              <w:t>−</w:t>
            </w:r>
          </w:p>
        </w:tc>
        <w:tc>
          <w:tcPr>
            <w:tcW w:w="1218" w:type="dxa"/>
            <w:noWrap/>
          </w:tcPr>
          <w:p w14:paraId="6DB237E1" w14:textId="77777777" w:rsidR="00B469E0" w:rsidRPr="00A32804" w:rsidRDefault="00B469E0" w:rsidP="00B65C06">
            <w:pPr>
              <w:pStyle w:val="Tabletext"/>
              <w:jc w:val="center"/>
              <w:rPr>
                <w:lang w:val="es-ES"/>
              </w:rPr>
            </w:pPr>
            <w:bookmarkStart w:id="87" w:name="lt_pId1122"/>
            <w:r w:rsidRPr="00A32804">
              <w:rPr>
                <w:lang w:val="es-ES"/>
              </w:rPr>
              <w:t>Septiembre</w:t>
            </w:r>
            <w:bookmarkEnd w:id="87"/>
          </w:p>
        </w:tc>
        <w:tc>
          <w:tcPr>
            <w:tcW w:w="1067" w:type="dxa"/>
            <w:noWrap/>
          </w:tcPr>
          <w:p w14:paraId="6916B6AF" w14:textId="77777777" w:rsidR="00B469E0" w:rsidRPr="00A32804" w:rsidRDefault="00B469E0" w:rsidP="00B65C06">
            <w:pPr>
              <w:pStyle w:val="Tabletext"/>
              <w:jc w:val="center"/>
              <w:rPr>
                <w:lang w:val="es-ES"/>
              </w:rPr>
            </w:pPr>
            <w:r w:rsidRPr="00A32804">
              <w:rPr>
                <w:lang w:val="es-ES"/>
              </w:rPr>
              <w:t>−</w:t>
            </w:r>
          </w:p>
        </w:tc>
      </w:tr>
      <w:tr w:rsidR="00B469E0" w:rsidRPr="00A32804" w14:paraId="24E2D536" w14:textId="77777777" w:rsidTr="00B65C06">
        <w:trPr>
          <w:jc w:val="center"/>
        </w:trPr>
        <w:tc>
          <w:tcPr>
            <w:tcW w:w="2711" w:type="dxa"/>
            <w:shd w:val="clear" w:color="auto" w:fill="F2F2F2" w:themeFill="background1" w:themeFillShade="F2"/>
            <w:hideMark/>
          </w:tcPr>
          <w:p w14:paraId="5B558780" w14:textId="77777777" w:rsidR="00B469E0" w:rsidRPr="00A32804" w:rsidRDefault="00B469E0" w:rsidP="00B65C06">
            <w:pPr>
              <w:pStyle w:val="Tabletext"/>
              <w:rPr>
                <w:b/>
                <w:bCs/>
                <w:lang w:val="es-ES"/>
              </w:rPr>
            </w:pPr>
            <w:bookmarkStart w:id="88" w:name="lt_pId1124"/>
            <w:r w:rsidRPr="00A32804">
              <w:rPr>
                <w:b/>
                <w:bCs/>
                <w:lang w:val="es-ES"/>
              </w:rPr>
              <w:t>Estados Árabes: ARB (1)</w:t>
            </w:r>
            <w:bookmarkEnd w:id="88"/>
          </w:p>
        </w:tc>
        <w:tc>
          <w:tcPr>
            <w:tcW w:w="1596" w:type="dxa"/>
            <w:hideMark/>
          </w:tcPr>
          <w:p w14:paraId="7B3C1655" w14:textId="77777777" w:rsidR="00B469E0" w:rsidRPr="00A32804" w:rsidRDefault="00B469E0" w:rsidP="00B65C06">
            <w:pPr>
              <w:pStyle w:val="Tabletext"/>
              <w:jc w:val="center"/>
              <w:rPr>
                <w:lang w:val="es-ES"/>
              </w:rPr>
            </w:pPr>
            <w:bookmarkStart w:id="89" w:name="lt_pId1125"/>
            <w:r w:rsidRPr="00A32804">
              <w:rPr>
                <w:lang w:val="es-ES"/>
              </w:rPr>
              <w:t>Árabe/inglés</w:t>
            </w:r>
            <w:bookmarkEnd w:id="89"/>
          </w:p>
        </w:tc>
        <w:tc>
          <w:tcPr>
            <w:tcW w:w="1903" w:type="dxa"/>
            <w:noWrap/>
          </w:tcPr>
          <w:p w14:paraId="4B31BD1B" w14:textId="77777777" w:rsidR="00B469E0" w:rsidRPr="00A32804" w:rsidRDefault="00B469E0" w:rsidP="00B65C06">
            <w:pPr>
              <w:pStyle w:val="Tabletext"/>
              <w:jc w:val="center"/>
              <w:rPr>
                <w:lang w:val="es-ES"/>
              </w:rPr>
            </w:pPr>
            <w:r w:rsidRPr="00A32804">
              <w:rPr>
                <w:lang w:val="es-ES"/>
              </w:rPr>
              <w:t>−</w:t>
            </w:r>
          </w:p>
        </w:tc>
        <w:tc>
          <w:tcPr>
            <w:tcW w:w="1134" w:type="dxa"/>
            <w:noWrap/>
            <w:hideMark/>
          </w:tcPr>
          <w:p w14:paraId="4E3082F5" w14:textId="77777777" w:rsidR="00B469E0" w:rsidRPr="00A32804" w:rsidRDefault="00B469E0" w:rsidP="00B65C06">
            <w:pPr>
              <w:pStyle w:val="Tabletext"/>
              <w:jc w:val="center"/>
              <w:rPr>
                <w:lang w:val="es-ES"/>
              </w:rPr>
            </w:pPr>
            <w:r w:rsidRPr="00A32804">
              <w:rPr>
                <w:lang w:val="es-ES"/>
              </w:rPr>
              <w:t>−</w:t>
            </w:r>
          </w:p>
        </w:tc>
        <w:tc>
          <w:tcPr>
            <w:tcW w:w="1218" w:type="dxa"/>
            <w:noWrap/>
            <w:hideMark/>
          </w:tcPr>
          <w:p w14:paraId="361CDC27" w14:textId="77777777" w:rsidR="00B469E0" w:rsidRPr="00A32804" w:rsidRDefault="00B469E0" w:rsidP="00B65C06">
            <w:pPr>
              <w:pStyle w:val="Tabletext"/>
              <w:jc w:val="center"/>
              <w:rPr>
                <w:lang w:val="es-ES"/>
              </w:rPr>
            </w:pPr>
            <w:bookmarkStart w:id="90" w:name="lt_pId1129"/>
            <w:r w:rsidRPr="00A32804">
              <w:rPr>
                <w:lang w:val="es-ES"/>
              </w:rPr>
              <w:t>Febrero</w:t>
            </w:r>
            <w:bookmarkEnd w:id="90"/>
          </w:p>
        </w:tc>
        <w:tc>
          <w:tcPr>
            <w:tcW w:w="1067" w:type="dxa"/>
            <w:noWrap/>
            <w:hideMark/>
          </w:tcPr>
          <w:p w14:paraId="0C369445" w14:textId="77777777" w:rsidR="00B469E0" w:rsidRPr="00A32804" w:rsidRDefault="00B469E0" w:rsidP="00B65C06">
            <w:pPr>
              <w:pStyle w:val="Tabletext"/>
              <w:jc w:val="center"/>
              <w:rPr>
                <w:lang w:val="es-ES"/>
              </w:rPr>
            </w:pPr>
            <w:r w:rsidRPr="00A32804">
              <w:rPr>
                <w:lang w:val="es-ES"/>
              </w:rPr>
              <w:t>−</w:t>
            </w:r>
          </w:p>
        </w:tc>
      </w:tr>
      <w:tr w:rsidR="00B469E0" w:rsidRPr="00A32804" w14:paraId="08DC1F9D" w14:textId="77777777" w:rsidTr="00B65C06">
        <w:trPr>
          <w:jc w:val="center"/>
        </w:trPr>
        <w:tc>
          <w:tcPr>
            <w:tcW w:w="2711" w:type="dxa"/>
            <w:shd w:val="clear" w:color="auto" w:fill="F2F2F2" w:themeFill="background1" w:themeFillShade="F2"/>
            <w:hideMark/>
          </w:tcPr>
          <w:p w14:paraId="2D1A50A9" w14:textId="77777777" w:rsidR="00B469E0" w:rsidRPr="00A32804" w:rsidRDefault="00B469E0" w:rsidP="00B65C06">
            <w:pPr>
              <w:pStyle w:val="Tabletext"/>
              <w:rPr>
                <w:b/>
                <w:bCs/>
                <w:lang w:val="es-ES"/>
              </w:rPr>
            </w:pPr>
            <w:bookmarkStart w:id="91" w:name="lt_pId1130"/>
            <w:r w:rsidRPr="00A32804">
              <w:rPr>
                <w:b/>
                <w:bCs/>
                <w:lang w:val="es-ES"/>
              </w:rPr>
              <w:t>CEI y Europa Oriental (1)</w:t>
            </w:r>
            <w:bookmarkEnd w:id="91"/>
          </w:p>
        </w:tc>
        <w:tc>
          <w:tcPr>
            <w:tcW w:w="1596" w:type="dxa"/>
            <w:hideMark/>
          </w:tcPr>
          <w:p w14:paraId="65952747" w14:textId="77777777" w:rsidR="00B469E0" w:rsidRPr="00A32804" w:rsidRDefault="00B469E0" w:rsidP="00B65C06">
            <w:pPr>
              <w:pStyle w:val="Tabletext"/>
              <w:jc w:val="center"/>
              <w:rPr>
                <w:lang w:val="es-ES"/>
              </w:rPr>
            </w:pPr>
            <w:bookmarkStart w:id="92" w:name="lt_pId1131"/>
            <w:r w:rsidRPr="00A32804">
              <w:rPr>
                <w:lang w:val="es-ES"/>
              </w:rPr>
              <w:t>Ruso</w:t>
            </w:r>
            <w:bookmarkEnd w:id="92"/>
          </w:p>
        </w:tc>
        <w:tc>
          <w:tcPr>
            <w:tcW w:w="1903" w:type="dxa"/>
            <w:noWrap/>
            <w:hideMark/>
          </w:tcPr>
          <w:p w14:paraId="2610BE5D" w14:textId="77777777" w:rsidR="00B469E0" w:rsidRPr="00A32804" w:rsidRDefault="00B469E0" w:rsidP="00B65C06">
            <w:pPr>
              <w:pStyle w:val="Tabletext"/>
              <w:jc w:val="center"/>
              <w:rPr>
                <w:lang w:val="es-ES"/>
              </w:rPr>
            </w:pPr>
            <w:r w:rsidRPr="00A32804">
              <w:rPr>
                <w:lang w:val="es-ES"/>
              </w:rPr>
              <w:t>15-19 de abril</w:t>
            </w:r>
          </w:p>
          <w:p w14:paraId="6B63BB04" w14:textId="77777777" w:rsidR="00B469E0" w:rsidRPr="00A32804" w:rsidRDefault="00B469E0" w:rsidP="00B65C06">
            <w:pPr>
              <w:pStyle w:val="Tabletext"/>
              <w:jc w:val="center"/>
              <w:rPr>
                <w:lang w:val="es-ES"/>
              </w:rPr>
            </w:pPr>
            <w:bookmarkStart w:id="93" w:name="lt_pId1133"/>
            <w:r w:rsidRPr="00A32804">
              <w:rPr>
                <w:lang w:val="es-ES"/>
              </w:rPr>
              <w:t>Astaná, Kazajstán</w:t>
            </w:r>
            <w:bookmarkEnd w:id="93"/>
          </w:p>
        </w:tc>
        <w:tc>
          <w:tcPr>
            <w:tcW w:w="1134" w:type="dxa"/>
            <w:noWrap/>
            <w:hideMark/>
          </w:tcPr>
          <w:p w14:paraId="6C0A825C" w14:textId="77777777" w:rsidR="00B469E0" w:rsidRPr="00A32804" w:rsidRDefault="00B469E0" w:rsidP="00B65C06">
            <w:pPr>
              <w:pStyle w:val="Tabletext"/>
              <w:jc w:val="center"/>
              <w:rPr>
                <w:lang w:val="es-ES"/>
              </w:rPr>
            </w:pPr>
            <w:r w:rsidRPr="00A32804">
              <w:rPr>
                <w:lang w:val="es-ES"/>
              </w:rPr>
              <w:t>−</w:t>
            </w:r>
          </w:p>
        </w:tc>
        <w:tc>
          <w:tcPr>
            <w:tcW w:w="1218" w:type="dxa"/>
            <w:hideMark/>
          </w:tcPr>
          <w:p w14:paraId="6A37F1A4" w14:textId="77777777" w:rsidR="00B469E0" w:rsidRPr="00A32804" w:rsidRDefault="00B469E0" w:rsidP="00B65C06">
            <w:pPr>
              <w:pStyle w:val="Tabletext"/>
              <w:jc w:val="center"/>
              <w:rPr>
                <w:lang w:val="es-ES"/>
              </w:rPr>
            </w:pPr>
            <w:r w:rsidRPr="00A32804">
              <w:rPr>
                <w:lang w:val="es-ES"/>
              </w:rPr>
              <w:t>−</w:t>
            </w:r>
          </w:p>
        </w:tc>
        <w:tc>
          <w:tcPr>
            <w:tcW w:w="1067" w:type="dxa"/>
            <w:noWrap/>
            <w:hideMark/>
          </w:tcPr>
          <w:p w14:paraId="7F3E01E8" w14:textId="77777777" w:rsidR="00B469E0" w:rsidRPr="00A32804" w:rsidRDefault="00B469E0" w:rsidP="00B65C06">
            <w:pPr>
              <w:pStyle w:val="Tabletext"/>
              <w:jc w:val="center"/>
              <w:rPr>
                <w:lang w:val="es-ES"/>
              </w:rPr>
            </w:pPr>
            <w:r w:rsidRPr="00A32804">
              <w:rPr>
                <w:lang w:val="es-ES"/>
              </w:rPr>
              <w:t>−</w:t>
            </w:r>
          </w:p>
        </w:tc>
      </w:tr>
      <w:tr w:rsidR="00B469E0" w:rsidRPr="00A32804" w14:paraId="3CCA36A4" w14:textId="77777777" w:rsidTr="00B65C06">
        <w:trPr>
          <w:jc w:val="center"/>
        </w:trPr>
        <w:tc>
          <w:tcPr>
            <w:tcW w:w="2711" w:type="dxa"/>
            <w:shd w:val="clear" w:color="auto" w:fill="F2F2F2" w:themeFill="background1" w:themeFillShade="F2"/>
            <w:hideMark/>
          </w:tcPr>
          <w:p w14:paraId="7FB58719" w14:textId="77777777" w:rsidR="00B469E0" w:rsidRPr="00A32804" w:rsidRDefault="00B469E0" w:rsidP="00B65C06">
            <w:pPr>
              <w:pStyle w:val="Tabletext"/>
              <w:rPr>
                <w:b/>
                <w:bCs/>
                <w:lang w:val="es-ES"/>
              </w:rPr>
            </w:pPr>
            <w:bookmarkStart w:id="94" w:name="lt_pId1137"/>
            <w:r w:rsidRPr="00A32804">
              <w:rPr>
                <w:b/>
                <w:bCs/>
                <w:lang w:val="es-ES"/>
              </w:rPr>
              <w:t>Europa (1)</w:t>
            </w:r>
            <w:bookmarkEnd w:id="94"/>
          </w:p>
        </w:tc>
        <w:tc>
          <w:tcPr>
            <w:tcW w:w="1596" w:type="dxa"/>
            <w:hideMark/>
          </w:tcPr>
          <w:p w14:paraId="720CCBB5" w14:textId="77777777" w:rsidR="00B469E0" w:rsidRPr="00A32804" w:rsidRDefault="00B469E0" w:rsidP="00B65C06">
            <w:pPr>
              <w:pStyle w:val="Tabletext"/>
              <w:jc w:val="center"/>
              <w:rPr>
                <w:lang w:val="es-ES"/>
              </w:rPr>
            </w:pPr>
            <w:bookmarkStart w:id="95" w:name="lt_pId1138"/>
            <w:r w:rsidRPr="00A32804">
              <w:rPr>
                <w:lang w:val="es-ES"/>
              </w:rPr>
              <w:t>Inglés</w:t>
            </w:r>
            <w:bookmarkEnd w:id="95"/>
          </w:p>
        </w:tc>
        <w:tc>
          <w:tcPr>
            <w:tcW w:w="1903" w:type="dxa"/>
            <w:noWrap/>
            <w:hideMark/>
          </w:tcPr>
          <w:p w14:paraId="6FEFC1E2" w14:textId="77777777" w:rsidR="00B469E0" w:rsidRPr="00A32804" w:rsidRDefault="00B469E0" w:rsidP="00B65C06">
            <w:pPr>
              <w:pStyle w:val="Tabletext"/>
              <w:jc w:val="center"/>
              <w:rPr>
                <w:lang w:val="es-ES"/>
              </w:rPr>
            </w:pPr>
            <w:r w:rsidRPr="00A32804">
              <w:rPr>
                <w:lang w:val="es-ES"/>
              </w:rPr>
              <w:t>−</w:t>
            </w:r>
          </w:p>
        </w:tc>
        <w:tc>
          <w:tcPr>
            <w:tcW w:w="1134" w:type="dxa"/>
            <w:noWrap/>
            <w:hideMark/>
          </w:tcPr>
          <w:p w14:paraId="5BEDE0EE" w14:textId="77777777" w:rsidR="00B469E0" w:rsidRPr="00A32804" w:rsidRDefault="00B469E0" w:rsidP="00B65C06">
            <w:pPr>
              <w:pStyle w:val="Tabletext"/>
              <w:jc w:val="center"/>
              <w:rPr>
                <w:lang w:val="es-ES"/>
              </w:rPr>
            </w:pPr>
            <w:r w:rsidRPr="00A32804">
              <w:rPr>
                <w:lang w:val="es-ES"/>
              </w:rPr>
              <w:t>−</w:t>
            </w:r>
          </w:p>
        </w:tc>
        <w:tc>
          <w:tcPr>
            <w:tcW w:w="1218" w:type="dxa"/>
            <w:noWrap/>
            <w:hideMark/>
          </w:tcPr>
          <w:p w14:paraId="4FDADE9B" w14:textId="77777777" w:rsidR="00B469E0" w:rsidRPr="00A32804" w:rsidRDefault="00B469E0" w:rsidP="00B65C06">
            <w:pPr>
              <w:pStyle w:val="Tabletext"/>
              <w:jc w:val="center"/>
              <w:rPr>
                <w:lang w:val="es-ES"/>
              </w:rPr>
            </w:pPr>
            <w:r w:rsidRPr="00A32804">
              <w:rPr>
                <w:lang w:val="es-ES"/>
              </w:rPr>
              <w:t>−</w:t>
            </w:r>
          </w:p>
        </w:tc>
        <w:tc>
          <w:tcPr>
            <w:tcW w:w="1067" w:type="dxa"/>
            <w:hideMark/>
          </w:tcPr>
          <w:p w14:paraId="1A9AB97A" w14:textId="77777777" w:rsidR="00B469E0" w:rsidRPr="00A32804" w:rsidRDefault="00B469E0" w:rsidP="00B65C06">
            <w:pPr>
              <w:pStyle w:val="Tabletext"/>
              <w:jc w:val="center"/>
              <w:rPr>
                <w:lang w:val="es-ES"/>
              </w:rPr>
            </w:pPr>
            <w:bookmarkStart w:id="96" w:name="lt_pId1142"/>
            <w:r w:rsidRPr="00A32804">
              <w:rPr>
                <w:lang w:val="es-ES"/>
              </w:rPr>
              <w:t>Abril</w:t>
            </w:r>
            <w:bookmarkEnd w:id="96"/>
          </w:p>
        </w:tc>
      </w:tr>
    </w:tbl>
    <w:p w14:paraId="349F09B2" w14:textId="77777777" w:rsidR="00B469E0" w:rsidRPr="00A32804" w:rsidRDefault="00B469E0" w:rsidP="00B469E0">
      <w:pPr>
        <w:rPr>
          <w:lang w:val="es-ES"/>
        </w:rPr>
      </w:pPr>
      <w:r w:rsidRPr="00A32804">
        <w:rPr>
          <w:lang w:val="es-ES"/>
        </w:rPr>
        <w:t>Como en ciclos anteriores y para optimizar los recursos necesarios, la planificación propuesta responde a los siguientes principios:</w:t>
      </w:r>
    </w:p>
    <w:p w14:paraId="5443BC84" w14:textId="77777777" w:rsidR="00B469E0" w:rsidRDefault="00B469E0" w:rsidP="00B469E0">
      <w:pPr>
        <w:pStyle w:val="enumlev1"/>
        <w:rPr>
          <w:lang w:val="es-ES"/>
        </w:rPr>
      </w:pPr>
      <w:r w:rsidRPr="00292644">
        <w:rPr>
          <w:lang w:val="es-ES"/>
        </w:rPr>
        <w:lastRenderedPageBreak/>
        <w:t>•</w:t>
      </w:r>
      <w:r>
        <w:rPr>
          <w:lang w:val="es-ES"/>
        </w:rPr>
        <w:tab/>
      </w:r>
      <w:r w:rsidRPr="00A32804">
        <w:rPr>
          <w:lang w:val="es-ES"/>
        </w:rPr>
        <w:t xml:space="preserve">primer trimestre de 2024: no se celebran SMR y SRR; se actualizan el RR y las herramientas de </w:t>
      </w:r>
      <w:r w:rsidRPr="00A05079">
        <w:rPr>
          <w:i/>
          <w:iCs/>
          <w:lang w:val="es-ES"/>
        </w:rPr>
        <w:t xml:space="preserve">software </w:t>
      </w:r>
      <w:r w:rsidRPr="00A32804">
        <w:rPr>
          <w:lang w:val="es-ES"/>
        </w:rPr>
        <w:t>correspondientes;</w:t>
      </w:r>
    </w:p>
    <w:p w14:paraId="45A3FF66" w14:textId="77777777" w:rsidR="00B469E0" w:rsidRDefault="00B469E0" w:rsidP="00B469E0">
      <w:pPr>
        <w:pStyle w:val="enumlev1"/>
        <w:rPr>
          <w:lang w:val="es-ES"/>
        </w:rPr>
      </w:pPr>
      <w:r w:rsidRPr="00292644">
        <w:rPr>
          <w:lang w:val="es-ES"/>
        </w:rPr>
        <w:t>•</w:t>
      </w:r>
      <w:r>
        <w:rPr>
          <w:lang w:val="es-ES"/>
        </w:rPr>
        <w:tab/>
      </w:r>
      <w:r w:rsidRPr="00A32804">
        <w:rPr>
          <w:lang w:val="es-ES"/>
        </w:rPr>
        <w:t>segundo semestre de 2027: no se celebran SMR y SRR; se prepara la CMR-27;</w:t>
      </w:r>
    </w:p>
    <w:p w14:paraId="3F89D807" w14:textId="77777777" w:rsidR="00B469E0" w:rsidRDefault="00B469E0" w:rsidP="00B469E0">
      <w:pPr>
        <w:pStyle w:val="enumlev1"/>
        <w:rPr>
          <w:lang w:val="es-ES"/>
        </w:rPr>
      </w:pPr>
      <w:r w:rsidRPr="00292644">
        <w:rPr>
          <w:lang w:val="es-ES"/>
        </w:rPr>
        <w:t>•</w:t>
      </w:r>
      <w:r>
        <w:rPr>
          <w:lang w:val="es-ES"/>
        </w:rPr>
        <w:tab/>
      </w:r>
      <w:r w:rsidRPr="00A32804">
        <w:rPr>
          <w:lang w:val="es-ES"/>
        </w:rPr>
        <w:t>se celebrarán dos SMR por ciclo (cada dos años): SMR-24 y SMR-26;</w:t>
      </w:r>
    </w:p>
    <w:p w14:paraId="26315491" w14:textId="77777777" w:rsidR="00B469E0" w:rsidRDefault="00B469E0" w:rsidP="00B469E0">
      <w:pPr>
        <w:pStyle w:val="enumlev1"/>
        <w:rPr>
          <w:lang w:val="es-ES"/>
        </w:rPr>
      </w:pPr>
      <w:r w:rsidRPr="00292644">
        <w:rPr>
          <w:lang w:val="es-ES"/>
        </w:rPr>
        <w:t>•</w:t>
      </w:r>
      <w:r>
        <w:rPr>
          <w:lang w:val="es-ES"/>
        </w:rPr>
        <w:tab/>
      </w:r>
      <w:r w:rsidRPr="00A32804">
        <w:rPr>
          <w:lang w:val="es-ES"/>
        </w:rPr>
        <w:t>el primer SMR después de la CMR (SMR-24) comprenderá una reunión específica dedicada a explicar en detalle las modificaciones del RR introducidas por la CMR;</w:t>
      </w:r>
    </w:p>
    <w:p w14:paraId="4D861837" w14:textId="77777777" w:rsidR="00B469E0" w:rsidRDefault="00B469E0" w:rsidP="00B469E0">
      <w:pPr>
        <w:pStyle w:val="enumlev1"/>
        <w:rPr>
          <w:lang w:val="es-ES"/>
        </w:rPr>
      </w:pPr>
      <w:r w:rsidRPr="00292644">
        <w:rPr>
          <w:lang w:val="es-ES"/>
        </w:rPr>
        <w:t>•</w:t>
      </w:r>
      <w:r>
        <w:rPr>
          <w:lang w:val="es-ES"/>
        </w:rPr>
        <w:tab/>
      </w:r>
      <w:r w:rsidRPr="00A32804">
        <w:rPr>
          <w:lang w:val="es-ES"/>
        </w:rPr>
        <w:t>los dos SRR de África no tendrán lugar el mismo año que los SMR, dado que la participación en los SRR de África es casi el doble que en los demás SRR y que es preciso distribuir equitativamente el presupuesto para becas;</w:t>
      </w:r>
    </w:p>
    <w:p w14:paraId="2C5BD225" w14:textId="77777777" w:rsidR="00B469E0" w:rsidRDefault="00B469E0" w:rsidP="00B469E0">
      <w:pPr>
        <w:pStyle w:val="enumlev1"/>
        <w:rPr>
          <w:lang w:val="es-ES"/>
        </w:rPr>
      </w:pPr>
      <w:r w:rsidRPr="00292644">
        <w:rPr>
          <w:lang w:val="es-ES"/>
        </w:rPr>
        <w:t>•</w:t>
      </w:r>
      <w:r>
        <w:rPr>
          <w:lang w:val="es-ES"/>
        </w:rPr>
        <w:tab/>
      </w:r>
      <w:r w:rsidRPr="00A32804">
        <w:rPr>
          <w:lang w:val="es-ES"/>
        </w:rPr>
        <w:t>los SRR se celebrarán en el idioma predominante de la región, con el fin de reducir los costos de interpretación y facilitar el intercambio de información durante el evento;</w:t>
      </w:r>
    </w:p>
    <w:p w14:paraId="599998F3" w14:textId="77777777" w:rsidR="00B469E0" w:rsidRDefault="00B469E0" w:rsidP="00B469E0">
      <w:pPr>
        <w:pStyle w:val="enumlev1"/>
        <w:rPr>
          <w:lang w:val="es-ES"/>
        </w:rPr>
      </w:pPr>
      <w:r w:rsidRPr="00292644">
        <w:rPr>
          <w:lang w:val="es-ES"/>
        </w:rPr>
        <w:t>•</w:t>
      </w:r>
      <w:r>
        <w:rPr>
          <w:lang w:val="es-ES"/>
        </w:rPr>
        <w:tab/>
      </w:r>
      <w:r w:rsidRPr="00A32804">
        <w:rPr>
          <w:lang w:val="es-ES"/>
        </w:rPr>
        <w:t>los programas de los SRR se ajustarán a las necesidades específicas de la región interesada;</w:t>
      </w:r>
    </w:p>
    <w:p w14:paraId="748D955D" w14:textId="77777777" w:rsidR="00B469E0" w:rsidRPr="00A32804" w:rsidRDefault="00B469E0" w:rsidP="00B469E0">
      <w:pPr>
        <w:pStyle w:val="enumlev1"/>
        <w:rPr>
          <w:lang w:val="es-ES"/>
        </w:rPr>
      </w:pPr>
      <w:r w:rsidRPr="00292644">
        <w:rPr>
          <w:lang w:val="es-ES"/>
        </w:rPr>
        <w:t>•</w:t>
      </w:r>
      <w:r>
        <w:rPr>
          <w:lang w:val="es-ES"/>
        </w:rPr>
        <w:tab/>
      </w:r>
      <w:r w:rsidRPr="00A32804">
        <w:rPr>
          <w:lang w:val="es-ES"/>
        </w:rPr>
        <w:t>los últimos días de cada SRR se dedicarán a una sesión de tipo foro (esos días podría requerirse la prestación de servicios de interpretación desde o hacia el inglés).</w:t>
      </w:r>
    </w:p>
    <w:p w14:paraId="76A810FC" w14:textId="77777777" w:rsidR="00B469E0" w:rsidRPr="00A32804" w:rsidRDefault="00B469E0" w:rsidP="00B469E0">
      <w:pPr>
        <w:rPr>
          <w:lang w:val="es-ES"/>
        </w:rPr>
      </w:pPr>
      <w:r w:rsidRPr="00A32804">
        <w:rPr>
          <w:lang w:val="es-ES"/>
        </w:rPr>
        <w:t>La planificación anterior deberá coordinarse debidamente con las Oficinas Regionales (OR) de la</w:t>
      </w:r>
      <w:r>
        <w:rPr>
          <w:lang w:val="es-ES"/>
        </w:rPr>
        <w:t> </w:t>
      </w:r>
      <w:r w:rsidRPr="00A32804">
        <w:rPr>
          <w:lang w:val="es-ES"/>
        </w:rPr>
        <w:t>UIT y los grupos regionales pertinentes.</w:t>
      </w:r>
    </w:p>
    <w:p w14:paraId="28A08BA9" w14:textId="77777777" w:rsidR="00B469E0" w:rsidRPr="00A32804" w:rsidRDefault="00B469E0" w:rsidP="00B469E0">
      <w:pPr>
        <w:rPr>
          <w:szCs w:val="24"/>
          <w:lang w:val="es-ES"/>
        </w:rPr>
      </w:pPr>
      <w:r w:rsidRPr="00A32804">
        <w:rPr>
          <w:lang w:val="es-ES"/>
        </w:rPr>
        <w:t xml:space="preserve">Además de los SMR y SRR, tal y como solicitó el GAR en su reunión de 2024 y con el objetivo de presentar una serie de cuestiones técnicas y reglamentarias relacionadas con las constelaciones de satélites no OSG, la UIT presentó en enero de 2025 la serie </w:t>
      </w:r>
      <w:hyperlink r:id="rId50" w:anchor="/es" w:history="1">
        <w:r w:rsidRPr="00A32804">
          <w:rPr>
            <w:rStyle w:val="Hyperlink"/>
            <w:rFonts w:eastAsia="SimSun"/>
            <w:lang w:val="es-ES"/>
          </w:rPr>
          <w:t>Space Connect</w:t>
        </w:r>
      </w:hyperlink>
      <w:r w:rsidRPr="00A32804">
        <w:rPr>
          <w:lang w:val="es-ES"/>
        </w:rPr>
        <w:t>.</w:t>
      </w:r>
    </w:p>
    <w:p w14:paraId="321A8C77" w14:textId="77777777" w:rsidR="00B469E0" w:rsidRPr="00A32804" w:rsidRDefault="00B469E0" w:rsidP="00B469E0">
      <w:pPr>
        <w:pStyle w:val="Heading3"/>
        <w:rPr>
          <w:b w:val="0"/>
          <w:szCs w:val="24"/>
          <w:lang w:val="es-ES"/>
        </w:rPr>
      </w:pPr>
      <w:r w:rsidRPr="00A32804">
        <w:rPr>
          <w:lang w:val="es-ES"/>
        </w:rPr>
        <w:t>8.2.1</w:t>
      </w:r>
      <w:r w:rsidRPr="00A32804">
        <w:rPr>
          <w:lang w:val="es-ES"/>
        </w:rPr>
        <w:tab/>
        <w:t xml:space="preserve">Seminarios Mundiales de Radiocomunicaciones </w:t>
      </w:r>
    </w:p>
    <w:p w14:paraId="3F8B824E" w14:textId="77777777" w:rsidR="00B469E0" w:rsidRPr="00A32804" w:rsidRDefault="00B469E0" w:rsidP="00B469E0">
      <w:pPr>
        <w:rPr>
          <w:lang w:val="es-ES"/>
        </w:rPr>
      </w:pPr>
      <w:r w:rsidRPr="00A32804">
        <w:rPr>
          <w:lang w:val="es-ES"/>
        </w:rPr>
        <w:t>El Seminario Mundial de Radiocomunicaciones de 2024 (SMR-24), que tuvo lugar del 2 al 6 de diciembre de 2024 en Ginebra (Suiza), contó con 657 participantes de 114 países. La BR concedió</w:t>
      </w:r>
      <w:r>
        <w:rPr>
          <w:lang w:val="es-ES"/>
        </w:rPr>
        <w:t> </w:t>
      </w:r>
      <w:r w:rsidRPr="00A32804">
        <w:rPr>
          <w:lang w:val="es-ES"/>
        </w:rPr>
        <w:t>50 becas para el SMR-24.</w:t>
      </w:r>
    </w:p>
    <w:p w14:paraId="6612B257" w14:textId="77777777" w:rsidR="00B469E0" w:rsidRPr="00A32804" w:rsidRDefault="00B469E0" w:rsidP="00B469E0">
      <w:pPr>
        <w:rPr>
          <w:lang w:val="es-ES"/>
        </w:rPr>
      </w:pPr>
      <w:r w:rsidRPr="00A32804">
        <w:rPr>
          <w:lang w:val="es-ES"/>
        </w:rPr>
        <w:t>La Plenaria del SMR-24 se celebró en formato presencial con participación a distancia y duró dos días.</w:t>
      </w:r>
    </w:p>
    <w:p w14:paraId="7650A2CC" w14:textId="77777777" w:rsidR="00B469E0" w:rsidRPr="00A32804" w:rsidRDefault="00B469E0" w:rsidP="00B469E0">
      <w:pPr>
        <w:rPr>
          <w:lang w:val="es-ES"/>
        </w:rPr>
      </w:pPr>
      <w:r w:rsidRPr="00A32804">
        <w:rPr>
          <w:szCs w:val="24"/>
          <w:lang w:val="es-ES"/>
        </w:rPr>
        <w:t xml:space="preserve">Dada la creciente utilización y expansión de los </w:t>
      </w:r>
      <w:r w:rsidRPr="00A32804">
        <w:rPr>
          <w:lang w:val="es-ES"/>
        </w:rPr>
        <w:t>sistemas de radiocomunicaciones y considerando el papel que desempeña la BR en la provisión de información sobre el Reglamento de Radiocomunicaciones y su aplicación a particulares y organizaciones de todo el mundo, las sesiones plenarias de los SMR son actualmente de acceso público.</w:t>
      </w:r>
    </w:p>
    <w:p w14:paraId="0E825B3B" w14:textId="77777777" w:rsidR="00B469E0" w:rsidRPr="00A32804" w:rsidRDefault="00B469E0" w:rsidP="00B469E0">
      <w:pPr>
        <w:rPr>
          <w:lang w:val="es-ES"/>
        </w:rPr>
      </w:pPr>
      <w:r w:rsidRPr="00A32804">
        <w:rPr>
          <w:lang w:val="es-ES"/>
        </w:rPr>
        <w:t xml:space="preserve">Los talleres terrenales y espaciales del SMR-24 se celebraron en paralelo y en formato exclusivamente presencial abierto sólo a los Miembros del UIT-R. Durante los tres días que duraron los talleres espaciales y terrenales del SMR-24, los participantes tuvieron la oportunidad de llevar a cabo experiencias prácticas con los procedimientos de notificación de la UIT, así como con el </w:t>
      </w:r>
      <w:r w:rsidRPr="00A05079">
        <w:rPr>
          <w:i/>
          <w:iCs/>
          <w:lang w:val="es-ES"/>
        </w:rPr>
        <w:t>software</w:t>
      </w:r>
      <w:r w:rsidRPr="00A32804">
        <w:rPr>
          <w:lang w:val="es-ES"/>
        </w:rPr>
        <w:t xml:space="preserve">, las bases de datos y las publicaciones electrónicas que la Oficina de Radiocomunicaciones pone a disposición de los Miembros de la UIT. También se organizaron sesiones para usuarios principiantes y avanzados específicamente dedicadas a las herramientas de </w:t>
      </w:r>
      <w:r w:rsidRPr="00A05079">
        <w:rPr>
          <w:i/>
          <w:iCs/>
          <w:lang w:val="es-ES"/>
        </w:rPr>
        <w:t>software</w:t>
      </w:r>
      <w:r w:rsidRPr="00A32804">
        <w:rPr>
          <w:lang w:val="es-ES"/>
        </w:rPr>
        <w:t xml:space="preserve"> de la BR. Estas sesiones se celebraron principalmente en inglés y francés. Conforme a lo solicitado por el GAR en su reunión de 2024, el SMR-24 incluyó sesiones en las que se presentaron los aspectos reglamentarios y técnicos de los sistemas de constelación destinados a comunicaciones no OSG. </w:t>
      </w:r>
    </w:p>
    <w:p w14:paraId="39F2A84C" w14:textId="77777777" w:rsidR="00B469E0" w:rsidRPr="00A32804" w:rsidRDefault="00B469E0" w:rsidP="00B469E0">
      <w:pPr>
        <w:rPr>
          <w:lang w:val="es-ES"/>
        </w:rPr>
      </w:pPr>
      <w:r w:rsidRPr="00A32804">
        <w:rPr>
          <w:lang w:val="es-ES"/>
        </w:rPr>
        <w:t>Se ha previsto celebrar el</w:t>
      </w:r>
      <w:r w:rsidRPr="00A32804" w:rsidDel="00DE48BC">
        <w:rPr>
          <w:lang w:val="es-ES"/>
        </w:rPr>
        <w:t xml:space="preserve"> </w:t>
      </w:r>
      <w:r w:rsidRPr="00A32804">
        <w:rPr>
          <w:lang w:val="es-ES"/>
        </w:rPr>
        <w:t>SMR</w:t>
      </w:r>
      <w:r w:rsidRPr="00A32804" w:rsidDel="00DE48BC">
        <w:rPr>
          <w:lang w:val="es-ES"/>
        </w:rPr>
        <w:t xml:space="preserve">-26 </w:t>
      </w:r>
      <w:r w:rsidRPr="00A32804">
        <w:rPr>
          <w:lang w:val="es-ES"/>
        </w:rPr>
        <w:t>durante</w:t>
      </w:r>
      <w:r w:rsidRPr="00A32804" w:rsidDel="00DE48BC">
        <w:rPr>
          <w:lang w:val="es-ES"/>
        </w:rPr>
        <w:t xml:space="preserve"> el último trimestre de 2026.</w:t>
      </w:r>
    </w:p>
    <w:p w14:paraId="2D2F387D" w14:textId="77777777" w:rsidR="00B469E0" w:rsidRPr="00A32804" w:rsidRDefault="00B469E0" w:rsidP="00B469E0">
      <w:pPr>
        <w:pStyle w:val="Heading3"/>
        <w:rPr>
          <w:b w:val="0"/>
          <w:szCs w:val="24"/>
          <w:lang w:val="es-ES"/>
        </w:rPr>
      </w:pPr>
      <w:r w:rsidRPr="00A32804">
        <w:rPr>
          <w:lang w:val="es-ES"/>
        </w:rPr>
        <w:lastRenderedPageBreak/>
        <w:t>8.2.2</w:t>
      </w:r>
      <w:r w:rsidRPr="00A32804">
        <w:rPr>
          <w:lang w:val="es-ES"/>
        </w:rPr>
        <w:tab/>
        <w:t xml:space="preserve">Seminarios Regionales de Radiocomunicaciones </w:t>
      </w:r>
    </w:p>
    <w:p w14:paraId="0796D4D4" w14:textId="77777777" w:rsidR="00B469E0" w:rsidRPr="00A32804" w:rsidRDefault="00B469E0" w:rsidP="00B469E0">
      <w:pPr>
        <w:rPr>
          <w:lang w:val="es-ES"/>
        </w:rPr>
      </w:pPr>
      <w:bookmarkStart w:id="97" w:name="lt_pId1177"/>
      <w:r w:rsidRPr="00A32804">
        <w:rPr>
          <w:lang w:val="es-ES"/>
        </w:rPr>
        <w:t>A fin de complementar los SMR de carácter bienal, la BR mantuvo su estrategia de divulgación regional mediante la organización de Seminarios Regionales de Radiocomunicaciones (SRR), con el objetivo de visitar todas las regiones en desarrollo del mundo e impulsar la creación de capacidad en materia de utilización del espectro de radiofrecuencias y las órbitas de los satélites y, en particular, de aplicación de las disposiciones del Reglamento de Radiocomunicaciones de la UIT.</w:t>
      </w:r>
      <w:bookmarkEnd w:id="97"/>
    </w:p>
    <w:p w14:paraId="406F6C15" w14:textId="77777777" w:rsidR="00B469E0" w:rsidRPr="00A32804" w:rsidRDefault="00B469E0" w:rsidP="00B469E0">
      <w:pPr>
        <w:rPr>
          <w:lang w:val="es-ES"/>
        </w:rPr>
      </w:pPr>
      <w:bookmarkStart w:id="98" w:name="lt_pId1178"/>
      <w:r w:rsidRPr="00A32804">
        <w:rPr>
          <w:lang w:val="es-ES"/>
        </w:rPr>
        <w:t>Los SRR se organizan conjuntamente con las autoridades de gestión del espectro de los países anfitriones, en estrecha colaboración con las organizaciones regionales pertinentes y las Oficinas Regionales/Zonales de la UIT. Su orden del día incluye dos días de sesiones teóricas y un día de talleres sobre servicios terrenales y espaciales. Estos eventos se complementan con dos días de sesiones tipo foro, que se dedican a temas relacionados con el espectro de especial interés para la región.</w:t>
      </w:r>
      <w:bookmarkStart w:id="99" w:name="lt_pId1179"/>
      <w:bookmarkStart w:id="100" w:name="lt_pId1180"/>
      <w:bookmarkEnd w:id="98"/>
      <w:bookmarkEnd w:id="99"/>
      <w:bookmarkEnd w:id="100"/>
      <w:r w:rsidRPr="00A32804">
        <w:rPr>
          <w:lang w:val="es-ES"/>
        </w:rPr>
        <w:t xml:space="preserve"> </w:t>
      </w:r>
    </w:p>
    <w:p w14:paraId="0D923BC5" w14:textId="77777777" w:rsidR="00B469E0" w:rsidRPr="00A32804" w:rsidRDefault="00B469E0" w:rsidP="00B469E0">
      <w:pPr>
        <w:rPr>
          <w:lang w:val="es-ES"/>
        </w:rPr>
      </w:pPr>
      <w:r w:rsidRPr="00A32804">
        <w:rPr>
          <w:lang w:val="es-ES"/>
        </w:rPr>
        <w:t>En el Cuadro 8.2.2-1 se muestra un resumen de los SRR celebrados en 2024.</w:t>
      </w:r>
    </w:p>
    <w:p w14:paraId="3E0BBBC0" w14:textId="77777777" w:rsidR="00B469E0" w:rsidRPr="00A32804" w:rsidRDefault="00B469E0" w:rsidP="00B469E0">
      <w:pPr>
        <w:rPr>
          <w:szCs w:val="24"/>
          <w:highlight w:val="cyan"/>
          <w:lang w:val="es-ES"/>
        </w:rPr>
        <w:sectPr w:rsidR="00B469E0" w:rsidRPr="00A32804" w:rsidSect="00B469E0">
          <w:headerReference w:type="default" r:id="rId51"/>
          <w:type w:val="continuous"/>
          <w:pgSz w:w="11907" w:h="16834"/>
          <w:pgMar w:top="1418" w:right="1134" w:bottom="2127" w:left="1134" w:header="720" w:footer="720" w:gutter="0"/>
          <w:paperSrc w:first="15" w:other="15"/>
          <w:cols w:space="720"/>
          <w:titlePg/>
          <w:docGrid w:linePitch="326"/>
        </w:sectPr>
      </w:pPr>
    </w:p>
    <w:p w14:paraId="632E7DA7" w14:textId="77777777" w:rsidR="00B469E0" w:rsidRPr="00A32804" w:rsidRDefault="00B469E0" w:rsidP="00B469E0">
      <w:pPr>
        <w:pStyle w:val="TableNotitle"/>
        <w:spacing w:before="120" w:after="80"/>
        <w:rPr>
          <w:lang w:val="es-ES"/>
        </w:rPr>
      </w:pPr>
      <w:r w:rsidRPr="00A32804">
        <w:rPr>
          <w:lang w:val="es-ES"/>
        </w:rPr>
        <w:lastRenderedPageBreak/>
        <w:t>CUADRO 8.2.</w:t>
      </w:r>
      <w:r w:rsidRPr="008E01D6">
        <w:rPr>
          <w:lang w:val="es-ES"/>
        </w:rPr>
        <w:t>2-1</w:t>
      </w:r>
      <w:r>
        <w:rPr>
          <w:lang w:val="es-ES"/>
        </w:rPr>
        <w:br/>
      </w:r>
      <w:r w:rsidRPr="00A32804">
        <w:rPr>
          <w:lang w:val="es-ES"/>
        </w:rPr>
        <w:t>Seminarios Regionales de Radiocomunicaciones de la UIT (2024)</w:t>
      </w:r>
    </w:p>
    <w:tbl>
      <w:tblPr>
        <w:tblStyle w:val="TableGrid"/>
        <w:tblW w:w="5127" w:type="pct"/>
        <w:jc w:val="center"/>
        <w:tblLook w:val="04A0" w:firstRow="1" w:lastRow="0" w:firstColumn="1" w:lastColumn="0" w:noHBand="0" w:noVBand="1"/>
      </w:tblPr>
      <w:tblGrid>
        <w:gridCol w:w="1235"/>
        <w:gridCol w:w="1505"/>
        <w:gridCol w:w="1186"/>
        <w:gridCol w:w="1371"/>
        <w:gridCol w:w="3264"/>
        <w:gridCol w:w="2087"/>
        <w:gridCol w:w="974"/>
        <w:gridCol w:w="1834"/>
        <w:gridCol w:w="1475"/>
      </w:tblGrid>
      <w:tr w:rsidR="00B469E0" w:rsidRPr="00A32804" w14:paraId="17F55C51" w14:textId="77777777" w:rsidTr="00B65C06">
        <w:trPr>
          <w:trHeight w:val="632"/>
          <w:tblHeader/>
          <w:jc w:val="center"/>
        </w:trPr>
        <w:tc>
          <w:tcPr>
            <w:tcW w:w="414" w:type="pct"/>
            <w:tcBorders>
              <w:top w:val="single" w:sz="4" w:space="0" w:color="auto"/>
              <w:left w:val="single" w:sz="4" w:space="0" w:color="auto"/>
              <w:bottom w:val="single" w:sz="4" w:space="0" w:color="auto"/>
              <w:right w:val="single" w:sz="4" w:space="0" w:color="auto"/>
            </w:tcBorders>
            <w:vAlign w:val="center"/>
            <w:hideMark/>
          </w:tcPr>
          <w:p w14:paraId="099765C2" w14:textId="77777777" w:rsidR="00B469E0" w:rsidRPr="00A32804" w:rsidRDefault="00B469E0" w:rsidP="00B65C06">
            <w:pPr>
              <w:pStyle w:val="Tablehead"/>
              <w:rPr>
                <w:rFonts w:asciiTheme="majorBidi" w:hAnsiTheme="majorBidi" w:cstheme="majorBidi"/>
                <w:lang w:val="es-ES" w:eastAsia="zh-CN"/>
              </w:rPr>
            </w:pPr>
            <w:bookmarkStart w:id="101" w:name="lt_pId1186"/>
            <w:r w:rsidRPr="00A32804">
              <w:rPr>
                <w:lang w:val="es-ES"/>
              </w:rPr>
              <w:t>Fecha</w:t>
            </w:r>
            <w:bookmarkEnd w:id="101"/>
          </w:p>
        </w:tc>
        <w:tc>
          <w:tcPr>
            <w:tcW w:w="504" w:type="pct"/>
            <w:tcBorders>
              <w:top w:val="single" w:sz="4" w:space="0" w:color="auto"/>
              <w:left w:val="single" w:sz="4" w:space="0" w:color="auto"/>
              <w:bottom w:val="single" w:sz="4" w:space="0" w:color="auto"/>
              <w:right w:val="single" w:sz="4" w:space="0" w:color="auto"/>
            </w:tcBorders>
            <w:vAlign w:val="center"/>
            <w:hideMark/>
          </w:tcPr>
          <w:p w14:paraId="10278125" w14:textId="77777777" w:rsidR="00B469E0" w:rsidRPr="00A32804" w:rsidRDefault="00B469E0" w:rsidP="00B65C06">
            <w:pPr>
              <w:pStyle w:val="Tablehead"/>
              <w:rPr>
                <w:rFonts w:asciiTheme="majorBidi" w:hAnsiTheme="majorBidi" w:cstheme="majorBidi"/>
                <w:lang w:val="es-ES"/>
              </w:rPr>
            </w:pPr>
            <w:bookmarkStart w:id="102" w:name="lt_pId1187"/>
            <w:r w:rsidRPr="00A32804">
              <w:rPr>
                <w:lang w:val="es-ES"/>
              </w:rPr>
              <w:t>SRR</w:t>
            </w:r>
            <w:bookmarkEnd w:id="102"/>
          </w:p>
        </w:tc>
        <w:tc>
          <w:tcPr>
            <w:tcW w:w="397" w:type="pct"/>
            <w:tcBorders>
              <w:top w:val="single" w:sz="4" w:space="0" w:color="auto"/>
              <w:left w:val="single" w:sz="4" w:space="0" w:color="auto"/>
              <w:bottom w:val="single" w:sz="4" w:space="0" w:color="auto"/>
              <w:right w:val="single" w:sz="4" w:space="0" w:color="auto"/>
            </w:tcBorders>
            <w:vAlign w:val="center"/>
            <w:hideMark/>
          </w:tcPr>
          <w:p w14:paraId="56922EB9" w14:textId="77777777" w:rsidR="00B469E0" w:rsidRPr="00A32804" w:rsidRDefault="00B469E0" w:rsidP="00B65C06">
            <w:pPr>
              <w:pStyle w:val="Tablehead"/>
              <w:rPr>
                <w:rFonts w:asciiTheme="majorBidi" w:hAnsiTheme="majorBidi" w:cstheme="majorBidi"/>
                <w:lang w:val="es-ES"/>
              </w:rPr>
            </w:pPr>
            <w:bookmarkStart w:id="103" w:name="lt_pId1188"/>
            <w:r w:rsidRPr="00A32804">
              <w:rPr>
                <w:lang w:val="es-ES"/>
              </w:rPr>
              <w:t>Lugar</w:t>
            </w:r>
            <w:bookmarkEnd w:id="103"/>
          </w:p>
        </w:tc>
        <w:tc>
          <w:tcPr>
            <w:tcW w:w="459" w:type="pct"/>
            <w:tcBorders>
              <w:top w:val="single" w:sz="4" w:space="0" w:color="auto"/>
              <w:left w:val="single" w:sz="4" w:space="0" w:color="auto"/>
              <w:bottom w:val="single" w:sz="4" w:space="0" w:color="auto"/>
              <w:right w:val="single" w:sz="4" w:space="0" w:color="auto"/>
            </w:tcBorders>
            <w:vAlign w:val="center"/>
            <w:hideMark/>
          </w:tcPr>
          <w:p w14:paraId="41175795" w14:textId="77777777" w:rsidR="00B469E0" w:rsidRPr="00A32804" w:rsidRDefault="00B469E0" w:rsidP="00B65C06">
            <w:pPr>
              <w:pStyle w:val="Tablehead"/>
              <w:rPr>
                <w:rFonts w:asciiTheme="majorBidi" w:hAnsiTheme="majorBidi" w:cstheme="majorBidi"/>
                <w:lang w:val="es-ES"/>
              </w:rPr>
            </w:pPr>
            <w:r w:rsidRPr="00A32804">
              <w:rPr>
                <w:lang w:val="es-ES"/>
              </w:rPr>
              <w:t>Anfitrión</w:t>
            </w:r>
          </w:p>
        </w:tc>
        <w:tc>
          <w:tcPr>
            <w:tcW w:w="1093" w:type="pct"/>
            <w:tcBorders>
              <w:top w:val="single" w:sz="4" w:space="0" w:color="auto"/>
              <w:left w:val="single" w:sz="4" w:space="0" w:color="auto"/>
              <w:bottom w:val="single" w:sz="4" w:space="0" w:color="auto"/>
              <w:right w:val="single" w:sz="4" w:space="0" w:color="auto"/>
            </w:tcBorders>
            <w:vAlign w:val="center"/>
            <w:hideMark/>
          </w:tcPr>
          <w:p w14:paraId="3787C9F1" w14:textId="77777777" w:rsidR="00B469E0" w:rsidRPr="00A32804" w:rsidRDefault="00B469E0" w:rsidP="00B65C06">
            <w:pPr>
              <w:pStyle w:val="Tablehead"/>
              <w:rPr>
                <w:rFonts w:asciiTheme="majorBidi" w:hAnsiTheme="majorBidi" w:cstheme="majorBidi"/>
                <w:lang w:val="es-ES"/>
              </w:rPr>
            </w:pPr>
            <w:bookmarkStart w:id="104" w:name="lt_pId1190"/>
            <w:r w:rsidRPr="00A32804">
              <w:rPr>
                <w:lang w:val="es-ES"/>
              </w:rPr>
              <w:t>Cooperación</w:t>
            </w:r>
            <w:bookmarkEnd w:id="104"/>
          </w:p>
        </w:tc>
        <w:tc>
          <w:tcPr>
            <w:tcW w:w="699" w:type="pct"/>
            <w:tcBorders>
              <w:top w:val="single" w:sz="4" w:space="0" w:color="auto"/>
              <w:left w:val="single" w:sz="4" w:space="0" w:color="auto"/>
              <w:bottom w:val="single" w:sz="4" w:space="0" w:color="auto"/>
              <w:right w:val="single" w:sz="4" w:space="0" w:color="auto"/>
            </w:tcBorders>
            <w:vAlign w:val="center"/>
            <w:hideMark/>
          </w:tcPr>
          <w:p w14:paraId="6F5B0215" w14:textId="77777777" w:rsidR="00B469E0" w:rsidRPr="00A32804" w:rsidRDefault="00B469E0" w:rsidP="00B65C06">
            <w:pPr>
              <w:pStyle w:val="Tablehead"/>
              <w:rPr>
                <w:rFonts w:asciiTheme="majorBidi" w:hAnsiTheme="majorBidi" w:cstheme="majorBidi"/>
                <w:lang w:val="es-ES"/>
              </w:rPr>
            </w:pPr>
            <w:bookmarkStart w:id="105" w:name="lt_pId1191"/>
            <w:r w:rsidRPr="00A32804">
              <w:rPr>
                <w:lang w:val="es-ES"/>
              </w:rPr>
              <w:t>Temas del Foro</w:t>
            </w:r>
            <w:bookmarkEnd w:id="105"/>
          </w:p>
        </w:tc>
        <w:tc>
          <w:tcPr>
            <w:tcW w:w="326" w:type="pct"/>
            <w:tcBorders>
              <w:top w:val="single" w:sz="4" w:space="0" w:color="auto"/>
              <w:left w:val="single" w:sz="4" w:space="0" w:color="auto"/>
              <w:bottom w:val="single" w:sz="4" w:space="0" w:color="auto"/>
              <w:right w:val="single" w:sz="4" w:space="0" w:color="auto"/>
            </w:tcBorders>
            <w:vAlign w:val="center"/>
            <w:hideMark/>
          </w:tcPr>
          <w:p w14:paraId="116BD02D" w14:textId="77777777" w:rsidR="00B469E0" w:rsidRPr="00A32804" w:rsidRDefault="00B469E0" w:rsidP="00B65C06">
            <w:pPr>
              <w:pStyle w:val="Tablehead"/>
              <w:rPr>
                <w:rFonts w:asciiTheme="majorBidi" w:hAnsiTheme="majorBidi" w:cstheme="majorBidi"/>
                <w:lang w:val="es-ES"/>
              </w:rPr>
            </w:pPr>
            <w:bookmarkStart w:id="106" w:name="lt_pId1192"/>
            <w:r w:rsidRPr="00A32804">
              <w:rPr>
                <w:lang w:val="es-ES"/>
              </w:rPr>
              <w:t>Idiomas</w:t>
            </w:r>
            <w:bookmarkEnd w:id="106"/>
          </w:p>
        </w:tc>
        <w:tc>
          <w:tcPr>
            <w:tcW w:w="614" w:type="pct"/>
            <w:tcBorders>
              <w:top w:val="single" w:sz="4" w:space="0" w:color="auto"/>
              <w:left w:val="single" w:sz="4" w:space="0" w:color="auto"/>
              <w:bottom w:val="single" w:sz="4" w:space="0" w:color="auto"/>
              <w:right w:val="single" w:sz="4" w:space="0" w:color="auto"/>
            </w:tcBorders>
            <w:vAlign w:val="center"/>
            <w:hideMark/>
          </w:tcPr>
          <w:p w14:paraId="701DFB3A" w14:textId="77777777" w:rsidR="00B469E0" w:rsidRPr="00A32804" w:rsidRDefault="00B469E0" w:rsidP="00B65C06">
            <w:pPr>
              <w:pStyle w:val="Tablehead"/>
              <w:rPr>
                <w:rFonts w:asciiTheme="majorBidi" w:hAnsiTheme="majorBidi" w:cstheme="majorBidi"/>
                <w:lang w:val="es-ES"/>
              </w:rPr>
            </w:pPr>
            <w:bookmarkStart w:id="107" w:name="lt_pId1193"/>
            <w:r w:rsidRPr="00A32804">
              <w:rPr>
                <w:lang w:val="es-ES"/>
              </w:rPr>
              <w:t>Participantes/</w:t>
            </w:r>
            <w:r w:rsidRPr="00A32804">
              <w:rPr>
                <w:lang w:val="es-ES"/>
              </w:rPr>
              <w:br/>
              <w:t>administraciones</w:t>
            </w:r>
            <w:bookmarkEnd w:id="107"/>
          </w:p>
        </w:tc>
        <w:tc>
          <w:tcPr>
            <w:tcW w:w="494" w:type="pct"/>
            <w:tcBorders>
              <w:top w:val="single" w:sz="4" w:space="0" w:color="auto"/>
              <w:left w:val="single" w:sz="4" w:space="0" w:color="auto"/>
              <w:bottom w:val="single" w:sz="4" w:space="0" w:color="auto"/>
              <w:right w:val="single" w:sz="4" w:space="0" w:color="auto"/>
            </w:tcBorders>
          </w:tcPr>
          <w:p w14:paraId="493BD8B4" w14:textId="77777777" w:rsidR="00B469E0" w:rsidRPr="00A32804" w:rsidRDefault="00B469E0" w:rsidP="00B65C06">
            <w:pPr>
              <w:pStyle w:val="Tablehead"/>
              <w:rPr>
                <w:rFonts w:asciiTheme="majorBidi" w:hAnsiTheme="majorBidi" w:cstheme="majorBidi"/>
                <w:lang w:val="es-ES"/>
              </w:rPr>
            </w:pPr>
            <w:bookmarkStart w:id="108" w:name="lt_pId1195"/>
            <w:r w:rsidRPr="00A32804">
              <w:rPr>
                <w:lang w:val="es-ES"/>
              </w:rPr>
              <w:t>Becas</w:t>
            </w:r>
            <w:bookmarkEnd w:id="108"/>
          </w:p>
        </w:tc>
      </w:tr>
      <w:tr w:rsidR="00B469E0" w:rsidRPr="00A32804" w14:paraId="3CB27C45" w14:textId="77777777" w:rsidTr="00B65C06">
        <w:trPr>
          <w:trHeight w:val="304"/>
          <w:jc w:val="center"/>
        </w:trPr>
        <w:tc>
          <w:tcPr>
            <w:tcW w:w="5000" w:type="pct"/>
            <w:gridSpan w:val="9"/>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AE34A9F" w14:textId="77777777" w:rsidR="00B469E0" w:rsidRPr="008E01D6" w:rsidRDefault="00B469E0" w:rsidP="00B65C06">
            <w:pPr>
              <w:pStyle w:val="Tabletext"/>
              <w:ind w:left="6576"/>
              <w:rPr>
                <w:b/>
                <w:bCs/>
                <w:lang w:val="es-ES"/>
              </w:rPr>
            </w:pPr>
            <w:r w:rsidRPr="008E01D6">
              <w:rPr>
                <w:b/>
                <w:bCs/>
                <w:lang w:val="es-ES"/>
              </w:rPr>
              <w:t>2024</w:t>
            </w:r>
          </w:p>
        </w:tc>
      </w:tr>
      <w:tr w:rsidR="00B469E0" w:rsidRPr="00A32804" w14:paraId="04AD1654" w14:textId="77777777" w:rsidTr="00B65C06">
        <w:trPr>
          <w:trHeight w:val="1788"/>
          <w:jc w:val="center"/>
        </w:trPr>
        <w:tc>
          <w:tcPr>
            <w:tcW w:w="414" w:type="pct"/>
            <w:tcBorders>
              <w:top w:val="single" w:sz="4" w:space="0" w:color="auto"/>
              <w:left w:val="single" w:sz="4" w:space="0" w:color="auto"/>
              <w:bottom w:val="single" w:sz="4" w:space="0" w:color="auto"/>
              <w:right w:val="single" w:sz="4" w:space="0" w:color="auto"/>
            </w:tcBorders>
            <w:vAlign w:val="center"/>
          </w:tcPr>
          <w:p w14:paraId="265639FC" w14:textId="77777777" w:rsidR="00B469E0" w:rsidRPr="00A32804" w:rsidRDefault="00B469E0" w:rsidP="00B65C06">
            <w:pPr>
              <w:pStyle w:val="Tabletext"/>
              <w:rPr>
                <w:lang w:val="es-ES"/>
              </w:rPr>
            </w:pPr>
            <w:r w:rsidRPr="00A32804">
              <w:rPr>
                <w:lang w:val="es-ES"/>
              </w:rPr>
              <w:t>15-19 de abril de 2024</w:t>
            </w:r>
          </w:p>
        </w:tc>
        <w:tc>
          <w:tcPr>
            <w:tcW w:w="504" w:type="pct"/>
            <w:tcBorders>
              <w:top w:val="single" w:sz="4" w:space="0" w:color="auto"/>
              <w:left w:val="single" w:sz="4" w:space="0" w:color="auto"/>
              <w:bottom w:val="single" w:sz="4" w:space="0" w:color="auto"/>
              <w:right w:val="single" w:sz="4" w:space="0" w:color="auto"/>
            </w:tcBorders>
            <w:vAlign w:val="center"/>
            <w:hideMark/>
          </w:tcPr>
          <w:p w14:paraId="54FB46FF" w14:textId="77777777" w:rsidR="00B469E0" w:rsidRPr="00A32804" w:rsidRDefault="00B469E0" w:rsidP="00B65C06">
            <w:pPr>
              <w:pStyle w:val="Tabletext"/>
              <w:rPr>
                <w:b/>
                <w:bCs/>
                <w:lang w:val="es-ES"/>
              </w:rPr>
            </w:pPr>
            <w:r w:rsidRPr="00A32804">
              <w:rPr>
                <w:b/>
                <w:bCs/>
                <w:lang w:val="es-ES"/>
              </w:rPr>
              <w:t>SRR-24-CEI</w:t>
            </w:r>
          </w:p>
        </w:tc>
        <w:tc>
          <w:tcPr>
            <w:tcW w:w="397" w:type="pct"/>
            <w:tcBorders>
              <w:top w:val="single" w:sz="4" w:space="0" w:color="auto"/>
              <w:left w:val="single" w:sz="4" w:space="0" w:color="auto"/>
              <w:bottom w:val="single" w:sz="4" w:space="0" w:color="auto"/>
              <w:right w:val="single" w:sz="4" w:space="0" w:color="auto"/>
            </w:tcBorders>
            <w:vAlign w:val="center"/>
            <w:hideMark/>
          </w:tcPr>
          <w:p w14:paraId="46DF854B" w14:textId="77777777" w:rsidR="00B469E0" w:rsidRPr="00A32804" w:rsidRDefault="00B469E0" w:rsidP="00B65C06">
            <w:pPr>
              <w:pStyle w:val="Tabletext"/>
              <w:rPr>
                <w:bCs/>
                <w:lang w:val="es-ES"/>
              </w:rPr>
            </w:pPr>
            <w:r w:rsidRPr="00A32804">
              <w:rPr>
                <w:bCs/>
                <w:lang w:val="es-ES"/>
              </w:rPr>
              <w:t>Astaná, Kazajstán</w:t>
            </w:r>
          </w:p>
        </w:tc>
        <w:tc>
          <w:tcPr>
            <w:tcW w:w="459" w:type="pct"/>
            <w:tcBorders>
              <w:top w:val="single" w:sz="4" w:space="0" w:color="auto"/>
              <w:left w:val="single" w:sz="4" w:space="0" w:color="auto"/>
              <w:bottom w:val="single" w:sz="4" w:space="0" w:color="auto"/>
              <w:right w:val="single" w:sz="4" w:space="0" w:color="auto"/>
            </w:tcBorders>
            <w:vAlign w:val="center"/>
            <w:hideMark/>
          </w:tcPr>
          <w:p w14:paraId="0809743A" w14:textId="77777777" w:rsidR="00B469E0" w:rsidRPr="00A32804" w:rsidRDefault="00B469E0" w:rsidP="00B65C06">
            <w:pPr>
              <w:pStyle w:val="Tabletext"/>
              <w:rPr>
                <w:lang w:val="es-ES"/>
              </w:rPr>
            </w:pPr>
            <w:r w:rsidRPr="00A32804">
              <w:rPr>
                <w:lang w:val="es-ES"/>
              </w:rPr>
              <w:t>−</w:t>
            </w:r>
          </w:p>
        </w:tc>
        <w:tc>
          <w:tcPr>
            <w:tcW w:w="1093" w:type="pct"/>
            <w:tcBorders>
              <w:top w:val="single" w:sz="4" w:space="0" w:color="auto"/>
              <w:left w:val="single" w:sz="4" w:space="0" w:color="auto"/>
              <w:bottom w:val="single" w:sz="4" w:space="0" w:color="auto"/>
              <w:right w:val="single" w:sz="4" w:space="0" w:color="auto"/>
            </w:tcBorders>
            <w:vAlign w:val="center"/>
            <w:hideMark/>
          </w:tcPr>
          <w:p w14:paraId="6DBC90B6" w14:textId="77777777" w:rsidR="00B469E0" w:rsidRPr="008E01D6" w:rsidRDefault="00B469E0" w:rsidP="00B65C06">
            <w:pPr>
              <w:pStyle w:val="Tabletext"/>
              <w:rPr>
                <w:rStyle w:val="Hyperlink"/>
                <w:rFonts w:eastAsia="SimSun"/>
              </w:rPr>
            </w:pPr>
            <w:hyperlink r:id="rId52" w:tgtFrame="_blank" w:history="1">
              <w:r w:rsidRPr="008E01D6">
                <w:rPr>
                  <w:rStyle w:val="Hyperlink"/>
                  <w:rFonts w:eastAsia="SimSun"/>
                  <w:lang w:val="es-ES"/>
                </w:rPr>
                <w:t>Ministerio de Desarrollo Digital, Innovaciones e Industria Aeroespacial de la República de Kazajstán</w:t>
              </w:r>
            </w:hyperlink>
            <w:r w:rsidRPr="008E01D6">
              <w:rPr>
                <w:bCs/>
                <w:lang w:val="es-ES"/>
              </w:rPr>
              <w:t xml:space="preserve">, en colaboración con la </w:t>
            </w:r>
            <w:hyperlink r:id="rId53" w:tgtFrame="_blank" w:history="1">
              <w:r w:rsidRPr="008E01D6">
                <w:rPr>
                  <w:rStyle w:val="Hyperlink"/>
                  <w:rFonts w:eastAsia="SimSun"/>
                  <w:lang w:val="es-ES"/>
                </w:rPr>
                <w:t>Comunidad Regional de Comunicaciones</w:t>
              </w:r>
            </w:hyperlink>
            <w:r w:rsidRPr="008E01D6">
              <w:rPr>
                <w:rStyle w:val="Hyperlink"/>
                <w:rFonts w:eastAsia="SimSun"/>
              </w:rPr>
              <w:t xml:space="preserve"> </w:t>
            </w:r>
          </w:p>
          <w:p w14:paraId="7608866F" w14:textId="77777777" w:rsidR="00B469E0" w:rsidRPr="008E01D6" w:rsidRDefault="00B469E0" w:rsidP="00B65C06">
            <w:pPr>
              <w:pStyle w:val="Tabletext"/>
              <w:rPr>
                <w:bCs/>
                <w:lang w:val="es-ES"/>
              </w:rPr>
            </w:pPr>
            <w:r w:rsidRPr="008E01D6">
              <w:rPr>
                <w:bCs/>
                <w:lang w:val="es-ES"/>
              </w:rPr>
              <w:t xml:space="preserve">Oficina de la UIT para la CEI </w:t>
            </w:r>
          </w:p>
        </w:tc>
        <w:tc>
          <w:tcPr>
            <w:tcW w:w="699" w:type="pct"/>
            <w:tcBorders>
              <w:top w:val="single" w:sz="4" w:space="0" w:color="auto"/>
              <w:left w:val="single" w:sz="4" w:space="0" w:color="auto"/>
              <w:bottom w:val="single" w:sz="4" w:space="0" w:color="auto"/>
              <w:right w:val="single" w:sz="4" w:space="0" w:color="auto"/>
            </w:tcBorders>
            <w:vAlign w:val="center"/>
            <w:hideMark/>
          </w:tcPr>
          <w:p w14:paraId="401A34F4" w14:textId="77777777" w:rsidR="00B469E0" w:rsidRPr="008E01D6" w:rsidRDefault="00B469E0" w:rsidP="00B65C06">
            <w:pPr>
              <w:pStyle w:val="Tabletext"/>
              <w:rPr>
                <w:bCs/>
                <w:lang w:val="es-ES"/>
              </w:rPr>
            </w:pPr>
            <w:r w:rsidRPr="008E01D6">
              <w:rPr>
                <w:bCs/>
                <w:lang w:val="es-ES"/>
              </w:rPr>
              <w:t>Gestión moderna del espectro</w:t>
            </w:r>
          </w:p>
        </w:tc>
        <w:tc>
          <w:tcPr>
            <w:tcW w:w="326" w:type="pct"/>
            <w:tcBorders>
              <w:top w:val="single" w:sz="4" w:space="0" w:color="auto"/>
              <w:left w:val="single" w:sz="4" w:space="0" w:color="auto"/>
              <w:bottom w:val="single" w:sz="4" w:space="0" w:color="auto"/>
              <w:right w:val="single" w:sz="4" w:space="0" w:color="auto"/>
            </w:tcBorders>
            <w:vAlign w:val="center"/>
            <w:hideMark/>
          </w:tcPr>
          <w:p w14:paraId="486E4C62" w14:textId="77777777" w:rsidR="00B469E0" w:rsidRPr="008E01D6" w:rsidRDefault="00B469E0" w:rsidP="00B65C06">
            <w:pPr>
              <w:pStyle w:val="Tabletext"/>
              <w:rPr>
                <w:bCs/>
                <w:lang w:val="es-ES"/>
              </w:rPr>
            </w:pPr>
            <w:r w:rsidRPr="008E01D6">
              <w:rPr>
                <w:bCs/>
                <w:lang w:val="es-ES"/>
              </w:rPr>
              <w:t>R</w:t>
            </w:r>
          </w:p>
        </w:tc>
        <w:tc>
          <w:tcPr>
            <w:tcW w:w="614" w:type="pct"/>
            <w:tcBorders>
              <w:top w:val="single" w:sz="4" w:space="0" w:color="auto"/>
              <w:left w:val="single" w:sz="4" w:space="0" w:color="auto"/>
              <w:bottom w:val="single" w:sz="4" w:space="0" w:color="auto"/>
              <w:right w:val="single" w:sz="4" w:space="0" w:color="auto"/>
            </w:tcBorders>
            <w:vAlign w:val="center"/>
            <w:hideMark/>
          </w:tcPr>
          <w:p w14:paraId="4A7519FA" w14:textId="77777777" w:rsidR="00B469E0" w:rsidRPr="008E01D6" w:rsidRDefault="00B469E0" w:rsidP="00B65C06">
            <w:pPr>
              <w:pStyle w:val="Tabletext"/>
              <w:rPr>
                <w:bCs/>
                <w:lang w:val="es-ES"/>
              </w:rPr>
            </w:pPr>
            <w:r w:rsidRPr="008E01D6">
              <w:rPr>
                <w:bCs/>
                <w:lang w:val="es-ES"/>
              </w:rPr>
              <w:t>93/8</w:t>
            </w:r>
          </w:p>
        </w:tc>
        <w:tc>
          <w:tcPr>
            <w:tcW w:w="494" w:type="pct"/>
            <w:tcBorders>
              <w:top w:val="single" w:sz="4" w:space="0" w:color="auto"/>
              <w:left w:val="single" w:sz="4" w:space="0" w:color="auto"/>
              <w:bottom w:val="single" w:sz="4" w:space="0" w:color="auto"/>
              <w:right w:val="single" w:sz="4" w:space="0" w:color="auto"/>
            </w:tcBorders>
            <w:vAlign w:val="center"/>
          </w:tcPr>
          <w:p w14:paraId="09726583" w14:textId="77777777" w:rsidR="00B469E0" w:rsidRPr="008E01D6" w:rsidDel="00203E0B" w:rsidRDefault="00B469E0" w:rsidP="00B65C06">
            <w:pPr>
              <w:pStyle w:val="Tabletext"/>
              <w:rPr>
                <w:bCs/>
                <w:lang w:val="es-ES"/>
              </w:rPr>
            </w:pPr>
            <w:r w:rsidRPr="008E01D6">
              <w:rPr>
                <w:bCs/>
                <w:lang w:val="es-ES"/>
              </w:rPr>
              <w:t>2</w:t>
            </w:r>
          </w:p>
        </w:tc>
      </w:tr>
      <w:tr w:rsidR="00B469E0" w:rsidRPr="00A32804" w14:paraId="19EAE041" w14:textId="77777777" w:rsidTr="00B65C06">
        <w:trPr>
          <w:trHeight w:val="2510"/>
          <w:jc w:val="center"/>
        </w:trPr>
        <w:tc>
          <w:tcPr>
            <w:tcW w:w="414" w:type="pct"/>
            <w:tcBorders>
              <w:top w:val="single" w:sz="4" w:space="0" w:color="auto"/>
              <w:left w:val="single" w:sz="4" w:space="0" w:color="auto"/>
              <w:bottom w:val="single" w:sz="4" w:space="0" w:color="auto"/>
              <w:right w:val="single" w:sz="4" w:space="0" w:color="auto"/>
            </w:tcBorders>
            <w:vAlign w:val="center"/>
          </w:tcPr>
          <w:p w14:paraId="7F3E4FC8" w14:textId="77777777" w:rsidR="00B469E0" w:rsidRPr="00A32804" w:rsidRDefault="00B469E0" w:rsidP="00B65C06">
            <w:pPr>
              <w:pStyle w:val="Tabletext"/>
              <w:rPr>
                <w:lang w:val="es-ES"/>
              </w:rPr>
            </w:pPr>
            <w:r w:rsidRPr="00A32804">
              <w:rPr>
                <w:lang w:val="es-ES"/>
              </w:rPr>
              <w:t>22-27 de julio de 2024</w:t>
            </w:r>
          </w:p>
        </w:tc>
        <w:tc>
          <w:tcPr>
            <w:tcW w:w="504" w:type="pct"/>
            <w:tcBorders>
              <w:top w:val="single" w:sz="4" w:space="0" w:color="auto"/>
              <w:left w:val="single" w:sz="4" w:space="0" w:color="auto"/>
              <w:bottom w:val="single" w:sz="4" w:space="0" w:color="auto"/>
              <w:right w:val="single" w:sz="4" w:space="0" w:color="auto"/>
            </w:tcBorders>
            <w:vAlign w:val="center"/>
            <w:hideMark/>
          </w:tcPr>
          <w:p w14:paraId="14879F80" w14:textId="77777777" w:rsidR="00B469E0" w:rsidRPr="00A32804" w:rsidRDefault="00B469E0" w:rsidP="00B65C06">
            <w:pPr>
              <w:pStyle w:val="Tabletext"/>
              <w:rPr>
                <w:b/>
                <w:bCs/>
                <w:lang w:val="es-ES"/>
              </w:rPr>
            </w:pPr>
            <w:r w:rsidRPr="00A32804">
              <w:rPr>
                <w:b/>
                <w:bCs/>
                <w:lang w:val="es-ES"/>
              </w:rPr>
              <w:t>SRR-24-Américas</w:t>
            </w:r>
          </w:p>
        </w:tc>
        <w:tc>
          <w:tcPr>
            <w:tcW w:w="397" w:type="pct"/>
            <w:tcBorders>
              <w:top w:val="single" w:sz="4" w:space="0" w:color="auto"/>
              <w:left w:val="single" w:sz="4" w:space="0" w:color="auto"/>
              <w:bottom w:val="single" w:sz="4" w:space="0" w:color="auto"/>
              <w:right w:val="single" w:sz="4" w:space="0" w:color="auto"/>
            </w:tcBorders>
            <w:vAlign w:val="center"/>
            <w:hideMark/>
          </w:tcPr>
          <w:p w14:paraId="31FE9E15" w14:textId="77777777" w:rsidR="00B469E0" w:rsidRPr="00A32804" w:rsidRDefault="00B469E0" w:rsidP="00B65C06">
            <w:pPr>
              <w:pStyle w:val="Tabletext"/>
              <w:rPr>
                <w:lang w:val="es-ES"/>
              </w:rPr>
            </w:pPr>
            <w:r w:rsidRPr="00A32804">
              <w:rPr>
                <w:bCs/>
                <w:lang w:val="es-ES"/>
              </w:rPr>
              <w:t>Saint George, Granada</w:t>
            </w:r>
          </w:p>
        </w:tc>
        <w:tc>
          <w:tcPr>
            <w:tcW w:w="459" w:type="pct"/>
            <w:tcBorders>
              <w:top w:val="single" w:sz="4" w:space="0" w:color="auto"/>
              <w:left w:val="single" w:sz="4" w:space="0" w:color="auto"/>
              <w:bottom w:val="single" w:sz="4" w:space="0" w:color="auto"/>
              <w:right w:val="single" w:sz="4" w:space="0" w:color="auto"/>
            </w:tcBorders>
            <w:vAlign w:val="center"/>
            <w:hideMark/>
          </w:tcPr>
          <w:p w14:paraId="10036865" w14:textId="77777777" w:rsidR="00B469E0" w:rsidRPr="00A32804" w:rsidRDefault="00B469E0" w:rsidP="00B65C06">
            <w:pPr>
              <w:pStyle w:val="Tabletext"/>
              <w:rPr>
                <w:color w:val="444444"/>
                <w:shd w:val="clear" w:color="auto" w:fill="FFFFFF"/>
                <w:lang w:val="es-ES"/>
              </w:rPr>
            </w:pPr>
            <w:r w:rsidRPr="00A32804">
              <w:rPr>
                <w:lang w:val="es-ES"/>
              </w:rPr>
              <w:t>−</w:t>
            </w:r>
          </w:p>
        </w:tc>
        <w:tc>
          <w:tcPr>
            <w:tcW w:w="1093" w:type="pct"/>
            <w:tcBorders>
              <w:top w:val="single" w:sz="4" w:space="0" w:color="auto"/>
              <w:left w:val="single" w:sz="4" w:space="0" w:color="auto"/>
              <w:bottom w:val="single" w:sz="4" w:space="0" w:color="auto"/>
              <w:right w:val="single" w:sz="4" w:space="0" w:color="auto"/>
            </w:tcBorders>
            <w:vAlign w:val="center"/>
            <w:hideMark/>
          </w:tcPr>
          <w:p w14:paraId="6DC89938" w14:textId="77777777" w:rsidR="00B469E0" w:rsidRPr="008E01D6" w:rsidRDefault="00B469E0" w:rsidP="00B65C06">
            <w:pPr>
              <w:pStyle w:val="Tabletext"/>
              <w:rPr>
                <w:bCs/>
                <w:lang w:val="es-ES"/>
              </w:rPr>
            </w:pPr>
            <w:hyperlink r:id="rId54" w:tgtFrame="_blank" w:history="1">
              <w:r w:rsidRPr="008E01D6">
                <w:rPr>
                  <w:rStyle w:val="Hyperlink"/>
                  <w:rFonts w:eastAsia="SimSun"/>
                  <w:lang w:val="es-ES"/>
                </w:rPr>
                <w:t xml:space="preserve">Comisión Nacional de Reglamentación de las Telecomunicaciones </w:t>
              </w:r>
            </w:hyperlink>
            <w:r w:rsidRPr="008E01D6">
              <w:rPr>
                <w:bCs/>
                <w:lang w:val="es-ES"/>
              </w:rPr>
              <w:t xml:space="preserve">(NTRC) de Granada, en colaboración con la </w:t>
            </w:r>
            <w:hyperlink r:id="rId55" w:tgtFrame="_blank" w:history="1">
              <w:r w:rsidRPr="008E01D6">
                <w:rPr>
                  <w:rStyle w:val="Hyperlink"/>
                  <w:rFonts w:eastAsia="SimSun"/>
                  <w:lang w:val="es-ES"/>
                </w:rPr>
                <w:t xml:space="preserve">Comisión Interamericana </w:t>
              </w:r>
            </w:hyperlink>
            <w:r w:rsidRPr="008E01D6">
              <w:rPr>
                <w:rStyle w:val="Hyperlink"/>
                <w:rFonts w:eastAsia="SimSun"/>
                <w:lang w:val="es-ES"/>
              </w:rPr>
              <w:t>de Telecomunicaciones</w:t>
            </w:r>
            <w:r w:rsidRPr="008E01D6">
              <w:rPr>
                <w:bCs/>
                <w:lang w:val="es-ES"/>
              </w:rPr>
              <w:t xml:space="preserve"> (CITEL) y la Unión de Telecomunicaciones del Caribe (CTU)</w:t>
            </w:r>
          </w:p>
          <w:p w14:paraId="43AAF1D4" w14:textId="77777777" w:rsidR="00B469E0" w:rsidRPr="008E01D6" w:rsidRDefault="00B469E0" w:rsidP="00B65C06">
            <w:pPr>
              <w:pStyle w:val="Tabletext"/>
              <w:rPr>
                <w:bCs/>
                <w:lang w:val="es-ES"/>
              </w:rPr>
            </w:pPr>
            <w:r w:rsidRPr="008E01D6">
              <w:rPr>
                <w:bCs/>
                <w:lang w:val="es-ES"/>
              </w:rPr>
              <w:t xml:space="preserve">Oficina de la UIT para las Américas </w:t>
            </w:r>
          </w:p>
        </w:tc>
        <w:tc>
          <w:tcPr>
            <w:tcW w:w="699" w:type="pct"/>
            <w:tcBorders>
              <w:top w:val="single" w:sz="4" w:space="0" w:color="auto"/>
              <w:left w:val="single" w:sz="4" w:space="0" w:color="auto"/>
              <w:bottom w:val="single" w:sz="4" w:space="0" w:color="auto"/>
              <w:right w:val="single" w:sz="4" w:space="0" w:color="auto"/>
            </w:tcBorders>
            <w:vAlign w:val="center"/>
            <w:hideMark/>
          </w:tcPr>
          <w:p w14:paraId="100C2EDB" w14:textId="77777777" w:rsidR="00B469E0" w:rsidRPr="008E01D6" w:rsidRDefault="00B469E0" w:rsidP="00B65C06">
            <w:pPr>
              <w:pStyle w:val="Tabletext"/>
              <w:rPr>
                <w:bCs/>
                <w:lang w:val="es-ES"/>
              </w:rPr>
            </w:pPr>
            <w:r w:rsidRPr="008E01D6">
              <w:rPr>
                <w:bCs/>
                <w:lang w:val="es-ES"/>
              </w:rPr>
              <w:t>Sistemas de satélites: Desafíos y oportunidades para la región</w:t>
            </w:r>
          </w:p>
        </w:tc>
        <w:tc>
          <w:tcPr>
            <w:tcW w:w="326" w:type="pct"/>
            <w:tcBorders>
              <w:top w:val="single" w:sz="4" w:space="0" w:color="auto"/>
              <w:left w:val="single" w:sz="4" w:space="0" w:color="auto"/>
              <w:bottom w:val="single" w:sz="4" w:space="0" w:color="auto"/>
              <w:right w:val="single" w:sz="4" w:space="0" w:color="auto"/>
            </w:tcBorders>
            <w:vAlign w:val="center"/>
            <w:hideMark/>
          </w:tcPr>
          <w:p w14:paraId="3E6E3D0F" w14:textId="77777777" w:rsidR="00B469E0" w:rsidRPr="008E01D6" w:rsidRDefault="00B469E0" w:rsidP="00B65C06">
            <w:pPr>
              <w:pStyle w:val="Tabletext"/>
              <w:rPr>
                <w:bCs/>
                <w:lang w:val="es-ES"/>
              </w:rPr>
            </w:pPr>
            <w:r w:rsidRPr="008E01D6">
              <w:rPr>
                <w:bCs/>
                <w:lang w:val="es-ES"/>
              </w:rPr>
              <w:t>E, F, S</w:t>
            </w:r>
          </w:p>
        </w:tc>
        <w:tc>
          <w:tcPr>
            <w:tcW w:w="614" w:type="pct"/>
            <w:tcBorders>
              <w:top w:val="single" w:sz="4" w:space="0" w:color="auto"/>
              <w:left w:val="single" w:sz="4" w:space="0" w:color="auto"/>
              <w:bottom w:val="single" w:sz="4" w:space="0" w:color="auto"/>
              <w:right w:val="single" w:sz="4" w:space="0" w:color="auto"/>
            </w:tcBorders>
            <w:vAlign w:val="center"/>
            <w:hideMark/>
          </w:tcPr>
          <w:p w14:paraId="26293674" w14:textId="77777777" w:rsidR="00B469E0" w:rsidRPr="008E01D6" w:rsidRDefault="00B469E0" w:rsidP="00B65C06">
            <w:pPr>
              <w:pStyle w:val="Tabletext"/>
              <w:rPr>
                <w:bCs/>
                <w:lang w:val="es-ES"/>
              </w:rPr>
            </w:pPr>
            <w:r w:rsidRPr="008E01D6">
              <w:rPr>
                <w:bCs/>
                <w:lang w:val="es-ES"/>
              </w:rPr>
              <w:t xml:space="preserve">75/15 </w:t>
            </w:r>
          </w:p>
        </w:tc>
        <w:tc>
          <w:tcPr>
            <w:tcW w:w="494" w:type="pct"/>
            <w:tcBorders>
              <w:top w:val="single" w:sz="4" w:space="0" w:color="auto"/>
              <w:left w:val="single" w:sz="4" w:space="0" w:color="auto"/>
              <w:bottom w:val="single" w:sz="4" w:space="0" w:color="auto"/>
              <w:right w:val="single" w:sz="4" w:space="0" w:color="auto"/>
            </w:tcBorders>
            <w:vAlign w:val="center"/>
          </w:tcPr>
          <w:p w14:paraId="161AB6FE" w14:textId="77777777" w:rsidR="00B469E0" w:rsidRPr="008E01D6" w:rsidDel="00203E0B" w:rsidRDefault="00B469E0" w:rsidP="00B65C06">
            <w:pPr>
              <w:pStyle w:val="Tabletext"/>
              <w:rPr>
                <w:bCs/>
                <w:lang w:val="es-ES"/>
              </w:rPr>
            </w:pPr>
            <w:r w:rsidRPr="008E01D6">
              <w:rPr>
                <w:bCs/>
                <w:lang w:val="es-ES"/>
              </w:rPr>
              <w:t>5</w:t>
            </w:r>
          </w:p>
        </w:tc>
      </w:tr>
      <w:tr w:rsidR="00B469E0" w:rsidRPr="006F7473" w14:paraId="2042BC85" w14:textId="77777777" w:rsidTr="00B65C06">
        <w:trPr>
          <w:trHeight w:val="2814"/>
          <w:jc w:val="center"/>
        </w:trPr>
        <w:tc>
          <w:tcPr>
            <w:tcW w:w="414" w:type="pct"/>
            <w:tcBorders>
              <w:top w:val="single" w:sz="4" w:space="0" w:color="auto"/>
              <w:left w:val="single" w:sz="4" w:space="0" w:color="auto"/>
              <w:bottom w:val="single" w:sz="4" w:space="0" w:color="auto"/>
              <w:right w:val="single" w:sz="4" w:space="0" w:color="auto"/>
            </w:tcBorders>
            <w:vAlign w:val="center"/>
          </w:tcPr>
          <w:p w14:paraId="62A9D702" w14:textId="77777777" w:rsidR="00B469E0" w:rsidRPr="00A32804" w:rsidRDefault="00B469E0" w:rsidP="00B65C06">
            <w:pPr>
              <w:pStyle w:val="Tabletext"/>
              <w:rPr>
                <w:lang w:val="es-ES"/>
              </w:rPr>
            </w:pPr>
            <w:r w:rsidRPr="00A32804">
              <w:rPr>
                <w:lang w:val="es-ES"/>
              </w:rPr>
              <w:t>16-21 de septiembre de 2024</w:t>
            </w:r>
          </w:p>
        </w:tc>
        <w:tc>
          <w:tcPr>
            <w:tcW w:w="504" w:type="pct"/>
            <w:tcBorders>
              <w:top w:val="single" w:sz="4" w:space="0" w:color="auto"/>
              <w:left w:val="single" w:sz="4" w:space="0" w:color="auto"/>
              <w:bottom w:val="single" w:sz="4" w:space="0" w:color="auto"/>
              <w:right w:val="single" w:sz="4" w:space="0" w:color="auto"/>
            </w:tcBorders>
            <w:vAlign w:val="center"/>
          </w:tcPr>
          <w:p w14:paraId="28AA46D0" w14:textId="77777777" w:rsidR="00B469E0" w:rsidRPr="00A32804" w:rsidRDefault="00B469E0" w:rsidP="00B65C06">
            <w:pPr>
              <w:pStyle w:val="Tabletext"/>
              <w:rPr>
                <w:b/>
                <w:bCs/>
                <w:lang w:val="es-ES"/>
              </w:rPr>
            </w:pPr>
            <w:r w:rsidRPr="00A32804">
              <w:rPr>
                <w:b/>
                <w:bCs/>
                <w:lang w:val="es-ES"/>
              </w:rPr>
              <w:t>SRR-24-Asia-Pacífico</w:t>
            </w:r>
          </w:p>
        </w:tc>
        <w:tc>
          <w:tcPr>
            <w:tcW w:w="397" w:type="pct"/>
            <w:tcBorders>
              <w:top w:val="single" w:sz="4" w:space="0" w:color="auto"/>
              <w:left w:val="single" w:sz="4" w:space="0" w:color="auto"/>
              <w:bottom w:val="single" w:sz="4" w:space="0" w:color="auto"/>
              <w:right w:val="single" w:sz="4" w:space="0" w:color="auto"/>
            </w:tcBorders>
            <w:vAlign w:val="center"/>
          </w:tcPr>
          <w:p w14:paraId="276B604C" w14:textId="77777777" w:rsidR="00B469E0" w:rsidRPr="00A32804" w:rsidRDefault="00B469E0" w:rsidP="00B65C06">
            <w:pPr>
              <w:pStyle w:val="Tabletext"/>
              <w:rPr>
                <w:bCs/>
                <w:lang w:val="es-ES"/>
              </w:rPr>
            </w:pPr>
            <w:r w:rsidRPr="00A32804">
              <w:rPr>
                <w:bCs/>
                <w:lang w:val="es-ES"/>
              </w:rPr>
              <w:t>Apia, Samoa</w:t>
            </w:r>
          </w:p>
        </w:tc>
        <w:tc>
          <w:tcPr>
            <w:tcW w:w="459" w:type="pct"/>
            <w:tcBorders>
              <w:top w:val="single" w:sz="4" w:space="0" w:color="auto"/>
              <w:left w:val="single" w:sz="4" w:space="0" w:color="auto"/>
              <w:bottom w:val="single" w:sz="4" w:space="0" w:color="auto"/>
              <w:right w:val="single" w:sz="4" w:space="0" w:color="auto"/>
            </w:tcBorders>
            <w:vAlign w:val="center"/>
          </w:tcPr>
          <w:p w14:paraId="5D5A0911" w14:textId="77777777" w:rsidR="00B469E0" w:rsidRPr="00A32804" w:rsidRDefault="00B469E0" w:rsidP="00B65C06">
            <w:pPr>
              <w:pStyle w:val="Tabletext"/>
              <w:rPr>
                <w:lang w:val="es-ES"/>
              </w:rPr>
            </w:pPr>
          </w:p>
        </w:tc>
        <w:tc>
          <w:tcPr>
            <w:tcW w:w="1093" w:type="pct"/>
            <w:tcBorders>
              <w:top w:val="single" w:sz="4" w:space="0" w:color="auto"/>
              <w:left w:val="single" w:sz="4" w:space="0" w:color="auto"/>
              <w:bottom w:val="single" w:sz="4" w:space="0" w:color="auto"/>
              <w:right w:val="single" w:sz="4" w:space="0" w:color="auto"/>
            </w:tcBorders>
            <w:vAlign w:val="center"/>
          </w:tcPr>
          <w:p w14:paraId="621AB9A0" w14:textId="77777777" w:rsidR="00B469E0" w:rsidRPr="008E01D6" w:rsidRDefault="00B469E0" w:rsidP="00B65C06">
            <w:pPr>
              <w:pStyle w:val="Tabletext"/>
              <w:rPr>
                <w:bCs/>
                <w:lang w:val="es-ES"/>
              </w:rPr>
            </w:pPr>
            <w:r w:rsidRPr="008E01D6">
              <w:rPr>
                <w:bCs/>
                <w:lang w:val="es-ES"/>
              </w:rPr>
              <w:t xml:space="preserve">La Oficina del Regulador de Samoa, en colaboración con la </w:t>
            </w:r>
            <w:hyperlink r:id="rId56" w:tgtFrame="_blank" w:history="1">
              <w:r w:rsidRPr="008E01D6">
                <w:rPr>
                  <w:rStyle w:val="Hyperlink"/>
                  <w:rFonts w:eastAsia="SimSun"/>
                  <w:lang w:val="es-ES"/>
                </w:rPr>
                <w:t>Telecomunidad Asia</w:t>
              </w:r>
              <w:r w:rsidRPr="008E01D6">
                <w:rPr>
                  <w:rStyle w:val="Hyperlink"/>
                  <w:rFonts w:eastAsia="SimSun"/>
                  <w:lang w:val="es-ES"/>
                </w:rPr>
                <w:noBreakHyphen/>
                <w:t>Pacífico</w:t>
              </w:r>
              <w:r w:rsidRPr="008E01D6">
                <w:rPr>
                  <w:bCs/>
                  <w:lang w:val="es-ES"/>
                </w:rPr>
                <w:t xml:space="preserve"> </w:t>
              </w:r>
            </w:hyperlink>
            <w:r w:rsidRPr="008E01D6">
              <w:rPr>
                <w:bCs/>
                <w:lang w:val="es-ES"/>
              </w:rPr>
              <w:t xml:space="preserve">(APT) y la </w:t>
            </w:r>
            <w:hyperlink r:id="rId57" w:tgtFrame="_blank" w:history="1">
              <w:r w:rsidRPr="008E01D6">
                <w:rPr>
                  <w:rStyle w:val="Hyperlink"/>
                  <w:rFonts w:eastAsia="SimSun"/>
                  <w:lang w:val="es-ES"/>
                </w:rPr>
                <w:t xml:space="preserve">Asociación de Telecomunicaciones de las Islas del Pacífico </w:t>
              </w:r>
            </w:hyperlink>
            <w:r w:rsidRPr="008E01D6">
              <w:rPr>
                <w:bCs/>
                <w:lang w:val="es-ES"/>
              </w:rPr>
              <w:t>(PITA), y con el patrocinio del Ministerio de Industria y Tecnología de la Información (MIIT) de China</w:t>
            </w:r>
          </w:p>
          <w:p w14:paraId="365010E8" w14:textId="77777777" w:rsidR="00B469E0" w:rsidRPr="008E01D6" w:rsidRDefault="00B469E0" w:rsidP="00B65C06">
            <w:pPr>
              <w:pStyle w:val="Tabletext"/>
              <w:rPr>
                <w:bCs/>
                <w:lang w:val="es-ES"/>
              </w:rPr>
            </w:pPr>
            <w:r w:rsidRPr="008E01D6">
              <w:rPr>
                <w:bCs/>
                <w:lang w:val="es-ES"/>
              </w:rPr>
              <w:t>Oficina de la UIT para Asia y el Pacífico</w:t>
            </w:r>
          </w:p>
        </w:tc>
        <w:tc>
          <w:tcPr>
            <w:tcW w:w="699" w:type="pct"/>
            <w:tcBorders>
              <w:top w:val="single" w:sz="4" w:space="0" w:color="auto"/>
              <w:left w:val="single" w:sz="4" w:space="0" w:color="auto"/>
              <w:bottom w:val="single" w:sz="4" w:space="0" w:color="auto"/>
              <w:right w:val="single" w:sz="4" w:space="0" w:color="auto"/>
            </w:tcBorders>
            <w:vAlign w:val="center"/>
          </w:tcPr>
          <w:p w14:paraId="38A56FB2" w14:textId="77777777" w:rsidR="00B469E0" w:rsidRPr="008E01D6" w:rsidRDefault="00B469E0" w:rsidP="00B65C06">
            <w:pPr>
              <w:pStyle w:val="Tabletext"/>
              <w:rPr>
                <w:bCs/>
                <w:lang w:val="es-ES"/>
              </w:rPr>
            </w:pPr>
            <w:r w:rsidRPr="008E01D6">
              <w:rPr>
                <w:bCs/>
                <w:lang w:val="es-ES"/>
              </w:rPr>
              <w:t>Sistemas de radiocomunicaciones modernos</w:t>
            </w:r>
          </w:p>
        </w:tc>
        <w:tc>
          <w:tcPr>
            <w:tcW w:w="326" w:type="pct"/>
            <w:tcBorders>
              <w:top w:val="single" w:sz="4" w:space="0" w:color="auto"/>
              <w:left w:val="single" w:sz="4" w:space="0" w:color="auto"/>
              <w:bottom w:val="single" w:sz="4" w:space="0" w:color="auto"/>
              <w:right w:val="single" w:sz="4" w:space="0" w:color="auto"/>
            </w:tcBorders>
            <w:vAlign w:val="center"/>
          </w:tcPr>
          <w:p w14:paraId="3DBACA38" w14:textId="77777777" w:rsidR="00B469E0" w:rsidRPr="008E01D6" w:rsidRDefault="00B469E0" w:rsidP="00B65C06">
            <w:pPr>
              <w:pStyle w:val="Tabletext"/>
              <w:rPr>
                <w:bCs/>
                <w:lang w:val="es-ES"/>
              </w:rPr>
            </w:pPr>
            <w:r w:rsidRPr="008E01D6">
              <w:rPr>
                <w:bCs/>
                <w:lang w:val="es-ES"/>
              </w:rPr>
              <w:t>E</w:t>
            </w:r>
          </w:p>
        </w:tc>
        <w:tc>
          <w:tcPr>
            <w:tcW w:w="614" w:type="pct"/>
            <w:tcBorders>
              <w:top w:val="single" w:sz="4" w:space="0" w:color="auto"/>
              <w:left w:val="single" w:sz="4" w:space="0" w:color="auto"/>
              <w:bottom w:val="single" w:sz="4" w:space="0" w:color="auto"/>
              <w:right w:val="single" w:sz="4" w:space="0" w:color="auto"/>
            </w:tcBorders>
            <w:vAlign w:val="center"/>
          </w:tcPr>
          <w:p w14:paraId="41EC95EB" w14:textId="77777777" w:rsidR="00B469E0" w:rsidRPr="008E01D6" w:rsidRDefault="00B469E0" w:rsidP="00B65C06">
            <w:pPr>
              <w:pStyle w:val="Tabletext"/>
              <w:rPr>
                <w:bCs/>
                <w:lang w:val="es-ES"/>
              </w:rPr>
            </w:pPr>
            <w:r w:rsidRPr="008E01D6">
              <w:rPr>
                <w:bCs/>
                <w:lang w:val="es-ES"/>
              </w:rPr>
              <w:t>100/25</w:t>
            </w:r>
          </w:p>
        </w:tc>
        <w:tc>
          <w:tcPr>
            <w:tcW w:w="494" w:type="pct"/>
            <w:tcBorders>
              <w:top w:val="single" w:sz="4" w:space="0" w:color="auto"/>
              <w:left w:val="single" w:sz="4" w:space="0" w:color="auto"/>
              <w:bottom w:val="single" w:sz="4" w:space="0" w:color="auto"/>
              <w:right w:val="single" w:sz="4" w:space="0" w:color="auto"/>
            </w:tcBorders>
            <w:vAlign w:val="center"/>
          </w:tcPr>
          <w:p w14:paraId="2C402E77" w14:textId="77777777" w:rsidR="00B469E0" w:rsidRPr="008E01D6" w:rsidRDefault="00B469E0" w:rsidP="00B65C06">
            <w:pPr>
              <w:pStyle w:val="Tabletext"/>
              <w:rPr>
                <w:bCs/>
                <w:lang w:val="es-ES"/>
              </w:rPr>
            </w:pPr>
            <w:r w:rsidRPr="008E01D6">
              <w:rPr>
                <w:bCs/>
                <w:lang w:val="es-ES"/>
              </w:rPr>
              <w:t>Presupuesto ordinario: 2</w:t>
            </w:r>
          </w:p>
          <w:p w14:paraId="354359C2" w14:textId="77777777" w:rsidR="00B469E0" w:rsidRPr="008E01D6" w:rsidRDefault="00B469E0" w:rsidP="00B65C06">
            <w:pPr>
              <w:pStyle w:val="Tabletext"/>
              <w:rPr>
                <w:bCs/>
                <w:lang w:val="es-ES"/>
              </w:rPr>
            </w:pPr>
            <w:r w:rsidRPr="008E01D6">
              <w:rPr>
                <w:bCs/>
                <w:lang w:val="es-ES"/>
              </w:rPr>
              <w:t>Proyectos: 17</w:t>
            </w:r>
          </w:p>
          <w:p w14:paraId="73D728BC" w14:textId="77777777" w:rsidR="00B469E0" w:rsidRPr="008E01D6" w:rsidRDefault="00B469E0" w:rsidP="00B65C06">
            <w:pPr>
              <w:pStyle w:val="Tabletext"/>
              <w:rPr>
                <w:bCs/>
                <w:lang w:val="es-ES"/>
              </w:rPr>
            </w:pPr>
            <w:r w:rsidRPr="008E01D6">
              <w:rPr>
                <w:bCs/>
                <w:lang w:val="es-ES"/>
              </w:rPr>
              <w:t>El MIIT concedió becas para este evento.</w:t>
            </w:r>
          </w:p>
        </w:tc>
      </w:tr>
    </w:tbl>
    <w:p w14:paraId="3B46F67C" w14:textId="77777777" w:rsidR="00B469E0" w:rsidRPr="00A32804" w:rsidRDefault="00B469E0" w:rsidP="00B469E0">
      <w:pPr>
        <w:spacing w:before="80"/>
        <w:rPr>
          <w:lang w:val="es-ES"/>
        </w:rPr>
      </w:pPr>
      <w:r w:rsidRPr="00A32804">
        <w:rPr>
          <w:lang w:val="es-ES"/>
        </w:rPr>
        <w:t>La BR, conjuntamente con sus socios regionales, concedió 26 becas para los SRR (una por administración para los países aptos).</w:t>
      </w:r>
    </w:p>
    <w:p w14:paraId="2C6AC76B" w14:textId="77777777" w:rsidR="00B469E0" w:rsidRPr="00A32804" w:rsidRDefault="00B469E0" w:rsidP="00B469E0">
      <w:pPr>
        <w:rPr>
          <w:rFonts w:asciiTheme="majorBidi" w:hAnsiTheme="majorBidi" w:cstheme="majorBidi"/>
          <w:highlight w:val="cyan"/>
          <w:lang w:val="es-ES"/>
        </w:rPr>
        <w:sectPr w:rsidR="00B469E0" w:rsidRPr="00A32804" w:rsidSect="00B469E0">
          <w:headerReference w:type="default" r:id="rId58"/>
          <w:headerReference w:type="first" r:id="rId59"/>
          <w:footerReference w:type="first" r:id="rId60"/>
          <w:pgSz w:w="16840" w:h="11907" w:orient="landscape" w:code="9"/>
          <w:pgMar w:top="1134" w:right="1418" w:bottom="1134" w:left="851" w:header="720" w:footer="720" w:gutter="0"/>
          <w:paperSrc w:first="15" w:other="15"/>
          <w:cols w:space="720"/>
          <w:docGrid w:linePitch="326"/>
        </w:sectPr>
      </w:pPr>
    </w:p>
    <w:p w14:paraId="17711B95" w14:textId="77777777" w:rsidR="00B469E0" w:rsidRPr="00A32804" w:rsidRDefault="00B469E0" w:rsidP="00B469E0">
      <w:pPr>
        <w:pStyle w:val="Heading3"/>
        <w:rPr>
          <w:i/>
          <w:lang w:val="es-ES"/>
        </w:rPr>
      </w:pPr>
      <w:bookmarkStart w:id="109" w:name="_Toc446060786"/>
      <w:bookmarkStart w:id="110" w:name="_Toc424047604"/>
      <w:r w:rsidRPr="00A32804">
        <w:rPr>
          <w:lang w:val="es-ES"/>
        </w:rPr>
        <w:lastRenderedPageBreak/>
        <w:t>8.2.3</w:t>
      </w:r>
      <w:r w:rsidRPr="00A32804">
        <w:rPr>
          <w:lang w:val="es-ES"/>
        </w:rPr>
        <w:tab/>
        <w:t>Seminarios Mundiales y Regionales de Radiocomunicaciones previstos para 2024-2027</w:t>
      </w:r>
    </w:p>
    <w:bookmarkEnd w:id="109"/>
    <w:p w14:paraId="693BD015" w14:textId="77777777" w:rsidR="00B469E0" w:rsidRDefault="00B469E0" w:rsidP="00B469E0">
      <w:pPr>
        <w:rPr>
          <w:lang w:val="es-ES"/>
        </w:rPr>
      </w:pPr>
      <w:r w:rsidRPr="00A32804">
        <w:rPr>
          <w:lang w:val="es-ES"/>
        </w:rPr>
        <w:t>De acuerdo con la planificación de SMR y SRR para 2024-2027 (Cuadro 8.2.2-1), se ha previsto celebrar los siguientes seminarios en 2025:</w:t>
      </w:r>
    </w:p>
    <w:p w14:paraId="36AAB53C" w14:textId="77777777" w:rsidR="00B469E0" w:rsidRPr="00A32804" w:rsidRDefault="00B469E0" w:rsidP="00B469E0">
      <w:pPr>
        <w:pStyle w:val="enumlev1"/>
        <w:rPr>
          <w:lang w:val="es-ES"/>
        </w:rPr>
      </w:pPr>
      <w:r w:rsidRPr="00C9335C">
        <w:rPr>
          <w:lang w:val="es-ES"/>
        </w:rPr>
        <w:t>•</w:t>
      </w:r>
      <w:r w:rsidRPr="00C9335C">
        <w:tab/>
      </w:r>
      <w:r w:rsidRPr="00A32804">
        <w:rPr>
          <w:lang w:val="es-ES"/>
        </w:rPr>
        <w:t>SRR-25-África: 5-8 de mayo, Ciudad de Djibouti, Djibouti (República de);</w:t>
      </w:r>
    </w:p>
    <w:p w14:paraId="4DF77F16"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SRR-25-Américas (centrado en Mesoamérica): 16-20 de junio, Tegucigalpa, Honduras;</w:t>
      </w:r>
    </w:p>
    <w:p w14:paraId="2AD342FD"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SRR-25-Asia-Pacífico: septiembre, lugar de celebración [por confirmar].</w:t>
      </w:r>
    </w:p>
    <w:p w14:paraId="05BDAF24" w14:textId="77777777" w:rsidR="00B469E0" w:rsidRPr="00A32804" w:rsidRDefault="00B469E0" w:rsidP="00B469E0">
      <w:pPr>
        <w:rPr>
          <w:lang w:val="es-ES"/>
        </w:rPr>
      </w:pPr>
      <w:r w:rsidRPr="00A32804">
        <w:rPr>
          <w:lang w:val="es-ES"/>
        </w:rPr>
        <w:t>También se ha previsto organizar las siguientes actividades de creación de capacidades en 2025:</w:t>
      </w:r>
    </w:p>
    <w:p w14:paraId="58F4B9A4"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El Taller regional sobre técnicas modernas de gestión y comprobación técnica del espectro (para las Américas), que se celebrará durante el segundo</w:t>
      </w:r>
      <w:r w:rsidRPr="00A32804">
        <w:rPr>
          <w:vertAlign w:val="superscript"/>
          <w:lang w:val="es-ES"/>
        </w:rPr>
        <w:t xml:space="preserve"> </w:t>
      </w:r>
      <w:r w:rsidRPr="00A32804">
        <w:rPr>
          <w:lang w:val="es-ES"/>
        </w:rPr>
        <w:t>trimestre de 2025, en un lugar por confirmar, en español e inglés</w:t>
      </w:r>
      <w:r>
        <w:rPr>
          <w:lang w:val="es-ES"/>
        </w:rPr>
        <w:t>.</w:t>
      </w:r>
    </w:p>
    <w:p w14:paraId="3F829FF2"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El 1</w:t>
      </w:r>
      <w:r w:rsidRPr="00A32804">
        <w:rPr>
          <w:vertAlign w:val="superscript"/>
          <w:lang w:val="es-ES"/>
        </w:rPr>
        <w:t>er</w:t>
      </w:r>
      <w:r w:rsidRPr="00A32804">
        <w:rPr>
          <w:lang w:val="es-ES"/>
        </w:rPr>
        <w:t xml:space="preserve"> Taller regional de gestión del espectro para Asia y el Pacífico, que se celebrará en paralelo al SRR-25-Asia-Pacífico (en las mismas instalaciones).</w:t>
      </w:r>
    </w:p>
    <w:p w14:paraId="113ED8D0" w14:textId="77777777" w:rsidR="00B469E0" w:rsidRPr="00A32804" w:rsidRDefault="00B469E0" w:rsidP="00B469E0">
      <w:pPr>
        <w:pStyle w:val="Heading3"/>
        <w:rPr>
          <w:highlight w:val="cyan"/>
          <w:lang w:val="es-ES"/>
        </w:rPr>
      </w:pPr>
      <w:r w:rsidRPr="00A32804">
        <w:rPr>
          <w:lang w:val="es-ES"/>
        </w:rPr>
        <w:t>8.2.4</w:t>
      </w:r>
      <w:r w:rsidRPr="00A32804">
        <w:rPr>
          <w:lang w:val="es-ES"/>
        </w:rPr>
        <w:tab/>
        <w:t>Talleres sobre los cuadros nacionales de atribución de frecuencias</w:t>
      </w:r>
    </w:p>
    <w:p w14:paraId="33106B7F" w14:textId="77777777" w:rsidR="00B469E0" w:rsidRPr="00A32804" w:rsidRDefault="00B469E0" w:rsidP="00B469E0">
      <w:pPr>
        <w:rPr>
          <w:rFonts w:eastAsia="Calibri"/>
          <w:lang w:val="es-ES" w:eastAsia="en-GB" w:bidi="en-GB"/>
        </w:rPr>
      </w:pPr>
      <w:r w:rsidRPr="00A32804">
        <w:rPr>
          <w:rFonts w:eastAsia="Calibri"/>
          <w:lang w:val="es-ES" w:eastAsia="en-GB" w:bidi="en-GB"/>
        </w:rPr>
        <w:t>En los distintos SRR, los participantes reconocieron la urgente necesidad de mejorar y actualizar sus cuadros nacionales de atribución de frecuencias (CNAF)</w:t>
      </w:r>
      <w:r w:rsidRPr="00A32804">
        <w:rPr>
          <w:lang w:val="es-ES"/>
        </w:rPr>
        <w:t xml:space="preserve"> y de adecuarlos al RR, si bien para ello debían hacer frente a grandes dificultades, como podían ser</w:t>
      </w:r>
      <w:r w:rsidRPr="00A32804">
        <w:rPr>
          <w:rFonts w:eastAsia="Calibri"/>
          <w:lang w:val="es-ES" w:eastAsia="en-GB" w:bidi="en-GB"/>
        </w:rPr>
        <w:t>:</w:t>
      </w:r>
    </w:p>
    <w:p w14:paraId="17F8A900"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la escasa concienciación sobre la importancia de los CNAF;</w:t>
      </w:r>
    </w:p>
    <w:p w14:paraId="397831E1"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la falta de recursos humanos calificados y dedicados a actualizar y mantener los CNAF;</w:t>
      </w:r>
    </w:p>
    <w:p w14:paraId="531E4626"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 xml:space="preserve">el escaso conocimiento de ciertas cuestiones relativas al RR (en particular, el Artículo </w:t>
      </w:r>
      <w:r w:rsidRPr="00A32804">
        <w:rPr>
          <w:b/>
          <w:lang w:val="es-ES"/>
        </w:rPr>
        <w:t xml:space="preserve">5 </w:t>
      </w:r>
      <w:r w:rsidRPr="00A32804">
        <w:rPr>
          <w:lang w:val="es-ES"/>
        </w:rPr>
        <w:t>del RR), el proceso de la CMR, la estructura de las CE del UIT-R y las publicaciones de la BR;</w:t>
      </w:r>
    </w:p>
    <w:p w14:paraId="4B760F99"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la existencia de herramientas informáticas limitadas (y anticuadas) para la gestión del espectro (y la actualización de los CNAF).</w:t>
      </w:r>
    </w:p>
    <w:p w14:paraId="0B413AB9" w14:textId="77777777" w:rsidR="00B469E0" w:rsidRPr="00A32804" w:rsidRDefault="00B469E0" w:rsidP="00B469E0">
      <w:pPr>
        <w:rPr>
          <w:rFonts w:eastAsia="Calibri"/>
          <w:lang w:val="es-ES" w:eastAsia="en-GB" w:bidi="en-GB"/>
        </w:rPr>
      </w:pPr>
      <w:r w:rsidRPr="00A32804">
        <w:rPr>
          <w:rFonts w:eastAsia="Calibri"/>
          <w:lang w:val="es-ES" w:eastAsia="en-GB" w:bidi="en-GB"/>
        </w:rPr>
        <w:t>A pesar de abordar esta cuestión, los SMR y SRR se centran principalmente en:</w:t>
      </w:r>
    </w:p>
    <w:p w14:paraId="60769263" w14:textId="77777777" w:rsidR="00B469E0" w:rsidRPr="00A32804" w:rsidRDefault="00B469E0" w:rsidP="00B469E0">
      <w:pPr>
        <w:pStyle w:val="enumlev1"/>
        <w:rPr>
          <w:lang w:val="es-ES"/>
        </w:rPr>
      </w:pPr>
      <w:bookmarkStart w:id="111" w:name="lt_pId1322"/>
      <w:r w:rsidRPr="00C9335C">
        <w:rPr>
          <w:lang w:val="es-ES"/>
        </w:rPr>
        <w:t>•</w:t>
      </w:r>
      <w:r>
        <w:rPr>
          <w:lang w:val="es-ES"/>
        </w:rPr>
        <w:tab/>
      </w:r>
      <w:r w:rsidRPr="00A32804">
        <w:rPr>
          <w:lang w:val="es-ES"/>
        </w:rPr>
        <w:t>la preparación de notificaciones para el registro de estaciones (SMR);</w:t>
      </w:r>
      <w:bookmarkEnd w:id="111"/>
    </w:p>
    <w:p w14:paraId="3FDACF3C" w14:textId="77777777" w:rsidR="00B469E0" w:rsidRPr="00A32804" w:rsidRDefault="00B469E0" w:rsidP="00B469E0">
      <w:pPr>
        <w:pStyle w:val="enumlev1"/>
        <w:rPr>
          <w:lang w:val="es-ES"/>
        </w:rPr>
      </w:pPr>
      <w:bookmarkStart w:id="112" w:name="lt_pId1323"/>
      <w:r w:rsidRPr="00C9335C">
        <w:rPr>
          <w:lang w:val="es-ES"/>
        </w:rPr>
        <w:t>•</w:t>
      </w:r>
      <w:r>
        <w:rPr>
          <w:lang w:val="es-ES"/>
        </w:rPr>
        <w:tab/>
      </w:r>
      <w:r w:rsidRPr="00A32804">
        <w:rPr>
          <w:lang w:val="es-ES"/>
        </w:rPr>
        <w:t>los temas más importantes de las agendas regionales en materia de gestión del espectro (por ejemplo, 5G, TDT, grandes constelaciones, comunicaciones de emergencia, etc.).</w:t>
      </w:r>
      <w:bookmarkEnd w:id="112"/>
    </w:p>
    <w:p w14:paraId="484D0085" w14:textId="77777777" w:rsidR="00B469E0" w:rsidRPr="00A32804" w:rsidRDefault="00B469E0" w:rsidP="00B469E0">
      <w:pPr>
        <w:rPr>
          <w:rFonts w:eastAsia="Calibri"/>
          <w:lang w:val="es-ES" w:eastAsia="en-GB" w:bidi="en-GB"/>
        </w:rPr>
      </w:pPr>
      <w:r w:rsidRPr="00A32804">
        <w:rPr>
          <w:rFonts w:eastAsia="Calibri"/>
          <w:lang w:val="es-ES" w:eastAsia="en-GB" w:bidi="en-GB"/>
        </w:rPr>
        <w:t>En consecuencia, se reconoció la necesidad de complementar los SMR/SRR con una formación específicamente dedicada a los CNAF y a su actualización de acuerdo con el RR de la UIT y las publicaciones del UIT-R.</w:t>
      </w:r>
    </w:p>
    <w:p w14:paraId="4D19D258" w14:textId="77777777" w:rsidR="00B469E0" w:rsidRDefault="00B469E0" w:rsidP="00B469E0">
      <w:pPr>
        <w:rPr>
          <w:rFonts w:eastAsia="Calibri"/>
          <w:lang w:val="es-ES" w:eastAsia="en-GB" w:bidi="en-GB"/>
        </w:rPr>
      </w:pPr>
      <w:r w:rsidRPr="00A32804">
        <w:rPr>
          <w:rFonts w:eastAsia="Calibri"/>
          <w:lang w:val="es-ES" w:eastAsia="en-GB" w:bidi="en-GB"/>
        </w:rPr>
        <w:t>En respuesta, la BR organizó</w:t>
      </w:r>
      <w:r w:rsidRPr="00A32804">
        <w:rPr>
          <w:lang w:val="es-ES"/>
        </w:rPr>
        <w:t xml:space="preserve"> los siguientes talleres sobre los CNAF (uno por Región del RR)</w:t>
      </w:r>
      <w:r w:rsidRPr="00A32804">
        <w:rPr>
          <w:rFonts w:eastAsia="Calibri"/>
          <w:lang w:val="es-ES" w:eastAsia="en-GB" w:bidi="en-GB"/>
        </w:rPr>
        <w:t xml:space="preserve"> en</w:t>
      </w:r>
      <w:r>
        <w:rPr>
          <w:rFonts w:eastAsia="Calibri"/>
          <w:lang w:val="es-ES" w:eastAsia="en-GB" w:bidi="en-GB"/>
        </w:rPr>
        <w:t> </w:t>
      </w:r>
      <w:r w:rsidRPr="00A32804">
        <w:rPr>
          <w:rFonts w:eastAsia="Calibri"/>
          <w:lang w:val="es-ES" w:eastAsia="en-GB" w:bidi="en-GB"/>
        </w:rPr>
        <w:t>2024:</w:t>
      </w:r>
    </w:p>
    <w:p w14:paraId="72A7669D" w14:textId="77777777" w:rsidR="00B469E0" w:rsidRPr="00C9335C" w:rsidRDefault="00B469E0" w:rsidP="00B469E0">
      <w:pPr>
        <w:pStyle w:val="enumlev1"/>
        <w:rPr>
          <w:rFonts w:eastAsia="Calibri"/>
          <w:lang w:val="es-ES" w:eastAsia="en-GB" w:bidi="en-GB"/>
        </w:rPr>
      </w:pPr>
      <w:r w:rsidRPr="00C9335C">
        <w:rPr>
          <w:lang w:val="es-ES"/>
        </w:rPr>
        <w:t>•</w:t>
      </w:r>
      <w:r>
        <w:rPr>
          <w:lang w:val="es-ES"/>
        </w:rPr>
        <w:tab/>
      </w:r>
      <w:r w:rsidRPr="00A32804">
        <w:rPr>
          <w:b/>
          <w:bCs/>
          <w:lang w:val="es-ES"/>
        </w:rPr>
        <w:t xml:space="preserve">Taller sobre los CNAF para la Región 1: </w:t>
      </w:r>
      <w:r w:rsidRPr="00A32804">
        <w:rPr>
          <w:lang w:val="es-ES"/>
        </w:rPr>
        <w:t xml:space="preserve">20-23 de mayo, Addis Abeba, Etiopía, organizado conjuntamente por la UIT y la </w:t>
      </w:r>
      <w:hyperlink r:id="rId61" w:tgtFrame="_blank" w:history="1">
        <w:r w:rsidRPr="00A32804">
          <w:rPr>
            <w:rStyle w:val="Hyperlink"/>
            <w:rFonts w:eastAsia="SimSun"/>
            <w:lang w:val="es-ES"/>
          </w:rPr>
          <w:t xml:space="preserve">Iniciativa de Política y Reglamentación para el África Digital </w:t>
        </w:r>
      </w:hyperlink>
      <w:r w:rsidRPr="00A32804">
        <w:rPr>
          <w:lang w:val="es-ES"/>
        </w:rPr>
        <w:t>(PRIDA).</w:t>
      </w:r>
    </w:p>
    <w:p w14:paraId="1B187D6A" w14:textId="77777777" w:rsidR="00B469E0" w:rsidRPr="00A32804" w:rsidRDefault="00B469E0" w:rsidP="00B469E0">
      <w:pPr>
        <w:pStyle w:val="enumlev1"/>
      </w:pPr>
      <w:r>
        <w:tab/>
      </w:r>
      <w:r w:rsidRPr="00A32804">
        <w:t xml:space="preserve">El </w:t>
      </w:r>
      <w:bookmarkStart w:id="113" w:name="_Hlk191886144"/>
      <w:r w:rsidRPr="00A32804">
        <w:fldChar w:fldCharType="begin"/>
      </w:r>
      <w:r w:rsidRPr="00A32804">
        <w:instrText>HYPERLINK "http://www.mint.gov.et/" \t "_blank"</w:instrText>
      </w:r>
      <w:r w:rsidRPr="00A32804">
        <w:fldChar w:fldCharType="separate"/>
      </w:r>
      <w:r w:rsidRPr="00C9335C">
        <w:t>Ministerio de Innovación y Tecnología (MinT) de Etiopía</w:t>
      </w:r>
      <w:r w:rsidRPr="00A32804">
        <w:fldChar w:fldCharType="end"/>
      </w:r>
      <w:bookmarkEnd w:id="113"/>
      <w:r w:rsidRPr="00A32804">
        <w:t xml:space="preserve"> ejerció las veces de anfitrión de esta iniciativa conjunta UIT-PRIDA, en colaboración con la </w:t>
      </w:r>
      <w:hyperlink r:id="rId62" w:tgtFrame="_blank" w:history="1">
        <w:r w:rsidRPr="00A32804">
          <w:rPr>
            <w:rStyle w:val="Hyperlink"/>
            <w:rFonts w:eastAsia="SimSun"/>
            <w:lang w:val="es-ES"/>
          </w:rPr>
          <w:t>Unión Africana de Telecomunicaciones</w:t>
        </w:r>
      </w:hyperlink>
      <w:r w:rsidRPr="00A32804">
        <w:t xml:space="preserve"> (UAT). </w:t>
      </w:r>
    </w:p>
    <w:p w14:paraId="15900009" w14:textId="77777777" w:rsidR="00B469E0" w:rsidRPr="00A32804" w:rsidRDefault="00B469E0" w:rsidP="00B469E0">
      <w:pPr>
        <w:pStyle w:val="enumlev1"/>
        <w:rPr>
          <w:lang w:val="es-ES"/>
        </w:rPr>
      </w:pPr>
      <w:r w:rsidRPr="00A32804">
        <w:rPr>
          <w:lang w:val="es-ES"/>
        </w:rPr>
        <w:tab/>
        <w:t>Los debates y ponencias de este taller se desarrollaron en árabe, inglés y francés, con interpretación simultánea.</w:t>
      </w:r>
    </w:p>
    <w:p w14:paraId="505E1968" w14:textId="77777777" w:rsidR="00B469E0" w:rsidRPr="00A32804" w:rsidRDefault="00B469E0" w:rsidP="00B469E0">
      <w:pPr>
        <w:pStyle w:val="enumlev1"/>
        <w:rPr>
          <w:lang w:val="es-ES"/>
        </w:rPr>
      </w:pPr>
      <w:r w:rsidRPr="00A32804">
        <w:rPr>
          <w:lang w:val="es-ES"/>
        </w:rPr>
        <w:tab/>
        <w:t>BR concedió 35 becas para este evento.</w:t>
      </w:r>
    </w:p>
    <w:p w14:paraId="45019734" w14:textId="77777777" w:rsidR="00B469E0" w:rsidRPr="00A32804" w:rsidRDefault="00B469E0" w:rsidP="00B469E0">
      <w:pPr>
        <w:pStyle w:val="enumlev1"/>
        <w:keepNext/>
        <w:keepLines/>
        <w:rPr>
          <w:lang w:val="es-ES"/>
        </w:rPr>
      </w:pPr>
      <w:r w:rsidRPr="00C9335C">
        <w:rPr>
          <w:lang w:val="es-ES"/>
        </w:rPr>
        <w:lastRenderedPageBreak/>
        <w:t>•</w:t>
      </w:r>
      <w:r>
        <w:rPr>
          <w:lang w:val="es-ES"/>
        </w:rPr>
        <w:tab/>
      </w:r>
      <w:r w:rsidRPr="00A32804">
        <w:rPr>
          <w:b/>
          <w:bCs/>
          <w:lang w:val="es-ES"/>
        </w:rPr>
        <w:t xml:space="preserve">Taller sobre los CNAF para la Región 2: </w:t>
      </w:r>
      <w:r w:rsidRPr="00A32804">
        <w:rPr>
          <w:lang w:val="es-ES"/>
        </w:rPr>
        <w:t>17-20 de junio, Ciudad de México, México.</w:t>
      </w:r>
    </w:p>
    <w:p w14:paraId="6912795C" w14:textId="77777777" w:rsidR="00B469E0" w:rsidRPr="00A32804" w:rsidRDefault="00B469E0" w:rsidP="00B469E0">
      <w:pPr>
        <w:pStyle w:val="enumlev1"/>
        <w:keepNext/>
        <w:keepLines/>
        <w:rPr>
          <w:lang w:val="es-ES"/>
        </w:rPr>
      </w:pPr>
      <w:r>
        <w:rPr>
          <w:lang w:val="es-ES"/>
        </w:rPr>
        <w:tab/>
      </w:r>
      <w:r w:rsidRPr="00A32804">
        <w:rPr>
          <w:lang w:val="es-ES"/>
        </w:rPr>
        <w:t xml:space="preserve">El </w:t>
      </w:r>
      <w:hyperlink r:id="rId63" w:tgtFrame="_blank" w:history="1">
        <w:r w:rsidRPr="00C9335C">
          <w:rPr>
            <w:rStyle w:val="Hyperlink"/>
            <w:rFonts w:eastAsiaTheme="minorEastAsia"/>
            <w:szCs w:val="24"/>
            <w:lang w:val="es-ES" w:eastAsia="ja-JP"/>
          </w:rPr>
          <w:t>Instituto Federal de Telecomunicaciones</w:t>
        </w:r>
        <w:r w:rsidRPr="00C9335C">
          <w:t xml:space="preserve"> </w:t>
        </w:r>
      </w:hyperlink>
      <w:r w:rsidRPr="00A32804">
        <w:rPr>
          <w:lang w:val="es-ES"/>
        </w:rPr>
        <w:t xml:space="preserve">(IFT), en colaboración con la </w:t>
      </w:r>
      <w:hyperlink r:id="rId64" w:history="1">
        <w:r w:rsidRPr="00C9335C">
          <w:rPr>
            <w:rStyle w:val="Hyperlink"/>
            <w:rFonts w:eastAsiaTheme="minorEastAsia"/>
            <w:szCs w:val="24"/>
            <w:lang w:val="es-ES" w:eastAsia="ja-JP"/>
          </w:rPr>
          <w:t>Comisión Interamericana de Telecomunicaciones</w:t>
        </w:r>
      </w:hyperlink>
      <w:r w:rsidRPr="00C9335C">
        <w:rPr>
          <w:rStyle w:val="Hyperlink"/>
          <w:rFonts w:eastAsiaTheme="minorEastAsia"/>
          <w:szCs w:val="24"/>
          <w:lang w:eastAsia="ja-JP"/>
        </w:rPr>
        <w:t xml:space="preserve"> </w:t>
      </w:r>
      <w:r w:rsidRPr="00A32804">
        <w:rPr>
          <w:lang w:val="es-ES"/>
        </w:rPr>
        <w:t>(CITEL), ejerció las veces de anfitrión de este taller.</w:t>
      </w:r>
    </w:p>
    <w:p w14:paraId="04C6A59A" w14:textId="77777777" w:rsidR="00B469E0" w:rsidRPr="00A32804" w:rsidRDefault="00B469E0" w:rsidP="00B469E0">
      <w:pPr>
        <w:pStyle w:val="enumlev1"/>
        <w:keepNext/>
        <w:keepLines/>
        <w:rPr>
          <w:lang w:val="es-ES"/>
        </w:rPr>
      </w:pPr>
      <w:r>
        <w:tab/>
      </w:r>
      <w:r w:rsidRPr="00C9335C">
        <w:t>Los debates y ponencias de este taller se desarrollaron en inglés y español, con interpretación</w:t>
      </w:r>
      <w:r w:rsidRPr="00A32804">
        <w:rPr>
          <w:lang w:val="es-ES"/>
        </w:rPr>
        <w:t xml:space="preserve"> simultánea.</w:t>
      </w:r>
    </w:p>
    <w:p w14:paraId="53CBBCFE" w14:textId="77777777" w:rsidR="00B469E0" w:rsidRPr="00A32804" w:rsidRDefault="00B469E0" w:rsidP="00B469E0">
      <w:pPr>
        <w:pStyle w:val="enumlev1"/>
        <w:keepNext/>
        <w:keepLines/>
        <w:rPr>
          <w:lang w:val="es-ES"/>
        </w:rPr>
      </w:pPr>
      <w:r>
        <w:rPr>
          <w:lang w:val="es-ES"/>
        </w:rPr>
        <w:tab/>
      </w:r>
      <w:r w:rsidRPr="00A32804">
        <w:rPr>
          <w:lang w:val="es-ES"/>
        </w:rPr>
        <w:t>BR concedió 18 becas para este evento.</w:t>
      </w:r>
    </w:p>
    <w:p w14:paraId="4A1E3104" w14:textId="77777777" w:rsidR="00B469E0" w:rsidRPr="00A32804" w:rsidRDefault="00B469E0" w:rsidP="00B469E0">
      <w:pPr>
        <w:pStyle w:val="enumlev1"/>
        <w:rPr>
          <w:lang w:val="es-ES"/>
        </w:rPr>
      </w:pPr>
      <w:r w:rsidRPr="00C9335C">
        <w:rPr>
          <w:lang w:val="es-ES"/>
        </w:rPr>
        <w:t>•</w:t>
      </w:r>
      <w:r>
        <w:rPr>
          <w:lang w:val="es-ES"/>
        </w:rPr>
        <w:tab/>
      </w:r>
      <w:r w:rsidRPr="00C9335C">
        <w:t>Taller</w:t>
      </w:r>
      <w:r w:rsidRPr="00A32804">
        <w:rPr>
          <w:b/>
          <w:bCs/>
          <w:lang w:val="es-ES"/>
        </w:rPr>
        <w:t xml:space="preserve"> sobre los CNAF para la Región 3: </w:t>
      </w:r>
      <w:r w:rsidRPr="00A32804">
        <w:rPr>
          <w:lang w:val="es-ES"/>
        </w:rPr>
        <w:t>28-31 de mayo, Shanghái, China.</w:t>
      </w:r>
    </w:p>
    <w:p w14:paraId="034B5101" w14:textId="77777777" w:rsidR="00B469E0" w:rsidRPr="00A32804" w:rsidRDefault="00B469E0" w:rsidP="00B469E0">
      <w:pPr>
        <w:pStyle w:val="enumlev1"/>
        <w:keepNext/>
        <w:keepLines/>
        <w:rPr>
          <w:lang w:val="es-ES"/>
        </w:rPr>
      </w:pPr>
      <w:r>
        <w:rPr>
          <w:lang w:val="es-ES"/>
        </w:rPr>
        <w:tab/>
      </w:r>
      <w:r w:rsidRPr="00A32804">
        <w:rPr>
          <w:lang w:val="es-ES"/>
        </w:rPr>
        <w:t xml:space="preserve">El </w:t>
      </w:r>
      <w:hyperlink r:id="rId65" w:tgtFrame="_blank" w:history="1">
        <w:r w:rsidRPr="00A32804">
          <w:rPr>
            <w:rStyle w:val="Hyperlink"/>
            <w:rFonts w:eastAsia="SimSun"/>
            <w:lang w:val="es-ES"/>
          </w:rPr>
          <w:t>Ministerio de Industria y Tecnología de la Información (MIIT</w:t>
        </w:r>
      </w:hyperlink>
      <w:r w:rsidRPr="00A32804">
        <w:rPr>
          <w:lang w:val="es-ES"/>
        </w:rPr>
        <w:t>) ejerció las veces de</w:t>
      </w:r>
      <w:r>
        <w:rPr>
          <w:lang w:val="es-ES"/>
        </w:rPr>
        <w:t xml:space="preserve"> </w:t>
      </w:r>
      <w:r w:rsidRPr="00A32804">
        <w:rPr>
          <w:lang w:val="es-ES"/>
        </w:rPr>
        <w:t xml:space="preserve">anfitrión de este taller, en colaboración con la </w:t>
      </w:r>
      <w:hyperlink r:id="rId66" w:history="1">
        <w:r w:rsidRPr="00A32804">
          <w:rPr>
            <w:rStyle w:val="Hyperlink"/>
            <w:rFonts w:eastAsia="SimSun"/>
            <w:lang w:val="es-ES"/>
          </w:rPr>
          <w:t>Telecomunidad Asia-Pacífico (APT)</w:t>
        </w:r>
      </w:hyperlink>
      <w:r w:rsidRPr="00A32804">
        <w:rPr>
          <w:lang w:val="es-ES"/>
        </w:rPr>
        <w:t>.</w:t>
      </w:r>
    </w:p>
    <w:p w14:paraId="7B6F5213" w14:textId="77777777" w:rsidR="00B469E0" w:rsidRPr="00A32804" w:rsidRDefault="00B469E0" w:rsidP="00B469E0">
      <w:pPr>
        <w:pStyle w:val="enumlev1"/>
        <w:keepNext/>
        <w:keepLines/>
        <w:rPr>
          <w:lang w:val="es-ES"/>
        </w:rPr>
      </w:pPr>
      <w:r>
        <w:rPr>
          <w:lang w:val="es-ES"/>
        </w:rPr>
        <w:tab/>
      </w:r>
      <w:r w:rsidRPr="00A32804">
        <w:rPr>
          <w:lang w:val="es-ES"/>
        </w:rPr>
        <w:t>Los debates y ponencias de este taller se desarrollaron únicamente en inglés.</w:t>
      </w:r>
    </w:p>
    <w:p w14:paraId="78ACA461" w14:textId="77777777" w:rsidR="00B469E0" w:rsidRPr="00A32804" w:rsidRDefault="00B469E0" w:rsidP="00B469E0">
      <w:pPr>
        <w:pStyle w:val="enumlev1"/>
        <w:keepNext/>
        <w:keepLines/>
        <w:rPr>
          <w:lang w:val="es-ES"/>
        </w:rPr>
      </w:pPr>
      <w:r>
        <w:rPr>
          <w:lang w:val="es-ES"/>
        </w:rPr>
        <w:tab/>
      </w:r>
      <w:r w:rsidRPr="00A32804">
        <w:rPr>
          <w:lang w:val="es-ES"/>
        </w:rPr>
        <w:t>BR concedió 13 becas para este evento. El MIIT también concedió 15 becas para este evento.</w:t>
      </w:r>
    </w:p>
    <w:p w14:paraId="122B095D" w14:textId="77777777" w:rsidR="00B469E0" w:rsidRPr="00A32804" w:rsidRDefault="00B469E0" w:rsidP="00B469E0">
      <w:pPr>
        <w:rPr>
          <w:rFonts w:eastAsiaTheme="minorEastAsia"/>
          <w:lang w:val="es-ES" w:eastAsia="ja-JP"/>
        </w:rPr>
      </w:pPr>
      <w:r w:rsidRPr="00A32804">
        <w:rPr>
          <w:rFonts w:eastAsiaTheme="minorEastAsia"/>
          <w:lang w:val="es-ES" w:eastAsia="ja-JP"/>
        </w:rPr>
        <w:t>Los talleres sobre los CNAF fueron un éxito, tal y como demuestra el gran número de administraciones nacionales que asistieron a ellos y los comentarios recibidos. Numerosas administraciones destacaron que la mayor parte de las dificultades que afrontaban a efectos de la gestión y actualización eficaces de sus CNAF se debían a problemas vinculados a sus sistemas de gestión del espectro, de índole tanto técnica como de procedimiento. Los futuros eventos de creación de capacidad podrían contribuir a la definición de soluciones al respecto.</w:t>
      </w:r>
    </w:p>
    <w:p w14:paraId="1812EC76" w14:textId="77777777" w:rsidR="00B469E0" w:rsidRPr="00A32804" w:rsidRDefault="00B469E0" w:rsidP="00B469E0">
      <w:pPr>
        <w:pStyle w:val="Heading2"/>
        <w:rPr>
          <w:lang w:val="es-ES"/>
        </w:rPr>
      </w:pPr>
      <w:bookmarkStart w:id="114" w:name="_Toc424047610"/>
      <w:bookmarkStart w:id="115" w:name="_Toc446060788"/>
      <w:bookmarkEnd w:id="110"/>
      <w:r w:rsidRPr="00A32804">
        <w:rPr>
          <w:lang w:val="es-ES"/>
        </w:rPr>
        <w:t>8.3</w:t>
      </w:r>
      <w:r w:rsidRPr="00A32804">
        <w:rPr>
          <w:lang w:val="es-ES"/>
        </w:rPr>
        <w:tab/>
      </w:r>
      <w:bookmarkEnd w:id="114"/>
      <w:bookmarkEnd w:id="115"/>
      <w:r w:rsidRPr="00A32804">
        <w:rPr>
          <w:lang w:val="es-ES"/>
        </w:rPr>
        <w:t>Asistencia a los Estados Miembros, en particular a países en desarrollo y PMA</w:t>
      </w:r>
    </w:p>
    <w:p w14:paraId="29061CC5" w14:textId="77777777" w:rsidR="00B469E0" w:rsidRPr="00A32804" w:rsidRDefault="00B469E0" w:rsidP="00B469E0">
      <w:pPr>
        <w:rPr>
          <w:lang w:val="es-ES"/>
        </w:rPr>
      </w:pPr>
      <w:r w:rsidRPr="00A32804">
        <w:rPr>
          <w:lang w:val="es-ES"/>
        </w:rPr>
        <w:t>La Oficina sigue recibiendo numerosas solicitudes de asistencia de administraciones relacionadas con aspectos generales de la gestión del espectro, el proceso de la CMR y la participación en las Comisiones de Estudio y Grupos de Trabajo del UIT-R, así como con la inscripción de asignaciones de frecuencias a estaciones terrenales, espaciales, terrenas o de radioastronomía. La Oficina se esfuerza por responder a cada solicitud en el marco de los recursos disponibles y teniendo presente la necesidad de equilibrar los recursos asignados a la tramitación de notificaciones y a la respuesta a solicitudes de asistencia. No obstante, cabe señalar que la Oficina no puede dar cumplimiento a las disposiciones del Reglamento de Radiocomunicaciones en lugar de las administraciones, sino únicamente de asesorarlas sobre posibles formas de aplicar dichas disposiciones.</w:t>
      </w:r>
    </w:p>
    <w:p w14:paraId="6A8A8A5B" w14:textId="77777777" w:rsidR="00B469E0" w:rsidRPr="00A32804" w:rsidRDefault="00B469E0" w:rsidP="00B469E0">
      <w:pPr>
        <w:pStyle w:val="Heading3"/>
        <w:rPr>
          <w:lang w:val="es-ES"/>
        </w:rPr>
      </w:pPr>
      <w:bookmarkStart w:id="116" w:name="_Toc424047611"/>
      <w:bookmarkStart w:id="117" w:name="_Toc446060789"/>
      <w:r w:rsidRPr="00A32804">
        <w:rPr>
          <w:lang w:val="es-ES"/>
        </w:rPr>
        <w:t>8.3.1</w:t>
      </w:r>
      <w:r w:rsidRPr="00A32804">
        <w:rPr>
          <w:lang w:val="es-ES"/>
        </w:rPr>
        <w:tab/>
        <w:t>Asistencia a las administraciones de los países en desarrollo</w:t>
      </w:r>
      <w:bookmarkEnd w:id="116"/>
      <w:bookmarkEnd w:id="117"/>
    </w:p>
    <w:p w14:paraId="5FEAA843" w14:textId="77777777" w:rsidR="00B469E0" w:rsidRDefault="00B469E0" w:rsidP="00B469E0">
      <w:pPr>
        <w:rPr>
          <w:lang w:val="es-ES"/>
        </w:rPr>
      </w:pPr>
      <w:r w:rsidRPr="00A32804">
        <w:rPr>
          <w:lang w:val="es-ES"/>
        </w:rPr>
        <w:t>Desde la CMR-23, la Oficina ha prestado asistencia a las administraciones de los países en desarrollo mediante:</w:t>
      </w:r>
    </w:p>
    <w:p w14:paraId="4845FF10"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la participación en seminarios de capacitación sobre comunicaciones por satélite;</w:t>
      </w:r>
    </w:p>
    <w:p w14:paraId="4056D1CB"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la prestación de asistencia en el procedimiento de coordinación en virtud de los números</w:t>
      </w:r>
      <w:r>
        <w:rPr>
          <w:lang w:val="es-ES"/>
        </w:rPr>
        <w:t> </w:t>
      </w:r>
      <w:r w:rsidRPr="00A32804">
        <w:rPr>
          <w:b/>
          <w:bCs/>
          <w:lang w:val="es-ES"/>
        </w:rPr>
        <w:t>9.18</w:t>
      </w:r>
      <w:r w:rsidRPr="00A32804">
        <w:rPr>
          <w:lang w:val="es-ES"/>
        </w:rPr>
        <w:t xml:space="preserve">, </w:t>
      </w:r>
      <w:r w:rsidRPr="00A32804">
        <w:rPr>
          <w:b/>
          <w:bCs/>
          <w:lang w:val="es-ES"/>
        </w:rPr>
        <w:t>9.19</w:t>
      </w:r>
      <w:r w:rsidRPr="00A32804">
        <w:rPr>
          <w:lang w:val="es-ES"/>
        </w:rPr>
        <w:t xml:space="preserve"> y </w:t>
      </w:r>
      <w:r w:rsidRPr="00A32804">
        <w:rPr>
          <w:b/>
          <w:bCs/>
          <w:lang w:val="es-ES"/>
        </w:rPr>
        <w:t>9.21</w:t>
      </w:r>
      <w:r w:rsidRPr="00A32804">
        <w:rPr>
          <w:lang w:val="es-ES"/>
        </w:rPr>
        <w:t xml:space="preserve"> del RR;</w:t>
      </w:r>
    </w:p>
    <w:p w14:paraId="5DBB2F70"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la prestación de asistencia en los procedimientos de modificación de planes en virtud de los Acuerdos Regionales;</w:t>
      </w:r>
    </w:p>
    <w:p w14:paraId="7117BB98"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la prestación de asistencia en la asignación de distintivos de llamada y MMSI;</w:t>
      </w:r>
    </w:p>
    <w:p w14:paraId="3684A33E"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 xml:space="preserve">la prestación de asistencia en la presentación de notificaciones en virtud del Artículo </w:t>
      </w:r>
      <w:r w:rsidRPr="00A32804">
        <w:rPr>
          <w:b/>
          <w:bCs/>
          <w:lang w:val="es-ES"/>
        </w:rPr>
        <w:t xml:space="preserve">11 </w:t>
      </w:r>
      <w:r w:rsidRPr="00A32804">
        <w:rPr>
          <w:lang w:val="es-ES"/>
        </w:rPr>
        <w:t>del</w:t>
      </w:r>
      <w:r>
        <w:rPr>
          <w:lang w:val="es-ES"/>
        </w:rPr>
        <w:t> </w:t>
      </w:r>
      <w:r w:rsidRPr="00A32804">
        <w:rPr>
          <w:lang w:val="es-ES"/>
        </w:rPr>
        <w:t>RR;</w:t>
      </w:r>
    </w:p>
    <w:p w14:paraId="19774017"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la prestación de asistencia en los procedimientos espaciales;</w:t>
      </w:r>
    </w:p>
    <w:p w14:paraId="0EE27F89"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 xml:space="preserve">la prestación de asistencia personalizada en la aplicación de la Resolución </w:t>
      </w:r>
      <w:r w:rsidRPr="00A32804">
        <w:rPr>
          <w:b/>
          <w:bCs/>
          <w:lang w:val="es-ES"/>
        </w:rPr>
        <w:t>170 (Rev.CMR</w:t>
      </w:r>
      <w:r>
        <w:rPr>
          <w:b/>
          <w:bCs/>
          <w:lang w:val="es-ES"/>
        </w:rPr>
        <w:noBreakHyphen/>
      </w:r>
      <w:r w:rsidRPr="00A32804">
        <w:rPr>
          <w:b/>
          <w:bCs/>
          <w:lang w:val="es-ES"/>
        </w:rPr>
        <w:t>23</w:t>
      </w:r>
      <w:r w:rsidRPr="00A32804">
        <w:rPr>
          <w:b/>
          <w:lang w:val="es-ES"/>
        </w:rPr>
        <w:t>)</w:t>
      </w:r>
      <w:r w:rsidRPr="00A32804">
        <w:rPr>
          <w:lang w:val="es-ES"/>
        </w:rPr>
        <w:t>.</w:t>
      </w:r>
    </w:p>
    <w:p w14:paraId="224361B2" w14:textId="77777777" w:rsidR="00B469E0" w:rsidRPr="00CE6322" w:rsidRDefault="00B469E0" w:rsidP="00B469E0">
      <w:pPr>
        <w:pStyle w:val="Heading3"/>
        <w:rPr>
          <w:lang w:val="es-ES"/>
        </w:rPr>
      </w:pPr>
      <w:bookmarkStart w:id="118" w:name="_Toc424047612"/>
      <w:bookmarkStart w:id="119" w:name="_Toc446060790"/>
      <w:r w:rsidRPr="00CE6322">
        <w:rPr>
          <w:lang w:val="es-ES"/>
        </w:rPr>
        <w:lastRenderedPageBreak/>
        <w:t>8.3.2</w:t>
      </w:r>
      <w:r w:rsidRPr="00CE6322">
        <w:rPr>
          <w:lang w:val="es-ES"/>
        </w:rPr>
        <w:tab/>
        <w:t>Asistencia a los grupos regionales</w:t>
      </w:r>
      <w:bookmarkEnd w:id="118"/>
      <w:bookmarkEnd w:id="119"/>
    </w:p>
    <w:p w14:paraId="0E07A29D" w14:textId="77777777" w:rsidR="00B469E0" w:rsidRPr="00CE6322" w:rsidRDefault="00B469E0" w:rsidP="00B469E0">
      <w:pPr>
        <w:pStyle w:val="Heading4"/>
        <w:rPr>
          <w:lang w:val="es-ES"/>
        </w:rPr>
      </w:pPr>
      <w:bookmarkStart w:id="120" w:name="_Toc424047613"/>
      <w:r w:rsidRPr="00CE6322">
        <w:rPr>
          <w:lang w:val="es-ES"/>
        </w:rPr>
        <w:t>8.3.2.1</w:t>
      </w:r>
      <w:r w:rsidRPr="00CE6322">
        <w:rPr>
          <w:lang w:val="es-ES"/>
        </w:rPr>
        <w:tab/>
        <w:t>Asistencia a la Comunidad de África Meridional para el Desarrollo</w:t>
      </w:r>
    </w:p>
    <w:p w14:paraId="55F6164F" w14:textId="77777777" w:rsidR="00B469E0" w:rsidRPr="00A32804" w:rsidRDefault="00B469E0" w:rsidP="00B469E0">
      <w:pPr>
        <w:rPr>
          <w:lang w:val="es-ES"/>
        </w:rPr>
      </w:pPr>
      <w:r w:rsidRPr="00CE6322">
        <w:rPr>
          <w:lang w:val="es-ES"/>
        </w:rPr>
        <w:t>En agosto de 2024</w:t>
      </w:r>
      <w:r w:rsidRPr="00A32804">
        <w:rPr>
          <w:lang w:val="es-ES"/>
        </w:rPr>
        <w:t xml:space="preserve">, la Administración de Angola, en nombre de 16 administraciones de la Comunidad de África Meridional para el Desarrollo (SADC), presentó a la Oficina de Radiocomunicaciones una solicitud de asistencia técnica con miras a identificar una posición orbital adecuada para la red compartida de satélites de la SADC. El objetivo de esta solicitud era aprovechar el procedimiento especial previsto en la Resolución </w:t>
      </w:r>
      <w:r w:rsidRPr="00A32804">
        <w:rPr>
          <w:b/>
          <w:bCs/>
          <w:lang w:val="es-ES"/>
        </w:rPr>
        <w:t>170 (Rev. CMR-23)</w:t>
      </w:r>
      <w:r w:rsidRPr="00A32804">
        <w:rPr>
          <w:lang w:val="es-ES"/>
        </w:rPr>
        <w:t>.</w:t>
      </w:r>
    </w:p>
    <w:p w14:paraId="5CC2B428" w14:textId="77777777" w:rsidR="00B469E0" w:rsidRPr="00A32804" w:rsidRDefault="00B469E0" w:rsidP="00B469E0">
      <w:pPr>
        <w:rPr>
          <w:lang w:val="es-ES"/>
        </w:rPr>
      </w:pPr>
      <w:r w:rsidRPr="00A32804">
        <w:rPr>
          <w:lang w:val="es-ES"/>
        </w:rPr>
        <w:t xml:space="preserve">Al tratarse de la primera solicitud tramitada en el marco de la Resolución </w:t>
      </w:r>
      <w:r w:rsidRPr="00A32804">
        <w:rPr>
          <w:b/>
          <w:bCs/>
          <w:lang w:val="es-ES"/>
        </w:rPr>
        <w:t>170 (Rev. CMR-23)</w:t>
      </w:r>
      <w:r w:rsidRPr="00A32804">
        <w:rPr>
          <w:lang w:val="es-ES"/>
        </w:rPr>
        <w:t xml:space="preserve">, la Oficina no disponía del </w:t>
      </w:r>
      <w:r w:rsidRPr="00A05079">
        <w:rPr>
          <w:i/>
          <w:iCs/>
          <w:lang w:val="es-ES"/>
        </w:rPr>
        <w:t>software</w:t>
      </w:r>
      <w:r w:rsidRPr="00A32804">
        <w:rPr>
          <w:lang w:val="es-ES"/>
        </w:rPr>
        <w:t xml:space="preserve"> necesario para seleccionar una posición orbital adecuada. En consecuencia, tres ingenieros de la Oficina dedicaron más de 100 horas de trabajo a realizar las evaluaciones y los análisis necesarios.</w:t>
      </w:r>
    </w:p>
    <w:p w14:paraId="34864C1B" w14:textId="77777777" w:rsidR="00B469E0" w:rsidRDefault="00B469E0" w:rsidP="00B469E0">
      <w:pPr>
        <w:rPr>
          <w:lang w:val="es-ES"/>
        </w:rPr>
      </w:pPr>
      <w:r w:rsidRPr="00A32804">
        <w:rPr>
          <w:lang w:val="es-ES"/>
        </w:rPr>
        <w:t>La Oficina llevó a cabo las siguientes actividades:</w:t>
      </w:r>
    </w:p>
    <w:p w14:paraId="1F227F07"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Examen de las características técnicas: la Oficina analizó los parámetros técnicos iniciales de la red de satélites propuesta en siete posibles posiciones orbitales preseleccionadas por las administraciones de la SADC, aportando comentarios y recomendaciones pertinentes.</w:t>
      </w:r>
    </w:p>
    <w:p w14:paraId="096FF382" w14:textId="77777777" w:rsidR="00B469E0" w:rsidRPr="00A32804" w:rsidRDefault="00B469E0" w:rsidP="00B469E0">
      <w:pPr>
        <w:pStyle w:val="enumlev1"/>
        <w:rPr>
          <w:lang w:val="es-ES"/>
        </w:rPr>
      </w:pPr>
      <w:r w:rsidRPr="00C9335C">
        <w:rPr>
          <w:lang w:val="es-ES"/>
        </w:rPr>
        <w:t>•</w:t>
      </w:r>
      <w:r>
        <w:rPr>
          <w:lang w:val="es-ES"/>
        </w:rPr>
        <w:tab/>
      </w:r>
      <w:r w:rsidRPr="00A32804">
        <w:rPr>
          <w:lang w:val="es-ES"/>
        </w:rPr>
        <w:t>Análisis de compatibilidad: la Oficina realizó un análisis detallado de compatibilidad de la red de satélites propuesta con las asignaciones y atribuciones previstas en el Plan del Apéndice 30B. El análisis se realizó a intervalos de 0,1 grados dentro del arco orbital comprendido entre 3,5°E y 72,3°E, velando por el respeto del ángulo de elevación mínimo de 20 grados en todos los puntos de prueba facilitados por la Administración de Angola.</w:t>
      </w:r>
    </w:p>
    <w:p w14:paraId="26DD6C0A" w14:textId="77777777" w:rsidR="00B469E0" w:rsidRPr="00A32804" w:rsidRDefault="00B469E0" w:rsidP="00B469E0">
      <w:pPr>
        <w:rPr>
          <w:lang w:val="es-ES"/>
        </w:rPr>
      </w:pPr>
      <w:r w:rsidRPr="00A32804">
        <w:rPr>
          <w:lang w:val="es-ES"/>
        </w:rPr>
        <w:t>De este estudio se desprendió que ninguna de las posiciones orbitales incluidas en el arco orbital examinado permitía evitar por completo las interferencias con las adjudicaciones y asignaciones de otras administraciones. No obstante, se identificaron tres posiciones orbitales en las que los niveles de interferencia que podían registrarse desde y hacia la red compartida de satélites de la SADC se hallaban dentro de unos márgenes aceptables.</w:t>
      </w:r>
    </w:p>
    <w:p w14:paraId="17867CC0" w14:textId="77777777" w:rsidR="00B469E0" w:rsidRPr="00A32804" w:rsidRDefault="00B469E0" w:rsidP="00B469E0">
      <w:pPr>
        <w:rPr>
          <w:lang w:val="es-ES"/>
        </w:rPr>
      </w:pPr>
      <w:r w:rsidRPr="00A32804">
        <w:rPr>
          <w:lang w:val="es-ES"/>
        </w:rPr>
        <w:t>Para seguir evaluando estos resultados, la Oficina y las administraciones de la SADC celebraron una serie de reuniones virtuales y un taller entre enero y febrero de 2025. En el marco de estos debates, se destacaron los desafíos inherentes a la selección de una única posición orbital óptima para la red compartida de satélites de la SADC, dadas las dificultades que se preveía plantease la coordinación con las administraciones afectadas. En consecuencia, se decidió tener en cuenta las tres posiciones orbitales identificadas por la Oficina durante la fase inicial de desarrollo, además de las siete posiciones orbitales preseleccionadas en un principio por las administraciones de la SADC.</w:t>
      </w:r>
    </w:p>
    <w:p w14:paraId="1D6C7F4F" w14:textId="77777777" w:rsidR="00B469E0" w:rsidRPr="00A32804" w:rsidRDefault="00B469E0" w:rsidP="00B469E0">
      <w:pPr>
        <w:rPr>
          <w:lang w:val="es-ES"/>
        </w:rPr>
      </w:pPr>
      <w:r w:rsidRPr="00A32804">
        <w:rPr>
          <w:lang w:val="es-ES"/>
        </w:rPr>
        <w:t>También se ha solicitado a la Oficina que siga facilitando la coordinación y la realización de actividades encaminadas a la selección de un intervalo orbital para la implantación de la red compartida de satélites de la SADC y la puesta en servicio de sus asignaciones antes de que expire el plazo reglamentario de ocho años.</w:t>
      </w:r>
    </w:p>
    <w:p w14:paraId="665CBDF5" w14:textId="77777777" w:rsidR="00B469E0" w:rsidRPr="00A32804" w:rsidRDefault="00B469E0" w:rsidP="00B469E0">
      <w:pPr>
        <w:pStyle w:val="Heading2"/>
        <w:rPr>
          <w:lang w:val="es-ES"/>
        </w:rPr>
      </w:pPr>
      <w:bookmarkStart w:id="121" w:name="_Toc418163382"/>
      <w:bookmarkStart w:id="122" w:name="_Toc418232300"/>
      <w:bookmarkStart w:id="123" w:name="_Toc424047620"/>
      <w:bookmarkStart w:id="124" w:name="_Toc446060792"/>
      <w:bookmarkEnd w:id="120"/>
      <w:r w:rsidRPr="00A32804">
        <w:rPr>
          <w:lang w:val="es-ES"/>
        </w:rPr>
        <w:t>8.4</w:t>
      </w:r>
      <w:r w:rsidRPr="00A32804">
        <w:rPr>
          <w:lang w:val="es-ES"/>
        </w:rPr>
        <w:tab/>
        <w:t>Asociaciones estratégicas, incluida la cooperación intersectorial</w:t>
      </w:r>
      <w:bookmarkEnd w:id="121"/>
      <w:bookmarkEnd w:id="122"/>
      <w:bookmarkEnd w:id="123"/>
      <w:bookmarkEnd w:id="124"/>
    </w:p>
    <w:p w14:paraId="0EF04C0E" w14:textId="77777777" w:rsidR="00B469E0" w:rsidRPr="00A32804" w:rsidRDefault="00B469E0" w:rsidP="00B469E0">
      <w:pPr>
        <w:pStyle w:val="Heading3"/>
        <w:rPr>
          <w:lang w:val="es-ES"/>
        </w:rPr>
      </w:pPr>
      <w:bookmarkStart w:id="125" w:name="_Toc424047621"/>
      <w:bookmarkStart w:id="126" w:name="_Toc446060793"/>
      <w:r w:rsidRPr="00A32804">
        <w:rPr>
          <w:lang w:val="es-ES"/>
        </w:rPr>
        <w:t>8.4.1</w:t>
      </w:r>
      <w:r w:rsidRPr="00A32804">
        <w:rPr>
          <w:lang w:val="es-ES"/>
        </w:rPr>
        <w:tab/>
        <w:t>Cooperación con el UIT-D</w:t>
      </w:r>
      <w:bookmarkStart w:id="127" w:name="_Toc424047622"/>
      <w:bookmarkEnd w:id="125"/>
      <w:bookmarkEnd w:id="126"/>
    </w:p>
    <w:p w14:paraId="33A265B7" w14:textId="77777777" w:rsidR="00B469E0" w:rsidRPr="00A32804" w:rsidRDefault="00B469E0" w:rsidP="00B469E0">
      <w:pPr>
        <w:rPr>
          <w:lang w:val="es-ES"/>
        </w:rPr>
      </w:pPr>
      <w:bookmarkStart w:id="128" w:name="lt_pId1374"/>
      <w:r w:rsidRPr="00A32804">
        <w:rPr>
          <w:lang w:val="es-ES"/>
        </w:rPr>
        <w:t xml:space="preserve">La BR ha mantenido una estrecha colaboración con la BDT en asuntos de interés común al UIT-R y el UIT-D. La BR ha participado en las reuniones de las Comisiones de Estudio del UIT-D, los Grupos de Relator y el GADT pertinentes, </w:t>
      </w:r>
      <w:r>
        <w:rPr>
          <w:lang w:val="es-ES"/>
        </w:rPr>
        <w:t>cuyas</w:t>
      </w:r>
      <w:r w:rsidRPr="00A32804">
        <w:rPr>
          <w:lang w:val="es-ES"/>
        </w:rPr>
        <w:t xml:space="preserve"> actividades de coordinación han incluido asuntos </w:t>
      </w:r>
      <w:r>
        <w:rPr>
          <w:lang w:val="es-ES"/>
        </w:rPr>
        <w:t xml:space="preserve">tales </w:t>
      </w:r>
      <w:r w:rsidRPr="00A32804">
        <w:rPr>
          <w:lang w:val="es-ES"/>
        </w:rPr>
        <w:t xml:space="preserve">como la gestión del espectro, la radiodifusión digital y la transición desde sistemas analógicos, la transición </w:t>
      </w:r>
      <w:r>
        <w:rPr>
          <w:lang w:val="es-ES"/>
        </w:rPr>
        <w:t>a</w:t>
      </w:r>
      <w:r w:rsidRPr="00A32804">
        <w:rPr>
          <w:lang w:val="es-ES"/>
        </w:rPr>
        <w:t xml:space="preserve"> las IMT y su implantación, y las tecnologías de acceso inalámbrico de banda ancha.</w:t>
      </w:r>
      <w:bookmarkStart w:id="129" w:name="lt_pId1375"/>
      <w:bookmarkEnd w:id="128"/>
      <w:bookmarkEnd w:id="129"/>
    </w:p>
    <w:p w14:paraId="7824F2E5" w14:textId="77777777" w:rsidR="00B469E0" w:rsidRPr="00A32804" w:rsidRDefault="00B469E0" w:rsidP="00B469E0">
      <w:pPr>
        <w:rPr>
          <w:rFonts w:eastAsia="Calibri"/>
          <w:lang w:val="es-ES"/>
        </w:rPr>
      </w:pPr>
      <w:bookmarkStart w:id="130" w:name="lt_pId1376"/>
      <w:r w:rsidRPr="00A32804">
        <w:rPr>
          <w:lang w:val="es-ES"/>
        </w:rPr>
        <w:lastRenderedPageBreak/>
        <w:t xml:space="preserve">Para facilitar la colaboración utilizando los mecanismos existentes, el Departamento de Comisiones de Estudio (SDG) de la BR facilita resúmenes de los últimos logros de sus CE y GT </w:t>
      </w:r>
      <w:r>
        <w:rPr>
          <w:lang w:val="es-ES"/>
        </w:rPr>
        <w:t>que revisten</w:t>
      </w:r>
      <w:r w:rsidRPr="00A32804">
        <w:rPr>
          <w:lang w:val="es-ES"/>
        </w:rPr>
        <w:t xml:space="preserve"> interés para las CE pertinentes del UIT-D y mantiene al día todos los productos aprobados recientemente. Esta información se publica periódicamente en el </w:t>
      </w:r>
      <w:hyperlink r:id="rId67" w:history="1">
        <w:r w:rsidRPr="00A32804">
          <w:rPr>
            <w:rStyle w:val="Hyperlink"/>
            <w:rFonts w:eastAsia="SimSun"/>
            <w:lang w:val="es-ES"/>
          </w:rPr>
          <w:t>sitio web de las CE del UIT-R</w:t>
        </w:r>
      </w:hyperlink>
      <w:r w:rsidRPr="00A32804">
        <w:rPr>
          <w:lang w:val="es-ES"/>
        </w:rPr>
        <w:t xml:space="preserve">. El archivo contiene una lista de textos de reciente aprobación, en orden cronológico, correspondientes al periodo de estudios 2023-2027, así como una breve descripción del contenido de cada documento. El SGD de la BR indica, además, las Comisiones de Estudio o Cuestiones del UIT-D y/o del UIT-T para las que cada documento del UIT-R puede ser pertinente. De este modo se contribuye tanto a evitar la duplicación de esfuerzos, como </w:t>
      </w:r>
      <w:bookmarkEnd w:id="130"/>
      <w:r w:rsidRPr="00A32804">
        <w:rPr>
          <w:lang w:val="es-ES"/>
        </w:rPr>
        <w:t>a aprovechar el trabajo realizado por las CE del UIT-R</w:t>
      </w:r>
      <w:r w:rsidRPr="00A32804">
        <w:rPr>
          <w:bCs/>
          <w:szCs w:val="24"/>
          <w:lang w:val="es-ES"/>
        </w:rPr>
        <w:t xml:space="preserve">. Esta información también está disponible para el </w:t>
      </w:r>
      <w:r w:rsidRPr="00A32804">
        <w:rPr>
          <w:rFonts w:eastAsia="Calibri"/>
          <w:lang w:val="es-ES"/>
        </w:rPr>
        <w:t>periodo de estudios 2019-2023.</w:t>
      </w:r>
    </w:p>
    <w:p w14:paraId="3C873E17" w14:textId="77777777" w:rsidR="00B469E0" w:rsidRPr="00A32804" w:rsidRDefault="00B469E0" w:rsidP="00B469E0">
      <w:pPr>
        <w:rPr>
          <w:lang w:val="es-ES"/>
        </w:rPr>
      </w:pPr>
      <w:bookmarkStart w:id="131" w:name="lt_pId1381"/>
      <w:r w:rsidRPr="00A32804">
        <w:rPr>
          <w:lang w:val="es-ES"/>
        </w:rPr>
        <w:t>A petición de la BDT, diversos expertos del UIT-R y la Oficina han participado en seminarios y talleres de la UIT organizados por el UIT-D</w:t>
      </w:r>
      <w:bookmarkEnd w:id="131"/>
      <w:r w:rsidRPr="00A32804">
        <w:rPr>
          <w:lang w:val="es-ES"/>
        </w:rPr>
        <w:t>.</w:t>
      </w:r>
    </w:p>
    <w:p w14:paraId="2B65DEC9" w14:textId="77777777" w:rsidR="00B469E0" w:rsidRPr="00A32804" w:rsidRDefault="00B469E0" w:rsidP="00B469E0">
      <w:pPr>
        <w:rPr>
          <w:color w:val="000000" w:themeColor="text1"/>
          <w:szCs w:val="24"/>
          <w:highlight w:val="lightGray"/>
          <w:lang w:val="es-ES"/>
        </w:rPr>
      </w:pPr>
      <w:bookmarkStart w:id="132" w:name="lt_pId1382"/>
      <w:r w:rsidRPr="00A32804">
        <w:rPr>
          <w:lang w:val="es-ES"/>
        </w:rPr>
        <w:t xml:space="preserve">La BR persiste en su objetivo de proporcionar información y asistencia a los Miembros de la UIT, en particular a los países en desarrollo, en </w:t>
      </w:r>
      <w:r>
        <w:rPr>
          <w:lang w:val="es-ES"/>
        </w:rPr>
        <w:t>el ámbito de las</w:t>
      </w:r>
      <w:r w:rsidRPr="00A32804">
        <w:rPr>
          <w:lang w:val="es-ES"/>
        </w:rPr>
        <w:t xml:space="preserve"> radiocomunicaciones. A tal efecto, la BR organiza y participa en talleres, seminarios, reuniones y actividades de capacitación sobre el espectro, incluidas sesiones de formación</w:t>
      </w:r>
      <w:r>
        <w:rPr>
          <w:lang w:val="es-ES"/>
        </w:rPr>
        <w:t>, como puede ser</w:t>
      </w:r>
      <w:r w:rsidRPr="00A32804">
        <w:rPr>
          <w:lang w:val="es-ES"/>
        </w:rPr>
        <w:t xml:space="preserve"> la formación nacional BDT/BR sobre </w:t>
      </w:r>
      <w:bookmarkEnd w:id="132"/>
      <w:r w:rsidRPr="00A32804">
        <w:rPr>
          <w:color w:val="0E101A"/>
          <w:szCs w:val="24"/>
          <w:lang w:val="es-ES"/>
        </w:rPr>
        <w:t xml:space="preserve">el </w:t>
      </w:r>
      <w:r w:rsidRPr="00A32804">
        <w:rPr>
          <w:color w:val="000000" w:themeColor="text1"/>
          <w:szCs w:val="24"/>
          <w:lang w:val="es-ES"/>
        </w:rPr>
        <w:t>lanzamiento de las redes de comunicaciones móviles de la próxima generación (5G/IMT-2020) para Ucrania.</w:t>
      </w:r>
    </w:p>
    <w:p w14:paraId="7E20841B" w14:textId="77777777" w:rsidR="00B469E0" w:rsidRPr="00A32804" w:rsidRDefault="00B469E0" w:rsidP="00B469E0">
      <w:pPr>
        <w:pStyle w:val="Heading4"/>
        <w:rPr>
          <w:i/>
          <w:lang w:val="es-ES"/>
        </w:rPr>
      </w:pPr>
      <w:r w:rsidRPr="00A32804">
        <w:rPr>
          <w:lang w:val="es-ES"/>
        </w:rPr>
        <w:t>8.4.1.1</w:t>
      </w:r>
      <w:r w:rsidRPr="00A32804">
        <w:rPr>
          <w:lang w:val="es-ES"/>
        </w:rPr>
        <w:tab/>
        <w:t>GSR</w:t>
      </w:r>
    </w:p>
    <w:p w14:paraId="4078FDC3" w14:textId="77777777" w:rsidR="00B469E0" w:rsidRPr="00A32804" w:rsidRDefault="00B469E0" w:rsidP="00B469E0">
      <w:pPr>
        <w:keepNext/>
        <w:keepLines/>
        <w:rPr>
          <w:lang w:val="es-ES"/>
        </w:rPr>
      </w:pPr>
      <w:bookmarkStart w:id="133" w:name="lt_pId1387"/>
      <w:bookmarkStart w:id="134" w:name="_Toc424047623"/>
      <w:bookmarkEnd w:id="127"/>
      <w:r w:rsidRPr="00A32804">
        <w:rPr>
          <w:lang w:val="es-ES"/>
        </w:rPr>
        <w:t>Reconociendo la importancia que para los Estados Miembros tiene disponer de información especializada, la BR continúa apoyando a la BDT mediante conocimientos técnicos en materia de gestión del espectro, radiodifusión digital y dividendo digital. La Oficina ha contribuido al Simposio Mundial para Organismos Reguladores de la UIT de 2024 organizando</w:t>
      </w:r>
      <w:bookmarkEnd w:id="133"/>
      <w:r w:rsidRPr="00A32804">
        <w:rPr>
          <w:lang w:val="es-ES"/>
        </w:rPr>
        <w:t xml:space="preserve"> sesiones relacionadas con la sostenibilidad espacial y participando en las mismas.</w:t>
      </w:r>
    </w:p>
    <w:p w14:paraId="7CAC08B7" w14:textId="77777777" w:rsidR="00B469E0" w:rsidRPr="00A32804" w:rsidRDefault="00B469E0" w:rsidP="00B469E0">
      <w:pPr>
        <w:pStyle w:val="Heading4"/>
        <w:rPr>
          <w:i/>
          <w:lang w:val="es-ES"/>
        </w:rPr>
      </w:pPr>
      <w:r w:rsidRPr="00A32804">
        <w:rPr>
          <w:lang w:val="es-ES"/>
        </w:rPr>
        <w:t>8.4.1.2</w:t>
      </w:r>
      <w:r w:rsidRPr="00A32804">
        <w:rPr>
          <w:lang w:val="es-ES"/>
        </w:rPr>
        <w:tab/>
        <w:t>Simposio Mundial sobre Indicadores de Telecomunicaciones/TIC</w:t>
      </w:r>
      <w:bookmarkEnd w:id="134"/>
    </w:p>
    <w:p w14:paraId="6ED73D61" w14:textId="77777777" w:rsidR="00B469E0" w:rsidRPr="00A32804" w:rsidRDefault="00B469E0" w:rsidP="00B469E0">
      <w:pPr>
        <w:rPr>
          <w:lang w:val="es-ES"/>
        </w:rPr>
      </w:pPr>
      <w:r w:rsidRPr="00A32804">
        <w:rPr>
          <w:lang w:val="es-ES"/>
        </w:rPr>
        <w:t>En 2024, el orden del día del Simposio Mundial sobre Indicadores de Telecomunicaciones/TIC (SMIT) no incluyó ninguna sesión dedicada a temas relacionados con el espectro.</w:t>
      </w:r>
    </w:p>
    <w:p w14:paraId="525A9777" w14:textId="77777777" w:rsidR="00B469E0" w:rsidRPr="00A32804" w:rsidRDefault="00B469E0" w:rsidP="00B469E0">
      <w:pPr>
        <w:pStyle w:val="Heading4"/>
        <w:rPr>
          <w:lang w:val="es-ES"/>
        </w:rPr>
      </w:pPr>
      <w:bookmarkStart w:id="135" w:name="_Toc424047624"/>
      <w:r w:rsidRPr="00A32804">
        <w:rPr>
          <w:lang w:val="es-ES"/>
        </w:rPr>
        <w:t>8.4.1.3</w:t>
      </w:r>
      <w:r w:rsidRPr="00A32804">
        <w:rPr>
          <w:lang w:val="es-ES"/>
        </w:rPr>
        <w:tab/>
        <w:t>Programa de formación en gestión del espectro</w:t>
      </w:r>
      <w:bookmarkEnd w:id="135"/>
    </w:p>
    <w:p w14:paraId="7871995A" w14:textId="77777777" w:rsidR="00B469E0" w:rsidRPr="00A32804" w:rsidRDefault="00B469E0" w:rsidP="00B469E0">
      <w:pPr>
        <w:rPr>
          <w:lang w:val="es-ES"/>
        </w:rPr>
      </w:pPr>
      <w:r w:rsidRPr="00A32804">
        <w:rPr>
          <w:lang w:val="es-ES"/>
        </w:rPr>
        <w:t>Desde 2013, la BR participa de forma activa en un proyecto conjunto con la BDT</w:t>
      </w:r>
      <w:r>
        <w:rPr>
          <w:lang w:val="es-ES"/>
        </w:rPr>
        <w:t>, centrado en</w:t>
      </w:r>
      <w:r w:rsidRPr="00A32804">
        <w:rPr>
          <w:lang w:val="es-ES"/>
        </w:rPr>
        <w:t xml:space="preserve"> la elaboración del Programa de formación en gestión del espectro (SMTP)</w:t>
      </w:r>
      <w:r>
        <w:rPr>
          <w:lang w:val="es-ES"/>
        </w:rPr>
        <w:t>,</w:t>
      </w:r>
      <w:r w:rsidRPr="00A32804">
        <w:rPr>
          <w:lang w:val="es-ES"/>
        </w:rPr>
        <w:t xml:space="preserve"> en sus distintas fases: diseño, preparación del material, revisión por expertos y prueba piloto. A lo largo de los años, se han realizado varias actualizaciones y la BR ha revisado periódicamente el material del SMTP. </w:t>
      </w:r>
      <w:bookmarkStart w:id="136" w:name="lt_pId1398"/>
      <w:bookmarkStart w:id="137" w:name="lt_pId1399"/>
      <w:bookmarkStart w:id="138" w:name="lt_pId1400"/>
      <w:bookmarkEnd w:id="136"/>
      <w:bookmarkEnd w:id="137"/>
      <w:bookmarkEnd w:id="138"/>
      <w:r w:rsidRPr="00A32804">
        <w:rPr>
          <w:lang w:val="es-ES"/>
        </w:rPr>
        <w:t xml:space="preserve">Las últimas actualizaciones se realizaron con el objetivo de incluir los resultados de la CMR-19 y la AR-19. La próxima actualización se hará, en principio, en </w:t>
      </w:r>
      <w:r>
        <w:rPr>
          <w:lang w:val="es-ES"/>
        </w:rPr>
        <w:t>consonancia con</w:t>
      </w:r>
      <w:r w:rsidRPr="00A32804">
        <w:rPr>
          <w:lang w:val="es-ES"/>
        </w:rPr>
        <w:t xml:space="preserve"> la edición de 2024 del</w:t>
      </w:r>
      <w:r>
        <w:rPr>
          <w:lang w:val="es-ES"/>
        </w:rPr>
        <w:t> </w:t>
      </w:r>
      <w:r w:rsidRPr="00A32804">
        <w:rPr>
          <w:lang w:val="es-ES"/>
        </w:rPr>
        <w:t>RR.</w:t>
      </w:r>
    </w:p>
    <w:p w14:paraId="39150BD4" w14:textId="77777777" w:rsidR="00B469E0" w:rsidRPr="00A32804" w:rsidRDefault="00B469E0" w:rsidP="00B469E0">
      <w:pPr>
        <w:spacing w:after="1320"/>
        <w:rPr>
          <w:lang w:val="es-ES"/>
        </w:rPr>
      </w:pPr>
      <w:bookmarkStart w:id="139" w:name="lt_pId1401"/>
      <w:r w:rsidRPr="00A32804">
        <w:rPr>
          <w:lang w:val="es-ES"/>
        </w:rPr>
        <w:t>Teniendo en cuenta los recursos necesarios para mantener/actualizar esta herramienta y la importancia que tiene para muchas administraciones, actualmente se está debatiendo en la BDT si el SMTP podría mejorarse o migrar a una herramienta diferente</w:t>
      </w:r>
      <w:bookmarkStart w:id="140" w:name="_Toc446060796"/>
      <w:bookmarkEnd w:id="139"/>
      <w:r w:rsidRPr="00A32804">
        <w:rPr>
          <w:lang w:val="es-ES"/>
        </w:rPr>
        <w:t>.</w:t>
      </w:r>
    </w:p>
    <w:p w14:paraId="7773A0D9" w14:textId="77777777" w:rsidR="00B469E0" w:rsidRPr="00A32804" w:rsidRDefault="00B469E0" w:rsidP="00B469E0">
      <w:pPr>
        <w:pStyle w:val="Heading2"/>
        <w:rPr>
          <w:lang w:val="es-ES"/>
        </w:rPr>
      </w:pPr>
      <w:r w:rsidRPr="00A32804">
        <w:rPr>
          <w:lang w:val="es-ES"/>
        </w:rPr>
        <w:lastRenderedPageBreak/>
        <w:t>8.5</w:t>
      </w:r>
      <w:r w:rsidRPr="00A32804">
        <w:rPr>
          <w:lang w:val="es-ES"/>
        </w:rPr>
        <w:tab/>
      </w:r>
      <w:bookmarkEnd w:id="140"/>
      <w:r w:rsidRPr="00A32804">
        <w:rPr>
          <w:lang w:val="es-ES"/>
        </w:rPr>
        <w:t>Miembros</w:t>
      </w:r>
    </w:p>
    <w:p w14:paraId="29EEA70F" w14:textId="77777777" w:rsidR="00B469E0" w:rsidRPr="00A32804" w:rsidRDefault="00B469E0" w:rsidP="00B469E0">
      <w:pPr>
        <w:pStyle w:val="Heading3"/>
        <w:rPr>
          <w:lang w:val="es-ES"/>
        </w:rPr>
      </w:pPr>
      <w:r w:rsidRPr="00A32804">
        <w:rPr>
          <w:lang w:val="es-ES"/>
        </w:rPr>
        <w:t>8.5.1</w:t>
      </w:r>
      <w:r w:rsidRPr="00A32804">
        <w:rPr>
          <w:lang w:val="es-ES"/>
        </w:rPr>
        <w:tab/>
        <w:t>Miembros de la UIT</w:t>
      </w:r>
    </w:p>
    <w:p w14:paraId="438BB899" w14:textId="77777777" w:rsidR="00B469E0" w:rsidRPr="00A32804" w:rsidRDefault="00B469E0" w:rsidP="00B469E0">
      <w:pPr>
        <w:rPr>
          <w:lang w:val="es-ES"/>
        </w:rPr>
      </w:pPr>
      <w:r w:rsidRPr="00A32804">
        <w:rPr>
          <w:lang w:val="es-ES"/>
        </w:rPr>
        <w:t>El Cuadro 8.5.1-1 muestra la proporción de Miembros de la UIT en 2024 por Sector y Región.</w:t>
      </w:r>
    </w:p>
    <w:p w14:paraId="6235B0BA" w14:textId="77777777" w:rsidR="00B469E0" w:rsidRPr="00A32804" w:rsidRDefault="00B469E0" w:rsidP="00B469E0">
      <w:pPr>
        <w:pStyle w:val="TableNotitle"/>
        <w:rPr>
          <w:lang w:val="es-ES"/>
        </w:rPr>
      </w:pPr>
      <w:r w:rsidRPr="00A32804">
        <w:rPr>
          <w:lang w:val="es-ES"/>
        </w:rPr>
        <w:t>CUADRO 8.5.1-1</w:t>
      </w:r>
      <w:r>
        <w:rPr>
          <w:lang w:val="es-ES"/>
        </w:rPr>
        <w:br/>
      </w:r>
      <w:r>
        <w:rPr>
          <w:lang w:val="es-ES"/>
        </w:rPr>
        <w:br/>
      </w:r>
      <w:r w:rsidRPr="00A32804">
        <w:rPr>
          <w:lang w:val="es-ES"/>
        </w:rPr>
        <w:t>Miembros de la UIT en 2024 por Sector y Región</w:t>
      </w:r>
    </w:p>
    <w:p w14:paraId="40C9C608" w14:textId="77777777" w:rsidR="00B469E0" w:rsidRPr="00A32804" w:rsidRDefault="00B469E0" w:rsidP="00B469E0">
      <w:pPr>
        <w:jc w:val="center"/>
        <w:rPr>
          <w:lang w:val="es-ES"/>
        </w:rPr>
      </w:pPr>
      <w:r w:rsidRPr="00A32804">
        <w:rPr>
          <w:noProof/>
          <w:lang w:val="es-ES"/>
        </w:rPr>
        <w:drawing>
          <wp:inline distT="0" distB="0" distL="0" distR="0" wp14:anchorId="49F886BA" wp14:editId="1A4AF160">
            <wp:extent cx="6646294" cy="1884132"/>
            <wp:effectExtent l="0" t="0" r="2540" b="1905"/>
            <wp:docPr id="890632654" name="Picture 890632654" descr="A colorful graph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632654" name="Picture 890632654" descr="A colorful graph on a white background&#10;&#10;AI-generated content may be incorrect."/>
                    <pic:cNvPicPr/>
                  </pic:nvPicPr>
                  <pic:blipFill>
                    <a:blip r:embed="rId68" cstate="print">
                      <a:extLst>
                        <a:ext uri="{28A0092B-C50C-407E-A947-70E740481C1C}">
                          <a14:useLocalDpi xmlns:a14="http://schemas.microsoft.com/office/drawing/2010/main" val="0"/>
                        </a:ext>
                      </a:extLst>
                    </a:blip>
                    <a:stretch>
                      <a:fillRect/>
                    </a:stretch>
                  </pic:blipFill>
                  <pic:spPr>
                    <a:xfrm>
                      <a:off x="0" y="0"/>
                      <a:ext cx="6646294" cy="1884132"/>
                    </a:xfrm>
                    <a:prstGeom prst="rect">
                      <a:avLst/>
                    </a:prstGeom>
                  </pic:spPr>
                </pic:pic>
              </a:graphicData>
            </a:graphic>
          </wp:inline>
        </w:drawing>
      </w:r>
    </w:p>
    <w:p w14:paraId="17BF016B" w14:textId="77777777" w:rsidR="00B469E0" w:rsidRPr="00A32804" w:rsidRDefault="00B469E0" w:rsidP="00B469E0">
      <w:pPr>
        <w:pStyle w:val="Heading3"/>
        <w:rPr>
          <w:lang w:val="es-ES"/>
        </w:rPr>
      </w:pPr>
      <w:r w:rsidRPr="00A32804">
        <w:rPr>
          <w:lang w:val="es-ES"/>
        </w:rPr>
        <w:t>8.5.2</w:t>
      </w:r>
      <w:r w:rsidRPr="00A32804">
        <w:rPr>
          <w:lang w:val="es-ES"/>
        </w:rPr>
        <w:tab/>
        <w:t>Miembros del UIT-R</w:t>
      </w:r>
    </w:p>
    <w:p w14:paraId="15A6178D" w14:textId="77777777" w:rsidR="00B469E0" w:rsidRPr="00A32804" w:rsidRDefault="00B469E0" w:rsidP="00B469E0">
      <w:pPr>
        <w:rPr>
          <w:lang w:val="es-ES"/>
        </w:rPr>
      </w:pPr>
      <w:r>
        <w:rPr>
          <w:lang w:val="es-ES"/>
        </w:rPr>
        <w:t>En el Cuadro</w:t>
      </w:r>
      <w:r w:rsidRPr="00A32804">
        <w:rPr>
          <w:lang w:val="es-ES"/>
        </w:rPr>
        <w:t xml:space="preserve"> 8.5.2-1 </w:t>
      </w:r>
      <w:r w:rsidRPr="00FE4D65">
        <w:rPr>
          <w:lang w:val="es-ES"/>
        </w:rPr>
        <w:t>se muestra la evolución del número de Miembros de Sector, Asociados e Instituciones Académicas del UIT-R durante el periodo comprendido entre 2019 y 202</w:t>
      </w:r>
      <w:r w:rsidRPr="00A32804">
        <w:rPr>
          <w:lang w:val="es-ES"/>
        </w:rPr>
        <w:t>4.</w:t>
      </w:r>
    </w:p>
    <w:p w14:paraId="1FE2401C" w14:textId="77777777" w:rsidR="00B469E0" w:rsidRPr="002451B3" w:rsidRDefault="00B469E0" w:rsidP="00B469E0">
      <w:pPr>
        <w:pStyle w:val="TableNotitle"/>
        <w:rPr>
          <w:lang w:val="es-ES"/>
        </w:rPr>
      </w:pPr>
      <w:r>
        <w:rPr>
          <w:lang w:val="es-ES"/>
        </w:rPr>
        <w:t>CUADRO</w:t>
      </w:r>
      <w:r w:rsidRPr="00A32804">
        <w:rPr>
          <w:lang w:val="es-ES"/>
        </w:rPr>
        <w:t xml:space="preserve"> 8.5.2-1</w:t>
      </w:r>
      <w:r>
        <w:rPr>
          <w:lang w:val="es-ES"/>
        </w:rPr>
        <w:br/>
      </w:r>
      <w:r>
        <w:rPr>
          <w:lang w:val="es-ES"/>
        </w:rPr>
        <w:br/>
      </w:r>
      <w:r w:rsidRPr="00FE4D65">
        <w:rPr>
          <w:lang w:val="es-ES"/>
        </w:rPr>
        <w:t xml:space="preserve">Evolución de los Miembros del UIT-R </w:t>
      </w:r>
      <w:r>
        <w:rPr>
          <w:lang w:val="es-ES"/>
        </w:rPr>
        <w:t>entre</w:t>
      </w:r>
      <w:r w:rsidRPr="00A32804">
        <w:rPr>
          <w:lang w:val="es-ES"/>
        </w:rPr>
        <w:t xml:space="preserve"> 2019 </w:t>
      </w:r>
      <w:r>
        <w:rPr>
          <w:lang w:val="es-ES"/>
        </w:rPr>
        <w:t>y</w:t>
      </w:r>
      <w:r w:rsidRPr="00A32804">
        <w:rPr>
          <w:lang w:val="es-ES"/>
        </w:rPr>
        <w:t xml:space="preserve"> 2024</w:t>
      </w:r>
    </w:p>
    <w:tbl>
      <w:tblPr>
        <w:tblW w:w="9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2"/>
        <w:gridCol w:w="1013"/>
        <w:gridCol w:w="1382"/>
        <w:gridCol w:w="1013"/>
        <w:gridCol w:w="1013"/>
        <w:gridCol w:w="845"/>
        <w:gridCol w:w="845"/>
        <w:gridCol w:w="1021"/>
        <w:gridCol w:w="1279"/>
      </w:tblGrid>
      <w:tr w:rsidR="00B469E0" w:rsidRPr="002451B3" w14:paraId="7A889FD6" w14:textId="77777777" w:rsidTr="00B65C06">
        <w:trPr>
          <w:trHeight w:val="300"/>
        </w:trPr>
        <w:tc>
          <w:tcPr>
            <w:tcW w:w="1288" w:type="dxa"/>
          </w:tcPr>
          <w:p w14:paraId="45C23B60" w14:textId="77777777" w:rsidR="00B469E0" w:rsidRPr="002451B3" w:rsidRDefault="00B469E0" w:rsidP="00B65C06">
            <w:pPr>
              <w:pStyle w:val="Tablehead"/>
              <w:rPr>
                <w:lang w:val="es-ES"/>
              </w:rPr>
            </w:pPr>
          </w:p>
        </w:tc>
        <w:tc>
          <w:tcPr>
            <w:tcW w:w="1030" w:type="dxa"/>
          </w:tcPr>
          <w:p w14:paraId="476CBD79" w14:textId="77777777" w:rsidR="00B469E0" w:rsidRPr="002451B3" w:rsidRDefault="00B469E0" w:rsidP="00B65C06">
            <w:pPr>
              <w:pStyle w:val="Tablehead"/>
              <w:rPr>
                <w:lang w:val="es-ES"/>
              </w:rPr>
            </w:pPr>
            <w:r w:rsidRPr="002451B3">
              <w:rPr>
                <w:lang w:val="es-ES"/>
              </w:rPr>
              <w:t>2019</w:t>
            </w:r>
          </w:p>
        </w:tc>
        <w:tc>
          <w:tcPr>
            <w:tcW w:w="1416" w:type="dxa"/>
          </w:tcPr>
          <w:p w14:paraId="31AD9E81" w14:textId="77777777" w:rsidR="00B469E0" w:rsidRPr="002451B3" w:rsidRDefault="00B469E0" w:rsidP="00B65C06">
            <w:pPr>
              <w:pStyle w:val="Tablehead"/>
              <w:rPr>
                <w:color w:val="000000" w:themeColor="text1"/>
                <w:lang w:val="es-ES"/>
              </w:rPr>
            </w:pPr>
            <w:r w:rsidRPr="002451B3">
              <w:rPr>
                <w:color w:val="000000" w:themeColor="text1"/>
                <w:lang w:val="es-ES"/>
              </w:rPr>
              <w:t>2020</w:t>
            </w:r>
          </w:p>
        </w:tc>
        <w:tc>
          <w:tcPr>
            <w:tcW w:w="1030" w:type="dxa"/>
          </w:tcPr>
          <w:p w14:paraId="6CA682A4" w14:textId="77777777" w:rsidR="00B469E0" w:rsidRPr="002451B3" w:rsidRDefault="00B469E0" w:rsidP="00B65C06">
            <w:pPr>
              <w:pStyle w:val="Tablehead"/>
              <w:rPr>
                <w:color w:val="000000" w:themeColor="text1"/>
                <w:lang w:val="es-ES"/>
              </w:rPr>
            </w:pPr>
            <w:r w:rsidRPr="002451B3">
              <w:rPr>
                <w:color w:val="000000" w:themeColor="text1"/>
                <w:lang w:val="es-ES"/>
              </w:rPr>
              <w:t>2021</w:t>
            </w:r>
          </w:p>
        </w:tc>
        <w:tc>
          <w:tcPr>
            <w:tcW w:w="1030" w:type="dxa"/>
          </w:tcPr>
          <w:p w14:paraId="4AEECE3B" w14:textId="77777777" w:rsidR="00B469E0" w:rsidRPr="002451B3" w:rsidRDefault="00B469E0" w:rsidP="00B65C06">
            <w:pPr>
              <w:pStyle w:val="Tablehead"/>
              <w:rPr>
                <w:color w:val="000000" w:themeColor="text1"/>
                <w:lang w:val="es-ES"/>
              </w:rPr>
            </w:pPr>
            <w:r w:rsidRPr="002451B3">
              <w:rPr>
                <w:color w:val="000000" w:themeColor="text1"/>
                <w:lang w:val="es-ES"/>
              </w:rPr>
              <w:t>2022</w:t>
            </w:r>
          </w:p>
        </w:tc>
        <w:tc>
          <w:tcPr>
            <w:tcW w:w="854" w:type="dxa"/>
          </w:tcPr>
          <w:p w14:paraId="466A82A1" w14:textId="77777777" w:rsidR="00B469E0" w:rsidRPr="002451B3" w:rsidRDefault="00B469E0" w:rsidP="00B65C06">
            <w:pPr>
              <w:pStyle w:val="Tablehead"/>
              <w:rPr>
                <w:color w:val="000000" w:themeColor="text1"/>
                <w:lang w:val="es-ES"/>
              </w:rPr>
            </w:pPr>
            <w:r w:rsidRPr="002451B3">
              <w:rPr>
                <w:color w:val="000000" w:themeColor="text1"/>
                <w:lang w:val="es-ES"/>
              </w:rPr>
              <w:t>2023</w:t>
            </w:r>
          </w:p>
        </w:tc>
        <w:tc>
          <w:tcPr>
            <w:tcW w:w="854" w:type="dxa"/>
          </w:tcPr>
          <w:p w14:paraId="7F22221E" w14:textId="77777777" w:rsidR="00B469E0" w:rsidRPr="002451B3" w:rsidRDefault="00B469E0" w:rsidP="00B65C06">
            <w:pPr>
              <w:pStyle w:val="Tablehead"/>
              <w:rPr>
                <w:color w:val="000000" w:themeColor="text1"/>
                <w:lang w:val="es-ES"/>
              </w:rPr>
            </w:pPr>
            <w:r w:rsidRPr="002451B3">
              <w:rPr>
                <w:color w:val="000000" w:themeColor="text1"/>
                <w:lang w:val="es-ES"/>
              </w:rPr>
              <w:t>2024</w:t>
            </w:r>
          </w:p>
        </w:tc>
        <w:tc>
          <w:tcPr>
            <w:tcW w:w="1032" w:type="dxa"/>
          </w:tcPr>
          <w:p w14:paraId="5B83CB9D" w14:textId="77777777" w:rsidR="00B469E0" w:rsidRPr="002451B3" w:rsidRDefault="00B469E0" w:rsidP="00B65C06">
            <w:pPr>
              <w:pStyle w:val="Tablehead"/>
              <w:rPr>
                <w:color w:val="000000" w:themeColor="text1"/>
                <w:lang w:val="es-ES"/>
              </w:rPr>
            </w:pPr>
            <w:r w:rsidRPr="002451B3">
              <w:rPr>
                <w:lang w:val="es-ES"/>
              </w:rPr>
              <w:t>2023</w:t>
            </w:r>
            <w:r w:rsidRPr="002451B3">
              <w:rPr>
                <w:lang w:val="es-ES"/>
              </w:rPr>
              <w:br/>
            </w:r>
            <w:r w:rsidRPr="002451B3">
              <w:rPr>
                <w:color w:val="000000" w:themeColor="text1"/>
                <w:lang w:val="es-ES"/>
              </w:rPr>
              <w:t xml:space="preserve">frente a </w:t>
            </w:r>
            <w:r w:rsidRPr="002451B3">
              <w:rPr>
                <w:lang w:val="es-ES"/>
              </w:rPr>
              <w:br/>
            </w:r>
            <w:r w:rsidRPr="002451B3">
              <w:rPr>
                <w:color w:val="000000" w:themeColor="text1"/>
                <w:lang w:val="es-ES"/>
              </w:rPr>
              <w:t>2019</w:t>
            </w:r>
          </w:p>
        </w:tc>
        <w:tc>
          <w:tcPr>
            <w:tcW w:w="1279" w:type="dxa"/>
          </w:tcPr>
          <w:p w14:paraId="6A272378" w14:textId="77777777" w:rsidR="00B469E0" w:rsidRPr="002451B3" w:rsidRDefault="00B469E0" w:rsidP="00B65C06">
            <w:pPr>
              <w:pStyle w:val="Tablehead"/>
              <w:rPr>
                <w:color w:val="000000" w:themeColor="text1"/>
                <w:lang w:val="es-ES"/>
              </w:rPr>
            </w:pPr>
            <w:r w:rsidRPr="002451B3">
              <w:rPr>
                <w:lang w:val="es-ES"/>
              </w:rPr>
              <w:t xml:space="preserve">% </w:t>
            </w:r>
            <w:r>
              <w:rPr>
                <w:lang w:val="es-ES"/>
              </w:rPr>
              <w:t>de i</w:t>
            </w:r>
            <w:r w:rsidRPr="002451B3">
              <w:rPr>
                <w:lang w:val="es-ES"/>
              </w:rPr>
              <w:t>ncremento</w:t>
            </w:r>
          </w:p>
        </w:tc>
      </w:tr>
      <w:tr w:rsidR="00B469E0" w:rsidRPr="00A32804" w14:paraId="3B7683F5" w14:textId="77777777" w:rsidTr="00B65C06">
        <w:trPr>
          <w:trHeight w:val="300"/>
        </w:trPr>
        <w:tc>
          <w:tcPr>
            <w:tcW w:w="1288" w:type="dxa"/>
          </w:tcPr>
          <w:p w14:paraId="6668CE80" w14:textId="77777777" w:rsidR="00B469E0" w:rsidRPr="00005C2B" w:rsidRDefault="00B469E0" w:rsidP="00B65C06">
            <w:pPr>
              <w:pStyle w:val="Tabletext"/>
            </w:pPr>
            <w:bookmarkStart w:id="141" w:name="lt_pId1426"/>
            <w:r w:rsidRPr="00005C2B">
              <w:t>Miembros de Sector</w:t>
            </w:r>
            <w:bookmarkEnd w:id="141"/>
          </w:p>
        </w:tc>
        <w:tc>
          <w:tcPr>
            <w:tcW w:w="1030" w:type="dxa"/>
          </w:tcPr>
          <w:p w14:paraId="5DC6E4C8" w14:textId="77777777" w:rsidR="00B469E0" w:rsidRPr="00005C2B" w:rsidRDefault="00B469E0" w:rsidP="00B65C06">
            <w:pPr>
              <w:pStyle w:val="Tabletext"/>
            </w:pPr>
            <w:r w:rsidRPr="00005C2B">
              <w:t>272</w:t>
            </w:r>
          </w:p>
        </w:tc>
        <w:tc>
          <w:tcPr>
            <w:tcW w:w="1416" w:type="dxa"/>
          </w:tcPr>
          <w:p w14:paraId="3243B628" w14:textId="77777777" w:rsidR="00B469E0" w:rsidRPr="00005C2B" w:rsidRDefault="00B469E0" w:rsidP="00B65C06">
            <w:pPr>
              <w:pStyle w:val="Tabletext"/>
            </w:pPr>
            <w:r w:rsidRPr="00005C2B">
              <w:t>275</w:t>
            </w:r>
          </w:p>
        </w:tc>
        <w:tc>
          <w:tcPr>
            <w:tcW w:w="1030" w:type="dxa"/>
          </w:tcPr>
          <w:p w14:paraId="6AAFECC7" w14:textId="77777777" w:rsidR="00B469E0" w:rsidRPr="00005C2B" w:rsidRDefault="00B469E0" w:rsidP="00B65C06">
            <w:pPr>
              <w:pStyle w:val="Tabletext"/>
            </w:pPr>
            <w:r w:rsidRPr="00005C2B">
              <w:t>278</w:t>
            </w:r>
          </w:p>
        </w:tc>
        <w:tc>
          <w:tcPr>
            <w:tcW w:w="1030" w:type="dxa"/>
          </w:tcPr>
          <w:p w14:paraId="7A1B7CBC" w14:textId="77777777" w:rsidR="00B469E0" w:rsidRPr="00005C2B" w:rsidRDefault="00B469E0" w:rsidP="00B65C06">
            <w:pPr>
              <w:pStyle w:val="Tabletext"/>
            </w:pPr>
            <w:r w:rsidRPr="00005C2B">
              <w:t>278</w:t>
            </w:r>
          </w:p>
        </w:tc>
        <w:tc>
          <w:tcPr>
            <w:tcW w:w="854" w:type="dxa"/>
          </w:tcPr>
          <w:p w14:paraId="0B8D2E76" w14:textId="77777777" w:rsidR="00B469E0" w:rsidRPr="00005C2B" w:rsidRDefault="00B469E0" w:rsidP="00B65C06">
            <w:pPr>
              <w:pStyle w:val="Tabletext"/>
            </w:pPr>
            <w:r w:rsidRPr="00005C2B">
              <w:t>283</w:t>
            </w:r>
          </w:p>
        </w:tc>
        <w:tc>
          <w:tcPr>
            <w:tcW w:w="854" w:type="dxa"/>
          </w:tcPr>
          <w:p w14:paraId="423C2994" w14:textId="77777777" w:rsidR="00B469E0" w:rsidRPr="00005C2B" w:rsidRDefault="00B469E0" w:rsidP="00B65C06">
            <w:pPr>
              <w:pStyle w:val="Tabletext"/>
            </w:pPr>
            <w:r w:rsidRPr="00005C2B">
              <w:t>285</w:t>
            </w:r>
          </w:p>
        </w:tc>
        <w:tc>
          <w:tcPr>
            <w:tcW w:w="1032" w:type="dxa"/>
          </w:tcPr>
          <w:p w14:paraId="1913DBE6" w14:textId="77777777" w:rsidR="00B469E0" w:rsidRPr="00005C2B" w:rsidRDefault="00B469E0" w:rsidP="00B65C06">
            <w:pPr>
              <w:pStyle w:val="Tabletext"/>
            </w:pPr>
            <w:r w:rsidRPr="00005C2B">
              <w:t>13</w:t>
            </w:r>
          </w:p>
        </w:tc>
        <w:tc>
          <w:tcPr>
            <w:tcW w:w="1279" w:type="dxa"/>
          </w:tcPr>
          <w:p w14:paraId="29E7C4D2" w14:textId="77777777" w:rsidR="00B469E0" w:rsidRPr="00005C2B" w:rsidRDefault="00B469E0" w:rsidP="00B65C06">
            <w:pPr>
              <w:pStyle w:val="Tabletext"/>
            </w:pPr>
            <w:r w:rsidRPr="00005C2B">
              <w:t>41%</w:t>
            </w:r>
          </w:p>
        </w:tc>
      </w:tr>
      <w:tr w:rsidR="00B469E0" w:rsidRPr="00A32804" w14:paraId="5F0722EB" w14:textId="77777777" w:rsidTr="00B65C06">
        <w:trPr>
          <w:trHeight w:val="300"/>
        </w:trPr>
        <w:tc>
          <w:tcPr>
            <w:tcW w:w="1288" w:type="dxa"/>
          </w:tcPr>
          <w:p w14:paraId="4CB11569" w14:textId="77777777" w:rsidR="00B469E0" w:rsidRPr="00005C2B" w:rsidRDefault="00B469E0" w:rsidP="00B65C06">
            <w:pPr>
              <w:pStyle w:val="Tabletext"/>
            </w:pPr>
            <w:bookmarkStart w:id="142" w:name="lt_pId1434"/>
            <w:r w:rsidRPr="00005C2B">
              <w:t>Asociados</w:t>
            </w:r>
            <w:bookmarkEnd w:id="142"/>
          </w:p>
        </w:tc>
        <w:tc>
          <w:tcPr>
            <w:tcW w:w="1030" w:type="dxa"/>
          </w:tcPr>
          <w:p w14:paraId="408F3AF4" w14:textId="77777777" w:rsidR="00B469E0" w:rsidRPr="00005C2B" w:rsidRDefault="00B469E0" w:rsidP="00B65C06">
            <w:pPr>
              <w:pStyle w:val="Tabletext"/>
            </w:pPr>
            <w:r w:rsidRPr="00005C2B">
              <w:t>21</w:t>
            </w:r>
          </w:p>
        </w:tc>
        <w:tc>
          <w:tcPr>
            <w:tcW w:w="1416" w:type="dxa"/>
          </w:tcPr>
          <w:p w14:paraId="51D58C5D" w14:textId="77777777" w:rsidR="00B469E0" w:rsidRPr="00005C2B" w:rsidRDefault="00B469E0" w:rsidP="00B65C06">
            <w:pPr>
              <w:pStyle w:val="Tabletext"/>
            </w:pPr>
            <w:r w:rsidRPr="00005C2B">
              <w:t>22</w:t>
            </w:r>
          </w:p>
        </w:tc>
        <w:tc>
          <w:tcPr>
            <w:tcW w:w="1030" w:type="dxa"/>
          </w:tcPr>
          <w:p w14:paraId="0876B0F1" w14:textId="77777777" w:rsidR="00B469E0" w:rsidRPr="00005C2B" w:rsidRDefault="00B469E0" w:rsidP="00B65C06">
            <w:pPr>
              <w:pStyle w:val="Tabletext"/>
            </w:pPr>
            <w:r w:rsidRPr="00005C2B">
              <w:t>28</w:t>
            </w:r>
          </w:p>
        </w:tc>
        <w:tc>
          <w:tcPr>
            <w:tcW w:w="1030" w:type="dxa"/>
          </w:tcPr>
          <w:p w14:paraId="4C6EC945" w14:textId="77777777" w:rsidR="00B469E0" w:rsidRPr="00005C2B" w:rsidRDefault="00B469E0" w:rsidP="00B65C06">
            <w:pPr>
              <w:pStyle w:val="Tabletext"/>
            </w:pPr>
            <w:r w:rsidRPr="00005C2B">
              <w:t>38</w:t>
            </w:r>
          </w:p>
        </w:tc>
        <w:tc>
          <w:tcPr>
            <w:tcW w:w="854" w:type="dxa"/>
          </w:tcPr>
          <w:p w14:paraId="512C2CFD" w14:textId="77777777" w:rsidR="00B469E0" w:rsidRPr="00005C2B" w:rsidRDefault="00B469E0" w:rsidP="00B65C06">
            <w:pPr>
              <w:pStyle w:val="Tabletext"/>
            </w:pPr>
            <w:r w:rsidRPr="00005C2B">
              <w:t>44</w:t>
            </w:r>
          </w:p>
          <w:p w14:paraId="26C6C658" w14:textId="77777777" w:rsidR="00B469E0" w:rsidRPr="00005C2B" w:rsidRDefault="00B469E0" w:rsidP="00B65C06">
            <w:pPr>
              <w:pStyle w:val="Tabletext"/>
            </w:pPr>
          </w:p>
        </w:tc>
        <w:tc>
          <w:tcPr>
            <w:tcW w:w="854" w:type="dxa"/>
          </w:tcPr>
          <w:p w14:paraId="32B3EF0B" w14:textId="77777777" w:rsidR="00B469E0" w:rsidRPr="00005C2B" w:rsidRDefault="00B469E0" w:rsidP="00B65C06">
            <w:pPr>
              <w:pStyle w:val="Tabletext"/>
            </w:pPr>
            <w:r w:rsidRPr="00005C2B">
              <w:t>43</w:t>
            </w:r>
          </w:p>
        </w:tc>
        <w:tc>
          <w:tcPr>
            <w:tcW w:w="1032" w:type="dxa"/>
          </w:tcPr>
          <w:p w14:paraId="3BE64101" w14:textId="77777777" w:rsidR="00B469E0" w:rsidRPr="00005C2B" w:rsidRDefault="00B469E0" w:rsidP="00B65C06">
            <w:pPr>
              <w:pStyle w:val="Tabletext"/>
            </w:pPr>
            <w:r w:rsidRPr="00005C2B">
              <w:t>22</w:t>
            </w:r>
          </w:p>
        </w:tc>
        <w:tc>
          <w:tcPr>
            <w:tcW w:w="1279" w:type="dxa"/>
          </w:tcPr>
          <w:p w14:paraId="0B588C32" w14:textId="77777777" w:rsidR="00B469E0" w:rsidRPr="00005C2B" w:rsidRDefault="00B469E0" w:rsidP="00B65C06">
            <w:pPr>
              <w:pStyle w:val="Tabletext"/>
            </w:pPr>
            <w:r w:rsidRPr="00005C2B">
              <w:t>104%</w:t>
            </w:r>
          </w:p>
        </w:tc>
      </w:tr>
      <w:tr w:rsidR="00B469E0" w:rsidRPr="00A32804" w14:paraId="2A7DEE29" w14:textId="77777777" w:rsidTr="00B65C06">
        <w:trPr>
          <w:trHeight w:val="300"/>
        </w:trPr>
        <w:tc>
          <w:tcPr>
            <w:tcW w:w="1288" w:type="dxa"/>
          </w:tcPr>
          <w:p w14:paraId="2FD37986" w14:textId="77777777" w:rsidR="00B469E0" w:rsidRPr="00005C2B" w:rsidRDefault="00B469E0" w:rsidP="00B65C06">
            <w:pPr>
              <w:pStyle w:val="Tabletext"/>
            </w:pPr>
            <w:bookmarkStart w:id="143" w:name="lt_pId1442"/>
            <w:r w:rsidRPr="00005C2B">
              <w:t>Instituciones Académicas*</w:t>
            </w:r>
            <w:bookmarkEnd w:id="143"/>
          </w:p>
        </w:tc>
        <w:tc>
          <w:tcPr>
            <w:tcW w:w="1030" w:type="dxa"/>
          </w:tcPr>
          <w:p w14:paraId="5EE9CF96" w14:textId="77777777" w:rsidR="00B469E0" w:rsidRPr="00005C2B" w:rsidRDefault="00B469E0" w:rsidP="00B65C06">
            <w:pPr>
              <w:pStyle w:val="Tabletext"/>
            </w:pPr>
            <w:r w:rsidRPr="00005C2B">
              <w:t>156</w:t>
            </w:r>
          </w:p>
        </w:tc>
        <w:tc>
          <w:tcPr>
            <w:tcW w:w="1416" w:type="dxa"/>
          </w:tcPr>
          <w:p w14:paraId="4ACD9963" w14:textId="77777777" w:rsidR="00B469E0" w:rsidRPr="00005C2B" w:rsidRDefault="00B469E0" w:rsidP="00B65C06">
            <w:pPr>
              <w:pStyle w:val="Tabletext"/>
            </w:pPr>
            <w:r w:rsidRPr="00005C2B">
              <w:t>161</w:t>
            </w:r>
          </w:p>
        </w:tc>
        <w:tc>
          <w:tcPr>
            <w:tcW w:w="1030" w:type="dxa"/>
          </w:tcPr>
          <w:p w14:paraId="4C825A62" w14:textId="77777777" w:rsidR="00B469E0" w:rsidRPr="00005C2B" w:rsidRDefault="00B469E0" w:rsidP="00B65C06">
            <w:pPr>
              <w:pStyle w:val="Tabletext"/>
            </w:pPr>
            <w:r w:rsidRPr="00005C2B">
              <w:t>161</w:t>
            </w:r>
          </w:p>
        </w:tc>
        <w:tc>
          <w:tcPr>
            <w:tcW w:w="1030" w:type="dxa"/>
          </w:tcPr>
          <w:p w14:paraId="3FD23F43" w14:textId="77777777" w:rsidR="00B469E0" w:rsidRPr="00005C2B" w:rsidRDefault="00B469E0" w:rsidP="00B65C06">
            <w:pPr>
              <w:pStyle w:val="Tabletext"/>
            </w:pPr>
            <w:r w:rsidRPr="00005C2B">
              <w:t>171</w:t>
            </w:r>
          </w:p>
        </w:tc>
        <w:tc>
          <w:tcPr>
            <w:tcW w:w="854" w:type="dxa"/>
          </w:tcPr>
          <w:p w14:paraId="7FD1C920" w14:textId="77777777" w:rsidR="00B469E0" w:rsidRPr="00005C2B" w:rsidRDefault="00B469E0" w:rsidP="00B65C06">
            <w:pPr>
              <w:pStyle w:val="Tabletext"/>
            </w:pPr>
            <w:r w:rsidRPr="00005C2B">
              <w:t>169</w:t>
            </w:r>
          </w:p>
          <w:p w14:paraId="2E1DBE06" w14:textId="77777777" w:rsidR="00B469E0" w:rsidRPr="00005C2B" w:rsidRDefault="00B469E0" w:rsidP="00B65C06">
            <w:pPr>
              <w:pStyle w:val="Tabletext"/>
            </w:pPr>
          </w:p>
        </w:tc>
        <w:tc>
          <w:tcPr>
            <w:tcW w:w="854" w:type="dxa"/>
          </w:tcPr>
          <w:p w14:paraId="460FA726" w14:textId="77777777" w:rsidR="00B469E0" w:rsidRPr="00005C2B" w:rsidRDefault="00B469E0" w:rsidP="00B65C06">
            <w:pPr>
              <w:pStyle w:val="Tabletext"/>
            </w:pPr>
            <w:r w:rsidRPr="00005C2B">
              <w:t>170</w:t>
            </w:r>
          </w:p>
        </w:tc>
        <w:tc>
          <w:tcPr>
            <w:tcW w:w="1032" w:type="dxa"/>
          </w:tcPr>
          <w:p w14:paraId="618C34C5" w14:textId="77777777" w:rsidR="00B469E0" w:rsidRPr="00005C2B" w:rsidRDefault="00B469E0" w:rsidP="00B65C06">
            <w:pPr>
              <w:pStyle w:val="Tabletext"/>
            </w:pPr>
            <w:r w:rsidRPr="00005C2B">
              <w:t>14</w:t>
            </w:r>
          </w:p>
        </w:tc>
        <w:tc>
          <w:tcPr>
            <w:tcW w:w="1279" w:type="dxa"/>
          </w:tcPr>
          <w:p w14:paraId="5AD14CD8" w14:textId="77777777" w:rsidR="00B469E0" w:rsidRPr="00005C2B" w:rsidRDefault="00B469E0" w:rsidP="00B65C06">
            <w:pPr>
              <w:pStyle w:val="Tabletext"/>
            </w:pPr>
            <w:r w:rsidRPr="00005C2B">
              <w:t>9%</w:t>
            </w:r>
          </w:p>
        </w:tc>
      </w:tr>
    </w:tbl>
    <w:p w14:paraId="3C265FC1" w14:textId="77777777" w:rsidR="00B469E0" w:rsidRPr="00005C2B" w:rsidRDefault="00B469E0" w:rsidP="00B469E0">
      <w:pPr>
        <w:keepNext/>
        <w:keepLines/>
        <w:tabs>
          <w:tab w:val="decimal" w:pos="175"/>
        </w:tabs>
        <w:spacing w:before="0" w:after="120"/>
        <w:rPr>
          <w:i/>
          <w:iCs/>
          <w:sz w:val="18"/>
          <w:szCs w:val="18"/>
          <w:lang w:val="es-ES"/>
        </w:rPr>
      </w:pPr>
      <w:r w:rsidRPr="00A32804">
        <w:rPr>
          <w:i/>
          <w:iCs/>
          <w:sz w:val="18"/>
          <w:szCs w:val="18"/>
          <w:lang w:val="es-ES"/>
        </w:rPr>
        <w:t xml:space="preserve">*De acuerdo con la decisión </w:t>
      </w:r>
      <w:r>
        <w:rPr>
          <w:i/>
          <w:iCs/>
          <w:sz w:val="18"/>
          <w:szCs w:val="18"/>
          <w:lang w:val="es-ES"/>
        </w:rPr>
        <w:t>adoptada por</w:t>
      </w:r>
      <w:r w:rsidRPr="00A32804">
        <w:rPr>
          <w:i/>
          <w:iCs/>
          <w:sz w:val="18"/>
          <w:szCs w:val="18"/>
          <w:lang w:val="es-ES"/>
        </w:rPr>
        <w:t xml:space="preserve"> la PP-14, </w:t>
      </w:r>
      <w:r w:rsidRPr="002451B3">
        <w:rPr>
          <w:i/>
          <w:iCs/>
          <w:sz w:val="18"/>
          <w:szCs w:val="18"/>
          <w:lang w:val="es-ES"/>
        </w:rPr>
        <w:t>las Instituciones Académicas son Miembros de los tres Sectores de la UIT</w:t>
      </w:r>
      <w:r w:rsidRPr="00A32804">
        <w:rPr>
          <w:i/>
          <w:iCs/>
          <w:sz w:val="18"/>
          <w:szCs w:val="18"/>
          <w:lang w:val="es-ES"/>
        </w:rPr>
        <w:t>.</w:t>
      </w:r>
    </w:p>
    <w:p w14:paraId="2734462F" w14:textId="77777777" w:rsidR="00B469E0" w:rsidRPr="00A32804" w:rsidRDefault="00B469E0" w:rsidP="00B469E0">
      <w:pPr>
        <w:pStyle w:val="Heading2"/>
        <w:rPr>
          <w:lang w:val="es-ES"/>
        </w:rPr>
      </w:pPr>
      <w:bookmarkStart w:id="144" w:name="_Toc424047607"/>
      <w:bookmarkStart w:id="145" w:name="_Toc446060797"/>
      <w:r w:rsidRPr="00A32804">
        <w:rPr>
          <w:lang w:val="es-ES"/>
        </w:rPr>
        <w:t>8.6</w:t>
      </w:r>
      <w:r w:rsidRPr="00A32804">
        <w:rPr>
          <w:lang w:val="es-ES"/>
        </w:rPr>
        <w:tab/>
        <w:t>Comunicación y promoción</w:t>
      </w:r>
      <w:bookmarkEnd w:id="144"/>
      <w:bookmarkEnd w:id="145"/>
    </w:p>
    <w:p w14:paraId="1B752F1A" w14:textId="77777777" w:rsidR="00B469E0" w:rsidRPr="00A32804" w:rsidRDefault="00B469E0" w:rsidP="00B469E0">
      <w:pPr>
        <w:pStyle w:val="Heading3"/>
        <w:rPr>
          <w:i/>
          <w:lang w:val="es-ES"/>
        </w:rPr>
      </w:pPr>
      <w:r w:rsidRPr="00A32804">
        <w:rPr>
          <w:lang w:val="es-ES"/>
        </w:rPr>
        <w:t>8.6.1</w:t>
      </w:r>
      <w:r w:rsidRPr="00A32804">
        <w:rPr>
          <w:lang w:val="es-ES"/>
        </w:rPr>
        <w:tab/>
      </w:r>
      <w:r>
        <w:rPr>
          <w:lang w:val="es-ES"/>
        </w:rPr>
        <w:t>Sitios</w:t>
      </w:r>
      <w:r w:rsidRPr="00A32804">
        <w:rPr>
          <w:lang w:val="es-ES"/>
        </w:rPr>
        <w:t xml:space="preserve"> web y bases de datos</w:t>
      </w:r>
    </w:p>
    <w:p w14:paraId="799CAA7F" w14:textId="77777777" w:rsidR="00B469E0" w:rsidRPr="00FE4D65" w:rsidRDefault="00B469E0" w:rsidP="00B469E0">
      <w:pPr>
        <w:rPr>
          <w:lang w:val="es-ES"/>
        </w:rPr>
      </w:pPr>
      <w:bookmarkStart w:id="146" w:name="lt_pId1455"/>
      <w:r w:rsidRPr="00FE4D65">
        <w:rPr>
          <w:lang w:val="es-ES"/>
        </w:rPr>
        <w:t>El Equipo Web de la BR (</w:t>
      </w:r>
      <w:hyperlink r:id="rId69" w:history="1">
        <w:r w:rsidRPr="00FE4D65">
          <w:rPr>
            <w:rStyle w:val="Hyperlink"/>
            <w:rFonts w:eastAsia="SimSun"/>
            <w:lang w:val="es-ES"/>
          </w:rPr>
          <w:t>brweb@itu.int</w:t>
        </w:r>
      </w:hyperlink>
      <w:r w:rsidRPr="00FE4D65">
        <w:rPr>
          <w:lang w:val="es-ES"/>
        </w:rPr>
        <w:t>) se ocupa de mantener y garantizar constantemente la actividad de los sitios web del UIT-R, incluidas las bases de datos y demás sistemas de gestión de la información.</w:t>
      </w:r>
      <w:bookmarkEnd w:id="146"/>
    </w:p>
    <w:p w14:paraId="0A45B0DE" w14:textId="77777777" w:rsidR="00B469E0" w:rsidRPr="00A32804" w:rsidRDefault="00B469E0" w:rsidP="00B469E0">
      <w:pPr>
        <w:rPr>
          <w:lang w:val="es-ES"/>
        </w:rPr>
      </w:pPr>
      <w:bookmarkStart w:id="147" w:name="lt_pId1456"/>
      <w:r w:rsidRPr="00FE4D65">
        <w:rPr>
          <w:lang w:val="es-ES"/>
        </w:rPr>
        <w:t xml:space="preserve">Durante el </w:t>
      </w:r>
      <w:r>
        <w:rPr>
          <w:lang w:val="es-ES"/>
        </w:rPr>
        <w:t>año 2024,</w:t>
      </w:r>
      <w:r w:rsidRPr="00FE4D65">
        <w:rPr>
          <w:lang w:val="es-ES"/>
        </w:rPr>
        <w:t xml:space="preserve"> la atención se centró en el sitio web de la CMR-23 y las actividades y novedades conexas</w:t>
      </w:r>
      <w:bookmarkEnd w:id="147"/>
      <w:r w:rsidRPr="00A32804">
        <w:rPr>
          <w:lang w:val="es-ES"/>
        </w:rPr>
        <w:t>.</w:t>
      </w:r>
    </w:p>
    <w:p w14:paraId="2E9EE953" w14:textId="77777777" w:rsidR="00B469E0" w:rsidRPr="00A32804" w:rsidRDefault="00B469E0" w:rsidP="00B469E0">
      <w:pPr>
        <w:pStyle w:val="Heading4"/>
        <w:rPr>
          <w:lang w:val="es-ES"/>
        </w:rPr>
      </w:pPr>
      <w:r w:rsidRPr="00A32804">
        <w:rPr>
          <w:lang w:val="es-ES"/>
        </w:rPr>
        <w:lastRenderedPageBreak/>
        <w:t>8.6.1.1</w:t>
      </w:r>
      <w:r w:rsidRPr="00A32804">
        <w:rPr>
          <w:lang w:val="es-ES"/>
        </w:rPr>
        <w:tab/>
      </w:r>
      <w:r w:rsidRPr="00FE4D65">
        <w:rPr>
          <w:lang w:val="es-ES"/>
        </w:rPr>
        <w:t>Nuevo sistema de gestión de contenidos (CMS</w:t>
      </w:r>
      <w:r w:rsidRPr="00A32804">
        <w:rPr>
          <w:lang w:val="es-ES"/>
        </w:rPr>
        <w:t>) - WordPress</w:t>
      </w:r>
    </w:p>
    <w:p w14:paraId="2169E33B" w14:textId="77777777" w:rsidR="00B469E0" w:rsidRPr="00A32804" w:rsidRDefault="00B469E0" w:rsidP="00B469E0">
      <w:pPr>
        <w:rPr>
          <w:szCs w:val="24"/>
          <w:lang w:val="es-ES"/>
        </w:rPr>
      </w:pPr>
      <w:r w:rsidRPr="00A32804">
        <w:rPr>
          <w:rFonts w:eastAsia="SimSun"/>
          <w:szCs w:val="24"/>
          <w:lang w:val="es-ES"/>
        </w:rPr>
        <w:t xml:space="preserve">Los </w:t>
      </w:r>
      <w:r>
        <w:rPr>
          <w:lang w:val="es-ES"/>
        </w:rPr>
        <w:t>n</w:t>
      </w:r>
      <w:r w:rsidRPr="00FE4D65">
        <w:rPr>
          <w:lang w:val="es-ES"/>
        </w:rPr>
        <w:t>uevos sitios web de WordPress creados en</w:t>
      </w:r>
      <w:r w:rsidRPr="00A32804">
        <w:rPr>
          <w:szCs w:val="24"/>
          <w:lang w:val="es-ES"/>
        </w:rPr>
        <w:t xml:space="preserve"> 2024 </w:t>
      </w:r>
      <w:r w:rsidRPr="00A32804">
        <w:rPr>
          <w:rFonts w:eastAsia="SimSun"/>
          <w:lang w:val="es-ES"/>
        </w:rPr>
        <w:t xml:space="preserve">se presentan en </w:t>
      </w:r>
      <w:r>
        <w:rPr>
          <w:rFonts w:eastAsia="SimSun"/>
          <w:lang w:val="es-ES"/>
        </w:rPr>
        <w:t xml:space="preserve">el </w:t>
      </w:r>
      <w:r w:rsidRPr="00BB2700">
        <w:rPr>
          <w:rFonts w:eastAsia="SimSun"/>
          <w:lang w:val="es-ES"/>
        </w:rPr>
        <w:t>Add</w:t>
      </w:r>
      <w:r>
        <w:rPr>
          <w:rFonts w:eastAsia="SimSun"/>
          <w:lang w:val="es-ES"/>
        </w:rPr>
        <w:t>é</w:t>
      </w:r>
      <w:r w:rsidRPr="00BB2700">
        <w:rPr>
          <w:rFonts w:eastAsia="SimSun"/>
          <w:lang w:val="es-ES"/>
        </w:rPr>
        <w:t xml:space="preserve">ndum </w:t>
      </w:r>
      <w:r w:rsidRPr="00A32804">
        <w:rPr>
          <w:rFonts w:eastAsia="SimSun"/>
          <w:lang w:val="es-ES"/>
        </w:rPr>
        <w:t xml:space="preserve">2 </w:t>
      </w:r>
      <w:r>
        <w:rPr>
          <w:rFonts w:eastAsia="SimSun"/>
          <w:lang w:val="es-ES"/>
        </w:rPr>
        <w:t>al presente</w:t>
      </w:r>
      <w:r w:rsidRPr="00A32804">
        <w:rPr>
          <w:rFonts w:eastAsia="SimSun"/>
          <w:lang w:val="es-ES"/>
        </w:rPr>
        <w:t xml:space="preserve"> documento</w:t>
      </w:r>
      <w:r w:rsidRPr="00A32804">
        <w:rPr>
          <w:szCs w:val="24"/>
          <w:lang w:val="es-ES"/>
        </w:rPr>
        <w:t>.</w:t>
      </w:r>
    </w:p>
    <w:p w14:paraId="763F0C3F" w14:textId="77777777" w:rsidR="00B469E0" w:rsidRPr="00A32804" w:rsidRDefault="00B469E0" w:rsidP="00B469E0">
      <w:pPr>
        <w:pStyle w:val="Heading4"/>
        <w:rPr>
          <w:lang w:val="es-ES"/>
        </w:rPr>
      </w:pPr>
      <w:r w:rsidRPr="00A32804">
        <w:rPr>
          <w:lang w:val="es-ES"/>
        </w:rPr>
        <w:t>8.6.1.2</w:t>
      </w:r>
      <w:r w:rsidRPr="00A32804">
        <w:rPr>
          <w:lang w:val="es-ES"/>
        </w:rPr>
        <w:tab/>
      </w:r>
      <w:r>
        <w:rPr>
          <w:lang w:val="es-ES"/>
        </w:rPr>
        <w:t>T</w:t>
      </w:r>
      <w:r w:rsidRPr="00A32804">
        <w:rPr>
          <w:lang w:val="es-ES"/>
        </w:rPr>
        <w:t>raducción</w:t>
      </w:r>
    </w:p>
    <w:p w14:paraId="6BC5C778" w14:textId="77777777" w:rsidR="00B469E0" w:rsidRPr="00A32804" w:rsidRDefault="00B469E0" w:rsidP="00B469E0">
      <w:pPr>
        <w:rPr>
          <w:rFonts w:eastAsia="SimSun"/>
          <w:lang w:val="es-ES"/>
        </w:rPr>
      </w:pPr>
      <w:r w:rsidRPr="00A32804">
        <w:rPr>
          <w:rFonts w:eastAsia="SimSun"/>
          <w:lang w:val="es-ES"/>
        </w:rPr>
        <w:t xml:space="preserve">Este tema se </w:t>
      </w:r>
      <w:r>
        <w:rPr>
          <w:rFonts w:eastAsia="SimSun"/>
          <w:lang w:val="es-ES"/>
        </w:rPr>
        <w:t>aborda</w:t>
      </w:r>
      <w:r w:rsidRPr="00A32804">
        <w:rPr>
          <w:rFonts w:eastAsia="SimSun"/>
          <w:lang w:val="es-ES"/>
        </w:rPr>
        <w:t xml:space="preserve"> en </w:t>
      </w:r>
      <w:r>
        <w:rPr>
          <w:rFonts w:eastAsia="SimSun"/>
          <w:lang w:val="es-ES"/>
        </w:rPr>
        <w:t xml:space="preserve">el </w:t>
      </w:r>
      <w:r w:rsidRPr="00BB2700">
        <w:rPr>
          <w:rFonts w:eastAsia="SimSun"/>
          <w:lang w:val="es-ES"/>
        </w:rPr>
        <w:t>Add</w:t>
      </w:r>
      <w:r>
        <w:rPr>
          <w:rFonts w:eastAsia="SimSun"/>
          <w:lang w:val="es-ES"/>
        </w:rPr>
        <w:t>é</w:t>
      </w:r>
      <w:r w:rsidRPr="00BB2700">
        <w:rPr>
          <w:rFonts w:eastAsia="SimSun"/>
          <w:lang w:val="es-ES"/>
        </w:rPr>
        <w:t xml:space="preserve">ndum </w:t>
      </w:r>
      <w:r w:rsidRPr="00A32804">
        <w:rPr>
          <w:rFonts w:eastAsia="SimSun"/>
          <w:lang w:val="es-ES"/>
        </w:rPr>
        <w:t xml:space="preserve">2 </w:t>
      </w:r>
      <w:r>
        <w:rPr>
          <w:rFonts w:eastAsia="SimSun"/>
          <w:lang w:val="es-ES"/>
        </w:rPr>
        <w:t>al presente</w:t>
      </w:r>
      <w:r w:rsidRPr="00A32804">
        <w:rPr>
          <w:rFonts w:eastAsia="SimSun"/>
          <w:lang w:val="es-ES"/>
        </w:rPr>
        <w:t xml:space="preserve"> documento</w:t>
      </w:r>
      <w:r w:rsidRPr="00A32804">
        <w:rPr>
          <w:szCs w:val="24"/>
          <w:lang w:val="es-ES"/>
        </w:rPr>
        <w:t>.</w:t>
      </w:r>
    </w:p>
    <w:p w14:paraId="1D8226BB" w14:textId="77777777" w:rsidR="00B469E0" w:rsidRPr="00A32804" w:rsidRDefault="00B469E0" w:rsidP="00B469E0">
      <w:pPr>
        <w:pStyle w:val="Heading3"/>
        <w:rPr>
          <w:i/>
          <w:lang w:val="es-ES"/>
        </w:rPr>
      </w:pPr>
      <w:r w:rsidRPr="00A32804">
        <w:rPr>
          <w:lang w:val="es-ES"/>
        </w:rPr>
        <w:t>8.6.2</w:t>
      </w:r>
      <w:r w:rsidRPr="00A32804">
        <w:rPr>
          <w:lang w:val="es-ES"/>
        </w:rPr>
        <w:tab/>
        <w:t>Promoción y relaciones con los medios</w:t>
      </w:r>
    </w:p>
    <w:p w14:paraId="25148936" w14:textId="77777777" w:rsidR="00B469E0" w:rsidRPr="00A32804" w:rsidRDefault="00B469E0" w:rsidP="00B469E0">
      <w:pPr>
        <w:rPr>
          <w:rFonts w:eastAsia="SimSun"/>
          <w:lang w:val="es-ES"/>
        </w:rPr>
      </w:pPr>
      <w:r w:rsidRPr="00A32804">
        <w:rPr>
          <w:rFonts w:eastAsia="SimSun"/>
          <w:lang w:val="es-ES"/>
        </w:rPr>
        <w:t>En 2024, la comunicación de la BR se centró principalmente en l</w:t>
      </w:r>
      <w:r>
        <w:rPr>
          <w:rFonts w:eastAsia="SimSun"/>
          <w:lang w:val="es-ES"/>
        </w:rPr>
        <w:t>o</w:t>
      </w:r>
      <w:r w:rsidRPr="00A32804">
        <w:rPr>
          <w:rFonts w:eastAsia="SimSun"/>
          <w:lang w:val="es-ES"/>
        </w:rPr>
        <w:t>s</w:t>
      </w:r>
      <w:r>
        <w:rPr>
          <w:rFonts w:eastAsia="SimSun"/>
          <w:lang w:val="es-ES"/>
        </w:rPr>
        <w:t xml:space="preserve"> eventos y</w:t>
      </w:r>
      <w:r w:rsidRPr="00A32804">
        <w:rPr>
          <w:rFonts w:eastAsia="SimSun"/>
          <w:lang w:val="es-ES"/>
        </w:rPr>
        <w:t xml:space="preserve"> actividades posteriores a la AR-23 y la CMR-23, con reuniones virtuales, seminarios web</w:t>
      </w:r>
      <w:r>
        <w:rPr>
          <w:rFonts w:eastAsia="SimSun"/>
          <w:lang w:val="es-ES"/>
        </w:rPr>
        <w:t>, iniciativas encaminadas a la</w:t>
      </w:r>
      <w:r w:rsidRPr="00A32804">
        <w:rPr>
          <w:rFonts w:eastAsia="SimSun"/>
          <w:lang w:val="es-ES"/>
        </w:rPr>
        <w:t xml:space="preserve"> promoción de los resultados de la CMR-23 y otras actividades de la Oficina a través de</w:t>
      </w:r>
      <w:r>
        <w:rPr>
          <w:rFonts w:eastAsia="SimSun"/>
          <w:lang w:val="es-ES"/>
        </w:rPr>
        <w:t xml:space="preserve"> redes </w:t>
      </w:r>
      <w:r w:rsidRPr="00A32804">
        <w:rPr>
          <w:rFonts w:eastAsia="SimSun"/>
          <w:lang w:val="es-ES"/>
        </w:rPr>
        <w:t>sociales y sitios web.</w:t>
      </w:r>
    </w:p>
    <w:p w14:paraId="1FE095B7" w14:textId="77777777" w:rsidR="00B469E0" w:rsidRPr="00A32804" w:rsidRDefault="00B469E0" w:rsidP="00B469E0">
      <w:pPr>
        <w:rPr>
          <w:lang w:val="es-ES"/>
        </w:rPr>
      </w:pPr>
      <w:r w:rsidRPr="00A32804">
        <w:rPr>
          <w:lang w:val="es-ES"/>
        </w:rPr>
        <w:t>En marzo de 2024, se publicó</w:t>
      </w:r>
      <w:r>
        <w:rPr>
          <w:lang w:val="es-ES"/>
        </w:rPr>
        <w:t xml:space="preserve"> el número de la </w:t>
      </w:r>
      <w:r w:rsidRPr="00A32804">
        <w:rPr>
          <w:lang w:val="es-ES"/>
        </w:rPr>
        <w:t>revista</w:t>
      </w:r>
      <w:r>
        <w:rPr>
          <w:lang w:val="es-ES"/>
        </w:rPr>
        <w:t xml:space="preserve"> </w:t>
      </w:r>
      <w:r w:rsidRPr="008072A1">
        <w:rPr>
          <w:i/>
          <w:iCs/>
          <w:lang w:val="es-ES"/>
        </w:rPr>
        <w:t>Actualidades de la UIT</w:t>
      </w:r>
      <w:r>
        <w:rPr>
          <w:lang w:val="es-ES"/>
        </w:rPr>
        <w:t xml:space="preserve"> dedicado a </w:t>
      </w:r>
      <w:r w:rsidRPr="00A32804">
        <w:rPr>
          <w:lang w:val="es-ES"/>
        </w:rPr>
        <w:t xml:space="preserve">los </w:t>
      </w:r>
      <w:hyperlink r:id="rId70" w:anchor="/es" w:history="1">
        <w:r w:rsidRPr="00A32804">
          <w:rPr>
            <w:rStyle w:val="Hyperlink"/>
            <w:rFonts w:eastAsia="SimSun"/>
            <w:lang w:val="es-ES"/>
          </w:rPr>
          <w:t>resultados de la Conferencia Mundial de Radiocomunicaciones</w:t>
        </w:r>
      </w:hyperlink>
      <w:r>
        <w:rPr>
          <w:lang w:val="es-ES"/>
        </w:rPr>
        <w:t xml:space="preserve"> de 2</w:t>
      </w:r>
      <w:r w:rsidRPr="00A32804">
        <w:rPr>
          <w:lang w:val="es-ES"/>
        </w:rPr>
        <w:t>023</w:t>
      </w:r>
      <w:r>
        <w:rPr>
          <w:lang w:val="es-ES"/>
        </w:rPr>
        <w:t>, el cual</w:t>
      </w:r>
      <w:r w:rsidRPr="00A32804">
        <w:rPr>
          <w:lang w:val="es-ES"/>
        </w:rPr>
        <w:t xml:space="preserve"> se promocionó en las páginas </w:t>
      </w:r>
      <w:r>
        <w:rPr>
          <w:lang w:val="es-ES"/>
        </w:rPr>
        <w:t>principales</w:t>
      </w:r>
      <w:r w:rsidRPr="00A32804">
        <w:rPr>
          <w:lang w:val="es-ES"/>
        </w:rPr>
        <w:t xml:space="preserve"> de la UIT y del UIT-R,</w:t>
      </w:r>
      <w:r>
        <w:rPr>
          <w:lang w:val="es-ES"/>
        </w:rPr>
        <w:t xml:space="preserve"> así como</w:t>
      </w:r>
      <w:r w:rsidRPr="00A32804">
        <w:rPr>
          <w:lang w:val="es-ES"/>
        </w:rPr>
        <w:t xml:space="preserve"> en las redes sociales</w:t>
      </w:r>
      <w:r>
        <w:rPr>
          <w:lang w:val="es-ES"/>
        </w:rPr>
        <w:t>,</w:t>
      </w:r>
      <w:r w:rsidRPr="00A32804">
        <w:rPr>
          <w:lang w:val="es-ES"/>
        </w:rPr>
        <w:t xml:space="preserve"> y se envió a todos los participantes inscritos en la CMR-23.</w:t>
      </w:r>
    </w:p>
    <w:p w14:paraId="05DC50B2" w14:textId="77777777" w:rsidR="00B469E0" w:rsidRPr="00A32804" w:rsidRDefault="00B469E0" w:rsidP="00B469E0">
      <w:pPr>
        <w:pStyle w:val="Heading4"/>
        <w:rPr>
          <w:lang w:val="es-ES"/>
        </w:rPr>
      </w:pPr>
      <w:r w:rsidRPr="00A32804">
        <w:rPr>
          <w:lang w:val="es-ES"/>
        </w:rPr>
        <w:t>8.6.2.1</w:t>
      </w:r>
      <w:r w:rsidRPr="00A32804">
        <w:rPr>
          <w:lang w:val="es-ES"/>
        </w:rPr>
        <w:tab/>
      </w:r>
      <w:r w:rsidRPr="00FE4D65">
        <w:rPr>
          <w:lang w:val="es-ES"/>
        </w:rPr>
        <w:t>Preguntas más frecuentes</w:t>
      </w:r>
      <w:r w:rsidRPr="006F7473">
        <w:rPr>
          <w:lang w:val="es-ES"/>
        </w:rPr>
        <w:t xml:space="preserve"> </w:t>
      </w:r>
      <w:r w:rsidRPr="008072A1">
        <w:rPr>
          <w:lang w:val="es-ES"/>
        </w:rPr>
        <w:t>sobre divulgación en medios</w:t>
      </w:r>
      <w:r w:rsidRPr="00FE4D65">
        <w:rPr>
          <w:lang w:val="es-ES"/>
        </w:rPr>
        <w:t xml:space="preserve">, documentos de antecedentes, revista </w:t>
      </w:r>
      <w:r w:rsidRPr="001B3AA3">
        <w:rPr>
          <w:i/>
          <w:iCs/>
          <w:lang w:val="es-ES"/>
        </w:rPr>
        <w:t>Actualidades de la UIT</w:t>
      </w:r>
      <w:r w:rsidRPr="00FE4D65">
        <w:rPr>
          <w:lang w:val="es-ES"/>
        </w:rPr>
        <w:t>, blogs y artículos</w:t>
      </w:r>
    </w:p>
    <w:p w14:paraId="70106D84" w14:textId="77777777" w:rsidR="00B469E0" w:rsidRPr="00A32804" w:rsidRDefault="00B469E0" w:rsidP="00B469E0">
      <w:pPr>
        <w:rPr>
          <w:lang w:val="es-ES"/>
        </w:rPr>
      </w:pPr>
      <w:r w:rsidRPr="00A32804">
        <w:rPr>
          <w:lang w:val="es-ES"/>
        </w:rPr>
        <w:t xml:space="preserve">En 2024, </w:t>
      </w:r>
      <w:r w:rsidRPr="00FE4D65">
        <w:rPr>
          <w:lang w:val="es-ES"/>
        </w:rPr>
        <w:t>la Oficina, en colaboración con el Departamento de Comunicaciones de la Unión, publicó periódicamente en el sitio web de la BR</w:t>
      </w:r>
      <w:r>
        <w:rPr>
          <w:lang w:val="es-ES"/>
        </w:rPr>
        <w:t xml:space="preserve"> y divulgó documentos de </w:t>
      </w:r>
      <w:r w:rsidRPr="00A32804">
        <w:rPr>
          <w:lang w:val="es-ES"/>
        </w:rPr>
        <w:t>antecedentes, artículos y blogs del Director de la BR</w:t>
      </w:r>
      <w:r>
        <w:rPr>
          <w:lang w:val="es-ES"/>
        </w:rPr>
        <w:t>, así como de o</w:t>
      </w:r>
      <w:r w:rsidRPr="00A32804">
        <w:rPr>
          <w:lang w:val="es-ES"/>
        </w:rPr>
        <w:t xml:space="preserve">tros altos cargos de la </w:t>
      </w:r>
      <w:r>
        <w:rPr>
          <w:lang w:val="es-ES"/>
        </w:rPr>
        <w:t>Oficina, a través del</w:t>
      </w:r>
      <w:r w:rsidRPr="00FE4D65">
        <w:rPr>
          <w:lang w:val="es-ES"/>
        </w:rPr>
        <w:t xml:space="preserve"> Polo de </w:t>
      </w:r>
      <w:r w:rsidRPr="002F3FC1">
        <w:rPr>
          <w:i/>
          <w:iCs/>
          <w:lang w:val="es-ES"/>
        </w:rPr>
        <w:t>Actualidades de la UIT</w:t>
      </w:r>
      <w:r w:rsidRPr="00A32804">
        <w:rPr>
          <w:lang w:val="es-ES"/>
        </w:rPr>
        <w:t xml:space="preserve">. </w:t>
      </w:r>
    </w:p>
    <w:p w14:paraId="41464B47" w14:textId="77777777" w:rsidR="00B469E0" w:rsidRDefault="00B469E0" w:rsidP="00B469E0">
      <w:pPr>
        <w:rPr>
          <w:lang w:val="es-ES"/>
        </w:rPr>
      </w:pPr>
      <w:r>
        <w:rPr>
          <w:lang w:val="es-ES"/>
        </w:rPr>
        <w:t>E</w:t>
      </w:r>
      <w:r w:rsidRPr="00A32804">
        <w:rPr>
          <w:lang w:val="es-ES"/>
        </w:rPr>
        <w:t xml:space="preserve">n respuesta a las consultas </w:t>
      </w:r>
      <w:r>
        <w:rPr>
          <w:lang w:val="es-ES"/>
        </w:rPr>
        <w:t>formuladas por</w:t>
      </w:r>
      <w:r w:rsidRPr="00A32804">
        <w:rPr>
          <w:lang w:val="es-ES"/>
        </w:rPr>
        <w:t xml:space="preserve"> los medios de comunicación</w:t>
      </w:r>
      <w:r>
        <w:rPr>
          <w:lang w:val="es-ES"/>
        </w:rPr>
        <w:t xml:space="preserve">, se han creado listas de </w:t>
      </w:r>
      <w:r w:rsidRPr="00A32804">
        <w:rPr>
          <w:lang w:val="es-ES"/>
        </w:rPr>
        <w:t>preguntas</w:t>
      </w:r>
      <w:r>
        <w:rPr>
          <w:lang w:val="es-ES"/>
        </w:rPr>
        <w:t xml:space="preserve"> más</w:t>
      </w:r>
      <w:r w:rsidRPr="00A32804">
        <w:rPr>
          <w:lang w:val="es-ES"/>
        </w:rPr>
        <w:t xml:space="preserve"> frecuentes (FAQ)</w:t>
      </w:r>
      <w:r>
        <w:rPr>
          <w:lang w:val="es-ES"/>
        </w:rPr>
        <w:t xml:space="preserve"> nuevas y se han actualizado algunas de las existentes</w:t>
      </w:r>
      <w:r w:rsidRPr="00A32804">
        <w:rPr>
          <w:lang w:val="es-ES"/>
        </w:rPr>
        <w:t>:</w:t>
      </w:r>
    </w:p>
    <w:p w14:paraId="40C2B30B" w14:textId="77777777" w:rsidR="00B469E0" w:rsidRDefault="00B469E0" w:rsidP="00B469E0">
      <w:pPr>
        <w:pStyle w:val="enumlev1"/>
      </w:pPr>
      <w:r w:rsidRPr="00C24BCD">
        <w:rPr>
          <w:lang w:val="es-ES"/>
        </w:rPr>
        <w:t>•</w:t>
      </w:r>
      <w:r>
        <w:rPr>
          <w:lang w:val="es-ES"/>
        </w:rPr>
        <w:tab/>
      </w:r>
      <w:hyperlink r:id="rId71" w:history="1">
        <w:r w:rsidRPr="00A32804">
          <w:rPr>
            <w:rStyle w:val="Hyperlink"/>
            <w:rFonts w:eastAsia="SimSun"/>
            <w:lang w:val="es-ES"/>
          </w:rPr>
          <w:t>Preguntas</w:t>
        </w:r>
        <w:r>
          <w:rPr>
            <w:rStyle w:val="Hyperlink"/>
            <w:rFonts w:eastAsia="SimSun"/>
            <w:lang w:val="es-ES"/>
          </w:rPr>
          <w:t xml:space="preserve"> más</w:t>
        </w:r>
        <w:r w:rsidRPr="00A32804">
          <w:rPr>
            <w:rStyle w:val="Hyperlink"/>
            <w:rFonts w:eastAsia="SimSun"/>
            <w:lang w:val="es-ES"/>
          </w:rPr>
          <w:t xml:space="preserve"> frecuentes sobre la Junta del Reglamento de Radiocomunicaciones de la UIT</w:t>
        </w:r>
      </w:hyperlink>
    </w:p>
    <w:p w14:paraId="085B7515" w14:textId="77777777" w:rsidR="00B469E0" w:rsidRPr="00C24BCD" w:rsidRDefault="00B469E0" w:rsidP="00B469E0">
      <w:pPr>
        <w:pStyle w:val="enumlev1"/>
      </w:pPr>
      <w:r w:rsidRPr="00C24BCD">
        <w:t>•</w:t>
      </w:r>
      <w:r w:rsidRPr="00C24BCD">
        <w:tab/>
      </w:r>
      <w:hyperlink r:id="rId72" w:history="1">
        <w:r w:rsidRPr="00A32804">
          <w:rPr>
            <w:rStyle w:val="Hyperlink"/>
            <w:rFonts w:eastAsia="SimSun"/>
            <w:lang w:val="es-ES"/>
          </w:rPr>
          <w:t>Preguntas</w:t>
        </w:r>
        <w:r>
          <w:rPr>
            <w:rStyle w:val="Hyperlink"/>
            <w:rFonts w:eastAsia="SimSun"/>
            <w:lang w:val="es-ES"/>
          </w:rPr>
          <w:t xml:space="preserve"> más</w:t>
        </w:r>
        <w:r w:rsidRPr="00A32804">
          <w:rPr>
            <w:rStyle w:val="Hyperlink"/>
            <w:rFonts w:eastAsia="SimSun"/>
            <w:lang w:val="es-ES"/>
          </w:rPr>
          <w:t xml:space="preserve"> frecuentes sobre las interferencias </w:t>
        </w:r>
        <w:r>
          <w:rPr>
            <w:rStyle w:val="Hyperlink"/>
            <w:rFonts w:eastAsia="SimSun"/>
            <w:lang w:val="es-ES"/>
          </w:rPr>
          <w:t>a</w:t>
        </w:r>
        <w:r w:rsidRPr="00A32804">
          <w:rPr>
            <w:rStyle w:val="Hyperlink"/>
            <w:rFonts w:eastAsia="SimSun"/>
            <w:lang w:val="es-ES"/>
          </w:rPr>
          <w:t xml:space="preserve"> los sistemas mundiales de navegación por satélite (GNSS)</w:t>
        </w:r>
      </w:hyperlink>
    </w:p>
    <w:p w14:paraId="37A75011" w14:textId="77777777" w:rsidR="00B469E0" w:rsidRPr="00A32804" w:rsidRDefault="00B469E0" w:rsidP="00B469E0">
      <w:pPr>
        <w:pStyle w:val="enumlev1"/>
        <w:rPr>
          <w:lang w:val="es-ES"/>
        </w:rPr>
      </w:pPr>
      <w:r w:rsidRPr="00C24BCD">
        <w:t>•</w:t>
      </w:r>
      <w:r w:rsidRPr="00C24BCD">
        <w:tab/>
      </w:r>
      <w:hyperlink r:id="rId73" w:history="1">
        <w:r w:rsidRPr="00A32804">
          <w:rPr>
            <w:rStyle w:val="Hyperlink"/>
            <w:rFonts w:eastAsia="SimSun"/>
            <w:lang w:val="es-ES"/>
          </w:rPr>
          <w:t>Preguntas</w:t>
        </w:r>
        <w:r>
          <w:rPr>
            <w:rStyle w:val="Hyperlink"/>
            <w:rFonts w:eastAsia="SimSun"/>
            <w:lang w:val="es-ES"/>
          </w:rPr>
          <w:t xml:space="preserve"> más</w:t>
        </w:r>
        <w:r w:rsidRPr="00A32804">
          <w:rPr>
            <w:rStyle w:val="Hyperlink"/>
            <w:rFonts w:eastAsia="SimSun"/>
            <w:lang w:val="es-ES"/>
          </w:rPr>
          <w:t xml:space="preserve"> frecuentes del UIT-R sobre</w:t>
        </w:r>
        <w:r>
          <w:rPr>
            <w:rStyle w:val="Hyperlink"/>
            <w:rFonts w:eastAsia="SimSun"/>
            <w:lang w:val="es-ES"/>
          </w:rPr>
          <w:t xml:space="preserve"> las</w:t>
        </w:r>
        <w:r w:rsidRPr="00A32804">
          <w:rPr>
            <w:rStyle w:val="Hyperlink"/>
            <w:rFonts w:eastAsia="SimSun"/>
            <w:lang w:val="es-ES"/>
          </w:rPr>
          <w:t xml:space="preserve"> telecomunicaciones móviles internacionales (IMT</w:t>
        </w:r>
      </w:hyperlink>
      <w:r>
        <w:rPr>
          <w:rStyle w:val="Hyperlink"/>
          <w:rFonts w:eastAsia="SimSun"/>
          <w:lang w:val="es-ES"/>
        </w:rPr>
        <w:t>)</w:t>
      </w:r>
    </w:p>
    <w:p w14:paraId="28B760D0" w14:textId="77777777" w:rsidR="00B469E0" w:rsidRPr="00A32804" w:rsidRDefault="00B469E0" w:rsidP="00B469E0">
      <w:pPr>
        <w:rPr>
          <w:lang w:val="es-ES"/>
        </w:rPr>
      </w:pPr>
      <w:r>
        <w:rPr>
          <w:lang w:val="es-ES"/>
        </w:rPr>
        <w:t>También s</w:t>
      </w:r>
      <w:r w:rsidRPr="00A32804">
        <w:rPr>
          <w:lang w:val="es-ES"/>
        </w:rPr>
        <w:t xml:space="preserve">e han actualizado </w:t>
      </w:r>
      <w:r>
        <w:rPr>
          <w:lang w:val="es-ES"/>
        </w:rPr>
        <w:t>documentos de antecedentes con el objetivo de</w:t>
      </w:r>
      <w:r w:rsidRPr="00A32804">
        <w:rPr>
          <w:lang w:val="es-ES"/>
        </w:rPr>
        <w:t xml:space="preserve"> reflejar los resultados de la CMR-23:</w:t>
      </w:r>
    </w:p>
    <w:p w14:paraId="1E09CDBA" w14:textId="77777777" w:rsidR="00B469E0" w:rsidRPr="00A32804" w:rsidRDefault="00B469E0" w:rsidP="00B469E0">
      <w:pPr>
        <w:pStyle w:val="enumlev1"/>
        <w:rPr>
          <w:lang w:val="es-ES"/>
        </w:rPr>
      </w:pPr>
      <w:hyperlink r:id="rId74" w:anchor="/es" w:history="1">
        <w:r w:rsidRPr="00C24BCD">
          <w:t>•</w:t>
        </w:r>
        <w:r w:rsidRPr="00C24BCD">
          <w:tab/>
        </w:r>
        <w:r w:rsidRPr="000240EC">
          <w:rPr>
            <w:rStyle w:val="Hyperlink"/>
            <w:rFonts w:eastAsia="SimSun"/>
            <w:lang w:val="es-ES"/>
          </w:rPr>
          <w:t>6G-5G – Documento de antecedentes sobre las IMT-2020 y las IMT-2030. Quinta generación de tecnologías móviles (IMT-2020 y posteriores)</w:t>
        </w:r>
      </w:hyperlink>
    </w:p>
    <w:p w14:paraId="79261AF4" w14:textId="77777777" w:rsidR="00B469E0" w:rsidRPr="00A32804" w:rsidRDefault="00B469E0" w:rsidP="00B469E0">
      <w:pPr>
        <w:pStyle w:val="enumlev1"/>
        <w:rPr>
          <w:lang w:val="es-ES"/>
        </w:rPr>
      </w:pPr>
      <w:r w:rsidRPr="00C24BCD">
        <w:t>•</w:t>
      </w:r>
      <w:r w:rsidRPr="00C24BCD">
        <w:tab/>
      </w:r>
      <w:hyperlink r:id="rId75" w:anchor="/es" w:history="1">
        <w:r w:rsidRPr="000240EC">
          <w:rPr>
            <w:rStyle w:val="Hyperlink"/>
            <w:rFonts w:eastAsia="SimSun"/>
            <w:lang w:val="es-ES"/>
          </w:rPr>
          <w:t>Sistemas de estaciones en plataformas a gran altitud (HAPS)</w:t>
        </w:r>
      </w:hyperlink>
    </w:p>
    <w:p w14:paraId="45E5004C" w14:textId="77777777" w:rsidR="00B469E0" w:rsidRDefault="00B469E0" w:rsidP="00B469E0">
      <w:pPr>
        <w:pStyle w:val="enumlev1"/>
        <w:rPr>
          <w:lang w:val="es-ES"/>
        </w:rPr>
      </w:pPr>
      <w:r w:rsidRPr="00C24BCD">
        <w:t>•</w:t>
      </w:r>
      <w:r w:rsidRPr="00C24BCD">
        <w:tab/>
      </w:r>
      <w:hyperlink r:id="rId76" w:anchor="/es" w:history="1">
        <w:r w:rsidRPr="00A32804">
          <w:rPr>
            <w:rStyle w:val="Hyperlink"/>
            <w:rFonts w:eastAsia="SimSun"/>
            <w:lang w:val="es-ES"/>
          </w:rPr>
          <w:t xml:space="preserve">UIT-R: </w:t>
        </w:r>
        <w:r w:rsidRPr="000240EC">
          <w:rPr>
            <w:rStyle w:val="Hyperlink"/>
            <w:rFonts w:eastAsia="SimSun"/>
            <w:lang w:val="es-ES"/>
          </w:rPr>
          <w:t>Gestión mundial del espectro de frecuencia</w:t>
        </w:r>
        <w:r>
          <w:rPr>
            <w:rStyle w:val="Hyperlink"/>
            <w:rFonts w:eastAsia="SimSun"/>
            <w:lang w:val="es-ES"/>
          </w:rPr>
          <w:t>s</w:t>
        </w:r>
      </w:hyperlink>
    </w:p>
    <w:p w14:paraId="7D492E9C" w14:textId="77777777" w:rsidR="00B469E0" w:rsidRDefault="00B469E0" w:rsidP="00B469E0">
      <w:pPr>
        <w:pStyle w:val="enumlev1"/>
        <w:rPr>
          <w:lang w:val="es-ES"/>
        </w:rPr>
      </w:pPr>
      <w:r w:rsidRPr="00C24BCD">
        <w:t>•</w:t>
      </w:r>
      <w:r w:rsidRPr="00C24BCD">
        <w:tab/>
      </w:r>
      <w:hyperlink r:id="rId77" w:anchor="/es" w:history="1">
        <w:r w:rsidRPr="00A32804">
          <w:rPr>
            <w:rStyle w:val="Hyperlink"/>
            <w:rFonts w:eastAsia="SimSun"/>
            <w:lang w:val="es-ES"/>
          </w:rPr>
          <w:t>Radiocomunicaciones para mantener la seguridad de los buques y las personas en el mar</w:t>
        </w:r>
      </w:hyperlink>
    </w:p>
    <w:p w14:paraId="7B8E100D" w14:textId="77777777" w:rsidR="00B469E0" w:rsidRDefault="00B469E0" w:rsidP="00B469E0">
      <w:pPr>
        <w:pStyle w:val="enumlev1"/>
        <w:rPr>
          <w:lang w:val="es-ES"/>
        </w:rPr>
      </w:pPr>
      <w:r w:rsidRPr="00C24BCD">
        <w:t>•</w:t>
      </w:r>
      <w:r w:rsidRPr="00C24BCD">
        <w:tab/>
      </w:r>
      <w:hyperlink r:id="rId78" w:anchor="/es" w:history="1">
        <w:r w:rsidRPr="000240EC">
          <w:rPr>
            <w:rStyle w:val="Hyperlink"/>
            <w:rFonts w:eastAsia="SimSun"/>
            <w:lang w:val="es-ES"/>
          </w:rPr>
          <w:t>Cuestiones relacionadas con los satélites: Estaciones terrenas en movimiento (ETEM)</w:t>
        </w:r>
      </w:hyperlink>
    </w:p>
    <w:p w14:paraId="140ACCD2" w14:textId="77777777" w:rsidR="00B469E0" w:rsidRPr="00C24BCD" w:rsidRDefault="00B469E0" w:rsidP="00B469E0">
      <w:pPr>
        <w:pStyle w:val="enumlev1"/>
        <w:rPr>
          <w:lang w:val="es-ES"/>
        </w:rPr>
      </w:pPr>
      <w:r w:rsidRPr="00C24BCD">
        <w:t>•</w:t>
      </w:r>
      <w:r w:rsidRPr="00C24BCD">
        <w:tab/>
      </w:r>
      <w:hyperlink r:id="rId79" w:anchor="/es" w:history="1">
        <w:r w:rsidRPr="00C24BCD">
          <w:rPr>
            <w:rStyle w:val="Hyperlink"/>
            <w:rFonts w:eastAsia="SimSun"/>
            <w:lang w:val="es-ES"/>
          </w:rPr>
          <w:t>Reglamentación de los sistemas de satélites</w:t>
        </w:r>
      </w:hyperlink>
    </w:p>
    <w:p w14:paraId="7D603EC5" w14:textId="77777777" w:rsidR="00B469E0" w:rsidRPr="00A32804" w:rsidRDefault="00B469E0" w:rsidP="00B469E0">
      <w:pPr>
        <w:rPr>
          <w:lang w:val="es-ES"/>
        </w:rPr>
      </w:pPr>
      <w:r w:rsidRPr="00A32804">
        <w:rPr>
          <w:lang w:val="es-ES"/>
        </w:rPr>
        <w:t xml:space="preserve">En 2024, </w:t>
      </w:r>
      <w:r w:rsidRPr="00FE4D65">
        <w:rPr>
          <w:lang w:val="es-ES"/>
        </w:rPr>
        <w:t xml:space="preserve">la Oficina de Radiocomunicaciones atendió </w:t>
      </w:r>
      <w:r>
        <w:rPr>
          <w:lang w:val="es-ES"/>
        </w:rPr>
        <w:t>46 </w:t>
      </w:r>
      <w:r w:rsidRPr="00FE4D65">
        <w:rPr>
          <w:lang w:val="es-ES"/>
        </w:rPr>
        <w:t>consultas de revistas técnicas especializadas y de medios de comunicación, a los que se facilitó con prontitud la información solicitada, favoreciendo así la buena relación con los medios de comunicación.</w:t>
      </w:r>
      <w:r w:rsidRPr="00A32804">
        <w:rPr>
          <w:lang w:val="es-ES"/>
        </w:rPr>
        <w:t xml:space="preserve"> Las preguntas</w:t>
      </w:r>
      <w:r>
        <w:rPr>
          <w:lang w:val="es-ES"/>
        </w:rPr>
        <w:t xml:space="preserve"> que formularon los medios </w:t>
      </w:r>
      <w:r w:rsidRPr="00A32804">
        <w:rPr>
          <w:lang w:val="es-ES"/>
        </w:rPr>
        <w:t>sobre las actividades del UIT-R</w:t>
      </w:r>
      <w:r>
        <w:rPr>
          <w:lang w:val="es-ES"/>
        </w:rPr>
        <w:t xml:space="preserve"> giraron</w:t>
      </w:r>
      <w:r w:rsidRPr="00A32804">
        <w:rPr>
          <w:lang w:val="es-ES"/>
        </w:rPr>
        <w:t xml:space="preserve"> principalmente</w:t>
      </w:r>
      <w:r>
        <w:rPr>
          <w:lang w:val="es-ES"/>
        </w:rPr>
        <w:t xml:space="preserve"> en torno</w:t>
      </w:r>
      <w:r w:rsidRPr="00A32804">
        <w:rPr>
          <w:lang w:val="es-ES"/>
        </w:rPr>
        <w:t xml:space="preserve"> a la</w:t>
      </w:r>
      <w:r>
        <w:rPr>
          <w:lang w:val="es-ES"/>
        </w:rPr>
        <w:t>s notificaciones</w:t>
      </w:r>
      <w:r w:rsidRPr="00A32804">
        <w:rPr>
          <w:lang w:val="es-ES"/>
        </w:rPr>
        <w:t xml:space="preserve"> de satélites, </w:t>
      </w:r>
      <w:r>
        <w:rPr>
          <w:lang w:val="es-ES"/>
        </w:rPr>
        <w:t xml:space="preserve">las </w:t>
      </w:r>
      <w:r w:rsidRPr="00A32804">
        <w:rPr>
          <w:lang w:val="es-ES"/>
        </w:rPr>
        <w:t>interferencias perjudiciales</w:t>
      </w:r>
      <w:r>
        <w:rPr>
          <w:lang w:val="es-ES"/>
        </w:rPr>
        <w:t xml:space="preserve"> y</w:t>
      </w:r>
      <w:r w:rsidRPr="00A32804">
        <w:rPr>
          <w:lang w:val="es-ES"/>
        </w:rPr>
        <w:t>/</w:t>
      </w:r>
      <w:r>
        <w:rPr>
          <w:lang w:val="es-ES"/>
        </w:rPr>
        <w:t>o deliberadas a sistemas</w:t>
      </w:r>
      <w:r w:rsidRPr="00A32804">
        <w:rPr>
          <w:lang w:val="es-ES"/>
        </w:rPr>
        <w:t xml:space="preserve"> GPS, la Junta del Reglamento de Radiocomunicaciones (RRB), la CMR-23 y </w:t>
      </w:r>
      <w:r>
        <w:rPr>
          <w:lang w:val="es-ES"/>
        </w:rPr>
        <w:t xml:space="preserve">las tecnologías </w:t>
      </w:r>
      <w:r w:rsidRPr="00A32804">
        <w:rPr>
          <w:lang w:val="es-ES"/>
        </w:rPr>
        <w:t>5G/6G.</w:t>
      </w:r>
    </w:p>
    <w:p w14:paraId="70550B64" w14:textId="77777777" w:rsidR="00B469E0" w:rsidRDefault="00B469E0" w:rsidP="00B469E0">
      <w:pPr>
        <w:rPr>
          <w:lang w:val="es-ES"/>
        </w:rPr>
      </w:pPr>
      <w:r w:rsidRPr="00A32804">
        <w:rPr>
          <w:lang w:val="es-ES"/>
        </w:rPr>
        <w:lastRenderedPageBreak/>
        <w:t xml:space="preserve">En 2024, la Oficina publicó 2 productos </w:t>
      </w:r>
      <w:r>
        <w:rPr>
          <w:lang w:val="es-ES"/>
        </w:rPr>
        <w:t>destinados a la prensa:</w:t>
      </w:r>
    </w:p>
    <w:p w14:paraId="09A2F70A" w14:textId="77777777" w:rsidR="00B469E0" w:rsidRPr="00A32804" w:rsidRDefault="00B469E0" w:rsidP="00B469E0">
      <w:pPr>
        <w:pStyle w:val="enumlev1"/>
        <w:rPr>
          <w:lang w:val="es-ES"/>
        </w:rPr>
      </w:pPr>
      <w:r w:rsidRPr="00C24BCD">
        <w:t>•</w:t>
      </w:r>
      <w:r w:rsidRPr="00C24BCD">
        <w:tab/>
      </w:r>
      <w:r w:rsidRPr="00A32804">
        <w:rPr>
          <w:lang w:val="es-ES"/>
        </w:rPr>
        <w:t>28 de agosto: Comunicado de prensa sobre</w:t>
      </w:r>
      <w:r>
        <w:rPr>
          <w:lang w:val="es-ES"/>
        </w:rPr>
        <w:t xml:space="preserve"> la edición de 2024</w:t>
      </w:r>
      <w:r w:rsidRPr="00A32804">
        <w:rPr>
          <w:lang w:val="es-ES"/>
        </w:rPr>
        <w:t xml:space="preserve"> </w:t>
      </w:r>
      <w:r>
        <w:rPr>
          <w:lang w:val="es-ES"/>
        </w:rPr>
        <w:t>d</w:t>
      </w:r>
      <w:r w:rsidRPr="00A32804">
        <w:rPr>
          <w:lang w:val="es-ES"/>
        </w:rPr>
        <w:t>el Reglamento de Radio</w:t>
      </w:r>
      <w:r>
        <w:rPr>
          <w:lang w:val="es-ES"/>
        </w:rPr>
        <w:t>comunicaciones</w:t>
      </w:r>
      <w:r w:rsidRPr="00A32804">
        <w:rPr>
          <w:lang w:val="es-ES"/>
        </w:rPr>
        <w:t xml:space="preserve"> (enviado a más de 4</w:t>
      </w:r>
      <w:r>
        <w:rPr>
          <w:lang w:val="es-ES"/>
        </w:rPr>
        <w:t> </w:t>
      </w:r>
      <w:r w:rsidRPr="00A32804">
        <w:rPr>
          <w:lang w:val="es-ES"/>
        </w:rPr>
        <w:t xml:space="preserve">000 periodistas, con una tasa media de </w:t>
      </w:r>
      <w:r>
        <w:rPr>
          <w:lang w:val="es-ES"/>
        </w:rPr>
        <w:t>consulta</w:t>
      </w:r>
      <w:r w:rsidRPr="00A32804">
        <w:rPr>
          <w:lang w:val="es-ES"/>
        </w:rPr>
        <w:t xml:space="preserve"> del 28%).</w:t>
      </w:r>
    </w:p>
    <w:p w14:paraId="4BEBE9EA" w14:textId="77777777" w:rsidR="00B469E0" w:rsidRPr="00A32804" w:rsidRDefault="00B469E0" w:rsidP="00B469E0">
      <w:pPr>
        <w:pStyle w:val="enumlev1"/>
        <w:rPr>
          <w:lang w:val="es-ES"/>
        </w:rPr>
      </w:pPr>
      <w:r w:rsidRPr="00C24BCD">
        <w:t>•</w:t>
      </w:r>
      <w:r w:rsidRPr="00C24BCD">
        <w:tab/>
      </w:r>
      <w:r w:rsidRPr="00A32804">
        <w:rPr>
          <w:lang w:val="es-ES"/>
        </w:rPr>
        <w:t>28 de noviembre:</w:t>
      </w:r>
      <w:r>
        <w:rPr>
          <w:lang w:val="es-ES"/>
        </w:rPr>
        <w:t xml:space="preserve"> Aviso a los medios sobre el SMR</w:t>
      </w:r>
      <w:r w:rsidRPr="00A32804">
        <w:rPr>
          <w:lang w:val="es-ES"/>
        </w:rPr>
        <w:t>-24 (enviado a más de 4</w:t>
      </w:r>
      <w:r>
        <w:rPr>
          <w:lang w:val="es-ES"/>
        </w:rPr>
        <w:t> </w:t>
      </w:r>
      <w:r w:rsidRPr="00A32804">
        <w:rPr>
          <w:lang w:val="es-ES"/>
        </w:rPr>
        <w:t xml:space="preserve">000 periodistas, con una tasa media de </w:t>
      </w:r>
      <w:r>
        <w:rPr>
          <w:lang w:val="es-ES"/>
        </w:rPr>
        <w:t>consulta</w:t>
      </w:r>
      <w:r w:rsidRPr="00A32804">
        <w:rPr>
          <w:lang w:val="es-ES"/>
        </w:rPr>
        <w:t xml:space="preserve"> del 26%)</w:t>
      </w:r>
    </w:p>
    <w:p w14:paraId="34798116" w14:textId="77777777" w:rsidR="00B469E0" w:rsidRPr="00A32804" w:rsidRDefault="00B469E0" w:rsidP="00B469E0">
      <w:pPr>
        <w:rPr>
          <w:sz w:val="22"/>
          <w:szCs w:val="22"/>
          <w:lang w:val="es-ES"/>
        </w:rPr>
      </w:pPr>
      <w:r>
        <w:rPr>
          <w:lang w:val="es-ES"/>
        </w:rPr>
        <w:t>L</w:t>
      </w:r>
      <w:r w:rsidRPr="00A32804">
        <w:rPr>
          <w:lang w:val="es-ES"/>
        </w:rPr>
        <w:t>os siguientes eventos del UIT-R</w:t>
      </w:r>
      <w:r>
        <w:rPr>
          <w:lang w:val="es-ES"/>
        </w:rPr>
        <w:t xml:space="preserve"> se divulgaron a través de </w:t>
      </w:r>
      <w:r w:rsidRPr="00A32804">
        <w:rPr>
          <w:lang w:val="es-ES"/>
        </w:rPr>
        <w:t xml:space="preserve">comunicados de prensa, comunicados </w:t>
      </w:r>
      <w:r>
        <w:rPr>
          <w:lang w:val="es-ES"/>
        </w:rPr>
        <w:t>a</w:t>
      </w:r>
      <w:r w:rsidRPr="00A32804">
        <w:rPr>
          <w:lang w:val="es-ES"/>
        </w:rPr>
        <w:t xml:space="preserve"> los miembros, blogs de</w:t>
      </w:r>
      <w:r>
        <w:rPr>
          <w:lang w:val="es-ES"/>
        </w:rPr>
        <w:t xml:space="preserve"> </w:t>
      </w:r>
      <w:r w:rsidRPr="0000040E">
        <w:rPr>
          <w:i/>
          <w:iCs/>
          <w:lang w:val="es-ES"/>
        </w:rPr>
        <w:t>Actualidades de la UIT</w:t>
      </w:r>
      <w:r w:rsidRPr="00A32804">
        <w:rPr>
          <w:lang w:val="es-ES"/>
        </w:rPr>
        <w:t>, vídeos, marca</w:t>
      </w:r>
      <w:r>
        <w:rPr>
          <w:lang w:val="es-ES"/>
        </w:rPr>
        <w:t>s</w:t>
      </w:r>
      <w:r w:rsidRPr="00A32804">
        <w:rPr>
          <w:lang w:val="es-ES"/>
        </w:rPr>
        <w:t xml:space="preserve"> de evento</w:t>
      </w:r>
      <w:r>
        <w:rPr>
          <w:lang w:val="es-ES"/>
        </w:rPr>
        <w:t>s</w:t>
      </w:r>
      <w:r w:rsidRPr="00A32804">
        <w:rPr>
          <w:lang w:val="es-ES"/>
        </w:rPr>
        <w:t xml:space="preserve"> y publicaciones en redes sociales.</w:t>
      </w:r>
    </w:p>
    <w:p w14:paraId="345A02FB" w14:textId="77777777" w:rsidR="00B469E0" w:rsidRPr="00A32804" w:rsidRDefault="00B469E0" w:rsidP="00B469E0">
      <w:pPr>
        <w:pStyle w:val="enumlev1"/>
        <w:rPr>
          <w:sz w:val="22"/>
          <w:szCs w:val="22"/>
          <w:lang w:val="es-ES"/>
        </w:rPr>
      </w:pPr>
      <w:r w:rsidRPr="00C24BCD">
        <w:t>•</w:t>
      </w:r>
      <w:r w:rsidRPr="00C24BCD">
        <w:tab/>
      </w:r>
      <w:hyperlink r:id="rId80" w:anchor="/es" w:history="1">
        <w:r w:rsidRPr="00A32804">
          <w:rPr>
            <w:rStyle w:val="Hyperlink"/>
            <w:rFonts w:eastAsia="SimSun"/>
            <w:lang w:val="es-ES"/>
          </w:rPr>
          <w:t xml:space="preserve">Seminario Mundial de Radiocomunicaciones </w:t>
        </w:r>
        <w:r>
          <w:rPr>
            <w:rStyle w:val="Hyperlink"/>
            <w:rFonts w:eastAsia="SimSun"/>
            <w:lang w:val="es-ES"/>
          </w:rPr>
          <w:t>SMR</w:t>
        </w:r>
        <w:r w:rsidRPr="00A32804">
          <w:rPr>
            <w:rStyle w:val="Hyperlink"/>
            <w:rFonts w:eastAsia="SimSun"/>
            <w:lang w:val="es-ES"/>
          </w:rPr>
          <w:t xml:space="preserve">-24 </w:t>
        </w:r>
      </w:hyperlink>
      <w:r w:rsidRPr="00F00F69">
        <w:rPr>
          <w:lang w:val="es-ES"/>
        </w:rPr>
        <w:t>–</w:t>
      </w:r>
      <w:r w:rsidRPr="00A32804">
        <w:rPr>
          <w:lang w:val="es-ES"/>
        </w:rPr>
        <w:t xml:space="preserve"> 2-6 de diciembre de 2024</w:t>
      </w:r>
    </w:p>
    <w:p w14:paraId="7C3136CA" w14:textId="77777777" w:rsidR="00B469E0" w:rsidRPr="00A32804" w:rsidRDefault="00B469E0" w:rsidP="00B469E0">
      <w:pPr>
        <w:pStyle w:val="enumlev1"/>
        <w:rPr>
          <w:sz w:val="22"/>
          <w:szCs w:val="22"/>
          <w:lang w:val="es-ES"/>
        </w:rPr>
      </w:pPr>
      <w:r w:rsidRPr="00C24BCD">
        <w:t>•</w:t>
      </w:r>
      <w:r w:rsidRPr="00C24BCD">
        <w:tab/>
      </w:r>
      <w:hyperlink r:id="rId81" w:anchor="/es" w:history="1">
        <w:r w:rsidRPr="0018499A">
          <w:rPr>
            <w:rStyle w:val="Hyperlink"/>
            <w:rFonts w:eastAsia="SimSun"/>
            <w:lang w:val="es-ES"/>
          </w:rPr>
          <w:t>Exposición sobre</w:t>
        </w:r>
        <w:r>
          <w:rPr>
            <w:rStyle w:val="Hyperlink"/>
            <w:rFonts w:eastAsia="SimSun"/>
            <w:lang w:val="es-ES"/>
          </w:rPr>
          <w:t xml:space="preserve"> las</w:t>
        </w:r>
        <w:r w:rsidRPr="0018499A">
          <w:rPr>
            <w:rStyle w:val="Hyperlink"/>
            <w:rFonts w:eastAsia="SimSun"/>
            <w:lang w:val="es-ES"/>
          </w:rPr>
          <w:t xml:space="preserve"> Radiocomunicaciones Futuras</w:t>
        </w:r>
      </w:hyperlink>
      <w:r>
        <w:rPr>
          <w:lang w:val="es-ES"/>
        </w:rPr>
        <w:t>, celebrada en paralelo al SMR</w:t>
      </w:r>
      <w:r w:rsidRPr="00A32804">
        <w:rPr>
          <w:lang w:val="es-ES"/>
        </w:rPr>
        <w:t>-24</w:t>
      </w:r>
    </w:p>
    <w:p w14:paraId="070FDAE6" w14:textId="77777777" w:rsidR="00B469E0" w:rsidRPr="00A32804" w:rsidRDefault="00B469E0" w:rsidP="00B469E0">
      <w:pPr>
        <w:pStyle w:val="enumlev1"/>
        <w:rPr>
          <w:sz w:val="22"/>
          <w:szCs w:val="22"/>
          <w:lang w:val="es-ES"/>
        </w:rPr>
      </w:pPr>
      <w:bookmarkStart w:id="148" w:name="_Hlk191886170"/>
      <w:r w:rsidRPr="00C24BCD">
        <w:t>•</w:t>
      </w:r>
      <w:r w:rsidRPr="00C24BCD">
        <w:tab/>
      </w:r>
      <w:hyperlink r:id="rId82" w:anchor="/es" w:history="1">
        <w:r w:rsidRPr="00A32804">
          <w:rPr>
            <w:rStyle w:val="Hyperlink"/>
            <w:rFonts w:eastAsia="SimSun"/>
            <w:lang w:val="es-ES"/>
          </w:rPr>
          <w:t>El futuro de la televisión en Europa</w:t>
        </w:r>
      </w:hyperlink>
      <w:bookmarkEnd w:id="148"/>
      <w:r w:rsidRPr="00A32804">
        <w:rPr>
          <w:lang w:val="es-ES"/>
        </w:rPr>
        <w:t xml:space="preserve"> </w:t>
      </w:r>
      <w:r w:rsidRPr="00F00F69">
        <w:rPr>
          <w:lang w:val="es-ES"/>
        </w:rPr>
        <w:t>–</w:t>
      </w:r>
      <w:r w:rsidRPr="00A32804">
        <w:rPr>
          <w:lang w:val="es-ES"/>
        </w:rPr>
        <w:t xml:space="preserve"> 7 de noviembre de 2024 </w:t>
      </w:r>
    </w:p>
    <w:p w14:paraId="064D523F" w14:textId="77777777" w:rsidR="00B469E0" w:rsidRPr="00A32804" w:rsidRDefault="00B469E0" w:rsidP="00B469E0">
      <w:pPr>
        <w:pStyle w:val="enumlev1"/>
        <w:rPr>
          <w:sz w:val="22"/>
          <w:szCs w:val="22"/>
          <w:lang w:val="es-ES"/>
        </w:rPr>
      </w:pPr>
      <w:r w:rsidRPr="00C24BCD">
        <w:t>•</w:t>
      </w:r>
      <w:r w:rsidRPr="00C24BCD">
        <w:tab/>
      </w:r>
      <w:hyperlink r:id="rId83" w:anchor="/es" w:history="1">
        <w:r w:rsidRPr="00A32804">
          <w:rPr>
            <w:rStyle w:val="Hyperlink"/>
            <w:rFonts w:eastAsia="SimSun"/>
            <w:lang w:val="es-ES"/>
          </w:rPr>
          <w:t>Foro de la UIT sobre sostenibilidad espacial</w:t>
        </w:r>
        <w:bookmarkStart w:id="149" w:name="_Hlt191374043"/>
        <w:bookmarkStart w:id="150" w:name="_Hlt191374044"/>
        <w:bookmarkEnd w:id="149"/>
        <w:bookmarkEnd w:id="150"/>
      </w:hyperlink>
      <w:r w:rsidRPr="00A32804">
        <w:rPr>
          <w:lang w:val="es-ES"/>
        </w:rPr>
        <w:t xml:space="preserve"> </w:t>
      </w:r>
      <w:r w:rsidRPr="00F00F69">
        <w:rPr>
          <w:lang w:val="es-ES"/>
        </w:rPr>
        <w:t>–</w:t>
      </w:r>
      <w:r w:rsidRPr="00A32804">
        <w:rPr>
          <w:lang w:val="es-ES"/>
        </w:rPr>
        <w:t xml:space="preserve"> 10-11 de septiembre de 2024</w:t>
      </w:r>
    </w:p>
    <w:p w14:paraId="5F58E033" w14:textId="77777777" w:rsidR="00B469E0" w:rsidRPr="00A32804" w:rsidRDefault="00B469E0" w:rsidP="00B469E0">
      <w:pPr>
        <w:pStyle w:val="enumlev1"/>
        <w:rPr>
          <w:sz w:val="22"/>
          <w:szCs w:val="22"/>
          <w:lang w:val="es-ES"/>
        </w:rPr>
      </w:pPr>
      <w:r w:rsidRPr="00C24BCD">
        <w:t>•</w:t>
      </w:r>
      <w:r w:rsidRPr="00C24BCD">
        <w:tab/>
      </w:r>
      <w:hyperlink r:id="rId84" w:history="1">
        <w:r w:rsidRPr="00A32804">
          <w:rPr>
            <w:rStyle w:val="Hyperlink"/>
            <w:rFonts w:eastAsia="SimSun"/>
            <w:lang w:val="es-ES"/>
          </w:rPr>
          <w:t>Seminario Regional de Radiocomunicaciones</w:t>
        </w:r>
        <w:r>
          <w:rPr>
            <w:rStyle w:val="Hyperlink"/>
            <w:rFonts w:eastAsia="SimSun"/>
            <w:lang w:val="es-ES"/>
          </w:rPr>
          <w:t xml:space="preserve"> para </w:t>
        </w:r>
        <w:r w:rsidRPr="00A32804">
          <w:rPr>
            <w:rStyle w:val="Hyperlink"/>
            <w:rFonts w:eastAsia="SimSun"/>
            <w:lang w:val="es-ES"/>
          </w:rPr>
          <w:t>Asia</w:t>
        </w:r>
        <w:r>
          <w:rPr>
            <w:rStyle w:val="Hyperlink"/>
            <w:rFonts w:eastAsia="SimSun"/>
            <w:lang w:val="es-ES"/>
          </w:rPr>
          <w:t xml:space="preserve"> y el </w:t>
        </w:r>
        <w:r w:rsidRPr="00A32804">
          <w:rPr>
            <w:rStyle w:val="Hyperlink"/>
            <w:rFonts w:eastAsia="SimSun"/>
            <w:lang w:val="es-ES"/>
          </w:rPr>
          <w:t>Pacífico</w:t>
        </w:r>
      </w:hyperlink>
      <w:r>
        <w:br/>
      </w:r>
      <w:r w:rsidRPr="00A32804">
        <w:rPr>
          <w:lang w:val="es-ES"/>
        </w:rPr>
        <w:t>(</w:t>
      </w:r>
      <w:r>
        <w:rPr>
          <w:lang w:val="es-ES"/>
        </w:rPr>
        <w:t>SRR</w:t>
      </w:r>
      <w:r w:rsidRPr="00A32804">
        <w:rPr>
          <w:lang w:val="es-ES"/>
        </w:rPr>
        <w:t>-24-Asia</w:t>
      </w:r>
      <w:r>
        <w:rPr>
          <w:lang w:val="es-ES"/>
        </w:rPr>
        <w:t>-</w:t>
      </w:r>
      <w:r w:rsidRPr="00A32804">
        <w:rPr>
          <w:lang w:val="es-ES"/>
        </w:rPr>
        <w:t xml:space="preserve">Pacífico) </w:t>
      </w:r>
      <w:r w:rsidRPr="00F00F69">
        <w:rPr>
          <w:lang w:val="es-ES"/>
        </w:rPr>
        <w:t>–</w:t>
      </w:r>
      <w:r w:rsidRPr="00A32804">
        <w:rPr>
          <w:lang w:val="es-ES"/>
        </w:rPr>
        <w:t xml:space="preserve"> 16-21 de septiembre de 2024</w:t>
      </w:r>
    </w:p>
    <w:p w14:paraId="6F9DEFE6" w14:textId="77777777" w:rsidR="00B469E0" w:rsidRPr="00A32804" w:rsidRDefault="00B469E0" w:rsidP="00B469E0">
      <w:pPr>
        <w:pStyle w:val="enumlev1"/>
        <w:rPr>
          <w:sz w:val="22"/>
          <w:szCs w:val="22"/>
          <w:lang w:val="es-ES"/>
        </w:rPr>
      </w:pPr>
      <w:r w:rsidRPr="00C24BCD">
        <w:t>•</w:t>
      </w:r>
      <w:r w:rsidRPr="00C24BCD">
        <w:tab/>
      </w:r>
      <w:hyperlink r:id="rId85" w:history="1">
        <w:r w:rsidRPr="00A32804">
          <w:rPr>
            <w:rStyle w:val="Hyperlink"/>
            <w:rFonts w:eastAsia="SimSun"/>
            <w:lang w:val="es-ES"/>
          </w:rPr>
          <w:t>Seminario Regional de Radiocomunicaciones</w:t>
        </w:r>
        <w:r>
          <w:rPr>
            <w:rStyle w:val="Hyperlink"/>
            <w:rFonts w:eastAsia="SimSun"/>
            <w:lang w:val="es-ES"/>
          </w:rPr>
          <w:t xml:space="preserve"> para las </w:t>
        </w:r>
        <w:r w:rsidRPr="00A32804">
          <w:rPr>
            <w:rStyle w:val="Hyperlink"/>
            <w:rFonts w:eastAsia="SimSun"/>
            <w:lang w:val="es-ES"/>
          </w:rPr>
          <w:t>Américas</w:t>
        </w:r>
      </w:hyperlink>
      <w:r>
        <w:br/>
      </w:r>
      <w:r w:rsidRPr="00A32804">
        <w:rPr>
          <w:lang w:val="es-ES"/>
        </w:rPr>
        <w:t>(</w:t>
      </w:r>
      <w:r>
        <w:rPr>
          <w:lang w:val="es-ES"/>
        </w:rPr>
        <w:t>SRR</w:t>
      </w:r>
      <w:r w:rsidRPr="00A32804">
        <w:rPr>
          <w:lang w:val="es-ES"/>
        </w:rPr>
        <w:t xml:space="preserve">-24-Américas) </w:t>
      </w:r>
      <w:r w:rsidRPr="00F00F69">
        <w:rPr>
          <w:lang w:val="es-ES"/>
        </w:rPr>
        <w:t>–</w:t>
      </w:r>
      <w:r w:rsidRPr="00A32804">
        <w:rPr>
          <w:lang w:val="es-ES"/>
        </w:rPr>
        <w:t xml:space="preserve"> 22</w:t>
      </w:r>
      <w:r>
        <w:rPr>
          <w:lang w:val="es-ES"/>
        </w:rPr>
        <w:noBreakHyphen/>
      </w:r>
      <w:r w:rsidRPr="00A32804">
        <w:rPr>
          <w:lang w:val="es-ES"/>
        </w:rPr>
        <w:t>27 de julio de 2024</w:t>
      </w:r>
    </w:p>
    <w:p w14:paraId="19092F90" w14:textId="77777777" w:rsidR="00B469E0" w:rsidRPr="00A32804" w:rsidRDefault="00B469E0" w:rsidP="00B469E0">
      <w:pPr>
        <w:pStyle w:val="enumlev1"/>
        <w:rPr>
          <w:sz w:val="22"/>
          <w:szCs w:val="22"/>
          <w:lang w:val="es-ES"/>
        </w:rPr>
      </w:pPr>
      <w:r w:rsidRPr="00C24BCD">
        <w:t>•</w:t>
      </w:r>
      <w:r w:rsidRPr="00C24BCD">
        <w:tab/>
      </w:r>
      <w:hyperlink r:id="rId86" w:history="1">
        <w:r w:rsidRPr="00A32804">
          <w:rPr>
            <w:rStyle w:val="Hyperlink"/>
            <w:rFonts w:eastAsia="SimSun"/>
            <w:lang w:val="es-ES"/>
          </w:rPr>
          <w:t>Seminario Regional de Radiocomunicaciones para los países de la CEI</w:t>
        </w:r>
      </w:hyperlink>
      <w:r>
        <w:br/>
      </w:r>
      <w:r w:rsidRPr="00A32804">
        <w:rPr>
          <w:lang w:val="es-ES"/>
        </w:rPr>
        <w:t>(</w:t>
      </w:r>
      <w:r>
        <w:rPr>
          <w:lang w:val="es-ES"/>
        </w:rPr>
        <w:t>SRR</w:t>
      </w:r>
      <w:r w:rsidRPr="00A32804">
        <w:rPr>
          <w:lang w:val="es-ES"/>
        </w:rPr>
        <w:t xml:space="preserve">-24-CEI) </w:t>
      </w:r>
      <w:r w:rsidRPr="00F00F69">
        <w:rPr>
          <w:lang w:val="es-ES"/>
        </w:rPr>
        <w:t>–</w:t>
      </w:r>
      <w:r>
        <w:rPr>
          <w:lang w:val="es-ES"/>
        </w:rPr>
        <w:t xml:space="preserve"> </w:t>
      </w:r>
      <w:r w:rsidRPr="00A32804">
        <w:rPr>
          <w:lang w:val="es-ES"/>
        </w:rPr>
        <w:t>15</w:t>
      </w:r>
      <w:r>
        <w:rPr>
          <w:lang w:val="es-ES"/>
        </w:rPr>
        <w:noBreakHyphen/>
      </w:r>
      <w:r w:rsidRPr="00A32804">
        <w:rPr>
          <w:lang w:val="es-ES"/>
        </w:rPr>
        <w:t>19 de abril de 2024</w:t>
      </w:r>
    </w:p>
    <w:p w14:paraId="10725519" w14:textId="77777777" w:rsidR="00B469E0" w:rsidRPr="00A32804" w:rsidRDefault="00B469E0" w:rsidP="00B469E0">
      <w:pPr>
        <w:pStyle w:val="enumlev1"/>
        <w:rPr>
          <w:lang w:val="es-ES"/>
        </w:rPr>
      </w:pPr>
      <w:r w:rsidRPr="00C24BCD">
        <w:t>•</w:t>
      </w:r>
      <w:r w:rsidRPr="00C24BCD">
        <w:tab/>
      </w:r>
      <w:hyperlink r:id="rId87" w:history="1">
        <w:r w:rsidRPr="00A32804">
          <w:rPr>
            <w:rStyle w:val="Hyperlink"/>
            <w:rFonts w:eastAsia="SimSun"/>
            <w:lang w:val="es-ES"/>
          </w:rPr>
          <w:t xml:space="preserve">Taller de formación sobre </w:t>
        </w:r>
        <w:r>
          <w:rPr>
            <w:rStyle w:val="Hyperlink"/>
            <w:rFonts w:eastAsia="SimSun"/>
            <w:lang w:val="es-ES"/>
          </w:rPr>
          <w:t xml:space="preserve">utilización y </w:t>
        </w:r>
        <w:r w:rsidRPr="00A32804">
          <w:rPr>
            <w:rStyle w:val="Hyperlink"/>
            <w:rFonts w:eastAsia="SimSun"/>
            <w:lang w:val="es-ES"/>
          </w:rPr>
          <w:t>gestión del espectro radioeléctrico</w:t>
        </w:r>
        <w:r>
          <w:rPr>
            <w:rStyle w:val="Hyperlink"/>
            <w:rFonts w:eastAsia="SimSun"/>
            <w:lang w:val="es-ES"/>
          </w:rPr>
          <w:t xml:space="preserve"> con fines meteorológicos</w:t>
        </w:r>
        <w:r w:rsidRPr="00A32804">
          <w:rPr>
            <w:rStyle w:val="Hyperlink"/>
            <w:rFonts w:eastAsia="SimSun"/>
            <w:lang w:val="es-ES"/>
          </w:rPr>
          <w:t xml:space="preserve"> </w:t>
        </w:r>
      </w:hyperlink>
      <w:r w:rsidRPr="00F00F69">
        <w:rPr>
          <w:lang w:val="es-ES"/>
        </w:rPr>
        <w:t>–</w:t>
      </w:r>
      <w:r w:rsidRPr="00A32804">
        <w:rPr>
          <w:lang w:val="es-ES"/>
        </w:rPr>
        <w:t xml:space="preserve"> 3-4 de marzo de 2025, Singapur</w:t>
      </w:r>
    </w:p>
    <w:p w14:paraId="0D3752E3" w14:textId="77777777" w:rsidR="00B469E0" w:rsidRPr="00A32804" w:rsidRDefault="00B469E0" w:rsidP="00B469E0">
      <w:pPr>
        <w:rPr>
          <w:sz w:val="22"/>
          <w:szCs w:val="22"/>
          <w:lang w:val="es-ES"/>
        </w:rPr>
      </w:pPr>
      <w:r w:rsidRPr="00A32804">
        <w:rPr>
          <w:lang w:val="es-ES"/>
        </w:rPr>
        <w:t>Talleres sobre</w:t>
      </w:r>
      <w:r>
        <w:rPr>
          <w:lang w:val="es-ES"/>
        </w:rPr>
        <w:t xml:space="preserve"> cuadros n</w:t>
      </w:r>
      <w:r w:rsidRPr="00A32804">
        <w:rPr>
          <w:lang w:val="es-ES"/>
        </w:rPr>
        <w:t>acional</w:t>
      </w:r>
      <w:r>
        <w:rPr>
          <w:lang w:val="es-ES"/>
        </w:rPr>
        <w:t>es</w:t>
      </w:r>
      <w:r w:rsidRPr="00A32804">
        <w:rPr>
          <w:lang w:val="es-ES"/>
        </w:rPr>
        <w:t xml:space="preserve"> de </w:t>
      </w:r>
      <w:r>
        <w:rPr>
          <w:lang w:val="es-ES"/>
        </w:rPr>
        <w:t>a</w:t>
      </w:r>
      <w:r w:rsidRPr="00A32804">
        <w:rPr>
          <w:lang w:val="es-ES"/>
        </w:rPr>
        <w:t xml:space="preserve">tribución de </w:t>
      </w:r>
      <w:r>
        <w:rPr>
          <w:lang w:val="es-ES"/>
        </w:rPr>
        <w:t>f</w:t>
      </w:r>
      <w:r w:rsidRPr="00A32804">
        <w:rPr>
          <w:lang w:val="es-ES"/>
        </w:rPr>
        <w:t>recuencias (</w:t>
      </w:r>
      <w:r>
        <w:rPr>
          <w:lang w:val="es-ES"/>
        </w:rPr>
        <w:t>CNAF</w:t>
      </w:r>
      <w:r w:rsidRPr="00A32804">
        <w:rPr>
          <w:lang w:val="es-ES"/>
        </w:rPr>
        <w:t>)</w:t>
      </w:r>
      <w:r>
        <w:rPr>
          <w:lang w:val="es-ES"/>
        </w:rPr>
        <w:t xml:space="preserve"> celebrados en 2024:</w:t>
      </w:r>
    </w:p>
    <w:p w14:paraId="1E7387CA" w14:textId="77777777" w:rsidR="00B469E0" w:rsidRPr="00A32804" w:rsidRDefault="00B469E0" w:rsidP="00B469E0">
      <w:pPr>
        <w:pStyle w:val="enumlev2"/>
        <w:numPr>
          <w:ilvl w:val="0"/>
          <w:numId w:val="19"/>
        </w:numPr>
        <w:rPr>
          <w:sz w:val="22"/>
          <w:szCs w:val="22"/>
          <w:lang w:val="es-ES"/>
        </w:rPr>
      </w:pPr>
      <w:hyperlink r:id="rId88" w:anchor="/es" w:history="1">
        <w:r w:rsidRPr="00A32804">
          <w:rPr>
            <w:rStyle w:val="Hyperlink"/>
            <w:rFonts w:eastAsia="SimSun"/>
            <w:lang w:val="es-ES"/>
          </w:rPr>
          <w:t xml:space="preserve">Región 1 </w:t>
        </w:r>
        <w:r w:rsidRPr="00F00F69">
          <w:rPr>
            <w:rStyle w:val="Hyperlink"/>
            <w:rFonts w:eastAsia="SimSun"/>
            <w:lang w:val="es-ES"/>
          </w:rPr>
          <w:t>–</w:t>
        </w:r>
        <w:r w:rsidRPr="00A32804">
          <w:rPr>
            <w:rStyle w:val="Hyperlink"/>
            <w:rFonts w:eastAsia="SimSun"/>
            <w:lang w:val="es-ES"/>
          </w:rPr>
          <w:t xml:space="preserve"> 20-23 de mayo</w:t>
        </w:r>
      </w:hyperlink>
    </w:p>
    <w:p w14:paraId="512D0222" w14:textId="77777777" w:rsidR="00B469E0" w:rsidRPr="00A32804" w:rsidRDefault="00B469E0" w:rsidP="00B469E0">
      <w:pPr>
        <w:pStyle w:val="enumlev2"/>
        <w:numPr>
          <w:ilvl w:val="0"/>
          <w:numId w:val="19"/>
        </w:numPr>
        <w:rPr>
          <w:sz w:val="22"/>
          <w:szCs w:val="22"/>
          <w:lang w:val="es-ES"/>
        </w:rPr>
      </w:pPr>
      <w:hyperlink r:id="rId89" w:history="1">
        <w:r w:rsidRPr="00A32804">
          <w:rPr>
            <w:rStyle w:val="Hyperlink"/>
            <w:rFonts w:eastAsia="SimSun"/>
            <w:lang w:val="es-ES"/>
          </w:rPr>
          <w:t xml:space="preserve">Región 3 </w:t>
        </w:r>
        <w:r w:rsidRPr="00F00F69">
          <w:rPr>
            <w:rStyle w:val="Hyperlink"/>
            <w:rFonts w:eastAsia="SimSun"/>
            <w:lang w:val="es-ES"/>
          </w:rPr>
          <w:t>–</w:t>
        </w:r>
        <w:r w:rsidRPr="00A32804">
          <w:rPr>
            <w:rStyle w:val="Hyperlink"/>
            <w:rFonts w:eastAsia="SimSun"/>
            <w:lang w:val="es-ES"/>
          </w:rPr>
          <w:t xml:space="preserve"> 28-31 de mayo</w:t>
        </w:r>
      </w:hyperlink>
    </w:p>
    <w:p w14:paraId="46B7C391" w14:textId="77777777" w:rsidR="00B469E0" w:rsidRPr="00A32804" w:rsidRDefault="00B469E0" w:rsidP="00B469E0">
      <w:pPr>
        <w:pStyle w:val="enumlev2"/>
        <w:numPr>
          <w:ilvl w:val="0"/>
          <w:numId w:val="19"/>
        </w:numPr>
        <w:rPr>
          <w:sz w:val="22"/>
          <w:szCs w:val="22"/>
          <w:lang w:val="es-ES"/>
        </w:rPr>
      </w:pPr>
      <w:hyperlink r:id="rId90" w:history="1">
        <w:r w:rsidRPr="00A32804">
          <w:rPr>
            <w:rStyle w:val="Hyperlink"/>
            <w:rFonts w:eastAsia="SimSun"/>
            <w:lang w:val="es-ES"/>
          </w:rPr>
          <w:t xml:space="preserve">Región 2 </w:t>
        </w:r>
        <w:r w:rsidRPr="00F00F69">
          <w:rPr>
            <w:rStyle w:val="Hyperlink"/>
            <w:rFonts w:eastAsia="SimSun"/>
            <w:lang w:val="es-ES"/>
          </w:rPr>
          <w:t>–</w:t>
        </w:r>
        <w:r w:rsidRPr="00A32804">
          <w:rPr>
            <w:rStyle w:val="Hyperlink"/>
            <w:rFonts w:eastAsia="SimSun"/>
            <w:lang w:val="es-ES"/>
          </w:rPr>
          <w:t xml:space="preserve"> 17-20 de junio</w:t>
        </w:r>
      </w:hyperlink>
    </w:p>
    <w:p w14:paraId="12D67D20" w14:textId="77777777" w:rsidR="00B469E0" w:rsidRPr="00A32804" w:rsidRDefault="00B469E0" w:rsidP="00B469E0">
      <w:pPr>
        <w:rPr>
          <w:lang w:val="es-ES"/>
        </w:rPr>
      </w:pPr>
      <w:r>
        <w:rPr>
          <w:lang w:val="es-ES"/>
        </w:rPr>
        <w:t>En 2024, l</w:t>
      </w:r>
      <w:r w:rsidRPr="00A32804">
        <w:rPr>
          <w:lang w:val="es-ES"/>
        </w:rPr>
        <w:t>a Oficina</w:t>
      </w:r>
      <w:r>
        <w:rPr>
          <w:lang w:val="es-ES"/>
        </w:rPr>
        <w:t xml:space="preserve"> </w:t>
      </w:r>
      <w:r w:rsidRPr="0018499A">
        <w:rPr>
          <w:lang w:val="es-ES"/>
        </w:rPr>
        <w:t>participó activamente en varios Días Internacionales de las Naciones Unidas relacionados con su labor</w:t>
      </w:r>
      <w:r>
        <w:rPr>
          <w:lang w:val="es-ES"/>
        </w:rPr>
        <w:t>, entre ellos los siguientes</w:t>
      </w:r>
      <w:r w:rsidRPr="00A32804">
        <w:rPr>
          <w:lang w:val="es-ES"/>
        </w:rPr>
        <w:t>:</w:t>
      </w:r>
    </w:p>
    <w:p w14:paraId="498AFA3C" w14:textId="77777777" w:rsidR="00B469E0" w:rsidRPr="00A32804" w:rsidRDefault="00B469E0" w:rsidP="00B469E0">
      <w:pPr>
        <w:pStyle w:val="enumlev1"/>
        <w:rPr>
          <w:lang w:val="es-ES"/>
        </w:rPr>
      </w:pPr>
      <w:r w:rsidRPr="00C24BCD">
        <w:t>•</w:t>
      </w:r>
      <w:r w:rsidRPr="00C24BCD">
        <w:tab/>
      </w:r>
      <w:hyperlink r:id="rId91" w:history="1">
        <w:r w:rsidRPr="00A32804">
          <w:rPr>
            <w:rStyle w:val="Hyperlink"/>
            <w:rFonts w:eastAsia="SimSun"/>
            <w:lang w:val="es-ES"/>
          </w:rPr>
          <w:t xml:space="preserve">Día Mundial de la Radio </w:t>
        </w:r>
      </w:hyperlink>
      <w:r w:rsidRPr="00F00F69">
        <w:rPr>
          <w:lang w:val="es-ES"/>
        </w:rPr>
        <w:t>–</w:t>
      </w:r>
      <w:r w:rsidRPr="00A32804">
        <w:rPr>
          <w:lang w:val="es-ES"/>
        </w:rPr>
        <w:t xml:space="preserve"> 13 </w:t>
      </w:r>
      <w:r>
        <w:rPr>
          <w:lang w:val="es-ES"/>
        </w:rPr>
        <w:t xml:space="preserve">de </w:t>
      </w:r>
      <w:r w:rsidRPr="00A32804">
        <w:rPr>
          <w:lang w:val="es-ES"/>
        </w:rPr>
        <w:t>feb</w:t>
      </w:r>
      <w:r>
        <w:rPr>
          <w:lang w:val="es-ES"/>
        </w:rPr>
        <w:t>rero</w:t>
      </w:r>
    </w:p>
    <w:p w14:paraId="73AE9FD1" w14:textId="77777777" w:rsidR="00B469E0" w:rsidRPr="00A32804" w:rsidRDefault="00B469E0" w:rsidP="00B469E0">
      <w:pPr>
        <w:pStyle w:val="enumlev1"/>
        <w:rPr>
          <w:lang w:val="es-ES"/>
        </w:rPr>
      </w:pPr>
      <w:r w:rsidRPr="00C24BCD">
        <w:t>•</w:t>
      </w:r>
      <w:r w:rsidRPr="00C24BCD">
        <w:tab/>
      </w:r>
      <w:hyperlink r:id="rId92" w:history="1">
        <w:r w:rsidRPr="00A32804">
          <w:rPr>
            <w:rStyle w:val="Hyperlink"/>
            <w:rFonts w:eastAsia="SimSun"/>
            <w:lang w:val="es-ES"/>
          </w:rPr>
          <w:t xml:space="preserve">Día Meteorológico Mundial </w:t>
        </w:r>
      </w:hyperlink>
      <w:r w:rsidRPr="00F00F69">
        <w:rPr>
          <w:lang w:val="es-ES"/>
        </w:rPr>
        <w:t>–</w:t>
      </w:r>
      <w:r w:rsidRPr="00A32804">
        <w:rPr>
          <w:lang w:val="es-ES"/>
        </w:rPr>
        <w:t xml:space="preserve"> 24 de marzo</w:t>
      </w:r>
    </w:p>
    <w:p w14:paraId="0D3614D5" w14:textId="77777777" w:rsidR="00B469E0" w:rsidRPr="00A32804" w:rsidRDefault="00B469E0" w:rsidP="00B469E0">
      <w:pPr>
        <w:pStyle w:val="enumlev1"/>
        <w:rPr>
          <w:lang w:val="es-ES"/>
        </w:rPr>
      </w:pPr>
      <w:r w:rsidRPr="00C24BCD">
        <w:t>•</w:t>
      </w:r>
      <w:r w:rsidRPr="00C24BCD">
        <w:tab/>
      </w:r>
      <w:hyperlink r:id="rId93" w:history="1">
        <w:r w:rsidRPr="00A32804">
          <w:rPr>
            <w:rStyle w:val="Hyperlink"/>
            <w:rFonts w:eastAsia="SimSun"/>
            <w:lang w:val="es-ES"/>
          </w:rPr>
          <w:t xml:space="preserve">Día Mundial del Radioaficionado </w:t>
        </w:r>
      </w:hyperlink>
      <w:r w:rsidRPr="00F00F69">
        <w:rPr>
          <w:lang w:val="es-ES"/>
        </w:rPr>
        <w:t>–</w:t>
      </w:r>
      <w:r w:rsidRPr="00A32804">
        <w:rPr>
          <w:lang w:val="es-ES"/>
        </w:rPr>
        <w:t xml:space="preserve"> 18 de abril</w:t>
      </w:r>
    </w:p>
    <w:p w14:paraId="6EC9E540" w14:textId="77777777" w:rsidR="00B469E0" w:rsidRPr="00A32804" w:rsidRDefault="00B469E0" w:rsidP="00B469E0">
      <w:pPr>
        <w:pStyle w:val="enumlev1"/>
        <w:rPr>
          <w:lang w:val="es-ES"/>
        </w:rPr>
      </w:pPr>
      <w:r w:rsidRPr="00C24BCD">
        <w:t>•</w:t>
      </w:r>
      <w:r w:rsidRPr="00C24BCD">
        <w:tab/>
      </w:r>
      <w:hyperlink r:id="rId94" w:history="1">
        <w:r w:rsidRPr="00A32804">
          <w:rPr>
            <w:rStyle w:val="Hyperlink"/>
            <w:rFonts w:eastAsia="SimSun"/>
            <w:lang w:val="es-ES"/>
          </w:rPr>
          <w:t xml:space="preserve">Día Internacional de la Luna </w:t>
        </w:r>
      </w:hyperlink>
      <w:r w:rsidRPr="00F00F69">
        <w:rPr>
          <w:lang w:val="es-ES"/>
        </w:rPr>
        <w:t>–</w:t>
      </w:r>
      <w:r w:rsidRPr="00A32804">
        <w:rPr>
          <w:lang w:val="es-ES"/>
        </w:rPr>
        <w:t xml:space="preserve"> 20 de julio</w:t>
      </w:r>
    </w:p>
    <w:p w14:paraId="526CB917" w14:textId="77777777" w:rsidR="00B469E0" w:rsidRPr="00A32804" w:rsidRDefault="00B469E0" w:rsidP="00B469E0">
      <w:pPr>
        <w:pStyle w:val="enumlev1"/>
        <w:rPr>
          <w:lang w:val="es-ES"/>
        </w:rPr>
      </w:pPr>
      <w:r w:rsidRPr="00C24BCD">
        <w:t>•</w:t>
      </w:r>
      <w:r w:rsidRPr="00C24BCD">
        <w:tab/>
      </w:r>
      <w:hyperlink r:id="rId95" w:history="1">
        <w:r w:rsidRPr="00A32804">
          <w:rPr>
            <w:rStyle w:val="Hyperlink"/>
            <w:rFonts w:eastAsia="SimSun"/>
            <w:lang w:val="es-ES"/>
          </w:rPr>
          <w:t xml:space="preserve">Día Mundial de la Televisión </w:t>
        </w:r>
      </w:hyperlink>
      <w:r w:rsidRPr="00F00F69">
        <w:rPr>
          <w:lang w:val="es-ES"/>
        </w:rPr>
        <w:t>–</w:t>
      </w:r>
      <w:r w:rsidRPr="00A32804">
        <w:rPr>
          <w:lang w:val="es-ES"/>
        </w:rPr>
        <w:t xml:space="preserve"> 21 </w:t>
      </w:r>
      <w:r>
        <w:rPr>
          <w:lang w:val="es-ES"/>
        </w:rPr>
        <w:t>de n</w:t>
      </w:r>
      <w:r w:rsidRPr="00A32804">
        <w:rPr>
          <w:lang w:val="es-ES"/>
        </w:rPr>
        <w:t>ov</w:t>
      </w:r>
      <w:r>
        <w:rPr>
          <w:lang w:val="es-ES"/>
        </w:rPr>
        <w:t>iembre</w:t>
      </w:r>
    </w:p>
    <w:p w14:paraId="3005967A" w14:textId="77777777" w:rsidR="00B469E0" w:rsidRPr="00283AE9" w:rsidRDefault="00B469E0" w:rsidP="00B469E0">
      <w:pPr>
        <w:rPr>
          <w:rFonts w:eastAsia="Calibri"/>
          <w:lang w:val="es-ES"/>
        </w:rPr>
      </w:pPr>
      <w:r w:rsidRPr="00A32804">
        <w:rPr>
          <w:lang w:val="es-ES"/>
        </w:rPr>
        <w:t xml:space="preserve">El </w:t>
      </w:r>
      <w:r w:rsidRPr="00283AE9">
        <w:rPr>
          <w:lang w:val="es-ES"/>
        </w:rPr>
        <w:t xml:space="preserve">Director de la Oficina de Radiocomunicaciones contribuye regularmente a los artículos de </w:t>
      </w:r>
      <w:r w:rsidRPr="00283AE9">
        <w:rPr>
          <w:i/>
          <w:iCs/>
          <w:lang w:val="es-ES"/>
        </w:rPr>
        <w:t>Actualidades de la UIT</w:t>
      </w:r>
      <w:r w:rsidRPr="00283AE9">
        <w:rPr>
          <w:lang w:val="es-ES"/>
        </w:rPr>
        <w:t xml:space="preserve">, los blogs y los podcasts que se publican en el </w:t>
      </w:r>
      <w:hyperlink r:id="rId96" w:history="1">
        <w:r w:rsidRPr="00283AE9">
          <w:rPr>
            <w:rStyle w:val="Hyperlink"/>
            <w:rFonts w:eastAsia="Calibri"/>
            <w:lang w:val="es-ES"/>
          </w:rPr>
          <w:t>rincón del Director de la BR</w:t>
        </w:r>
      </w:hyperlink>
      <w:r w:rsidRPr="00283AE9">
        <w:rPr>
          <w:rFonts w:eastAsia="Calibri"/>
          <w:lang w:val="es-ES"/>
        </w:rPr>
        <w:t xml:space="preserve">. </w:t>
      </w:r>
    </w:p>
    <w:p w14:paraId="616A881B" w14:textId="77777777" w:rsidR="00B469E0" w:rsidRPr="00283AE9" w:rsidRDefault="00B469E0" w:rsidP="00B469E0">
      <w:pPr>
        <w:pStyle w:val="Heading4"/>
        <w:rPr>
          <w:lang w:val="es-ES"/>
        </w:rPr>
      </w:pPr>
      <w:r w:rsidRPr="00283AE9">
        <w:rPr>
          <w:lang w:val="es-ES"/>
        </w:rPr>
        <w:t>8.6.2.2</w:t>
      </w:r>
      <w:r w:rsidRPr="00283AE9">
        <w:rPr>
          <w:lang w:val="es-ES"/>
        </w:rPr>
        <w:tab/>
        <w:t>Comunicaciones de marca, ventas y comercialización</w:t>
      </w:r>
    </w:p>
    <w:p w14:paraId="4EF46014" w14:textId="77777777" w:rsidR="00B469E0" w:rsidRPr="000F637E" w:rsidRDefault="00B469E0" w:rsidP="00B469E0">
      <w:r w:rsidRPr="00283AE9">
        <w:rPr>
          <w:lang w:val="es-ES"/>
        </w:rPr>
        <w:t xml:space="preserve">En 2024, las iniciativas de marca y comunicación se centraron en utilizar la nueva plataforma </w:t>
      </w:r>
      <w:hyperlink r:id="rId97" w:anchor="/es" w:history="1">
        <w:r w:rsidRPr="00283AE9">
          <w:rPr>
            <w:rStyle w:val="Hyperlink"/>
            <w:rFonts w:eastAsia="SimSun"/>
            <w:lang w:val="es-ES"/>
          </w:rPr>
          <w:t>Polo de A</w:t>
        </w:r>
        <w:r w:rsidRPr="00283AE9">
          <w:rPr>
            <w:rStyle w:val="Hyperlink"/>
            <w:rFonts w:eastAsia="SimSun"/>
            <w:i/>
            <w:iCs/>
            <w:lang w:val="es-ES"/>
          </w:rPr>
          <w:t>ctualidades de la UIT</w:t>
        </w:r>
      </w:hyperlink>
      <w:r w:rsidRPr="00283AE9">
        <w:rPr>
          <w:lang w:val="es-ES"/>
        </w:rPr>
        <w:t>, en colaboración con la División de Ventas y Comercialización de la</w:t>
      </w:r>
      <w:r>
        <w:rPr>
          <w:lang w:val="es-ES"/>
        </w:rPr>
        <w:t> </w:t>
      </w:r>
      <w:r w:rsidRPr="00283AE9">
        <w:rPr>
          <w:lang w:val="es-ES"/>
        </w:rPr>
        <w:t>U</w:t>
      </w:r>
      <w:r>
        <w:rPr>
          <w:lang w:val="es-ES"/>
        </w:rPr>
        <w:t>nión</w:t>
      </w:r>
      <w:r w:rsidRPr="00283AE9">
        <w:rPr>
          <w:lang w:val="es-ES"/>
        </w:rPr>
        <w:t xml:space="preserve">, para la promoción electrónica de determinadas publicaciones, bases de datos y </w:t>
      </w:r>
      <w:r w:rsidRPr="00A05079">
        <w:rPr>
          <w:i/>
          <w:iCs/>
          <w:lang w:val="es-ES"/>
        </w:rPr>
        <w:t>software</w:t>
      </w:r>
      <w:r w:rsidRPr="00283AE9">
        <w:rPr>
          <w:lang w:val="es-ES"/>
        </w:rPr>
        <w:t xml:space="preserve"> del</w:t>
      </w:r>
      <w:r>
        <w:rPr>
          <w:lang w:val="es-ES"/>
        </w:rPr>
        <w:t> </w:t>
      </w:r>
      <w:r w:rsidRPr="00283AE9">
        <w:rPr>
          <w:lang w:val="es-ES"/>
        </w:rPr>
        <w:t>UIT-R, con identidades</w:t>
      </w:r>
      <w:r w:rsidRPr="002F3FC1">
        <w:rPr>
          <w:lang w:val="es-ES"/>
        </w:rPr>
        <w:t xml:space="preserve"> visuales diseñadas </w:t>
      </w:r>
      <w:r>
        <w:rPr>
          <w:lang w:val="es-ES"/>
        </w:rPr>
        <w:t>específicamente con fines de divulgación</w:t>
      </w:r>
      <w:r w:rsidRPr="00A32804">
        <w:rPr>
          <w:lang w:val="es-ES"/>
        </w:rPr>
        <w:t>.</w:t>
      </w:r>
    </w:p>
    <w:p w14:paraId="1016CB2A" w14:textId="77777777" w:rsidR="00B469E0" w:rsidRPr="00A32804" w:rsidRDefault="00B469E0" w:rsidP="00B469E0">
      <w:pPr>
        <w:pStyle w:val="Heading4"/>
        <w:rPr>
          <w:lang w:val="es-ES"/>
        </w:rPr>
      </w:pPr>
      <w:r w:rsidRPr="00A32804">
        <w:rPr>
          <w:lang w:val="es-ES"/>
        </w:rPr>
        <w:lastRenderedPageBreak/>
        <w:t>8.6.2.3</w:t>
      </w:r>
      <w:r w:rsidRPr="00A32804">
        <w:rPr>
          <w:lang w:val="es-ES"/>
        </w:rPr>
        <w:tab/>
        <w:t>Exposiciones y demostraciones</w:t>
      </w:r>
    </w:p>
    <w:p w14:paraId="557CD350" w14:textId="77777777" w:rsidR="00B469E0" w:rsidRPr="00A32804" w:rsidRDefault="00B469E0" w:rsidP="00B469E0">
      <w:pPr>
        <w:rPr>
          <w:rFonts w:eastAsia="SimSun"/>
          <w:lang w:val="es-ES"/>
        </w:rPr>
      </w:pPr>
      <w:r>
        <w:rPr>
          <w:lang w:val="es-ES"/>
        </w:rPr>
        <w:t xml:space="preserve">La 2ª edición de la </w:t>
      </w:r>
      <w:hyperlink r:id="rId98" w:anchor="/es" w:history="1">
        <w:r w:rsidRPr="00A32804">
          <w:rPr>
            <w:rStyle w:val="Hyperlink"/>
            <w:rFonts w:asciiTheme="majorBidi" w:eastAsia="SimSun" w:hAnsiTheme="majorBidi" w:cstheme="majorBidi"/>
            <w:lang w:val="es-ES"/>
          </w:rPr>
          <w:t xml:space="preserve">Exposición </w:t>
        </w:r>
        <w:r>
          <w:rPr>
            <w:rStyle w:val="Hyperlink"/>
            <w:rFonts w:asciiTheme="majorBidi" w:eastAsia="SimSun" w:hAnsiTheme="majorBidi" w:cstheme="majorBidi"/>
            <w:lang w:val="es-ES"/>
          </w:rPr>
          <w:t>sobre las</w:t>
        </w:r>
        <w:r w:rsidRPr="00A32804">
          <w:rPr>
            <w:rStyle w:val="Hyperlink"/>
            <w:rFonts w:asciiTheme="majorBidi" w:eastAsia="SimSun" w:hAnsiTheme="majorBidi" w:cstheme="majorBidi"/>
            <w:lang w:val="es-ES"/>
          </w:rPr>
          <w:t xml:space="preserve"> </w:t>
        </w:r>
        <w:r w:rsidRPr="00A32804">
          <w:rPr>
            <w:rStyle w:val="Hyperlink"/>
            <w:rFonts w:eastAsia="SimSun"/>
            <w:lang w:val="es-ES"/>
          </w:rPr>
          <w:t>Radiocomunicaciones Futur</w:t>
        </w:r>
      </w:hyperlink>
      <w:r>
        <w:rPr>
          <w:rStyle w:val="Hyperlink"/>
          <w:rFonts w:eastAsia="SimSun"/>
          <w:lang w:val="es-ES"/>
        </w:rPr>
        <w:t>as</w:t>
      </w:r>
      <w:r w:rsidRPr="00A32804">
        <w:rPr>
          <w:lang w:val="es-ES"/>
        </w:rPr>
        <w:t xml:space="preserve"> </w:t>
      </w:r>
      <w:r>
        <w:rPr>
          <w:lang w:val="es-ES"/>
        </w:rPr>
        <w:t>tuvo lugar</w:t>
      </w:r>
      <w:r w:rsidRPr="00A32804">
        <w:rPr>
          <w:lang w:val="es-ES"/>
        </w:rPr>
        <w:t xml:space="preserve"> los días 2 y 3 de diciembre de 2024 en el CICG (Ginebra, Suiza)</w:t>
      </w:r>
      <w:r>
        <w:rPr>
          <w:lang w:val="es-ES"/>
        </w:rPr>
        <w:t xml:space="preserve">, en el marco del </w:t>
      </w:r>
      <w:hyperlink r:id="rId99" w:anchor="/es" w:history="1">
        <w:r w:rsidRPr="00A32804">
          <w:rPr>
            <w:rStyle w:val="Hyperlink"/>
            <w:rFonts w:asciiTheme="majorBidi" w:eastAsia="SimSun" w:hAnsiTheme="majorBidi" w:cstheme="majorBidi"/>
            <w:lang w:val="es-ES"/>
          </w:rPr>
          <w:t>S</w:t>
        </w:r>
        <w:r>
          <w:rPr>
            <w:rStyle w:val="Hyperlink"/>
            <w:rFonts w:asciiTheme="majorBidi" w:eastAsia="SimSun" w:hAnsiTheme="majorBidi" w:cstheme="majorBidi"/>
            <w:lang w:val="es-ES"/>
          </w:rPr>
          <w:t>MR</w:t>
        </w:r>
        <w:r w:rsidRPr="00A32804">
          <w:rPr>
            <w:rStyle w:val="Hyperlink"/>
            <w:rFonts w:asciiTheme="majorBidi" w:eastAsia="SimSun" w:hAnsiTheme="majorBidi" w:cstheme="majorBidi"/>
            <w:lang w:val="es-ES"/>
          </w:rPr>
          <w:t>-24</w:t>
        </w:r>
      </w:hyperlink>
      <w:r w:rsidRPr="00A32804">
        <w:rPr>
          <w:lang w:val="es-ES"/>
        </w:rPr>
        <w:t xml:space="preserve">. </w:t>
      </w:r>
      <w:r>
        <w:rPr>
          <w:lang w:val="es-ES"/>
        </w:rPr>
        <w:t>Pudieron visitar l</w:t>
      </w:r>
      <w:r w:rsidRPr="00A32804">
        <w:rPr>
          <w:lang w:val="es-ES"/>
        </w:rPr>
        <w:t xml:space="preserve">a exposición </w:t>
      </w:r>
      <w:r>
        <w:rPr>
          <w:lang w:val="es-ES"/>
        </w:rPr>
        <w:t>tanto</w:t>
      </w:r>
      <w:r w:rsidRPr="00A32804">
        <w:rPr>
          <w:lang w:val="es-ES"/>
        </w:rPr>
        <w:t xml:space="preserve"> los miembros de la UIT</w:t>
      </w:r>
      <w:r>
        <w:rPr>
          <w:lang w:val="es-ES"/>
        </w:rPr>
        <w:t xml:space="preserve"> como las entidades ajenas a la organización,</w:t>
      </w:r>
      <w:r w:rsidRPr="00A32804">
        <w:rPr>
          <w:lang w:val="es-ES"/>
        </w:rPr>
        <w:t xml:space="preserve"> previo pago</w:t>
      </w:r>
      <w:r>
        <w:rPr>
          <w:lang w:val="es-ES"/>
        </w:rPr>
        <w:t xml:space="preserve"> de una entrada</w:t>
      </w:r>
      <w:r w:rsidRPr="00A32804">
        <w:rPr>
          <w:lang w:val="es-ES"/>
        </w:rPr>
        <w:t>.</w:t>
      </w:r>
    </w:p>
    <w:p w14:paraId="30C381B9" w14:textId="77777777" w:rsidR="00B469E0" w:rsidRPr="00A32804" w:rsidRDefault="00B469E0" w:rsidP="00B469E0">
      <w:pPr>
        <w:pStyle w:val="Heading2"/>
        <w:rPr>
          <w:lang w:val="es-ES"/>
        </w:rPr>
      </w:pPr>
      <w:r w:rsidRPr="00A32804">
        <w:rPr>
          <w:lang w:val="es-ES"/>
        </w:rPr>
        <w:t>8.7</w:t>
      </w:r>
      <w:r w:rsidRPr="00A32804">
        <w:rPr>
          <w:lang w:val="es-ES"/>
        </w:rPr>
        <w:tab/>
        <w:t>Igualdad de género</w:t>
      </w:r>
    </w:p>
    <w:p w14:paraId="575471FE" w14:textId="77777777" w:rsidR="00B469E0" w:rsidRPr="00A32804" w:rsidRDefault="00B469E0" w:rsidP="00B469E0">
      <w:pPr>
        <w:rPr>
          <w:lang w:val="es-ES"/>
        </w:rPr>
      </w:pPr>
      <w:r>
        <w:rPr>
          <w:rFonts w:eastAsia="Calibri"/>
          <w:szCs w:val="24"/>
          <w:lang w:val="es-ES"/>
        </w:rPr>
        <w:t>Se ha</w:t>
      </w:r>
      <w:r w:rsidRPr="00A32804">
        <w:rPr>
          <w:rFonts w:eastAsia="Calibri"/>
          <w:szCs w:val="24"/>
          <w:lang w:val="es-ES"/>
        </w:rPr>
        <w:t xml:space="preserve"> observado un</w:t>
      </w:r>
      <w:r>
        <w:rPr>
          <w:rFonts w:eastAsia="Calibri"/>
          <w:szCs w:val="24"/>
          <w:lang w:val="es-ES"/>
        </w:rPr>
        <w:t xml:space="preserve">a tendencia al alza en el </w:t>
      </w:r>
      <w:r w:rsidRPr="00A32804">
        <w:rPr>
          <w:rFonts w:eastAsia="Calibri"/>
          <w:szCs w:val="24"/>
          <w:lang w:val="es-ES"/>
        </w:rPr>
        <w:t xml:space="preserve">número de mujeres que asisten a eventos del UIT-R. </w:t>
      </w:r>
      <w:r>
        <w:rPr>
          <w:rFonts w:eastAsia="Calibri"/>
          <w:szCs w:val="24"/>
          <w:lang w:val="es-ES"/>
        </w:rPr>
        <w:t>En el Cuadro</w:t>
      </w:r>
      <w:r w:rsidRPr="00A32804">
        <w:rPr>
          <w:lang w:val="es-ES"/>
        </w:rPr>
        <w:t xml:space="preserve"> 8.7-1 </w:t>
      </w:r>
      <w:r>
        <w:rPr>
          <w:lang w:val="es-ES"/>
        </w:rPr>
        <w:t xml:space="preserve">puede verse el aumento registrado en términos de </w:t>
      </w:r>
      <w:r w:rsidRPr="00A32804">
        <w:rPr>
          <w:lang w:val="es-ES"/>
        </w:rPr>
        <w:t xml:space="preserve">participación femenina en los eventos del UIT-R </w:t>
      </w:r>
      <w:r>
        <w:rPr>
          <w:lang w:val="es-ES"/>
        </w:rPr>
        <w:t>celebrados entre</w:t>
      </w:r>
      <w:r w:rsidRPr="00A32804">
        <w:rPr>
          <w:lang w:val="es-ES"/>
        </w:rPr>
        <w:t xml:space="preserve"> 2019 </w:t>
      </w:r>
      <w:r>
        <w:rPr>
          <w:lang w:val="es-ES"/>
        </w:rPr>
        <w:t>y</w:t>
      </w:r>
      <w:r w:rsidRPr="00A32804">
        <w:rPr>
          <w:lang w:val="es-ES"/>
        </w:rPr>
        <w:t xml:space="preserve"> 2024. </w:t>
      </w:r>
      <w:r>
        <w:rPr>
          <w:lang w:val="es-ES"/>
        </w:rPr>
        <w:t>El Cuadro</w:t>
      </w:r>
      <w:r w:rsidRPr="00A32804">
        <w:rPr>
          <w:lang w:val="es-ES"/>
        </w:rPr>
        <w:t xml:space="preserve"> 8.7-2 muestra el aumento </w:t>
      </w:r>
      <w:r>
        <w:rPr>
          <w:lang w:val="es-ES"/>
        </w:rPr>
        <w:t xml:space="preserve">registrado en términos de </w:t>
      </w:r>
      <w:r w:rsidRPr="00A32804">
        <w:rPr>
          <w:lang w:val="es-ES"/>
        </w:rPr>
        <w:t>participación femenina entre la CMR-19 y la CMR-23.</w:t>
      </w:r>
    </w:p>
    <w:p w14:paraId="5DA60AAB" w14:textId="77777777" w:rsidR="00B469E0" w:rsidRPr="00A32804" w:rsidRDefault="00B469E0" w:rsidP="00B469E0">
      <w:pPr>
        <w:pStyle w:val="TableNotitle"/>
        <w:rPr>
          <w:lang w:val="es-ES"/>
        </w:rPr>
      </w:pPr>
      <w:r>
        <w:rPr>
          <w:lang w:val="es-ES"/>
        </w:rPr>
        <w:t>CUADRO</w:t>
      </w:r>
      <w:r w:rsidRPr="00A32804">
        <w:rPr>
          <w:lang w:val="es-ES"/>
        </w:rPr>
        <w:t xml:space="preserve"> 8.7-1</w:t>
      </w:r>
      <w:r>
        <w:rPr>
          <w:lang w:val="es-ES"/>
        </w:rPr>
        <w:br/>
      </w:r>
      <w:r>
        <w:rPr>
          <w:lang w:val="es-ES"/>
        </w:rPr>
        <w:br/>
      </w:r>
      <w:r w:rsidRPr="00A32804">
        <w:rPr>
          <w:lang w:val="es-ES"/>
        </w:rPr>
        <w:t xml:space="preserve">Evolución de la participación </w:t>
      </w:r>
      <w:r>
        <w:rPr>
          <w:lang w:val="es-ES"/>
        </w:rPr>
        <w:t>de mujeres</w:t>
      </w:r>
      <w:r w:rsidRPr="00A32804">
        <w:rPr>
          <w:lang w:val="es-ES"/>
        </w:rPr>
        <w:t xml:space="preserve"> en eventos</w:t>
      </w:r>
      <w:r>
        <w:rPr>
          <w:lang w:val="es-ES"/>
        </w:rPr>
        <w:t xml:space="preserve"> del UIT</w:t>
      </w:r>
      <w:r w:rsidRPr="00A32804">
        <w:rPr>
          <w:lang w:val="es-ES"/>
        </w:rPr>
        <w:t xml:space="preserve">-R </w:t>
      </w:r>
      <w:r>
        <w:rPr>
          <w:lang w:val="es-ES"/>
        </w:rPr>
        <w:t>entre</w:t>
      </w:r>
      <w:r w:rsidRPr="00A32804">
        <w:rPr>
          <w:lang w:val="es-ES"/>
        </w:rPr>
        <w:t xml:space="preserve"> 2019 </w:t>
      </w:r>
      <w:r>
        <w:rPr>
          <w:lang w:val="es-ES"/>
        </w:rPr>
        <w:t>y</w:t>
      </w:r>
      <w:r w:rsidRPr="00A32804">
        <w:rPr>
          <w:lang w:val="es-ES"/>
        </w:rPr>
        <w:t xml:space="preserve"> 2024</w:t>
      </w:r>
    </w:p>
    <w:p w14:paraId="45F42374" w14:textId="77777777" w:rsidR="00B469E0" w:rsidRPr="00A32804" w:rsidRDefault="00B469E0" w:rsidP="00B469E0">
      <w:pPr>
        <w:jc w:val="center"/>
        <w:rPr>
          <w:highlight w:val="yellow"/>
          <w:lang w:val="es-ES"/>
        </w:rPr>
      </w:pPr>
      <w:r w:rsidRPr="00A32804">
        <w:rPr>
          <w:noProof/>
          <w:lang w:val="es-ES"/>
        </w:rPr>
        <w:drawing>
          <wp:inline distT="0" distB="0" distL="0" distR="0" wp14:anchorId="0FD6FD04" wp14:editId="052FEAAF">
            <wp:extent cx="4547846" cy="1552625"/>
            <wp:effectExtent l="0" t="0" r="5715" b="0"/>
            <wp:docPr id="1842091512" name="Picture 1" descr="A graph of numbers and a numb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2091512" name="Picture 1" descr="A graph of numbers and a number&#10;&#10;AI-generated content may be incorrect."/>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4547846" cy="1552625"/>
                    </a:xfrm>
                    <a:prstGeom prst="rect">
                      <a:avLst/>
                    </a:prstGeom>
                  </pic:spPr>
                </pic:pic>
              </a:graphicData>
            </a:graphic>
          </wp:inline>
        </w:drawing>
      </w:r>
    </w:p>
    <w:p w14:paraId="4200F11B" w14:textId="77777777" w:rsidR="00B469E0" w:rsidRPr="00A32804" w:rsidRDefault="00B469E0" w:rsidP="00B469E0">
      <w:pPr>
        <w:pStyle w:val="TableNotitle"/>
        <w:rPr>
          <w:lang w:val="es-ES"/>
        </w:rPr>
      </w:pPr>
      <w:r>
        <w:rPr>
          <w:lang w:val="es-ES"/>
        </w:rPr>
        <w:t>CUADRO</w:t>
      </w:r>
      <w:r w:rsidRPr="00A32804">
        <w:rPr>
          <w:lang w:val="es-ES"/>
        </w:rPr>
        <w:t xml:space="preserve"> 8.7-2</w:t>
      </w:r>
      <w:r>
        <w:rPr>
          <w:lang w:val="es-ES"/>
        </w:rPr>
        <w:br/>
      </w:r>
      <w:r>
        <w:rPr>
          <w:lang w:val="es-ES"/>
        </w:rPr>
        <w:br/>
      </w:r>
      <w:r w:rsidRPr="00A32804">
        <w:rPr>
          <w:lang w:val="es-ES"/>
        </w:rPr>
        <w:t xml:space="preserve">Evolución de la participación de mujeres en CMR </w:t>
      </w:r>
      <w:r>
        <w:rPr>
          <w:lang w:val="es-ES"/>
        </w:rPr>
        <w:t>entre</w:t>
      </w:r>
      <w:r w:rsidRPr="00A32804">
        <w:rPr>
          <w:lang w:val="es-ES"/>
        </w:rPr>
        <w:t xml:space="preserve"> 2019 </w:t>
      </w:r>
      <w:r>
        <w:rPr>
          <w:lang w:val="es-ES"/>
        </w:rPr>
        <w:t>y</w:t>
      </w:r>
      <w:r w:rsidRPr="00A32804">
        <w:rPr>
          <w:lang w:val="es-ES"/>
        </w:rPr>
        <w:t xml:space="preserve"> 2024</w:t>
      </w:r>
    </w:p>
    <w:p w14:paraId="392E7C17" w14:textId="77777777" w:rsidR="00B469E0" w:rsidRDefault="00B469E0" w:rsidP="00B469E0">
      <w:pPr>
        <w:keepNext/>
        <w:jc w:val="center"/>
        <w:rPr>
          <w:highlight w:val="cyan"/>
          <w:lang w:val="es-ES"/>
        </w:rPr>
      </w:pPr>
      <w:r w:rsidRPr="00A32804">
        <w:rPr>
          <w:noProof/>
          <w:lang w:val="es-ES"/>
        </w:rPr>
        <w:drawing>
          <wp:inline distT="0" distB="0" distL="0" distR="0" wp14:anchorId="5344A43F" wp14:editId="7A63BBF8">
            <wp:extent cx="2523744" cy="1419605"/>
            <wp:effectExtent l="0" t="0" r="0" b="9525"/>
            <wp:docPr id="2052751499" name="Picture 1" descr="A comparison of a number of women and m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751499" name="Picture 1" descr="A comparison of a number of women and men&#10;&#10;AI-generated content may be incorrect."/>
                    <pic:cNvPicPr/>
                  </pic:nvPicPr>
                  <pic:blipFill>
                    <a:blip r:embed="rId101">
                      <a:extLst>
                        <a:ext uri="{28A0092B-C50C-407E-A947-70E740481C1C}">
                          <a14:useLocalDpi xmlns:a14="http://schemas.microsoft.com/office/drawing/2010/main" val="0"/>
                        </a:ext>
                      </a:extLst>
                    </a:blip>
                    <a:stretch>
                      <a:fillRect/>
                    </a:stretch>
                  </pic:blipFill>
                  <pic:spPr>
                    <a:xfrm>
                      <a:off x="0" y="0"/>
                      <a:ext cx="2532303" cy="1424419"/>
                    </a:xfrm>
                    <a:prstGeom prst="rect">
                      <a:avLst/>
                    </a:prstGeom>
                  </pic:spPr>
                </pic:pic>
              </a:graphicData>
            </a:graphic>
          </wp:inline>
        </w:drawing>
      </w:r>
    </w:p>
    <w:p w14:paraId="475B4BAE" w14:textId="77777777" w:rsidR="00B469E0" w:rsidRPr="00A32804" w:rsidRDefault="00B469E0" w:rsidP="00B469E0">
      <w:pPr>
        <w:pStyle w:val="Heading3"/>
        <w:rPr>
          <w:rFonts w:eastAsia="Calibri"/>
          <w:lang w:val="es-ES"/>
        </w:rPr>
      </w:pPr>
      <w:r w:rsidRPr="00A32804">
        <w:rPr>
          <w:lang w:val="es-ES"/>
        </w:rPr>
        <w:t>8.7.1</w:t>
      </w:r>
      <w:r w:rsidRPr="00A32804">
        <w:rPr>
          <w:lang w:val="es-ES"/>
        </w:rPr>
        <w:tab/>
      </w:r>
      <w:r w:rsidRPr="00FE4D65">
        <w:rPr>
          <w:lang w:val="es-ES"/>
        </w:rPr>
        <w:t>Resolución de la AR-23 sobre la igualdad de género</w:t>
      </w:r>
    </w:p>
    <w:p w14:paraId="14733D70" w14:textId="77777777" w:rsidR="00B469E0" w:rsidRPr="00A32804" w:rsidRDefault="00B469E0" w:rsidP="00B469E0">
      <w:pPr>
        <w:rPr>
          <w:lang w:val="es-ES"/>
        </w:rPr>
      </w:pPr>
      <w:r>
        <w:rPr>
          <w:lang w:val="es-ES"/>
        </w:rPr>
        <w:t>L</w:t>
      </w:r>
      <w:r w:rsidRPr="00DE0847">
        <w:rPr>
          <w:lang w:val="es-ES"/>
        </w:rPr>
        <w:t xml:space="preserve">a Asamblea de Radiocomunicaciones de </w:t>
      </w:r>
      <w:r>
        <w:rPr>
          <w:lang w:val="es-ES"/>
        </w:rPr>
        <w:t>2023</w:t>
      </w:r>
      <w:r w:rsidRPr="00DE0847">
        <w:rPr>
          <w:lang w:val="es-ES"/>
        </w:rPr>
        <w:t xml:space="preserve"> (AR-23) adoptó una nueva </w:t>
      </w:r>
      <w:hyperlink r:id="rId102" w:history="1">
        <w:r w:rsidRPr="00DE0847">
          <w:rPr>
            <w:rStyle w:val="Hyperlink"/>
            <w:rFonts w:eastAsia="SimSun"/>
            <w:lang w:val="es-ES"/>
          </w:rPr>
          <w:t>Resolución sobre igualdad de género</w:t>
        </w:r>
      </w:hyperlink>
      <w:r w:rsidRPr="00DE0847">
        <w:rPr>
          <w:lang w:val="es-ES"/>
        </w:rPr>
        <w:t xml:space="preserve"> </w:t>
      </w:r>
      <w:r w:rsidRPr="00A32804">
        <w:rPr>
          <w:lang w:val="es-ES"/>
        </w:rPr>
        <w:t>(</w:t>
      </w:r>
      <w:r>
        <w:rPr>
          <w:lang w:val="es-ES"/>
        </w:rPr>
        <w:t xml:space="preserve">a saber, la </w:t>
      </w:r>
      <w:r w:rsidRPr="00A32804">
        <w:rPr>
          <w:lang w:val="es-ES"/>
        </w:rPr>
        <w:t>Resolución UIT-R 72), cuyo objetivo es seguir reforzando, acelerando y ampliando la participación activa de las mujeres en los trabajos y actividades del Sector de Radiocomunicaciones de la UIT (UIT-R).</w:t>
      </w:r>
    </w:p>
    <w:p w14:paraId="2408A265" w14:textId="77777777" w:rsidR="00B469E0" w:rsidRPr="00A32804" w:rsidRDefault="00B469E0" w:rsidP="00B469E0">
      <w:pPr>
        <w:rPr>
          <w:lang w:val="es-ES"/>
        </w:rPr>
      </w:pPr>
      <w:r>
        <w:rPr>
          <w:lang w:val="es-ES"/>
        </w:rPr>
        <w:t>En l</w:t>
      </w:r>
      <w:r w:rsidRPr="00A32804">
        <w:rPr>
          <w:lang w:val="es-ES"/>
        </w:rPr>
        <w:t>a Resolución UIT-R 72</w:t>
      </w:r>
      <w:r>
        <w:rPr>
          <w:lang w:val="es-ES"/>
        </w:rPr>
        <w:t xml:space="preserve">, </w:t>
      </w:r>
      <w:r w:rsidRPr="00DE0847">
        <w:rPr>
          <w:lang w:val="es-ES"/>
        </w:rPr>
        <w:t>en la que se reconoce la importancia de las funciones de liderazgo para impulsar el cambio, se declara</w:t>
      </w:r>
      <w:r>
        <w:rPr>
          <w:lang w:val="es-ES"/>
        </w:rPr>
        <w:t xml:space="preserve"> que </w:t>
      </w:r>
      <w:r w:rsidRPr="00DE0847">
        <w:rPr>
          <w:lang w:val="es-ES"/>
        </w:rPr>
        <w:t xml:space="preserve">todas </w:t>
      </w:r>
      <w:r>
        <w:rPr>
          <w:lang w:val="es-ES"/>
        </w:rPr>
        <w:t>las</w:t>
      </w:r>
      <w:r w:rsidRPr="00DE0847">
        <w:rPr>
          <w:lang w:val="es-ES"/>
        </w:rPr>
        <w:t xml:space="preserve"> políticas,</w:t>
      </w:r>
      <w:r>
        <w:rPr>
          <w:lang w:val="es-ES"/>
        </w:rPr>
        <w:t xml:space="preserve"> los</w:t>
      </w:r>
      <w:r w:rsidRPr="00DE0847">
        <w:rPr>
          <w:lang w:val="es-ES"/>
        </w:rPr>
        <w:t xml:space="preserve"> programas de trabajo, </w:t>
      </w:r>
      <w:r>
        <w:rPr>
          <w:lang w:val="es-ES"/>
        </w:rPr>
        <w:t xml:space="preserve">las </w:t>
      </w:r>
      <w:r w:rsidRPr="00DE0847">
        <w:rPr>
          <w:lang w:val="es-ES"/>
        </w:rPr>
        <w:t xml:space="preserve">actividades de difusión de información, </w:t>
      </w:r>
      <w:r>
        <w:rPr>
          <w:lang w:val="es-ES"/>
        </w:rPr>
        <w:t xml:space="preserve">las </w:t>
      </w:r>
      <w:r w:rsidRPr="00DE0847">
        <w:rPr>
          <w:lang w:val="es-ES"/>
        </w:rPr>
        <w:t xml:space="preserve">publicaciones, </w:t>
      </w:r>
      <w:r>
        <w:rPr>
          <w:lang w:val="es-ES"/>
        </w:rPr>
        <w:t xml:space="preserve">las </w:t>
      </w:r>
      <w:r w:rsidRPr="00DE0847">
        <w:rPr>
          <w:lang w:val="es-ES"/>
        </w:rPr>
        <w:t>Comisiones de Estudio,</w:t>
      </w:r>
      <w:r>
        <w:rPr>
          <w:lang w:val="es-ES"/>
        </w:rPr>
        <w:t xml:space="preserve"> los</w:t>
      </w:r>
      <w:r w:rsidRPr="00DE0847">
        <w:rPr>
          <w:lang w:val="es-ES"/>
        </w:rPr>
        <w:t xml:space="preserve"> seminarios,</w:t>
      </w:r>
      <w:r>
        <w:rPr>
          <w:lang w:val="es-ES"/>
        </w:rPr>
        <w:t xml:space="preserve"> los</w:t>
      </w:r>
      <w:r w:rsidRPr="00DE0847">
        <w:rPr>
          <w:lang w:val="es-ES"/>
        </w:rPr>
        <w:t xml:space="preserve"> cursos, </w:t>
      </w:r>
      <w:r>
        <w:rPr>
          <w:lang w:val="es-ES"/>
        </w:rPr>
        <w:t xml:space="preserve">las </w:t>
      </w:r>
      <w:r w:rsidRPr="00DE0847">
        <w:rPr>
          <w:lang w:val="es-ES"/>
        </w:rPr>
        <w:t>asambleas y</w:t>
      </w:r>
      <w:r>
        <w:rPr>
          <w:lang w:val="es-ES"/>
        </w:rPr>
        <w:t xml:space="preserve"> las</w:t>
      </w:r>
      <w:r w:rsidRPr="00DE0847">
        <w:rPr>
          <w:lang w:val="es-ES"/>
        </w:rPr>
        <w:t xml:space="preserve"> conferencias</w:t>
      </w:r>
      <w:r>
        <w:rPr>
          <w:lang w:val="es-ES"/>
        </w:rPr>
        <w:t xml:space="preserve"> </w:t>
      </w:r>
      <w:r w:rsidRPr="00A32804">
        <w:rPr>
          <w:lang w:val="es-ES"/>
        </w:rPr>
        <w:t xml:space="preserve">sobre radiocomunicaciones </w:t>
      </w:r>
      <w:r>
        <w:rPr>
          <w:lang w:val="es-ES"/>
        </w:rPr>
        <w:t xml:space="preserve">de la UIT deben </w:t>
      </w:r>
      <w:r w:rsidRPr="00DE0847">
        <w:rPr>
          <w:lang w:val="es-ES"/>
        </w:rPr>
        <w:t>reflej</w:t>
      </w:r>
      <w:r>
        <w:rPr>
          <w:lang w:val="es-ES"/>
        </w:rPr>
        <w:t>ar</w:t>
      </w:r>
      <w:r w:rsidRPr="00DE0847">
        <w:rPr>
          <w:lang w:val="es-ES"/>
        </w:rPr>
        <w:t xml:space="preserve"> el compromiso del Sector con la igualdad de género</w:t>
      </w:r>
      <w:r w:rsidRPr="00A32804">
        <w:rPr>
          <w:lang w:val="es-ES"/>
        </w:rPr>
        <w:t>.</w:t>
      </w:r>
    </w:p>
    <w:p w14:paraId="7A4AB2B6" w14:textId="77777777" w:rsidR="00B469E0" w:rsidRPr="00A32804" w:rsidRDefault="00B469E0" w:rsidP="00B469E0">
      <w:pPr>
        <w:pStyle w:val="Heading3"/>
        <w:rPr>
          <w:rFonts w:eastAsia="Calibri"/>
          <w:b w:val="0"/>
          <w:lang w:val="es-ES"/>
        </w:rPr>
      </w:pPr>
      <w:r w:rsidRPr="00A32804">
        <w:rPr>
          <w:lang w:val="es-ES"/>
        </w:rPr>
        <w:lastRenderedPageBreak/>
        <w:t>8.7.2</w:t>
      </w:r>
      <w:r w:rsidRPr="00A32804">
        <w:rPr>
          <w:lang w:val="es-ES"/>
        </w:rPr>
        <w:tab/>
      </w:r>
      <w:r w:rsidRPr="00A32804">
        <w:rPr>
          <w:rFonts w:eastAsia="Calibri"/>
          <w:lang w:val="es-ES"/>
        </w:rPr>
        <w:t xml:space="preserve">Red de mujeres para la </w:t>
      </w:r>
      <w:r>
        <w:rPr>
          <w:rFonts w:eastAsia="Calibri"/>
          <w:lang w:val="es-ES"/>
        </w:rPr>
        <w:t>CMR-27</w:t>
      </w:r>
    </w:p>
    <w:p w14:paraId="1EB6EEE6" w14:textId="77777777" w:rsidR="00B469E0" w:rsidRPr="00A32804" w:rsidRDefault="00B469E0" w:rsidP="00B469E0">
      <w:pPr>
        <w:rPr>
          <w:rFonts w:eastAsia="Aptos"/>
          <w:lang w:val="es-ES"/>
        </w:rPr>
      </w:pPr>
      <w:r w:rsidRPr="00A32804">
        <w:rPr>
          <w:rFonts w:eastAsia="Aptos"/>
          <w:lang w:val="es-ES"/>
        </w:rPr>
        <w:t>La iniciativa</w:t>
      </w:r>
      <w:r>
        <w:rPr>
          <w:rFonts w:eastAsia="Aptos"/>
          <w:lang w:val="es-ES"/>
        </w:rPr>
        <w:t xml:space="preserve"> de la</w:t>
      </w:r>
      <w:r w:rsidRPr="00A32804">
        <w:rPr>
          <w:rFonts w:eastAsia="Aptos"/>
          <w:lang w:val="es-ES"/>
        </w:rPr>
        <w:t xml:space="preserve"> </w:t>
      </w:r>
      <w:hyperlink r:id="rId103" w:anchor="/es" w:history="1">
        <w:r w:rsidRPr="00A32804">
          <w:rPr>
            <w:rStyle w:val="Hyperlink"/>
            <w:rFonts w:eastAsia="Aptos"/>
            <w:szCs w:val="24"/>
            <w:lang w:val="es-ES"/>
          </w:rPr>
          <w:t>Red de Mujeres para la CMR-27 (NOW4WRC27</w:t>
        </w:r>
      </w:hyperlink>
      <w:r w:rsidRPr="00A32804">
        <w:rPr>
          <w:rFonts w:eastAsia="Aptos"/>
          <w:lang w:val="es-ES"/>
        </w:rPr>
        <w:t>) se</w:t>
      </w:r>
      <w:r>
        <w:rPr>
          <w:rFonts w:eastAsia="Aptos"/>
          <w:lang w:val="es-ES"/>
        </w:rPr>
        <w:t xml:space="preserve"> presentó</w:t>
      </w:r>
      <w:r w:rsidRPr="00A32804">
        <w:rPr>
          <w:rFonts w:eastAsia="Aptos"/>
          <w:lang w:val="es-ES"/>
        </w:rPr>
        <w:t xml:space="preserve"> oficialmente </w:t>
      </w:r>
      <w:r>
        <w:rPr>
          <w:rFonts w:eastAsia="Aptos"/>
          <w:lang w:val="es-ES"/>
        </w:rPr>
        <w:t>en el marco de</w:t>
      </w:r>
      <w:r w:rsidRPr="00A32804">
        <w:rPr>
          <w:rFonts w:eastAsia="Aptos"/>
          <w:lang w:val="es-ES"/>
        </w:rPr>
        <w:t xml:space="preserve"> la CMR-23, con la misión de promover la igualdad, </w:t>
      </w:r>
      <w:r>
        <w:rPr>
          <w:rFonts w:eastAsia="Aptos"/>
          <w:lang w:val="es-ES"/>
        </w:rPr>
        <w:t xml:space="preserve">la </w:t>
      </w:r>
      <w:r w:rsidRPr="00A32804">
        <w:rPr>
          <w:rFonts w:eastAsia="Aptos"/>
          <w:lang w:val="es-ES"/>
        </w:rPr>
        <w:t xml:space="preserve">equidad y </w:t>
      </w:r>
      <w:r>
        <w:rPr>
          <w:rFonts w:eastAsia="Aptos"/>
          <w:lang w:val="es-ES"/>
        </w:rPr>
        <w:t xml:space="preserve">la </w:t>
      </w:r>
      <w:r w:rsidRPr="00A32804">
        <w:rPr>
          <w:rFonts w:eastAsia="Aptos"/>
          <w:lang w:val="es-ES"/>
        </w:rPr>
        <w:t xml:space="preserve">paridad de género, empoderar a las mujeres y </w:t>
      </w:r>
      <w:r>
        <w:rPr>
          <w:rFonts w:eastAsia="Aptos"/>
          <w:lang w:val="es-ES"/>
        </w:rPr>
        <w:t xml:space="preserve">las </w:t>
      </w:r>
      <w:r w:rsidRPr="00A32804">
        <w:rPr>
          <w:rFonts w:eastAsia="Aptos"/>
          <w:lang w:val="es-ES"/>
        </w:rPr>
        <w:t>niñas en</w:t>
      </w:r>
      <w:r>
        <w:rPr>
          <w:rFonts w:eastAsia="Aptos"/>
          <w:lang w:val="es-ES"/>
        </w:rPr>
        <w:t xml:space="preserve"> el ámbito de</w:t>
      </w:r>
      <w:r w:rsidRPr="00A32804">
        <w:rPr>
          <w:rFonts w:eastAsia="Aptos"/>
          <w:lang w:val="es-ES"/>
        </w:rPr>
        <w:t xml:space="preserve"> las radiocomunicaciones y fomentar </w:t>
      </w:r>
      <w:r>
        <w:rPr>
          <w:rFonts w:eastAsia="Aptos"/>
          <w:lang w:val="es-ES"/>
        </w:rPr>
        <w:t>su</w:t>
      </w:r>
      <w:r w:rsidRPr="00A32804">
        <w:rPr>
          <w:rFonts w:eastAsia="Aptos"/>
          <w:lang w:val="es-ES"/>
        </w:rPr>
        <w:t xml:space="preserve"> inclusión y liderazgo en las actividades del UIT-R. </w:t>
      </w:r>
    </w:p>
    <w:p w14:paraId="6AF7ADEA" w14:textId="77777777" w:rsidR="00B469E0" w:rsidRPr="00A32804" w:rsidRDefault="00B469E0" w:rsidP="00B469E0">
      <w:pPr>
        <w:rPr>
          <w:rFonts w:eastAsia="Aptos"/>
          <w:lang w:val="es-ES"/>
        </w:rPr>
      </w:pPr>
      <w:r>
        <w:rPr>
          <w:rFonts w:eastAsia="Aptos"/>
          <w:lang w:val="es-ES"/>
        </w:rPr>
        <w:t>Partiendo del éxito cosechado por</w:t>
      </w:r>
      <w:r w:rsidRPr="00A32804">
        <w:rPr>
          <w:rFonts w:eastAsia="Aptos"/>
          <w:lang w:val="es-ES"/>
        </w:rPr>
        <w:t xml:space="preserve"> el programa NOW4WRC23, esta iniciativa sigue fomentando la participación activa de las mujeres a lo largo de todo el ciclo de estudios previo a la CMR-27. </w:t>
      </w:r>
    </w:p>
    <w:p w14:paraId="3AD7EB56" w14:textId="77777777" w:rsidR="00B469E0" w:rsidRPr="00B232EC" w:rsidRDefault="00B469E0" w:rsidP="00B469E0">
      <w:pPr>
        <w:rPr>
          <w:rFonts w:eastAsia="Aptos"/>
          <w:lang w:val="es-ES"/>
        </w:rPr>
      </w:pPr>
      <w:r w:rsidRPr="00A32804">
        <w:rPr>
          <w:rFonts w:eastAsia="Aptos"/>
          <w:lang w:val="es-ES"/>
        </w:rPr>
        <w:t>Las iniciativas del UIT-R complementan las actividades regionales dirigidas por los copresidentes regionales de</w:t>
      </w:r>
      <w:r>
        <w:rPr>
          <w:rFonts w:eastAsia="Aptos"/>
          <w:lang w:val="es-ES"/>
        </w:rPr>
        <w:t xml:space="preserve"> la red</w:t>
      </w:r>
      <w:r w:rsidRPr="00A32804">
        <w:rPr>
          <w:rFonts w:eastAsia="Aptos"/>
          <w:lang w:val="es-ES"/>
        </w:rPr>
        <w:t xml:space="preserve"> NOW4WRC27.</w:t>
      </w:r>
    </w:p>
    <w:p w14:paraId="086C0981" w14:textId="77777777" w:rsidR="00B469E0" w:rsidRPr="00A32804" w:rsidRDefault="00B469E0" w:rsidP="00B469E0">
      <w:pPr>
        <w:pStyle w:val="Heading4"/>
        <w:rPr>
          <w:rFonts w:eastAsia="Calibri"/>
          <w:lang w:val="es-ES"/>
        </w:rPr>
      </w:pPr>
      <w:r w:rsidRPr="00A32804">
        <w:rPr>
          <w:lang w:val="es-ES"/>
        </w:rPr>
        <w:t>8.7.2.1</w:t>
      </w:r>
      <w:r w:rsidRPr="00A32804">
        <w:rPr>
          <w:lang w:val="es-ES"/>
        </w:rPr>
        <w:tab/>
        <w:t>Programa de tutoría</w:t>
      </w:r>
      <w:r>
        <w:rPr>
          <w:lang w:val="es-ES"/>
        </w:rPr>
        <w:t xml:space="preserve"> de la red</w:t>
      </w:r>
      <w:r w:rsidRPr="00FD1651">
        <w:rPr>
          <w:lang w:val="es-ES"/>
        </w:rPr>
        <w:t xml:space="preserve"> </w:t>
      </w:r>
      <w:r w:rsidRPr="00A32804">
        <w:rPr>
          <w:lang w:val="es-ES"/>
        </w:rPr>
        <w:t>NOW4WRC27</w:t>
      </w:r>
    </w:p>
    <w:p w14:paraId="33B54360" w14:textId="77777777" w:rsidR="00B469E0" w:rsidRPr="00A32804" w:rsidRDefault="00B469E0" w:rsidP="00B469E0">
      <w:pPr>
        <w:rPr>
          <w:rFonts w:eastAsia="Aptos"/>
          <w:lang w:val="es-ES"/>
        </w:rPr>
      </w:pPr>
      <w:r>
        <w:rPr>
          <w:lang w:val="es-ES"/>
        </w:rPr>
        <w:t xml:space="preserve">El </w:t>
      </w:r>
      <w:hyperlink r:id="rId104" w:anchor="/es" w:history="1">
        <w:r>
          <w:rPr>
            <w:rStyle w:val="Hyperlink"/>
            <w:rFonts w:eastAsia="Aptos"/>
            <w:szCs w:val="24"/>
            <w:lang w:val="es-ES"/>
          </w:rPr>
          <w:t>p</w:t>
        </w:r>
        <w:r w:rsidRPr="00A32804">
          <w:rPr>
            <w:rStyle w:val="Hyperlink"/>
            <w:rFonts w:eastAsia="Aptos"/>
            <w:szCs w:val="24"/>
            <w:lang w:val="es-ES"/>
          </w:rPr>
          <w:t>rograma de tutoría</w:t>
        </w:r>
        <w:r>
          <w:rPr>
            <w:rStyle w:val="Hyperlink"/>
            <w:rFonts w:eastAsia="Aptos"/>
            <w:szCs w:val="24"/>
            <w:lang w:val="es-ES"/>
          </w:rPr>
          <w:t xml:space="preserve"> de la red</w:t>
        </w:r>
        <w:r w:rsidRPr="00A32804">
          <w:rPr>
            <w:rStyle w:val="Hyperlink"/>
            <w:rFonts w:eastAsia="Aptos"/>
            <w:szCs w:val="24"/>
            <w:lang w:val="es-ES"/>
          </w:rPr>
          <w:t xml:space="preserve"> NOW4WRC27</w:t>
        </w:r>
      </w:hyperlink>
      <w:r>
        <w:rPr>
          <w:rFonts w:eastAsia="Aptos"/>
          <w:lang w:val="es-ES"/>
        </w:rPr>
        <w:t xml:space="preserve"> s</w:t>
      </w:r>
      <w:r w:rsidRPr="00A32804">
        <w:rPr>
          <w:rFonts w:eastAsia="Aptos"/>
          <w:lang w:val="es-ES"/>
        </w:rPr>
        <w:t>e puso en marcha en febrero de 2025</w:t>
      </w:r>
      <w:r>
        <w:rPr>
          <w:rFonts w:eastAsia="Aptos"/>
          <w:lang w:val="es-ES"/>
        </w:rPr>
        <w:t>, con el</w:t>
      </w:r>
      <w:r w:rsidRPr="00A32804">
        <w:rPr>
          <w:rFonts w:eastAsia="Aptos"/>
          <w:lang w:val="es-ES"/>
        </w:rPr>
        <w:t xml:space="preserve"> objetivo </w:t>
      </w:r>
      <w:r>
        <w:rPr>
          <w:rFonts w:eastAsia="Aptos"/>
          <w:lang w:val="es-ES"/>
        </w:rPr>
        <w:t>de</w:t>
      </w:r>
      <w:r w:rsidRPr="00A32804">
        <w:rPr>
          <w:rFonts w:eastAsia="Aptos"/>
          <w:lang w:val="es-ES"/>
        </w:rPr>
        <w:t xml:space="preserve"> </w:t>
      </w:r>
      <w:r>
        <w:rPr>
          <w:rFonts w:eastAsia="Aptos"/>
          <w:lang w:val="es-ES"/>
        </w:rPr>
        <w:t xml:space="preserve">dotar a las </w:t>
      </w:r>
      <w:r w:rsidRPr="00A32804">
        <w:rPr>
          <w:rFonts w:eastAsia="Aptos"/>
          <w:lang w:val="es-ES"/>
        </w:rPr>
        <w:t>delegadas</w:t>
      </w:r>
      <w:r>
        <w:rPr>
          <w:rFonts w:eastAsia="Aptos"/>
          <w:lang w:val="es-ES"/>
        </w:rPr>
        <w:t xml:space="preserve"> de autonomía ampliando sus conocimientos sobre</w:t>
      </w:r>
      <w:r w:rsidRPr="00A32804">
        <w:rPr>
          <w:rFonts w:eastAsia="Aptos"/>
          <w:lang w:val="es-ES"/>
        </w:rPr>
        <w:t xml:space="preserve"> los métodos de trabajo del UIT-R, el Reglamento de Radiocomunicaciones y los procesos internacionales de la</w:t>
      </w:r>
      <w:r>
        <w:rPr>
          <w:rFonts w:eastAsia="Aptos"/>
          <w:lang w:val="es-ES"/>
        </w:rPr>
        <w:t> </w:t>
      </w:r>
      <w:r w:rsidRPr="00A32804">
        <w:rPr>
          <w:rFonts w:eastAsia="Aptos"/>
          <w:lang w:val="es-ES"/>
        </w:rPr>
        <w:t>CMR-27.</w:t>
      </w:r>
    </w:p>
    <w:p w14:paraId="4BE6857A" w14:textId="77777777" w:rsidR="00B469E0" w:rsidRDefault="00B469E0" w:rsidP="00B469E0">
      <w:pPr>
        <w:rPr>
          <w:lang w:val="es-ES"/>
        </w:rPr>
      </w:pPr>
      <w:r w:rsidRPr="00A32804">
        <w:rPr>
          <w:lang w:val="es-ES"/>
        </w:rPr>
        <w:t>E</w:t>
      </w:r>
      <w:r>
        <w:rPr>
          <w:lang w:val="es-ES"/>
        </w:rPr>
        <w:t>ste</w:t>
      </w:r>
      <w:r w:rsidRPr="00A32804">
        <w:rPr>
          <w:lang w:val="es-ES"/>
        </w:rPr>
        <w:t xml:space="preserve"> programa </w:t>
      </w:r>
      <w:r w:rsidRPr="00FE4D65">
        <w:rPr>
          <w:lang w:val="es-ES"/>
        </w:rPr>
        <w:t xml:space="preserve">de tutoría es fundamental para ayudar a las alumnas, especialmente a las que participan por primera vez en </w:t>
      </w:r>
      <w:r>
        <w:rPr>
          <w:lang w:val="es-ES"/>
        </w:rPr>
        <w:t>un</w:t>
      </w:r>
      <w:r w:rsidRPr="00FE4D65">
        <w:rPr>
          <w:lang w:val="es-ES"/>
        </w:rPr>
        <w:t xml:space="preserve">a CMR, a comprender los procesos, los puntos del orden del día y los desafíos </w:t>
      </w:r>
      <w:r>
        <w:rPr>
          <w:lang w:val="es-ES"/>
        </w:rPr>
        <w:t>de estas conferencias</w:t>
      </w:r>
      <w:r w:rsidRPr="00FE4D65">
        <w:rPr>
          <w:lang w:val="es-ES"/>
        </w:rPr>
        <w:t xml:space="preserve">. </w:t>
      </w:r>
    </w:p>
    <w:p w14:paraId="659B7DB9" w14:textId="77777777" w:rsidR="00B469E0" w:rsidRDefault="00B469E0" w:rsidP="00B469E0">
      <w:pPr>
        <w:rPr>
          <w:rFonts w:eastAsia="Aptos"/>
          <w:szCs w:val="24"/>
          <w:lang w:val="es-ES"/>
        </w:rPr>
      </w:pPr>
      <w:r>
        <w:rPr>
          <w:lang w:val="es-ES"/>
        </w:rPr>
        <w:t xml:space="preserve">El </w:t>
      </w:r>
      <w:hyperlink r:id="rId105" w:anchor="/es" w:tooltip="https://www.itu.int/now4wrc27/online-registration/" w:history="1">
        <w:r w:rsidRPr="00A32804">
          <w:rPr>
            <w:rStyle w:val="Hyperlink"/>
            <w:rFonts w:eastAsia="SimSun"/>
            <w:lang w:val="es-ES"/>
          </w:rPr>
          <w:t>formulario de inscripción en línea</w:t>
        </w:r>
      </w:hyperlink>
      <w:r>
        <w:rPr>
          <w:lang w:val="es-ES"/>
        </w:rPr>
        <w:t xml:space="preserve"> p</w:t>
      </w:r>
      <w:r w:rsidRPr="00A32804">
        <w:rPr>
          <w:lang w:val="es-ES"/>
        </w:rPr>
        <w:t>ara participar en e</w:t>
      </w:r>
      <w:r>
        <w:rPr>
          <w:lang w:val="es-ES"/>
        </w:rPr>
        <w:t>ste</w:t>
      </w:r>
      <w:r w:rsidRPr="00A32804">
        <w:rPr>
          <w:lang w:val="es-ES"/>
        </w:rPr>
        <w:t xml:space="preserve"> programa</w:t>
      </w:r>
      <w:r>
        <w:rPr>
          <w:lang w:val="es-ES"/>
        </w:rPr>
        <w:t xml:space="preserve"> en calidad tanto de</w:t>
      </w:r>
      <w:r w:rsidRPr="00A32804">
        <w:rPr>
          <w:lang w:val="es-ES"/>
        </w:rPr>
        <w:t xml:space="preserve"> mentor</w:t>
      </w:r>
      <w:r>
        <w:rPr>
          <w:lang w:val="es-ES"/>
        </w:rPr>
        <w:t>a</w:t>
      </w:r>
      <w:r w:rsidRPr="00A32804">
        <w:rPr>
          <w:lang w:val="es-ES"/>
        </w:rPr>
        <w:t xml:space="preserve"> </w:t>
      </w:r>
      <w:r>
        <w:rPr>
          <w:lang w:val="es-ES"/>
        </w:rPr>
        <w:t>como de</w:t>
      </w:r>
      <w:r w:rsidRPr="00A32804">
        <w:rPr>
          <w:lang w:val="es-ES"/>
        </w:rPr>
        <w:t xml:space="preserve"> alumn</w:t>
      </w:r>
      <w:r>
        <w:rPr>
          <w:lang w:val="es-ES"/>
        </w:rPr>
        <w:t>a</w:t>
      </w:r>
      <w:r w:rsidRPr="00A32804">
        <w:rPr>
          <w:lang w:val="es-ES"/>
        </w:rPr>
        <w:t xml:space="preserve"> est</w:t>
      </w:r>
      <w:r>
        <w:rPr>
          <w:lang w:val="es-ES"/>
        </w:rPr>
        <w:t>ar</w:t>
      </w:r>
      <w:r w:rsidRPr="00A32804">
        <w:rPr>
          <w:lang w:val="es-ES"/>
        </w:rPr>
        <w:t xml:space="preserve">á disponible hasta el 30 de abril de 2025. </w:t>
      </w:r>
      <w:r>
        <w:rPr>
          <w:rFonts w:eastAsia="Aptos"/>
          <w:szCs w:val="24"/>
          <w:lang w:val="es-ES"/>
        </w:rPr>
        <w:t>Si bien</w:t>
      </w:r>
      <w:r w:rsidRPr="00A32804">
        <w:rPr>
          <w:rFonts w:eastAsia="Aptos"/>
          <w:szCs w:val="24"/>
          <w:lang w:val="es-ES"/>
        </w:rPr>
        <w:t xml:space="preserve"> se centra principalmente en las delegadas, </w:t>
      </w:r>
      <w:r>
        <w:rPr>
          <w:rFonts w:eastAsia="Aptos"/>
          <w:szCs w:val="24"/>
          <w:lang w:val="es-ES"/>
        </w:rPr>
        <w:t>el</w:t>
      </w:r>
      <w:r w:rsidRPr="00A32804">
        <w:rPr>
          <w:rFonts w:eastAsia="Aptos"/>
          <w:szCs w:val="24"/>
          <w:lang w:val="es-ES"/>
        </w:rPr>
        <w:t xml:space="preserve"> programa también </w:t>
      </w:r>
      <w:r>
        <w:rPr>
          <w:rFonts w:eastAsia="Aptos"/>
          <w:szCs w:val="24"/>
          <w:lang w:val="es-ES"/>
        </w:rPr>
        <w:t>acepta solicitudes de</w:t>
      </w:r>
      <w:r w:rsidRPr="00A32804">
        <w:rPr>
          <w:rFonts w:eastAsia="Aptos"/>
          <w:szCs w:val="24"/>
          <w:lang w:val="es-ES"/>
        </w:rPr>
        <w:t xml:space="preserve"> participantes masculinos</w:t>
      </w:r>
      <w:r>
        <w:rPr>
          <w:rFonts w:eastAsia="Aptos"/>
          <w:szCs w:val="24"/>
          <w:lang w:val="es-ES"/>
        </w:rPr>
        <w:t xml:space="preserve"> interesados en ejercer de</w:t>
      </w:r>
      <w:r w:rsidRPr="00A32804">
        <w:rPr>
          <w:rFonts w:eastAsia="Aptos"/>
          <w:szCs w:val="24"/>
          <w:lang w:val="es-ES"/>
        </w:rPr>
        <w:t xml:space="preserve"> mentores, </w:t>
      </w:r>
      <w:r>
        <w:rPr>
          <w:rFonts w:eastAsia="Aptos"/>
          <w:szCs w:val="24"/>
          <w:lang w:val="es-ES"/>
        </w:rPr>
        <w:t xml:space="preserve">a fin de promover </w:t>
      </w:r>
      <w:r w:rsidRPr="00A32804">
        <w:rPr>
          <w:rFonts w:eastAsia="Aptos"/>
          <w:szCs w:val="24"/>
          <w:lang w:val="es-ES"/>
        </w:rPr>
        <w:t xml:space="preserve">la colaboración y la </w:t>
      </w:r>
      <w:r>
        <w:rPr>
          <w:rFonts w:eastAsia="Aptos"/>
          <w:szCs w:val="24"/>
          <w:lang w:val="es-ES"/>
        </w:rPr>
        <w:t>inclusividad</w:t>
      </w:r>
      <w:r w:rsidRPr="00A32804">
        <w:rPr>
          <w:rFonts w:eastAsia="Aptos"/>
          <w:szCs w:val="24"/>
          <w:lang w:val="es-ES"/>
        </w:rPr>
        <w:t xml:space="preserve"> en toda la comunidad del</w:t>
      </w:r>
      <w:r>
        <w:rPr>
          <w:rFonts w:eastAsia="Aptos"/>
          <w:szCs w:val="24"/>
          <w:lang w:val="es-ES"/>
        </w:rPr>
        <w:t> </w:t>
      </w:r>
      <w:r w:rsidRPr="00A32804">
        <w:rPr>
          <w:rFonts w:eastAsia="Aptos"/>
          <w:szCs w:val="24"/>
          <w:lang w:val="es-ES"/>
        </w:rPr>
        <w:t>UIT-R.</w:t>
      </w:r>
    </w:p>
    <w:p w14:paraId="19330B56" w14:textId="77777777" w:rsidR="00B469E0" w:rsidRPr="00B469E0" w:rsidRDefault="00B469E0" w:rsidP="00B469E0">
      <w:pPr>
        <w:pStyle w:val="Reasons"/>
        <w:rPr>
          <w:lang w:val="es-ES"/>
        </w:rPr>
      </w:pPr>
    </w:p>
    <w:p w14:paraId="56468FA6" w14:textId="77777777" w:rsidR="00B469E0" w:rsidRDefault="00B469E0" w:rsidP="00B469E0">
      <w:pPr>
        <w:jc w:val="center"/>
      </w:pPr>
      <w:r>
        <w:t>______________</w:t>
      </w:r>
    </w:p>
    <w:sectPr w:rsidR="00B469E0" w:rsidSect="00B469E0">
      <w:type w:val="continuous"/>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F13CD5" w14:textId="77777777" w:rsidR="00341447" w:rsidRDefault="00341447">
      <w:r>
        <w:separator/>
      </w:r>
    </w:p>
  </w:endnote>
  <w:endnote w:type="continuationSeparator" w:id="0">
    <w:p w14:paraId="0E6FEA51" w14:textId="77777777" w:rsidR="00341447" w:rsidRDefault="003414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Times New Roman Bold">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855"/>
      <w:gridCol w:w="4855"/>
      <w:gridCol w:w="4855"/>
    </w:tblGrid>
    <w:tr w:rsidR="00B469E0" w14:paraId="23F1FB2E" w14:textId="77777777">
      <w:trPr>
        <w:trHeight w:val="300"/>
      </w:trPr>
      <w:tc>
        <w:tcPr>
          <w:tcW w:w="4855" w:type="dxa"/>
        </w:tcPr>
        <w:p w14:paraId="5213BF66" w14:textId="77777777" w:rsidR="00B469E0" w:rsidRDefault="00B469E0">
          <w:pPr>
            <w:ind w:left="-115"/>
          </w:pPr>
        </w:p>
      </w:tc>
      <w:tc>
        <w:tcPr>
          <w:tcW w:w="4855" w:type="dxa"/>
        </w:tcPr>
        <w:p w14:paraId="5AA2884A" w14:textId="77777777" w:rsidR="00B469E0" w:rsidRDefault="00B469E0">
          <w:pPr>
            <w:jc w:val="center"/>
          </w:pPr>
        </w:p>
      </w:tc>
      <w:tc>
        <w:tcPr>
          <w:tcW w:w="4855" w:type="dxa"/>
        </w:tcPr>
        <w:p w14:paraId="28536FBA" w14:textId="77777777" w:rsidR="00B469E0" w:rsidRDefault="00B469E0">
          <w:pPr>
            <w:ind w:right="-115"/>
            <w:jc w:val="right"/>
          </w:pPr>
        </w:p>
      </w:tc>
    </w:tr>
  </w:tbl>
  <w:p w14:paraId="153DC790" w14:textId="77777777" w:rsidR="00B469E0" w:rsidRDefault="00B469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86C623" w14:textId="77777777" w:rsidR="00341447" w:rsidRDefault="00341447">
      <w:r>
        <w:t>____________________</w:t>
      </w:r>
    </w:p>
  </w:footnote>
  <w:footnote w:type="continuationSeparator" w:id="0">
    <w:p w14:paraId="4D34389A" w14:textId="77777777" w:rsidR="00341447" w:rsidRDefault="003414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46622358"/>
      <w:docPartObj>
        <w:docPartGallery w:val="Page Numbers (Top of Page)"/>
        <w:docPartUnique/>
      </w:docPartObj>
    </w:sdtPr>
    <w:sdtEndPr>
      <w:rPr>
        <w:noProof/>
      </w:rPr>
    </w:sdtEndPr>
    <w:sdtContent>
      <w:sdt>
        <w:sdtPr>
          <w:id w:val="-534198450"/>
          <w:docPartObj>
            <w:docPartGallery w:val="Page Numbers (Top of Page)"/>
            <w:docPartUnique/>
          </w:docPartObj>
        </w:sdtPr>
        <w:sdtEndPr>
          <w:rPr>
            <w:noProof/>
          </w:rPr>
        </w:sdtEndPr>
        <w:sdtContent>
          <w:p w14:paraId="2A9DFE19" w14:textId="77777777" w:rsidR="00B469E0" w:rsidRDefault="00B469E0">
            <w:pPr>
              <w:pStyle w:val="Header"/>
            </w:pPr>
            <w:r>
              <w:fldChar w:fldCharType="begin"/>
            </w:r>
            <w:r>
              <w:instrText xml:space="preserve"> PAGE   \* MERGEFORMAT </w:instrText>
            </w:r>
            <w:r>
              <w:fldChar w:fldCharType="separate"/>
            </w:r>
            <w:r>
              <w:t>40</w:t>
            </w:r>
            <w:r>
              <w:rPr>
                <w:noProof/>
              </w:rPr>
              <w:fldChar w:fldCharType="end"/>
            </w:r>
          </w:p>
          <w:p w14:paraId="0A29D2B6" w14:textId="77777777" w:rsidR="00B469E0" w:rsidRDefault="00B469E0">
            <w:pPr>
              <w:pStyle w:val="Header"/>
              <w:rPr>
                <w:noProof/>
              </w:rPr>
            </w:pPr>
            <w:r>
              <w:rPr>
                <w:lang w:val="es-ES"/>
              </w:rPr>
              <w:t>RAG25/30-S</w:t>
            </w:r>
          </w:p>
        </w:sdtContent>
      </w:sdt>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6563536"/>
      <w:docPartObj>
        <w:docPartGallery w:val="Page Numbers (Top of Page)"/>
        <w:docPartUnique/>
      </w:docPartObj>
    </w:sdtPr>
    <w:sdtEndPr>
      <w:rPr>
        <w:noProof/>
      </w:rPr>
    </w:sdtEndPr>
    <w:sdtContent>
      <w:sdt>
        <w:sdtPr>
          <w:id w:val="952059597"/>
          <w:docPartObj>
            <w:docPartGallery w:val="Page Numbers (Top of Page)"/>
            <w:docPartUnique/>
          </w:docPartObj>
        </w:sdtPr>
        <w:sdtEndPr>
          <w:rPr>
            <w:noProof/>
          </w:rPr>
        </w:sdtEndPr>
        <w:sdtContent>
          <w:p w14:paraId="40336371" w14:textId="77777777" w:rsidR="00B469E0" w:rsidRDefault="00B469E0">
            <w:pPr>
              <w:pStyle w:val="Header"/>
            </w:pPr>
            <w:r>
              <w:fldChar w:fldCharType="begin"/>
            </w:r>
            <w:r>
              <w:instrText xml:space="preserve"> PAGE   \* MERGEFORMAT </w:instrText>
            </w:r>
            <w:r>
              <w:fldChar w:fldCharType="separate"/>
            </w:r>
            <w:r>
              <w:t>40</w:t>
            </w:r>
            <w:r>
              <w:rPr>
                <w:noProof/>
              </w:rPr>
              <w:fldChar w:fldCharType="end"/>
            </w:r>
          </w:p>
          <w:p w14:paraId="0E7AC13E" w14:textId="77777777" w:rsidR="00B469E0" w:rsidRPr="00800972" w:rsidRDefault="00B469E0">
            <w:pPr>
              <w:pStyle w:val="Header"/>
              <w:rPr>
                <w:noProof/>
              </w:rPr>
            </w:pPr>
            <w:r>
              <w:rPr>
                <w:lang w:val="es-ES"/>
              </w:rPr>
              <w:t>RAG25/30-S</w:t>
            </w:r>
          </w:p>
        </w:sdtContent>
      </w:sdt>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83612210"/>
      <w:docPartObj>
        <w:docPartGallery w:val="Page Numbers (Top of Page)"/>
        <w:docPartUnique/>
      </w:docPartObj>
    </w:sdtPr>
    <w:sdtEndPr>
      <w:rPr>
        <w:noProof/>
      </w:rPr>
    </w:sdtEndPr>
    <w:sdtContent>
      <w:p w14:paraId="33EFFCEC" w14:textId="77777777" w:rsidR="00B469E0" w:rsidRDefault="00B469E0" w:rsidP="00CA55AF">
        <w:pPr>
          <w:pStyle w:val="Header"/>
        </w:pPr>
        <w:r>
          <w:fldChar w:fldCharType="begin"/>
        </w:r>
        <w:r>
          <w:instrText xml:space="preserve"> PAGE   \* MERGEFORMAT </w:instrText>
        </w:r>
        <w:r>
          <w:fldChar w:fldCharType="separate"/>
        </w:r>
        <w:r>
          <w:t>26</w:t>
        </w:r>
        <w:r>
          <w:rPr>
            <w:noProof/>
          </w:rPr>
          <w:fldChar w:fldCharType="end"/>
        </w:r>
      </w:p>
      <w:p w14:paraId="18C6BEB5" w14:textId="77777777" w:rsidR="00B469E0" w:rsidRDefault="00B469E0" w:rsidP="00CA55AF">
        <w:pPr>
          <w:pStyle w:val="Header"/>
          <w:rPr>
            <w:noProof/>
          </w:rPr>
        </w:pPr>
        <w:r>
          <w:rPr>
            <w:lang w:val="es-ES"/>
          </w:rPr>
          <w:t>RAG25/30-S</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10E5E"/>
    <w:multiLevelType w:val="hybridMultilevel"/>
    <w:tmpl w:val="A53098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8D291F"/>
    <w:multiLevelType w:val="hybridMultilevel"/>
    <w:tmpl w:val="02E0AA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BE4D90"/>
    <w:multiLevelType w:val="hybridMultilevel"/>
    <w:tmpl w:val="09BA97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6702F1"/>
    <w:multiLevelType w:val="hybridMultilevel"/>
    <w:tmpl w:val="F17263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300DF6"/>
    <w:multiLevelType w:val="hybridMultilevel"/>
    <w:tmpl w:val="39A875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895AFB"/>
    <w:multiLevelType w:val="hybridMultilevel"/>
    <w:tmpl w:val="7A1AA9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4274AB"/>
    <w:multiLevelType w:val="hybridMultilevel"/>
    <w:tmpl w:val="40FEB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8C6177"/>
    <w:multiLevelType w:val="hybridMultilevel"/>
    <w:tmpl w:val="E2EE7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6C07400"/>
    <w:multiLevelType w:val="hybridMultilevel"/>
    <w:tmpl w:val="2A9CF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7CC1751"/>
    <w:multiLevelType w:val="hybridMultilevel"/>
    <w:tmpl w:val="9D0699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1BA22B7"/>
    <w:multiLevelType w:val="hybridMultilevel"/>
    <w:tmpl w:val="B0542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1D46C30"/>
    <w:multiLevelType w:val="hybridMultilevel"/>
    <w:tmpl w:val="30569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C394FDE"/>
    <w:multiLevelType w:val="hybridMultilevel"/>
    <w:tmpl w:val="6B10B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CB47903"/>
    <w:multiLevelType w:val="hybridMultilevel"/>
    <w:tmpl w:val="88DA7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CDC027D"/>
    <w:multiLevelType w:val="hybridMultilevel"/>
    <w:tmpl w:val="D7CC5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1A17FED"/>
    <w:multiLevelType w:val="hybridMultilevel"/>
    <w:tmpl w:val="F33277F8"/>
    <w:lvl w:ilvl="0" w:tplc="08090003">
      <w:start w:val="1"/>
      <w:numFmt w:val="bullet"/>
      <w:lvlText w:val="o"/>
      <w:lvlJc w:val="left"/>
      <w:pPr>
        <w:ind w:left="1514" w:hanging="360"/>
      </w:pPr>
      <w:rPr>
        <w:rFonts w:ascii="Courier New" w:hAnsi="Courier New" w:cs="Courier New" w:hint="default"/>
      </w:rPr>
    </w:lvl>
    <w:lvl w:ilvl="1" w:tplc="08090003" w:tentative="1">
      <w:start w:val="1"/>
      <w:numFmt w:val="bullet"/>
      <w:lvlText w:val="o"/>
      <w:lvlJc w:val="left"/>
      <w:pPr>
        <w:ind w:left="2234" w:hanging="360"/>
      </w:pPr>
      <w:rPr>
        <w:rFonts w:ascii="Courier New" w:hAnsi="Courier New" w:cs="Courier New" w:hint="default"/>
      </w:rPr>
    </w:lvl>
    <w:lvl w:ilvl="2" w:tplc="08090005" w:tentative="1">
      <w:start w:val="1"/>
      <w:numFmt w:val="bullet"/>
      <w:lvlText w:val=""/>
      <w:lvlJc w:val="left"/>
      <w:pPr>
        <w:ind w:left="2954" w:hanging="360"/>
      </w:pPr>
      <w:rPr>
        <w:rFonts w:ascii="Wingdings" w:hAnsi="Wingdings" w:hint="default"/>
      </w:rPr>
    </w:lvl>
    <w:lvl w:ilvl="3" w:tplc="08090001" w:tentative="1">
      <w:start w:val="1"/>
      <w:numFmt w:val="bullet"/>
      <w:lvlText w:val=""/>
      <w:lvlJc w:val="left"/>
      <w:pPr>
        <w:ind w:left="3674" w:hanging="360"/>
      </w:pPr>
      <w:rPr>
        <w:rFonts w:ascii="Symbol" w:hAnsi="Symbol" w:hint="default"/>
      </w:rPr>
    </w:lvl>
    <w:lvl w:ilvl="4" w:tplc="08090003" w:tentative="1">
      <w:start w:val="1"/>
      <w:numFmt w:val="bullet"/>
      <w:lvlText w:val="o"/>
      <w:lvlJc w:val="left"/>
      <w:pPr>
        <w:ind w:left="4394" w:hanging="360"/>
      </w:pPr>
      <w:rPr>
        <w:rFonts w:ascii="Courier New" w:hAnsi="Courier New" w:cs="Courier New" w:hint="default"/>
      </w:rPr>
    </w:lvl>
    <w:lvl w:ilvl="5" w:tplc="08090005" w:tentative="1">
      <w:start w:val="1"/>
      <w:numFmt w:val="bullet"/>
      <w:lvlText w:val=""/>
      <w:lvlJc w:val="left"/>
      <w:pPr>
        <w:ind w:left="5114" w:hanging="360"/>
      </w:pPr>
      <w:rPr>
        <w:rFonts w:ascii="Wingdings" w:hAnsi="Wingdings" w:hint="default"/>
      </w:rPr>
    </w:lvl>
    <w:lvl w:ilvl="6" w:tplc="08090001" w:tentative="1">
      <w:start w:val="1"/>
      <w:numFmt w:val="bullet"/>
      <w:lvlText w:val=""/>
      <w:lvlJc w:val="left"/>
      <w:pPr>
        <w:ind w:left="5834" w:hanging="360"/>
      </w:pPr>
      <w:rPr>
        <w:rFonts w:ascii="Symbol" w:hAnsi="Symbol" w:hint="default"/>
      </w:rPr>
    </w:lvl>
    <w:lvl w:ilvl="7" w:tplc="08090003" w:tentative="1">
      <w:start w:val="1"/>
      <w:numFmt w:val="bullet"/>
      <w:lvlText w:val="o"/>
      <w:lvlJc w:val="left"/>
      <w:pPr>
        <w:ind w:left="6554" w:hanging="360"/>
      </w:pPr>
      <w:rPr>
        <w:rFonts w:ascii="Courier New" w:hAnsi="Courier New" w:cs="Courier New" w:hint="default"/>
      </w:rPr>
    </w:lvl>
    <w:lvl w:ilvl="8" w:tplc="08090005" w:tentative="1">
      <w:start w:val="1"/>
      <w:numFmt w:val="bullet"/>
      <w:lvlText w:val=""/>
      <w:lvlJc w:val="left"/>
      <w:pPr>
        <w:ind w:left="7274" w:hanging="360"/>
      </w:pPr>
      <w:rPr>
        <w:rFonts w:ascii="Wingdings" w:hAnsi="Wingdings" w:hint="default"/>
      </w:rPr>
    </w:lvl>
  </w:abstractNum>
  <w:abstractNum w:abstractNumId="16" w15:restartNumberingAfterBreak="0">
    <w:nsid w:val="733C075B"/>
    <w:multiLevelType w:val="hybridMultilevel"/>
    <w:tmpl w:val="1DDE43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12196A"/>
    <w:multiLevelType w:val="hybridMultilevel"/>
    <w:tmpl w:val="8F5082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6BC53C9"/>
    <w:multiLevelType w:val="hybridMultilevel"/>
    <w:tmpl w:val="4FD651F2"/>
    <w:lvl w:ilvl="0" w:tplc="5EFAF3E6">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B25AA4"/>
    <w:multiLevelType w:val="hybridMultilevel"/>
    <w:tmpl w:val="AFD86D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4636721">
    <w:abstractNumId w:val="18"/>
  </w:num>
  <w:num w:numId="2" w16cid:durableId="1070614147">
    <w:abstractNumId w:val="11"/>
  </w:num>
  <w:num w:numId="3" w16cid:durableId="1878201484">
    <w:abstractNumId w:val="16"/>
  </w:num>
  <w:num w:numId="4" w16cid:durableId="1337420306">
    <w:abstractNumId w:val="0"/>
  </w:num>
  <w:num w:numId="5" w16cid:durableId="1350449023">
    <w:abstractNumId w:val="7"/>
  </w:num>
  <w:num w:numId="6" w16cid:durableId="1019307795">
    <w:abstractNumId w:val="2"/>
  </w:num>
  <w:num w:numId="7" w16cid:durableId="1473327767">
    <w:abstractNumId w:val="1"/>
  </w:num>
  <w:num w:numId="8" w16cid:durableId="1669364468">
    <w:abstractNumId w:val="8"/>
  </w:num>
  <w:num w:numId="9" w16cid:durableId="1437674534">
    <w:abstractNumId w:val="14"/>
  </w:num>
  <w:num w:numId="10" w16cid:durableId="689066924">
    <w:abstractNumId w:val="9"/>
  </w:num>
  <w:num w:numId="11" w16cid:durableId="1626423145">
    <w:abstractNumId w:val="10"/>
  </w:num>
  <w:num w:numId="12" w16cid:durableId="1057049939">
    <w:abstractNumId w:val="4"/>
  </w:num>
  <w:num w:numId="13" w16cid:durableId="1095057846">
    <w:abstractNumId w:val="3"/>
  </w:num>
  <w:num w:numId="14" w16cid:durableId="215048851">
    <w:abstractNumId w:val="17"/>
  </w:num>
  <w:num w:numId="15" w16cid:durableId="850949390">
    <w:abstractNumId w:val="13"/>
  </w:num>
  <w:num w:numId="16" w16cid:durableId="330447505">
    <w:abstractNumId w:val="5"/>
  </w:num>
  <w:num w:numId="17" w16cid:durableId="1456406893">
    <w:abstractNumId w:val="12"/>
  </w:num>
  <w:num w:numId="18" w16cid:durableId="538595450">
    <w:abstractNumId w:val="6"/>
  </w:num>
  <w:num w:numId="19" w16cid:durableId="47532446">
    <w:abstractNumId w:val="15"/>
  </w:num>
  <w:num w:numId="20" w16cid:durableId="12326965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9E0"/>
    <w:rsid w:val="000A45B0"/>
    <w:rsid w:val="000C62BA"/>
    <w:rsid w:val="000D756D"/>
    <w:rsid w:val="000E5A44"/>
    <w:rsid w:val="0012592F"/>
    <w:rsid w:val="001515FC"/>
    <w:rsid w:val="001F2F50"/>
    <w:rsid w:val="00304C1F"/>
    <w:rsid w:val="0031432E"/>
    <w:rsid w:val="0034043B"/>
    <w:rsid w:val="00341447"/>
    <w:rsid w:val="003D76FC"/>
    <w:rsid w:val="00414D8B"/>
    <w:rsid w:val="00441E39"/>
    <w:rsid w:val="00482905"/>
    <w:rsid w:val="00494752"/>
    <w:rsid w:val="004D6C09"/>
    <w:rsid w:val="0057336B"/>
    <w:rsid w:val="005A2195"/>
    <w:rsid w:val="005D3E02"/>
    <w:rsid w:val="00610642"/>
    <w:rsid w:val="00616601"/>
    <w:rsid w:val="00646EEF"/>
    <w:rsid w:val="00663829"/>
    <w:rsid w:val="006A42AB"/>
    <w:rsid w:val="006B5313"/>
    <w:rsid w:val="006E291F"/>
    <w:rsid w:val="007A1830"/>
    <w:rsid w:val="008506C9"/>
    <w:rsid w:val="00872095"/>
    <w:rsid w:val="008F0106"/>
    <w:rsid w:val="00924B63"/>
    <w:rsid w:val="00982618"/>
    <w:rsid w:val="009C205E"/>
    <w:rsid w:val="00A0579C"/>
    <w:rsid w:val="00A7663C"/>
    <w:rsid w:val="00AB4BAD"/>
    <w:rsid w:val="00B32E51"/>
    <w:rsid w:val="00B469E0"/>
    <w:rsid w:val="00BA1D79"/>
    <w:rsid w:val="00C837F0"/>
    <w:rsid w:val="00CB7A43"/>
    <w:rsid w:val="00CF4CAC"/>
    <w:rsid w:val="00D30D1B"/>
    <w:rsid w:val="00D51E1E"/>
    <w:rsid w:val="00DE77E6"/>
    <w:rsid w:val="00E72EA7"/>
    <w:rsid w:val="00E915FF"/>
    <w:rsid w:val="00EA4101"/>
    <w:rsid w:val="00F1537E"/>
    <w:rsid w:val="00F23715"/>
    <w:rsid w:val="00F73E50"/>
    <w:rsid w:val="00F77D5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7A2C87"/>
  <w15:docId w15:val="{FD5DE01B-9F13-42EC-8AA6-F703D4833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6C09"/>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link w:val="Heading1Char"/>
    <w:qFormat/>
    <w:rsid w:val="004D6C09"/>
    <w:pPr>
      <w:keepNext/>
      <w:keepLines/>
      <w:spacing w:before="360"/>
      <w:ind w:left="794" w:hanging="794"/>
      <w:outlineLvl w:val="0"/>
    </w:pPr>
    <w:rPr>
      <w:b/>
    </w:rPr>
  </w:style>
  <w:style w:type="paragraph" w:styleId="Heading2">
    <w:name w:val="heading 2"/>
    <w:basedOn w:val="Heading1"/>
    <w:next w:val="Normal"/>
    <w:link w:val="Heading2Char"/>
    <w:qFormat/>
    <w:rsid w:val="004D6C09"/>
    <w:pPr>
      <w:spacing w:before="240"/>
      <w:outlineLvl w:val="1"/>
    </w:pPr>
  </w:style>
  <w:style w:type="paragraph" w:styleId="Heading3">
    <w:name w:val="heading 3"/>
    <w:basedOn w:val="Heading1"/>
    <w:next w:val="Normal"/>
    <w:link w:val="Heading3Char"/>
    <w:qFormat/>
    <w:rsid w:val="004D6C09"/>
    <w:pPr>
      <w:spacing w:before="160"/>
      <w:outlineLvl w:val="2"/>
    </w:pPr>
  </w:style>
  <w:style w:type="paragraph" w:styleId="Heading4">
    <w:name w:val="heading 4"/>
    <w:basedOn w:val="Heading3"/>
    <w:next w:val="Normal"/>
    <w:link w:val="Heading4Char"/>
    <w:qFormat/>
    <w:rsid w:val="004D6C09"/>
    <w:pPr>
      <w:tabs>
        <w:tab w:val="clear" w:pos="794"/>
        <w:tab w:val="left" w:pos="1021"/>
      </w:tabs>
      <w:ind w:left="1021" w:hanging="1021"/>
      <w:outlineLvl w:val="3"/>
    </w:pPr>
  </w:style>
  <w:style w:type="paragraph" w:styleId="Heading5">
    <w:name w:val="heading 5"/>
    <w:basedOn w:val="Heading4"/>
    <w:next w:val="Normal"/>
    <w:link w:val="Heading5Char"/>
    <w:qFormat/>
    <w:rsid w:val="004D6C09"/>
    <w:pPr>
      <w:outlineLvl w:val="4"/>
    </w:pPr>
  </w:style>
  <w:style w:type="paragraph" w:styleId="Heading6">
    <w:name w:val="heading 6"/>
    <w:basedOn w:val="Heading4"/>
    <w:next w:val="Normal"/>
    <w:link w:val="Heading6Char"/>
    <w:qFormat/>
    <w:rsid w:val="004D6C09"/>
    <w:pPr>
      <w:tabs>
        <w:tab w:val="clear" w:pos="1021"/>
        <w:tab w:val="clear" w:pos="1191"/>
      </w:tabs>
      <w:ind w:left="1588" w:hanging="1588"/>
      <w:outlineLvl w:val="5"/>
    </w:pPr>
  </w:style>
  <w:style w:type="paragraph" w:styleId="Heading7">
    <w:name w:val="heading 7"/>
    <w:basedOn w:val="Heading6"/>
    <w:next w:val="Normal"/>
    <w:link w:val="Heading7Char"/>
    <w:qFormat/>
    <w:rsid w:val="004D6C09"/>
    <w:pPr>
      <w:outlineLvl w:val="6"/>
    </w:pPr>
  </w:style>
  <w:style w:type="paragraph" w:styleId="Heading8">
    <w:name w:val="heading 8"/>
    <w:basedOn w:val="Heading6"/>
    <w:next w:val="Normal"/>
    <w:link w:val="Heading8Char"/>
    <w:qFormat/>
    <w:rsid w:val="004D6C09"/>
    <w:pPr>
      <w:outlineLvl w:val="7"/>
    </w:pPr>
  </w:style>
  <w:style w:type="paragraph" w:styleId="Heading9">
    <w:name w:val="heading 9"/>
    <w:basedOn w:val="Heading6"/>
    <w:next w:val="Normal"/>
    <w:link w:val="Heading9Char"/>
    <w:qFormat/>
    <w:rsid w:val="004D6C0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4D6C09"/>
    <w:pPr>
      <w:keepLines/>
      <w:spacing w:before="240" w:after="120"/>
      <w:jc w:val="center"/>
    </w:pPr>
    <w:rPr>
      <w:b/>
    </w:rPr>
  </w:style>
  <w:style w:type="paragraph" w:customStyle="1" w:styleId="Normalaftertitle">
    <w:name w:val="Normal_after_title"/>
    <w:basedOn w:val="Normal"/>
    <w:next w:val="Normal"/>
    <w:rsid w:val="004D6C09"/>
    <w:pPr>
      <w:spacing w:before="360"/>
    </w:pPr>
  </w:style>
  <w:style w:type="paragraph" w:customStyle="1" w:styleId="TabletitleBR">
    <w:name w:val="Table_title_BR"/>
    <w:basedOn w:val="Normal"/>
    <w:next w:val="Tablehead"/>
    <w:rsid w:val="004D6C09"/>
    <w:pPr>
      <w:keepNext/>
      <w:keepLines/>
      <w:spacing w:before="0" w:after="120"/>
      <w:jc w:val="center"/>
    </w:pPr>
    <w:rPr>
      <w:b/>
    </w:rPr>
  </w:style>
  <w:style w:type="paragraph" w:customStyle="1" w:styleId="Tablehead">
    <w:name w:val="Table_head"/>
    <w:basedOn w:val="Normal"/>
    <w:next w:val="Tabletext"/>
    <w:link w:val="TableheadChar"/>
    <w:uiPriority w:val="99"/>
    <w:rsid w:val="004D6C09"/>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qFormat/>
    <w:rsid w:val="004D6C09"/>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4D6C09"/>
    <w:pPr>
      <w:keepNext/>
      <w:keepLines/>
      <w:spacing w:before="480"/>
      <w:jc w:val="center"/>
    </w:pPr>
    <w:rPr>
      <w:b/>
      <w:sz w:val="28"/>
    </w:rPr>
  </w:style>
  <w:style w:type="paragraph" w:customStyle="1" w:styleId="AppendixNotitle">
    <w:name w:val="Appendix_No &amp; title"/>
    <w:basedOn w:val="AnnexNotitle"/>
    <w:next w:val="Normalaftertitle"/>
    <w:rsid w:val="004D6C09"/>
  </w:style>
  <w:style w:type="paragraph" w:customStyle="1" w:styleId="Figure">
    <w:name w:val="Figure"/>
    <w:basedOn w:val="Normal"/>
    <w:next w:val="FigureNotitle"/>
    <w:rsid w:val="004D6C09"/>
    <w:pPr>
      <w:keepNext/>
      <w:keepLines/>
      <w:spacing w:before="240" w:after="120"/>
      <w:jc w:val="center"/>
    </w:pPr>
  </w:style>
  <w:style w:type="paragraph" w:customStyle="1" w:styleId="Artheading">
    <w:name w:val="Art_heading"/>
    <w:basedOn w:val="Normal"/>
    <w:next w:val="Normalaftertitle"/>
    <w:rsid w:val="004D6C09"/>
    <w:pPr>
      <w:spacing w:before="480"/>
      <w:jc w:val="center"/>
    </w:pPr>
    <w:rPr>
      <w:b/>
      <w:sz w:val="28"/>
    </w:rPr>
  </w:style>
  <w:style w:type="paragraph" w:customStyle="1" w:styleId="ArtNo">
    <w:name w:val="Art_No"/>
    <w:basedOn w:val="Normal"/>
    <w:next w:val="Arttitle"/>
    <w:rsid w:val="004D6C09"/>
    <w:pPr>
      <w:keepNext/>
      <w:keepLines/>
      <w:spacing w:before="480"/>
      <w:jc w:val="center"/>
    </w:pPr>
    <w:rPr>
      <w:caps/>
      <w:sz w:val="28"/>
    </w:rPr>
  </w:style>
  <w:style w:type="paragraph" w:customStyle="1" w:styleId="Arttitle">
    <w:name w:val="Art_title"/>
    <w:basedOn w:val="Normal"/>
    <w:next w:val="Normalaftertitle"/>
    <w:rsid w:val="004D6C09"/>
    <w:pPr>
      <w:keepNext/>
      <w:keepLines/>
      <w:spacing w:before="240"/>
      <w:jc w:val="center"/>
    </w:pPr>
    <w:rPr>
      <w:b/>
      <w:sz w:val="28"/>
    </w:rPr>
  </w:style>
  <w:style w:type="paragraph" w:customStyle="1" w:styleId="Call">
    <w:name w:val="Call"/>
    <w:basedOn w:val="Normal"/>
    <w:next w:val="Normal"/>
    <w:link w:val="CallChar"/>
    <w:rsid w:val="004D6C09"/>
    <w:pPr>
      <w:keepNext/>
      <w:keepLines/>
      <w:spacing w:before="160"/>
      <w:ind w:left="794"/>
    </w:pPr>
    <w:rPr>
      <w:i/>
    </w:rPr>
  </w:style>
  <w:style w:type="paragraph" w:customStyle="1" w:styleId="ChapNo">
    <w:name w:val="Chap_No"/>
    <w:basedOn w:val="Normal"/>
    <w:next w:val="Chaptitle"/>
    <w:rsid w:val="004D6C09"/>
    <w:pPr>
      <w:keepNext/>
      <w:keepLines/>
      <w:spacing w:before="480"/>
      <w:jc w:val="center"/>
    </w:pPr>
    <w:rPr>
      <w:b/>
      <w:caps/>
      <w:sz w:val="28"/>
    </w:rPr>
  </w:style>
  <w:style w:type="paragraph" w:customStyle="1" w:styleId="Chaptitle">
    <w:name w:val="Chap_title"/>
    <w:basedOn w:val="Normal"/>
    <w:next w:val="Normalaftertitle"/>
    <w:rsid w:val="004D6C09"/>
    <w:pPr>
      <w:keepNext/>
      <w:keepLines/>
      <w:spacing w:before="240"/>
      <w:jc w:val="center"/>
    </w:pPr>
    <w:rPr>
      <w:b/>
      <w:sz w:val="28"/>
    </w:rPr>
  </w:style>
  <w:style w:type="character" w:styleId="EndnoteReference">
    <w:name w:val="endnote reference"/>
    <w:basedOn w:val="DefaultParagraphFont"/>
    <w:uiPriority w:val="99"/>
    <w:rsid w:val="004D6C09"/>
    <w:rPr>
      <w:vertAlign w:val="superscript"/>
    </w:rPr>
  </w:style>
  <w:style w:type="paragraph" w:customStyle="1" w:styleId="enumlev1">
    <w:name w:val="enumlev1"/>
    <w:basedOn w:val="Normal"/>
    <w:link w:val="enumlev1Char"/>
    <w:uiPriority w:val="99"/>
    <w:qFormat/>
    <w:rsid w:val="004D6C09"/>
    <w:pPr>
      <w:spacing w:before="80"/>
      <w:ind w:left="794" w:hanging="794"/>
    </w:pPr>
  </w:style>
  <w:style w:type="paragraph" w:customStyle="1" w:styleId="enumlev2">
    <w:name w:val="enumlev2"/>
    <w:basedOn w:val="enumlev1"/>
    <w:uiPriority w:val="99"/>
    <w:rsid w:val="004D6C09"/>
    <w:pPr>
      <w:ind w:left="1191" w:hanging="397"/>
    </w:pPr>
  </w:style>
  <w:style w:type="paragraph" w:customStyle="1" w:styleId="enumlev3">
    <w:name w:val="enumlev3"/>
    <w:basedOn w:val="enumlev2"/>
    <w:rsid w:val="004D6C09"/>
    <w:pPr>
      <w:ind w:left="1588"/>
    </w:pPr>
  </w:style>
  <w:style w:type="paragraph" w:customStyle="1" w:styleId="Equation">
    <w:name w:val="Equation"/>
    <w:basedOn w:val="Normal"/>
    <w:rsid w:val="004D6C09"/>
    <w:pPr>
      <w:tabs>
        <w:tab w:val="clear" w:pos="1191"/>
        <w:tab w:val="clear" w:pos="1588"/>
        <w:tab w:val="clear" w:pos="1985"/>
        <w:tab w:val="center" w:pos="4820"/>
        <w:tab w:val="right" w:pos="9639"/>
      </w:tabs>
    </w:pPr>
  </w:style>
  <w:style w:type="paragraph" w:customStyle="1" w:styleId="Equationlegend">
    <w:name w:val="Equation_legend"/>
    <w:basedOn w:val="Normal"/>
    <w:rsid w:val="004D6C09"/>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4D6C09"/>
    <w:pPr>
      <w:keepNext/>
      <w:keepLines/>
      <w:tabs>
        <w:tab w:val="clear" w:pos="794"/>
        <w:tab w:val="clear" w:pos="1191"/>
        <w:tab w:val="clear" w:pos="1588"/>
        <w:tab w:val="clear" w:pos="1985"/>
      </w:tabs>
      <w:spacing w:before="20" w:after="20"/>
    </w:pPr>
    <w:rPr>
      <w:sz w:val="18"/>
    </w:rPr>
  </w:style>
  <w:style w:type="paragraph" w:customStyle="1" w:styleId="RecNoBR">
    <w:name w:val="Rec_No_BR"/>
    <w:basedOn w:val="Normal"/>
    <w:next w:val="Rectitle"/>
    <w:rsid w:val="004D6C09"/>
    <w:pPr>
      <w:keepNext/>
      <w:keepLines/>
      <w:spacing w:before="480"/>
      <w:jc w:val="center"/>
    </w:pPr>
    <w:rPr>
      <w:caps/>
      <w:sz w:val="28"/>
    </w:rPr>
  </w:style>
  <w:style w:type="paragraph" w:customStyle="1" w:styleId="Rectitle">
    <w:name w:val="Rec_title"/>
    <w:basedOn w:val="Normal"/>
    <w:next w:val="Normalaftertitle"/>
    <w:rsid w:val="004D6C09"/>
    <w:pPr>
      <w:keepNext/>
      <w:keepLines/>
      <w:spacing w:before="360"/>
      <w:jc w:val="center"/>
    </w:pPr>
    <w:rPr>
      <w:b/>
      <w:sz w:val="28"/>
    </w:rPr>
  </w:style>
  <w:style w:type="paragraph" w:customStyle="1" w:styleId="QuestionNoBR">
    <w:name w:val="Question_No_BR"/>
    <w:basedOn w:val="RecNoBR"/>
    <w:next w:val="Questiontitle"/>
    <w:rsid w:val="004D6C09"/>
  </w:style>
  <w:style w:type="paragraph" w:customStyle="1" w:styleId="Questiontitle">
    <w:name w:val="Question_title"/>
    <w:basedOn w:val="Rectitle"/>
    <w:next w:val="Questionref"/>
    <w:rsid w:val="004D6C09"/>
  </w:style>
  <w:style w:type="paragraph" w:customStyle="1" w:styleId="Questionref">
    <w:name w:val="Question_ref"/>
    <w:basedOn w:val="Recref"/>
    <w:next w:val="Questiondate"/>
    <w:rsid w:val="004D6C09"/>
  </w:style>
  <w:style w:type="paragraph" w:customStyle="1" w:styleId="Recref">
    <w:name w:val="Rec_ref"/>
    <w:basedOn w:val="Normal"/>
    <w:next w:val="Recdate"/>
    <w:rsid w:val="004D6C09"/>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4D6C09"/>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4D6C09"/>
  </w:style>
  <w:style w:type="paragraph" w:customStyle="1" w:styleId="RepNoBR">
    <w:name w:val="Rep_No_BR"/>
    <w:basedOn w:val="RecNoBR"/>
    <w:next w:val="Reptitle"/>
    <w:rsid w:val="004D6C09"/>
  </w:style>
  <w:style w:type="paragraph" w:customStyle="1" w:styleId="Reptitle">
    <w:name w:val="Rep_title"/>
    <w:basedOn w:val="Rectitle"/>
    <w:next w:val="Repref"/>
    <w:rsid w:val="004D6C09"/>
  </w:style>
  <w:style w:type="paragraph" w:customStyle="1" w:styleId="Repref">
    <w:name w:val="Rep_ref"/>
    <w:basedOn w:val="Recref"/>
    <w:next w:val="Repdate"/>
    <w:rsid w:val="004D6C09"/>
  </w:style>
  <w:style w:type="paragraph" w:customStyle="1" w:styleId="Repdate">
    <w:name w:val="Rep_date"/>
    <w:basedOn w:val="Recdate"/>
    <w:next w:val="Normalaftertitle"/>
    <w:rsid w:val="004D6C09"/>
  </w:style>
  <w:style w:type="paragraph" w:customStyle="1" w:styleId="ResNoBR">
    <w:name w:val="Res_No_BR"/>
    <w:basedOn w:val="RecNoBR"/>
    <w:next w:val="Restitle"/>
    <w:rsid w:val="004D6C09"/>
  </w:style>
  <w:style w:type="paragraph" w:customStyle="1" w:styleId="Restitle">
    <w:name w:val="Res_title"/>
    <w:basedOn w:val="Rectitle"/>
    <w:next w:val="Resref"/>
    <w:link w:val="RestitleChar"/>
    <w:rsid w:val="004D6C09"/>
  </w:style>
  <w:style w:type="paragraph" w:customStyle="1" w:styleId="Resref">
    <w:name w:val="Res_ref"/>
    <w:basedOn w:val="Recref"/>
    <w:next w:val="Resdate"/>
    <w:rsid w:val="004D6C09"/>
  </w:style>
  <w:style w:type="paragraph" w:customStyle="1" w:styleId="Resdate">
    <w:name w:val="Res_date"/>
    <w:basedOn w:val="Recdate"/>
    <w:next w:val="Normalaftertitle"/>
    <w:rsid w:val="004D6C09"/>
  </w:style>
  <w:style w:type="paragraph" w:customStyle="1" w:styleId="Figurewithouttitle">
    <w:name w:val="Figure_without_title"/>
    <w:basedOn w:val="Normal"/>
    <w:next w:val="Normalaftertitle"/>
    <w:rsid w:val="004D6C09"/>
    <w:pPr>
      <w:keepLines/>
      <w:spacing w:before="240" w:after="120"/>
      <w:jc w:val="center"/>
    </w:pPr>
  </w:style>
  <w:style w:type="paragraph" w:styleId="Footer">
    <w:name w:val="footer"/>
    <w:basedOn w:val="Normal"/>
    <w:link w:val="FooterChar"/>
    <w:rsid w:val="004D6C09"/>
    <w:pPr>
      <w:tabs>
        <w:tab w:val="clear" w:pos="794"/>
        <w:tab w:val="clear" w:pos="1191"/>
        <w:tab w:val="clear" w:pos="1588"/>
        <w:tab w:val="clear" w:pos="1985"/>
        <w:tab w:val="left" w:pos="5954"/>
        <w:tab w:val="right" w:pos="9639"/>
      </w:tabs>
      <w:spacing w:before="0"/>
    </w:pPr>
    <w:rPr>
      <w:caps/>
      <w:noProof/>
      <w:sz w:val="16"/>
    </w:rPr>
  </w:style>
  <w:style w:type="character" w:styleId="FootnoteReference">
    <w:name w:val="footnote reference"/>
    <w:aliases w:val="Appel note de bas de p,Footnote Reference/,Footnote,Style 12,(NECG) Footnote Reference,FR,Style 13,Style 124,o,fr,Style 3,Footnote symbol,Voetnootverwijzing,Times 10 Point,Exposant 3 Point,footnote ref,Fuكnotenzeichen diss neu"/>
    <w:basedOn w:val="DefaultParagraphFont"/>
    <w:uiPriority w:val="99"/>
    <w:rsid w:val="004D6C09"/>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Char,fn"/>
    <w:basedOn w:val="Note"/>
    <w:link w:val="FootnoteTextChar"/>
    <w:uiPriority w:val="99"/>
    <w:rsid w:val="004D6C09"/>
    <w:pPr>
      <w:keepLines/>
      <w:tabs>
        <w:tab w:val="left" w:pos="255"/>
      </w:tabs>
      <w:ind w:left="255" w:hanging="255"/>
    </w:pPr>
  </w:style>
  <w:style w:type="paragraph" w:customStyle="1" w:styleId="Note">
    <w:name w:val="Note"/>
    <w:basedOn w:val="Normal"/>
    <w:rsid w:val="004D6C09"/>
    <w:pPr>
      <w:spacing w:before="80"/>
    </w:pPr>
  </w:style>
  <w:style w:type="paragraph" w:styleId="Header">
    <w:name w:val="header"/>
    <w:aliases w:val="encabezado,he"/>
    <w:basedOn w:val="Normal"/>
    <w:link w:val="HeaderChar"/>
    <w:uiPriority w:val="99"/>
    <w:rsid w:val="004D6C09"/>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link w:val="HeadingbChar"/>
    <w:qFormat/>
    <w:rsid w:val="004D6C09"/>
    <w:pPr>
      <w:keepNext/>
      <w:spacing w:before="160"/>
    </w:pPr>
    <w:rPr>
      <w:b/>
    </w:rPr>
  </w:style>
  <w:style w:type="paragraph" w:customStyle="1" w:styleId="Headingi">
    <w:name w:val="Heading_i"/>
    <w:basedOn w:val="Normal"/>
    <w:next w:val="Normal"/>
    <w:rsid w:val="004D6C09"/>
    <w:pPr>
      <w:keepNext/>
      <w:spacing w:before="160"/>
    </w:pPr>
    <w:rPr>
      <w:i/>
    </w:rPr>
  </w:style>
  <w:style w:type="paragraph" w:styleId="Index1">
    <w:name w:val="index 1"/>
    <w:basedOn w:val="Normal"/>
    <w:next w:val="Normal"/>
    <w:rsid w:val="004D6C09"/>
  </w:style>
  <w:style w:type="paragraph" w:styleId="Index2">
    <w:name w:val="index 2"/>
    <w:basedOn w:val="Normal"/>
    <w:next w:val="Normal"/>
    <w:rsid w:val="004D6C09"/>
    <w:pPr>
      <w:ind w:left="283"/>
    </w:pPr>
  </w:style>
  <w:style w:type="paragraph" w:styleId="Index3">
    <w:name w:val="index 3"/>
    <w:basedOn w:val="Normal"/>
    <w:next w:val="Normal"/>
    <w:rsid w:val="004D6C09"/>
    <w:pPr>
      <w:ind w:left="566"/>
    </w:pPr>
  </w:style>
  <w:style w:type="paragraph" w:customStyle="1" w:styleId="Section1">
    <w:name w:val="Section_1"/>
    <w:basedOn w:val="Normal"/>
    <w:next w:val="Normal"/>
    <w:rsid w:val="004D6C09"/>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4D6C09"/>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4D6C09"/>
    <w:pPr>
      <w:keepNext/>
      <w:keepLines/>
      <w:spacing w:before="360" w:after="120"/>
      <w:jc w:val="center"/>
    </w:pPr>
    <w:rPr>
      <w:b/>
    </w:rPr>
  </w:style>
  <w:style w:type="paragraph" w:customStyle="1" w:styleId="TableNoBR">
    <w:name w:val="Table_No_BR"/>
    <w:basedOn w:val="Normal"/>
    <w:next w:val="TabletitleBR"/>
    <w:rsid w:val="004D6C09"/>
    <w:pPr>
      <w:keepNext/>
      <w:spacing w:before="560" w:after="120"/>
      <w:jc w:val="center"/>
    </w:pPr>
    <w:rPr>
      <w:caps/>
    </w:rPr>
  </w:style>
  <w:style w:type="paragraph" w:customStyle="1" w:styleId="FirstFooter">
    <w:name w:val="FirstFooter"/>
    <w:basedOn w:val="Footer"/>
    <w:rsid w:val="004D6C09"/>
    <w:pPr>
      <w:tabs>
        <w:tab w:val="clear" w:pos="5954"/>
        <w:tab w:val="clear" w:pos="9639"/>
      </w:tabs>
      <w:overflowPunct/>
      <w:autoSpaceDE/>
      <w:autoSpaceDN/>
      <w:adjustRightInd/>
      <w:spacing w:before="40"/>
      <w:textAlignment w:val="auto"/>
    </w:pPr>
    <w:rPr>
      <w:caps w:val="0"/>
      <w:noProof w:val="0"/>
    </w:rPr>
  </w:style>
  <w:style w:type="paragraph" w:customStyle="1" w:styleId="PartNo">
    <w:name w:val="Part_No"/>
    <w:basedOn w:val="Normal"/>
    <w:next w:val="Partref"/>
    <w:rsid w:val="004D6C09"/>
    <w:pPr>
      <w:keepNext/>
      <w:keepLines/>
      <w:spacing w:before="480" w:after="80"/>
      <w:jc w:val="center"/>
    </w:pPr>
    <w:rPr>
      <w:caps/>
      <w:sz w:val="28"/>
    </w:rPr>
  </w:style>
  <w:style w:type="paragraph" w:customStyle="1" w:styleId="Partref">
    <w:name w:val="Part_ref"/>
    <w:basedOn w:val="Normal"/>
    <w:next w:val="Parttitle"/>
    <w:rsid w:val="004D6C09"/>
    <w:pPr>
      <w:keepNext/>
      <w:keepLines/>
      <w:spacing w:before="280"/>
      <w:jc w:val="center"/>
    </w:pPr>
  </w:style>
  <w:style w:type="paragraph" w:customStyle="1" w:styleId="Parttitle">
    <w:name w:val="Part_title"/>
    <w:basedOn w:val="Normal"/>
    <w:next w:val="Normalaftertitle"/>
    <w:rsid w:val="004D6C09"/>
    <w:pPr>
      <w:keepNext/>
      <w:keepLines/>
      <w:spacing w:before="240" w:after="280"/>
      <w:jc w:val="center"/>
    </w:pPr>
    <w:rPr>
      <w:b/>
      <w:sz w:val="28"/>
    </w:rPr>
  </w:style>
  <w:style w:type="paragraph" w:customStyle="1" w:styleId="RecNo">
    <w:name w:val="Rec_No"/>
    <w:basedOn w:val="Normal"/>
    <w:next w:val="Rectitle"/>
    <w:rsid w:val="004D6C09"/>
    <w:pPr>
      <w:keepNext/>
      <w:keepLines/>
      <w:spacing w:before="0"/>
    </w:pPr>
    <w:rPr>
      <w:b/>
      <w:sz w:val="28"/>
    </w:rPr>
  </w:style>
  <w:style w:type="paragraph" w:customStyle="1" w:styleId="QuestionNo">
    <w:name w:val="Question_No"/>
    <w:basedOn w:val="RecNo"/>
    <w:next w:val="Questiontitle"/>
    <w:rsid w:val="004D6C09"/>
  </w:style>
  <w:style w:type="paragraph" w:customStyle="1" w:styleId="Reftext">
    <w:name w:val="Ref_text"/>
    <w:basedOn w:val="Normal"/>
    <w:rsid w:val="004D6C09"/>
    <w:pPr>
      <w:ind w:left="794" w:hanging="794"/>
    </w:pPr>
  </w:style>
  <w:style w:type="paragraph" w:customStyle="1" w:styleId="Reftitle">
    <w:name w:val="Ref_title"/>
    <w:basedOn w:val="Normal"/>
    <w:next w:val="Reftext"/>
    <w:rsid w:val="004D6C09"/>
    <w:pPr>
      <w:spacing w:before="480"/>
      <w:jc w:val="center"/>
    </w:pPr>
    <w:rPr>
      <w:b/>
    </w:rPr>
  </w:style>
  <w:style w:type="paragraph" w:customStyle="1" w:styleId="RepNo">
    <w:name w:val="Rep_No"/>
    <w:basedOn w:val="RecNo"/>
    <w:next w:val="Reptitle"/>
    <w:rsid w:val="004D6C09"/>
  </w:style>
  <w:style w:type="paragraph" w:customStyle="1" w:styleId="ResNo">
    <w:name w:val="Res_No"/>
    <w:basedOn w:val="RecNo"/>
    <w:next w:val="Restitle"/>
    <w:rsid w:val="004D6C09"/>
  </w:style>
  <w:style w:type="paragraph" w:customStyle="1" w:styleId="SectionNo">
    <w:name w:val="Section_No"/>
    <w:basedOn w:val="Normal"/>
    <w:next w:val="Sectiontitle"/>
    <w:rsid w:val="004D6C09"/>
    <w:pPr>
      <w:keepNext/>
      <w:keepLines/>
      <w:spacing w:before="480" w:after="80"/>
      <w:jc w:val="center"/>
    </w:pPr>
    <w:rPr>
      <w:caps/>
      <w:sz w:val="28"/>
    </w:rPr>
  </w:style>
  <w:style w:type="paragraph" w:customStyle="1" w:styleId="Sectiontitle">
    <w:name w:val="Section_title"/>
    <w:basedOn w:val="Normal"/>
    <w:next w:val="Normalaftertitle"/>
    <w:rsid w:val="004D6C09"/>
    <w:pPr>
      <w:keepNext/>
      <w:keepLines/>
      <w:spacing w:before="480" w:after="280"/>
      <w:jc w:val="center"/>
    </w:pPr>
    <w:rPr>
      <w:b/>
      <w:sz w:val="28"/>
    </w:rPr>
  </w:style>
  <w:style w:type="paragraph" w:customStyle="1" w:styleId="Source">
    <w:name w:val="Source"/>
    <w:basedOn w:val="Normal"/>
    <w:next w:val="Normalaftertitle"/>
    <w:link w:val="SourceChar"/>
    <w:qFormat/>
    <w:rsid w:val="004D6C09"/>
    <w:pPr>
      <w:spacing w:before="840" w:after="200"/>
      <w:jc w:val="center"/>
    </w:pPr>
    <w:rPr>
      <w:b/>
      <w:sz w:val="28"/>
    </w:rPr>
  </w:style>
  <w:style w:type="paragraph" w:customStyle="1" w:styleId="SpecialFooter">
    <w:name w:val="Special Footer"/>
    <w:basedOn w:val="Footer"/>
    <w:rsid w:val="004D6C09"/>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4D6C09"/>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4D6C09"/>
    <w:pPr>
      <w:keepNext/>
      <w:spacing w:before="0" w:after="120"/>
      <w:jc w:val="center"/>
    </w:pPr>
  </w:style>
  <w:style w:type="paragraph" w:customStyle="1" w:styleId="Title1">
    <w:name w:val="Title 1"/>
    <w:basedOn w:val="Source"/>
    <w:next w:val="Title2"/>
    <w:link w:val="Title1Char"/>
    <w:qFormat/>
    <w:rsid w:val="004D6C09"/>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4D6C09"/>
  </w:style>
  <w:style w:type="paragraph" w:customStyle="1" w:styleId="Title3">
    <w:name w:val="Title 3"/>
    <w:basedOn w:val="Title2"/>
    <w:next w:val="Title4"/>
    <w:rsid w:val="004D6C09"/>
    <w:rPr>
      <w:caps w:val="0"/>
    </w:rPr>
  </w:style>
  <w:style w:type="paragraph" w:customStyle="1" w:styleId="Title4">
    <w:name w:val="Title 4"/>
    <w:basedOn w:val="Title3"/>
    <w:next w:val="Heading1"/>
    <w:rsid w:val="004D6C09"/>
    <w:rPr>
      <w:b/>
    </w:rPr>
  </w:style>
  <w:style w:type="paragraph" w:customStyle="1" w:styleId="toc0">
    <w:name w:val="toc 0"/>
    <w:basedOn w:val="Normal"/>
    <w:next w:val="TOC1"/>
    <w:rsid w:val="004D6C09"/>
    <w:pPr>
      <w:tabs>
        <w:tab w:val="clear" w:pos="794"/>
        <w:tab w:val="clear" w:pos="1191"/>
        <w:tab w:val="clear" w:pos="1588"/>
        <w:tab w:val="clear" w:pos="1985"/>
        <w:tab w:val="right" w:pos="9639"/>
      </w:tabs>
    </w:pPr>
    <w:rPr>
      <w:b/>
    </w:rPr>
  </w:style>
  <w:style w:type="paragraph" w:styleId="TOC1">
    <w:name w:val="toc 1"/>
    <w:basedOn w:val="Normal"/>
    <w:uiPriority w:val="39"/>
    <w:rsid w:val="004D6C09"/>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4D6C09"/>
    <w:pPr>
      <w:spacing w:before="80"/>
      <w:ind w:left="1531" w:hanging="851"/>
    </w:pPr>
  </w:style>
  <w:style w:type="paragraph" w:styleId="TOC3">
    <w:name w:val="toc 3"/>
    <w:basedOn w:val="TOC2"/>
    <w:uiPriority w:val="39"/>
    <w:rsid w:val="004D6C09"/>
  </w:style>
  <w:style w:type="paragraph" w:styleId="TOC4">
    <w:name w:val="toc 4"/>
    <w:basedOn w:val="TOC3"/>
    <w:rsid w:val="004D6C09"/>
  </w:style>
  <w:style w:type="paragraph" w:styleId="TOC5">
    <w:name w:val="toc 5"/>
    <w:basedOn w:val="TOC4"/>
    <w:rsid w:val="004D6C09"/>
  </w:style>
  <w:style w:type="paragraph" w:styleId="TOC6">
    <w:name w:val="toc 6"/>
    <w:basedOn w:val="TOC4"/>
    <w:rsid w:val="004D6C09"/>
  </w:style>
  <w:style w:type="paragraph" w:styleId="TOC7">
    <w:name w:val="toc 7"/>
    <w:basedOn w:val="TOC4"/>
    <w:rsid w:val="004D6C09"/>
  </w:style>
  <w:style w:type="paragraph" w:styleId="TOC8">
    <w:name w:val="toc 8"/>
    <w:basedOn w:val="TOC4"/>
    <w:rsid w:val="004D6C09"/>
  </w:style>
  <w:style w:type="character" w:styleId="PageNumber">
    <w:name w:val="page number"/>
    <w:basedOn w:val="DefaultParagraphFont"/>
    <w:uiPriority w:val="99"/>
    <w:rsid w:val="004D6C09"/>
  </w:style>
  <w:style w:type="character" w:customStyle="1" w:styleId="Appdef">
    <w:name w:val="App_def"/>
    <w:basedOn w:val="DefaultParagraphFont"/>
    <w:rsid w:val="004D6C09"/>
    <w:rPr>
      <w:rFonts w:ascii="Times New Roman" w:hAnsi="Times New Roman"/>
      <w:b/>
    </w:rPr>
  </w:style>
  <w:style w:type="character" w:customStyle="1" w:styleId="Appref">
    <w:name w:val="App_ref"/>
    <w:basedOn w:val="DefaultParagraphFont"/>
    <w:rsid w:val="004D6C09"/>
  </w:style>
  <w:style w:type="character" w:customStyle="1" w:styleId="Artdef">
    <w:name w:val="Art_def"/>
    <w:basedOn w:val="DefaultParagraphFont"/>
    <w:rsid w:val="004D6C09"/>
    <w:rPr>
      <w:rFonts w:ascii="Times New Roman" w:hAnsi="Times New Roman"/>
      <w:b/>
    </w:rPr>
  </w:style>
  <w:style w:type="character" w:customStyle="1" w:styleId="Artref">
    <w:name w:val="Art_ref"/>
    <w:basedOn w:val="DefaultParagraphFont"/>
    <w:rsid w:val="004D6C09"/>
  </w:style>
  <w:style w:type="character" w:customStyle="1" w:styleId="Recdef">
    <w:name w:val="Rec_def"/>
    <w:basedOn w:val="DefaultParagraphFont"/>
    <w:rsid w:val="004D6C09"/>
    <w:rPr>
      <w:b/>
    </w:rPr>
  </w:style>
  <w:style w:type="character" w:customStyle="1" w:styleId="Resdef">
    <w:name w:val="Res_def"/>
    <w:basedOn w:val="DefaultParagraphFont"/>
    <w:rsid w:val="004D6C09"/>
    <w:rPr>
      <w:rFonts w:ascii="Times New Roman" w:hAnsi="Times New Roman"/>
      <w:b/>
    </w:rPr>
  </w:style>
  <w:style w:type="character" w:customStyle="1" w:styleId="Tablefreq">
    <w:name w:val="Table_freq"/>
    <w:basedOn w:val="DefaultParagraphFont"/>
    <w:rsid w:val="004D6C09"/>
    <w:rPr>
      <w:b/>
      <w:color w:val="auto"/>
    </w:rPr>
  </w:style>
  <w:style w:type="paragraph" w:customStyle="1" w:styleId="FiguretitleBR">
    <w:name w:val="Figure_title_BR"/>
    <w:basedOn w:val="TabletitleBR"/>
    <w:next w:val="Figurewithouttitle"/>
    <w:rsid w:val="004D6C09"/>
    <w:pPr>
      <w:keepNext w:val="0"/>
      <w:spacing w:after="480"/>
    </w:pPr>
  </w:style>
  <w:style w:type="paragraph" w:customStyle="1" w:styleId="FigureNoBR">
    <w:name w:val="Figure_No_BR"/>
    <w:basedOn w:val="Normal"/>
    <w:next w:val="FiguretitleBR"/>
    <w:rsid w:val="004D6C09"/>
    <w:pPr>
      <w:keepNext/>
      <w:keepLines/>
      <w:spacing w:before="480" w:after="120"/>
      <w:jc w:val="center"/>
    </w:pPr>
    <w:rPr>
      <w:caps/>
    </w:rPr>
  </w:style>
  <w:style w:type="character" w:customStyle="1" w:styleId="FooterChar">
    <w:name w:val="Footer Char"/>
    <w:basedOn w:val="DefaultParagraphFont"/>
    <w:link w:val="Footer"/>
    <w:rsid w:val="00B469E0"/>
    <w:rPr>
      <w:rFonts w:ascii="Times New Roman" w:hAnsi="Times New Roman"/>
      <w:caps/>
      <w:noProof/>
      <w:sz w:val="16"/>
      <w:lang w:val="es-ES_tradnl" w:eastAsia="en-U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Char Char,fn Char"/>
    <w:basedOn w:val="DefaultParagraphFont"/>
    <w:link w:val="FootnoteText"/>
    <w:uiPriority w:val="99"/>
    <w:rsid w:val="00B469E0"/>
    <w:rPr>
      <w:rFonts w:ascii="Times New Roman" w:hAnsi="Times New Roman"/>
      <w:sz w:val="24"/>
      <w:lang w:val="es-ES_tradnl" w:eastAsia="en-US"/>
    </w:rPr>
  </w:style>
  <w:style w:type="paragraph" w:customStyle="1" w:styleId="Formal">
    <w:name w:val="Formal"/>
    <w:basedOn w:val="Normal"/>
    <w:rsid w:val="00B469E0"/>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noProof/>
      <w:sz w:val="20"/>
      <w:lang w:val="en-GB"/>
    </w:rPr>
  </w:style>
  <w:style w:type="character" w:customStyle="1" w:styleId="HeaderChar">
    <w:name w:val="Header Char"/>
    <w:aliases w:val="encabezado Char,he Char"/>
    <w:basedOn w:val="DefaultParagraphFont"/>
    <w:link w:val="Header"/>
    <w:uiPriority w:val="99"/>
    <w:rsid w:val="00B469E0"/>
    <w:rPr>
      <w:rFonts w:ascii="Times New Roman" w:hAnsi="Times New Roman"/>
      <w:sz w:val="18"/>
      <w:lang w:val="es-ES_tradnl" w:eastAsia="en-US"/>
    </w:rPr>
  </w:style>
  <w:style w:type="paragraph" w:customStyle="1" w:styleId="Docnumber">
    <w:name w:val="Docnumber"/>
    <w:basedOn w:val="Normal"/>
    <w:link w:val="DocnumberChar"/>
    <w:qFormat/>
    <w:rsid w:val="00B469E0"/>
    <w:pPr>
      <w:jc w:val="right"/>
    </w:pPr>
    <w:rPr>
      <w:rFonts w:eastAsia="SimSun"/>
      <w:b/>
      <w:sz w:val="32"/>
      <w:lang w:val="en-GB"/>
    </w:rPr>
  </w:style>
  <w:style w:type="character" w:customStyle="1" w:styleId="DocnumberChar">
    <w:name w:val="Docnumber Char"/>
    <w:link w:val="Docnumber"/>
    <w:rsid w:val="00B469E0"/>
    <w:rPr>
      <w:rFonts w:ascii="Times New Roman" w:eastAsia="SimSun" w:hAnsi="Times New Roman"/>
      <w:b/>
      <w:sz w:val="32"/>
      <w:lang w:val="en-GB" w:eastAsia="en-US"/>
    </w:rPr>
  </w:style>
  <w:style w:type="character" w:styleId="Hyperlink">
    <w:name w:val="Hyperlink"/>
    <w:aliases w:val="超级链接,超?级链,CEO_Hyperlink,Style 58,超????,하이퍼링크2,超链接1,하이퍼링크21,超??级链Ú,fL????,fL?级,超??级链,超?级链Ú,’´?级链,’´????,’´??级链Ú,’´??级,超?级链?,Style?,S,超?级链ïÈ,õ±?级链,õ±链ïÈ1,õ±???"/>
    <w:basedOn w:val="DefaultParagraphFont"/>
    <w:uiPriority w:val="99"/>
    <w:qFormat/>
    <w:rsid w:val="00B469E0"/>
    <w:rPr>
      <w:color w:val="0000FF"/>
      <w:u w:val="single"/>
    </w:rPr>
  </w:style>
  <w:style w:type="paragraph" w:customStyle="1" w:styleId="LSDeadline">
    <w:name w:val="LSDeadline"/>
    <w:basedOn w:val="Normal"/>
    <w:next w:val="Normal"/>
    <w:rsid w:val="00B469E0"/>
    <w:pPr>
      <w:tabs>
        <w:tab w:val="clear" w:pos="794"/>
        <w:tab w:val="clear" w:pos="1191"/>
        <w:tab w:val="clear" w:pos="1588"/>
        <w:tab w:val="clear" w:pos="1985"/>
      </w:tabs>
      <w:overflowPunct/>
      <w:autoSpaceDE/>
      <w:autoSpaceDN/>
      <w:adjustRightInd/>
      <w:textAlignment w:val="auto"/>
    </w:pPr>
    <w:rPr>
      <w:rFonts w:eastAsiaTheme="minorHAnsi"/>
      <w:szCs w:val="24"/>
      <w:lang w:val="en-GB" w:eastAsia="ja-JP"/>
    </w:rPr>
  </w:style>
  <w:style w:type="paragraph" w:customStyle="1" w:styleId="LSForAction">
    <w:name w:val="LSForAction"/>
    <w:basedOn w:val="Normal"/>
    <w:next w:val="Normal"/>
    <w:rsid w:val="00B469E0"/>
    <w:rPr>
      <w:lang w:val="en-GB"/>
    </w:rPr>
  </w:style>
  <w:style w:type="paragraph" w:customStyle="1" w:styleId="LSForInfo">
    <w:name w:val="LSForInfo"/>
    <w:basedOn w:val="Normal"/>
    <w:next w:val="Normal"/>
    <w:rsid w:val="00B469E0"/>
    <w:pPr>
      <w:tabs>
        <w:tab w:val="clear" w:pos="794"/>
        <w:tab w:val="clear" w:pos="1191"/>
        <w:tab w:val="clear" w:pos="1588"/>
        <w:tab w:val="clear" w:pos="1985"/>
      </w:tabs>
      <w:overflowPunct/>
      <w:autoSpaceDE/>
      <w:autoSpaceDN/>
      <w:adjustRightInd/>
      <w:textAlignment w:val="auto"/>
    </w:pPr>
    <w:rPr>
      <w:rFonts w:eastAsiaTheme="minorHAnsi"/>
      <w:bCs/>
      <w:szCs w:val="24"/>
      <w:lang w:val="en-GB" w:eastAsia="ja-JP"/>
    </w:rPr>
  </w:style>
  <w:style w:type="paragraph" w:customStyle="1" w:styleId="VenueDate">
    <w:name w:val="VenueDate"/>
    <w:basedOn w:val="Normal"/>
    <w:qFormat/>
    <w:rsid w:val="00B469E0"/>
    <w:pPr>
      <w:tabs>
        <w:tab w:val="clear" w:pos="794"/>
        <w:tab w:val="clear" w:pos="1191"/>
        <w:tab w:val="clear" w:pos="1588"/>
        <w:tab w:val="clear" w:pos="1985"/>
      </w:tabs>
      <w:jc w:val="right"/>
    </w:pPr>
    <w:rPr>
      <w:lang w:val="en-GB"/>
    </w:rPr>
  </w:style>
  <w:style w:type="paragraph" w:customStyle="1" w:styleId="TSBHeaderQuestion">
    <w:name w:val="TSBHeaderQuestion"/>
    <w:basedOn w:val="Normal"/>
    <w:qFormat/>
    <w:rsid w:val="00B469E0"/>
    <w:pPr>
      <w:tabs>
        <w:tab w:val="clear" w:pos="794"/>
        <w:tab w:val="clear" w:pos="1191"/>
        <w:tab w:val="clear" w:pos="1588"/>
        <w:tab w:val="clear" w:pos="1985"/>
      </w:tabs>
      <w:overflowPunct/>
      <w:autoSpaceDE/>
      <w:autoSpaceDN/>
      <w:adjustRightInd/>
      <w:textAlignment w:val="auto"/>
    </w:pPr>
    <w:rPr>
      <w:rFonts w:eastAsiaTheme="minorEastAsia"/>
      <w:szCs w:val="24"/>
      <w:lang w:val="en-GB" w:eastAsia="ja-JP"/>
    </w:rPr>
  </w:style>
  <w:style w:type="paragraph" w:customStyle="1" w:styleId="TSBHeaderSource">
    <w:name w:val="TSBHeaderSource"/>
    <w:basedOn w:val="Normal"/>
    <w:qFormat/>
    <w:rsid w:val="00B469E0"/>
    <w:pPr>
      <w:tabs>
        <w:tab w:val="clear" w:pos="794"/>
        <w:tab w:val="clear" w:pos="1191"/>
        <w:tab w:val="clear" w:pos="1588"/>
        <w:tab w:val="clear" w:pos="1985"/>
      </w:tabs>
      <w:overflowPunct/>
      <w:autoSpaceDE/>
      <w:autoSpaceDN/>
      <w:adjustRightInd/>
      <w:textAlignment w:val="auto"/>
    </w:pPr>
    <w:rPr>
      <w:rFonts w:eastAsiaTheme="minorEastAsia"/>
      <w:szCs w:val="24"/>
      <w:lang w:val="en-GB" w:eastAsia="ja-JP"/>
    </w:rPr>
  </w:style>
  <w:style w:type="paragraph" w:customStyle="1" w:styleId="TSBHeaderTitle">
    <w:name w:val="TSBHeaderTitle"/>
    <w:basedOn w:val="Normal"/>
    <w:qFormat/>
    <w:rsid w:val="00B469E0"/>
    <w:pPr>
      <w:tabs>
        <w:tab w:val="clear" w:pos="794"/>
        <w:tab w:val="clear" w:pos="1191"/>
        <w:tab w:val="clear" w:pos="1588"/>
        <w:tab w:val="clear" w:pos="1985"/>
      </w:tabs>
      <w:overflowPunct/>
      <w:autoSpaceDE/>
      <w:autoSpaceDN/>
      <w:adjustRightInd/>
      <w:textAlignment w:val="auto"/>
    </w:pPr>
    <w:rPr>
      <w:rFonts w:eastAsiaTheme="minorEastAsia"/>
      <w:szCs w:val="24"/>
      <w:lang w:val="en-GB" w:eastAsia="ja-JP"/>
    </w:rPr>
  </w:style>
  <w:style w:type="paragraph" w:customStyle="1" w:styleId="TSBHeaderSummary">
    <w:name w:val="TSBHeaderSummary"/>
    <w:basedOn w:val="Normal"/>
    <w:rsid w:val="00B469E0"/>
    <w:pPr>
      <w:tabs>
        <w:tab w:val="clear" w:pos="794"/>
        <w:tab w:val="clear" w:pos="1191"/>
        <w:tab w:val="clear" w:pos="1588"/>
        <w:tab w:val="clear" w:pos="1985"/>
      </w:tabs>
      <w:overflowPunct/>
      <w:autoSpaceDE/>
      <w:autoSpaceDN/>
      <w:adjustRightInd/>
      <w:textAlignment w:val="auto"/>
    </w:pPr>
    <w:rPr>
      <w:rFonts w:eastAsiaTheme="minorEastAsia"/>
      <w:szCs w:val="24"/>
      <w:lang w:val="en-GB" w:eastAsia="ja-JP"/>
    </w:rPr>
  </w:style>
  <w:style w:type="paragraph" w:customStyle="1" w:styleId="LSApproval">
    <w:name w:val="LSApproval"/>
    <w:basedOn w:val="Normal"/>
    <w:rsid w:val="00B469E0"/>
    <w:pPr>
      <w:tabs>
        <w:tab w:val="clear" w:pos="794"/>
        <w:tab w:val="clear" w:pos="1191"/>
        <w:tab w:val="clear" w:pos="1588"/>
        <w:tab w:val="clear" w:pos="1985"/>
      </w:tabs>
      <w:overflowPunct/>
      <w:autoSpaceDE/>
      <w:autoSpaceDN/>
      <w:adjustRightInd/>
      <w:textAlignment w:val="auto"/>
    </w:pPr>
    <w:rPr>
      <w:rFonts w:eastAsiaTheme="minorEastAsia"/>
      <w:b/>
      <w:bCs/>
      <w:szCs w:val="24"/>
      <w:lang w:val="en-GB" w:eastAsia="ja-JP"/>
    </w:rPr>
  </w:style>
  <w:style w:type="paragraph" w:customStyle="1" w:styleId="TSBHeaderRight14">
    <w:name w:val="TSBHeaderRight14"/>
    <w:basedOn w:val="Normal"/>
    <w:qFormat/>
    <w:rsid w:val="00B469E0"/>
    <w:pPr>
      <w:jc w:val="right"/>
    </w:pPr>
    <w:rPr>
      <w:b/>
      <w:bCs/>
      <w:sz w:val="28"/>
      <w:szCs w:val="28"/>
      <w:lang w:val="en-GB"/>
    </w:rPr>
  </w:style>
  <w:style w:type="table" w:styleId="TableGrid">
    <w:name w:val="Table Grid"/>
    <w:basedOn w:val="TableNormal"/>
    <w:uiPriority w:val="59"/>
    <w:rsid w:val="00B469E0"/>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SourceChar">
    <w:name w:val="Source Char"/>
    <w:link w:val="Source"/>
    <w:locked/>
    <w:rsid w:val="00B469E0"/>
    <w:rPr>
      <w:rFonts w:ascii="Times New Roman" w:hAnsi="Times New Roman"/>
      <w:b/>
      <w:sz w:val="28"/>
      <w:lang w:val="es-ES_tradnl" w:eastAsia="en-US"/>
    </w:rPr>
  </w:style>
  <w:style w:type="character" w:customStyle="1" w:styleId="Title1Char">
    <w:name w:val="Title 1 Char"/>
    <w:link w:val="Title1"/>
    <w:qFormat/>
    <w:locked/>
    <w:rsid w:val="00B469E0"/>
    <w:rPr>
      <w:rFonts w:ascii="Times New Roman" w:hAnsi="Times New Roman"/>
      <w:caps/>
      <w:sz w:val="28"/>
      <w:lang w:val="es-ES_tradnl" w:eastAsia="en-US"/>
    </w:rPr>
  </w:style>
  <w:style w:type="paragraph" w:styleId="ListParagraph">
    <w:name w:val="List Paragraph"/>
    <w:aliases w:val="Recommendation,List Paragraph11,O5,Para_sk,Resume Title,- Bullets"/>
    <w:basedOn w:val="Normal"/>
    <w:link w:val="ListParagraphChar"/>
    <w:uiPriority w:val="34"/>
    <w:qFormat/>
    <w:rsid w:val="00B469E0"/>
    <w:pPr>
      <w:tabs>
        <w:tab w:val="clear" w:pos="794"/>
        <w:tab w:val="clear" w:pos="1191"/>
        <w:tab w:val="clear" w:pos="1588"/>
        <w:tab w:val="clear" w:pos="1985"/>
      </w:tabs>
      <w:overflowPunct/>
      <w:autoSpaceDE/>
      <w:autoSpaceDN/>
      <w:adjustRightInd/>
      <w:ind w:left="720"/>
      <w:contextualSpacing/>
      <w:textAlignment w:val="auto"/>
    </w:pPr>
    <w:rPr>
      <w:rFonts w:eastAsiaTheme="minorEastAsia"/>
      <w:szCs w:val="24"/>
      <w:lang w:val="en-GB" w:eastAsia="ja-JP"/>
    </w:rPr>
  </w:style>
  <w:style w:type="character" w:customStyle="1" w:styleId="ListParagraphChar">
    <w:name w:val="List Paragraph Char"/>
    <w:aliases w:val="Recommendation Char,List Paragraph11 Char,O5 Char,Para_sk Char,Resume Title Char,- Bullets Char"/>
    <w:basedOn w:val="DefaultParagraphFont"/>
    <w:link w:val="ListParagraph"/>
    <w:uiPriority w:val="34"/>
    <w:locked/>
    <w:rsid w:val="00B469E0"/>
    <w:rPr>
      <w:rFonts w:ascii="Times New Roman" w:eastAsiaTheme="minorEastAsia" w:hAnsi="Times New Roman"/>
      <w:sz w:val="24"/>
      <w:szCs w:val="24"/>
      <w:lang w:val="en-GB" w:eastAsia="ja-JP"/>
    </w:rPr>
  </w:style>
  <w:style w:type="character" w:styleId="PlaceholderText">
    <w:name w:val="Placeholder Text"/>
    <w:basedOn w:val="DefaultParagraphFont"/>
    <w:uiPriority w:val="99"/>
    <w:semiHidden/>
    <w:rsid w:val="00B469E0"/>
    <w:rPr>
      <w:color w:val="808080"/>
    </w:rPr>
  </w:style>
  <w:style w:type="character" w:customStyle="1" w:styleId="Heading1Char">
    <w:name w:val="Heading 1 Char"/>
    <w:basedOn w:val="DefaultParagraphFont"/>
    <w:link w:val="Heading1"/>
    <w:rsid w:val="00B469E0"/>
    <w:rPr>
      <w:rFonts w:ascii="Times New Roman" w:hAnsi="Times New Roman"/>
      <w:b/>
      <w:sz w:val="24"/>
      <w:lang w:val="es-ES_tradnl" w:eastAsia="en-US"/>
    </w:rPr>
  </w:style>
  <w:style w:type="character" w:customStyle="1" w:styleId="Heading2Char">
    <w:name w:val="Heading 2 Char"/>
    <w:basedOn w:val="DefaultParagraphFont"/>
    <w:link w:val="Heading2"/>
    <w:rsid w:val="00B469E0"/>
    <w:rPr>
      <w:rFonts w:ascii="Times New Roman" w:hAnsi="Times New Roman"/>
      <w:b/>
      <w:sz w:val="24"/>
      <w:lang w:val="es-ES_tradnl" w:eastAsia="en-US"/>
    </w:rPr>
  </w:style>
  <w:style w:type="character" w:customStyle="1" w:styleId="Heading3Char">
    <w:name w:val="Heading 3 Char"/>
    <w:basedOn w:val="DefaultParagraphFont"/>
    <w:link w:val="Heading3"/>
    <w:rsid w:val="00B469E0"/>
    <w:rPr>
      <w:rFonts w:ascii="Times New Roman" w:hAnsi="Times New Roman"/>
      <w:b/>
      <w:sz w:val="24"/>
      <w:lang w:val="es-ES_tradnl" w:eastAsia="en-US"/>
    </w:rPr>
  </w:style>
  <w:style w:type="character" w:customStyle="1" w:styleId="Heading4Char">
    <w:name w:val="Heading 4 Char"/>
    <w:basedOn w:val="DefaultParagraphFont"/>
    <w:link w:val="Heading4"/>
    <w:rsid w:val="00B469E0"/>
    <w:rPr>
      <w:rFonts w:ascii="Times New Roman" w:hAnsi="Times New Roman"/>
      <w:b/>
      <w:sz w:val="24"/>
      <w:lang w:val="es-ES_tradnl" w:eastAsia="en-US"/>
    </w:rPr>
  </w:style>
  <w:style w:type="character" w:customStyle="1" w:styleId="Heading5Char">
    <w:name w:val="Heading 5 Char"/>
    <w:basedOn w:val="DefaultParagraphFont"/>
    <w:link w:val="Heading5"/>
    <w:rsid w:val="00B469E0"/>
    <w:rPr>
      <w:rFonts w:ascii="Times New Roman" w:hAnsi="Times New Roman"/>
      <w:b/>
      <w:sz w:val="24"/>
      <w:lang w:val="es-ES_tradnl" w:eastAsia="en-US"/>
    </w:rPr>
  </w:style>
  <w:style w:type="character" w:customStyle="1" w:styleId="Heading6Char">
    <w:name w:val="Heading 6 Char"/>
    <w:basedOn w:val="DefaultParagraphFont"/>
    <w:link w:val="Heading6"/>
    <w:rsid w:val="00B469E0"/>
    <w:rPr>
      <w:rFonts w:ascii="Times New Roman" w:hAnsi="Times New Roman"/>
      <w:b/>
      <w:sz w:val="24"/>
      <w:lang w:val="es-ES_tradnl" w:eastAsia="en-US"/>
    </w:rPr>
  </w:style>
  <w:style w:type="character" w:customStyle="1" w:styleId="Heading7Char">
    <w:name w:val="Heading 7 Char"/>
    <w:basedOn w:val="DefaultParagraphFont"/>
    <w:link w:val="Heading7"/>
    <w:rsid w:val="00B469E0"/>
    <w:rPr>
      <w:rFonts w:ascii="Times New Roman" w:hAnsi="Times New Roman"/>
      <w:b/>
      <w:sz w:val="24"/>
      <w:lang w:val="es-ES_tradnl" w:eastAsia="en-US"/>
    </w:rPr>
  </w:style>
  <w:style w:type="character" w:customStyle="1" w:styleId="Heading8Char">
    <w:name w:val="Heading 8 Char"/>
    <w:basedOn w:val="DefaultParagraphFont"/>
    <w:link w:val="Heading8"/>
    <w:rsid w:val="00B469E0"/>
    <w:rPr>
      <w:rFonts w:ascii="Times New Roman" w:hAnsi="Times New Roman"/>
      <w:b/>
      <w:sz w:val="24"/>
      <w:lang w:val="es-ES_tradnl" w:eastAsia="en-US"/>
    </w:rPr>
  </w:style>
  <w:style w:type="character" w:customStyle="1" w:styleId="Heading9Char">
    <w:name w:val="Heading 9 Char"/>
    <w:basedOn w:val="DefaultParagraphFont"/>
    <w:link w:val="Heading9"/>
    <w:rsid w:val="00B469E0"/>
    <w:rPr>
      <w:rFonts w:ascii="Times New Roman" w:hAnsi="Times New Roman"/>
      <w:b/>
      <w:sz w:val="24"/>
      <w:lang w:val="es-ES_tradnl" w:eastAsia="en-US"/>
    </w:rPr>
  </w:style>
  <w:style w:type="paragraph" w:customStyle="1" w:styleId="Reasons">
    <w:name w:val="Reasons"/>
    <w:basedOn w:val="Normal"/>
    <w:qFormat/>
    <w:rsid w:val="00B469E0"/>
    <w:pPr>
      <w:tabs>
        <w:tab w:val="clear" w:pos="794"/>
        <w:tab w:val="clear" w:pos="1191"/>
        <w:tab w:val="left" w:pos="1134"/>
      </w:tabs>
    </w:pPr>
    <w:rPr>
      <w:lang w:val="en-GB"/>
    </w:rPr>
  </w:style>
  <w:style w:type="paragraph" w:customStyle="1" w:styleId="ASN1">
    <w:name w:val="ASN.1"/>
    <w:basedOn w:val="Normal"/>
    <w:rsid w:val="00B469E0"/>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lang w:val="en-GB"/>
    </w:rPr>
  </w:style>
  <w:style w:type="paragraph" w:customStyle="1" w:styleId="FooterQP">
    <w:name w:val="Footer_QP"/>
    <w:basedOn w:val="Normal"/>
    <w:rsid w:val="00B469E0"/>
    <w:pPr>
      <w:tabs>
        <w:tab w:val="clear" w:pos="794"/>
        <w:tab w:val="clear" w:pos="1191"/>
        <w:tab w:val="clear" w:pos="1588"/>
        <w:tab w:val="clear" w:pos="1985"/>
        <w:tab w:val="left" w:pos="907"/>
        <w:tab w:val="right" w:pos="8789"/>
        <w:tab w:val="right" w:pos="9639"/>
      </w:tabs>
      <w:spacing w:before="0"/>
    </w:pPr>
    <w:rPr>
      <w:b/>
      <w:sz w:val="22"/>
      <w:lang w:val="en-GB"/>
    </w:rPr>
  </w:style>
  <w:style w:type="paragraph" w:styleId="BalloonText">
    <w:name w:val="Balloon Text"/>
    <w:basedOn w:val="Normal"/>
    <w:link w:val="BalloonTextChar"/>
    <w:rsid w:val="00B469E0"/>
    <w:pPr>
      <w:spacing w:before="0"/>
    </w:pPr>
    <w:rPr>
      <w:rFonts w:ascii="Tahoma" w:hAnsi="Tahoma" w:cs="Tahoma"/>
      <w:sz w:val="16"/>
      <w:szCs w:val="16"/>
      <w:lang w:val="en-GB"/>
    </w:rPr>
  </w:style>
  <w:style w:type="character" w:customStyle="1" w:styleId="BalloonTextChar">
    <w:name w:val="Balloon Text Char"/>
    <w:basedOn w:val="DefaultParagraphFont"/>
    <w:link w:val="BalloonText"/>
    <w:rsid w:val="00B469E0"/>
    <w:rPr>
      <w:rFonts w:ascii="Tahoma" w:hAnsi="Tahoma" w:cs="Tahoma"/>
      <w:sz w:val="16"/>
      <w:szCs w:val="16"/>
      <w:lang w:val="en-GB" w:eastAsia="en-US"/>
    </w:rPr>
  </w:style>
  <w:style w:type="paragraph" w:customStyle="1" w:styleId="Normalaftertitle0">
    <w:name w:val="Normal after title"/>
    <w:basedOn w:val="Normal"/>
    <w:next w:val="Normal"/>
    <w:rsid w:val="00B469E0"/>
    <w:pPr>
      <w:tabs>
        <w:tab w:val="clear" w:pos="794"/>
        <w:tab w:val="clear" w:pos="1191"/>
        <w:tab w:val="clear" w:pos="1588"/>
        <w:tab w:val="clear" w:pos="1985"/>
        <w:tab w:val="left" w:pos="1134"/>
        <w:tab w:val="left" w:pos="1871"/>
        <w:tab w:val="left" w:pos="2268"/>
      </w:tabs>
      <w:spacing w:before="280"/>
      <w:textAlignment w:val="auto"/>
    </w:pPr>
    <w:rPr>
      <w:lang w:val="en-GB"/>
    </w:rPr>
  </w:style>
  <w:style w:type="paragraph" w:customStyle="1" w:styleId="headingb0">
    <w:name w:val="heading_b"/>
    <w:basedOn w:val="Heading3"/>
    <w:next w:val="Normal"/>
    <w:rsid w:val="00B469E0"/>
    <w:pPr>
      <w:tabs>
        <w:tab w:val="clear" w:pos="1191"/>
        <w:tab w:val="clear" w:pos="1588"/>
        <w:tab w:val="clear" w:pos="1985"/>
        <w:tab w:val="left" w:pos="1134"/>
        <w:tab w:val="left" w:pos="1871"/>
        <w:tab w:val="left" w:pos="2127"/>
        <w:tab w:val="left" w:pos="2268"/>
        <w:tab w:val="left" w:pos="2410"/>
        <w:tab w:val="left" w:pos="2921"/>
        <w:tab w:val="left" w:pos="3261"/>
      </w:tabs>
      <w:ind w:left="0" w:firstLine="0"/>
      <w:textAlignment w:val="auto"/>
      <w:outlineLvl w:val="9"/>
    </w:pPr>
    <w:rPr>
      <w:b w:val="0"/>
      <w:lang w:val="en-GB"/>
    </w:rPr>
  </w:style>
  <w:style w:type="paragraph" w:styleId="PlainText">
    <w:name w:val="Plain Text"/>
    <w:basedOn w:val="Normal"/>
    <w:link w:val="PlainTextChar"/>
    <w:uiPriority w:val="99"/>
    <w:unhideWhenUsed/>
    <w:rsid w:val="00B469E0"/>
    <w:pPr>
      <w:tabs>
        <w:tab w:val="clear" w:pos="794"/>
        <w:tab w:val="clear" w:pos="1191"/>
        <w:tab w:val="clear" w:pos="1588"/>
        <w:tab w:val="clear" w:pos="1985"/>
      </w:tabs>
      <w:overflowPunct/>
      <w:autoSpaceDE/>
      <w:autoSpaceDN/>
      <w:adjustRightInd/>
      <w:spacing w:before="0"/>
      <w:textAlignment w:val="auto"/>
    </w:pPr>
    <w:rPr>
      <w:rFonts w:ascii="Consolas" w:eastAsiaTheme="minorEastAsia" w:hAnsi="Consolas" w:cstheme="minorBidi"/>
      <w:sz w:val="21"/>
      <w:szCs w:val="21"/>
      <w:lang w:val="en-US" w:eastAsia="zh-CN"/>
    </w:rPr>
  </w:style>
  <w:style w:type="character" w:customStyle="1" w:styleId="PlainTextChar">
    <w:name w:val="Plain Text Char"/>
    <w:basedOn w:val="DefaultParagraphFont"/>
    <w:link w:val="PlainText"/>
    <w:uiPriority w:val="99"/>
    <w:rsid w:val="00B469E0"/>
    <w:rPr>
      <w:rFonts w:ascii="Consolas" w:eastAsiaTheme="minorEastAsia" w:hAnsi="Consolas" w:cstheme="minorBidi"/>
      <w:sz w:val="21"/>
      <w:szCs w:val="21"/>
    </w:rPr>
  </w:style>
  <w:style w:type="paragraph" w:styleId="NoSpacing">
    <w:name w:val="No Spacing"/>
    <w:uiPriority w:val="1"/>
    <w:qFormat/>
    <w:rsid w:val="00B469E0"/>
    <w:rPr>
      <w:rFonts w:asciiTheme="minorHAnsi" w:eastAsiaTheme="minorEastAsia" w:hAnsiTheme="minorHAnsi" w:cstheme="minorBidi"/>
      <w:sz w:val="22"/>
      <w:szCs w:val="22"/>
    </w:rPr>
  </w:style>
  <w:style w:type="character" w:customStyle="1" w:styleId="TabletextChar">
    <w:name w:val="Table_text Char"/>
    <w:basedOn w:val="DefaultParagraphFont"/>
    <w:link w:val="Tabletext"/>
    <w:locked/>
    <w:rsid w:val="00B469E0"/>
    <w:rPr>
      <w:rFonts w:ascii="Times New Roman" w:hAnsi="Times New Roman"/>
      <w:sz w:val="22"/>
      <w:lang w:val="es-ES_tradnl" w:eastAsia="en-US"/>
    </w:rPr>
  </w:style>
  <w:style w:type="character" w:customStyle="1" w:styleId="enumlev1Char">
    <w:name w:val="enumlev1 Char"/>
    <w:basedOn w:val="DefaultParagraphFont"/>
    <w:link w:val="enumlev1"/>
    <w:uiPriority w:val="99"/>
    <w:locked/>
    <w:rsid w:val="00B469E0"/>
    <w:rPr>
      <w:rFonts w:ascii="Times New Roman" w:hAnsi="Times New Roman"/>
      <w:sz w:val="24"/>
      <w:lang w:val="es-ES_tradnl" w:eastAsia="en-US"/>
    </w:rPr>
  </w:style>
  <w:style w:type="character" w:customStyle="1" w:styleId="apple-converted-space">
    <w:name w:val="apple-converted-space"/>
    <w:basedOn w:val="DefaultParagraphFont"/>
    <w:rsid w:val="00B469E0"/>
  </w:style>
  <w:style w:type="table" w:customStyle="1" w:styleId="TableGrid1">
    <w:name w:val="Table Grid1"/>
    <w:basedOn w:val="TableNormal"/>
    <w:next w:val="TableGrid"/>
    <w:rsid w:val="00B469E0"/>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B469E0"/>
    <w:rPr>
      <w:b/>
      <w:bCs/>
    </w:rPr>
  </w:style>
  <w:style w:type="paragraph" w:customStyle="1" w:styleId="Annextitle">
    <w:name w:val="Annex_title"/>
    <w:basedOn w:val="Normal"/>
    <w:next w:val="Normal"/>
    <w:rsid w:val="00B469E0"/>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hAnsi="Times New Roman Bold"/>
      <w:b/>
      <w:sz w:val="28"/>
      <w:lang w:val="en-GB"/>
    </w:rPr>
  </w:style>
  <w:style w:type="paragraph" w:customStyle="1" w:styleId="AnnexNo">
    <w:name w:val="Annex_No"/>
    <w:basedOn w:val="Normal"/>
    <w:next w:val="Normal"/>
    <w:rsid w:val="00B469E0"/>
    <w:pPr>
      <w:keepNext/>
      <w:keepLines/>
      <w:tabs>
        <w:tab w:val="clear" w:pos="794"/>
        <w:tab w:val="clear" w:pos="1191"/>
        <w:tab w:val="clear" w:pos="1588"/>
        <w:tab w:val="clear" w:pos="1985"/>
        <w:tab w:val="left" w:pos="1134"/>
        <w:tab w:val="left" w:pos="1871"/>
        <w:tab w:val="left" w:pos="2268"/>
      </w:tabs>
      <w:spacing w:before="480" w:after="80"/>
      <w:jc w:val="center"/>
    </w:pPr>
    <w:rPr>
      <w:caps/>
      <w:sz w:val="28"/>
      <w:lang w:val="en-GB"/>
    </w:rPr>
  </w:style>
  <w:style w:type="character" w:customStyle="1" w:styleId="CallChar">
    <w:name w:val="Call Char"/>
    <w:basedOn w:val="DefaultParagraphFont"/>
    <w:link w:val="Call"/>
    <w:locked/>
    <w:rsid w:val="00B469E0"/>
    <w:rPr>
      <w:rFonts w:ascii="Times New Roman" w:hAnsi="Times New Roman"/>
      <w:i/>
      <w:sz w:val="24"/>
      <w:lang w:val="es-ES_tradnl" w:eastAsia="en-US"/>
    </w:rPr>
  </w:style>
  <w:style w:type="character" w:customStyle="1" w:styleId="HeadingbChar">
    <w:name w:val="Heading_b Char"/>
    <w:link w:val="Headingb"/>
    <w:locked/>
    <w:rsid w:val="00B469E0"/>
    <w:rPr>
      <w:rFonts w:ascii="Times New Roman" w:hAnsi="Times New Roman"/>
      <w:b/>
      <w:sz w:val="24"/>
      <w:lang w:val="es-ES_tradnl" w:eastAsia="en-US"/>
    </w:rPr>
  </w:style>
  <w:style w:type="character" w:customStyle="1" w:styleId="RestitleChar">
    <w:name w:val="Res_title Char"/>
    <w:basedOn w:val="DefaultParagraphFont"/>
    <w:link w:val="Restitle"/>
    <w:locked/>
    <w:rsid w:val="00B469E0"/>
    <w:rPr>
      <w:rFonts w:ascii="Times New Roman" w:hAnsi="Times New Roman"/>
      <w:b/>
      <w:sz w:val="28"/>
      <w:lang w:val="es-ES_tradnl" w:eastAsia="en-US"/>
    </w:rPr>
  </w:style>
  <w:style w:type="character" w:styleId="FollowedHyperlink">
    <w:name w:val="FollowedHyperlink"/>
    <w:basedOn w:val="DefaultParagraphFont"/>
    <w:unhideWhenUsed/>
    <w:rsid w:val="00B469E0"/>
    <w:rPr>
      <w:color w:val="606420"/>
      <w:u w:val="single"/>
    </w:rPr>
  </w:style>
  <w:style w:type="paragraph" w:styleId="NormalWeb">
    <w:name w:val="Normal (Web)"/>
    <w:basedOn w:val="Normal"/>
    <w:uiPriority w:val="99"/>
    <w:unhideWhenUsed/>
    <w:rsid w:val="00B469E0"/>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eastAsia="SimSun" w:hAnsi="Verdana"/>
      <w:sz w:val="18"/>
      <w:szCs w:val="18"/>
      <w:lang w:val="en-US" w:eastAsia="zh-CN"/>
    </w:rPr>
  </w:style>
  <w:style w:type="paragraph" w:styleId="EndnoteText">
    <w:name w:val="endnote text"/>
    <w:basedOn w:val="Normal"/>
    <w:link w:val="EndnoteTextChar"/>
    <w:uiPriority w:val="99"/>
    <w:unhideWhenUsed/>
    <w:rsid w:val="00B469E0"/>
    <w:pPr>
      <w:spacing w:before="0"/>
      <w:textAlignment w:val="auto"/>
    </w:pPr>
    <w:rPr>
      <w:sz w:val="20"/>
      <w:lang w:val="en-GB"/>
    </w:rPr>
  </w:style>
  <w:style w:type="character" w:customStyle="1" w:styleId="EndnoteTextChar">
    <w:name w:val="Endnote Text Char"/>
    <w:basedOn w:val="DefaultParagraphFont"/>
    <w:link w:val="EndnoteText"/>
    <w:uiPriority w:val="99"/>
    <w:rsid w:val="00B469E0"/>
    <w:rPr>
      <w:rFonts w:ascii="Times New Roman" w:hAnsi="Times New Roman"/>
      <w:lang w:val="en-GB" w:eastAsia="en-US"/>
    </w:rPr>
  </w:style>
  <w:style w:type="paragraph" w:styleId="Title">
    <w:name w:val="Title"/>
    <w:basedOn w:val="Normal"/>
    <w:next w:val="Normal"/>
    <w:link w:val="TitleChar"/>
    <w:qFormat/>
    <w:rsid w:val="00B469E0"/>
    <w:pPr>
      <w:pBdr>
        <w:bottom w:val="single" w:sz="8" w:space="4" w:color="4F81BD" w:themeColor="accent1"/>
      </w:pBdr>
      <w:spacing w:before="0" w:after="300"/>
      <w:contextualSpacing/>
      <w:textAlignment w:val="auto"/>
    </w:pPr>
    <w:rPr>
      <w:rFonts w:asciiTheme="majorHAnsi" w:eastAsiaTheme="majorEastAsia" w:hAnsiTheme="majorHAnsi" w:cstheme="majorBidi"/>
      <w:color w:val="17365D" w:themeColor="text2" w:themeShade="BF"/>
      <w:spacing w:val="5"/>
      <w:kern w:val="28"/>
      <w:sz w:val="52"/>
      <w:szCs w:val="52"/>
      <w:lang w:val="en-GB"/>
    </w:rPr>
  </w:style>
  <w:style w:type="character" w:customStyle="1" w:styleId="TitleChar">
    <w:name w:val="Title Char"/>
    <w:basedOn w:val="DefaultParagraphFont"/>
    <w:link w:val="Title"/>
    <w:rsid w:val="00B469E0"/>
    <w:rPr>
      <w:rFonts w:asciiTheme="majorHAnsi" w:eastAsiaTheme="majorEastAsia" w:hAnsiTheme="majorHAnsi" w:cstheme="majorBidi"/>
      <w:color w:val="17365D" w:themeColor="text2" w:themeShade="BF"/>
      <w:spacing w:val="5"/>
      <w:kern w:val="28"/>
      <w:sz w:val="52"/>
      <w:szCs w:val="52"/>
      <w:lang w:val="en-GB" w:eastAsia="en-US"/>
    </w:rPr>
  </w:style>
  <w:style w:type="paragraph" w:styleId="BodyText">
    <w:name w:val="Body Text"/>
    <w:basedOn w:val="Normal"/>
    <w:link w:val="BodyTextChar"/>
    <w:unhideWhenUsed/>
    <w:rsid w:val="00B469E0"/>
    <w:pPr>
      <w:textAlignment w:val="auto"/>
    </w:pPr>
    <w:rPr>
      <w:b/>
      <w:bCs/>
      <w:i/>
      <w:iCs/>
      <w:szCs w:val="24"/>
      <w:lang w:val="en-GB"/>
    </w:rPr>
  </w:style>
  <w:style w:type="character" w:customStyle="1" w:styleId="BodyTextChar">
    <w:name w:val="Body Text Char"/>
    <w:basedOn w:val="DefaultParagraphFont"/>
    <w:link w:val="BodyText"/>
    <w:rsid w:val="00B469E0"/>
    <w:rPr>
      <w:rFonts w:ascii="Times New Roman" w:hAnsi="Times New Roman"/>
      <w:b/>
      <w:bCs/>
      <w:i/>
      <w:iCs/>
      <w:sz w:val="24"/>
      <w:szCs w:val="24"/>
      <w:lang w:val="en-GB" w:eastAsia="en-US"/>
    </w:rPr>
  </w:style>
  <w:style w:type="paragraph" w:styleId="BodyTextIndent">
    <w:name w:val="Body Text Indent"/>
    <w:basedOn w:val="Normal"/>
    <w:link w:val="BodyTextIndentChar"/>
    <w:unhideWhenUsed/>
    <w:rsid w:val="00B469E0"/>
    <w:pPr>
      <w:spacing w:after="120"/>
      <w:ind w:left="360"/>
      <w:textAlignment w:val="auto"/>
    </w:pPr>
    <w:rPr>
      <w:lang w:val="en-GB"/>
    </w:rPr>
  </w:style>
  <w:style w:type="character" w:customStyle="1" w:styleId="BodyTextIndentChar">
    <w:name w:val="Body Text Indent Char"/>
    <w:basedOn w:val="DefaultParagraphFont"/>
    <w:link w:val="BodyTextIndent"/>
    <w:rsid w:val="00B469E0"/>
    <w:rPr>
      <w:rFonts w:ascii="Times New Roman" w:hAnsi="Times New Roman"/>
      <w:sz w:val="24"/>
      <w:lang w:val="en-GB" w:eastAsia="en-US"/>
    </w:rPr>
  </w:style>
  <w:style w:type="paragraph" w:styleId="Subtitle">
    <w:name w:val="Subtitle"/>
    <w:basedOn w:val="Normal"/>
    <w:next w:val="Normal"/>
    <w:link w:val="SubtitleChar"/>
    <w:uiPriority w:val="11"/>
    <w:qFormat/>
    <w:rsid w:val="00B469E0"/>
    <w:pPr>
      <w:tabs>
        <w:tab w:val="clear" w:pos="794"/>
        <w:tab w:val="clear" w:pos="1191"/>
        <w:tab w:val="clear" w:pos="1588"/>
        <w:tab w:val="clear" w:pos="1985"/>
      </w:tabs>
      <w:overflowPunct/>
      <w:autoSpaceDE/>
      <w:autoSpaceDN/>
      <w:adjustRightInd/>
      <w:spacing w:before="0" w:after="200" w:line="276" w:lineRule="auto"/>
      <w:textAlignment w:val="auto"/>
    </w:pPr>
    <w:rPr>
      <w:rFonts w:ascii="Cambria" w:eastAsia="SimSun" w:hAnsi="Cambria"/>
      <w:i/>
      <w:iCs/>
      <w:color w:val="4F81BD"/>
      <w:spacing w:val="15"/>
      <w:szCs w:val="24"/>
      <w:lang w:val="en-US" w:eastAsia="zh-CN"/>
    </w:rPr>
  </w:style>
  <w:style w:type="character" w:customStyle="1" w:styleId="SubtitleChar">
    <w:name w:val="Subtitle Char"/>
    <w:basedOn w:val="DefaultParagraphFont"/>
    <w:link w:val="Subtitle"/>
    <w:uiPriority w:val="11"/>
    <w:rsid w:val="00B469E0"/>
    <w:rPr>
      <w:rFonts w:ascii="Cambria" w:eastAsia="SimSun" w:hAnsi="Cambria"/>
      <w:i/>
      <w:iCs/>
      <w:color w:val="4F81BD"/>
      <w:spacing w:val="15"/>
      <w:sz w:val="24"/>
      <w:szCs w:val="24"/>
    </w:rPr>
  </w:style>
  <w:style w:type="paragraph" w:styleId="BodyText2">
    <w:name w:val="Body Text 2"/>
    <w:basedOn w:val="Normal"/>
    <w:link w:val="BodyText2Char"/>
    <w:unhideWhenUsed/>
    <w:rsid w:val="00B469E0"/>
    <w:pPr>
      <w:spacing w:after="120" w:line="480" w:lineRule="auto"/>
      <w:textAlignment w:val="auto"/>
    </w:pPr>
    <w:rPr>
      <w:lang w:val="en-GB"/>
    </w:rPr>
  </w:style>
  <w:style w:type="character" w:customStyle="1" w:styleId="BodyText2Char">
    <w:name w:val="Body Text 2 Char"/>
    <w:basedOn w:val="DefaultParagraphFont"/>
    <w:link w:val="BodyText2"/>
    <w:rsid w:val="00B469E0"/>
    <w:rPr>
      <w:rFonts w:ascii="Times New Roman" w:hAnsi="Times New Roman"/>
      <w:sz w:val="24"/>
      <w:lang w:val="en-GB" w:eastAsia="en-US"/>
    </w:rPr>
  </w:style>
  <w:style w:type="paragraph" w:styleId="Revision">
    <w:name w:val="Revision"/>
    <w:uiPriority w:val="99"/>
    <w:semiHidden/>
    <w:rsid w:val="00B469E0"/>
    <w:rPr>
      <w:rFonts w:ascii="Times New Roman" w:hAnsi="Times New Roman"/>
      <w:sz w:val="24"/>
      <w:lang w:val="en-GB" w:eastAsia="en-US"/>
    </w:rPr>
  </w:style>
  <w:style w:type="character" w:styleId="CommentReference">
    <w:name w:val="annotation reference"/>
    <w:basedOn w:val="DefaultParagraphFont"/>
    <w:semiHidden/>
    <w:unhideWhenUsed/>
    <w:rsid w:val="00B469E0"/>
    <w:rPr>
      <w:sz w:val="16"/>
      <w:szCs w:val="16"/>
    </w:rPr>
  </w:style>
  <w:style w:type="paragraph" w:styleId="CommentText">
    <w:name w:val="annotation text"/>
    <w:basedOn w:val="Normal"/>
    <w:link w:val="CommentTextChar"/>
    <w:unhideWhenUsed/>
    <w:rsid w:val="00B469E0"/>
    <w:rPr>
      <w:sz w:val="20"/>
      <w:lang w:val="en-GB"/>
    </w:rPr>
  </w:style>
  <w:style w:type="character" w:customStyle="1" w:styleId="CommentTextChar">
    <w:name w:val="Comment Text Char"/>
    <w:basedOn w:val="DefaultParagraphFont"/>
    <w:link w:val="CommentText"/>
    <w:rsid w:val="00B469E0"/>
    <w:rPr>
      <w:rFonts w:ascii="Times New Roman" w:hAnsi="Times New Roman"/>
      <w:lang w:val="en-GB" w:eastAsia="en-US"/>
    </w:rPr>
  </w:style>
  <w:style w:type="paragraph" w:styleId="CommentSubject">
    <w:name w:val="annotation subject"/>
    <w:basedOn w:val="CommentText"/>
    <w:next w:val="CommentText"/>
    <w:link w:val="CommentSubjectChar"/>
    <w:semiHidden/>
    <w:unhideWhenUsed/>
    <w:rsid w:val="00B469E0"/>
    <w:rPr>
      <w:b/>
      <w:bCs/>
    </w:rPr>
  </w:style>
  <w:style w:type="character" w:customStyle="1" w:styleId="CommentSubjectChar">
    <w:name w:val="Comment Subject Char"/>
    <w:basedOn w:val="CommentTextChar"/>
    <w:link w:val="CommentSubject"/>
    <w:semiHidden/>
    <w:rsid w:val="00B469E0"/>
    <w:rPr>
      <w:rFonts w:ascii="Times New Roman" w:hAnsi="Times New Roman"/>
      <w:b/>
      <w:bCs/>
      <w:lang w:val="en-GB" w:eastAsia="en-US"/>
    </w:rPr>
  </w:style>
  <w:style w:type="table" w:customStyle="1" w:styleId="GridTable1Light-Accent512">
    <w:name w:val="Grid Table 1 Light - Accent 512"/>
    <w:basedOn w:val="TableNormal"/>
    <w:uiPriority w:val="46"/>
    <w:rsid w:val="00B469E0"/>
    <w:rPr>
      <w:rFonts w:ascii="Calibri" w:eastAsia="Calibri" w:hAnsi="Calibri" w:cs="Arial"/>
      <w:sz w:val="22"/>
      <w:szCs w:val="22"/>
      <w:lan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4-Accent112">
    <w:name w:val="Grid Table 4 - Accent 112"/>
    <w:basedOn w:val="TableNormal"/>
    <w:uiPriority w:val="49"/>
    <w:rsid w:val="00B469E0"/>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22">
    <w:name w:val="Grid Table 4 - Accent 122"/>
    <w:basedOn w:val="TableNormal"/>
    <w:uiPriority w:val="49"/>
    <w:rsid w:val="00B469E0"/>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TableheadChar">
    <w:name w:val="Table_head Char"/>
    <w:basedOn w:val="DefaultParagraphFont"/>
    <w:link w:val="Tablehead"/>
    <w:uiPriority w:val="99"/>
    <w:rsid w:val="00B469E0"/>
    <w:rPr>
      <w:rFonts w:ascii="Times New Roman" w:hAnsi="Times New Roman"/>
      <w:b/>
      <w:sz w:val="22"/>
      <w:lang w:val="es-ES_tradnl" w:eastAsia="en-US"/>
    </w:rPr>
  </w:style>
  <w:style w:type="paragraph" w:customStyle="1" w:styleId="TableNo">
    <w:name w:val="Table_No"/>
    <w:basedOn w:val="Normal"/>
    <w:next w:val="Normal"/>
    <w:uiPriority w:val="99"/>
    <w:rsid w:val="00B469E0"/>
    <w:pPr>
      <w:keepNext/>
      <w:tabs>
        <w:tab w:val="clear" w:pos="794"/>
        <w:tab w:val="clear" w:pos="1191"/>
        <w:tab w:val="clear" w:pos="1588"/>
        <w:tab w:val="clear" w:pos="1985"/>
        <w:tab w:val="left" w:pos="1134"/>
        <w:tab w:val="left" w:pos="1871"/>
        <w:tab w:val="left" w:pos="2268"/>
      </w:tabs>
      <w:spacing w:before="560" w:after="120"/>
      <w:jc w:val="center"/>
    </w:pPr>
    <w:rPr>
      <w:caps/>
      <w:lang w:val="en-GB"/>
    </w:rPr>
  </w:style>
  <w:style w:type="paragraph" w:customStyle="1" w:styleId="Tabletitle">
    <w:name w:val="Table_title"/>
    <w:basedOn w:val="Normal"/>
    <w:next w:val="Tabletext"/>
    <w:rsid w:val="00B469E0"/>
    <w:pPr>
      <w:keepNext/>
      <w:keepLines/>
      <w:tabs>
        <w:tab w:val="clear" w:pos="794"/>
        <w:tab w:val="clear" w:pos="1191"/>
        <w:tab w:val="clear" w:pos="1588"/>
        <w:tab w:val="clear" w:pos="1985"/>
        <w:tab w:val="left" w:pos="1134"/>
        <w:tab w:val="left" w:pos="1871"/>
        <w:tab w:val="left" w:pos="2268"/>
      </w:tabs>
      <w:spacing w:before="0" w:after="120"/>
      <w:jc w:val="center"/>
    </w:pPr>
    <w:rPr>
      <w:rFonts w:ascii="Times New Roman Bold" w:hAnsi="Times New Roman Bold"/>
      <w:b/>
      <w:sz w:val="20"/>
      <w:lang w:val="en-GB"/>
    </w:rPr>
  </w:style>
  <w:style w:type="paragraph" w:styleId="Index4">
    <w:name w:val="index 4"/>
    <w:basedOn w:val="Normal"/>
    <w:next w:val="Normal"/>
    <w:autoRedefine/>
    <w:uiPriority w:val="99"/>
    <w:unhideWhenUsed/>
    <w:rsid w:val="00B469E0"/>
    <w:pPr>
      <w:tabs>
        <w:tab w:val="clear" w:pos="794"/>
        <w:tab w:val="clear" w:pos="1191"/>
        <w:tab w:val="clear" w:pos="1588"/>
        <w:tab w:val="clear" w:pos="1985"/>
      </w:tabs>
      <w:overflowPunct/>
      <w:autoSpaceDE/>
      <w:autoSpaceDN/>
      <w:adjustRightInd/>
      <w:spacing w:before="0" w:line="259" w:lineRule="auto"/>
      <w:ind w:left="880" w:hanging="220"/>
      <w:textAlignment w:val="auto"/>
    </w:pPr>
    <w:rPr>
      <w:rFonts w:eastAsiaTheme="minorEastAsia" w:cstheme="minorBidi"/>
      <w:sz w:val="18"/>
      <w:szCs w:val="18"/>
      <w:lang w:val="en-US" w:eastAsia="zh-CN"/>
    </w:rPr>
  </w:style>
  <w:style w:type="paragraph" w:styleId="Index5">
    <w:name w:val="index 5"/>
    <w:basedOn w:val="Normal"/>
    <w:next w:val="Normal"/>
    <w:autoRedefine/>
    <w:uiPriority w:val="99"/>
    <w:unhideWhenUsed/>
    <w:rsid w:val="00B469E0"/>
    <w:pPr>
      <w:tabs>
        <w:tab w:val="clear" w:pos="794"/>
        <w:tab w:val="clear" w:pos="1191"/>
        <w:tab w:val="clear" w:pos="1588"/>
        <w:tab w:val="clear" w:pos="1985"/>
      </w:tabs>
      <w:overflowPunct/>
      <w:autoSpaceDE/>
      <w:autoSpaceDN/>
      <w:adjustRightInd/>
      <w:spacing w:before="0" w:line="259" w:lineRule="auto"/>
      <w:ind w:left="1100" w:hanging="220"/>
      <w:textAlignment w:val="auto"/>
    </w:pPr>
    <w:rPr>
      <w:rFonts w:eastAsiaTheme="minorEastAsia" w:cstheme="minorBidi"/>
      <w:sz w:val="18"/>
      <w:szCs w:val="18"/>
      <w:lang w:val="en-US" w:eastAsia="zh-CN"/>
    </w:rPr>
  </w:style>
  <w:style w:type="paragraph" w:styleId="Index6">
    <w:name w:val="index 6"/>
    <w:basedOn w:val="Normal"/>
    <w:next w:val="Normal"/>
    <w:autoRedefine/>
    <w:uiPriority w:val="99"/>
    <w:unhideWhenUsed/>
    <w:rsid w:val="00B469E0"/>
    <w:pPr>
      <w:tabs>
        <w:tab w:val="clear" w:pos="794"/>
        <w:tab w:val="clear" w:pos="1191"/>
        <w:tab w:val="clear" w:pos="1588"/>
        <w:tab w:val="clear" w:pos="1985"/>
      </w:tabs>
      <w:overflowPunct/>
      <w:autoSpaceDE/>
      <w:autoSpaceDN/>
      <w:adjustRightInd/>
      <w:spacing w:before="0" w:line="259" w:lineRule="auto"/>
      <w:ind w:left="1320" w:hanging="220"/>
      <w:textAlignment w:val="auto"/>
    </w:pPr>
    <w:rPr>
      <w:rFonts w:eastAsiaTheme="minorEastAsia" w:cstheme="minorBidi"/>
      <w:sz w:val="18"/>
      <w:szCs w:val="18"/>
      <w:lang w:val="en-US" w:eastAsia="zh-CN"/>
    </w:rPr>
  </w:style>
  <w:style w:type="paragraph" w:styleId="Index7">
    <w:name w:val="index 7"/>
    <w:basedOn w:val="Normal"/>
    <w:next w:val="Normal"/>
    <w:autoRedefine/>
    <w:uiPriority w:val="99"/>
    <w:unhideWhenUsed/>
    <w:rsid w:val="00B469E0"/>
    <w:pPr>
      <w:tabs>
        <w:tab w:val="clear" w:pos="794"/>
        <w:tab w:val="clear" w:pos="1191"/>
        <w:tab w:val="clear" w:pos="1588"/>
        <w:tab w:val="clear" w:pos="1985"/>
      </w:tabs>
      <w:overflowPunct/>
      <w:autoSpaceDE/>
      <w:autoSpaceDN/>
      <w:adjustRightInd/>
      <w:spacing w:before="0" w:line="259" w:lineRule="auto"/>
      <w:ind w:left="1540" w:hanging="220"/>
      <w:textAlignment w:val="auto"/>
    </w:pPr>
    <w:rPr>
      <w:rFonts w:eastAsiaTheme="minorEastAsia" w:cstheme="minorBidi"/>
      <w:sz w:val="18"/>
      <w:szCs w:val="18"/>
      <w:lang w:val="en-US" w:eastAsia="zh-CN"/>
    </w:rPr>
  </w:style>
  <w:style w:type="paragraph" w:styleId="Index8">
    <w:name w:val="index 8"/>
    <w:basedOn w:val="Normal"/>
    <w:next w:val="Normal"/>
    <w:autoRedefine/>
    <w:uiPriority w:val="99"/>
    <w:unhideWhenUsed/>
    <w:rsid w:val="00B469E0"/>
    <w:pPr>
      <w:tabs>
        <w:tab w:val="clear" w:pos="794"/>
        <w:tab w:val="clear" w:pos="1191"/>
        <w:tab w:val="clear" w:pos="1588"/>
        <w:tab w:val="clear" w:pos="1985"/>
      </w:tabs>
      <w:overflowPunct/>
      <w:autoSpaceDE/>
      <w:autoSpaceDN/>
      <w:adjustRightInd/>
      <w:spacing w:before="0" w:line="259" w:lineRule="auto"/>
      <w:ind w:left="1760" w:hanging="220"/>
      <w:textAlignment w:val="auto"/>
    </w:pPr>
    <w:rPr>
      <w:rFonts w:eastAsiaTheme="minorEastAsia" w:cstheme="minorBidi"/>
      <w:sz w:val="18"/>
      <w:szCs w:val="18"/>
      <w:lang w:val="en-US" w:eastAsia="zh-CN"/>
    </w:rPr>
  </w:style>
  <w:style w:type="paragraph" w:styleId="Index9">
    <w:name w:val="index 9"/>
    <w:basedOn w:val="Normal"/>
    <w:next w:val="Normal"/>
    <w:autoRedefine/>
    <w:uiPriority w:val="99"/>
    <w:unhideWhenUsed/>
    <w:rsid w:val="00B469E0"/>
    <w:pPr>
      <w:tabs>
        <w:tab w:val="clear" w:pos="794"/>
        <w:tab w:val="clear" w:pos="1191"/>
        <w:tab w:val="clear" w:pos="1588"/>
        <w:tab w:val="clear" w:pos="1985"/>
      </w:tabs>
      <w:overflowPunct/>
      <w:autoSpaceDE/>
      <w:autoSpaceDN/>
      <w:adjustRightInd/>
      <w:spacing w:before="0" w:line="259" w:lineRule="auto"/>
      <w:ind w:left="1980" w:hanging="220"/>
      <w:textAlignment w:val="auto"/>
    </w:pPr>
    <w:rPr>
      <w:rFonts w:eastAsiaTheme="minorEastAsia" w:cstheme="minorBidi"/>
      <w:sz w:val="18"/>
      <w:szCs w:val="18"/>
      <w:lang w:val="en-US" w:eastAsia="zh-CN"/>
    </w:rPr>
  </w:style>
  <w:style w:type="paragraph" w:styleId="IndexHeading">
    <w:name w:val="index heading"/>
    <w:basedOn w:val="Normal"/>
    <w:next w:val="Index1"/>
    <w:uiPriority w:val="99"/>
    <w:unhideWhenUsed/>
    <w:rsid w:val="00B469E0"/>
    <w:pPr>
      <w:tabs>
        <w:tab w:val="clear" w:pos="794"/>
        <w:tab w:val="clear" w:pos="1191"/>
        <w:tab w:val="clear" w:pos="1588"/>
        <w:tab w:val="clear" w:pos="1985"/>
      </w:tabs>
      <w:overflowPunct/>
      <w:autoSpaceDE/>
      <w:autoSpaceDN/>
      <w:adjustRightInd/>
      <w:spacing w:before="240" w:after="120" w:line="259" w:lineRule="auto"/>
      <w:jc w:val="center"/>
      <w:textAlignment w:val="auto"/>
    </w:pPr>
    <w:rPr>
      <w:rFonts w:eastAsiaTheme="minorEastAsia" w:cstheme="minorBidi"/>
      <w:b/>
      <w:bCs/>
      <w:sz w:val="26"/>
      <w:szCs w:val="26"/>
      <w:lang w:val="en-US" w:eastAsia="zh-CN"/>
    </w:rPr>
  </w:style>
  <w:style w:type="paragraph" w:styleId="TOC9">
    <w:name w:val="toc 9"/>
    <w:basedOn w:val="Normal"/>
    <w:next w:val="Normal"/>
    <w:autoRedefine/>
    <w:uiPriority w:val="39"/>
    <w:unhideWhenUsed/>
    <w:rsid w:val="00B469E0"/>
    <w:pPr>
      <w:tabs>
        <w:tab w:val="clear" w:pos="794"/>
        <w:tab w:val="clear" w:pos="1191"/>
        <w:tab w:val="clear" w:pos="1588"/>
        <w:tab w:val="clear" w:pos="1985"/>
      </w:tabs>
      <w:overflowPunct/>
      <w:autoSpaceDE/>
      <w:autoSpaceDN/>
      <w:adjustRightInd/>
      <w:spacing w:before="0" w:line="259" w:lineRule="auto"/>
      <w:ind w:left="1760"/>
      <w:textAlignment w:val="auto"/>
    </w:pPr>
    <w:rPr>
      <w:rFonts w:eastAsiaTheme="minorEastAsia" w:cstheme="minorBidi"/>
      <w:sz w:val="20"/>
      <w:lang w:val="en-US" w:eastAsia="zh-CN"/>
    </w:rPr>
  </w:style>
  <w:style w:type="table" w:customStyle="1" w:styleId="TableGrid2">
    <w:name w:val="Table Grid2"/>
    <w:basedOn w:val="TableNormal"/>
    <w:next w:val="TableGrid"/>
    <w:uiPriority w:val="39"/>
    <w:rsid w:val="00B469E0"/>
    <w:rPr>
      <w:rFonts w:asciiTheme="minorHAnsi" w:eastAsiaTheme="minorEastAsia" w:hAnsiTheme="minorHAnsi" w:cstheme="minorBidi"/>
      <w:sz w:val="22"/>
      <w:szCs w:val="22"/>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semiHidden/>
    <w:unhideWhenUsed/>
    <w:qFormat/>
    <w:rsid w:val="00B469E0"/>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eastAsia="zh-CN"/>
    </w:rPr>
  </w:style>
  <w:style w:type="table" w:styleId="ListTable1Light-Accent1">
    <w:name w:val="List Table 1 Light Accent 1"/>
    <w:basedOn w:val="TableNormal"/>
    <w:uiPriority w:val="46"/>
    <w:rsid w:val="00B469E0"/>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1">
    <w:name w:val="List Table 2 Accent 1"/>
    <w:basedOn w:val="TableNormal"/>
    <w:uiPriority w:val="47"/>
    <w:rsid w:val="00B469E0"/>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5Dark-Accent1">
    <w:name w:val="Grid Table 5 Dark Accent 1"/>
    <w:basedOn w:val="TableNormal"/>
    <w:uiPriority w:val="50"/>
    <w:rsid w:val="00B469E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B469E0"/>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Date">
    <w:name w:val="Date"/>
    <w:basedOn w:val="Normal"/>
    <w:next w:val="Normal"/>
    <w:link w:val="DateChar"/>
    <w:rsid w:val="00B469E0"/>
    <w:rPr>
      <w:lang w:val="en-GB"/>
    </w:rPr>
  </w:style>
  <w:style w:type="character" w:customStyle="1" w:styleId="DateChar">
    <w:name w:val="Date Char"/>
    <w:basedOn w:val="DefaultParagraphFont"/>
    <w:link w:val="Date"/>
    <w:rsid w:val="00B469E0"/>
    <w:rPr>
      <w:rFonts w:ascii="Times New Roman" w:hAnsi="Times New Roman"/>
      <w:sz w:val="24"/>
      <w:lang w:val="en-GB" w:eastAsia="en-US"/>
    </w:rPr>
  </w:style>
  <w:style w:type="paragraph" w:customStyle="1" w:styleId="Tablefin">
    <w:name w:val="Table_fin"/>
    <w:basedOn w:val="Tabletext"/>
    <w:rsid w:val="00B469E0"/>
    <w:rPr>
      <w:sz w:val="20"/>
      <w:lang w:val="en-GB"/>
    </w:rPr>
  </w:style>
  <w:style w:type="table" w:customStyle="1" w:styleId="ListTable1Light-Accent11">
    <w:name w:val="List Table 1 Light - Accent 11"/>
    <w:basedOn w:val="TableNormal"/>
    <w:next w:val="ListTable1Light-Accent1"/>
    <w:uiPriority w:val="46"/>
    <w:rsid w:val="00B469E0"/>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UnresolvedMention">
    <w:name w:val="Unresolved Mention"/>
    <w:basedOn w:val="DefaultParagraphFont"/>
    <w:uiPriority w:val="99"/>
    <w:semiHidden/>
    <w:unhideWhenUsed/>
    <w:rsid w:val="00B469E0"/>
    <w:rPr>
      <w:color w:val="605E5C"/>
      <w:shd w:val="clear" w:color="auto" w:fill="E1DFDD"/>
    </w:rPr>
  </w:style>
  <w:style w:type="paragraph" w:customStyle="1" w:styleId="paragraph">
    <w:name w:val="paragraph"/>
    <w:basedOn w:val="Normal"/>
    <w:rsid w:val="00B469E0"/>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val="en-GB" w:eastAsia="en-GB"/>
    </w:rPr>
  </w:style>
  <w:style w:type="character" w:customStyle="1" w:styleId="normaltextrun">
    <w:name w:val="normaltextrun"/>
    <w:basedOn w:val="DefaultParagraphFont"/>
    <w:rsid w:val="00B469E0"/>
  </w:style>
  <w:style w:type="character" w:customStyle="1" w:styleId="eop">
    <w:name w:val="eop"/>
    <w:basedOn w:val="DefaultParagraphFont"/>
    <w:rsid w:val="00B469E0"/>
  </w:style>
  <w:style w:type="character" w:customStyle="1" w:styleId="scxw8478885">
    <w:name w:val="scxw8478885"/>
    <w:basedOn w:val="DefaultParagraphFont"/>
    <w:rsid w:val="00B469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4.emf"/><Relationship Id="rId21" Type="http://schemas.openxmlformats.org/officeDocument/2006/relationships/hyperlink" Target="https://www.itu.int/md/R23-RA23-C-0101/es" TargetMode="External"/><Relationship Id="rId42" Type="http://schemas.openxmlformats.org/officeDocument/2006/relationships/hyperlink" Target="https://www.itu.int/ITU-R/terrasys/docs" TargetMode="External"/><Relationship Id="rId47" Type="http://schemas.openxmlformats.org/officeDocument/2006/relationships/hyperlink" Target="https://www.itu.int/md/R00-CR-CIR-0515/es" TargetMode="External"/><Relationship Id="rId63" Type="http://schemas.openxmlformats.org/officeDocument/2006/relationships/hyperlink" Target="https://www.ift.org.mx/" TargetMode="External"/><Relationship Id="rId68" Type="http://schemas.openxmlformats.org/officeDocument/2006/relationships/image" Target="media/image5.jpeg"/><Relationship Id="rId84" Type="http://schemas.openxmlformats.org/officeDocument/2006/relationships/hyperlink" Target="https://www.itu.int/en/ITU-R/seminars/rrs/rrs-24-asia%26pacific/Pages/default.aspx" TargetMode="External"/><Relationship Id="rId89" Type="http://schemas.openxmlformats.org/officeDocument/2006/relationships/hyperlink" Target="https://www.itu.int/en/ITU-R/seminars/ntfa/ntfa-r3-ws-24/Pages/default.aspx" TargetMode="External"/><Relationship Id="rId16" Type="http://schemas.openxmlformats.org/officeDocument/2006/relationships/hyperlink" Target="https://www.itu.int/md/S24-CL-C-0012/es" TargetMode="External"/><Relationship Id="rId107" Type="http://schemas.openxmlformats.org/officeDocument/2006/relationships/theme" Target="theme/theme1.xml"/><Relationship Id="rId11" Type="http://schemas.openxmlformats.org/officeDocument/2006/relationships/hyperlink" Target="https://www.itu.int/md/S24-CL-C-0010/es" TargetMode="External"/><Relationship Id="rId32" Type="http://schemas.openxmlformats.org/officeDocument/2006/relationships/hyperlink" Target="https://www.itu.int/md/S24-CL-C-0064/es" TargetMode="External"/><Relationship Id="rId37" Type="http://schemas.openxmlformats.org/officeDocument/2006/relationships/hyperlink" Target="http://www.itu.int/en/ITU-R/conferences/wrc/2027/Pages/reg-prep.aspx" TargetMode="External"/><Relationship Id="rId53" Type="http://schemas.openxmlformats.org/officeDocument/2006/relationships/hyperlink" Target="https://en.rcc.org.ru/regional-commonwealth-in-the-field-of-communications" TargetMode="External"/><Relationship Id="rId58" Type="http://schemas.openxmlformats.org/officeDocument/2006/relationships/header" Target="header2.xml"/><Relationship Id="rId74" Type="http://schemas.openxmlformats.org/officeDocument/2006/relationships/hyperlink" Target="https://www.itu.int/en/mediacentre/backgrounders/Pages/5G-fifth-generation-of-mobile-technologies.aspx" TargetMode="External"/><Relationship Id="rId79" Type="http://schemas.openxmlformats.org/officeDocument/2006/relationships/hyperlink" Target="https://www.itu.int/en/mediacentre/backgrounders/Pages/Regulation-of-Satellite-Systems.aspx" TargetMode="External"/><Relationship Id="rId102" Type="http://schemas.openxmlformats.org/officeDocument/2006/relationships/hyperlink" Target="https://www.itu.int/pub/R-RES-R.72/es" TargetMode="External"/><Relationship Id="rId5" Type="http://schemas.openxmlformats.org/officeDocument/2006/relationships/footnotes" Target="footnotes.xml"/><Relationship Id="rId90" Type="http://schemas.openxmlformats.org/officeDocument/2006/relationships/hyperlink" Target="https://www.itu.int/en/ITU-R/seminars/ntfa/ntfa-r2-ws-24/Pages/default.aspx" TargetMode="External"/><Relationship Id="rId95" Type="http://schemas.openxmlformats.org/officeDocument/2006/relationships/hyperlink" Target="https://www.un.org/es/observances/world-television-day" TargetMode="External"/><Relationship Id="rId22" Type="http://schemas.openxmlformats.org/officeDocument/2006/relationships/hyperlink" Target="https://www.itu.int/md/R23-RA23-C-0091/es" TargetMode="External"/><Relationship Id="rId27" Type="http://schemas.openxmlformats.org/officeDocument/2006/relationships/hyperlink" Target="https://www.itu.int/md/S24-CL-C-0134/es" TargetMode="External"/><Relationship Id="rId43" Type="http://schemas.openxmlformats.org/officeDocument/2006/relationships/hyperlink" Target="https://www.itu.int/ITU-R/terrasys/docs" TargetMode="External"/><Relationship Id="rId48" Type="http://schemas.openxmlformats.org/officeDocument/2006/relationships/hyperlink" Target="https://www.itu.int/pub/R-REG-RR-2020/es" TargetMode="External"/><Relationship Id="rId64" Type="http://schemas.openxmlformats.org/officeDocument/2006/relationships/hyperlink" Target="https://www.oas.org/ext/es/principal/oea/nuestra-estructura/entidades-y-organismos/citel/Inicio" TargetMode="External"/><Relationship Id="rId69" Type="http://schemas.openxmlformats.org/officeDocument/2006/relationships/hyperlink" Target="mailto:brweb@itu.int" TargetMode="External"/><Relationship Id="rId80" Type="http://schemas.openxmlformats.org/officeDocument/2006/relationships/hyperlink" Target="https://www.itu.int/wrs-24/" TargetMode="External"/><Relationship Id="rId85" Type="http://schemas.openxmlformats.org/officeDocument/2006/relationships/hyperlink" Target="https://www.itu.int/en/ITU-R/seminars/rrs/RRS-24-Americas/Pages/default.aspx" TargetMode="External"/><Relationship Id="rId12" Type="http://schemas.openxmlformats.org/officeDocument/2006/relationships/hyperlink" Target="https://www.itu.int/md/S23-CL-C-0115/es" TargetMode="External"/><Relationship Id="rId17" Type="http://schemas.openxmlformats.org/officeDocument/2006/relationships/hyperlink" Target="https://www.itu.int/md/S24-CL-C-0137/es" TargetMode="External"/><Relationship Id="rId33" Type="http://schemas.openxmlformats.org/officeDocument/2006/relationships/hyperlink" Target="https://www.itu.int/md/R00-CA-CIR-0270/es" TargetMode="External"/><Relationship Id="rId38" Type="http://schemas.openxmlformats.org/officeDocument/2006/relationships/hyperlink" Target="https://www.itu.int/en/ITU-R/study-groups/rcpm/Pages/cpm-27.aspx" TargetMode="External"/><Relationship Id="rId59" Type="http://schemas.openxmlformats.org/officeDocument/2006/relationships/header" Target="header3.xml"/><Relationship Id="rId103" Type="http://schemas.openxmlformats.org/officeDocument/2006/relationships/hyperlink" Target="https://www.itu.int/now4wrc27/" TargetMode="External"/><Relationship Id="rId20" Type="http://schemas.openxmlformats.org/officeDocument/2006/relationships/hyperlink" Target="https://www.itu.int/md/S24-CL-C-0139/es" TargetMode="External"/><Relationship Id="rId41" Type="http://schemas.openxmlformats.org/officeDocument/2006/relationships/hyperlink" Target="https://www.itu.int/ITU-R/terrasys" TargetMode="External"/><Relationship Id="rId54" Type="http://schemas.openxmlformats.org/officeDocument/2006/relationships/hyperlink" Target="https://ntrc.gd/" TargetMode="External"/><Relationship Id="rId62" Type="http://schemas.openxmlformats.org/officeDocument/2006/relationships/hyperlink" Target="https://atuuat.africa/" TargetMode="External"/><Relationship Id="rId70" Type="http://schemas.openxmlformats.org/officeDocument/2006/relationships/hyperlink" Target="https://www.itu.int/hub/publication/s-gen-news-2024-1/" TargetMode="External"/><Relationship Id="rId75" Type="http://schemas.openxmlformats.org/officeDocument/2006/relationships/hyperlink" Target="https://www.itu.int/en/mediacentre/backgrounders/Pages/High-altitude-platform-systems.aspx" TargetMode="External"/><Relationship Id="rId83" Type="http://schemas.openxmlformats.org/officeDocument/2006/relationships/hyperlink" Target="https://www.itu.int/ssf/" TargetMode="External"/><Relationship Id="rId88" Type="http://schemas.openxmlformats.org/officeDocument/2006/relationships/hyperlink" Target="https://www.itu.int/en/ITU-R/seminars/ntfa/ntfa-r1-ws-24/Pages/default.aspx" TargetMode="External"/><Relationship Id="rId91" Type="http://schemas.openxmlformats.org/officeDocument/2006/relationships/hyperlink" Target="https://news.un.org/en/story/2023/02/1133422" TargetMode="External"/><Relationship Id="rId96" Type="http://schemas.openxmlformats.org/officeDocument/2006/relationships/hyperlink" Target="https://www.itu.int/es/ITU-R/Director/Pages/default.aspx"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3.emf"/><Relationship Id="rId23" Type="http://schemas.openxmlformats.org/officeDocument/2006/relationships/hyperlink" Target="https://www.itu.int/md/R23-RA23-C-0102/es" TargetMode="External"/><Relationship Id="rId28" Type="http://schemas.openxmlformats.org/officeDocument/2006/relationships/hyperlink" Target="https://www.itu.int/md/S24-CL-C-0109/en" TargetMode="External"/><Relationship Id="rId36" Type="http://schemas.openxmlformats.org/officeDocument/2006/relationships/hyperlink" Target="https://www.itu.int/net4/proposals/CPI/WRC27" TargetMode="External"/><Relationship Id="rId49" Type="http://schemas.openxmlformats.org/officeDocument/2006/relationships/hyperlink" Target="https://www.itu.int/es/publications/ITU-R/Pages/publications.aspx?parent=R-REG-RR-2024&amp;media=electronic" TargetMode="External"/><Relationship Id="rId57" Type="http://schemas.openxmlformats.org/officeDocument/2006/relationships/hyperlink" Target="https://www.pita.org.fj/" TargetMode="External"/><Relationship Id="rId106" Type="http://schemas.openxmlformats.org/officeDocument/2006/relationships/fontTable" Target="fontTable.xml"/><Relationship Id="rId10" Type="http://schemas.openxmlformats.org/officeDocument/2006/relationships/hyperlink" Target="https://www.itu.int/md/S24-CL-C-0016/es" TargetMode="External"/><Relationship Id="rId31" Type="http://schemas.openxmlformats.org/officeDocument/2006/relationships/hyperlink" Target="https://www.itu.int/md/S24-SG-CIR-0049/es" TargetMode="External"/><Relationship Id="rId44" Type="http://schemas.openxmlformats.org/officeDocument/2006/relationships/hyperlink" Target="https://www.itu.int/md/R00-CR-CIR-0516/es" TargetMode="External"/><Relationship Id="rId52" Type="http://schemas.openxmlformats.org/officeDocument/2006/relationships/hyperlink" Target="https://www.gov.kz/memleket/entities/mdai?lang=en" TargetMode="External"/><Relationship Id="rId60" Type="http://schemas.openxmlformats.org/officeDocument/2006/relationships/footer" Target="footer1.xml"/><Relationship Id="rId65" Type="http://schemas.openxmlformats.org/officeDocument/2006/relationships/hyperlink" Target="https://english.www.gov.cn/state_council/2014/08/23/content_281474983035940.htm" TargetMode="External"/><Relationship Id="rId73" Type="http://schemas.openxmlformats.org/officeDocument/2006/relationships/hyperlink" Target="https://www.itu.int/en/ITU-R/Documents/ITU-R-FAQ-IMT.pdf" TargetMode="External"/><Relationship Id="rId78" Type="http://schemas.openxmlformats.org/officeDocument/2006/relationships/hyperlink" Target="https://www.itu.int/en/mediacentre/backgrounders/Pages/Earth-stations-in-motion-satellite-issues.aspx" TargetMode="External"/><Relationship Id="rId81" Type="http://schemas.openxmlformats.org/officeDocument/2006/relationships/hyperlink" Target="https://www.itu.int/futureradionow/" TargetMode="External"/><Relationship Id="rId86" Type="http://schemas.openxmlformats.org/officeDocument/2006/relationships/hyperlink" Target="https://www.itu.int/en/ITU-R/seminars/rrs/rrs-24-cis/Pages/default.aspx" TargetMode="External"/><Relationship Id="rId94" Type="http://schemas.openxmlformats.org/officeDocument/2006/relationships/hyperlink" Target="https://news.un.org/en/story/2023/07/1138942" TargetMode="External"/><Relationship Id="rId99" Type="http://schemas.openxmlformats.org/officeDocument/2006/relationships/hyperlink" Target="https://www.itu.int/wrs-24/" TargetMode="External"/><Relationship Id="rId101" Type="http://schemas.openxmlformats.org/officeDocument/2006/relationships/image" Target="media/image7.jpg"/><Relationship Id="rId4" Type="http://schemas.openxmlformats.org/officeDocument/2006/relationships/webSettings" Target="webSettings.xml"/><Relationship Id="rId9" Type="http://schemas.openxmlformats.org/officeDocument/2006/relationships/hyperlink" Target="https://council.itu.int/2024/en/" TargetMode="External"/><Relationship Id="rId13" Type="http://schemas.openxmlformats.org/officeDocument/2006/relationships/image" Target="media/image2.png"/><Relationship Id="rId18" Type="http://schemas.openxmlformats.org/officeDocument/2006/relationships/hyperlink" Target="https://www.itu.int/md/S24-CL-C-0138/es" TargetMode="External"/><Relationship Id="rId39" Type="http://schemas.openxmlformats.org/officeDocument/2006/relationships/hyperlink" Target="https://www.itu.int/md/S24-CL-C-0028/es" TargetMode="External"/><Relationship Id="rId34" Type="http://schemas.openxmlformats.org/officeDocument/2006/relationships/hyperlink" Target="http://www.itu.int/go/rcpm-wrc-27-studies" TargetMode="External"/><Relationship Id="rId50" Type="http://schemas.openxmlformats.org/officeDocument/2006/relationships/hyperlink" Target="https://www.itu.int/space-connect/" TargetMode="External"/><Relationship Id="rId55" Type="http://schemas.openxmlformats.org/officeDocument/2006/relationships/hyperlink" Target="https://www.oas.org/ext/en/main/oas/our-structure/agencies-and-entities/citel" TargetMode="External"/><Relationship Id="rId76" Type="http://schemas.openxmlformats.org/officeDocument/2006/relationships/hyperlink" Target="https://www.itu.int/en/mediacentre/backgrounders/Pages/itu-r-managing-the-radio-frequency-spectrum-for-the-world.aspx" TargetMode="External"/><Relationship Id="rId97" Type="http://schemas.openxmlformats.org/officeDocument/2006/relationships/hyperlink" Target="https://www.itu.int/hub/pubs/itu-news-magazine/" TargetMode="External"/><Relationship Id="rId104" Type="http://schemas.openxmlformats.org/officeDocument/2006/relationships/hyperlink" Target="https://www.itu.int/now4wrc27/mentoring-programme/" TargetMode="External"/><Relationship Id="rId7" Type="http://schemas.openxmlformats.org/officeDocument/2006/relationships/image" Target="media/image1.jpeg"/><Relationship Id="rId71" Type="http://schemas.openxmlformats.org/officeDocument/2006/relationships/hyperlink" Target="https://www.itu.int/en/ITU-R/Documents/FAQs%20on%20RRB-new%20version.pdf" TargetMode="External"/><Relationship Id="rId92" Type="http://schemas.openxmlformats.org/officeDocument/2006/relationships/hyperlink" Target="https://wmo.int/site/world-meteorological-day-2025" TargetMode="External"/><Relationship Id="rId2" Type="http://schemas.openxmlformats.org/officeDocument/2006/relationships/styles" Target="styles.xml"/><Relationship Id="rId29" Type="http://schemas.openxmlformats.org/officeDocument/2006/relationships/hyperlink" Target="https://www.itu.int/md/S24-CL-C-0125/es" TargetMode="External"/><Relationship Id="rId24" Type="http://schemas.openxmlformats.org/officeDocument/2006/relationships/hyperlink" Target="https://www.itu.int/rag/correspondence-groups/on-cpm-process/" TargetMode="External"/><Relationship Id="rId40" Type="http://schemas.openxmlformats.org/officeDocument/2006/relationships/hyperlink" Target="https://www.itu.int/md/S24-CL-C-0123/es" TargetMode="External"/><Relationship Id="rId45" Type="http://schemas.openxmlformats.org/officeDocument/2006/relationships/hyperlink" Target="https://www.itu.int/en/ITU-R/space/ITUSpaceExplorer/Pages/default.aspx" TargetMode="External"/><Relationship Id="rId66" Type="http://schemas.openxmlformats.org/officeDocument/2006/relationships/hyperlink" Target="https://www.apt.int/" TargetMode="External"/><Relationship Id="rId87" Type="http://schemas.openxmlformats.org/officeDocument/2006/relationships/hyperlink" Target="https://www.itu.int/Global-ITU-WMO/use-and-management-of-radio-spectrum-for-meteorology/" TargetMode="External"/><Relationship Id="rId61" Type="http://schemas.openxmlformats.org/officeDocument/2006/relationships/hyperlink" Target="https://prida.africa/" TargetMode="External"/><Relationship Id="rId82" Type="http://schemas.openxmlformats.org/officeDocument/2006/relationships/hyperlink" Target="https://www.itu.int/en/ITU-R/seminars/Future-of-tv-europe/Pages/default.aspx" TargetMode="External"/><Relationship Id="rId19" Type="http://schemas.openxmlformats.org/officeDocument/2006/relationships/hyperlink" Target="https://www.itu.int/md/S25-CWGFHR20-C-0003/es" TargetMode="External"/><Relationship Id="rId14" Type="http://schemas.openxmlformats.org/officeDocument/2006/relationships/hyperlink" Target="https://www.itu.int/md/S25-CWGFHR20-C-0015/es" TargetMode="External"/><Relationship Id="rId30" Type="http://schemas.openxmlformats.org/officeDocument/2006/relationships/hyperlink" Target="https://www.itu.int/md/S24-SG-CIR-0038/es" TargetMode="External"/><Relationship Id="rId35" Type="http://schemas.openxmlformats.org/officeDocument/2006/relationships/hyperlink" Target="http://www.itu.int/en/ITU-R/study-groups/rcpm/Pages/wrc-31-preliminary-studies.aspx" TargetMode="External"/><Relationship Id="rId56" Type="http://schemas.openxmlformats.org/officeDocument/2006/relationships/hyperlink" Target="https://www.apt.int/" TargetMode="External"/><Relationship Id="rId77" Type="http://schemas.openxmlformats.org/officeDocument/2006/relationships/hyperlink" Target="https://www.itu.int/en/mediacentre/backgrounders/Pages/Radiocommunications-for-keeping-ships-and-people-safe-at-sea.aspx" TargetMode="External"/><Relationship Id="rId100" Type="http://schemas.openxmlformats.org/officeDocument/2006/relationships/image" Target="media/image6.jpeg"/><Relationship Id="rId105" Type="http://schemas.openxmlformats.org/officeDocument/2006/relationships/hyperlink" Target="https://www.itu.int/now4wrc27/online-registration/" TargetMode="External"/><Relationship Id="rId8" Type="http://schemas.openxmlformats.org/officeDocument/2006/relationships/hyperlink" Target="https://www.itu.int/md/R00-CA-CIR-0276/es" TargetMode="External"/><Relationship Id="rId51" Type="http://schemas.openxmlformats.org/officeDocument/2006/relationships/header" Target="header1.xml"/><Relationship Id="rId72" Type="http://schemas.openxmlformats.org/officeDocument/2006/relationships/hyperlink" Target="https://www.itu.int/en/ITU-R/Documents/FAQs%20on%20GNSS%20Interference.pdf" TargetMode="External"/><Relationship Id="rId93" Type="http://schemas.openxmlformats.org/officeDocument/2006/relationships/hyperlink" Target="https://www.arrl.org/news/view/world-amateur-radio-day-is-april-18-2024" TargetMode="External"/><Relationship Id="rId98" Type="http://schemas.openxmlformats.org/officeDocument/2006/relationships/hyperlink" Target="https://www.itu.int/futureradionow/" TargetMode="External"/><Relationship Id="rId3" Type="http://schemas.openxmlformats.org/officeDocument/2006/relationships/settings" Target="settings.xml"/><Relationship Id="rId25" Type="http://schemas.openxmlformats.org/officeDocument/2006/relationships/hyperlink" Target="https://www.itu.int/md/S24-CL-C-0063/es" TargetMode="External"/><Relationship Id="rId46" Type="http://schemas.openxmlformats.org/officeDocument/2006/relationships/hyperlink" Target="https://www.itu.int/md/R23-WP4A-C-0343/es" TargetMode="External"/><Relationship Id="rId67" Type="http://schemas.openxmlformats.org/officeDocument/2006/relationships/hyperlink" Target="https://www.itu.int/dms_pub/itu-r/oth/0a/0e/R0A0E0000E80001PDFE.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llaescusa\AppData\Roaming\Microsoft\Templates\POOL%20S%20-%20ITU\BR\PS_RAG.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PS_RAG.dotm</Template>
  <TotalTime>99</TotalTime>
  <Pages>34</Pages>
  <Words>15320</Words>
  <Characters>79822</Characters>
  <Application>Microsoft Office Word</Application>
  <DocSecurity>0</DocSecurity>
  <Lines>1900</Lines>
  <Paragraphs>1160</Paragraphs>
  <ScaleCrop>false</ScaleCrop>
  <HeadingPairs>
    <vt:vector size="2" baseType="variant">
      <vt:variant>
        <vt:lpstr>Title</vt:lpstr>
      </vt:variant>
      <vt:variant>
        <vt:i4>1</vt:i4>
      </vt:variant>
    </vt:vector>
  </HeadingPairs>
  <TitlesOfParts>
    <vt:vector size="1" baseType="lpstr">
      <vt:lpstr>INFORME A LA TRIGÉSIMA SEGUNDA REUNIÓN DEL GRUPO ASESOR DE RADIOCOMUNICACIONES</vt:lpstr>
    </vt:vector>
  </TitlesOfParts>
  <Manager>General Secretariat - Pool</Manager>
  <Company>International Telecommunication Union (ITU)</Company>
  <LinksUpToDate>false</LinksUpToDate>
  <CharactersWithSpaces>93982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A LA TRIGÉSIMA SEGUNDA REUNIÓN DEL GRUPO ASESOR DE RADIOCOMUNICACIONES</dc:title>
  <dc:subject>GRUPO ASESOR DE RADIOCOMUNICACIONES</dc:subject>
  <dc:creator>Director de la Oficina de Radiocomunicaciones</dc:creator>
  <cp:keywords>RAG03-1</cp:keywords>
  <dc:description>Documento RAG/30-S  For: _x000d_Document date: 28 de febrero de 2025_x000d_Saved by ITU51015602 at 9:46:29 on 14/03/2025</dc:description>
  <cp:lastModifiedBy>Villaescusa Cerezo, Sara</cp:lastModifiedBy>
  <cp:revision>12</cp:revision>
  <cp:lastPrinted>1993-02-18T11:12:00Z</cp:lastPrinted>
  <dcterms:created xsi:type="dcterms:W3CDTF">2025-03-14T08:38:00Z</dcterms:created>
  <dcterms:modified xsi:type="dcterms:W3CDTF">2025-03-14T10:28:00Z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Documento RAG/30-S</vt:lpwstr>
  </property>
  <property fmtid="{D5CDD505-2E9C-101B-9397-08002B2CF9AE}" pid="3" name="Docdate">
    <vt:lpwstr>28 de febrero de 2025</vt:lpwstr>
  </property>
  <property fmtid="{D5CDD505-2E9C-101B-9397-08002B2CF9AE}" pid="4" name="Docorlang">
    <vt:lpwstr>Original: inglés</vt:lpwstr>
  </property>
  <property fmtid="{D5CDD505-2E9C-101B-9397-08002B2CF9AE}" pid="5" name="Docauthor">
    <vt:lpwstr>Director de la Oficina de Radiocomunicaciones</vt:lpwstr>
  </property>
</Properties>
</file>