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DE6A6F" w14:paraId="716C8276" w14:textId="77777777" w:rsidTr="00443261">
        <w:trPr>
          <w:cantSplit/>
        </w:trPr>
        <w:tc>
          <w:tcPr>
            <w:tcW w:w="6771" w:type="dxa"/>
            <w:vAlign w:val="center"/>
          </w:tcPr>
          <w:p w14:paraId="2F49A1C9" w14:textId="77777777" w:rsidR="00443261" w:rsidRPr="00DE6A6F" w:rsidRDefault="00443261" w:rsidP="007711EA">
            <w:pPr>
              <w:shd w:val="solid" w:color="FFFFFF" w:fill="FFFFFF"/>
              <w:spacing w:before="360" w:after="240"/>
              <w:rPr>
                <w:rFonts w:ascii="Verdana" w:hAnsi="Verdana"/>
                <w:b/>
                <w:bCs/>
              </w:rPr>
            </w:pPr>
            <w:r w:rsidRPr="00DE6A6F">
              <w:rPr>
                <w:rFonts w:ascii="Verdana" w:hAnsi="Verdana" w:cs="Times New Roman Bold"/>
                <w:b/>
                <w:sz w:val="25"/>
                <w:szCs w:val="25"/>
              </w:rPr>
              <w:t>Groupe Consultatif des Radiocommunications</w:t>
            </w:r>
            <w:r w:rsidRPr="00DE6A6F">
              <w:rPr>
                <w:rFonts w:ascii="Verdana" w:hAnsi="Verdana"/>
                <w:b/>
                <w:sz w:val="25"/>
                <w:szCs w:val="25"/>
              </w:rPr>
              <w:br/>
            </w:r>
          </w:p>
        </w:tc>
        <w:tc>
          <w:tcPr>
            <w:tcW w:w="3118" w:type="dxa"/>
          </w:tcPr>
          <w:p w14:paraId="36D0557E" w14:textId="77777777" w:rsidR="00443261" w:rsidRPr="00DE6A6F" w:rsidRDefault="007711EA" w:rsidP="004E76DF">
            <w:pPr>
              <w:shd w:val="solid" w:color="FFFFFF" w:fill="FFFFFF"/>
              <w:spacing w:before="0" w:line="240" w:lineRule="atLeast"/>
            </w:pPr>
            <w:r w:rsidRPr="00DE6A6F">
              <w:rPr>
                <w:noProof/>
                <w:lang w:eastAsia="zh-CN"/>
              </w:rPr>
              <w:drawing>
                <wp:inline distT="0" distB="0" distL="0" distR="0" wp14:anchorId="5603026C" wp14:editId="4C80D68E">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DE6A6F" w14:paraId="5A077BD8" w14:textId="77777777">
        <w:trPr>
          <w:cantSplit/>
        </w:trPr>
        <w:tc>
          <w:tcPr>
            <w:tcW w:w="6771" w:type="dxa"/>
            <w:tcBorders>
              <w:bottom w:val="single" w:sz="12" w:space="0" w:color="auto"/>
            </w:tcBorders>
          </w:tcPr>
          <w:p w14:paraId="6AD5D1D7" w14:textId="77777777" w:rsidR="002D238A" w:rsidRPr="00DE6A6F"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27E01161" w14:textId="77777777" w:rsidR="002D238A" w:rsidRPr="00DE6A6F" w:rsidRDefault="002D238A" w:rsidP="00773E5E">
            <w:pPr>
              <w:shd w:val="solid" w:color="FFFFFF" w:fill="FFFFFF"/>
              <w:spacing w:before="0" w:after="48" w:line="240" w:lineRule="atLeast"/>
              <w:rPr>
                <w:sz w:val="22"/>
                <w:szCs w:val="22"/>
              </w:rPr>
            </w:pPr>
          </w:p>
        </w:tc>
      </w:tr>
      <w:tr w:rsidR="002D238A" w:rsidRPr="00DE6A6F" w14:paraId="36E21552" w14:textId="77777777">
        <w:trPr>
          <w:cantSplit/>
        </w:trPr>
        <w:tc>
          <w:tcPr>
            <w:tcW w:w="6771" w:type="dxa"/>
            <w:tcBorders>
              <w:top w:val="single" w:sz="12" w:space="0" w:color="auto"/>
            </w:tcBorders>
          </w:tcPr>
          <w:p w14:paraId="6C2703DA" w14:textId="77777777" w:rsidR="002D238A" w:rsidRPr="00DE6A6F"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2FCBC219" w14:textId="77777777" w:rsidR="002D238A" w:rsidRPr="00DE6A6F" w:rsidRDefault="002D238A" w:rsidP="00773E5E">
            <w:pPr>
              <w:shd w:val="solid" w:color="FFFFFF" w:fill="FFFFFF"/>
              <w:spacing w:before="0" w:after="48" w:line="240" w:lineRule="atLeast"/>
              <w:rPr>
                <w:rFonts w:ascii="Verdana" w:hAnsi="Verdana"/>
                <w:sz w:val="22"/>
                <w:szCs w:val="22"/>
              </w:rPr>
            </w:pPr>
          </w:p>
        </w:tc>
      </w:tr>
      <w:tr w:rsidR="002D238A" w:rsidRPr="00DE6A6F" w14:paraId="196E00B3" w14:textId="77777777">
        <w:trPr>
          <w:cantSplit/>
        </w:trPr>
        <w:tc>
          <w:tcPr>
            <w:tcW w:w="6771" w:type="dxa"/>
            <w:vMerge w:val="restart"/>
          </w:tcPr>
          <w:p w14:paraId="1A58B545" w14:textId="77777777" w:rsidR="002D238A" w:rsidRPr="00DE6A6F" w:rsidRDefault="002D238A" w:rsidP="005031C8">
            <w:pPr>
              <w:shd w:val="solid" w:color="FFFFFF" w:fill="FFFFFF"/>
              <w:spacing w:before="0" w:line="240" w:lineRule="atLeast"/>
              <w:rPr>
                <w:rFonts w:ascii="Verdana" w:hAnsi="Verdana"/>
                <w:sz w:val="20"/>
              </w:rPr>
            </w:pPr>
            <w:bookmarkStart w:id="0" w:name="dnum" w:colFirst="1" w:colLast="1"/>
          </w:p>
        </w:tc>
        <w:tc>
          <w:tcPr>
            <w:tcW w:w="3118" w:type="dxa"/>
          </w:tcPr>
          <w:p w14:paraId="582EE0AC" w14:textId="7091279B" w:rsidR="002D238A" w:rsidRPr="00DE6A6F" w:rsidRDefault="004D3B33" w:rsidP="00773E5E">
            <w:pPr>
              <w:shd w:val="solid" w:color="FFFFFF" w:fill="FFFFFF"/>
              <w:spacing w:before="0" w:line="240" w:lineRule="atLeast"/>
              <w:rPr>
                <w:rFonts w:ascii="Verdana" w:hAnsi="Verdana"/>
                <w:b/>
                <w:bCs/>
                <w:sz w:val="20"/>
              </w:rPr>
            </w:pPr>
            <w:r w:rsidRPr="00DE6A6F">
              <w:rPr>
                <w:rFonts w:ascii="Verdana" w:hAnsi="Verdana"/>
                <w:b/>
                <w:bCs/>
                <w:sz w:val="20"/>
              </w:rPr>
              <w:t>Document RAG/30-F</w:t>
            </w:r>
          </w:p>
        </w:tc>
      </w:tr>
      <w:tr w:rsidR="002D238A" w:rsidRPr="00DE6A6F" w14:paraId="7E7AA63B" w14:textId="77777777">
        <w:trPr>
          <w:cantSplit/>
        </w:trPr>
        <w:tc>
          <w:tcPr>
            <w:tcW w:w="6771" w:type="dxa"/>
            <w:vMerge/>
          </w:tcPr>
          <w:p w14:paraId="2C1DA12E" w14:textId="77777777" w:rsidR="002D238A" w:rsidRPr="00DE6A6F" w:rsidRDefault="002D238A" w:rsidP="00773E5E">
            <w:pPr>
              <w:spacing w:before="60"/>
              <w:jc w:val="center"/>
              <w:rPr>
                <w:b/>
                <w:smallCaps/>
                <w:sz w:val="32"/>
              </w:rPr>
            </w:pPr>
            <w:bookmarkStart w:id="1" w:name="ddate" w:colFirst="1" w:colLast="1"/>
            <w:bookmarkEnd w:id="0"/>
          </w:p>
        </w:tc>
        <w:tc>
          <w:tcPr>
            <w:tcW w:w="3118" w:type="dxa"/>
          </w:tcPr>
          <w:p w14:paraId="07BD2680" w14:textId="176DC125" w:rsidR="002D238A" w:rsidRPr="00DE6A6F" w:rsidRDefault="004D3B33" w:rsidP="00773E5E">
            <w:pPr>
              <w:shd w:val="solid" w:color="FFFFFF" w:fill="FFFFFF"/>
              <w:spacing w:before="0" w:line="240" w:lineRule="atLeast"/>
              <w:rPr>
                <w:rFonts w:ascii="Verdana" w:hAnsi="Verdana"/>
                <w:b/>
                <w:bCs/>
                <w:sz w:val="20"/>
              </w:rPr>
            </w:pPr>
            <w:r w:rsidRPr="00DE6A6F">
              <w:rPr>
                <w:rFonts w:ascii="Verdana" w:hAnsi="Verdana"/>
                <w:b/>
                <w:bCs/>
                <w:sz w:val="20"/>
              </w:rPr>
              <w:t>28 février 2025</w:t>
            </w:r>
          </w:p>
        </w:tc>
      </w:tr>
      <w:tr w:rsidR="002D238A" w:rsidRPr="00DE6A6F" w14:paraId="3E5B4120" w14:textId="77777777">
        <w:trPr>
          <w:cantSplit/>
        </w:trPr>
        <w:tc>
          <w:tcPr>
            <w:tcW w:w="6771" w:type="dxa"/>
            <w:vMerge/>
          </w:tcPr>
          <w:p w14:paraId="42482C4E" w14:textId="77777777" w:rsidR="002D238A" w:rsidRPr="00DE6A6F" w:rsidRDefault="002D238A" w:rsidP="00773E5E">
            <w:pPr>
              <w:spacing w:before="60"/>
              <w:jc w:val="center"/>
              <w:rPr>
                <w:b/>
                <w:smallCaps/>
                <w:sz w:val="32"/>
              </w:rPr>
            </w:pPr>
            <w:bookmarkStart w:id="2" w:name="dorlang" w:colFirst="1" w:colLast="1"/>
            <w:bookmarkEnd w:id="1"/>
          </w:p>
        </w:tc>
        <w:tc>
          <w:tcPr>
            <w:tcW w:w="3118" w:type="dxa"/>
          </w:tcPr>
          <w:p w14:paraId="65D88460" w14:textId="5F09FA4C" w:rsidR="002D238A" w:rsidRPr="00DE6A6F" w:rsidRDefault="004D3B33" w:rsidP="00773E5E">
            <w:pPr>
              <w:shd w:val="solid" w:color="FFFFFF" w:fill="FFFFFF"/>
              <w:spacing w:before="0" w:after="120" w:line="240" w:lineRule="atLeast"/>
              <w:rPr>
                <w:rFonts w:ascii="Verdana" w:hAnsi="Verdana"/>
                <w:b/>
                <w:bCs/>
                <w:sz w:val="20"/>
              </w:rPr>
            </w:pPr>
            <w:r w:rsidRPr="00DE6A6F">
              <w:rPr>
                <w:rFonts w:ascii="Verdana" w:hAnsi="Verdana"/>
                <w:b/>
                <w:bCs/>
                <w:sz w:val="20"/>
              </w:rPr>
              <w:t>Original: anglais</w:t>
            </w:r>
          </w:p>
        </w:tc>
      </w:tr>
      <w:tr w:rsidR="002D238A" w:rsidRPr="00DE6A6F" w14:paraId="602A7D9C" w14:textId="77777777">
        <w:trPr>
          <w:cantSplit/>
        </w:trPr>
        <w:tc>
          <w:tcPr>
            <w:tcW w:w="9889" w:type="dxa"/>
            <w:gridSpan w:val="2"/>
          </w:tcPr>
          <w:p w14:paraId="4DDE31D4" w14:textId="30005DD3" w:rsidR="002D238A" w:rsidRPr="00DE6A6F" w:rsidRDefault="004D3B33" w:rsidP="00773E5E">
            <w:pPr>
              <w:pStyle w:val="Source"/>
            </w:pPr>
            <w:bookmarkStart w:id="3" w:name="dsource" w:colFirst="0" w:colLast="0"/>
            <w:bookmarkEnd w:id="2"/>
            <w:r w:rsidRPr="00DE6A6F">
              <w:t>Directeur du Bureau des radiocommunications</w:t>
            </w:r>
          </w:p>
        </w:tc>
      </w:tr>
      <w:tr w:rsidR="002D238A" w:rsidRPr="00DE6A6F" w14:paraId="7F58F2E8" w14:textId="77777777">
        <w:trPr>
          <w:cantSplit/>
        </w:trPr>
        <w:tc>
          <w:tcPr>
            <w:tcW w:w="9889" w:type="dxa"/>
            <w:gridSpan w:val="2"/>
          </w:tcPr>
          <w:p w14:paraId="5921C394" w14:textId="51D24B3F" w:rsidR="002D238A" w:rsidRPr="00DE6A6F" w:rsidRDefault="004D3B33" w:rsidP="004D3B33">
            <w:pPr>
              <w:pStyle w:val="Title1"/>
            </w:pPr>
            <w:bookmarkStart w:id="4" w:name="dtitle1" w:colFirst="0" w:colLast="0"/>
            <w:bookmarkEnd w:id="3"/>
            <w:r w:rsidRPr="00DE6A6F">
              <w:t>RAPPORT À LA TRENTE-DEUXIÈME RÉUNION DU GROUPE</w:t>
            </w:r>
            <w:r w:rsidRPr="00DE6A6F">
              <w:br/>
              <w:t>CONSULTATIF DES RADIOCOMMUNICATIONS</w:t>
            </w:r>
          </w:p>
        </w:tc>
      </w:tr>
    </w:tbl>
    <w:bookmarkEnd w:id="4"/>
    <w:p w14:paraId="456684F6" w14:textId="77777777" w:rsidR="004D3B33" w:rsidRPr="00DE6A6F" w:rsidRDefault="004D3B33" w:rsidP="004D3B33">
      <w:pPr>
        <w:pStyle w:val="Heading1"/>
      </w:pPr>
      <w:r w:rsidRPr="00DE6A6F">
        <w:t>1</w:t>
      </w:r>
      <w:r w:rsidRPr="00DE6A6F">
        <w:tab/>
        <w:t>Introduction</w:t>
      </w:r>
    </w:p>
    <w:p w14:paraId="0907A212" w14:textId="70ECC150" w:rsidR="004D3B33" w:rsidRPr="00DE6A6F" w:rsidRDefault="004D3B33" w:rsidP="004D3B33">
      <w:r w:rsidRPr="00DE6A6F">
        <w:t xml:space="preserve">Le présent document vise à faire le point et à donner des informations sur les questions qui figurent dans le projet d'ordre du jour de la 32ème réunion du Groupe consultatif des radiocommunications (GCR) (voir la Circulaire administrative </w:t>
      </w:r>
      <w:hyperlink r:id="rId9" w:history="1">
        <w:r w:rsidRPr="00DE6A6F">
          <w:rPr>
            <w:rStyle w:val="Hyperlink"/>
          </w:rPr>
          <w:t>CA/276</w:t>
        </w:r>
      </w:hyperlink>
      <w:r w:rsidRPr="00DE6A6F">
        <w:t>), afin d'aider les participants lorsqu'ils examineront les points correspondants de l'ordre du jour.</w:t>
      </w:r>
    </w:p>
    <w:p w14:paraId="04E131B5" w14:textId="77777777" w:rsidR="004D3B33" w:rsidRPr="00DE6A6F" w:rsidRDefault="004D3B33" w:rsidP="004D3B33">
      <w:r w:rsidRPr="00DE6A6F">
        <w:t>Des rapports distincts seront soumis pour certains des points de l'ordre du jour.</w:t>
      </w:r>
    </w:p>
    <w:p w14:paraId="4E3CA3D3" w14:textId="77777777" w:rsidR="004D3B33" w:rsidRPr="00DE6A6F" w:rsidRDefault="004D3B33" w:rsidP="004D3B33">
      <w:pPr>
        <w:pStyle w:val="Heading1"/>
      </w:pPr>
      <w:r w:rsidRPr="00DE6A6F">
        <w:t>2</w:t>
      </w:r>
      <w:r w:rsidRPr="00DE6A6F">
        <w:tab/>
        <w:t>Questions relatives au Conseil</w:t>
      </w:r>
    </w:p>
    <w:p w14:paraId="0765C2E7" w14:textId="7C4C6C52" w:rsidR="004D3B33" w:rsidRPr="00DE6A6F" w:rsidRDefault="004D3B33" w:rsidP="004D3B33">
      <w:r w:rsidRPr="00DE6A6F">
        <w:t xml:space="preserve">Cette partie porte sur les questions traitées durant la session de 2024 du Conseil, tenue du 4 au 14 juillet 20243 (voir la page </w:t>
      </w:r>
      <w:hyperlink r:id="rId10" w:anchor="/fr" w:history="1">
        <w:r w:rsidRPr="00DE6A6F">
          <w:rPr>
            <w:rStyle w:val="Hyperlink"/>
          </w:rPr>
          <w:t>https://council.itu.int/2024/en/</w:t>
        </w:r>
      </w:hyperlink>
      <w:r w:rsidRPr="00DE6A6F">
        <w:t xml:space="preserve">) et durant les réunions ultérieures des </w:t>
      </w:r>
      <w:r w:rsidR="000558EE" w:rsidRPr="00DE6A6F">
        <w:t>G</w:t>
      </w:r>
      <w:r w:rsidRPr="00DE6A6F">
        <w:t xml:space="preserve">roupes de travail et des </w:t>
      </w:r>
      <w:r w:rsidR="000558EE" w:rsidRPr="00DE6A6F">
        <w:t>G</w:t>
      </w:r>
      <w:r w:rsidRPr="00DE6A6F">
        <w:t>roupes d'experts du Conseil.</w:t>
      </w:r>
    </w:p>
    <w:p w14:paraId="65F2C4F3" w14:textId="20E6FF7D" w:rsidR="004D3B33" w:rsidRPr="00DE6A6F" w:rsidRDefault="004D3B33" w:rsidP="004D3B33">
      <w:pPr>
        <w:pStyle w:val="Heading2"/>
      </w:pPr>
      <w:r w:rsidRPr="00DE6A6F">
        <w:t>2.1</w:t>
      </w:r>
      <w:r w:rsidRPr="00DE6A6F">
        <w:tab/>
        <w:t>Recouvrement des coûts pour le traitement des fiches de notification des réseaux à satellite</w:t>
      </w:r>
    </w:p>
    <w:p w14:paraId="2D7A7E7D" w14:textId="3D5CDE74" w:rsidR="004D3B33" w:rsidRPr="00DE6A6F" w:rsidRDefault="004D3B33" w:rsidP="004D3B33">
      <w:r w:rsidRPr="00DE6A6F">
        <w:t xml:space="preserve">À sa session de 2024, le Conseil a pris note du rapport annuel sur la mise en œuvre de la Décision 482 (C01, dernière mod. C20) (voir le Document </w:t>
      </w:r>
      <w:hyperlink r:id="rId11" w:history="1">
        <w:r w:rsidRPr="00DE6A6F">
          <w:rPr>
            <w:rStyle w:val="Hyperlink"/>
          </w:rPr>
          <w:t>C24/16</w:t>
        </w:r>
      </w:hyperlink>
      <w:r w:rsidRPr="00DE6A6F">
        <w:t>).</w:t>
      </w:r>
    </w:p>
    <w:p w14:paraId="4F533D94" w14:textId="27CF90FD" w:rsidR="004D3B33" w:rsidRPr="00DE6A6F" w:rsidRDefault="004D3B33" w:rsidP="004D3B33">
      <w:r w:rsidRPr="00DE6A6F">
        <w:t>Le Conseil a également approuvé, à titre provisoire, une proposition de révision de la Décision 482 du Conseil (C01, dernière mod. C20) dans le but de garantir le recouvrement des coûts pour le traitement des fiches de notification des stations terriennes en mouvement, conformément à la Résolution </w:t>
      </w:r>
      <w:r w:rsidRPr="00DE6A6F">
        <w:rPr>
          <w:b/>
          <w:bCs/>
        </w:rPr>
        <w:t>121 (CMR-23)</w:t>
      </w:r>
      <w:r w:rsidRPr="00DE6A6F">
        <w:t>, à compter du 1er janvier 2025. En outre, le Conseil a chargé le Groupe d'experts sur la Décision 482 de revoir les aspects liés au recouvrement des coûts pour le traitement desdites fiches de notification et d'inclure une nouvelle mise à jour de la Décision 482, s'il y a lieu, dans le rapport qu'il soumettra à la session de 2025 du Conseil.</w:t>
      </w:r>
    </w:p>
    <w:p w14:paraId="476E2B22" w14:textId="16BE0D66" w:rsidR="004D3B33" w:rsidRPr="00DE6A6F" w:rsidRDefault="004D3B33" w:rsidP="004D3B33">
      <w:r w:rsidRPr="00DE6A6F">
        <w:t xml:space="preserve">Concernant les travaux menés par ce Groupe d'experts sur la Décision 482, le Conseil a pris note du rapport de la Présidente de ce </w:t>
      </w:r>
      <w:r w:rsidR="00E91A04" w:rsidRPr="00DE6A6F">
        <w:t>G</w:t>
      </w:r>
      <w:r w:rsidRPr="00DE6A6F">
        <w:t xml:space="preserve">roupe (voir le Document </w:t>
      </w:r>
      <w:hyperlink r:id="rId12" w:history="1">
        <w:r w:rsidRPr="00DE6A6F">
          <w:rPr>
            <w:rStyle w:val="Hyperlink"/>
          </w:rPr>
          <w:t>C24/10</w:t>
        </w:r>
      </w:hyperlink>
      <w:r w:rsidRPr="00DE6A6F">
        <w:t>) et prié ce dernier de présenter son rapport final lors de la session de 2025 du Conseil, conformément à son mandat, ainsi que de fournir un projet de rapport aux réunions du Groupe de travail du Conseil sur les ressources financières et les ressources humaines (GTC-FHR) et du Groupe de travail du Conseil chargé d'élaborer le Plan stratégique et le Plan financier (GTC-SFP), qui se tiendront en février 2025.</w:t>
      </w:r>
    </w:p>
    <w:p w14:paraId="6879A56B" w14:textId="68799B65" w:rsidR="004D3B33" w:rsidRPr="00DE6A6F" w:rsidRDefault="004D3B33" w:rsidP="004D3B33">
      <w:r w:rsidRPr="00DE6A6F">
        <w:lastRenderedPageBreak/>
        <w:t>Depuis la dernière réunion du GCR, le Groupe d'experts du Conseil sur la Décision 482 s'est réuni à deux reprises, les 4 et 5 novembre 2024 et les 10 et 11 février 2025.</w:t>
      </w:r>
    </w:p>
    <w:p w14:paraId="1DCBF38F" w14:textId="0FF984F2" w:rsidR="004D3B33" w:rsidRPr="00DE6A6F" w:rsidRDefault="004D3B33" w:rsidP="004D3B33">
      <w:r w:rsidRPr="00DE6A6F">
        <w:t>Durant la réunion tenue en novembre, ce Groupe d'experts a examiné les informations fournies par le Bureau des radiocommunications (BR) sur les dix points de son mandat. Concernant certains de ces points, le Groupe d'experts a demandé des renseignements supplémentaires en vue de sa prochaine réunion ainsi qu'une liste des modifications qui pourraient être apportées à la Décision 482 du Conseil.</w:t>
      </w:r>
    </w:p>
    <w:p w14:paraId="344B67D4" w14:textId="222FE1A1" w:rsidR="004D3B33" w:rsidRPr="00DE6A6F" w:rsidRDefault="004D3B33" w:rsidP="004D3B33">
      <w:r w:rsidRPr="00DE6A6F">
        <w:t>À sa réunion de février 2025, il a examiné les dix points de son mandat en vue de déterminer quelles modifications pourraient être apportées à la Décision 482. S'agissant de quatre de ces points (b, e, h et i), il a été convenu de proposer au Conseil les révisions qu'il était possible d'apporter à la Décision 482. Concernant trois autres points (a, d et j), le Groupe d'experts a décidé qu'aucune modification ne devait être apportée à la Décision. Les autres points (c, f et g) demeurent en suspens.</w:t>
      </w:r>
    </w:p>
    <w:p w14:paraId="4BDAF04E" w14:textId="7620AA30" w:rsidR="004D3B33" w:rsidRPr="00DE6A6F" w:rsidRDefault="004D3B33" w:rsidP="004D3B33">
      <w:r w:rsidRPr="00DE6A6F">
        <w:t>Le Groupe d'experts tiendra une 4ème réunion les 10 et 11 avril 2025 afin de compléter le rapport qu'il soumettra au Conseil.</w:t>
      </w:r>
    </w:p>
    <w:p w14:paraId="2941B455" w14:textId="4930670F" w:rsidR="004D3B33" w:rsidRPr="00DE6A6F" w:rsidRDefault="004D3B33" w:rsidP="004D3B33">
      <w:pPr>
        <w:pStyle w:val="Heading2"/>
      </w:pPr>
      <w:r w:rsidRPr="00DE6A6F">
        <w:t>2.2</w:t>
      </w:r>
      <w:r w:rsidRPr="00DE6A6F">
        <w:tab/>
        <w:t>Budget pour l'exercice 2024-2025 et projet de budget pour l'exercice 2026-2027</w:t>
      </w:r>
    </w:p>
    <w:p w14:paraId="58AFEC1B" w14:textId="32E3CB79" w:rsidR="004D3B33" w:rsidRPr="00DE6A6F" w:rsidRDefault="004D3B33" w:rsidP="004D3B33">
      <w:r w:rsidRPr="00DE6A6F">
        <w:t xml:space="preserve">Le budget de l'UIT-R pour l'exercice 2024-2025 (voir la Résolution </w:t>
      </w:r>
      <w:hyperlink r:id="rId13" w:history="1">
        <w:r w:rsidRPr="00DE6A6F">
          <w:rPr>
            <w:rStyle w:val="Hyperlink"/>
          </w:rPr>
          <w:t>1417</w:t>
        </w:r>
      </w:hyperlink>
      <w:r w:rsidRPr="00DE6A6F">
        <w:t xml:space="preserve"> du Conseil), reproduit ci</w:t>
      </w:r>
      <w:r w:rsidRPr="00DE6A6F">
        <w:noBreakHyphen/>
        <w:t>après, a été adopté par le Conseil à sa session de 2023.</w:t>
      </w:r>
    </w:p>
    <w:p w14:paraId="126BAEF0" w14:textId="24D563DE" w:rsidR="00AF2EDC" w:rsidRPr="00DE6A6F" w:rsidRDefault="004D3B33" w:rsidP="004D3B33">
      <w:pPr>
        <w:pStyle w:val="TableNotitle"/>
      </w:pPr>
      <w:r w:rsidRPr="00DE6A6F">
        <w:t>Tableau 2.2-1 – Budget pour l'exercice 2024-2025</w:t>
      </w:r>
    </w:p>
    <w:p w14:paraId="64E3F5F4" w14:textId="0AAC59B8" w:rsidR="004D3B33" w:rsidRPr="00DE6A6F" w:rsidRDefault="00D70B0F" w:rsidP="00DC5F84">
      <w:pPr>
        <w:pStyle w:val="Figure"/>
      </w:pPr>
      <w:r w:rsidRPr="00DE6A6F">
        <w:rPr>
          <w:noProof/>
        </w:rPr>
        <w:drawing>
          <wp:inline distT="0" distB="0" distL="0" distR="0" wp14:anchorId="524CA3E7" wp14:editId="6A0223CB">
            <wp:extent cx="6120765" cy="30276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3027680"/>
                    </a:xfrm>
                    <a:prstGeom prst="rect">
                      <a:avLst/>
                    </a:prstGeom>
                    <a:noFill/>
                    <a:ln>
                      <a:noFill/>
                    </a:ln>
                  </pic:spPr>
                </pic:pic>
              </a:graphicData>
            </a:graphic>
          </wp:inline>
        </w:drawing>
      </w:r>
    </w:p>
    <w:p w14:paraId="401E34BD" w14:textId="46813DEF" w:rsidR="00DC5F84" w:rsidRPr="00DE6A6F" w:rsidRDefault="00DC5F84" w:rsidP="00DC5F84">
      <w:r w:rsidRPr="00DE6A6F">
        <w:t xml:space="preserve">À la réunion de février 2025 du Groupe de travail du Conseil sur les ressources financières et les ressources humaines, le Document </w:t>
      </w:r>
      <w:hyperlink r:id="rId15" w:history="1">
        <w:r w:rsidRPr="00DE6A6F">
          <w:rPr>
            <w:rStyle w:val="Hyperlink"/>
          </w:rPr>
          <w:t>CWG-FHR-20/15</w:t>
        </w:r>
      </w:hyperlink>
      <w:r w:rsidRPr="00DE6A6F">
        <w:t xml:space="preserve"> a été présenté afin de faire le point sur l'état du projet de budget pour l'exercice biennal 2026-2027. Durant la phase de préparation du projet de budget pour l'exercice 2026-2027, les charges et les produits n'étaient pas équilibrés, donnant lieu à un déficit de 18,1 millions de CHF. Le Secrétariat général poursuivra la préparation du budget biennal et prévoit de l'équilibrer avant de le soumettre à la session de 2025 du Conseil.</w:t>
      </w:r>
    </w:p>
    <w:p w14:paraId="46323F0C" w14:textId="0F05D822" w:rsidR="00DC5F84" w:rsidRPr="00DE6A6F" w:rsidRDefault="00DC5F84" w:rsidP="00DC5F84">
      <w:pPr>
        <w:pStyle w:val="Normalaftertitle"/>
      </w:pPr>
      <w:r w:rsidRPr="00DE6A6F">
        <w:lastRenderedPageBreak/>
        <w:t>On trouvera dans le Tableau 2.2-2 une ventilation par section du projet de budget du Secteur des radiocommunications pour l'exercice 2026-2027.</w:t>
      </w:r>
    </w:p>
    <w:p w14:paraId="6C44E5F3" w14:textId="1C4B8789" w:rsidR="00DC5F84" w:rsidRPr="00DE6A6F" w:rsidRDefault="00DC5F84" w:rsidP="00DC5F84">
      <w:pPr>
        <w:pStyle w:val="TableNotitle"/>
      </w:pPr>
      <w:r w:rsidRPr="00DE6A6F">
        <w:t>Tableau 2.2-2 – Projet de budget pour l'exercice 2026-2027</w:t>
      </w:r>
    </w:p>
    <w:p w14:paraId="178F5450" w14:textId="244CBB1F" w:rsidR="00DC5F84" w:rsidRPr="00DE6A6F" w:rsidRDefault="001A5907" w:rsidP="00741CF6">
      <w:pPr>
        <w:pStyle w:val="Figure"/>
      </w:pPr>
      <w:r w:rsidRPr="00DE6A6F">
        <w:rPr>
          <w:noProof/>
        </w:rPr>
        <w:drawing>
          <wp:inline distT="0" distB="0" distL="0" distR="0" wp14:anchorId="677C3C6B" wp14:editId="30F291FA">
            <wp:extent cx="6120765" cy="18586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1858645"/>
                    </a:xfrm>
                    <a:prstGeom prst="rect">
                      <a:avLst/>
                    </a:prstGeom>
                    <a:noFill/>
                    <a:ln>
                      <a:noFill/>
                    </a:ln>
                  </pic:spPr>
                </pic:pic>
              </a:graphicData>
            </a:graphic>
          </wp:inline>
        </w:drawing>
      </w:r>
    </w:p>
    <w:p w14:paraId="10DA7866" w14:textId="77777777" w:rsidR="00741CF6" w:rsidRPr="00DE6A6F" w:rsidRDefault="00741CF6" w:rsidP="00741CF6">
      <w:pPr>
        <w:pStyle w:val="Heading2"/>
      </w:pPr>
      <w:r w:rsidRPr="00DE6A6F">
        <w:t>2.3</w:t>
      </w:r>
      <w:r w:rsidRPr="00DE6A6F">
        <w:tab/>
        <w:t>Utilisation des six langues officielles de l'Union sur un pied d'égalité</w:t>
      </w:r>
    </w:p>
    <w:p w14:paraId="2849A6D1" w14:textId="4B30E040" w:rsidR="00741CF6" w:rsidRPr="00DE6A6F" w:rsidRDefault="00741CF6" w:rsidP="00741CF6">
      <w:r w:rsidRPr="00DE6A6F">
        <w:t>La Conférence de plénipotentiaires de 2022 de l'UIT (PP-22) a adopté la Résolution 154 (Rév. Bucarest, 2022), qui porte sur l'utilisation des six langues officielles de l'Union. Dans cette Résolution, l'UIT est invitée à continuer de prendre toutes les mesures nécessaires pour garantir l'utilisation des six langues officielles de l'Union sur un pied d'égalité, et pour assurer l'interprétation et la traduction des documents de l'UIT, même si pour certains travaux de l'UIT (par exemple ceux des groupes de travail et des conférences régionales) l'utilisation de toutes les langues officielles ne s</w:t>
      </w:r>
      <w:r w:rsidR="008B5B76" w:rsidRPr="00DE6A6F">
        <w:t>'</w:t>
      </w:r>
      <w:r w:rsidRPr="00DE6A6F">
        <w:t>impose peut-être pas.</w:t>
      </w:r>
    </w:p>
    <w:p w14:paraId="2C915786" w14:textId="534825A2" w:rsidR="00741CF6" w:rsidRPr="00DE6A6F" w:rsidRDefault="00741CF6" w:rsidP="00741CF6">
      <w:r w:rsidRPr="00DE6A6F">
        <w:t>Dans sa Résolution 154 (Rév. Bucarest, 2022), la Conférence de plénipotentiaires charge le Secrétaire général de l'UIT, en collaboration étroite avec les Directeurs des Bureaux, de présenter chaque année un rapport au Conseil et au Groupe de travail du Conseil sur l'utilisation des langues (GTC</w:t>
      </w:r>
      <w:r w:rsidRPr="00DE6A6F">
        <w:noBreakHyphen/>
        <w:t>LANG). À la session de 2024 du Conseil, l</w:t>
      </w:r>
      <w:r w:rsidR="008B5B76" w:rsidRPr="00DE6A6F">
        <w:t>'</w:t>
      </w:r>
      <w:r w:rsidRPr="00DE6A6F">
        <w:t>UIT a présenté un rapport sur l</w:t>
      </w:r>
      <w:r w:rsidR="008B5B76" w:rsidRPr="00DE6A6F">
        <w:t>'</w:t>
      </w:r>
      <w:r w:rsidRPr="00DE6A6F">
        <w:t>utilisation des six</w:t>
      </w:r>
      <w:r w:rsidR="0099228C" w:rsidRPr="00DE6A6F">
        <w:t> </w:t>
      </w:r>
      <w:r w:rsidRPr="00DE6A6F">
        <w:t>langues officielles de l</w:t>
      </w:r>
      <w:r w:rsidR="008B5B76" w:rsidRPr="00DE6A6F">
        <w:t>'</w:t>
      </w:r>
      <w:r w:rsidRPr="00DE6A6F">
        <w:t>Union sur un pied d</w:t>
      </w:r>
      <w:r w:rsidR="008B5B76" w:rsidRPr="00DE6A6F">
        <w:t>'</w:t>
      </w:r>
      <w:r w:rsidRPr="00DE6A6F">
        <w:t>égalité. Le Conseil a pris note du rapport figurant dans le Document</w:t>
      </w:r>
      <w:r w:rsidR="000558EE" w:rsidRPr="00DE6A6F">
        <w:t> </w:t>
      </w:r>
      <w:hyperlink r:id="rId17" w:history="1">
        <w:r w:rsidRPr="00DE6A6F">
          <w:rPr>
            <w:rStyle w:val="Hyperlink"/>
          </w:rPr>
          <w:t>C24/12</w:t>
        </w:r>
      </w:hyperlink>
      <w:r w:rsidRPr="00DE6A6F">
        <w:t xml:space="preserve">, a adopté la version révisée de la Résolution </w:t>
      </w:r>
      <w:hyperlink r:id="rId18" w:history="1">
        <w:r w:rsidRPr="00DE6A6F">
          <w:rPr>
            <w:rStyle w:val="Hyperlink"/>
          </w:rPr>
          <w:t>1386</w:t>
        </w:r>
      </w:hyperlink>
      <w:r w:rsidRPr="00DE6A6F">
        <w:t xml:space="preserve"> (C17, dernière mod.</w:t>
      </w:r>
      <w:r w:rsidR="0099228C" w:rsidRPr="00DE6A6F">
        <w:t> </w:t>
      </w:r>
      <w:r w:rsidRPr="00DE6A6F">
        <w:t>C24) ainsi</w:t>
      </w:r>
      <w:r w:rsidR="000558EE" w:rsidRPr="00DE6A6F">
        <w:t> </w:t>
      </w:r>
      <w:r w:rsidRPr="00DE6A6F">
        <w:t xml:space="preserve">que la version révisée de la Résolution </w:t>
      </w:r>
      <w:hyperlink r:id="rId19" w:history="1">
        <w:r w:rsidRPr="00DE6A6F">
          <w:rPr>
            <w:rStyle w:val="Hyperlink"/>
          </w:rPr>
          <w:t>1372</w:t>
        </w:r>
      </w:hyperlink>
      <w:r w:rsidRPr="00DE6A6F">
        <w:t xml:space="preserve"> (C15,dernière mod. C24) du Conseil, et a approuvé la version mise à jour du Guide relatif aux pratiques actuelles et futures de l'UIT en matière de multilinguisme figurant dans son Annexe C.</w:t>
      </w:r>
    </w:p>
    <w:p w14:paraId="015A1312" w14:textId="3DAC5E89" w:rsidR="00741CF6" w:rsidRPr="00DE6A6F" w:rsidRDefault="00741CF6" w:rsidP="00741CF6">
      <w:r w:rsidRPr="00DE6A6F">
        <w:t>Dans la Résolution 154 (Rév. Bucarest, 2022) de la Conférence de plénipotentiaires, les groupes consultatifs des Secteurs sont chargés de procéder chaque année à un examen de l'utilisation sur un pied d'égalité de toutes les langues officielles de l'Union dans les publications et sur les sites web de l'UIT. Le BR a également accompli des progrès importants en vue d'abandonner SharePoint au profit de WordPress, qui prend en charge la traduction automatique des pages web, pour ses sites web. On trouvera des informations sur l'état d'avancement de la traduction des pages web du BR au § 8.6.1.2 du présent rapport.</w:t>
      </w:r>
    </w:p>
    <w:p w14:paraId="506C963D" w14:textId="77777777" w:rsidR="00741CF6" w:rsidRPr="00DE6A6F" w:rsidRDefault="00741CF6" w:rsidP="00741CF6">
      <w:pPr>
        <w:pStyle w:val="Heading2"/>
      </w:pPr>
      <w:r w:rsidRPr="00DE6A6F">
        <w:t>2.4</w:t>
      </w:r>
      <w:r w:rsidRPr="00DE6A6F">
        <w:tab/>
        <w:t>Participation à distance</w:t>
      </w:r>
    </w:p>
    <w:p w14:paraId="70CC7D1F" w14:textId="7C304773" w:rsidR="00741CF6" w:rsidRPr="00DE6A6F" w:rsidRDefault="00741CF6" w:rsidP="00741CF6">
      <w:r w:rsidRPr="00DE6A6F">
        <w:t>La Conférence de plénipotentiaires de 2022 de l'UIT (PP-22) a adopté la Résolution 167 (Rév. Bucarest, 2022), intitulée «Renforcement et développement des capacités de l'UIT pour les réunions entièrement virtuelles et les réunions physiques avec participation à distance, et des moyens électroniques permettant de faire avancer les travaux de l'Union». Par cette Résolution, l</w:t>
      </w:r>
      <w:r w:rsidR="008B5B76" w:rsidRPr="00DE6A6F">
        <w:t>'</w:t>
      </w:r>
      <w:r w:rsidRPr="00DE6A6F">
        <w:t>UIT est invitée à élaborer des orientations de haut niveau pour la gestion et la gouvernance des réunions entièrement virtuelles et des réunions physiques avec participation à distance.</w:t>
      </w:r>
    </w:p>
    <w:p w14:paraId="39E2034B" w14:textId="5820C285" w:rsidR="00741CF6" w:rsidRPr="00DE6A6F" w:rsidRDefault="00741CF6" w:rsidP="00741CF6">
      <w:r w:rsidRPr="00DE6A6F">
        <w:lastRenderedPageBreak/>
        <w:t xml:space="preserve">Conformément à la mise en œuvre de la Résolution 167 (Rév. Bucarest, 2022), le Conseil a créé, durant sa session de 2024, un groupe de travail par correspondance chargé d'élaborer un projet de </w:t>
      </w:r>
      <w:hyperlink r:id="rId20" w:history="1">
        <w:r w:rsidRPr="00DE6A6F">
          <w:rPr>
            <w:rStyle w:val="Hyperlink"/>
          </w:rPr>
          <w:t>lignes directrices sur la gestion des réunions entièrement virtuelles et des réunions physiques avec participation à distance</w:t>
        </w:r>
      </w:hyperlink>
      <w:r w:rsidRPr="00DE6A6F">
        <w:t>, devant être soumis pour examen au GTC-FHR. Ledit projet de lignes directrices a été approuvé par le GTC-FHR et sera présenté à la session de 2025 du Conseil pour approbation.</w:t>
      </w:r>
    </w:p>
    <w:p w14:paraId="78EE712C" w14:textId="77777777" w:rsidR="00685B4D" w:rsidRPr="00DE6A6F" w:rsidRDefault="00685B4D" w:rsidP="00685B4D">
      <w:pPr>
        <w:pStyle w:val="Heading2"/>
      </w:pPr>
      <w:r w:rsidRPr="00DE6A6F">
        <w:t>2.5</w:t>
      </w:r>
      <w:r w:rsidRPr="00DE6A6F">
        <w:tab/>
        <w:t>Plan stratégique et Plan financier de l'UIT pour la période 2028-2031</w:t>
      </w:r>
    </w:p>
    <w:p w14:paraId="6E7891ED" w14:textId="24652558" w:rsidR="00685B4D" w:rsidRPr="00DE6A6F" w:rsidRDefault="00685B4D" w:rsidP="00685B4D">
      <w:r w:rsidRPr="00DE6A6F">
        <w:t xml:space="preserve">À sa session de 2024, le Conseil a créé le GTC-SFP, en vertu de sa Résolution </w:t>
      </w:r>
      <w:hyperlink r:id="rId21" w:history="1">
        <w:r w:rsidRPr="00DE6A6F">
          <w:rPr>
            <w:rStyle w:val="Hyperlink"/>
          </w:rPr>
          <w:t>1428 (C24)</w:t>
        </w:r>
      </w:hyperlink>
      <w:r w:rsidRPr="00DE6A6F">
        <w:t>, le chargeant d'élaborer les projets de Plan stratégique et de Plan financier pour la période 2028-2031 et de les présenter à la Conférence de plénipotentiaires de 2026.</w:t>
      </w:r>
    </w:p>
    <w:p w14:paraId="4F824040" w14:textId="37BB5D05" w:rsidR="00741CF6" w:rsidRPr="00DE6A6F" w:rsidRDefault="00685B4D" w:rsidP="00685B4D">
      <w:r w:rsidRPr="00DE6A6F">
        <w:t xml:space="preserve">Outre ces objectifs, le GTC-SFP est chargé de formuler une recommandation au sujet du montant préliminaire de l'unité contributive afin d'assurer le respect des </w:t>
      </w:r>
      <w:r w:rsidR="008F7F84" w:rsidRPr="00DE6A6F">
        <w:t>R</w:t>
      </w:r>
      <w:r w:rsidRPr="00DE6A6F">
        <w:t>ésolutions des Conférences de plénipotentiaires, et de produire un rapport sur la mise en œuvre du concept d'une UIT unie dans l'action.</w:t>
      </w:r>
    </w:p>
    <w:p w14:paraId="06BD5DE8" w14:textId="4A96F393" w:rsidR="00685B4D" w:rsidRPr="00DE6A6F" w:rsidRDefault="00685B4D" w:rsidP="00685B4D">
      <w:pPr>
        <w:pStyle w:val="Heading1"/>
      </w:pPr>
      <w:r w:rsidRPr="00DE6A6F">
        <w:t>3</w:t>
      </w:r>
      <w:r w:rsidRPr="00DE6A6F">
        <w:tab/>
        <w:t>Mise en œuvre des décisions de l'AR-23 et la CMR-23</w:t>
      </w:r>
    </w:p>
    <w:p w14:paraId="29C85357" w14:textId="72AC28D9" w:rsidR="00685B4D" w:rsidRPr="00DE6A6F" w:rsidRDefault="00685B4D" w:rsidP="00685B4D">
      <w:pPr>
        <w:pStyle w:val="Heading2"/>
      </w:pPr>
      <w:r w:rsidRPr="00DE6A6F">
        <w:t>3.1</w:t>
      </w:r>
      <w:r w:rsidRPr="00DE6A6F">
        <w:tab/>
        <w:t>Mise en œuvre des décisions de l'AR-23</w:t>
      </w:r>
    </w:p>
    <w:p w14:paraId="05320414" w14:textId="278AA71C" w:rsidR="00685B4D" w:rsidRPr="00DE6A6F" w:rsidRDefault="00685B4D" w:rsidP="00685B4D">
      <w:r w:rsidRPr="00DE6A6F">
        <w:t xml:space="preserve">À sa troisième séance plénière (voir le Document </w:t>
      </w:r>
      <w:hyperlink r:id="rId22" w:history="1">
        <w:r w:rsidRPr="00DE6A6F">
          <w:rPr>
            <w:rStyle w:val="Hyperlink"/>
          </w:rPr>
          <w:t>RA23/PLEN/101(Rév.1)</w:t>
        </w:r>
      </w:hyperlink>
      <w:r w:rsidRPr="00DE6A6F">
        <w:t>), l'Assemblée des radiocommunications de 2023 (AR-23) a décidé de déléguer aux groupes concernés (CE, CCV, GCR, RPC) la responsabilité de nommer leurs vice-présidents respectifs pour la période d'études</w:t>
      </w:r>
      <w:r w:rsidR="0099228C" w:rsidRPr="00DE6A6F">
        <w:t> </w:t>
      </w:r>
      <w:r w:rsidRPr="00DE6A6F">
        <w:t>2023</w:t>
      </w:r>
      <w:r w:rsidRPr="00DE6A6F">
        <w:noBreakHyphen/>
        <w:t xml:space="preserve">2027 sur la base du Document </w:t>
      </w:r>
      <w:hyperlink r:id="rId23" w:history="1">
        <w:r w:rsidRPr="00DE6A6F">
          <w:rPr>
            <w:rStyle w:val="Hyperlink"/>
          </w:rPr>
          <w:t>RA-23/PLEN/91(Rév.1)</w:t>
        </w:r>
      </w:hyperlink>
      <w:r w:rsidRPr="00DE6A6F">
        <w:t>. Toutes les commissions d'études, ainsi que le CCV et le GCR ont nommé leurs vice-présidents respectifs.</w:t>
      </w:r>
    </w:p>
    <w:p w14:paraId="6AD33414" w14:textId="02BB6B17" w:rsidR="00685B4D" w:rsidRPr="00DE6A6F" w:rsidRDefault="00685B4D" w:rsidP="00685B4D">
      <w:r w:rsidRPr="00DE6A6F">
        <w:t xml:space="preserve">À la suite des discussions tenues durant l'AR-23 concernant d'éventuelles modifications à apporter à la Résolution 2 de l'UIT-R (voir le Document </w:t>
      </w:r>
      <w:hyperlink r:id="rId24" w:history="1">
        <w:r w:rsidRPr="00DE6A6F">
          <w:rPr>
            <w:rStyle w:val="Hyperlink"/>
          </w:rPr>
          <w:t>RA-23/PLEN/102</w:t>
        </w:r>
      </w:hyperlink>
      <w:r w:rsidRPr="00DE6A6F">
        <w:t xml:space="preserve">) en vue de vérifier l'efficacité du processus de la RPC, le </w:t>
      </w:r>
      <w:hyperlink r:id="rId25" w:anchor="/fr" w:history="1">
        <w:r w:rsidRPr="00DE6A6F">
          <w:rPr>
            <w:rStyle w:val="Hyperlink"/>
          </w:rPr>
          <w:t>Groupe de travail par correspondance du GCR sur l'amélioration du processus de la RPC</w:t>
        </w:r>
      </w:hyperlink>
      <w:r w:rsidRPr="00DE6A6F">
        <w:t xml:space="preserve"> a été créé lors de la dernière réunion de 2024 du GCR.</w:t>
      </w:r>
    </w:p>
    <w:p w14:paraId="63EFDE97" w14:textId="77777777" w:rsidR="00685B4D" w:rsidRPr="00DE6A6F" w:rsidRDefault="00685B4D" w:rsidP="00685B4D">
      <w:pPr>
        <w:pStyle w:val="Heading2"/>
      </w:pPr>
      <w:r w:rsidRPr="00DE6A6F">
        <w:t>3.2</w:t>
      </w:r>
      <w:r w:rsidRPr="00DE6A6F">
        <w:tab/>
        <w:t>Mise en œuvre des décisions de la CMR-23</w:t>
      </w:r>
    </w:p>
    <w:p w14:paraId="043B3168" w14:textId="77777777" w:rsidR="00685B4D" w:rsidRPr="00DE6A6F" w:rsidRDefault="00685B4D" w:rsidP="00685B4D">
      <w:pPr>
        <w:pStyle w:val="Heading3"/>
      </w:pPr>
      <w:r w:rsidRPr="00DE6A6F">
        <w:t>3.2.1</w:t>
      </w:r>
      <w:r w:rsidRPr="00DE6A6F">
        <w:tab/>
        <w:t>Incidences financières des décisions de la CMR-23</w:t>
      </w:r>
    </w:p>
    <w:p w14:paraId="6DE3217E" w14:textId="09F4588B" w:rsidR="00685B4D" w:rsidRPr="00DE6A6F" w:rsidRDefault="00685B4D" w:rsidP="00685B4D">
      <w:r w:rsidRPr="00DE6A6F">
        <w:t>La Conférence mondiale des radiocommunications de 2023 (CMR-23) a permis de déterminer de nouvelles activités ou études, ainsi que des travaux d'élaboration de logiciels à mener, afin de mettre en œuvre ses décisions. Les coûts estimés pour la réalisation de ces nouveaux travaux sont de l'ordre de 12,6 millions CHF et correspondent à la fois aux coûts ponctuels et aux coûts récurrents pour la période 2024-2027. On trouvera dans le Tableau 3.2.1-1 les coûts globaux estimés en question.</w:t>
      </w:r>
    </w:p>
    <w:p w14:paraId="685B62A7" w14:textId="39B3B5A8" w:rsidR="00685B4D" w:rsidRPr="00DE6A6F" w:rsidRDefault="00685B4D" w:rsidP="00685B4D">
      <w:r w:rsidRPr="00DE6A6F">
        <w:t xml:space="preserve">Les incidences budgétaires annuelles de la suite donnée aux décisions de la CMR-23 ont été présentées à la session de 2024 au Conseil à travers le Document </w:t>
      </w:r>
      <w:hyperlink r:id="rId26" w:history="1">
        <w:r w:rsidRPr="00DE6A6F">
          <w:rPr>
            <w:rStyle w:val="Hyperlink"/>
          </w:rPr>
          <w:t>C24/63</w:t>
        </w:r>
      </w:hyperlink>
      <w:r w:rsidRPr="00DE6A6F">
        <w:t>.</w:t>
      </w:r>
    </w:p>
    <w:p w14:paraId="1BCA6F7D" w14:textId="3C4CB72A" w:rsidR="00685B4D" w:rsidRPr="00DE6A6F" w:rsidRDefault="00726B2D" w:rsidP="00BB3BB3">
      <w:pPr>
        <w:pStyle w:val="TableNotitle"/>
        <w:spacing w:after="0"/>
      </w:pPr>
      <w:r w:rsidRPr="00DE6A6F">
        <w:lastRenderedPageBreak/>
        <w:t>Tableau 3.2.1-1 – Estimations de coût globales</w:t>
      </w:r>
    </w:p>
    <w:p w14:paraId="6FF55001" w14:textId="19EE68DE" w:rsidR="00726B2D" w:rsidRPr="00DE6A6F" w:rsidRDefault="00E91A04" w:rsidP="00BB3BB3">
      <w:pPr>
        <w:pStyle w:val="Figure"/>
        <w:spacing w:before="0"/>
      </w:pPr>
      <w:r w:rsidRPr="00DE6A6F">
        <w:rPr>
          <w:noProof/>
        </w:rPr>
        <w:drawing>
          <wp:inline distT="0" distB="0" distL="0" distR="0" wp14:anchorId="6A39CD76" wp14:editId="4F5C0E0C">
            <wp:extent cx="6120765" cy="11823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20765" cy="1182370"/>
                    </a:xfrm>
                    <a:prstGeom prst="rect">
                      <a:avLst/>
                    </a:prstGeom>
                    <a:noFill/>
                    <a:ln>
                      <a:noFill/>
                    </a:ln>
                  </pic:spPr>
                </pic:pic>
              </a:graphicData>
            </a:graphic>
          </wp:inline>
        </w:drawing>
      </w:r>
    </w:p>
    <w:p w14:paraId="0713CBD1" w14:textId="6963028A" w:rsidR="00F11C09" w:rsidRPr="00DE6A6F" w:rsidRDefault="00F11C09" w:rsidP="00F11C09">
      <w:r w:rsidRPr="00DE6A6F">
        <w:t xml:space="preserve">Le Conseil a adopté la Résolution </w:t>
      </w:r>
      <w:hyperlink r:id="rId28" w:history="1">
        <w:r w:rsidRPr="00DE6A6F">
          <w:rPr>
            <w:rStyle w:val="Hyperlink"/>
          </w:rPr>
          <w:t>1427</w:t>
        </w:r>
      </w:hyperlink>
      <w:r w:rsidRPr="00DE6A6F">
        <w:t xml:space="preserve"> relative à l'affectation des économies réalisées dans le cadre de l'exécution du budget 2023 et à l'affectation du Fonds de roulement des expositions. Aux termes de ladite Résolution, l'excédent budgétaire pour l'année 2023 a été alloué à la mise en œuvre des décisions de la CMR-23 (1 423 000 CHF).</w:t>
      </w:r>
    </w:p>
    <w:p w14:paraId="1D7ED87C" w14:textId="67B82B75" w:rsidR="00F11C09" w:rsidRPr="00DE6A6F" w:rsidRDefault="00F11C09" w:rsidP="00F11C09">
      <w:r w:rsidRPr="00DE6A6F">
        <w:t>Les Émirats arabes unis, pays hôte de la CMR-23, ont généreusement accepté d'utiliser le solde positif restant au titre de l'accord de pays hôte (d'un montant total de 1,9 million CHF) pour appuyer la mise en œuvre des décisions de la CMR-23, contribuant ainsi à alléger une partie de la charge financière qui pèse sur l'Union. De plus amples renseignements sont fournis dans le Document </w:t>
      </w:r>
      <w:hyperlink r:id="rId29" w:history="1">
        <w:r w:rsidRPr="00DE6A6F">
          <w:rPr>
            <w:rStyle w:val="Hyperlink"/>
          </w:rPr>
          <w:t>C24/109</w:t>
        </w:r>
      </w:hyperlink>
      <w:r w:rsidRPr="00DE6A6F">
        <w:t>.</w:t>
      </w:r>
    </w:p>
    <w:p w14:paraId="2643D26F" w14:textId="77777777" w:rsidR="00F11C09" w:rsidRPr="00DE6A6F" w:rsidRDefault="00F11C09" w:rsidP="00F11C09">
      <w:r w:rsidRPr="00DE6A6F">
        <w:t>À sa session de 2024, le Conseil a remercié les Émirats arabes unis pour leur contribution financière exceptionnelle destinée à soutenir la mise en œuvre des décisions de la CMR-23.</w:t>
      </w:r>
    </w:p>
    <w:p w14:paraId="1BE07FF5" w14:textId="4D8FBEBC" w:rsidR="00F11C09" w:rsidRPr="00DE6A6F" w:rsidRDefault="00F11C09" w:rsidP="00F11C09">
      <w:pPr>
        <w:pStyle w:val="Heading3"/>
      </w:pPr>
      <w:r w:rsidRPr="00DE6A6F">
        <w:t>3.2.2</w:t>
      </w:r>
      <w:r w:rsidRPr="00DE6A6F">
        <w:tab/>
        <w:t>Élaboration de logiciels en application des décisions de la CMR-23</w:t>
      </w:r>
    </w:p>
    <w:p w14:paraId="0E998EAF" w14:textId="3A5D4878" w:rsidR="00F11C09" w:rsidRPr="00DE6A6F" w:rsidRDefault="00F11C09" w:rsidP="00F11C09">
      <w:pPr>
        <w:pStyle w:val="Heading4"/>
      </w:pPr>
      <w:r w:rsidRPr="00DE6A6F">
        <w:t>3.2.2.1</w:t>
      </w:r>
      <w:r w:rsidRPr="00DE6A6F">
        <w:tab/>
        <w:t>Mise en œuvre des décisions de la CMR-23 se rapportant aux services de Terre:</w:t>
      </w:r>
    </w:p>
    <w:p w14:paraId="3403774A" w14:textId="1E950B8A" w:rsidR="00F11C09" w:rsidRPr="00DE6A6F" w:rsidRDefault="00F11C09" w:rsidP="00F11C09">
      <w:pPr>
        <w:pStyle w:val="enumlev1"/>
      </w:pPr>
      <w:r w:rsidRPr="00DE6A6F">
        <w:t>•</w:t>
      </w:r>
      <w:r w:rsidRPr="00DE6A6F">
        <w:tab/>
        <w:t xml:space="preserve">Achèvement de la mise à jour des logiciels utilisés pour le traitement et la publication des notifications relatives aux services de Terre, pour une utilisation tant interne (TerRaSys) qu'externe (BR IFIC (services de Terre)), afin d'appliquer les décisions de la CMR-23 et les Règles de procédure y afférentes. Il s'agit notamment d'apporter des changements dans les bases de données des services de Terre, les logiciels de validation et d'examen, et les tableaux de référence pour les bandes de fréquences utilisées en partage avec des services spatiaux, assujetties au numéro </w:t>
      </w:r>
      <w:r w:rsidRPr="00DE6A6F">
        <w:rPr>
          <w:b/>
          <w:bCs/>
        </w:rPr>
        <w:t>9.21</w:t>
      </w:r>
      <w:r w:rsidRPr="00DE6A6F">
        <w:t xml:space="preserve"> du RR, identifiées pour les IMT, etc. Toutes les modifications nécessaires ont été mises en œuvre et l'intégration devrait être pleinement effective dans le courant de l'année 2025 (voir la section 7.1.1).</w:t>
      </w:r>
    </w:p>
    <w:p w14:paraId="04040FB4" w14:textId="4768B1DB" w:rsidR="00F11C09" w:rsidRPr="00DE6A6F" w:rsidRDefault="00F11C09" w:rsidP="00F11C09">
      <w:pPr>
        <w:pStyle w:val="enumlev1"/>
      </w:pPr>
      <w:r w:rsidRPr="00DE6A6F">
        <w:t>•</w:t>
      </w:r>
      <w:r w:rsidRPr="00DE6A6F">
        <w:tab/>
        <w:t xml:space="preserve">Élaboration de modules logiciels pour le traitement des notifications de stations HIBS (outils de validation, d'examen et de publication). Cette tâche comprend aussi l'élaboration de modules de calcul permettant de vérifier le respect des conditions techniques qui sont précisées dans les Résolutions </w:t>
      </w:r>
      <w:r w:rsidRPr="00DE6A6F">
        <w:rPr>
          <w:b/>
          <w:bCs/>
        </w:rPr>
        <w:t>213 (CMR-23)</w:t>
      </w:r>
      <w:r w:rsidRPr="00DE6A6F">
        <w:t xml:space="preserve">, </w:t>
      </w:r>
      <w:r w:rsidRPr="00DE6A6F">
        <w:rPr>
          <w:b/>
          <w:bCs/>
        </w:rPr>
        <w:t>221 (Rév.CMR-23)</w:t>
      </w:r>
      <w:r w:rsidRPr="00DE6A6F">
        <w:t xml:space="preserve"> et </w:t>
      </w:r>
      <w:r w:rsidRPr="00DE6A6F">
        <w:rPr>
          <w:b/>
          <w:bCs/>
        </w:rPr>
        <w:t>218 (CMR-23)</w:t>
      </w:r>
      <w:r w:rsidRPr="00DE6A6F">
        <w:t>, les changements dans la base de données et la structure des notifications.</w:t>
      </w:r>
    </w:p>
    <w:p w14:paraId="2ADB1A40" w14:textId="38F56737" w:rsidR="00F11C09" w:rsidRPr="00DE6A6F" w:rsidRDefault="00F11C09" w:rsidP="00BB3BB3">
      <w:pPr>
        <w:pStyle w:val="Heading4"/>
        <w:keepNext w:val="0"/>
        <w:keepLines w:val="0"/>
        <w:widowControl w:val="0"/>
      </w:pPr>
      <w:r w:rsidRPr="00DE6A6F">
        <w:t>3.2.2.2</w:t>
      </w:r>
      <w:r w:rsidRPr="00DE6A6F">
        <w:tab/>
        <w:t>Mise en œuvre des décisions de la CMR-23 se rapportant aux services spatiaux:</w:t>
      </w:r>
    </w:p>
    <w:p w14:paraId="328AC305" w14:textId="21952743" w:rsidR="00F11C09" w:rsidRPr="00DE6A6F" w:rsidRDefault="00F11C09" w:rsidP="00BB3BB3">
      <w:pPr>
        <w:pStyle w:val="enumlev1"/>
        <w:widowControl w:val="0"/>
      </w:pPr>
      <w:r w:rsidRPr="00DE6A6F">
        <w:t>•</w:t>
      </w:r>
      <w:r w:rsidRPr="00DE6A6F">
        <w:tab/>
        <w:t>La plupart des applications logicielles du BR pour les services spatiaux utilisées pour la prise en compte, le traitement et la publication des soumissions de réseaux à satellite ont été examinées et mises à jour en 2024. Les nouveaux logiciels et les nouvelles bases de données ont été présentés durant le Séminaire mondial des radiocommunications de 2024 (WRS</w:t>
      </w:r>
      <w:r w:rsidRPr="00DE6A6F">
        <w:noBreakHyphen/>
        <w:t xml:space="preserve">24), notamment les changements apportés à la structure des bases de données et aux tableaux de référence, aux fonctions de collecte de données, ainsi qu'aux modules logiciels de validation et d'examen, afin d'appliquer les </w:t>
      </w:r>
      <w:r w:rsidR="008F7F84" w:rsidRPr="00DE6A6F">
        <w:t>D</w:t>
      </w:r>
      <w:r w:rsidRPr="00DE6A6F">
        <w:t>écisions de la CMR-23 et les Règles de procédure y afférentes. Le logiciel administratif externe a été publié le</w:t>
      </w:r>
      <w:r w:rsidR="008F7F84" w:rsidRPr="00DE6A6F">
        <w:t> </w:t>
      </w:r>
      <w:r w:rsidRPr="00DE6A6F">
        <w:t>10</w:t>
      </w:r>
      <w:r w:rsidR="008F7F84" w:rsidRPr="00DE6A6F">
        <w:t> </w:t>
      </w:r>
      <w:r w:rsidRPr="00DE6A6F">
        <w:t>décembre</w:t>
      </w:r>
      <w:r w:rsidR="008F7F84" w:rsidRPr="00DE6A6F">
        <w:t> </w:t>
      </w:r>
      <w:r w:rsidRPr="00DE6A6F">
        <w:t>2024 dans la BR IFIC 3036 sous le nom BR Soft v10, et le nouveau format de base de données</w:t>
      </w:r>
      <w:r w:rsidR="00A70CD2" w:rsidRPr="00DE6A6F">
        <w:t> </w:t>
      </w:r>
      <w:r w:rsidRPr="00DE6A6F">
        <w:t>v10 ainsi que la version 10 du logiciel d'examen technique externe ont été publiés le</w:t>
      </w:r>
      <w:r w:rsidR="00697DF4" w:rsidRPr="00DE6A6F">
        <w:t> </w:t>
      </w:r>
      <w:r w:rsidRPr="00DE6A6F">
        <w:t>7</w:t>
      </w:r>
      <w:r w:rsidR="00697DF4" w:rsidRPr="00DE6A6F">
        <w:t> </w:t>
      </w:r>
      <w:r w:rsidRPr="00DE6A6F">
        <w:t>janvier</w:t>
      </w:r>
      <w:r w:rsidR="00697DF4" w:rsidRPr="00DE6A6F">
        <w:t> </w:t>
      </w:r>
      <w:r w:rsidRPr="00DE6A6F">
        <w:t>2025 dans la BR IFIC 3037.</w:t>
      </w:r>
    </w:p>
    <w:p w14:paraId="10687262" w14:textId="77777777" w:rsidR="00F11C09" w:rsidRPr="00DE6A6F" w:rsidRDefault="00F11C09" w:rsidP="00F11C09">
      <w:pPr>
        <w:pStyle w:val="Heading1"/>
      </w:pPr>
      <w:r w:rsidRPr="00DE6A6F">
        <w:lastRenderedPageBreak/>
        <w:t>4</w:t>
      </w:r>
      <w:r w:rsidRPr="00DE6A6F">
        <w:tab/>
        <w:t>Ordre du jour de la CMR-27 et travaux préparatoires connexes</w:t>
      </w:r>
    </w:p>
    <w:p w14:paraId="11F8CBBB" w14:textId="5F3BFAC8" w:rsidR="00F11C09" w:rsidRPr="00DE6A6F" w:rsidRDefault="00F11C09" w:rsidP="00BB3BB3">
      <w:pPr>
        <w:spacing w:before="100"/>
      </w:pPr>
      <w:r w:rsidRPr="00DE6A6F">
        <w:t>À sa session de 2024 (Genève, 4-14 juin 2024), le Conseil a examiné l'ordre du jour de la Conférence mondiale des radiocommunications de 2027 (CMR-27), tel qu'il figure dans la Résolution</w:t>
      </w:r>
      <w:r w:rsidR="00697DF4" w:rsidRPr="00DE6A6F">
        <w:t> </w:t>
      </w:r>
      <w:r w:rsidRPr="00DE6A6F">
        <w:rPr>
          <w:b/>
          <w:bCs/>
        </w:rPr>
        <w:t>813 (CMR-23)</w:t>
      </w:r>
      <w:r w:rsidRPr="00DE6A6F">
        <w:t xml:space="preserve">. Le Conseil a adopté la Résolution </w:t>
      </w:r>
      <w:hyperlink r:id="rId30" w:history="1">
        <w:r w:rsidRPr="00DE6A6F">
          <w:rPr>
            <w:rStyle w:val="Hyperlink"/>
          </w:rPr>
          <w:t>1422 (C24)</w:t>
        </w:r>
      </w:hyperlink>
      <w:r w:rsidRPr="00DE6A6F">
        <w:t xml:space="preserve">, qui contient l'ordre du jour de la CMR-27, dont les points précis et permanents demeurent identiques à ceux qui figurent dans la Résolution </w:t>
      </w:r>
      <w:r w:rsidRPr="00DE6A6F">
        <w:rPr>
          <w:b/>
          <w:bCs/>
        </w:rPr>
        <w:t>813 (CMR-23)</w:t>
      </w:r>
      <w:r w:rsidRPr="00DE6A6F">
        <w:t>. Les États Membres de l'UIT l'ont ensuite approuvée le</w:t>
      </w:r>
      <w:r w:rsidR="00697DF4" w:rsidRPr="00DE6A6F">
        <w:t> </w:t>
      </w:r>
      <w:r w:rsidRPr="00DE6A6F">
        <w:t>31</w:t>
      </w:r>
      <w:r w:rsidR="00697DF4" w:rsidRPr="00DE6A6F">
        <w:t> </w:t>
      </w:r>
      <w:r w:rsidRPr="00DE6A6F">
        <w:t>août</w:t>
      </w:r>
      <w:r w:rsidR="00697DF4" w:rsidRPr="00DE6A6F">
        <w:t> </w:t>
      </w:r>
      <w:r w:rsidRPr="00DE6A6F">
        <w:t xml:space="preserve">2024 (voir les Lettres circulaires </w:t>
      </w:r>
      <w:hyperlink r:id="rId31" w:history="1">
        <w:r w:rsidRPr="00DE6A6F">
          <w:rPr>
            <w:rStyle w:val="Hyperlink"/>
          </w:rPr>
          <w:t>CL-24/38</w:t>
        </w:r>
      </w:hyperlink>
      <w:r w:rsidRPr="00DE6A6F">
        <w:t xml:space="preserve"> et </w:t>
      </w:r>
      <w:hyperlink r:id="rId32" w:history="1">
        <w:r w:rsidRPr="00DE6A6F">
          <w:rPr>
            <w:rStyle w:val="Hyperlink"/>
          </w:rPr>
          <w:t>CL-24/49</w:t>
        </w:r>
      </w:hyperlink>
      <w:r w:rsidRPr="00DE6A6F">
        <w:t>).</w:t>
      </w:r>
    </w:p>
    <w:p w14:paraId="10AC8C45" w14:textId="243D4373" w:rsidR="00F11C09" w:rsidRPr="00DE6A6F" w:rsidRDefault="00F11C09" w:rsidP="00BB3BB3">
      <w:pPr>
        <w:spacing w:before="100"/>
      </w:pPr>
      <w:r w:rsidRPr="00DE6A6F">
        <w:t>Le Conseil a été invité à prendre note, lors de sa session de 2024, de l'intérêt exprimé par l'Administration du Rwanda et l'Administration de la Chine d'accueillir l'AR</w:t>
      </w:r>
      <w:r w:rsidR="00972E78" w:rsidRPr="00DE6A6F">
        <w:t>-</w:t>
      </w:r>
      <w:r w:rsidRPr="00DE6A6F">
        <w:t>27, la CMR-27 et</w:t>
      </w:r>
      <w:r w:rsidR="00972E78" w:rsidRPr="00DE6A6F">
        <w:t> </w:t>
      </w:r>
      <w:r w:rsidRPr="00DE6A6F">
        <w:t>la</w:t>
      </w:r>
      <w:r w:rsidR="00972E78" w:rsidRPr="00DE6A6F">
        <w:t> </w:t>
      </w:r>
      <w:r w:rsidRPr="00DE6A6F">
        <w:t>RPC31-1, dans la ville de Kigali et de Shanghai respectivement (voir le Document</w:t>
      </w:r>
      <w:r w:rsidR="00972E78" w:rsidRPr="00DE6A6F">
        <w:t> </w:t>
      </w:r>
      <w:hyperlink r:id="rId33" w:history="1">
        <w:r w:rsidRPr="00DE6A6F">
          <w:rPr>
            <w:rStyle w:val="Hyperlink"/>
          </w:rPr>
          <w:t>C24/64(Rév.1)</w:t>
        </w:r>
      </w:hyperlink>
      <w:r w:rsidRPr="00DE6A6F">
        <w:t>).</w:t>
      </w:r>
    </w:p>
    <w:p w14:paraId="468DE38C" w14:textId="12F2726D" w:rsidR="00F11C09" w:rsidRPr="00DE6A6F" w:rsidRDefault="00F11C09" w:rsidP="00BB3BB3">
      <w:pPr>
        <w:spacing w:before="100"/>
      </w:pPr>
      <w:r w:rsidRPr="00DE6A6F">
        <w:t>Compte tenu de ce qui précède, le BR a communiqué à ces dernières les exigences de l'UIT relatives à l'organisation de ces manifestations. Une délégation s'est rendue dans ces deux villes, ce dont le BR rendra compte à la prochaine réunion du Conseil. Il conviendrait de demander au Conseil d'adopter une nouvelle Décision qui fixe la date exacte et le lieu précis de l'AR-27, de la</w:t>
      </w:r>
      <w:r w:rsidR="00972E78" w:rsidRPr="00DE6A6F">
        <w:t> </w:t>
      </w:r>
      <w:r w:rsidRPr="00DE6A6F">
        <w:t>CMR-27 et de la RPC31-1. Conformément aux dispositions pertinentes des numéros 47 et 118 de la Convention de l'UIT, cette nouvelle Décision du Conseil devrait être soumise à l'accord de la majorité des États Membres de l'UIT.</w:t>
      </w:r>
    </w:p>
    <w:p w14:paraId="4C5F3957" w14:textId="3EA69B69" w:rsidR="00F11C09" w:rsidRPr="00DE6A6F" w:rsidRDefault="00F11C09" w:rsidP="00BB3BB3">
      <w:pPr>
        <w:spacing w:before="100"/>
      </w:pPr>
      <w:r w:rsidRPr="00DE6A6F">
        <w:t>Après la session de 2024 du Conseil, la Commission de direction de la RPC-27 (RPC-STR-COM) a tenu deux réunions hybrides. Les autres membres de l'</w:t>
      </w:r>
      <w:r w:rsidR="00D14934" w:rsidRPr="00DE6A6F">
        <w:t>é</w:t>
      </w:r>
      <w:r w:rsidRPr="00DE6A6F">
        <w:t>quipe de gestion de la RPC-27 (c'est</w:t>
      </w:r>
      <w:r w:rsidR="00972E78" w:rsidRPr="00DE6A6F">
        <w:noBreakHyphen/>
      </w:r>
      <w:r w:rsidRPr="00DE6A6F">
        <w:t>à</w:t>
      </w:r>
      <w:r w:rsidR="00972E78" w:rsidRPr="00DE6A6F">
        <w:noBreakHyphen/>
      </w:r>
      <w:r w:rsidRPr="00DE6A6F">
        <w:t xml:space="preserve">dire les </w:t>
      </w:r>
      <w:r w:rsidR="000F31C5" w:rsidRPr="00DE6A6F">
        <w:t>p</w:t>
      </w:r>
      <w:r w:rsidRPr="00DE6A6F">
        <w:t xml:space="preserve">résidents des </w:t>
      </w:r>
      <w:r w:rsidR="000F31C5" w:rsidRPr="00DE6A6F">
        <w:t>c</w:t>
      </w:r>
      <w:r w:rsidRPr="00DE6A6F">
        <w:t xml:space="preserve">ommissions d'études de l'UIT-R et les </w:t>
      </w:r>
      <w:r w:rsidR="000F31C5" w:rsidRPr="00DE6A6F">
        <w:t>g</w:t>
      </w:r>
      <w:r w:rsidRPr="00DE6A6F">
        <w:t>roupes de travail (GT) concernés) ont également été invités à participer à la réunion.</w:t>
      </w:r>
    </w:p>
    <w:p w14:paraId="41405CAF" w14:textId="5D6123E3" w:rsidR="00726B2D" w:rsidRPr="00DE6A6F" w:rsidRDefault="00F11C09" w:rsidP="00BB3BB3">
      <w:pPr>
        <w:spacing w:before="100"/>
      </w:pPr>
      <w:r w:rsidRPr="00DE6A6F">
        <w:t xml:space="preserve">La première réunion de la RPC-STR-COM s'est tenue le 24 juin 2024 et avait pour but d'examiner la préparation du projet de </w:t>
      </w:r>
      <w:r w:rsidR="000F31C5" w:rsidRPr="00DE6A6F">
        <w:t>R</w:t>
      </w:r>
      <w:r w:rsidRPr="00DE6A6F">
        <w:t>apport de la RPC à la CMR-27. Les participants sont parvenus aux conclusions suivantes:</w:t>
      </w:r>
    </w:p>
    <w:p w14:paraId="7F4E05A3" w14:textId="53B8FBB2" w:rsidR="00F11C09" w:rsidRPr="00DE6A6F" w:rsidRDefault="00F11C09" w:rsidP="00BB3BB3">
      <w:pPr>
        <w:pStyle w:val="enumlev1"/>
        <w:spacing w:before="60"/>
      </w:pPr>
      <w:r w:rsidRPr="00DE6A6F">
        <w:t>–</w:t>
      </w:r>
      <w:r w:rsidRPr="00DE6A6F">
        <w:tab/>
        <w:t xml:space="preserve">La version finale des projets de texte de la RPC établis par les GT responsables devrait parvenir aux Rapporteurs pour les différents </w:t>
      </w:r>
      <w:r w:rsidR="000F31C5" w:rsidRPr="00DE6A6F">
        <w:t>c</w:t>
      </w:r>
      <w:r w:rsidRPr="00DE6A6F">
        <w:t>hapitres du Rapport de la RPC, avec copie au</w:t>
      </w:r>
      <w:r w:rsidR="00972E78" w:rsidRPr="00DE6A6F">
        <w:t> </w:t>
      </w:r>
      <w:r w:rsidR="008F7F84" w:rsidRPr="00DE6A6F">
        <w:t>P</w:t>
      </w:r>
      <w:r w:rsidRPr="00DE6A6F">
        <w:t xml:space="preserve">résident de la RPC et au BR, avant le </w:t>
      </w:r>
      <w:r w:rsidRPr="00DE6A6F">
        <w:rPr>
          <w:b/>
          <w:bCs/>
        </w:rPr>
        <w:t>23 octobre 2026 au plus tard</w:t>
      </w:r>
      <w:r w:rsidR="00972E78" w:rsidRPr="00DE6A6F">
        <w:rPr>
          <w:rStyle w:val="FootnoteReference"/>
        </w:rPr>
        <w:footnoteReference w:customMarkFollows="1" w:id="1"/>
        <w:t>*</w:t>
      </w:r>
      <w:r w:rsidRPr="00DE6A6F">
        <w:t>.</w:t>
      </w:r>
    </w:p>
    <w:p w14:paraId="6F3B2C22" w14:textId="7D31BCC7" w:rsidR="00F11C09" w:rsidRPr="00DE6A6F" w:rsidRDefault="00F11C09" w:rsidP="00BB3BB3">
      <w:pPr>
        <w:pStyle w:val="enumlev1"/>
        <w:spacing w:before="60"/>
      </w:pPr>
      <w:r w:rsidRPr="00DE6A6F">
        <w:t>–</w:t>
      </w:r>
      <w:r w:rsidRPr="00DE6A6F">
        <w:tab/>
        <w:t>La réunion de l</w:t>
      </w:r>
      <w:r w:rsidR="00972E78" w:rsidRPr="00DE6A6F">
        <w:t>'</w:t>
      </w:r>
      <w:r w:rsidR="00A160A5" w:rsidRPr="00DE6A6F">
        <w:t>é</w:t>
      </w:r>
      <w:r w:rsidRPr="00DE6A6F">
        <w:t>quipe de gestion de la RPC</w:t>
      </w:r>
      <w:r w:rsidR="00A160A5" w:rsidRPr="00DE6A6F">
        <w:t>-</w:t>
      </w:r>
      <w:r w:rsidRPr="00DE6A6F">
        <w:t>27 est prévue pour les</w:t>
      </w:r>
      <w:r w:rsidR="00972E78" w:rsidRPr="00DE6A6F">
        <w:t> </w:t>
      </w:r>
      <w:r w:rsidRPr="00DE6A6F">
        <w:t>11</w:t>
      </w:r>
      <w:r w:rsidR="00972E78" w:rsidRPr="00DE6A6F">
        <w:t> </w:t>
      </w:r>
      <w:r w:rsidRPr="00DE6A6F">
        <w:t>et</w:t>
      </w:r>
      <w:r w:rsidR="00972E78" w:rsidRPr="00DE6A6F">
        <w:t> </w:t>
      </w:r>
      <w:r w:rsidRPr="00DE6A6F">
        <w:t>12</w:t>
      </w:r>
      <w:r w:rsidR="00972E78" w:rsidRPr="00DE6A6F">
        <w:t> </w:t>
      </w:r>
      <w:r w:rsidRPr="00DE6A6F">
        <w:t>novembre</w:t>
      </w:r>
      <w:r w:rsidR="00972E78" w:rsidRPr="00DE6A6F">
        <w:t> </w:t>
      </w:r>
      <w:r w:rsidRPr="00DE6A6F">
        <w:t>2026</w:t>
      </w:r>
      <w:r w:rsidRPr="00DE6A6F">
        <w:rPr>
          <w:rStyle w:val="FootnoteReference"/>
        </w:rPr>
        <w:t>*</w:t>
      </w:r>
      <w:r w:rsidRPr="00DE6A6F">
        <w:t>.</w:t>
      </w:r>
    </w:p>
    <w:p w14:paraId="4C19002C" w14:textId="41338FBF" w:rsidR="00F11C09" w:rsidRPr="00DE6A6F" w:rsidRDefault="00F11C09" w:rsidP="00BB3BB3">
      <w:pPr>
        <w:pStyle w:val="enumlev1"/>
        <w:keepLines/>
        <w:spacing w:before="60"/>
      </w:pPr>
      <w:r w:rsidRPr="00DE6A6F">
        <w:t>–</w:t>
      </w:r>
      <w:r w:rsidRPr="00DE6A6F">
        <w:tab/>
        <w:t>Il a été rappelé aux participants la date limite générale du 31 décembre 2024 pour la soumission des contributions des GT aux GT responsables concernant les critères, les caractéristiques et les méthodes des études préparatoires menées en vue de la CMR</w:t>
      </w:r>
      <w:r w:rsidR="000F31C5" w:rsidRPr="00DE6A6F">
        <w:noBreakHyphen/>
      </w:r>
      <w:r w:rsidRPr="00DE6A6F">
        <w:t>27. En</w:t>
      </w:r>
      <w:r w:rsidR="00972E78" w:rsidRPr="00DE6A6F">
        <w:t> </w:t>
      </w:r>
      <w:r w:rsidRPr="00DE6A6F">
        <w:t>outre, il a été noté que ce délai pouvait être prolongé jusqu</w:t>
      </w:r>
      <w:r w:rsidR="00972E78" w:rsidRPr="00DE6A6F">
        <w:t>'</w:t>
      </w:r>
      <w:r w:rsidRPr="00DE6A6F">
        <w:t>au 1er juillet 2025 par la</w:t>
      </w:r>
      <w:r w:rsidR="00972E78" w:rsidRPr="00DE6A6F">
        <w:t> </w:t>
      </w:r>
      <w:r w:rsidRPr="00DE6A6F">
        <w:t>RPC-STR-COM selon les renseignements fournis par un GT qui a soumis des contributions.</w:t>
      </w:r>
    </w:p>
    <w:p w14:paraId="76288082" w14:textId="6B758A4E" w:rsidR="00F11C09" w:rsidRPr="00DE6A6F" w:rsidRDefault="00F11C09" w:rsidP="00BB3BB3">
      <w:pPr>
        <w:widowControl w:val="0"/>
        <w:spacing w:before="100"/>
      </w:pPr>
      <w:r w:rsidRPr="00DE6A6F">
        <w:t>La deuxième réunion de la RPC-STR-COM s</w:t>
      </w:r>
      <w:r w:rsidR="00972E78" w:rsidRPr="00DE6A6F">
        <w:t>'</w:t>
      </w:r>
      <w:r w:rsidRPr="00DE6A6F">
        <w:t>est tenue le 3 décembre 2024 dans le but d</w:t>
      </w:r>
      <w:r w:rsidR="00972E78" w:rsidRPr="00DE6A6F">
        <w:t>'</w:t>
      </w:r>
      <w:r w:rsidRPr="00DE6A6F">
        <w:t>examiner les progrès réalisés à la suite des séries de réunions des GT tenues de septembre à novembre 2024 et de reconsidérer le délai fixé au 31 décembre 2024. Eu égard aux demandes formulées et aux renseignements transmis par certains GT, il a été décidé d</w:t>
      </w:r>
      <w:r w:rsidR="00972E78" w:rsidRPr="00DE6A6F">
        <w:t>'</w:t>
      </w:r>
      <w:r w:rsidRPr="00DE6A6F">
        <w:t>allonger jusqu</w:t>
      </w:r>
      <w:r w:rsidR="00972E78" w:rsidRPr="00DE6A6F">
        <w:t>'</w:t>
      </w:r>
      <w:r w:rsidRPr="00DE6A6F">
        <w:t>au 1er juillet 2025 le délai de soumission des critères, des caractéristiques et des méthodes des études préparatoires menées en</w:t>
      </w:r>
      <w:r w:rsidR="008F7F84" w:rsidRPr="00DE6A6F">
        <w:t> </w:t>
      </w:r>
      <w:r w:rsidRPr="00DE6A6F">
        <w:t>vue de la CMR-27.</w:t>
      </w:r>
    </w:p>
    <w:p w14:paraId="0AD6E3FB" w14:textId="24120ED1" w:rsidR="00F11C09" w:rsidRPr="00DE6A6F" w:rsidRDefault="00F11C09" w:rsidP="00F11C09">
      <w:r w:rsidRPr="00DE6A6F">
        <w:lastRenderedPageBreak/>
        <w:t>Sur la base des renseignements fournis par certains GT, les participants aux deux réunions de la</w:t>
      </w:r>
      <w:r w:rsidR="00972E78" w:rsidRPr="00DE6A6F">
        <w:t> </w:t>
      </w:r>
      <w:r w:rsidRPr="00DE6A6F">
        <w:t>RPC-STR-COM ont apporté quelques changements aux listes des GT qui contribuent aux études préparatoires menées en vue de la CMR</w:t>
      </w:r>
      <w:r w:rsidR="000F31C5" w:rsidRPr="00DE6A6F">
        <w:t>-</w:t>
      </w:r>
      <w:r w:rsidRPr="00DE6A6F">
        <w:t>27.</w:t>
      </w:r>
    </w:p>
    <w:p w14:paraId="70F4C542" w14:textId="4D271F4D" w:rsidR="00F11C09" w:rsidRPr="00DE6A6F" w:rsidRDefault="00F11C09" w:rsidP="00F11C09">
      <w:r w:rsidRPr="00DE6A6F">
        <w:t>Les conclusions des deux réunions de la RPC-STR-COM ainsi que des informations utiles pour l</w:t>
      </w:r>
      <w:r w:rsidR="00972E78" w:rsidRPr="00DE6A6F">
        <w:t>'</w:t>
      </w:r>
      <w:r w:rsidRPr="00DE6A6F">
        <w:t>élaboration du projet de Rapport de la RPC ont été publiées le 15 juillet 2024 dans l</w:t>
      </w:r>
      <w:r w:rsidR="00972E78" w:rsidRPr="00DE6A6F">
        <w:t>'</w:t>
      </w:r>
      <w:r w:rsidRPr="00DE6A6F">
        <w:t xml:space="preserve">Addendum 1 à la Circulaire administrative </w:t>
      </w:r>
      <w:hyperlink r:id="rId34" w:history="1">
        <w:r w:rsidRPr="00DE6A6F">
          <w:rPr>
            <w:rStyle w:val="Hyperlink"/>
          </w:rPr>
          <w:t>CA/270</w:t>
        </w:r>
      </w:hyperlink>
      <w:r w:rsidRPr="00DE6A6F">
        <w:t xml:space="preserve"> et le 12 décembre 2024 dans son Corrigendum 1. Le</w:t>
      </w:r>
      <w:r w:rsidR="00972E78" w:rsidRPr="00DE6A6F">
        <w:t> </w:t>
      </w:r>
      <w:r w:rsidRPr="00DE6A6F">
        <w:t>15</w:t>
      </w:r>
      <w:r w:rsidR="00972E78" w:rsidRPr="00DE6A6F">
        <w:t> </w:t>
      </w:r>
      <w:r w:rsidRPr="00DE6A6F">
        <w:t>juillet</w:t>
      </w:r>
      <w:r w:rsidR="00972E78" w:rsidRPr="00DE6A6F">
        <w:t> </w:t>
      </w:r>
      <w:r w:rsidRPr="00DE6A6F">
        <w:t>2024, le Président de la RPC-27 a également fourni des références et des lignes directrices utiles aux GT concernés.</w:t>
      </w:r>
    </w:p>
    <w:p w14:paraId="79407434" w14:textId="206895E5" w:rsidR="00F11C09" w:rsidRPr="00DE6A6F" w:rsidRDefault="00F11C09" w:rsidP="00F11C09">
      <w:r w:rsidRPr="00DE6A6F">
        <w:t>On trouvera des précisions régulièrement actualisées sur les études préparatoires menées par</w:t>
      </w:r>
      <w:r w:rsidR="000F31C5" w:rsidRPr="00DE6A6F">
        <w:t> </w:t>
      </w:r>
      <w:r w:rsidRPr="00DE6A6F">
        <w:t>l'UIT</w:t>
      </w:r>
      <w:r w:rsidR="00972E78" w:rsidRPr="00DE6A6F">
        <w:noBreakHyphen/>
      </w:r>
      <w:r w:rsidRPr="00DE6A6F">
        <w:t xml:space="preserve">R au titre des points de l'ordre du jour de la CMR-27 sur la page web de l'UIT à l'adresse: </w:t>
      </w:r>
      <w:hyperlink r:id="rId35" w:history="1">
        <w:r w:rsidRPr="00DE6A6F">
          <w:rPr>
            <w:rStyle w:val="Hyperlink"/>
          </w:rPr>
          <w:t>www.itu.int/go/rcpm-wrc-27-studies</w:t>
        </w:r>
      </w:hyperlink>
      <w:r w:rsidRPr="00DE6A6F">
        <w:t xml:space="preserve">. Cette page web comprend aussi un lien vers les </w:t>
      </w:r>
      <w:hyperlink r:id="rId36" w:history="1">
        <w:r w:rsidRPr="00DE6A6F">
          <w:rPr>
            <w:rStyle w:val="Hyperlink"/>
          </w:rPr>
          <w:t>études relatives aux points de l'ordre du jour préliminaire de la CMR-31</w:t>
        </w:r>
      </w:hyperlink>
      <w:r w:rsidRPr="00DE6A6F">
        <w:t>.</w:t>
      </w:r>
    </w:p>
    <w:p w14:paraId="38B6D937" w14:textId="6DB5B8DF" w:rsidR="00F11C09" w:rsidRPr="00DE6A6F" w:rsidRDefault="00F11C09" w:rsidP="00F11C09">
      <w:r w:rsidRPr="00DE6A6F">
        <w:t>À la fin du mois de janvier 2025, l</w:t>
      </w:r>
      <w:r w:rsidR="00972E78" w:rsidRPr="00DE6A6F">
        <w:t>'</w:t>
      </w:r>
      <w:r w:rsidRPr="00DE6A6F">
        <w:t xml:space="preserve">UIT a publié une version préliminaire de </w:t>
      </w:r>
      <w:hyperlink r:id="rId37" w:history="1">
        <w:r w:rsidRPr="00DE6A6F">
          <w:rPr>
            <w:rStyle w:val="Hyperlink"/>
          </w:rPr>
          <w:t>l</w:t>
        </w:r>
        <w:r w:rsidR="00972E78" w:rsidRPr="00DE6A6F">
          <w:rPr>
            <w:rStyle w:val="Hyperlink"/>
          </w:rPr>
          <w:t>'</w:t>
        </w:r>
        <w:r w:rsidRPr="00DE6A6F">
          <w:rPr>
            <w:rStyle w:val="Hyperlink"/>
          </w:rPr>
          <w:t>Interface pour les propositions aux conférences (CPI) pour la CMR-27</w:t>
        </w:r>
      </w:hyperlink>
      <w:r w:rsidRPr="00DE6A6F">
        <w:t xml:space="preserve"> afin de faciliter la préparation, dans un format correct, de documents et de contributions contenant des textes extraits de l</w:t>
      </w:r>
      <w:r w:rsidR="00972E78" w:rsidRPr="00DE6A6F">
        <w:t>'</w:t>
      </w:r>
      <w:r w:rsidRPr="00DE6A6F">
        <w:t>édition de 2024 du Règlement des radiocommunications. Le BR en a informé les Groupes du Rapporteur (GR) chargés de la préparation des projets de texte de la RPC.</w:t>
      </w:r>
    </w:p>
    <w:p w14:paraId="59B7E33A" w14:textId="5C8950AD" w:rsidR="00F11C09" w:rsidRPr="00DE6A6F" w:rsidRDefault="00F11C09" w:rsidP="00F11C09">
      <w:r w:rsidRPr="00DE6A6F">
        <w:t xml:space="preserve">Compte tenu de la Résolution 80 (Rév. Marrakech, 2002) de la PP et de la Résolution </w:t>
      </w:r>
      <w:r w:rsidRPr="00DE6A6F">
        <w:rPr>
          <w:b/>
          <w:bCs/>
        </w:rPr>
        <w:t>72 (Rév.CMR-19)</w:t>
      </w:r>
      <w:r w:rsidRPr="00DE6A6F">
        <w:t>, la préparation de la CMR-27 s</w:t>
      </w:r>
      <w:r w:rsidR="00972E78" w:rsidRPr="00DE6A6F">
        <w:t>'</w:t>
      </w:r>
      <w:r w:rsidRPr="00DE6A6F">
        <w:t>est poursuivie également au niveau régional, le BR ayant participé activement à certaines réunions des groupes régionaux, notamment de l</w:t>
      </w:r>
      <w:r w:rsidR="00972E78" w:rsidRPr="00DE6A6F">
        <w:t>'</w:t>
      </w:r>
      <w:r w:rsidRPr="00DE6A6F">
        <w:t>APT, de</w:t>
      </w:r>
      <w:r w:rsidR="00A77F03" w:rsidRPr="00DE6A6F">
        <w:t> </w:t>
      </w:r>
      <w:r w:rsidRPr="00DE6A6F">
        <w:t>l</w:t>
      </w:r>
      <w:r w:rsidR="00972E78" w:rsidRPr="00DE6A6F">
        <w:t>'</w:t>
      </w:r>
      <w:r w:rsidRPr="00DE6A6F">
        <w:t>ASMG, de l</w:t>
      </w:r>
      <w:r w:rsidR="00972E78" w:rsidRPr="00DE6A6F">
        <w:t>'</w:t>
      </w:r>
      <w:r w:rsidRPr="00DE6A6F">
        <w:t>UAT, de la CEPT, de la CITEL et de la RCC, chaque fois que cela était possible. Des</w:t>
      </w:r>
      <w:r w:rsidR="00A77F03" w:rsidRPr="00DE6A6F">
        <w:t> </w:t>
      </w:r>
      <w:r w:rsidRPr="00DE6A6F">
        <w:t>informations actualisées concernant les travaux préparatoires menés par les groupes régionaux en vue de la CMR-27 sont disponibles à l</w:t>
      </w:r>
      <w:r w:rsidR="00972E78" w:rsidRPr="00DE6A6F">
        <w:t>'</w:t>
      </w:r>
      <w:r w:rsidRPr="00DE6A6F">
        <w:t xml:space="preserve">adresse suivante: </w:t>
      </w:r>
      <w:hyperlink r:id="rId38" w:history="1">
        <w:r w:rsidRPr="00DE6A6F">
          <w:rPr>
            <w:rStyle w:val="Hyperlink"/>
          </w:rPr>
          <w:t>www.itu.int/en/ITU</w:t>
        </w:r>
        <w:r w:rsidR="00A77F03" w:rsidRPr="00DE6A6F">
          <w:rPr>
            <w:rStyle w:val="Hyperlink"/>
          </w:rPr>
          <w:noBreakHyphen/>
        </w:r>
        <w:r w:rsidRPr="00DE6A6F">
          <w:rPr>
            <w:rStyle w:val="Hyperlink"/>
          </w:rPr>
          <w:t>R/conferences/wrc/2027/Pages/reg-prep.aspx</w:t>
        </w:r>
      </w:hyperlink>
      <w:r w:rsidRPr="00DE6A6F">
        <w:t>.</w:t>
      </w:r>
    </w:p>
    <w:p w14:paraId="7E951683" w14:textId="69668397" w:rsidR="00F11C09" w:rsidRPr="00DE6A6F" w:rsidRDefault="00F11C09" w:rsidP="00BB3BB3">
      <w:r w:rsidRPr="00DE6A6F">
        <w:t>Le Bureau prévoit d</w:t>
      </w:r>
      <w:r w:rsidR="00972E78" w:rsidRPr="00DE6A6F">
        <w:t>'</w:t>
      </w:r>
      <w:r w:rsidRPr="00DE6A6F">
        <w:t>organiser trois Ateliers interrégionaux de l</w:t>
      </w:r>
      <w:r w:rsidR="00972E78" w:rsidRPr="00DE6A6F">
        <w:t>'</w:t>
      </w:r>
      <w:r w:rsidRPr="00DE6A6F">
        <w:t>UIT sur les travaux préparatoires en vue de la CMR-27. Le premier a été programmé à Genève du 3 au 5 décembre 2025 et sera l'occasion de faire le point des progrès accomplis à mi-parcours du processus préparatoire concernant les études de l'UIT-R au titre des points de l'ordre du jour de la CMR</w:t>
      </w:r>
      <w:r w:rsidR="000F31C5" w:rsidRPr="00DE6A6F">
        <w:t>-</w:t>
      </w:r>
      <w:r w:rsidRPr="00DE6A6F">
        <w:t>27, ainsi que d</w:t>
      </w:r>
      <w:r w:rsidR="00972E78" w:rsidRPr="00DE6A6F">
        <w:t>'</w:t>
      </w:r>
      <w:r w:rsidRPr="00DE6A6F">
        <w:t>offrir la possibilité d'échanger des renseignements et de mieux comprendre les avant-projets de propositions communes, les positions ou les points de vue des entités concernées, par exemple des principaux groupes régionaux, des principales organisations internationales et d'autres parties prenantes, sur les questions qui seront traitées par la CMR-27. On trouvera des informations supplémentaires sur les ateliers interrégionaux de l'UIT sur les travaux préparatoires en vue de la</w:t>
      </w:r>
      <w:r w:rsidR="000F31C5" w:rsidRPr="00DE6A6F">
        <w:t> </w:t>
      </w:r>
      <w:r w:rsidRPr="00DE6A6F">
        <w:t>CMR</w:t>
      </w:r>
      <w:r w:rsidR="000F31C5" w:rsidRPr="00DE6A6F">
        <w:noBreakHyphen/>
      </w:r>
      <w:r w:rsidRPr="00DE6A6F">
        <w:t>27 sur la page web prévue à cet effet.</w:t>
      </w:r>
    </w:p>
    <w:p w14:paraId="0877A097" w14:textId="1106BB67" w:rsidR="00F11C09" w:rsidRPr="00DE6A6F" w:rsidRDefault="00F11C09" w:rsidP="00F11C09">
      <w:r w:rsidRPr="00DE6A6F">
        <w:t xml:space="preserve">Les informations présentées ci-dessus sont accessibles sur le </w:t>
      </w:r>
      <w:hyperlink r:id="rId39" w:history="1">
        <w:r w:rsidRPr="00DE6A6F">
          <w:rPr>
            <w:rStyle w:val="Hyperlink"/>
          </w:rPr>
          <w:t>site web de la RPC</w:t>
        </w:r>
      </w:hyperlink>
      <w:r w:rsidRPr="00DE6A6F">
        <w:t>, ou le seront, une fois disponibles.</w:t>
      </w:r>
    </w:p>
    <w:p w14:paraId="1A84CAE9" w14:textId="77DBC92B" w:rsidR="000F31C5" w:rsidRPr="00DE6A6F" w:rsidRDefault="000F31C5" w:rsidP="000F31C5">
      <w:pPr>
        <w:pStyle w:val="Heading1"/>
      </w:pPr>
      <w:r w:rsidRPr="00DE6A6F">
        <w:t>5</w:t>
      </w:r>
      <w:r w:rsidRPr="00DE6A6F">
        <w:tab/>
        <w:t xml:space="preserve">Activités menées par les </w:t>
      </w:r>
      <w:r w:rsidR="00090EC7" w:rsidRPr="00DE6A6F">
        <w:t>c</w:t>
      </w:r>
      <w:r w:rsidRPr="00DE6A6F">
        <w:t>ommissions d'études</w:t>
      </w:r>
    </w:p>
    <w:p w14:paraId="7369189E" w14:textId="77777777" w:rsidR="000F31C5" w:rsidRPr="00DE6A6F" w:rsidRDefault="000F31C5" w:rsidP="000F31C5">
      <w:r w:rsidRPr="00DE6A6F">
        <w:t>Cette question fait l'objet de l'Addendum 1 au présent document.</w:t>
      </w:r>
    </w:p>
    <w:p w14:paraId="21E26CA5" w14:textId="77777777" w:rsidR="000F31C5" w:rsidRPr="00DE6A6F" w:rsidRDefault="000F31C5" w:rsidP="000F31C5">
      <w:pPr>
        <w:pStyle w:val="Heading1"/>
      </w:pPr>
      <w:r w:rsidRPr="00DE6A6F">
        <w:t>6</w:t>
      </w:r>
      <w:r w:rsidRPr="00DE6A6F">
        <w:tab/>
        <w:t>Planification des opérations</w:t>
      </w:r>
    </w:p>
    <w:p w14:paraId="066ECA8A" w14:textId="21CBF296" w:rsidR="000F31C5" w:rsidRPr="00DE6A6F" w:rsidRDefault="000F31C5" w:rsidP="000F31C5">
      <w:r w:rsidRPr="00DE6A6F">
        <w:t>Le Conseil a approuvé le plan opérationnel quadriennal glissant de l'Union pour la période</w:t>
      </w:r>
      <w:r w:rsidR="0093002B" w:rsidRPr="00DE6A6F">
        <w:t> </w:t>
      </w:r>
      <w:r w:rsidRPr="00DE6A6F">
        <w:t>2025</w:t>
      </w:r>
      <w:r w:rsidRPr="00DE6A6F">
        <w:noBreakHyphen/>
        <w:t xml:space="preserve">2028 (Document </w:t>
      </w:r>
      <w:hyperlink r:id="rId40" w:history="1">
        <w:r w:rsidRPr="00DE6A6F">
          <w:rPr>
            <w:rStyle w:val="Hyperlink"/>
          </w:rPr>
          <w:t>C24/28</w:t>
        </w:r>
      </w:hyperlink>
      <w:r w:rsidRPr="00DE6A6F">
        <w:t xml:space="preserve">) et adopté la Résolution </w:t>
      </w:r>
      <w:hyperlink r:id="rId41" w:history="1">
        <w:r w:rsidRPr="00DE6A6F">
          <w:rPr>
            <w:rStyle w:val="Hyperlink"/>
          </w:rPr>
          <w:t>1421</w:t>
        </w:r>
      </w:hyperlink>
      <w:r w:rsidRPr="00DE6A6F">
        <w:t>.</w:t>
      </w:r>
    </w:p>
    <w:p w14:paraId="635CC661" w14:textId="77777777" w:rsidR="000F31C5" w:rsidRPr="00DE6A6F" w:rsidRDefault="000F31C5" w:rsidP="000F31C5">
      <w:r w:rsidRPr="00DE6A6F">
        <w:t>Le plan opérationnel pour la période 2025-2028 porte sur la mise en œuvre de 5 priorités thématiques et de 43 produits. Il suit la structure du Plan stratégique et du Plan financier pour la période 2024-2027 approuvés par la Conférence de plénipotentiaires de 2022.</w:t>
      </w:r>
    </w:p>
    <w:p w14:paraId="7933648E" w14:textId="77777777" w:rsidR="000F31C5" w:rsidRPr="00DE6A6F" w:rsidRDefault="000F31C5" w:rsidP="000F31C5">
      <w:r w:rsidRPr="00DE6A6F">
        <w:lastRenderedPageBreak/>
        <w:t>Le projet de Plan opérationnel quadriennal glissant de l'UIT-R pour la période 2026-2029 a été présenté dans un document distinct lors de la réunion.</w:t>
      </w:r>
    </w:p>
    <w:p w14:paraId="43A59C50" w14:textId="77777777" w:rsidR="000F31C5" w:rsidRPr="00DE6A6F" w:rsidRDefault="000F31C5" w:rsidP="00A160A5">
      <w:pPr>
        <w:pStyle w:val="Heading1"/>
      </w:pPr>
      <w:r w:rsidRPr="00DE6A6F">
        <w:t>7</w:t>
      </w:r>
      <w:r w:rsidRPr="00DE6A6F">
        <w:tab/>
      </w:r>
      <w:r w:rsidRPr="00DE6A6F">
        <w:tab/>
        <w:t>Système d'information du BR</w:t>
      </w:r>
    </w:p>
    <w:p w14:paraId="436A854D" w14:textId="7E1919C7" w:rsidR="000F31C5" w:rsidRPr="00DE6A6F" w:rsidRDefault="000F31C5" w:rsidP="00A160A5">
      <w:pPr>
        <w:pStyle w:val="Heading2"/>
      </w:pPr>
      <w:r w:rsidRPr="00DE6A6F">
        <w:t>7.1</w:t>
      </w:r>
      <w:r w:rsidRPr="00DE6A6F">
        <w:tab/>
        <w:t>Outils et logiciels pour les services de Terre</w:t>
      </w:r>
    </w:p>
    <w:p w14:paraId="6888A573" w14:textId="23FEE46D" w:rsidR="000F31C5" w:rsidRPr="00DE6A6F" w:rsidRDefault="000F31C5" w:rsidP="00A160A5">
      <w:pPr>
        <w:pStyle w:val="Heading3"/>
      </w:pPr>
      <w:r w:rsidRPr="00DE6A6F">
        <w:t>7.1.1</w:t>
      </w:r>
      <w:r w:rsidRPr="00DE6A6F">
        <w:tab/>
        <w:t>Traitement des demandes de coordination au titre du numéro 9.21 du RR</w:t>
      </w:r>
    </w:p>
    <w:p w14:paraId="5D401BBF" w14:textId="77777777" w:rsidR="000F31C5" w:rsidRPr="00DE6A6F" w:rsidRDefault="000F31C5" w:rsidP="000F31C5">
      <w:r w:rsidRPr="00DE6A6F">
        <w:t xml:space="preserve">L'élaboration des modules logiciels et des outils associés pour le traitement des demandes de coordination au titre du numéro </w:t>
      </w:r>
      <w:r w:rsidRPr="00DE6A6F">
        <w:rPr>
          <w:b/>
          <w:bCs/>
        </w:rPr>
        <w:t>9.21</w:t>
      </w:r>
      <w:r w:rsidRPr="00DE6A6F">
        <w:t xml:space="preserve"> du RR s'est poursuivie pendant la période considérée. Il est prévu d'achever, en 2025, dans le contexte de la migration de l'ensemble du système, l'élaboration du logiciel pour la vérification des assignations correspondantes (visées au numéro </w:t>
      </w:r>
      <w:r w:rsidRPr="00DE6A6F">
        <w:rPr>
          <w:b/>
          <w:bCs/>
        </w:rPr>
        <w:t>9.21</w:t>
      </w:r>
      <w:r w:rsidRPr="00DE6A6F">
        <w:t xml:space="preserve">) notifiées au titre de l'Article </w:t>
      </w:r>
      <w:r w:rsidRPr="00DE6A6F">
        <w:rPr>
          <w:b/>
          <w:bCs/>
        </w:rPr>
        <w:t>11</w:t>
      </w:r>
      <w:r w:rsidRPr="00DE6A6F">
        <w:t xml:space="preserve"> du RR en vue de leur inscription dans le Fichier de référence ainsi que l'intégration du logiciel dans le système TerRaSys.</w:t>
      </w:r>
    </w:p>
    <w:p w14:paraId="7F754899" w14:textId="2F878450" w:rsidR="000F31C5" w:rsidRPr="00DE6A6F" w:rsidRDefault="000F31C5" w:rsidP="00A160A5">
      <w:pPr>
        <w:pStyle w:val="Heading3"/>
      </w:pPr>
      <w:r w:rsidRPr="00DE6A6F">
        <w:t>7.1.2</w:t>
      </w:r>
      <w:r w:rsidRPr="00DE6A6F">
        <w:tab/>
        <w:t>Traitement des fiches de notification des stations HAPS</w:t>
      </w:r>
    </w:p>
    <w:p w14:paraId="516F0A18" w14:textId="53419370" w:rsidR="000F31C5" w:rsidRPr="00DE6A6F" w:rsidRDefault="000F31C5" w:rsidP="000F31C5">
      <w:r w:rsidRPr="00DE6A6F">
        <w:t xml:space="preserve">Il y a eu poursuite de l'élaboration de modules de calcul permettant de vérifier le respect des conditions techniques qui sont précisées dans les Résolutions </w:t>
      </w:r>
      <w:r w:rsidRPr="00DE6A6F">
        <w:rPr>
          <w:b/>
          <w:bCs/>
        </w:rPr>
        <w:t>122 (Rév.CMR-19)</w:t>
      </w:r>
      <w:r w:rsidRPr="00DE6A6F">
        <w:t xml:space="preserve">, </w:t>
      </w:r>
      <w:r w:rsidRPr="00DE6A6F">
        <w:rPr>
          <w:b/>
          <w:bCs/>
        </w:rPr>
        <w:t>145</w:t>
      </w:r>
      <w:r w:rsidR="00DE6A6F" w:rsidRPr="00DE6A6F">
        <w:rPr>
          <w:b/>
          <w:bCs/>
        </w:rPr>
        <w:t> </w:t>
      </w:r>
      <w:r w:rsidRPr="00DE6A6F">
        <w:rPr>
          <w:b/>
          <w:bCs/>
        </w:rPr>
        <w:t>(Rév.CMR</w:t>
      </w:r>
      <w:r w:rsidR="00A160A5" w:rsidRPr="00DE6A6F">
        <w:rPr>
          <w:b/>
          <w:bCs/>
        </w:rPr>
        <w:noBreakHyphen/>
      </w:r>
      <w:r w:rsidRPr="00DE6A6F">
        <w:rPr>
          <w:b/>
          <w:bCs/>
        </w:rPr>
        <w:t>19)</w:t>
      </w:r>
      <w:r w:rsidRPr="00DE6A6F">
        <w:t xml:space="preserve">, </w:t>
      </w:r>
      <w:r w:rsidRPr="00DE6A6F">
        <w:rPr>
          <w:b/>
          <w:bCs/>
        </w:rPr>
        <w:t>165 (</w:t>
      </w:r>
      <w:r w:rsidR="0093002B" w:rsidRPr="00DE6A6F">
        <w:rPr>
          <w:b/>
          <w:bCs/>
        </w:rPr>
        <w:t>Rév.</w:t>
      </w:r>
      <w:r w:rsidRPr="00DE6A6F">
        <w:rPr>
          <w:b/>
          <w:bCs/>
        </w:rPr>
        <w:t>CMR-23)</w:t>
      </w:r>
      <w:r w:rsidRPr="00DE6A6F">
        <w:t xml:space="preserve">, </w:t>
      </w:r>
      <w:r w:rsidRPr="00DE6A6F">
        <w:rPr>
          <w:b/>
          <w:bCs/>
        </w:rPr>
        <w:t>166 (</w:t>
      </w:r>
      <w:r w:rsidR="0093002B" w:rsidRPr="00DE6A6F">
        <w:rPr>
          <w:b/>
          <w:bCs/>
        </w:rPr>
        <w:t>Rév.</w:t>
      </w:r>
      <w:r w:rsidRPr="00DE6A6F">
        <w:rPr>
          <w:b/>
          <w:bCs/>
        </w:rPr>
        <w:t>CMR-23)</w:t>
      </w:r>
      <w:r w:rsidRPr="00DE6A6F">
        <w:t xml:space="preserve">, </w:t>
      </w:r>
      <w:r w:rsidRPr="00DE6A6F">
        <w:rPr>
          <w:b/>
          <w:bCs/>
        </w:rPr>
        <w:t>167 (</w:t>
      </w:r>
      <w:r w:rsidR="0093002B" w:rsidRPr="00DE6A6F">
        <w:rPr>
          <w:b/>
          <w:bCs/>
        </w:rPr>
        <w:t>Rév.</w:t>
      </w:r>
      <w:r w:rsidRPr="00DE6A6F">
        <w:rPr>
          <w:b/>
          <w:bCs/>
        </w:rPr>
        <w:t>CMR-23)</w:t>
      </w:r>
      <w:r w:rsidRPr="00DE6A6F">
        <w:t xml:space="preserve"> et</w:t>
      </w:r>
      <w:r w:rsidR="0093002B" w:rsidRPr="00DE6A6F">
        <w:t> </w:t>
      </w:r>
      <w:r w:rsidRPr="00DE6A6F">
        <w:rPr>
          <w:b/>
          <w:bCs/>
        </w:rPr>
        <w:t>168</w:t>
      </w:r>
      <w:r w:rsidR="0093002B" w:rsidRPr="00DE6A6F">
        <w:rPr>
          <w:b/>
          <w:bCs/>
        </w:rPr>
        <w:t> </w:t>
      </w:r>
      <w:r w:rsidRPr="00DE6A6F">
        <w:rPr>
          <w:b/>
          <w:bCs/>
        </w:rPr>
        <w:t>(</w:t>
      </w:r>
      <w:r w:rsidR="0093002B" w:rsidRPr="00DE6A6F">
        <w:rPr>
          <w:b/>
          <w:bCs/>
        </w:rPr>
        <w:t>Rév.</w:t>
      </w:r>
      <w:r w:rsidRPr="00DE6A6F">
        <w:rPr>
          <w:b/>
          <w:bCs/>
        </w:rPr>
        <w:t>CMR</w:t>
      </w:r>
      <w:r w:rsidR="0093002B" w:rsidRPr="00DE6A6F">
        <w:rPr>
          <w:b/>
          <w:bCs/>
        </w:rPr>
        <w:noBreakHyphen/>
      </w:r>
      <w:r w:rsidRPr="00DE6A6F">
        <w:rPr>
          <w:b/>
          <w:bCs/>
        </w:rPr>
        <w:t>23)</w:t>
      </w:r>
      <w:r w:rsidRPr="00DE6A6F">
        <w:t>.</w:t>
      </w:r>
    </w:p>
    <w:p w14:paraId="2BE325F1" w14:textId="77777777" w:rsidR="000F31C5" w:rsidRPr="00DE6A6F" w:rsidRDefault="000F31C5" w:rsidP="00A160A5">
      <w:pPr>
        <w:pStyle w:val="Heading3"/>
      </w:pPr>
      <w:r w:rsidRPr="00DE6A6F">
        <w:t>7.1.3</w:t>
      </w:r>
      <w:r w:rsidRPr="00DE6A6F">
        <w:tab/>
        <w:t>Restructuration du logiciel HFBC</w:t>
      </w:r>
    </w:p>
    <w:p w14:paraId="4433659E" w14:textId="77777777" w:rsidR="000F31C5" w:rsidRPr="00DE6A6F" w:rsidRDefault="000F31C5" w:rsidP="000F31C5">
      <w:r w:rsidRPr="00DE6A6F">
        <w:t xml:space="preserve">Conformément aux dispositions de l'Article </w:t>
      </w:r>
      <w:r w:rsidRPr="00DE6A6F">
        <w:rPr>
          <w:b/>
          <w:bCs/>
        </w:rPr>
        <w:t>12</w:t>
      </w:r>
      <w:r w:rsidRPr="00DE6A6F">
        <w:t xml:space="preserve"> du Règlement des radiocommunications (RR), le Bureau des radiocommunications (BR) établit et publie les horaires de radiodiffusion à ondes décamétriques (HFBC) saisonniers ainsi que les résultats des analyses de compatibilité. Les horaires sont publiés sur le site web du BR.</w:t>
      </w:r>
    </w:p>
    <w:p w14:paraId="02CE3ACA" w14:textId="230EA7DF" w:rsidR="000F31C5" w:rsidRPr="00DE6A6F" w:rsidRDefault="000F31C5" w:rsidP="000F31C5">
      <w:r w:rsidRPr="00DE6A6F">
        <w:t>Afin d'assurer la cohérence avec d'autres logiciels et applications pour les services de Terre, le logiciel HFBC a fait l'objet d'une restructuration sous forme d'application unique en ligne avec le cadre</w:t>
      </w:r>
      <w:r w:rsidR="00A160A5" w:rsidRPr="00DE6A6F">
        <w:t> </w:t>
      </w:r>
      <w:r w:rsidRPr="00DE6A6F">
        <w:t>.NET en langage C#.</w:t>
      </w:r>
    </w:p>
    <w:p w14:paraId="3CB2096F" w14:textId="6D570ADF" w:rsidR="000F31C5" w:rsidRPr="00DE6A6F" w:rsidRDefault="000F31C5" w:rsidP="00090EC7">
      <w:pPr>
        <w:keepLines/>
      </w:pPr>
      <w:r w:rsidRPr="00DE6A6F">
        <w:t xml:space="preserve">La nouvelle application HFBC a été achevée et intégrée à la plate-forme en ligne pour les services de Terre «eTerrestrial/eBroadcasting». La publication officielle sur la page eHFBC a commencé avec la </w:t>
      </w:r>
      <w:r w:rsidR="00A160A5" w:rsidRPr="00DE6A6F">
        <w:t>s</w:t>
      </w:r>
      <w:r w:rsidRPr="00DE6A6F">
        <w:t>aison B23-S1 en octobre 2023. La page eHFBC est actuellement dans une phase active de développement progressif, l'accent étant mis sur l'introduction d'une série de nouvelles fonctionnalités et d'améliorations au fil du temps. Parmi les nouveautés introduites en 2024, on compte notamment les fonctionnalités et améliorations suivantes:</w:t>
      </w:r>
    </w:p>
    <w:p w14:paraId="1520CE0E" w14:textId="122EAE02" w:rsidR="000F31C5" w:rsidRPr="00DE6A6F" w:rsidRDefault="000F31C5" w:rsidP="00A160A5">
      <w:pPr>
        <w:pStyle w:val="enumlev1"/>
      </w:pPr>
      <w:r w:rsidRPr="00DE6A6F">
        <w:t>•</w:t>
      </w:r>
      <w:r w:rsidRPr="00DE6A6F">
        <w:tab/>
        <w:t>Types de calcul (systèmes frontal et dorsal): tâche unique, trois mois, à la volée et publication automatique</w:t>
      </w:r>
      <w:r w:rsidR="00A160A5" w:rsidRPr="00DE6A6F">
        <w:t>.</w:t>
      </w:r>
    </w:p>
    <w:p w14:paraId="268DBAB1" w14:textId="3A99FF9F" w:rsidR="000F31C5" w:rsidRPr="00DE6A6F" w:rsidRDefault="000F31C5" w:rsidP="00A160A5">
      <w:pPr>
        <w:pStyle w:val="enumlev1"/>
      </w:pPr>
      <w:r w:rsidRPr="00DE6A6F">
        <w:t>•</w:t>
      </w:r>
      <w:r w:rsidRPr="00DE6A6F">
        <w:tab/>
        <w:t>Outils de gestion et cartes de navigation pour le tableau de référence</w:t>
      </w:r>
      <w:r w:rsidR="00A160A5" w:rsidRPr="00DE6A6F">
        <w:t>.</w:t>
      </w:r>
    </w:p>
    <w:p w14:paraId="263FD658" w14:textId="27EAFC2A" w:rsidR="000F31C5" w:rsidRPr="00DE6A6F" w:rsidRDefault="000F31C5" w:rsidP="00A160A5">
      <w:pPr>
        <w:pStyle w:val="enumlev1"/>
      </w:pPr>
      <w:r w:rsidRPr="00DE6A6F">
        <w:t>•</w:t>
      </w:r>
      <w:r w:rsidRPr="00DE6A6F">
        <w:tab/>
        <w:t>Amélioration des outils de création et d'ouverture de fichiers</w:t>
      </w:r>
      <w:r w:rsidR="00A160A5" w:rsidRPr="00DE6A6F">
        <w:t>.</w:t>
      </w:r>
    </w:p>
    <w:p w14:paraId="7A0EB0BA" w14:textId="50C6ACA1" w:rsidR="000F31C5" w:rsidRPr="00DE6A6F" w:rsidRDefault="000F31C5" w:rsidP="00A160A5">
      <w:pPr>
        <w:pStyle w:val="enumlev1"/>
      </w:pPr>
      <w:r w:rsidRPr="00DE6A6F">
        <w:t>•</w:t>
      </w:r>
      <w:r w:rsidRPr="00DE6A6F">
        <w:tab/>
        <w:t>Exportation de données dans différents formats et affichage du diagramme d'antenne sur la carte.</w:t>
      </w:r>
    </w:p>
    <w:p w14:paraId="209EC9B5" w14:textId="77777777" w:rsidR="000F31C5" w:rsidRPr="00DE6A6F" w:rsidRDefault="000F31C5" w:rsidP="00A160A5">
      <w:pPr>
        <w:pStyle w:val="Heading3"/>
      </w:pPr>
      <w:r w:rsidRPr="00DE6A6F">
        <w:t>7.1.4</w:t>
      </w:r>
      <w:r w:rsidRPr="00DE6A6F">
        <w:tab/>
        <w:t>Migration d'Ingres vers SQL Server</w:t>
      </w:r>
    </w:p>
    <w:p w14:paraId="041B5724" w14:textId="3FDE6BBE" w:rsidR="0093002B" w:rsidRPr="00DE6A6F" w:rsidRDefault="000F31C5" w:rsidP="0093002B">
      <w:r w:rsidRPr="00DE6A6F">
        <w:t>Les travaux concernant la migration du système TerRaSys se sont poursuivis en 2024 en ce qui concerne la migration de la base de données et la réécriture et les améliorations des modules du système au moyen de nouvelles techniques de codage. Au 3 mars 2025, la migration est terminée et le nouveau système est en phase de production. Diverses applications et divers composants logiciels</w:t>
      </w:r>
      <w:r w:rsidR="0093002B" w:rsidRPr="00DE6A6F">
        <w:br w:type="page"/>
      </w:r>
    </w:p>
    <w:p w14:paraId="06ACDB3B" w14:textId="1A0D1CEC" w:rsidR="000F31C5" w:rsidRPr="00DE6A6F" w:rsidRDefault="000F31C5" w:rsidP="000F31C5">
      <w:r w:rsidRPr="00DE6A6F">
        <w:lastRenderedPageBreak/>
        <w:t>du système TerRaSys utilisés pour accéder à la base de données ont été redéfinis et élaborés, en vue de tirer parti de la technologie moderne offerte par le nouveau SGBD et d'utiliser les applications web et les méthodes modernes de conception de logiciels.</w:t>
      </w:r>
    </w:p>
    <w:p w14:paraId="30631BEF" w14:textId="635AD224" w:rsidR="000F31C5" w:rsidRPr="00DE6A6F" w:rsidRDefault="000F31C5" w:rsidP="000F31C5">
      <w:r w:rsidRPr="00DE6A6F">
        <w:t>La nouvelle structure de la base de données et les nouveaux modules logiciels destinés au traitement et à la validation des fiches de notification électroniques pour les services de Terre ont été arrêtés sous leur forme définitive, y compris s'agissant des stations HAPS. Les modules logiciels utilisés pour les examens techniques ont également été modernisés, y compris les modules d'affichage des résultats des examens. Les travaux relatifs à la publication et à la préparation des nouvelles versions complètes de la BR IFIC sont aussi achevés.</w:t>
      </w:r>
    </w:p>
    <w:p w14:paraId="65336DD3" w14:textId="77777777" w:rsidR="000F31C5" w:rsidRPr="00DE6A6F" w:rsidRDefault="000F31C5" w:rsidP="000F31C5">
      <w:r w:rsidRPr="00DE6A6F">
        <w:t>Diverses applications web ont été conçues et mises en œuvre, et sont développées et soumises à des essais en continu, pour permettre l'accès en ligne à l'interrogation de la base de données et à d'autres outils logiciels, y compris à la validation en ligne des notifications d'assignations de fréquence aux services de Terre. Des copies de la base de données existante pour les services de Terre dans la nouvelle structure de la plate-forme SGBD sont maintenant disponibles et sont utilisées à l'heure actuelle par diverses applications web du BR, afin d'afficher, de valider et de traiter les notifications d'assignations de fréquence aux services de Terre.</w:t>
      </w:r>
    </w:p>
    <w:p w14:paraId="010914DE" w14:textId="1D2AC58A" w:rsidR="000F31C5" w:rsidRPr="00DE6A6F" w:rsidRDefault="000F31C5" w:rsidP="000F31C5">
      <w:r w:rsidRPr="00DE6A6F">
        <w:t xml:space="preserve">À la suite de ces travaux et conformément à la nouvelle politique d'accès, les États Membres peuvent désormais accéder librement en ligne à la BR IFIC (services de Terre) actuelle sur la </w:t>
      </w:r>
      <w:hyperlink r:id="rId42" w:history="1">
        <w:r w:rsidRPr="00DE6A6F">
          <w:rPr>
            <w:rStyle w:val="Hyperlink"/>
          </w:rPr>
          <w:t>page prévue à cet effet</w:t>
        </w:r>
      </w:hyperlink>
      <w:r w:rsidRPr="00DE6A6F">
        <w:t>, ainsi qu'aux BR IFIC (services de Terre) précédentes publiées pendant l'année en cours. De plus, plusieurs outils de consultation de données et d'exportation ont été mis en ligne.</w:t>
      </w:r>
    </w:p>
    <w:p w14:paraId="54723AA0" w14:textId="61FD61D5" w:rsidR="000F31C5" w:rsidRPr="00DE6A6F" w:rsidRDefault="000F31C5" w:rsidP="000F31C5">
      <w:r w:rsidRPr="00DE6A6F">
        <w:t>À compter de la publication de la BR IFIC 3042 (services de Terre, publiée le 18 mars 2025), la structure de la base de données publiée pour les services de Terre (</w:t>
      </w:r>
      <w:r w:rsidRPr="00DE6A6F">
        <w:rPr>
          <w:b/>
          <w:bCs/>
          <w:i/>
          <w:iCs/>
        </w:rPr>
        <w:t>TerRaBase</w:t>
      </w:r>
      <w:r w:rsidRPr="00DE6A6F">
        <w:t>) dans le fichier d'image ISO est conforme à la nouvelle structure de données. Comme ont pu le constater les États</w:t>
      </w:r>
      <w:r w:rsidR="00A160A5" w:rsidRPr="00DE6A6F">
        <w:t> </w:t>
      </w:r>
      <w:r w:rsidRPr="00DE6A6F">
        <w:t xml:space="preserve">Membres et les utilisateurs extérieurs, cette transition devrait se faire en toute transparence lors de l'utilisation des outils fournis par le Bureau sur le fichier d'image ISO (à savoir </w:t>
      </w:r>
      <w:r w:rsidRPr="00DE6A6F">
        <w:rPr>
          <w:b/>
          <w:bCs/>
          <w:i/>
          <w:iCs/>
        </w:rPr>
        <w:t>TerRaQ</w:t>
      </w:r>
      <w:r w:rsidRPr="00DE6A6F">
        <w:t xml:space="preserve"> et</w:t>
      </w:r>
      <w:r w:rsidR="00A160A5" w:rsidRPr="00DE6A6F">
        <w:t> </w:t>
      </w:r>
      <w:r w:rsidRPr="00DE6A6F">
        <w:rPr>
          <w:b/>
          <w:bCs/>
          <w:i/>
          <w:iCs/>
        </w:rPr>
        <w:t>TerRaNotices</w:t>
      </w:r>
      <w:r w:rsidRPr="00DE6A6F">
        <w:t>).</w:t>
      </w:r>
    </w:p>
    <w:p w14:paraId="3D3FEBE3" w14:textId="135657B5" w:rsidR="000F31C5" w:rsidRPr="00DE6A6F" w:rsidRDefault="000F31C5" w:rsidP="000F31C5">
      <w:r w:rsidRPr="00DE6A6F">
        <w:t xml:space="preserve">Cependant, il est possible que les logiciels conçus par des tiers doivent être réglés et adaptés à la nouvelle structure de données. Afin de permettre une transition fluide, le BR a également mis au point un «outil de rétrocompatibilité», qui permet de convertir un fichier de base de données vers une version antérieure. Tout logiciel conçu pour fonctionner avec l'ancienne structure de données pourra ainsi accéder au fichier de base de données converti et le lire. Vous trouverez des informations sur la manière de réaliser cette conversion </w:t>
      </w:r>
      <w:hyperlink r:id="rId43" w:history="1">
        <w:r w:rsidRPr="00DE6A6F">
          <w:rPr>
            <w:rStyle w:val="Hyperlink"/>
          </w:rPr>
          <w:t>ici</w:t>
        </w:r>
      </w:hyperlink>
      <w:r w:rsidRPr="00DE6A6F">
        <w:t xml:space="preserve"> (sous l'onglet </w:t>
      </w:r>
      <w:r w:rsidRPr="00DE6A6F">
        <w:rPr>
          <w:i/>
          <w:iCs/>
        </w:rPr>
        <w:t>Database Structure/legacy Format</w:t>
      </w:r>
      <w:r w:rsidRPr="00DE6A6F">
        <w:t xml:space="preserve"> </w:t>
      </w:r>
      <w:r w:rsidR="00915C8F" w:rsidRPr="00DE6A6F">
        <w:t>(</w:t>
      </w:r>
      <w:r w:rsidRPr="00DE6A6F">
        <w:t>Structure de la base de données/ancien format</w:t>
      </w:r>
      <w:r w:rsidR="00915C8F" w:rsidRPr="00DE6A6F">
        <w:t>)</w:t>
      </w:r>
      <w:r w:rsidRPr="00DE6A6F">
        <w:t xml:space="preserve">). La description des modifications apportées à la structure de la base de données ainsi que des informations détaillées sur les différences entre l'ancienne et la nouvelle structure de données sont disponibles à l'adresse suivante: </w:t>
      </w:r>
      <w:hyperlink r:id="rId44" w:history="1">
        <w:r w:rsidR="00915C8F" w:rsidRPr="00DE6A6F">
          <w:rPr>
            <w:rStyle w:val="Hyperlink"/>
          </w:rPr>
          <w:t>https://www.itu.int/ITU-R/terrasys/docs/</w:t>
        </w:r>
      </w:hyperlink>
      <w:r w:rsidRPr="00DE6A6F">
        <w:t>.</w:t>
      </w:r>
    </w:p>
    <w:p w14:paraId="584927A6" w14:textId="04363B2A" w:rsidR="000F31C5" w:rsidRPr="00DE6A6F" w:rsidRDefault="000F31C5" w:rsidP="000F31C5">
      <w:r w:rsidRPr="00DE6A6F">
        <w:t xml:space="preserve">La Lettre circulaire </w:t>
      </w:r>
      <w:hyperlink r:id="rId45" w:history="1">
        <w:r w:rsidRPr="00DE6A6F">
          <w:rPr>
            <w:rStyle w:val="Hyperlink"/>
          </w:rPr>
          <w:t>CR/516</w:t>
        </w:r>
      </w:hyperlink>
      <w:r w:rsidRPr="00DE6A6F">
        <w:t xml:space="preserve"> décrivant les éléments nouveaux et modifiés de la structure et des outils de la base de données pour les services de Terre dans la BR IFIC a été envoyée aux administrations des États Membres et aux autres utilisateurs.</w:t>
      </w:r>
    </w:p>
    <w:p w14:paraId="0982F063" w14:textId="77777777" w:rsidR="000F31C5" w:rsidRPr="00DE6A6F" w:rsidRDefault="000F31C5" w:rsidP="00915C8F">
      <w:pPr>
        <w:pStyle w:val="Heading2"/>
      </w:pPr>
      <w:r w:rsidRPr="00DE6A6F">
        <w:t>7.2</w:t>
      </w:r>
      <w:r w:rsidRPr="00DE6A6F">
        <w:tab/>
        <w:t>Progrès accomplis dans la mise en œuvre de la feuille de route sur les systèmes informatiques du BR pour les services spatiaux (19ème réunion du GCR, 2012)</w:t>
      </w:r>
    </w:p>
    <w:p w14:paraId="4AF355A0" w14:textId="0FC70366" w:rsidR="00714C3D" w:rsidRPr="00DE6A6F" w:rsidRDefault="000F31C5" w:rsidP="00714C3D">
      <w:r w:rsidRPr="00DE6A6F">
        <w:t>À sa 19ème réunion (2012), le GCR avait invité le Directeur à mettre en œuvre les mesures recommandées dans les délais proposés, comme indiqué dans la feuille de route approuvée, comprenant les phases suivantes: Phase 1 (Mise en œuvre des décisions de la CMR-12); Phase</w:t>
      </w:r>
      <w:r w:rsidR="008A4067" w:rsidRPr="00DE6A6F">
        <w:t> </w:t>
      </w:r>
      <w:r w:rsidRPr="00DE6A6F">
        <w:t>2 (Réécriture de certains logiciels existants); et Phase 3 (Création d'une équipe de projet chargée de</w:t>
      </w:r>
      <w:r w:rsidR="00714C3D" w:rsidRPr="00DE6A6F">
        <w:br w:type="page"/>
      </w:r>
    </w:p>
    <w:p w14:paraId="7F4CBAB6" w14:textId="43205896" w:rsidR="000F31C5" w:rsidRPr="00DE6A6F" w:rsidRDefault="000F31C5" w:rsidP="000F31C5">
      <w:r w:rsidRPr="00DE6A6F">
        <w:lastRenderedPageBreak/>
        <w:t>mettre en place un cadre commun, un système de sécurité et une base de données centralisée sur les services spatiaux). Le GCR a encouragé les États Membres et les Membres de Secteur à soumettre leurs observations concernant la Phase 3.</w:t>
      </w:r>
    </w:p>
    <w:p w14:paraId="3DA3D386" w14:textId="77777777" w:rsidR="000F31C5" w:rsidRPr="00DE6A6F" w:rsidRDefault="000F31C5" w:rsidP="000F31C5">
      <w:r w:rsidRPr="00DE6A6F">
        <w:t>En 2024, le BR a continué de tenir à jour les logiciels existants, tout en s'employant à mettre en œuvre de nouvelles versions des principales applications logicielles. Il a été nécessaire de déployer ces efforts en parallèle, compte tenu des besoins opérationnels, raison pour laquelle certains projets de modernisation sont encore en cours.</w:t>
      </w:r>
    </w:p>
    <w:p w14:paraId="50F69BD0" w14:textId="6514EA0A" w:rsidR="000F31C5" w:rsidRPr="00DE6A6F" w:rsidRDefault="000F31C5" w:rsidP="008A4067">
      <w:pPr>
        <w:pStyle w:val="Heading3"/>
      </w:pPr>
      <w:r w:rsidRPr="00DE6A6F">
        <w:t>7.2.1</w:t>
      </w:r>
      <w:r w:rsidRPr="00DE6A6F">
        <w:tab/>
        <w:t>Progrès accomplis en vue de la réalisation des objectifs de la Phase 2 de la feuille de</w:t>
      </w:r>
      <w:r w:rsidR="008A4067" w:rsidRPr="00DE6A6F">
        <w:t> </w:t>
      </w:r>
      <w:r w:rsidRPr="00DE6A6F">
        <w:t>route</w:t>
      </w:r>
    </w:p>
    <w:p w14:paraId="1FC45621" w14:textId="6E63612A" w:rsidR="000F31C5" w:rsidRPr="00DE6A6F" w:rsidRDefault="000F31C5" w:rsidP="008A4067">
      <w:pPr>
        <w:pStyle w:val="Heading4"/>
      </w:pPr>
      <w:r w:rsidRPr="00DE6A6F">
        <w:t>7.2.1.1</w:t>
      </w:r>
      <w:r w:rsidRPr="00DE6A6F">
        <w:tab/>
        <w:t>Réécriture des logiciels existants pour les examens techniques</w:t>
      </w:r>
    </w:p>
    <w:p w14:paraId="4A28E21D" w14:textId="77777777" w:rsidR="000F31C5" w:rsidRPr="00DE6A6F" w:rsidRDefault="000F31C5" w:rsidP="008A4067">
      <w:pPr>
        <w:pStyle w:val="enumlev1"/>
      </w:pPr>
      <w:r w:rsidRPr="00DE6A6F">
        <w:t>•</w:t>
      </w:r>
      <w:r w:rsidRPr="00DE6A6F">
        <w:tab/>
        <w:t>Réécriture du logiciel de calcul de la puissance surfacique pour la protection des services spatiaux: la version modernisée du logiciel PXT a été publiée dans la BR IFIC 3037, dans le cadre de la mise en œuvre logicielle des décisions de la CMR-23.</w:t>
      </w:r>
    </w:p>
    <w:p w14:paraId="1D77603C" w14:textId="77777777" w:rsidR="000F31C5" w:rsidRPr="00DE6A6F" w:rsidRDefault="000F31C5" w:rsidP="008A4067">
      <w:pPr>
        <w:pStyle w:val="enumlev1"/>
      </w:pPr>
      <w:r w:rsidRPr="00DE6A6F">
        <w:t>•</w:t>
      </w:r>
      <w:r w:rsidRPr="00DE6A6F">
        <w:tab/>
        <w:t>Migration des éléments du logiciel GIMS en Fortran: en cours.</w:t>
      </w:r>
    </w:p>
    <w:p w14:paraId="07B38E47" w14:textId="77777777" w:rsidR="000F31C5" w:rsidRPr="00DE6A6F" w:rsidRDefault="000F31C5" w:rsidP="008A4067">
      <w:pPr>
        <w:pStyle w:val="enumlev1"/>
      </w:pPr>
      <w:r w:rsidRPr="00DE6A6F">
        <w:t>•</w:t>
      </w:r>
      <w:r w:rsidRPr="00DE6A6F">
        <w:tab/>
        <w:t>Mspace – Migration des éléments du langage Visual Basic 6 au langage .NET: en cours.</w:t>
      </w:r>
    </w:p>
    <w:p w14:paraId="0E660147" w14:textId="5A824597" w:rsidR="000F31C5" w:rsidRPr="00DE6A6F" w:rsidRDefault="000F31C5" w:rsidP="008A4067">
      <w:pPr>
        <w:pStyle w:val="Heading4"/>
      </w:pPr>
      <w:r w:rsidRPr="00DE6A6F">
        <w:t>7.2.1.2</w:t>
      </w:r>
      <w:r w:rsidRPr="00DE6A6F">
        <w:tab/>
        <w:t>Conception et élaboration du système d'information du BR pour les systèmes spatiaux (BR</w:t>
      </w:r>
      <w:r w:rsidR="008A4067" w:rsidRPr="00DE6A6F">
        <w:t> </w:t>
      </w:r>
      <w:r w:rsidRPr="00DE6A6F">
        <w:t>SIS)</w:t>
      </w:r>
    </w:p>
    <w:p w14:paraId="7A4BBF34" w14:textId="2C6AD4B4" w:rsidR="000F31C5" w:rsidRPr="00DE6A6F" w:rsidRDefault="000F31C5" w:rsidP="008A4067">
      <w:pPr>
        <w:pStyle w:val="enumlev1"/>
      </w:pPr>
      <w:r w:rsidRPr="00DE6A6F">
        <w:t>•</w:t>
      </w:r>
      <w:r w:rsidRPr="00DE6A6F">
        <w:tab/>
        <w:t>Réécriture du logiciel SpaceCap en langage Visual Basic 6: en cours. En 2024, deux</w:t>
      </w:r>
      <w:r w:rsidR="00714C3D" w:rsidRPr="00DE6A6F">
        <w:t> </w:t>
      </w:r>
      <w:r w:rsidRPr="00DE6A6F">
        <w:t xml:space="preserve">modules de la nouvelle application BRSIS-Capture liés aux Résolutions </w:t>
      </w:r>
      <w:r w:rsidRPr="00DE6A6F">
        <w:rPr>
          <w:b/>
          <w:bCs/>
        </w:rPr>
        <w:t>8 (CMR-23)</w:t>
      </w:r>
      <w:r w:rsidRPr="00DE6A6F">
        <w:t xml:space="preserve"> et</w:t>
      </w:r>
      <w:r w:rsidR="008A4067" w:rsidRPr="00DE6A6F">
        <w:t> </w:t>
      </w:r>
      <w:r w:rsidRPr="00DE6A6F">
        <w:rPr>
          <w:b/>
          <w:bCs/>
        </w:rPr>
        <w:t>35</w:t>
      </w:r>
      <w:r w:rsidR="008A4067" w:rsidRPr="00DE6A6F">
        <w:rPr>
          <w:b/>
          <w:bCs/>
        </w:rPr>
        <w:t> </w:t>
      </w:r>
      <w:r w:rsidRPr="00DE6A6F">
        <w:rPr>
          <w:b/>
          <w:bCs/>
        </w:rPr>
        <w:t>(Rév.CMR-23)</w:t>
      </w:r>
      <w:r w:rsidRPr="00DE6A6F">
        <w:t xml:space="preserve"> ont été publiés, ainsi que des modules mettant en œuvre la saisie des engagements et les paramètres liés à la puissance surfacique équivalente (epfd).</w:t>
      </w:r>
    </w:p>
    <w:p w14:paraId="46F339DB" w14:textId="4F8A14AB" w:rsidR="000F31C5" w:rsidRPr="00DE6A6F" w:rsidRDefault="000F31C5" w:rsidP="008A4067">
      <w:pPr>
        <w:pStyle w:val="enumlev1"/>
      </w:pPr>
      <w:r w:rsidRPr="00DE6A6F">
        <w:t>•</w:t>
      </w:r>
      <w:r w:rsidRPr="00DE6A6F">
        <w:tab/>
        <w:t>Migration de la base de données SRS au format MDB vers une technologie plus moderne: les travaux se poursuivront seulement après la mise en œuvre des décisions de la CMR</w:t>
      </w:r>
      <w:r w:rsidR="008A4067" w:rsidRPr="00DE6A6F">
        <w:noBreakHyphen/>
      </w:r>
      <w:r w:rsidRPr="00DE6A6F">
        <w:t>23. Une fois que l'on aura opéré la migration des applications logicielles du BR pour les services spatiaux vers SQLite, la rétrocompatibilité avec le format MDB, ainsi que les outils de conversion associés, seront maintenus.</w:t>
      </w:r>
    </w:p>
    <w:p w14:paraId="7BFF6C15" w14:textId="4BF067DB" w:rsidR="000F31C5" w:rsidRPr="00DE6A6F" w:rsidRDefault="000F31C5" w:rsidP="008A4067">
      <w:pPr>
        <w:pStyle w:val="enumlev1"/>
      </w:pPr>
      <w:r w:rsidRPr="00DE6A6F">
        <w:t>•</w:t>
      </w:r>
      <w:r w:rsidRPr="00DE6A6F">
        <w:tab/>
        <w:t xml:space="preserve">Migration de la base de données SNS d'Ingres vers SQL Server: </w:t>
      </w:r>
      <w:r w:rsidR="00714C3D" w:rsidRPr="00DE6A6F">
        <w:t>l</w:t>
      </w:r>
      <w:r w:rsidRPr="00DE6A6F">
        <w:t>e passage à SQL</w:t>
      </w:r>
      <w:r w:rsidR="008A4067" w:rsidRPr="00DE6A6F">
        <w:t> </w:t>
      </w:r>
      <w:r w:rsidRPr="00DE6A6F">
        <w:t>Server s'est achevé le 10 janvier 2025.</w:t>
      </w:r>
    </w:p>
    <w:p w14:paraId="10E2668E" w14:textId="77777777" w:rsidR="000F31C5" w:rsidRPr="00DE6A6F" w:rsidRDefault="000F31C5" w:rsidP="008A4067">
      <w:pPr>
        <w:pStyle w:val="enumlev1"/>
      </w:pPr>
      <w:r w:rsidRPr="00DE6A6F">
        <w:t>•</w:t>
      </w:r>
      <w:r w:rsidRPr="00DE6A6F">
        <w:tab/>
        <w:t>Réexamen de SNTrack: en cours. SNTrack sera remplacé progressivement par un système informatique de gestion des systèmes spatiaux, afin de compléter la fonctionnalité administrative du système de soumission électronique.</w:t>
      </w:r>
    </w:p>
    <w:p w14:paraId="5885120D" w14:textId="688F88E5" w:rsidR="000F31C5" w:rsidRPr="00DE6A6F" w:rsidRDefault="000F31C5" w:rsidP="008A4067">
      <w:pPr>
        <w:pStyle w:val="enumlev1"/>
      </w:pPr>
      <w:r w:rsidRPr="00DE6A6F">
        <w:t>•</w:t>
      </w:r>
      <w:r w:rsidRPr="00DE6A6F">
        <w:tab/>
        <w:t xml:space="preserve">Réexamen du système SNS en ligne (et fusion avec le système SNL en ligne): l'application web </w:t>
      </w:r>
      <w:hyperlink r:id="rId46" w:history="1">
        <w:r w:rsidRPr="00DE6A6F">
          <w:rPr>
            <w:rStyle w:val="Hyperlink"/>
          </w:rPr>
          <w:t>ITU Space Explorer</w:t>
        </w:r>
      </w:hyperlink>
      <w:r w:rsidRPr="00DE6A6F">
        <w:t xml:space="preserve"> a été mise en production le 18 décembre 2024.</w:t>
      </w:r>
    </w:p>
    <w:p w14:paraId="04126CF8" w14:textId="162BE613" w:rsidR="000F31C5" w:rsidRPr="00DE6A6F" w:rsidRDefault="000F31C5" w:rsidP="008A4067">
      <w:pPr>
        <w:pStyle w:val="Heading3"/>
      </w:pPr>
      <w:r w:rsidRPr="00DE6A6F">
        <w:t>7.2.2</w:t>
      </w:r>
      <w:r w:rsidRPr="00DE6A6F">
        <w:tab/>
        <w:t>Progrès accomplis en vue de la réalisation des objectifs de la Phase 3 de la feuille de</w:t>
      </w:r>
      <w:r w:rsidR="008A4067" w:rsidRPr="00DE6A6F">
        <w:t> </w:t>
      </w:r>
      <w:r w:rsidRPr="00DE6A6F">
        <w:t>route</w:t>
      </w:r>
    </w:p>
    <w:p w14:paraId="51EB1D51" w14:textId="28DD57C6" w:rsidR="000F31C5" w:rsidRPr="00DE6A6F" w:rsidRDefault="000F31C5" w:rsidP="000F31C5">
      <w:r w:rsidRPr="00DE6A6F">
        <w:t>Les travaux menés au cours des phases précédentes, ainsi que les choix de conception et les choix techniques effectués, constituent une excellente base pour la mise en œuvre avec succès de la Phase</w:t>
      </w:r>
      <w:r w:rsidR="008A4067" w:rsidRPr="00DE6A6F">
        <w:t> </w:t>
      </w:r>
      <w:r w:rsidRPr="00DE6A6F">
        <w:t>3:</w:t>
      </w:r>
    </w:p>
    <w:p w14:paraId="43D0813F" w14:textId="77777777" w:rsidR="000F31C5" w:rsidRPr="00DE6A6F" w:rsidRDefault="000F31C5" w:rsidP="008A4067">
      <w:pPr>
        <w:pStyle w:val="enumlev1"/>
      </w:pPr>
      <w:r w:rsidRPr="00DE6A6F">
        <w:t>•</w:t>
      </w:r>
      <w:r w:rsidRPr="00DE6A6F">
        <w:tab/>
        <w:t>Une nouvelle conception de la structure, qui préservera l'équivalence des données, mais aura pour objectif de supprimer certaines redondances, sera déployée sous la forme d'une version 10.5 début 2027, à mi-chemin de la mise en œuvre des décisions de la CMR-23 et de la CMR-27, de façon à ne pas conduire à un changement trop fréquent de la structure de base de données.</w:t>
      </w:r>
    </w:p>
    <w:p w14:paraId="30FB190B" w14:textId="77777777" w:rsidR="000F31C5" w:rsidRPr="00DE6A6F" w:rsidRDefault="000F31C5" w:rsidP="008A4067">
      <w:pPr>
        <w:pStyle w:val="enumlev1"/>
      </w:pPr>
      <w:r w:rsidRPr="00DE6A6F">
        <w:lastRenderedPageBreak/>
        <w:t>•</w:t>
      </w:r>
      <w:r w:rsidRPr="00DE6A6F">
        <w:tab/>
        <w:t>Des activités visant à centraliser et à rationaliser la gestion des risques, de la reprise des activités et de la sécurité sont en cours.</w:t>
      </w:r>
    </w:p>
    <w:p w14:paraId="2BFC7597" w14:textId="77777777" w:rsidR="000F31C5" w:rsidRPr="00DE6A6F" w:rsidRDefault="000F31C5" w:rsidP="008A4067">
      <w:pPr>
        <w:pStyle w:val="Heading2"/>
      </w:pPr>
      <w:r w:rsidRPr="00DE6A6F">
        <w:t>7.3</w:t>
      </w:r>
      <w:r w:rsidRPr="00DE6A6F">
        <w:tab/>
        <w:t>Élaboration de logiciels relatifs aux services spatiaux</w:t>
      </w:r>
    </w:p>
    <w:p w14:paraId="0F37FD59" w14:textId="60CD1A5E" w:rsidR="000F31C5" w:rsidRPr="00DE6A6F" w:rsidRDefault="000F31C5" w:rsidP="000F31C5">
      <w:r w:rsidRPr="00DE6A6F">
        <w:t xml:space="preserve">Le Bureau a noté que les groupes de travail de l'UIT-R demandent de plus en plus au Bureau d'extraire des données des bases de données du BR (voir par exemple l'Annexe 42 du dernier rapport du Président du Groupe de travail 4A de l'UIT-R (Document </w:t>
      </w:r>
      <w:hyperlink r:id="rId47" w:history="1">
        <w:r w:rsidRPr="00DE6A6F">
          <w:rPr>
            <w:rStyle w:val="Hyperlink"/>
          </w:rPr>
          <w:t>4A/343</w:t>
        </w:r>
      </w:hyperlink>
      <w:r w:rsidRPr="00DE6A6F">
        <w:t>)) alors que des outils comme BRSIS Query ou Space Explorer sont disponibles à cette fin. Compte tenu des ressources dont a besoin le Bureau pour mettre au point ces outils et des contraintes budgétaires actuelles, les administrations sont invitées à indiquer au Bureau s'il est nécessaire de poursuivre le développement de ces outils de recherche.</w:t>
      </w:r>
    </w:p>
    <w:p w14:paraId="71FEEA7D" w14:textId="77777777" w:rsidR="000F31C5" w:rsidRPr="00DE6A6F" w:rsidRDefault="000F31C5" w:rsidP="00A061CC">
      <w:pPr>
        <w:pStyle w:val="Heading3"/>
      </w:pPr>
      <w:r w:rsidRPr="00DE6A6F">
        <w:t>7.3.1</w:t>
      </w:r>
      <w:r w:rsidRPr="00DE6A6F">
        <w:tab/>
        <w:t>Mise en œuvre de la Résolution 55 (Rév.CMR-23): soumission électronique des fiches de notification pour les réseaux à satellite, les stations terriennes et les stations de radioastronomie, ainsi que des rapports sur des brouillages préjudiciables ayant des incidences sur les services spatiaux, et communications correspondantes</w:t>
      </w:r>
    </w:p>
    <w:p w14:paraId="5B76AF3A" w14:textId="5C0492F3" w:rsidR="000F31C5" w:rsidRPr="00DE6A6F" w:rsidRDefault="000F31C5" w:rsidP="000F31C5">
      <w:r w:rsidRPr="00DE6A6F">
        <w:t xml:space="preserve">La CMR-23 a fusionné les Résolutions </w:t>
      </w:r>
      <w:r w:rsidRPr="00DE6A6F">
        <w:rPr>
          <w:b/>
          <w:bCs/>
        </w:rPr>
        <w:t>907</w:t>
      </w:r>
      <w:r w:rsidRPr="00DE6A6F">
        <w:t xml:space="preserve"> et </w:t>
      </w:r>
      <w:r w:rsidRPr="00DE6A6F">
        <w:rPr>
          <w:b/>
          <w:bCs/>
        </w:rPr>
        <w:t>908</w:t>
      </w:r>
      <w:r w:rsidRPr="00DE6A6F">
        <w:t xml:space="preserve"> en une seule Résolution, à savoir la Résolution</w:t>
      </w:r>
      <w:r w:rsidR="00A061CC" w:rsidRPr="00DE6A6F">
        <w:t> </w:t>
      </w:r>
      <w:r w:rsidRPr="00DE6A6F">
        <w:rPr>
          <w:b/>
          <w:bCs/>
        </w:rPr>
        <w:t>55 (Rév.CMR-23)</w:t>
      </w:r>
      <w:r w:rsidRPr="00DE6A6F">
        <w:t xml:space="preserve">; par conséquent, tous les futurs travaux concernant les systèmes de soumission électronique et de communications électroniques se poursuivront au titre de la Résolution </w:t>
      </w:r>
      <w:r w:rsidRPr="00DE6A6F">
        <w:rPr>
          <w:b/>
          <w:bCs/>
        </w:rPr>
        <w:t>55 (Rév.CMR-23)</w:t>
      </w:r>
      <w:r w:rsidRPr="00DE6A6F">
        <w:t>.</w:t>
      </w:r>
    </w:p>
    <w:p w14:paraId="732D1A9C" w14:textId="58B1EF1B" w:rsidR="000F31C5" w:rsidRPr="00DE6A6F" w:rsidRDefault="000F31C5" w:rsidP="000F31C5">
      <w:r w:rsidRPr="00DE6A6F">
        <w:t>En 2024, le système de soumission par voie électronique était accessible 24 heures sur 24 pour les administrations et les entités exploitantes souhaitant soumettre des fiches de notification de réseaux à satellite. Le nombre d'administrations enregistrées est passé de 154, au début de l'année 2024, à</w:t>
      </w:r>
      <w:r w:rsidR="00A061CC" w:rsidRPr="00DE6A6F">
        <w:t> </w:t>
      </w:r>
      <w:r w:rsidRPr="00DE6A6F">
        <w:t>156, au moment de la rédaction du présent rapport.</w:t>
      </w:r>
    </w:p>
    <w:p w14:paraId="2462CB02" w14:textId="6D3391F2" w:rsidR="000F31C5" w:rsidRPr="00DE6A6F" w:rsidRDefault="000F31C5" w:rsidP="000F31C5">
      <w:r w:rsidRPr="00DE6A6F">
        <w:t>Pour appuyer la mise en œuvre des décisions de la CMR-23, le Bureau a actualisé, le</w:t>
      </w:r>
      <w:r w:rsidR="00A061CC" w:rsidRPr="00DE6A6F">
        <w:t> </w:t>
      </w:r>
      <w:r w:rsidRPr="00DE6A6F">
        <w:t>20</w:t>
      </w:r>
      <w:r w:rsidR="00A061CC" w:rsidRPr="00DE6A6F">
        <w:t> </w:t>
      </w:r>
      <w:r w:rsidRPr="00DE6A6F">
        <w:t>décembre</w:t>
      </w:r>
      <w:r w:rsidR="00A061CC" w:rsidRPr="00DE6A6F">
        <w:t> </w:t>
      </w:r>
      <w:r w:rsidRPr="00DE6A6F">
        <w:t>2024, le système de soumission électronique pour permettre aux administrations et aux exploitations de télécharger les fiches de notification des réseaux à satellite au format SNS V10, y</w:t>
      </w:r>
      <w:r w:rsidR="00A061CC" w:rsidRPr="00DE6A6F">
        <w:t> </w:t>
      </w:r>
      <w:r w:rsidRPr="00DE6A6F">
        <w:t>compris les nouveaux types de fiches de notification introduits par la CMR-23. En outre, comme indiqué dans la Lettre circulaire CR/511, il est officiellement possible, depuis le 1er janvier 2025, de soumettre des fiches de notification au format SNS V10 par le biais du système de soumission électronique.</w:t>
      </w:r>
    </w:p>
    <w:p w14:paraId="7D12DAC6" w14:textId="77777777" w:rsidR="000F31C5" w:rsidRPr="00DE6A6F" w:rsidRDefault="000F31C5" w:rsidP="00A061CC">
      <w:pPr>
        <w:keepLines/>
      </w:pPr>
      <w:r w:rsidRPr="00DE6A6F">
        <w:t>Afin de faciliter les activités de développement et de tests du système de soumission électronique, l'Administration du Japon a apporté une contribution financière et a aussi mis à disposition au siège de l'UIT un expert technique et en réglementation dans le domaine des réseaux à satellite. Le Bureau des radiocommunications remercie à nouveau l'Administration du Japon de son appui constant et d'avoir bien voulu fournir une assistance concrète aux fins de l'élaboration de ce projet.</w:t>
      </w:r>
    </w:p>
    <w:p w14:paraId="575FCFF8" w14:textId="40EF8054" w:rsidR="000F31C5" w:rsidRPr="00DE6A6F" w:rsidRDefault="000F31C5" w:rsidP="000F31C5">
      <w:r w:rsidRPr="00DE6A6F">
        <w:t>En 2024, le système de communications électroniques était pleinement accessible 24 heures sur</w:t>
      </w:r>
      <w:r w:rsidR="00090EC7" w:rsidRPr="00DE6A6F">
        <w:t> </w:t>
      </w:r>
      <w:r w:rsidRPr="00DE6A6F">
        <w:t>24 pour les administrations. Le nombre d'administrations enregistrées est passé de 158, au début de l'année 2024, à 163. Au moment de la rédaction du présent rapport, 133 d'entre elles ont envoyé des correspondances par le biais de ce système.</w:t>
      </w:r>
    </w:p>
    <w:p w14:paraId="11BA489E" w14:textId="48985945" w:rsidR="000F31C5" w:rsidRPr="00DE6A6F" w:rsidRDefault="000F31C5" w:rsidP="000F31C5">
      <w:r w:rsidRPr="00DE6A6F">
        <w:t xml:space="preserve">Le 6 mars 2024, de nouvelles fonctionnalités visant à mieux intégrer le système de soumission électronique et le système de communications électroniques ont été introduites. Elles ont pour objectif d'aider les administrations et les organisations intergouvernementales de télécommunication par satellite à examiner efficacement les fiches de notification des réseaux à satellite soumises par le biais du système de soumission électronique et à gérer les correspondances transmises à travers le système de communications électroniques, dans le cadre des procédures réglementaires applicables aux systèmes à satellites, aux stations terriennes et aux stations de radioastronomie. Parallèlement, une nouvelle fonction à l'intention des administrations indique la date d'échéance des lettres reçues </w:t>
      </w:r>
      <w:r w:rsidRPr="00DE6A6F">
        <w:lastRenderedPageBreak/>
        <w:t>du Bureau qui exigent une réponse et affiche des rappels automatiques à l'approche de cette date. Tout au long de l'année 2024, le Bureau a actualisé en permanence cette fonction de rappel ainsi que les interfaces utilisateur du système de communications électroniques.</w:t>
      </w:r>
    </w:p>
    <w:p w14:paraId="3280A1FA" w14:textId="082A0C28" w:rsidR="000F31C5" w:rsidRPr="00DE6A6F" w:rsidRDefault="000F31C5" w:rsidP="000F31C5">
      <w:r w:rsidRPr="00DE6A6F">
        <w:t>De nouvelles évolutions sont en cours afin de mettre d'autres fonctions à disposition, notamment pour permettre les exploitations d'utiliser le système de communications électroniques. Cette fonctionnalité devrait être mise en place dans le courant du deuxième trimestre de l'année 2025. Le Bureau procédera en outre au développement du système de formulation d'observations en ligne. Toutefois, ce travail dépendra de la disponibilité de ressources supplémentaires.</w:t>
      </w:r>
    </w:p>
    <w:p w14:paraId="0BD2BFBA" w14:textId="5B17183D" w:rsidR="000F31C5" w:rsidRPr="00DE6A6F" w:rsidRDefault="000F31C5" w:rsidP="00A061CC">
      <w:pPr>
        <w:pStyle w:val="Heading3"/>
      </w:pPr>
      <w:r w:rsidRPr="00DE6A6F">
        <w:t>7.3.2</w:t>
      </w:r>
      <w:r w:rsidRPr="00DE6A6F">
        <w:tab/>
        <w:t>Application en ligne de la BR IFIC (services spatiaux)</w:t>
      </w:r>
    </w:p>
    <w:p w14:paraId="2F11F61F" w14:textId="220E92C7" w:rsidR="000F31C5" w:rsidRPr="00DE6A6F" w:rsidRDefault="000F31C5" w:rsidP="000F31C5">
      <w:r w:rsidRPr="00DE6A6F">
        <w:t>L'application BR IFIC (services spatiaux) en ligne a été publiée officiellement le 23 janvier 2024 sur un serveur sécurisé offrant un accès 24 heures sur 24, sept jours sur sept. Cette interface en ligne permet de parcourir en ligne le contenu de la BR IFIC (services spatiaux) et de télécharger les informations pertinentes (publications et bases de données).</w:t>
      </w:r>
    </w:p>
    <w:p w14:paraId="5F1BDBE6" w14:textId="2E73744E" w:rsidR="000F31C5" w:rsidRPr="00DE6A6F" w:rsidRDefault="000F31C5" w:rsidP="000F31C5">
      <w:r w:rsidRPr="00DE6A6F">
        <w:t>À compter du 1er janvier 2025, la BR IFIC sera principalement publiée sur le web sous la forme d'un fichier ISO et sur l'application BR IFIC en ligne. Les administrations et abonnés ne recevront plus la BR IFIC sur support physique DVD-ROM, sauf s'ils en font expressément la demande (11</w:t>
      </w:r>
      <w:r w:rsidR="00A061CC" w:rsidRPr="00DE6A6F">
        <w:t> </w:t>
      </w:r>
      <w:r w:rsidRPr="00DE6A6F">
        <w:t xml:space="preserve">demandes ont été reçues en février 2025). </w:t>
      </w:r>
    </w:p>
    <w:p w14:paraId="4AD00230" w14:textId="49125D2A" w:rsidR="000F31C5" w:rsidRPr="00DE6A6F" w:rsidRDefault="000F31C5" w:rsidP="000F31C5">
      <w:r w:rsidRPr="00DE6A6F">
        <w:t>Les administrations des États Membres disposent désormais d'un accès en ligne illimité à la</w:t>
      </w:r>
      <w:r w:rsidR="00714C3D" w:rsidRPr="00DE6A6F">
        <w:t> </w:t>
      </w:r>
      <w:r w:rsidRPr="00DE6A6F">
        <w:t>BR</w:t>
      </w:r>
      <w:r w:rsidR="00A061CC" w:rsidRPr="00DE6A6F">
        <w:t> </w:t>
      </w:r>
      <w:r w:rsidRPr="00DE6A6F">
        <w:t>IFIC. Les abonnements payants permettent à un utilisateur désigné d'avoir accès à l'application BR</w:t>
      </w:r>
      <w:r w:rsidR="00A061CC" w:rsidRPr="00DE6A6F">
        <w:t> </w:t>
      </w:r>
      <w:r w:rsidRPr="00DE6A6F">
        <w:t>IFIC en ligne et au fichier ISO disponible en ligne.</w:t>
      </w:r>
    </w:p>
    <w:p w14:paraId="28F0BA0A" w14:textId="05DFF79E" w:rsidR="000F31C5" w:rsidRPr="00DE6A6F" w:rsidRDefault="000F31C5" w:rsidP="000F31C5">
      <w:r w:rsidRPr="00DE6A6F">
        <w:t>En outre, le Bureau prévoit de mettre une interface de programmation d'application (API) à disposition des utilisateurs de la BR IFIC afin de leur permettre d'accéder aux informations y</w:t>
      </w:r>
      <w:r w:rsidR="00090EC7" w:rsidRPr="00DE6A6F">
        <w:t> </w:t>
      </w:r>
      <w:r w:rsidRPr="00DE6A6F">
        <w:t>afférentes et de les récupérer à travers une interface d'intégration interentreprises (B2B). L'API sera conçue pour fournir un accès structuré et fiable aux données de publication, aux requêtes et aux bases de données et pour transmettre des réponses dans différents formats, tels que les formats</w:t>
      </w:r>
      <w:r w:rsidR="00A061CC" w:rsidRPr="00DE6A6F">
        <w:t> </w:t>
      </w:r>
      <w:r w:rsidRPr="00DE6A6F">
        <w:t>JSON et CSV. L'API de la BR IFIC sera sécurisée à l'aide d'un mécanisme d'authentification fondé sur des clés d'accès qui permettra d'identifier les abonnés et de gérer leurs permissions. Les tests réalisés à l'heure actuelle portent sur les processus d'authentification et visent à garantir le respect des exigences opérationnelles.</w:t>
      </w:r>
    </w:p>
    <w:p w14:paraId="361DD9DD" w14:textId="77777777" w:rsidR="000F31C5" w:rsidRPr="00DE6A6F" w:rsidRDefault="000F31C5" w:rsidP="000F31C5">
      <w:r w:rsidRPr="00DE6A6F">
        <w:t>Enfin, des évolutions sont en cours afin de mettre à disposition des abonnés de la BR IFIC les archives complètes des informations publiées dans les circulaires BR WIC et BR IFIC précédentes.</w:t>
      </w:r>
    </w:p>
    <w:p w14:paraId="3BCE8F93" w14:textId="77777777" w:rsidR="000F31C5" w:rsidRPr="00DE6A6F" w:rsidRDefault="000F31C5" w:rsidP="00A061CC">
      <w:pPr>
        <w:pStyle w:val="Heading2"/>
      </w:pPr>
      <w:r w:rsidRPr="00DE6A6F">
        <w:t>7.4</w:t>
      </w:r>
      <w:r w:rsidRPr="00DE6A6F">
        <w:tab/>
        <w:t>Élaboration de logiciels liés aux services de Terre et autres outils et logiciels du BR</w:t>
      </w:r>
    </w:p>
    <w:p w14:paraId="7E66BD4F" w14:textId="77777777" w:rsidR="000F31C5" w:rsidRPr="00DE6A6F" w:rsidRDefault="000F31C5" w:rsidP="00A061CC">
      <w:pPr>
        <w:pStyle w:val="Heading3"/>
      </w:pPr>
      <w:r w:rsidRPr="00DE6A6F">
        <w:t>7.4.1</w:t>
      </w:r>
      <w:r w:rsidRPr="00DE6A6F">
        <w:tab/>
        <w:t>Outils concernant le Règlement des radiocommunications</w:t>
      </w:r>
    </w:p>
    <w:p w14:paraId="467987C5" w14:textId="77777777" w:rsidR="000F31C5" w:rsidRPr="00DE6A6F" w:rsidRDefault="000F31C5" w:rsidP="000F31C5">
      <w:r w:rsidRPr="00DE6A6F">
        <w:t>Le Bureau continue d'actualiser et de tenir à jour les outils logiciels pour faciliter l'utilisation et l'analyse du Règlement des radiocommunications (RR):</w:t>
      </w:r>
    </w:p>
    <w:p w14:paraId="3F5A6503" w14:textId="0F606A84" w:rsidR="000F31C5" w:rsidRPr="00DE6A6F" w:rsidRDefault="000F31C5" w:rsidP="00A061CC">
      <w:pPr>
        <w:pStyle w:val="enumlev1"/>
      </w:pPr>
      <w:r w:rsidRPr="00DE6A6F">
        <w:t>a)</w:t>
      </w:r>
      <w:r w:rsidRPr="00DE6A6F">
        <w:tab/>
        <w:t>L'</w:t>
      </w:r>
      <w:r w:rsidRPr="00DE6A6F">
        <w:rPr>
          <w:b/>
          <w:bCs/>
          <w:i/>
          <w:iCs/>
        </w:rPr>
        <w:t>outil de navigation du Règlement des radiocommunications</w:t>
      </w:r>
      <w:r w:rsidRPr="00DE6A6F">
        <w:t xml:space="preserve"> est actuellement mis à jour de sorte à inclure la version de 2024 du Règlement des radiocommunications et d'autres textes pertinents (Règles de procédure, textes fondamentaux de l'Union). Cet outil devrait être publié en avril 2025.</w:t>
      </w:r>
    </w:p>
    <w:p w14:paraId="09E1F2C5" w14:textId="6B5B9B77" w:rsidR="000F31C5" w:rsidRPr="00DE6A6F" w:rsidRDefault="000F31C5" w:rsidP="00A061CC">
      <w:pPr>
        <w:pStyle w:val="enumlev1"/>
      </w:pPr>
      <w:r w:rsidRPr="00DE6A6F">
        <w:t>b)</w:t>
      </w:r>
      <w:r w:rsidRPr="00DE6A6F">
        <w:tab/>
        <w:t>L'</w:t>
      </w:r>
      <w:r w:rsidRPr="00DE6A6F">
        <w:rPr>
          <w:b/>
          <w:bCs/>
          <w:i/>
          <w:iCs/>
        </w:rPr>
        <w:t>outil logiciel relatif au Tableau d'attribution des bandes de fréquences de l'Article 5 du</w:t>
      </w:r>
      <w:r w:rsidR="00A061CC" w:rsidRPr="00DE6A6F">
        <w:rPr>
          <w:b/>
          <w:bCs/>
          <w:i/>
          <w:iCs/>
        </w:rPr>
        <w:t> </w:t>
      </w:r>
      <w:r w:rsidRPr="00DE6A6F">
        <w:rPr>
          <w:b/>
          <w:bCs/>
          <w:i/>
          <w:iCs/>
        </w:rPr>
        <w:t>RR</w:t>
      </w:r>
      <w:r w:rsidRPr="00DE6A6F">
        <w:t xml:space="preserve"> permet d'effectuer des recherches et une analyse détaillées dans le Tableau d'attribution des bandes de fréquences de l'Article </w:t>
      </w:r>
      <w:r w:rsidRPr="00DE6A6F">
        <w:rPr>
          <w:b/>
          <w:bCs/>
        </w:rPr>
        <w:t>5</w:t>
      </w:r>
      <w:r w:rsidRPr="00DE6A6F">
        <w:t xml:space="preserve"> du Règlement des radiocommunications, avec filtrage et reformatage en fonction de la gamme de fréquences, du service, de la catégorie de service, du renvoi, du pays, etc.</w:t>
      </w:r>
    </w:p>
    <w:p w14:paraId="3C2B1867" w14:textId="18873C74" w:rsidR="000F31C5" w:rsidRPr="00DE6A6F" w:rsidRDefault="000F31C5" w:rsidP="000F31C5">
      <w:r w:rsidRPr="00DE6A6F">
        <w:lastRenderedPageBreak/>
        <w:t>Cet outil a été mis à jour compte tenu des résultats de la CMR-23 et de l'édition de 2024 du RR, afin d'apporter les changements concernant les attributions de fréquences, les renvois relatifs à des pays et les références connexes aux Résolutions et aux Recommandations concernées. Il inclut également des liens renvoyant vers les Recommandations UIT-R pertinentes dont il est fait mention dans l'Article</w:t>
      </w:r>
      <w:r w:rsidR="00A061CC" w:rsidRPr="00DE6A6F">
        <w:t> </w:t>
      </w:r>
      <w:r w:rsidRPr="00DE6A6F">
        <w:rPr>
          <w:b/>
          <w:bCs/>
        </w:rPr>
        <w:t>5</w:t>
      </w:r>
      <w:r w:rsidRPr="00DE6A6F">
        <w:t xml:space="preserve"> du RR, ainsi que vers la version la plus récente des Règles de procédure qui s'appliquent.</w:t>
      </w:r>
    </w:p>
    <w:p w14:paraId="5C540108" w14:textId="1E0F4406" w:rsidR="000F31C5" w:rsidRPr="00DE6A6F" w:rsidRDefault="000F31C5" w:rsidP="000F31C5">
      <w:r w:rsidRPr="00DE6A6F">
        <w:t xml:space="preserve">De plus, il est également équipé d'un utilitaire permettant d'extraire le Tableau national d'attribution des bandes de fréquences pour un pays donné, dans la mesure où ce tableau résulte d'une combinaison des diverses dispositions de l'Article </w:t>
      </w:r>
      <w:r w:rsidRPr="00DE6A6F">
        <w:rPr>
          <w:b/>
          <w:bCs/>
        </w:rPr>
        <w:t>5</w:t>
      </w:r>
      <w:r w:rsidRPr="00DE6A6F">
        <w:t xml:space="preserve"> du RR. Tout au long de l'année 2024, l'outil a été présenté à l'occasion d'ateliers (tenus à Addis-Abeba, Shanghai et Mexico) portant sur la création de Tableaux nationaux d'attribution des bandes de fréquences (TNABF).</w:t>
      </w:r>
    </w:p>
    <w:p w14:paraId="1DB8730A" w14:textId="77777777" w:rsidR="000F31C5" w:rsidRPr="00DE6A6F" w:rsidRDefault="000F31C5" w:rsidP="000F31C5">
      <w:r w:rsidRPr="00DE6A6F">
        <w:t>La version la plus récente de cet outil est disponible à la vente depuis octobre 2024 sur le site web du Service des ventes de l'UIT. Toutes les mises à jour logicielles et de données seront proposées aux abonnés gratuitement et à intervalles réguliers, jusqu'à la publication de la nouvelle version, compte tenu des décisions de la CMR-27.</w:t>
      </w:r>
    </w:p>
    <w:p w14:paraId="48220606" w14:textId="686E8A01" w:rsidR="000F31C5" w:rsidRPr="00DE6A6F" w:rsidRDefault="000F31C5" w:rsidP="00A061CC">
      <w:pPr>
        <w:pStyle w:val="Heading3"/>
      </w:pPr>
      <w:r w:rsidRPr="00DE6A6F">
        <w:t>7.4.2</w:t>
      </w:r>
      <w:r w:rsidRPr="00DE6A6F">
        <w:tab/>
        <w:t>Nouvelles améliorations apportées aux outils web</w:t>
      </w:r>
    </w:p>
    <w:p w14:paraId="5C4DE148" w14:textId="73B12DE3" w:rsidR="000F31C5" w:rsidRPr="00DE6A6F" w:rsidRDefault="000F31C5" w:rsidP="000F31C5">
      <w:r w:rsidRPr="00DE6A6F">
        <w:t>Le BR continue de mettre au point des outils web relatifs aux services de Terre et de les intégrer au portail en ligne des services de Terre, fondé sur les technologies web les plus modernes, comme indiqué ci-dessous.</w:t>
      </w:r>
    </w:p>
    <w:p w14:paraId="32C85D7A" w14:textId="54563B02" w:rsidR="000F31C5" w:rsidRPr="00DE6A6F" w:rsidRDefault="000F31C5" w:rsidP="000F31C5">
      <w:r w:rsidRPr="00DE6A6F">
        <w:t>Les outils eBroadcasting ont été améliorés et comprennent désormais des fonctions de cartographie avancée, dont une bibliothèque de modèles de cartes conçue par le Groupe d'action du BR (voir le</w:t>
      </w:r>
      <w:r w:rsidR="00A061CC" w:rsidRPr="00DE6A6F">
        <w:t> </w:t>
      </w:r>
      <w:r w:rsidRPr="00DE6A6F">
        <w:t>§</w:t>
      </w:r>
      <w:r w:rsidR="00A061CC" w:rsidRPr="00DE6A6F">
        <w:t> </w:t>
      </w:r>
      <w:r w:rsidRPr="00DE6A6F">
        <w:t xml:space="preserve">7.4.4). L'outil de simulation de modification du Plan au titre de l'Article 4 de l'Accord GE06 dans eTools utilise maintenant les services TerRaSys pour effectuer les calculs, tout en conservant le même aspect et la même convivialité qu'avant. L'intégration de l'examen de conformité relevant de l'Article </w:t>
      </w:r>
      <w:r w:rsidRPr="00DE6A6F">
        <w:rPr>
          <w:b/>
          <w:bCs/>
        </w:rPr>
        <w:t>5</w:t>
      </w:r>
      <w:r w:rsidRPr="00DE6A6F">
        <w:t xml:space="preserve"> de l'Accord GE06 dans eTools est achevée et sera déployée avec TerRaSys2020 en</w:t>
      </w:r>
      <w:r w:rsidR="00A061CC" w:rsidRPr="00DE6A6F">
        <w:t> </w:t>
      </w:r>
      <w:r w:rsidRPr="00DE6A6F">
        <w:t>mars</w:t>
      </w:r>
      <w:r w:rsidR="00A061CC" w:rsidRPr="00DE6A6F">
        <w:t> </w:t>
      </w:r>
      <w:r w:rsidRPr="00DE6A6F">
        <w:t>2025, ce qui permettra de désactiver l'outil actuellement disponible dans l'outil autonome</w:t>
      </w:r>
      <w:r w:rsidR="00A061CC" w:rsidRPr="00DE6A6F">
        <w:t> </w:t>
      </w:r>
      <w:r w:rsidRPr="00DE6A6F">
        <w:t>GE06Calc.</w:t>
      </w:r>
    </w:p>
    <w:p w14:paraId="4BB6CE63" w14:textId="4CCA3F91" w:rsidR="000F31C5" w:rsidRPr="00DE6A6F" w:rsidRDefault="000F31C5" w:rsidP="000F31C5">
      <w:r w:rsidRPr="00DE6A6F">
        <w:t>La plate-forme eBroadcasting intègre désormais une nouvelle fonctionnalité permettant de générer et d'envoyer automatiquement des courriers électroniques aux administrations concernées dès réception d'observations au titre du Plan GE84 (accords ou objections concernant des modifications publiées du Plan). La correspondance entrante contenant les observations est également accessible par le biais de l'outil myAdmin, qui complète la correspondance envoyée par le BR pour tous les plans de radiodiffusion. Cette nouvelle fonctionnalité réduit sensiblement la charge de travail du BR et les risques d'erreurs étant donné le volume important de correspondance concernant le Plan</w:t>
      </w:r>
      <w:r w:rsidR="00A061CC" w:rsidRPr="00DE6A6F">
        <w:t> </w:t>
      </w:r>
      <w:r w:rsidRPr="00DE6A6F">
        <w:t>GE84.</w:t>
      </w:r>
    </w:p>
    <w:p w14:paraId="3F18873A" w14:textId="72E2871D" w:rsidR="000F31C5" w:rsidRPr="00DE6A6F" w:rsidRDefault="000F31C5" w:rsidP="000F31C5">
      <w:r w:rsidRPr="00DE6A6F">
        <w:t>Les simulations P1546 dans ePropagation ont été considérablement améliorées grâce à la mise en œuvre de la fonction de calcul multipoint à point. Cette nouvelle fonction permet de prendre en considération plusieurs émetteurs, ce qui permet de combiner les intensités des signaux à l'emplacement du récepteur.</w:t>
      </w:r>
    </w:p>
    <w:p w14:paraId="2B089F0D" w14:textId="4EC02A15" w:rsidR="000F31C5" w:rsidRPr="00DE6A6F" w:rsidRDefault="000F31C5" w:rsidP="000F31C5">
      <w:r w:rsidRPr="00DE6A6F">
        <w:t>L'outil de simulation point à point P452 a été incorporé dans le module ePropagation, ce qui permet de prévoir les brouillages entre stations de Terre fonctionnant à des fréquences inférieures à</w:t>
      </w:r>
      <w:r w:rsidR="00A061CC" w:rsidRPr="00DE6A6F">
        <w:t> </w:t>
      </w:r>
      <w:r w:rsidRPr="00DE6A6F">
        <w:t>0,1</w:t>
      </w:r>
      <w:r w:rsidR="00A061CC" w:rsidRPr="00DE6A6F">
        <w:t> </w:t>
      </w:r>
      <w:r w:rsidRPr="00DE6A6F">
        <w:t xml:space="preserve">GHz. Cet outil utilise des modèles numériques d'élévation à haute résolution (SRTM1, SRTM3 et ASTER v3). L'outil de simulation point à zone P452 est en cours d'élaboration pour aider les administrations à identifier les pays voisins susceptibles d'être affectés au titre du numéro </w:t>
      </w:r>
      <w:r w:rsidRPr="00DE6A6F">
        <w:rPr>
          <w:b/>
          <w:bCs/>
        </w:rPr>
        <w:t>9.21</w:t>
      </w:r>
      <w:r w:rsidRPr="00DE6A6F">
        <w:t xml:space="preserve"> du RR.</w:t>
      </w:r>
    </w:p>
    <w:p w14:paraId="04CA8D8B" w14:textId="77777777" w:rsidR="000F31C5" w:rsidRPr="00DE6A6F" w:rsidRDefault="000F31C5" w:rsidP="00714C3D">
      <w:pPr>
        <w:keepLines/>
      </w:pPr>
      <w:r w:rsidRPr="00DE6A6F">
        <w:lastRenderedPageBreak/>
        <w:t>L'utilisation des cartes de navigation a été élargie à d'autres outils (eMIFR, myAdmin et ePub), et la fonctionnalité d'affichage des cartes a été intégrée à l'outil de propagation point-zone P1812. Le volet ePropagation a été amélioré grâce à un nouvel outil point à point P1546 et à une nouvelle fonctionnalité qui tient compte des affaiblissements de l'antenne dans les calculs pour tous les outils.</w:t>
      </w:r>
    </w:p>
    <w:p w14:paraId="69A4BC79" w14:textId="075A0BD1" w:rsidR="000F31C5" w:rsidRPr="00DE6A6F" w:rsidRDefault="000F31C5" w:rsidP="000F31C5">
      <w:r w:rsidRPr="00DE6A6F">
        <w:t>Les nouveaux éléments de la plate-forme en ligne pour les services fixe et mobile (eFXM), à savoir</w:t>
      </w:r>
      <w:r w:rsidR="00714C3D" w:rsidRPr="00DE6A6F">
        <w:t> </w:t>
      </w:r>
      <w:r w:rsidRPr="00DE6A6F">
        <w:t>ePubFXM et MyAdminFXM, ont été mis au point et intégrés à cette dernière en 2024. L'outil</w:t>
      </w:r>
      <w:r w:rsidR="00714C3D" w:rsidRPr="00DE6A6F">
        <w:t> </w:t>
      </w:r>
      <w:r w:rsidRPr="00DE6A6F">
        <w:t xml:space="preserve">ePubFXM permet aux administrations de consulter le numéro </w:t>
      </w:r>
      <w:r w:rsidRPr="00DE6A6F">
        <w:rPr>
          <w:b/>
          <w:bCs/>
        </w:rPr>
        <w:t>9.21</w:t>
      </w:r>
      <w:r w:rsidRPr="00DE6A6F">
        <w:t xml:space="preserve"> du RR et la Section spéciale</w:t>
      </w:r>
      <w:r w:rsidR="00D14934" w:rsidRPr="00DE6A6F">
        <w:t> </w:t>
      </w:r>
      <w:r w:rsidRPr="00DE6A6F">
        <w:t>GE06L annexés à la BR IFIC (services de Terre) ainsi que les assignations correspondantes inscrites dans le Fichier de référence international des fréquences. L'outil MyAdminFXM aide les administrations à gérer le suivi des procédures de coordination FXM et de modification du plan</w:t>
      </w:r>
      <w:r w:rsidR="00A061CC" w:rsidRPr="00DE6A6F">
        <w:t> </w:t>
      </w:r>
      <w:r w:rsidRPr="00DE6A6F">
        <w:t>FXM.</w:t>
      </w:r>
    </w:p>
    <w:p w14:paraId="6FDF69E3" w14:textId="77777777" w:rsidR="000F31C5" w:rsidRPr="00DE6A6F" w:rsidRDefault="000F31C5" w:rsidP="00A061CC">
      <w:pPr>
        <w:pStyle w:val="Heading3"/>
      </w:pPr>
      <w:r w:rsidRPr="00DE6A6F">
        <w:t>7.4.3</w:t>
      </w:r>
      <w:r w:rsidRPr="00DE6A6F">
        <w:tab/>
        <w:t>Systèmes d'information géographique (GIS) du BR</w:t>
      </w:r>
    </w:p>
    <w:p w14:paraId="68EE13F0" w14:textId="52841B24" w:rsidR="000F31C5" w:rsidRPr="00DE6A6F" w:rsidRDefault="000F31C5" w:rsidP="000F31C5">
      <w:r w:rsidRPr="00DE6A6F">
        <w:t>Le Groupe d'action du BR sur les systèmes d'information géographique (GIS), composé de fonctionnaires issus de tous les départements du BR, a été mis sur pied afin d'harmoniser les activités relatives à ces systèmes au sein du BR. À l'aide de GeoServer, le Groupe d'action a mis en œuvre la plate-forme GIS du BR, qui est prête à être déployée. La conversion de tous les ensembles de données IDWM du format propriétaire au format géospatial a été menée à bien, tandis que le stockage des données radiométéorologiques de la CE 3 sur la plate-forme GIS du BR est en cours. La carte IDWM est disponible gratuitement depuis janvier 2025 et les données de celle-ci seront mises à la disposition des utilisateurs à travers les services web homologués par l'Open Geospatial Consortium (OGC). Le Groupe d'action a créé une bibliothèque de modèles de cartes, déjà intégrée dans plusieurs outils relatifs aux services de Terre, qui peut être réutilisée pour garantir le même aspect et la même convivialité dans les applications web du BR.</w:t>
      </w:r>
    </w:p>
    <w:p w14:paraId="107FBC60" w14:textId="082AFBFF" w:rsidR="000F31C5" w:rsidRPr="00DE6A6F" w:rsidRDefault="000F31C5" w:rsidP="000F31C5">
      <w:r w:rsidRPr="00DE6A6F">
        <w:t>Les activités du Groupe d'action seront approfondies grâce à l'appui d'un expert, à savoir un Administrateur adjoint chargé de la gestion de l'information géospatiale, qui rejoindra le BR en</w:t>
      </w:r>
      <w:r w:rsidR="00A061CC" w:rsidRPr="00DE6A6F">
        <w:t> </w:t>
      </w:r>
      <w:r w:rsidRPr="00DE6A6F">
        <w:t>mars</w:t>
      </w:r>
      <w:r w:rsidR="00A061CC" w:rsidRPr="00DE6A6F">
        <w:t> </w:t>
      </w:r>
      <w:r w:rsidRPr="00DE6A6F">
        <w:t>2025.</w:t>
      </w:r>
    </w:p>
    <w:p w14:paraId="0F6A6EB8" w14:textId="5EE51657" w:rsidR="000F31C5" w:rsidRPr="00DE6A6F" w:rsidRDefault="000F31C5" w:rsidP="000F31C5">
      <w:r w:rsidRPr="00DE6A6F">
        <w:t>L'UIT est membre du réseau du système des Nations Unies pour les questions géospatiales, une coalition de diverses entités du système des Nations Unies dont la tâche est de renforcer la coordination et la cohérence dans la gestion de l'information géospatiale à l'échelle des Nations</w:t>
      </w:r>
      <w:r w:rsidR="00A061CC" w:rsidRPr="00DE6A6F">
        <w:t> </w:t>
      </w:r>
      <w:r w:rsidRPr="00DE6A6F">
        <w:t>Unies. Le BR participe à la commission de direction de ce réseau et dirige le Groupe d'action intersectoriel de l'UIT sur la gestion de l'information géospatiale.</w:t>
      </w:r>
    </w:p>
    <w:p w14:paraId="01263308" w14:textId="77777777" w:rsidR="000F31C5" w:rsidRPr="00DE6A6F" w:rsidRDefault="000F31C5" w:rsidP="00A061CC">
      <w:pPr>
        <w:pStyle w:val="Heading3"/>
      </w:pPr>
      <w:r w:rsidRPr="00DE6A6F">
        <w:t>7.4.4</w:t>
      </w:r>
      <w:r w:rsidRPr="00DE6A6F">
        <w:tab/>
        <w:t>Projet de publications relatives au service maritime</w:t>
      </w:r>
    </w:p>
    <w:p w14:paraId="31807780" w14:textId="51A3A412" w:rsidR="000F31C5" w:rsidRPr="00DE6A6F" w:rsidRDefault="000F31C5" w:rsidP="000F31C5">
      <w:r w:rsidRPr="00DE6A6F">
        <w:t>Le BR a atteint la phase finale de ce projet. La plate-forme de vente en ligne et l'application de bureau contenant trois publications au format numérique (Liste IV, Liste V et Manuel maritime) sont en phase de production. S'agissant de l'élaboration des applications mobiles associées, l'application mobile destinée à l'utilisateur contenant les versions simplifiées des trois publications numériques est pratiquement terminée. L'application d'inspection (vérificateur de publications de</w:t>
      </w:r>
      <w:r w:rsidR="00A061CC" w:rsidRPr="00DE6A6F">
        <w:t> </w:t>
      </w:r>
      <w:r w:rsidRPr="00DE6A6F">
        <w:t>l'UIT) est terminée et prête à être publiée gratuitement dans les principales boutiques d'applications mobiles (Google et Apple). Avant le lancement des applications mobiles, le BR étudie la façon de répondre aux exigences spécifiques nécessaires à leur publication.</w:t>
      </w:r>
    </w:p>
    <w:p w14:paraId="287528D1" w14:textId="258A5B64" w:rsidR="000F31C5" w:rsidRPr="00DE6A6F" w:rsidRDefault="000F31C5" w:rsidP="00A061CC">
      <w:pPr>
        <w:pStyle w:val="Heading3"/>
      </w:pPr>
      <w:r w:rsidRPr="00DE6A6F">
        <w:t>7.4.5</w:t>
      </w:r>
      <w:r w:rsidRPr="00DE6A6F">
        <w:tab/>
        <w:t>Brouillages préjudiciables causés aux services de Terre (HITS)</w:t>
      </w:r>
    </w:p>
    <w:p w14:paraId="31ABAB90" w14:textId="159701AB" w:rsidR="000F31C5" w:rsidRPr="00DE6A6F" w:rsidRDefault="000F31C5" w:rsidP="000F31C5">
      <w:r w:rsidRPr="00DE6A6F">
        <w:t>Une nouvelle plate-forme en ligne destinée au traitement des rapports sur les brouillages préjudiciables et les infractions concernant les services de Terre est cours d'élaboration. En</w:t>
      </w:r>
      <w:r w:rsidR="00A061CC" w:rsidRPr="00DE6A6F">
        <w:t> </w:t>
      </w:r>
      <w:r w:rsidRPr="00DE6A6F">
        <w:t>mai</w:t>
      </w:r>
      <w:r w:rsidR="00A061CC" w:rsidRPr="00DE6A6F">
        <w:t> </w:t>
      </w:r>
      <w:r w:rsidRPr="00DE6A6F">
        <w:t xml:space="preserve">2024, une version expérimentale a été mise à la disposition de certaines administrations afin de recueillir leurs commentaires. En février 2025, une autre version expérimentale a été mise à la </w:t>
      </w:r>
      <w:r w:rsidRPr="00DE6A6F">
        <w:lastRenderedPageBreak/>
        <w:t xml:space="preserve">disposition de tous les États Membres (conformément à la Lettre circulaire CR/515 accessible à l'adresse </w:t>
      </w:r>
      <w:hyperlink r:id="rId48" w:history="1">
        <w:r w:rsidR="00A061CC" w:rsidRPr="00DE6A6F">
          <w:rPr>
            <w:rStyle w:val="Hyperlink"/>
          </w:rPr>
          <w:t>https://www.itu.int/md/R00-CR-CIR-0515/en</w:t>
        </w:r>
      </w:hyperlink>
      <w:r w:rsidRPr="00DE6A6F">
        <w:t>) afin de recueillir davantage de commentaires. En parallèle, les travaux portant sur l'interface utilisateur et l'ajout de nouvelles fonctionnalités se poursuivent.</w:t>
      </w:r>
    </w:p>
    <w:p w14:paraId="21E1760A" w14:textId="77777777" w:rsidR="000F31C5" w:rsidRPr="00DE6A6F" w:rsidRDefault="000F31C5" w:rsidP="00A061CC">
      <w:pPr>
        <w:pStyle w:val="Heading2"/>
      </w:pPr>
      <w:r w:rsidRPr="00DE6A6F">
        <w:t>7.5</w:t>
      </w:r>
      <w:r w:rsidRPr="00DE6A6F">
        <w:tab/>
        <w:t>Continuité des activités et rétablissement après une catastrophe (pour les services spatiaux et les services de Terre)</w:t>
      </w:r>
    </w:p>
    <w:p w14:paraId="617A1ABC" w14:textId="10DD4317" w:rsidR="000F31C5" w:rsidRPr="00DE6A6F" w:rsidRDefault="000F31C5" w:rsidP="000F31C5">
      <w:r w:rsidRPr="00DE6A6F">
        <w:t>Les travaux visant à renforcer davantage le cadre de gestion des risques de l'UIT se poursuivront en</w:t>
      </w:r>
      <w:r w:rsidR="00A061CC" w:rsidRPr="00DE6A6F">
        <w:t> </w:t>
      </w:r>
      <w:r w:rsidRPr="00DE6A6F">
        <w:t>2025 et des sessions seront organisées par le Coordonnateur du Système de gestion de la résilience de l'organisation (ORMS) de l'UIT et le Responsable de la gestion des risques liés aux activités de l'organisation de l'UIT.</w:t>
      </w:r>
    </w:p>
    <w:p w14:paraId="2460903A" w14:textId="18AF1C4C" w:rsidR="000F31C5" w:rsidRPr="00DE6A6F" w:rsidRDefault="000F31C5" w:rsidP="00A061CC">
      <w:pPr>
        <w:pStyle w:val="Heading2"/>
      </w:pPr>
      <w:r w:rsidRPr="00DE6A6F">
        <w:t>7.6</w:t>
      </w:r>
      <w:r w:rsidRPr="00DE6A6F">
        <w:tab/>
        <w:t>Informatique en nuage</w:t>
      </w:r>
    </w:p>
    <w:p w14:paraId="7D105B20" w14:textId="697F7725" w:rsidR="000F31C5" w:rsidRPr="00DE6A6F" w:rsidRDefault="000F31C5" w:rsidP="000F31C5">
      <w:r w:rsidRPr="00DE6A6F">
        <w:t>En janvier 2025, un rapport d'activité portant sur les travaux du Groupe d'action du BR sur la migration vers l'informatique en nuage a été présenté à la direction du BR, qui a appuyé la poursuite des activités liées au système Documentum et des projets pilotes en lien avec la plate-forme GIS du</w:t>
      </w:r>
      <w:r w:rsidR="00A061CC" w:rsidRPr="00DE6A6F">
        <w:t> </w:t>
      </w:r>
      <w:r w:rsidRPr="00DE6A6F">
        <w:t>BR en étroite collaboration avec le Département des services informatiques de l'UIT.</w:t>
      </w:r>
    </w:p>
    <w:p w14:paraId="24819A35" w14:textId="77777777" w:rsidR="0072626E" w:rsidRPr="00DE6A6F" w:rsidRDefault="0072626E" w:rsidP="0072626E">
      <w:pPr>
        <w:pStyle w:val="Heading1"/>
      </w:pPr>
      <w:r w:rsidRPr="00DE6A6F">
        <w:t>8</w:t>
      </w:r>
      <w:r w:rsidRPr="00DE6A6F">
        <w:tab/>
        <w:t>Activités de sensibilisation</w:t>
      </w:r>
    </w:p>
    <w:p w14:paraId="1B059755" w14:textId="77777777" w:rsidR="0072626E" w:rsidRPr="00DE6A6F" w:rsidRDefault="0072626E" w:rsidP="0072626E">
      <w:r w:rsidRPr="00DE6A6F">
        <w:t>Au nombre des activités de sensibilisation figurent la diffusion d'informations et l'assistance aux membres, la publication des produits de l'UIT-R, l'organisation de séminaires et d'ateliers et la participation à ces manifestations ainsi que l'élaboration et la tenue à jour d'outils de communication et de promotion. L'objectif de ces activités est de faire en sorte que les produits résultant des activités menées par le Secteur de l'UIT-R (dispositions réglementaires, Recommandations, Rapports et Manuels) soient diffusés dans le monde entier afin de pouvoir servir de base à la formulation de politiques générales et à la prise de décisions aux niveaux national et régional concernant l'utilisation du spectre radioélectrique. Pour mener à bien ces activités, le BR assure une collaboration étroite avec les autres Bureaux, le Secrétariat général, les bureaux régionaux et les bureaux de zone de l'UIT, ainsi que les organisations internationales ou les autorités nationales concernées.</w:t>
      </w:r>
    </w:p>
    <w:p w14:paraId="408B5492" w14:textId="77777777" w:rsidR="0072626E" w:rsidRPr="00DE6A6F" w:rsidRDefault="0072626E" w:rsidP="0072626E">
      <w:pPr>
        <w:pStyle w:val="Heading2"/>
      </w:pPr>
      <w:r w:rsidRPr="00DE6A6F">
        <w:t>8.1</w:t>
      </w:r>
      <w:r w:rsidRPr="00DE6A6F">
        <w:tab/>
        <w:t>Publications</w:t>
      </w:r>
    </w:p>
    <w:p w14:paraId="3C3843D3" w14:textId="77777777" w:rsidR="0072626E" w:rsidRPr="00DE6A6F" w:rsidRDefault="0072626E" w:rsidP="0072626E">
      <w:pPr>
        <w:pStyle w:val="Heading3"/>
      </w:pPr>
      <w:r w:rsidRPr="00DE6A6F">
        <w:t>8.1.1</w:t>
      </w:r>
      <w:r w:rsidRPr="00DE6A6F">
        <w:tab/>
        <w:t>Publications réglementaires</w:t>
      </w:r>
    </w:p>
    <w:p w14:paraId="558EC6E0" w14:textId="77777777" w:rsidR="0072626E" w:rsidRPr="00DE6A6F" w:rsidRDefault="0072626E" w:rsidP="0072626E">
      <w:pPr>
        <w:pStyle w:val="Heading4"/>
      </w:pPr>
      <w:r w:rsidRPr="00DE6A6F">
        <w:t>8.1.1.1</w:t>
      </w:r>
      <w:r w:rsidRPr="00DE6A6F">
        <w:tab/>
        <w:t>Rappel et observations générales</w:t>
      </w:r>
    </w:p>
    <w:p w14:paraId="61705551" w14:textId="5FB0F8D8" w:rsidR="0072626E" w:rsidRPr="00DE6A6F" w:rsidRDefault="0072626E" w:rsidP="0072626E">
      <w:r w:rsidRPr="00DE6A6F">
        <w:t>Les publications réglementaires font partie intégrante des règlements administratifs, à savoir le Règlement des radiocommunications, qui contient les textes complets adoptés par la CMR, ainsi que les Actes finals et les Règles de procédure, qui servent de textes complémentaires au Règlement des radiocommunications.</w:t>
      </w:r>
    </w:p>
    <w:p w14:paraId="2D85EB61" w14:textId="6FFA8033" w:rsidR="0072626E" w:rsidRPr="00DE6A6F" w:rsidRDefault="0072626E" w:rsidP="0072626E">
      <w:r w:rsidRPr="00DE6A6F">
        <w:t>À la suite de la CMR-23, les Actes finals ont été publiés en mars 2024, suivis de l'édition du Règlement des radiocommunications en septembre 2024.</w:t>
      </w:r>
    </w:p>
    <w:p w14:paraId="05A3B1BF" w14:textId="3E05BCF2" w:rsidR="0072626E" w:rsidRPr="00DE6A6F" w:rsidRDefault="0072626E" w:rsidP="0072626E">
      <w:r w:rsidRPr="00DE6A6F">
        <w:t>Une troisième mise à jour de l'édition de 2021 des Règles de procédure a été publiée en juillet 2023, suivie d'une quatrième et d'une cinquième mises à jour, publiées respectivement en mars 2025 et en décembre 2024.</w:t>
      </w:r>
    </w:p>
    <w:p w14:paraId="73E6A721" w14:textId="77777777" w:rsidR="0072626E" w:rsidRPr="00DE6A6F" w:rsidRDefault="0072626E" w:rsidP="0072626E">
      <w:r w:rsidRPr="00DE6A6F">
        <w:t xml:space="preserve">Le BR publie aussi, chaque année, onze horaires HFBC, conformément à l'Article </w:t>
      </w:r>
      <w:r w:rsidRPr="00DE6A6F">
        <w:rPr>
          <w:b/>
          <w:bCs/>
        </w:rPr>
        <w:t>12</w:t>
      </w:r>
      <w:r w:rsidRPr="00DE6A6F">
        <w:t xml:space="preserve"> du RR.</w:t>
      </w:r>
    </w:p>
    <w:p w14:paraId="797F59DC" w14:textId="77777777" w:rsidR="0072626E" w:rsidRPr="00DE6A6F" w:rsidRDefault="0072626E" w:rsidP="0072626E">
      <w:pPr>
        <w:pStyle w:val="Heading3"/>
      </w:pPr>
      <w:r w:rsidRPr="00DE6A6F">
        <w:lastRenderedPageBreak/>
        <w:t>8.1.2</w:t>
      </w:r>
      <w:r w:rsidRPr="00DE6A6F">
        <w:tab/>
        <w:t>Publications de service</w:t>
      </w:r>
    </w:p>
    <w:p w14:paraId="25A74688" w14:textId="77777777" w:rsidR="0072626E" w:rsidRPr="00DE6A6F" w:rsidRDefault="0072626E" w:rsidP="0072626E">
      <w:pPr>
        <w:pStyle w:val="Heading4"/>
      </w:pPr>
      <w:r w:rsidRPr="00DE6A6F">
        <w:t>8.1.2.1</w:t>
      </w:r>
      <w:r w:rsidRPr="00DE6A6F">
        <w:tab/>
        <w:t>Rappel et observations générales</w:t>
      </w:r>
    </w:p>
    <w:p w14:paraId="1D49A1C1" w14:textId="77777777" w:rsidR="0072626E" w:rsidRPr="00DE6A6F" w:rsidRDefault="0072626E" w:rsidP="0072626E">
      <w:r w:rsidRPr="00DE6A6F">
        <w:t xml:space="preserve">Le Bureau élabore et publie diverses publications de service, comme indiqué dans l'Article </w:t>
      </w:r>
      <w:r w:rsidRPr="00DE6A6F">
        <w:rPr>
          <w:b/>
          <w:bCs/>
        </w:rPr>
        <w:t>20</w:t>
      </w:r>
      <w:r w:rsidRPr="00DE6A6F">
        <w:t xml:space="preserve"> du Règlement des radiocommunications:</w:t>
      </w:r>
    </w:p>
    <w:p w14:paraId="2CCF347E" w14:textId="2F859CA7" w:rsidR="0072626E" w:rsidRPr="00DE6A6F" w:rsidRDefault="0072626E" w:rsidP="009F13BB">
      <w:pPr>
        <w:pStyle w:val="enumlev1"/>
      </w:pPr>
      <w:r w:rsidRPr="00DE6A6F">
        <w:t>•</w:t>
      </w:r>
      <w:r w:rsidRPr="00DE6A6F">
        <w:tab/>
        <w:t xml:space="preserve">BR IFIC </w:t>
      </w:r>
      <w:r w:rsidR="00642EA0" w:rsidRPr="00DE6A6F">
        <w:t xml:space="preserve">– </w:t>
      </w:r>
      <w:r w:rsidRPr="00DE6A6F">
        <w:t>Circulaire internationale d'information sur les fréquences</w:t>
      </w:r>
    </w:p>
    <w:p w14:paraId="241D9546" w14:textId="508E64F1" w:rsidR="0072626E" w:rsidRPr="00DE6A6F" w:rsidRDefault="0072626E" w:rsidP="009F13BB">
      <w:pPr>
        <w:pStyle w:val="enumlev1"/>
      </w:pPr>
      <w:r w:rsidRPr="00DE6A6F">
        <w:t>•</w:t>
      </w:r>
      <w:r w:rsidRPr="00DE6A6F">
        <w:tab/>
        <w:t xml:space="preserve">Liste IV </w:t>
      </w:r>
      <w:r w:rsidR="00642EA0" w:rsidRPr="00DE6A6F">
        <w:t xml:space="preserve">– </w:t>
      </w:r>
      <w:r w:rsidRPr="00DE6A6F">
        <w:t>Nomenclature des stations côtières et des stations effectuant des services spéciaux</w:t>
      </w:r>
    </w:p>
    <w:p w14:paraId="1DF46D8E" w14:textId="19043072" w:rsidR="0072626E" w:rsidRPr="00DE6A6F" w:rsidRDefault="0072626E" w:rsidP="009F13BB">
      <w:pPr>
        <w:pStyle w:val="enumlev1"/>
      </w:pPr>
      <w:r w:rsidRPr="00DE6A6F">
        <w:t>•</w:t>
      </w:r>
      <w:r w:rsidRPr="00DE6A6F">
        <w:tab/>
        <w:t xml:space="preserve">Liste V </w:t>
      </w:r>
      <w:r w:rsidR="00642EA0" w:rsidRPr="00DE6A6F">
        <w:t xml:space="preserve">– </w:t>
      </w:r>
      <w:r w:rsidRPr="00DE6A6F">
        <w:t>Nomenclature des stations de navire et des identités du service mobile maritime assignées</w:t>
      </w:r>
    </w:p>
    <w:p w14:paraId="451BB33B" w14:textId="2602B274" w:rsidR="0072626E" w:rsidRPr="00DE6A6F" w:rsidRDefault="0072626E" w:rsidP="009F13BB">
      <w:pPr>
        <w:pStyle w:val="enumlev1"/>
      </w:pPr>
      <w:r w:rsidRPr="00DE6A6F">
        <w:t>•</w:t>
      </w:r>
      <w:r w:rsidRPr="00DE6A6F">
        <w:tab/>
        <w:t xml:space="preserve">Liste VIII </w:t>
      </w:r>
      <w:r w:rsidR="00642EA0" w:rsidRPr="00DE6A6F">
        <w:t xml:space="preserve">– </w:t>
      </w:r>
      <w:r w:rsidRPr="00DE6A6F">
        <w:t>Nomenclature des stations de contrôle international des émissions</w:t>
      </w:r>
    </w:p>
    <w:p w14:paraId="52B7C5AF" w14:textId="687965FB" w:rsidR="0072626E" w:rsidRPr="00DE6A6F" w:rsidRDefault="0072626E" w:rsidP="009F13BB">
      <w:pPr>
        <w:pStyle w:val="enumlev1"/>
      </w:pPr>
      <w:r w:rsidRPr="00DE6A6F">
        <w:t>•</w:t>
      </w:r>
      <w:r w:rsidRPr="00DE6A6F">
        <w:tab/>
        <w:t>Manuel à l'usage des services mobile maritime et mobile maritime par satellite (Manuel</w:t>
      </w:r>
      <w:r w:rsidR="009F13BB" w:rsidRPr="00DE6A6F">
        <w:t> </w:t>
      </w:r>
      <w:r w:rsidRPr="00DE6A6F">
        <w:t>maritime)</w:t>
      </w:r>
    </w:p>
    <w:p w14:paraId="6F27AFF3" w14:textId="6D2953D5" w:rsidR="0072626E" w:rsidRPr="00DE6A6F" w:rsidRDefault="0072626E" w:rsidP="009F13BB">
      <w:pPr>
        <w:pStyle w:val="Heading4"/>
      </w:pPr>
      <w:r w:rsidRPr="00DE6A6F">
        <w:t>8.1.2.2</w:t>
      </w:r>
      <w:r w:rsidRPr="00DE6A6F">
        <w:tab/>
        <w:t>Nomenclature des stations côtières et des stations effectuant des services spéciaux (Liste</w:t>
      </w:r>
      <w:r w:rsidR="009F13BB" w:rsidRPr="00DE6A6F">
        <w:t> </w:t>
      </w:r>
      <w:r w:rsidRPr="00DE6A6F">
        <w:t>IV)</w:t>
      </w:r>
    </w:p>
    <w:p w14:paraId="6095F443" w14:textId="144A2C26" w:rsidR="0072626E" w:rsidRPr="00DE6A6F" w:rsidRDefault="0072626E" w:rsidP="0072626E">
      <w:r w:rsidRPr="00DE6A6F">
        <w:t>Cette Liste contient les informations communiquées à l'UIT (indicatif d'appel, MMSI, coordonnées géographiques, fréquences d'émission et de réception, etc.) concernant les stations côtières qui assurent une veille en utilisant les techniques d'appel sélectif numérique, le service de correspondance publique, les avis médicaux, les avertissements concernant la navigation et la météorologie, les avis aux navigateurs et les signaux horaires, etc.</w:t>
      </w:r>
    </w:p>
    <w:p w14:paraId="73C89942" w14:textId="5084CE60" w:rsidR="0072626E" w:rsidRPr="00DE6A6F" w:rsidRDefault="0072626E" w:rsidP="0072626E">
      <w:r w:rsidRPr="00DE6A6F">
        <w:t>La Nomenclature des stations côtières et des stations effectuant des services spéciaux (Liste IV) est publiée tous les deux ans sur CD ROM/clé USB et au format numérique. Une édition de la Liste IV a été publiée en novembre 2023.</w:t>
      </w:r>
    </w:p>
    <w:p w14:paraId="71AC80E5" w14:textId="78982263" w:rsidR="0072626E" w:rsidRPr="00DE6A6F" w:rsidRDefault="0072626E" w:rsidP="0072626E">
      <w:r w:rsidRPr="00DE6A6F">
        <w:t>Les renseignements relatifs à cette Liste sont mis à disposition via le système d'information en ligne</w:t>
      </w:r>
      <w:r w:rsidR="00642EA0" w:rsidRPr="00DE6A6F">
        <w:t> </w:t>
      </w:r>
      <w:r w:rsidRPr="00DE6A6F">
        <w:t>MARS (système d'accès et de consultation de la base de données du service mobile maritime) de</w:t>
      </w:r>
      <w:r w:rsidR="009F13BB" w:rsidRPr="00DE6A6F">
        <w:t> </w:t>
      </w:r>
      <w:r w:rsidRPr="00DE6A6F">
        <w:t>l'UIT. Une compilation de tous les changements communiqués à l'UIT est fournie tous les six</w:t>
      </w:r>
      <w:r w:rsidR="009F13BB" w:rsidRPr="00DE6A6F">
        <w:t> </w:t>
      </w:r>
      <w:r w:rsidRPr="00DE6A6F">
        <w:t>mois sur le web.</w:t>
      </w:r>
    </w:p>
    <w:p w14:paraId="01D9BE37" w14:textId="77777777" w:rsidR="0072626E" w:rsidRPr="00DE6A6F" w:rsidRDefault="0072626E" w:rsidP="009F13BB">
      <w:pPr>
        <w:pStyle w:val="Heading4"/>
      </w:pPr>
      <w:r w:rsidRPr="00DE6A6F">
        <w:t>8.1.2.3</w:t>
      </w:r>
      <w:r w:rsidRPr="00DE6A6F">
        <w:tab/>
        <w:t>Nomenclature des stations de navire et des identités du service mobile maritime assignées (Liste V)</w:t>
      </w:r>
    </w:p>
    <w:p w14:paraId="1963028C" w14:textId="77777777" w:rsidR="0072626E" w:rsidRPr="00DE6A6F" w:rsidRDefault="0072626E" w:rsidP="0072626E">
      <w:r w:rsidRPr="00DE6A6F">
        <w:t>Cette Liste contient les informations communiquées à l'UIT concernant les stations de navire, les stations côtières et les stations d'aéronef de recherche et de sauvetage (SAR), les codes d'identification de l'autorité comptable (CIAC) et les coordonnées des points de contact pour les administrations notificatrices.</w:t>
      </w:r>
    </w:p>
    <w:p w14:paraId="0665820B" w14:textId="4DE9F3F7" w:rsidR="0072626E" w:rsidRPr="00DE6A6F" w:rsidRDefault="0072626E" w:rsidP="0072626E">
      <w:r w:rsidRPr="00DE6A6F">
        <w:t>La Nomenclature des stations de navire et des identités du service mobile maritime assignées(Liste</w:t>
      </w:r>
      <w:r w:rsidR="009F13BB" w:rsidRPr="00DE6A6F">
        <w:t> </w:t>
      </w:r>
      <w:r w:rsidRPr="00DE6A6F">
        <w:t>V) est publiée tous les ans sur CD-ROM/clé USB et au format numérique. Une</w:t>
      </w:r>
      <w:r w:rsidR="009F13BB" w:rsidRPr="00DE6A6F">
        <w:t> </w:t>
      </w:r>
      <w:r w:rsidRPr="00DE6A6F">
        <w:t xml:space="preserve">édition de la Liste V a été publiée en avril 2024. </w:t>
      </w:r>
    </w:p>
    <w:p w14:paraId="7F3A878E" w14:textId="77777777" w:rsidR="0072626E" w:rsidRPr="00DE6A6F" w:rsidRDefault="0072626E" w:rsidP="0072626E">
      <w:r w:rsidRPr="00DE6A6F">
        <w:t>Les renseignements relatifs à cette Liste sont également mis à disposition via le système d'information en ligne MARS. Une compilation de tous les changements communiqués à l'UIT est fournie tous les trois mois sur le web.</w:t>
      </w:r>
    </w:p>
    <w:p w14:paraId="036F4F32" w14:textId="77777777" w:rsidR="0072626E" w:rsidRPr="00DE6A6F" w:rsidRDefault="0072626E" w:rsidP="00642EA0">
      <w:pPr>
        <w:pStyle w:val="Heading4"/>
      </w:pPr>
      <w:r w:rsidRPr="00DE6A6F">
        <w:lastRenderedPageBreak/>
        <w:t>8.1.2.4</w:t>
      </w:r>
      <w:r w:rsidRPr="00DE6A6F">
        <w:tab/>
        <w:t>Nomenclature des stations de contrôle international des émissions (Liste VIII)</w:t>
      </w:r>
    </w:p>
    <w:p w14:paraId="603DE756" w14:textId="77777777" w:rsidR="0072626E" w:rsidRPr="00DE6A6F" w:rsidRDefault="0072626E" w:rsidP="00642EA0">
      <w:pPr>
        <w:keepNext/>
        <w:keepLines/>
      </w:pPr>
      <w:r w:rsidRPr="00DE6A6F">
        <w:t>La Nomenclature des stations de contrôle international des émissions (Liste VIII) contient les adresses et d'autres informations pertinentes des bureaux centralisateurs, y compris des informations détaillées concernant les stations de contrôle mesurant les émissions des stations de Terre et des stations spatiales. Un service de téléchargement direct est offert gratuitement aux titulaires d'un compte TIES.</w:t>
      </w:r>
    </w:p>
    <w:p w14:paraId="41E0B498" w14:textId="77777777" w:rsidR="0072626E" w:rsidRPr="00DE6A6F" w:rsidRDefault="0072626E" w:rsidP="0072626E">
      <w:r w:rsidRPr="00DE6A6F">
        <w:t>La dernière édition de cette Liste a été publiée en décembre 2022.</w:t>
      </w:r>
    </w:p>
    <w:p w14:paraId="647D09B4" w14:textId="77777777" w:rsidR="0072626E" w:rsidRPr="00DE6A6F" w:rsidRDefault="0072626E" w:rsidP="009F13BB">
      <w:pPr>
        <w:pStyle w:val="Heading4"/>
      </w:pPr>
      <w:r w:rsidRPr="00DE6A6F">
        <w:t>8.1.2.5</w:t>
      </w:r>
      <w:r w:rsidRPr="00DE6A6F">
        <w:tab/>
        <w:t>Manuel à l'usage des services mobile maritime et mobile maritime par satellite (Manuel maritime)</w:t>
      </w:r>
    </w:p>
    <w:p w14:paraId="2BEA1A1B" w14:textId="052717D5" w:rsidR="0072626E" w:rsidRPr="00DE6A6F" w:rsidRDefault="0072626E" w:rsidP="0072626E">
      <w:r w:rsidRPr="00DE6A6F">
        <w:t>Le Manuel à l'usage des services mobile maritime et mobile maritime par satellite (Manuel maritime) est un document de référence qui décrit de manière complète les communications maritimes. L'édition de 2024 de ce Manuel tient compte des décisions récemment adoptées par la</w:t>
      </w:r>
      <w:r w:rsidR="009F13BB" w:rsidRPr="00DE6A6F">
        <w:t> </w:t>
      </w:r>
      <w:r w:rsidRPr="00DE6A6F">
        <w:t>CMR</w:t>
      </w:r>
      <w:r w:rsidR="009F13BB" w:rsidRPr="00DE6A6F">
        <w:noBreakHyphen/>
      </w:r>
      <w:r w:rsidRPr="00DE6A6F">
        <w:t>23 concernant des services susmentionnés ainsi que des renseignements les plus récents concernant les systèmes de radiocommunication maritimes courants et de leurs dernières évolutions.</w:t>
      </w:r>
    </w:p>
    <w:p w14:paraId="4EF83DDF" w14:textId="11638C1C" w:rsidR="0072626E" w:rsidRPr="00DE6A6F" w:rsidRDefault="0072626E" w:rsidP="0072626E">
      <w:r w:rsidRPr="00DE6A6F">
        <w:t>Le premier volume décrit l'organisation et le fonctionnement du système mondial de détresse et de sécurité en mer (SMDSM) et d'autres procédures d'exploitation maritimes. Le deuxième volume contient une compilation des textes réglementaires, techniques et relatifs à l'exploitation de l'UIT se rapportant aux services mobile maritime et mobile maritime par satellite.</w:t>
      </w:r>
    </w:p>
    <w:p w14:paraId="246A7977" w14:textId="53E63084" w:rsidR="0072626E" w:rsidRPr="00DE6A6F" w:rsidRDefault="0072626E" w:rsidP="0072626E">
      <w:r w:rsidRPr="00DE6A6F">
        <w:t>L'édition de 2024 du Manuel maritime a été publiée en décembre 2024.</w:t>
      </w:r>
    </w:p>
    <w:p w14:paraId="23C2A1D3" w14:textId="28F66A14" w:rsidR="0072626E" w:rsidRPr="00DE6A6F" w:rsidRDefault="0072626E" w:rsidP="009F13BB">
      <w:pPr>
        <w:pStyle w:val="Heading4"/>
      </w:pPr>
      <w:r w:rsidRPr="00DE6A6F">
        <w:t>8.1.2.6</w:t>
      </w:r>
      <w:r w:rsidRPr="00DE6A6F">
        <w:tab/>
        <w:t>Liste des publications de service diffusées</w:t>
      </w:r>
    </w:p>
    <w:p w14:paraId="68B5EDA8" w14:textId="7CC6DC16" w:rsidR="00A061CC" w:rsidRPr="00DE6A6F" w:rsidRDefault="0072626E" w:rsidP="0072626E">
      <w:r w:rsidRPr="00DE6A6F">
        <w:t>Les différentes publications diffusées pendant la période 2021-2024 sont récapitulées dans le Tableau 8.1.2.5-1 ci-dessous:</w:t>
      </w:r>
    </w:p>
    <w:p w14:paraId="14995FEC" w14:textId="29FE5600" w:rsidR="00FD604E" w:rsidRPr="00DE6A6F" w:rsidRDefault="00FD604E" w:rsidP="00854BFF">
      <w:pPr>
        <w:pStyle w:val="TableNoBR"/>
      </w:pPr>
      <w:r w:rsidRPr="00DE6A6F">
        <w:t>Tableau 8.1.2.5-1</w:t>
      </w:r>
    </w:p>
    <w:tbl>
      <w:tblPr>
        <w:tblStyle w:val="GridTable5Dark-Accent1"/>
        <w:tblW w:w="9484" w:type="dxa"/>
        <w:jc w:val="center"/>
        <w:tblLayout w:type="fixed"/>
        <w:tblLook w:val="04A0" w:firstRow="1" w:lastRow="0" w:firstColumn="1" w:lastColumn="0" w:noHBand="0" w:noVBand="1"/>
      </w:tblPr>
      <w:tblGrid>
        <w:gridCol w:w="2817"/>
        <w:gridCol w:w="1666"/>
        <w:gridCol w:w="1667"/>
        <w:gridCol w:w="1667"/>
        <w:gridCol w:w="1667"/>
      </w:tblGrid>
      <w:tr w:rsidR="00FD604E" w:rsidRPr="00DE6A6F" w14:paraId="34CBB89D" w14:textId="77777777" w:rsidTr="00450E8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17" w:type="dxa"/>
          </w:tcPr>
          <w:p w14:paraId="259EA857" w14:textId="77777777" w:rsidR="00FD604E" w:rsidRPr="00DE6A6F" w:rsidRDefault="00FD604E" w:rsidP="00FD604E">
            <w:pPr>
              <w:pStyle w:val="Tablehead"/>
              <w:rPr>
                <w:b/>
                <w:bCs w:val="0"/>
              </w:rPr>
            </w:pPr>
            <w:bookmarkStart w:id="5" w:name="_Hlk193199041"/>
          </w:p>
        </w:tc>
        <w:tc>
          <w:tcPr>
            <w:tcW w:w="1666" w:type="dxa"/>
          </w:tcPr>
          <w:p w14:paraId="52ACCD8C" w14:textId="77777777" w:rsidR="00FD604E" w:rsidRPr="00DE6A6F" w:rsidRDefault="00FD604E" w:rsidP="00FD604E">
            <w:pPr>
              <w:pStyle w:val="Tablehead"/>
              <w:cnfStyle w:val="100000000000" w:firstRow="1" w:lastRow="0" w:firstColumn="0" w:lastColumn="0" w:oddVBand="0" w:evenVBand="0" w:oddHBand="0" w:evenHBand="0" w:firstRowFirstColumn="0" w:firstRowLastColumn="0" w:lastRowFirstColumn="0" w:lastRowLastColumn="0"/>
              <w:rPr>
                <w:b/>
                <w:bCs w:val="0"/>
              </w:rPr>
            </w:pPr>
            <w:r w:rsidRPr="00DE6A6F">
              <w:rPr>
                <w:b/>
                <w:bCs w:val="0"/>
              </w:rPr>
              <w:t>2021</w:t>
            </w:r>
          </w:p>
        </w:tc>
        <w:tc>
          <w:tcPr>
            <w:tcW w:w="1667" w:type="dxa"/>
          </w:tcPr>
          <w:p w14:paraId="4A5659B0" w14:textId="77777777" w:rsidR="00FD604E" w:rsidRPr="00DE6A6F" w:rsidRDefault="00FD604E" w:rsidP="00FD604E">
            <w:pPr>
              <w:pStyle w:val="Tablehead"/>
              <w:cnfStyle w:val="100000000000" w:firstRow="1" w:lastRow="0" w:firstColumn="0" w:lastColumn="0" w:oddVBand="0" w:evenVBand="0" w:oddHBand="0" w:evenHBand="0" w:firstRowFirstColumn="0" w:firstRowLastColumn="0" w:lastRowFirstColumn="0" w:lastRowLastColumn="0"/>
              <w:rPr>
                <w:b/>
                <w:bCs w:val="0"/>
              </w:rPr>
            </w:pPr>
            <w:r w:rsidRPr="00DE6A6F">
              <w:rPr>
                <w:b/>
                <w:bCs w:val="0"/>
              </w:rPr>
              <w:t>2022</w:t>
            </w:r>
          </w:p>
        </w:tc>
        <w:tc>
          <w:tcPr>
            <w:tcW w:w="1667" w:type="dxa"/>
          </w:tcPr>
          <w:p w14:paraId="6DBB8901" w14:textId="77777777" w:rsidR="00FD604E" w:rsidRPr="00DE6A6F" w:rsidRDefault="00FD604E" w:rsidP="00FD604E">
            <w:pPr>
              <w:pStyle w:val="Tablehead"/>
              <w:cnfStyle w:val="100000000000" w:firstRow="1" w:lastRow="0" w:firstColumn="0" w:lastColumn="0" w:oddVBand="0" w:evenVBand="0" w:oddHBand="0" w:evenHBand="0" w:firstRowFirstColumn="0" w:firstRowLastColumn="0" w:lastRowFirstColumn="0" w:lastRowLastColumn="0"/>
              <w:rPr>
                <w:b/>
                <w:bCs w:val="0"/>
              </w:rPr>
            </w:pPr>
            <w:r w:rsidRPr="00DE6A6F">
              <w:rPr>
                <w:b/>
                <w:bCs w:val="0"/>
              </w:rPr>
              <w:t>2023</w:t>
            </w:r>
          </w:p>
        </w:tc>
        <w:tc>
          <w:tcPr>
            <w:tcW w:w="1667" w:type="dxa"/>
          </w:tcPr>
          <w:p w14:paraId="4E83E3EC" w14:textId="77777777" w:rsidR="00FD604E" w:rsidRPr="00DE6A6F" w:rsidRDefault="00FD604E" w:rsidP="00FD604E">
            <w:pPr>
              <w:pStyle w:val="Tablehead"/>
              <w:cnfStyle w:val="100000000000" w:firstRow="1" w:lastRow="0" w:firstColumn="0" w:lastColumn="0" w:oddVBand="0" w:evenVBand="0" w:oddHBand="0" w:evenHBand="0" w:firstRowFirstColumn="0" w:firstRowLastColumn="0" w:lastRowFirstColumn="0" w:lastRowLastColumn="0"/>
              <w:rPr>
                <w:b/>
                <w:bCs w:val="0"/>
              </w:rPr>
            </w:pPr>
            <w:r w:rsidRPr="00DE6A6F">
              <w:rPr>
                <w:b/>
                <w:bCs w:val="0"/>
              </w:rPr>
              <w:t>2024</w:t>
            </w:r>
          </w:p>
        </w:tc>
      </w:tr>
      <w:tr w:rsidR="00FD604E" w:rsidRPr="00DE6A6F" w14:paraId="1687A541" w14:textId="77777777" w:rsidTr="00450E8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17" w:type="dxa"/>
            <w:vAlign w:val="center"/>
          </w:tcPr>
          <w:p w14:paraId="06763DC0" w14:textId="20A7CCCE" w:rsidR="00FD604E" w:rsidRPr="00DE6A6F" w:rsidRDefault="00FD604E" w:rsidP="00450E88">
            <w:pPr>
              <w:pStyle w:val="Tabletext"/>
              <w:keepNext/>
              <w:keepLines/>
              <w:jc w:val="center"/>
            </w:pPr>
            <w:r w:rsidRPr="00DE6A6F">
              <w:t>BR IFIC (Circulaire internationale d'information sur les fréquences)</w:t>
            </w:r>
          </w:p>
        </w:tc>
        <w:tc>
          <w:tcPr>
            <w:tcW w:w="1666" w:type="dxa"/>
            <w:vAlign w:val="center"/>
          </w:tcPr>
          <w:p w14:paraId="012B92A5" w14:textId="77777777" w:rsidR="00FD604E" w:rsidRPr="00DE6A6F" w:rsidRDefault="00FD604E" w:rsidP="00450E88">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DE6A6F">
              <w:t>26</w:t>
            </w:r>
          </w:p>
        </w:tc>
        <w:tc>
          <w:tcPr>
            <w:tcW w:w="1667" w:type="dxa"/>
            <w:vAlign w:val="center"/>
          </w:tcPr>
          <w:p w14:paraId="7FA577A3" w14:textId="77777777" w:rsidR="00FD604E" w:rsidRPr="00DE6A6F" w:rsidRDefault="00FD604E" w:rsidP="00450E88">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DE6A6F">
              <w:t>25</w:t>
            </w:r>
          </w:p>
        </w:tc>
        <w:tc>
          <w:tcPr>
            <w:tcW w:w="1667" w:type="dxa"/>
            <w:vAlign w:val="center"/>
          </w:tcPr>
          <w:p w14:paraId="09EBB529" w14:textId="77777777" w:rsidR="00FD604E" w:rsidRPr="00DE6A6F" w:rsidRDefault="00FD604E" w:rsidP="00450E88">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DE6A6F">
              <w:t>25</w:t>
            </w:r>
          </w:p>
        </w:tc>
        <w:tc>
          <w:tcPr>
            <w:tcW w:w="1667" w:type="dxa"/>
            <w:vAlign w:val="center"/>
          </w:tcPr>
          <w:p w14:paraId="3291982C" w14:textId="77777777" w:rsidR="00FD604E" w:rsidRPr="00DE6A6F" w:rsidRDefault="00FD604E" w:rsidP="00450E88">
            <w:pPr>
              <w:pStyle w:val="Tabletext"/>
              <w:keepNext/>
              <w:keepLines/>
              <w:jc w:val="center"/>
              <w:cnfStyle w:val="000000100000" w:firstRow="0" w:lastRow="0" w:firstColumn="0" w:lastColumn="0" w:oddVBand="0" w:evenVBand="0" w:oddHBand="1" w:evenHBand="0" w:firstRowFirstColumn="0" w:firstRowLastColumn="0" w:lastRowFirstColumn="0" w:lastRowLastColumn="0"/>
            </w:pPr>
          </w:p>
        </w:tc>
      </w:tr>
      <w:tr w:rsidR="00FD604E" w:rsidRPr="00DE6A6F" w14:paraId="23BB4482" w14:textId="77777777" w:rsidTr="00450E88">
        <w:trPr>
          <w:trHeight w:val="300"/>
          <w:jc w:val="center"/>
        </w:trPr>
        <w:tc>
          <w:tcPr>
            <w:cnfStyle w:val="001000000000" w:firstRow="0" w:lastRow="0" w:firstColumn="1" w:lastColumn="0" w:oddVBand="0" w:evenVBand="0" w:oddHBand="0" w:evenHBand="0" w:firstRowFirstColumn="0" w:firstRowLastColumn="0" w:lastRowFirstColumn="0" w:lastRowLastColumn="0"/>
            <w:tcW w:w="2817" w:type="dxa"/>
            <w:vAlign w:val="center"/>
          </w:tcPr>
          <w:p w14:paraId="6CDB7D36" w14:textId="77777777" w:rsidR="00FD604E" w:rsidRPr="00DE6A6F" w:rsidRDefault="00FD604E" w:rsidP="00450E88">
            <w:pPr>
              <w:pStyle w:val="Tabletext"/>
              <w:keepNext/>
              <w:keepLines/>
              <w:jc w:val="center"/>
            </w:pPr>
            <w:r w:rsidRPr="00DE6A6F">
              <w:t>Liste IV (Nomenclature des stations côtières et des stations effectuant des services spéciaux)</w:t>
            </w:r>
          </w:p>
        </w:tc>
        <w:tc>
          <w:tcPr>
            <w:tcW w:w="1666" w:type="dxa"/>
            <w:vAlign w:val="center"/>
          </w:tcPr>
          <w:p w14:paraId="3B5F6F36" w14:textId="77777777" w:rsidR="00FD604E" w:rsidRPr="00DE6A6F" w:rsidRDefault="00FD604E" w:rsidP="00450E88">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DE6A6F">
              <w:t>Édition de 2021</w:t>
            </w:r>
            <w:r w:rsidRPr="00DE6A6F">
              <w:br/>
              <w:t>(décembre)</w:t>
            </w:r>
          </w:p>
        </w:tc>
        <w:tc>
          <w:tcPr>
            <w:tcW w:w="1667" w:type="dxa"/>
            <w:vAlign w:val="center"/>
          </w:tcPr>
          <w:p w14:paraId="573A485A" w14:textId="4D01881D" w:rsidR="00FD604E" w:rsidRPr="00DE6A6F" w:rsidRDefault="00FD604E" w:rsidP="00450E88">
            <w:pPr>
              <w:pStyle w:val="Tabletext"/>
              <w:keepNext/>
              <w:keepLines/>
              <w:jc w:val="center"/>
              <w:cnfStyle w:val="000000000000" w:firstRow="0" w:lastRow="0" w:firstColumn="0" w:lastColumn="0" w:oddVBand="0" w:evenVBand="0" w:oddHBand="0" w:evenHBand="0" w:firstRowFirstColumn="0" w:firstRowLastColumn="0" w:lastRowFirstColumn="0" w:lastRowLastColumn="0"/>
            </w:pPr>
          </w:p>
        </w:tc>
        <w:tc>
          <w:tcPr>
            <w:tcW w:w="1667" w:type="dxa"/>
            <w:vAlign w:val="center"/>
          </w:tcPr>
          <w:p w14:paraId="71F68773" w14:textId="77777777" w:rsidR="00FD604E" w:rsidRPr="00DE6A6F" w:rsidRDefault="00FD604E" w:rsidP="00450E88">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DE6A6F">
              <w:t>Édition de 2023</w:t>
            </w:r>
            <w:r w:rsidRPr="00DE6A6F">
              <w:br/>
              <w:t>(novembre)</w:t>
            </w:r>
          </w:p>
        </w:tc>
        <w:tc>
          <w:tcPr>
            <w:tcW w:w="1667" w:type="dxa"/>
            <w:vAlign w:val="center"/>
          </w:tcPr>
          <w:p w14:paraId="19B7300E" w14:textId="77777777" w:rsidR="00FD604E" w:rsidRPr="00DE6A6F" w:rsidRDefault="00FD604E" w:rsidP="00450E88">
            <w:pPr>
              <w:pStyle w:val="Tabletext"/>
              <w:keepNext/>
              <w:keepLines/>
              <w:jc w:val="center"/>
              <w:cnfStyle w:val="000000000000" w:firstRow="0" w:lastRow="0" w:firstColumn="0" w:lastColumn="0" w:oddVBand="0" w:evenVBand="0" w:oddHBand="0" w:evenHBand="0" w:firstRowFirstColumn="0" w:firstRowLastColumn="0" w:lastRowFirstColumn="0" w:lastRowLastColumn="0"/>
            </w:pPr>
          </w:p>
        </w:tc>
      </w:tr>
      <w:tr w:rsidR="00FD604E" w:rsidRPr="00DE6A6F" w14:paraId="77B882AD" w14:textId="77777777" w:rsidTr="00450E8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17" w:type="dxa"/>
            <w:vAlign w:val="center"/>
          </w:tcPr>
          <w:p w14:paraId="623FE446" w14:textId="72992E83" w:rsidR="00FD604E" w:rsidRPr="00DE6A6F" w:rsidRDefault="00FD604E" w:rsidP="00450E88">
            <w:pPr>
              <w:pStyle w:val="Tabletext"/>
              <w:jc w:val="center"/>
            </w:pPr>
            <w:r w:rsidRPr="00DE6A6F">
              <w:t>Liste V</w:t>
            </w:r>
            <w:r w:rsidR="00450E88" w:rsidRPr="00DE6A6F">
              <w:t xml:space="preserve"> </w:t>
            </w:r>
            <w:r w:rsidRPr="00DE6A6F">
              <w:t>(Nomenclature des stations de navire et des identités du service mobile maritime assignées)</w:t>
            </w:r>
          </w:p>
        </w:tc>
        <w:tc>
          <w:tcPr>
            <w:tcW w:w="1666" w:type="dxa"/>
            <w:vAlign w:val="center"/>
          </w:tcPr>
          <w:p w14:paraId="48254259" w14:textId="77777777" w:rsidR="00FD604E" w:rsidRPr="00DE6A6F" w:rsidRDefault="00FD604E" w:rsidP="00450E88">
            <w:pPr>
              <w:pStyle w:val="Tabletext"/>
              <w:jc w:val="center"/>
              <w:cnfStyle w:val="000000100000" w:firstRow="0" w:lastRow="0" w:firstColumn="0" w:lastColumn="0" w:oddVBand="0" w:evenVBand="0" w:oddHBand="1" w:evenHBand="0" w:firstRowFirstColumn="0" w:firstRowLastColumn="0" w:lastRowFirstColumn="0" w:lastRowLastColumn="0"/>
            </w:pPr>
            <w:r w:rsidRPr="00DE6A6F">
              <w:t>Édition de 2021</w:t>
            </w:r>
            <w:r w:rsidRPr="00DE6A6F">
              <w:br/>
              <w:t>(avril)</w:t>
            </w:r>
          </w:p>
        </w:tc>
        <w:tc>
          <w:tcPr>
            <w:tcW w:w="1667" w:type="dxa"/>
            <w:vAlign w:val="center"/>
          </w:tcPr>
          <w:p w14:paraId="586F1FE8" w14:textId="77777777" w:rsidR="00FD604E" w:rsidRPr="00DE6A6F" w:rsidRDefault="00FD604E" w:rsidP="00450E88">
            <w:pPr>
              <w:pStyle w:val="Tabletext"/>
              <w:jc w:val="center"/>
              <w:cnfStyle w:val="000000100000" w:firstRow="0" w:lastRow="0" w:firstColumn="0" w:lastColumn="0" w:oddVBand="0" w:evenVBand="0" w:oddHBand="1" w:evenHBand="0" w:firstRowFirstColumn="0" w:firstRowLastColumn="0" w:lastRowFirstColumn="0" w:lastRowLastColumn="0"/>
            </w:pPr>
            <w:r w:rsidRPr="00DE6A6F">
              <w:t>Édition de 2022</w:t>
            </w:r>
            <w:r w:rsidRPr="00DE6A6F">
              <w:br/>
              <w:t>(avril)</w:t>
            </w:r>
          </w:p>
        </w:tc>
        <w:tc>
          <w:tcPr>
            <w:tcW w:w="1667" w:type="dxa"/>
            <w:vAlign w:val="center"/>
          </w:tcPr>
          <w:p w14:paraId="3A27DD60" w14:textId="77777777" w:rsidR="00FD604E" w:rsidRPr="00DE6A6F" w:rsidRDefault="00FD604E" w:rsidP="00450E88">
            <w:pPr>
              <w:pStyle w:val="Tabletext"/>
              <w:jc w:val="center"/>
              <w:cnfStyle w:val="000000100000" w:firstRow="0" w:lastRow="0" w:firstColumn="0" w:lastColumn="0" w:oddVBand="0" w:evenVBand="0" w:oddHBand="1" w:evenHBand="0" w:firstRowFirstColumn="0" w:firstRowLastColumn="0" w:lastRowFirstColumn="0" w:lastRowLastColumn="0"/>
            </w:pPr>
            <w:r w:rsidRPr="00DE6A6F">
              <w:t>Édition de 2023</w:t>
            </w:r>
            <w:r w:rsidRPr="00DE6A6F">
              <w:br/>
              <w:t>(avril)</w:t>
            </w:r>
          </w:p>
        </w:tc>
        <w:tc>
          <w:tcPr>
            <w:tcW w:w="1667" w:type="dxa"/>
            <w:vAlign w:val="center"/>
          </w:tcPr>
          <w:p w14:paraId="26647A67" w14:textId="77777777" w:rsidR="00FD604E" w:rsidRPr="00DE6A6F" w:rsidRDefault="00FD604E" w:rsidP="00450E88">
            <w:pPr>
              <w:pStyle w:val="Tabletext"/>
              <w:jc w:val="center"/>
              <w:cnfStyle w:val="000000100000" w:firstRow="0" w:lastRow="0" w:firstColumn="0" w:lastColumn="0" w:oddVBand="0" w:evenVBand="0" w:oddHBand="1" w:evenHBand="0" w:firstRowFirstColumn="0" w:firstRowLastColumn="0" w:lastRowFirstColumn="0" w:lastRowLastColumn="0"/>
              <w:rPr>
                <w:rFonts w:eastAsia="Times New Roman Bold"/>
                <w:color w:val="212121"/>
                <w:szCs w:val="24"/>
              </w:rPr>
            </w:pPr>
            <w:r w:rsidRPr="00DE6A6F">
              <w:rPr>
                <w:color w:val="212121"/>
              </w:rPr>
              <w:t>Édition de 2024 (avril)</w:t>
            </w:r>
          </w:p>
        </w:tc>
      </w:tr>
      <w:tr w:rsidR="00FD604E" w:rsidRPr="00DE6A6F" w14:paraId="688807DC" w14:textId="77777777" w:rsidTr="00450E88">
        <w:trPr>
          <w:trHeight w:val="300"/>
          <w:jc w:val="center"/>
        </w:trPr>
        <w:tc>
          <w:tcPr>
            <w:cnfStyle w:val="001000000000" w:firstRow="0" w:lastRow="0" w:firstColumn="1" w:lastColumn="0" w:oddVBand="0" w:evenVBand="0" w:oddHBand="0" w:evenHBand="0" w:firstRowFirstColumn="0" w:firstRowLastColumn="0" w:lastRowFirstColumn="0" w:lastRowLastColumn="0"/>
            <w:tcW w:w="2817" w:type="dxa"/>
            <w:vAlign w:val="center"/>
          </w:tcPr>
          <w:p w14:paraId="7C7A2F10" w14:textId="77777777" w:rsidR="00FD604E" w:rsidRPr="00DE6A6F" w:rsidRDefault="00FD604E" w:rsidP="00450E88">
            <w:pPr>
              <w:pStyle w:val="Tabletext"/>
              <w:jc w:val="center"/>
            </w:pPr>
            <w:r w:rsidRPr="00DE6A6F">
              <w:t>Liste VIII (Nomenclature des stations de contrôle international des émissions)</w:t>
            </w:r>
          </w:p>
        </w:tc>
        <w:tc>
          <w:tcPr>
            <w:tcW w:w="1666" w:type="dxa"/>
            <w:vAlign w:val="center"/>
          </w:tcPr>
          <w:p w14:paraId="766C81B4" w14:textId="4ECF9188" w:rsidR="00FD604E" w:rsidRPr="00DE6A6F" w:rsidRDefault="00FD604E" w:rsidP="00450E88">
            <w:pPr>
              <w:pStyle w:val="Tabletext"/>
              <w:jc w:val="center"/>
              <w:cnfStyle w:val="000000000000" w:firstRow="0" w:lastRow="0" w:firstColumn="0" w:lastColumn="0" w:oddVBand="0" w:evenVBand="0" w:oddHBand="0" w:evenHBand="0" w:firstRowFirstColumn="0" w:firstRowLastColumn="0" w:lastRowFirstColumn="0" w:lastRowLastColumn="0"/>
            </w:pPr>
          </w:p>
        </w:tc>
        <w:tc>
          <w:tcPr>
            <w:tcW w:w="1667" w:type="dxa"/>
            <w:vAlign w:val="center"/>
          </w:tcPr>
          <w:p w14:paraId="3BB8D133" w14:textId="0C0EF5D0" w:rsidR="00FD604E" w:rsidRPr="00DE6A6F" w:rsidRDefault="00FD604E" w:rsidP="00450E88">
            <w:pPr>
              <w:pStyle w:val="Tabletext"/>
              <w:jc w:val="center"/>
              <w:cnfStyle w:val="000000000000" w:firstRow="0" w:lastRow="0" w:firstColumn="0" w:lastColumn="0" w:oddVBand="0" w:evenVBand="0" w:oddHBand="0" w:evenHBand="0" w:firstRowFirstColumn="0" w:firstRowLastColumn="0" w:lastRowFirstColumn="0" w:lastRowLastColumn="0"/>
            </w:pPr>
            <w:r w:rsidRPr="00DE6A6F">
              <w:t>Édition de 2022</w:t>
            </w:r>
            <w:r w:rsidRPr="00DE6A6F">
              <w:br/>
              <w:t>(décembre)</w:t>
            </w:r>
          </w:p>
        </w:tc>
        <w:tc>
          <w:tcPr>
            <w:tcW w:w="1667" w:type="dxa"/>
            <w:vAlign w:val="center"/>
          </w:tcPr>
          <w:p w14:paraId="3C3E6047" w14:textId="77777777" w:rsidR="00FD604E" w:rsidRPr="00DE6A6F" w:rsidRDefault="00FD604E" w:rsidP="00450E88">
            <w:pPr>
              <w:pStyle w:val="Tabletext"/>
              <w:jc w:val="center"/>
              <w:cnfStyle w:val="000000000000" w:firstRow="0" w:lastRow="0" w:firstColumn="0" w:lastColumn="0" w:oddVBand="0" w:evenVBand="0" w:oddHBand="0" w:evenHBand="0" w:firstRowFirstColumn="0" w:firstRowLastColumn="0" w:lastRowFirstColumn="0" w:lastRowLastColumn="0"/>
            </w:pPr>
          </w:p>
        </w:tc>
        <w:tc>
          <w:tcPr>
            <w:tcW w:w="1667" w:type="dxa"/>
            <w:vAlign w:val="center"/>
          </w:tcPr>
          <w:p w14:paraId="400059F6" w14:textId="77777777" w:rsidR="00FD604E" w:rsidRPr="00DE6A6F" w:rsidRDefault="00FD604E" w:rsidP="00450E88">
            <w:pPr>
              <w:pStyle w:val="Tabletext"/>
              <w:jc w:val="center"/>
              <w:cnfStyle w:val="000000000000" w:firstRow="0" w:lastRow="0" w:firstColumn="0" w:lastColumn="0" w:oddVBand="0" w:evenVBand="0" w:oddHBand="0" w:evenHBand="0" w:firstRowFirstColumn="0" w:firstRowLastColumn="0" w:lastRowFirstColumn="0" w:lastRowLastColumn="0"/>
            </w:pPr>
          </w:p>
        </w:tc>
      </w:tr>
      <w:tr w:rsidR="00FD604E" w:rsidRPr="00DE6A6F" w14:paraId="1F4F38C3" w14:textId="77777777" w:rsidTr="00450E8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17" w:type="dxa"/>
            <w:vAlign w:val="center"/>
          </w:tcPr>
          <w:p w14:paraId="45A2666D" w14:textId="77777777" w:rsidR="00FD604E" w:rsidRPr="00DE6A6F" w:rsidRDefault="00FD604E" w:rsidP="00450E88">
            <w:pPr>
              <w:pStyle w:val="Tabletext"/>
              <w:jc w:val="center"/>
            </w:pPr>
            <w:r w:rsidRPr="00DE6A6F">
              <w:t>Manuel maritime</w:t>
            </w:r>
          </w:p>
        </w:tc>
        <w:tc>
          <w:tcPr>
            <w:tcW w:w="1666" w:type="dxa"/>
            <w:vAlign w:val="center"/>
          </w:tcPr>
          <w:p w14:paraId="024045D5" w14:textId="34F8D327" w:rsidR="00FD604E" w:rsidRPr="00DE6A6F" w:rsidRDefault="00FD604E" w:rsidP="00450E88">
            <w:pPr>
              <w:pStyle w:val="Tabletext"/>
              <w:jc w:val="center"/>
              <w:cnfStyle w:val="000000100000" w:firstRow="0" w:lastRow="0" w:firstColumn="0" w:lastColumn="0" w:oddVBand="0" w:evenVBand="0" w:oddHBand="1" w:evenHBand="0" w:firstRowFirstColumn="0" w:firstRowLastColumn="0" w:lastRowFirstColumn="0" w:lastRowLastColumn="0"/>
            </w:pPr>
          </w:p>
        </w:tc>
        <w:tc>
          <w:tcPr>
            <w:tcW w:w="1667" w:type="dxa"/>
            <w:vAlign w:val="center"/>
          </w:tcPr>
          <w:p w14:paraId="76C3B4DF" w14:textId="48C9478C" w:rsidR="00FD604E" w:rsidRPr="00DE6A6F" w:rsidRDefault="00FD604E" w:rsidP="00450E88">
            <w:pPr>
              <w:pStyle w:val="Tabletext"/>
              <w:jc w:val="center"/>
              <w:cnfStyle w:val="000000100000" w:firstRow="0" w:lastRow="0" w:firstColumn="0" w:lastColumn="0" w:oddVBand="0" w:evenVBand="0" w:oddHBand="1" w:evenHBand="0" w:firstRowFirstColumn="0" w:firstRowLastColumn="0" w:lastRowFirstColumn="0" w:lastRowLastColumn="0"/>
            </w:pPr>
          </w:p>
        </w:tc>
        <w:tc>
          <w:tcPr>
            <w:tcW w:w="1667" w:type="dxa"/>
            <w:vAlign w:val="center"/>
          </w:tcPr>
          <w:p w14:paraId="4CFECD91" w14:textId="6CCAB187" w:rsidR="00FD604E" w:rsidRPr="00DE6A6F" w:rsidRDefault="00FD604E" w:rsidP="00450E88">
            <w:pPr>
              <w:pStyle w:val="Tabletext"/>
              <w:jc w:val="center"/>
              <w:cnfStyle w:val="000000100000" w:firstRow="0" w:lastRow="0" w:firstColumn="0" w:lastColumn="0" w:oddVBand="0" w:evenVBand="0" w:oddHBand="1" w:evenHBand="0" w:firstRowFirstColumn="0" w:firstRowLastColumn="0" w:lastRowFirstColumn="0" w:lastRowLastColumn="0"/>
            </w:pPr>
          </w:p>
        </w:tc>
        <w:tc>
          <w:tcPr>
            <w:tcW w:w="1667" w:type="dxa"/>
            <w:vAlign w:val="center"/>
          </w:tcPr>
          <w:p w14:paraId="66211C80" w14:textId="77777777" w:rsidR="00FD604E" w:rsidRPr="00DE6A6F" w:rsidRDefault="00FD604E" w:rsidP="00450E88">
            <w:pPr>
              <w:pStyle w:val="Tabletext"/>
              <w:jc w:val="center"/>
              <w:cnfStyle w:val="000000100000" w:firstRow="0" w:lastRow="0" w:firstColumn="0" w:lastColumn="0" w:oddVBand="0" w:evenVBand="0" w:oddHBand="1" w:evenHBand="0" w:firstRowFirstColumn="0" w:firstRowLastColumn="0" w:lastRowFirstColumn="0" w:lastRowLastColumn="0"/>
            </w:pPr>
            <w:r w:rsidRPr="00DE6A6F">
              <w:t>Édition de 2024</w:t>
            </w:r>
            <w:r w:rsidRPr="00DE6A6F">
              <w:br/>
              <w:t>(décembre)</w:t>
            </w:r>
          </w:p>
        </w:tc>
      </w:tr>
    </w:tbl>
    <w:bookmarkEnd w:id="5"/>
    <w:p w14:paraId="7A0310B7" w14:textId="77777777" w:rsidR="00E5433A" w:rsidRPr="00DE6A6F" w:rsidRDefault="00E5433A" w:rsidP="00E5433A">
      <w:pPr>
        <w:pStyle w:val="Heading3"/>
      </w:pPr>
      <w:r w:rsidRPr="00DE6A6F">
        <w:lastRenderedPageBreak/>
        <w:t>8.1.3</w:t>
      </w:r>
      <w:r w:rsidRPr="00DE6A6F">
        <w:tab/>
        <w:t>Publications des commissions d'études</w:t>
      </w:r>
    </w:p>
    <w:p w14:paraId="62A53ABC" w14:textId="77777777" w:rsidR="00E5433A" w:rsidRPr="00DE6A6F" w:rsidRDefault="00E5433A" w:rsidP="00E5433A">
      <w:r w:rsidRPr="00DE6A6F">
        <w:t>Depuis la réunion de 2024 du GCR, l'élaboration des publications des commissions d'études de l'UIT</w:t>
      </w:r>
      <w:r w:rsidRPr="00DE6A6F">
        <w:noBreakHyphen/>
        <w:t>R s'est poursuivie conformément à la Résolution UIT-R 1.</w:t>
      </w:r>
    </w:p>
    <w:p w14:paraId="77CB1AAE" w14:textId="77777777" w:rsidR="00E5433A" w:rsidRPr="00DE6A6F" w:rsidRDefault="00E5433A" w:rsidP="00E5433A">
      <w:r w:rsidRPr="00DE6A6F">
        <w:t>La liste complète des Questions, des Recommandations et des Rapports de l'UIT-R approuvés est reproduite dans l'Addendum 1 au présent rapport.</w:t>
      </w:r>
    </w:p>
    <w:p w14:paraId="45CB83FD" w14:textId="77777777" w:rsidR="00E5433A" w:rsidRPr="00DE6A6F" w:rsidRDefault="00E5433A" w:rsidP="00E5433A">
      <w:pPr>
        <w:pStyle w:val="Heading3"/>
      </w:pPr>
      <w:bookmarkStart w:id="6" w:name="_Toc424047599"/>
      <w:bookmarkStart w:id="7" w:name="_Toc446060781"/>
      <w:r w:rsidRPr="00DE6A6F">
        <w:t>8.1.4</w:t>
      </w:r>
      <w:r w:rsidRPr="00DE6A6F">
        <w:tab/>
        <w:t>Téléchargement des publications de l'UIT-R</w:t>
      </w:r>
      <w:bookmarkEnd w:id="6"/>
      <w:bookmarkEnd w:id="7"/>
    </w:p>
    <w:p w14:paraId="2B9367A3" w14:textId="77777777" w:rsidR="00E5433A" w:rsidRPr="00DE6A6F" w:rsidRDefault="00E5433A" w:rsidP="00E5433A">
      <w:pPr>
        <w:pStyle w:val="Heading4"/>
      </w:pPr>
      <w:r w:rsidRPr="00DE6A6F">
        <w:t>8.1.4.1</w:t>
      </w:r>
      <w:r w:rsidRPr="00DE6A6F">
        <w:tab/>
        <w:t>Règlement des radiocommunications et Règles de procédure</w:t>
      </w:r>
    </w:p>
    <w:p w14:paraId="50FBB32D" w14:textId="77777777" w:rsidR="00E5433A" w:rsidRPr="00DE6A6F" w:rsidRDefault="00E5433A" w:rsidP="00E5433A">
      <w:r w:rsidRPr="00DE6A6F">
        <w:t xml:space="preserve">En ce qui concerne ces documents réglementaires, on trouvera dans le Tableau 8.1.4.1-1 le nombre de livraisons des éditions de </w:t>
      </w:r>
      <w:hyperlink r:id="rId49" w:history="1">
        <w:r w:rsidRPr="00DE6A6F">
          <w:rPr>
            <w:rStyle w:val="Hyperlink"/>
          </w:rPr>
          <w:t>20</w:t>
        </w:r>
        <w:r w:rsidRPr="00DE6A6F">
          <w:rPr>
            <w:rStyle w:val="Hyperlink"/>
          </w:rPr>
          <w:t>2</w:t>
        </w:r>
        <w:r w:rsidRPr="00DE6A6F">
          <w:rPr>
            <w:rStyle w:val="Hyperlink"/>
          </w:rPr>
          <w:t>0</w:t>
        </w:r>
      </w:hyperlink>
      <w:r w:rsidRPr="00DE6A6F">
        <w:t xml:space="preserve"> et de </w:t>
      </w:r>
      <w:hyperlink r:id="rId50" w:history="1">
        <w:r w:rsidRPr="00DE6A6F">
          <w:rPr>
            <w:rStyle w:val="Hyperlink"/>
          </w:rPr>
          <w:t>2</w:t>
        </w:r>
        <w:r w:rsidRPr="00DE6A6F">
          <w:rPr>
            <w:rStyle w:val="Hyperlink"/>
          </w:rPr>
          <w:t>0</w:t>
        </w:r>
        <w:r w:rsidRPr="00DE6A6F">
          <w:rPr>
            <w:rStyle w:val="Hyperlink"/>
          </w:rPr>
          <w:t>24</w:t>
        </w:r>
      </w:hyperlink>
      <w:r w:rsidRPr="00DE6A6F">
        <w:t xml:space="preserve"> du RR. Suite à une demande formulée à la réunion du GCR, les versions pdf et Word du RR sont accessibles en téléchargement gratuit sur le site web de l'UIT.</w:t>
      </w:r>
    </w:p>
    <w:p w14:paraId="6315B2D1" w14:textId="77777777" w:rsidR="00E5433A" w:rsidRPr="00DE6A6F" w:rsidRDefault="00E5433A" w:rsidP="00E5433A">
      <w:r w:rsidRPr="00DE6A6F">
        <w:t>Le Tableau 8.1.4.1-2 indique le nombre total de téléchargements au cours de la même période pour les Règles de procédure. La dernière édition des Règles de procédure, qui tient compte des décisions de la CMR-19, a été publiée en juin 2021. Cette édition a ultérieurement fait l'objet de trois mises à jour pour tenir compte des Règles de procédure nouvelles ou modifiées qui ont été approuvées par le Comité du Règlement des radiocommunications.</w:t>
      </w:r>
    </w:p>
    <w:p w14:paraId="5279E43A" w14:textId="77777777" w:rsidR="00E5433A" w:rsidRPr="00DE6A6F" w:rsidRDefault="00E5433A" w:rsidP="00E5433A">
      <w:pPr>
        <w:pStyle w:val="TableNo"/>
      </w:pPr>
      <w:r w:rsidRPr="00DE6A6F">
        <w:t>Tableau 8.1.4.1-1</w:t>
      </w:r>
    </w:p>
    <w:p w14:paraId="293558EB" w14:textId="77777777" w:rsidR="00E5433A" w:rsidRPr="00DE6A6F" w:rsidRDefault="00E5433A" w:rsidP="00E5433A">
      <w:pPr>
        <w:pStyle w:val="Tabletitle"/>
      </w:pPr>
      <w:r w:rsidRPr="00DE6A6F">
        <w:t>Nombre de livraisons du Règlement des radiocommunications</w:t>
      </w:r>
    </w:p>
    <w:tbl>
      <w:tblPr>
        <w:tblStyle w:val="GridTable5Dark-Accent1"/>
        <w:tblW w:w="9119" w:type="dxa"/>
        <w:jc w:val="center"/>
        <w:tblLook w:val="04A0" w:firstRow="1" w:lastRow="0" w:firstColumn="1" w:lastColumn="0" w:noHBand="0" w:noVBand="1"/>
      </w:tblPr>
      <w:tblGrid>
        <w:gridCol w:w="2422"/>
        <w:gridCol w:w="1322"/>
        <w:gridCol w:w="1537"/>
        <w:gridCol w:w="1537"/>
        <w:gridCol w:w="2301"/>
      </w:tblGrid>
      <w:tr w:rsidR="00E5433A" w:rsidRPr="00DE6A6F" w14:paraId="054D2A9C" w14:textId="77777777" w:rsidTr="00DD5056">
        <w:trPr>
          <w:cnfStyle w:val="100000000000" w:firstRow="1" w:lastRow="0" w:firstColumn="0" w:lastColumn="0" w:oddVBand="0" w:evenVBand="0" w:oddHBand="0" w:evenHBand="0" w:firstRowFirstColumn="0" w:firstRowLastColumn="0" w:lastRowFirstColumn="0" w:lastRowLastColumn="0"/>
          <w:trHeight w:val="761"/>
          <w:jc w:val="center"/>
        </w:trPr>
        <w:tc>
          <w:tcPr>
            <w:cnfStyle w:val="001000000000" w:firstRow="0" w:lastRow="0" w:firstColumn="1" w:lastColumn="0" w:oddVBand="0" w:evenVBand="0" w:oddHBand="0" w:evenHBand="0" w:firstRowFirstColumn="0" w:firstRowLastColumn="0" w:lastRowFirstColumn="0" w:lastRowLastColumn="0"/>
            <w:tcW w:w="2422" w:type="dxa"/>
            <w:hideMark/>
          </w:tcPr>
          <w:p w14:paraId="7EA0ECA9" w14:textId="77777777" w:rsidR="00E5433A" w:rsidRPr="00DE6A6F" w:rsidRDefault="00E5433A" w:rsidP="00DD5056">
            <w:pPr>
              <w:pStyle w:val="Tablehead"/>
              <w:keepNext w:val="0"/>
            </w:pPr>
          </w:p>
        </w:tc>
        <w:tc>
          <w:tcPr>
            <w:tcW w:w="1322" w:type="dxa"/>
          </w:tcPr>
          <w:p w14:paraId="7EA3FF8F" w14:textId="77777777" w:rsidR="00E5433A" w:rsidRPr="00DE6A6F" w:rsidRDefault="00E5433A" w:rsidP="00DD5056">
            <w:pPr>
              <w:pStyle w:val="Tablehead"/>
              <w:cnfStyle w:val="100000000000" w:firstRow="1" w:lastRow="0" w:firstColumn="0" w:lastColumn="0" w:oddVBand="0" w:evenVBand="0" w:oddHBand="0" w:evenHBand="0" w:firstRowFirstColumn="0" w:firstRowLastColumn="0" w:lastRowFirstColumn="0" w:lastRowLastColumn="0"/>
              <w:rPr>
                <w:b/>
                <w:bCs w:val="0"/>
              </w:rPr>
            </w:pPr>
            <w:r w:rsidRPr="00DE6A6F">
              <w:rPr>
                <w:b/>
                <w:bCs w:val="0"/>
              </w:rPr>
              <w:t>2021</w:t>
            </w:r>
            <w:r w:rsidRPr="00DE6A6F">
              <w:rPr>
                <w:b/>
                <w:bCs w:val="0"/>
              </w:rPr>
              <w:br/>
              <w:t>Édition de 2020 du RR</w:t>
            </w:r>
          </w:p>
        </w:tc>
        <w:tc>
          <w:tcPr>
            <w:tcW w:w="1537" w:type="dxa"/>
          </w:tcPr>
          <w:p w14:paraId="74900E00" w14:textId="77777777" w:rsidR="00E5433A" w:rsidRPr="00DE6A6F" w:rsidRDefault="00E5433A" w:rsidP="00DD5056">
            <w:pPr>
              <w:pStyle w:val="Tablehead"/>
              <w:cnfStyle w:val="100000000000" w:firstRow="1" w:lastRow="0" w:firstColumn="0" w:lastColumn="0" w:oddVBand="0" w:evenVBand="0" w:oddHBand="0" w:evenHBand="0" w:firstRowFirstColumn="0" w:firstRowLastColumn="0" w:lastRowFirstColumn="0" w:lastRowLastColumn="0"/>
              <w:rPr>
                <w:b/>
                <w:bCs w:val="0"/>
              </w:rPr>
            </w:pPr>
            <w:r w:rsidRPr="00DE6A6F">
              <w:rPr>
                <w:b/>
                <w:bCs w:val="0"/>
              </w:rPr>
              <w:t>2022</w:t>
            </w:r>
            <w:r w:rsidRPr="00DE6A6F">
              <w:rPr>
                <w:b/>
                <w:bCs w:val="0"/>
              </w:rPr>
              <w:br/>
              <w:t>Édition de 2020 du RR</w:t>
            </w:r>
          </w:p>
        </w:tc>
        <w:tc>
          <w:tcPr>
            <w:tcW w:w="1537" w:type="dxa"/>
          </w:tcPr>
          <w:p w14:paraId="55761C58" w14:textId="77777777" w:rsidR="00E5433A" w:rsidRPr="00DE6A6F" w:rsidRDefault="00E5433A" w:rsidP="00DD5056">
            <w:pPr>
              <w:pStyle w:val="Tablehead"/>
              <w:cnfStyle w:val="100000000000" w:firstRow="1" w:lastRow="0" w:firstColumn="0" w:lastColumn="0" w:oddVBand="0" w:evenVBand="0" w:oddHBand="0" w:evenHBand="0" w:firstRowFirstColumn="0" w:firstRowLastColumn="0" w:lastRowFirstColumn="0" w:lastRowLastColumn="0"/>
              <w:rPr>
                <w:b/>
                <w:bCs w:val="0"/>
              </w:rPr>
            </w:pPr>
            <w:r w:rsidRPr="00DE6A6F">
              <w:rPr>
                <w:b/>
                <w:bCs w:val="0"/>
              </w:rPr>
              <w:t>2023</w:t>
            </w:r>
            <w:r w:rsidRPr="00DE6A6F">
              <w:rPr>
                <w:b/>
                <w:bCs w:val="0"/>
              </w:rPr>
              <w:br/>
              <w:t>Édition de 2020 du RR</w:t>
            </w:r>
          </w:p>
        </w:tc>
        <w:tc>
          <w:tcPr>
            <w:tcW w:w="2301" w:type="dxa"/>
          </w:tcPr>
          <w:p w14:paraId="2F2A5009" w14:textId="77777777" w:rsidR="00E5433A" w:rsidRPr="00DE6A6F" w:rsidRDefault="00E5433A" w:rsidP="00DD5056">
            <w:pPr>
              <w:pStyle w:val="Tablehead"/>
              <w:cnfStyle w:val="100000000000" w:firstRow="1" w:lastRow="0" w:firstColumn="0" w:lastColumn="0" w:oddVBand="0" w:evenVBand="0" w:oddHBand="0" w:evenHBand="0" w:firstRowFirstColumn="0" w:firstRowLastColumn="0" w:lastRowFirstColumn="0" w:lastRowLastColumn="0"/>
              <w:rPr>
                <w:b/>
                <w:bCs w:val="0"/>
              </w:rPr>
            </w:pPr>
            <w:r w:rsidRPr="00DE6A6F">
              <w:rPr>
                <w:b/>
                <w:bCs w:val="0"/>
              </w:rPr>
              <w:t>2024</w:t>
            </w:r>
            <w:r w:rsidRPr="00DE6A6F">
              <w:rPr>
                <w:b/>
                <w:bCs w:val="0"/>
              </w:rPr>
              <w:br/>
              <w:t>Éditions de 2020 et de 2024 du RR</w:t>
            </w:r>
          </w:p>
        </w:tc>
      </w:tr>
      <w:tr w:rsidR="00E5433A" w:rsidRPr="00DE6A6F" w14:paraId="1F209709" w14:textId="77777777" w:rsidTr="00DD5056">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422" w:type="dxa"/>
            <w:hideMark/>
          </w:tcPr>
          <w:p w14:paraId="7C686521" w14:textId="77777777" w:rsidR="00E5433A" w:rsidRPr="00DE6A6F" w:rsidRDefault="00E5433A" w:rsidP="00DD5056">
            <w:pPr>
              <w:pStyle w:val="Tablehead"/>
              <w:keepNext w:val="0"/>
              <w:rPr>
                <w:b/>
                <w:bCs w:val="0"/>
              </w:rPr>
            </w:pPr>
            <w:r w:rsidRPr="00DE6A6F">
              <w:rPr>
                <w:b/>
                <w:bCs w:val="0"/>
              </w:rPr>
              <w:t>Exemplaires papier vendus</w:t>
            </w:r>
          </w:p>
        </w:tc>
        <w:tc>
          <w:tcPr>
            <w:tcW w:w="1322" w:type="dxa"/>
          </w:tcPr>
          <w:p w14:paraId="4BFCA79C"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pPr>
            <w:r w:rsidRPr="00DE6A6F">
              <w:t>274</w:t>
            </w:r>
          </w:p>
        </w:tc>
        <w:tc>
          <w:tcPr>
            <w:tcW w:w="1537" w:type="dxa"/>
          </w:tcPr>
          <w:p w14:paraId="36B6F8FE"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pPr>
            <w:r w:rsidRPr="00DE6A6F">
              <w:t>117</w:t>
            </w:r>
          </w:p>
        </w:tc>
        <w:tc>
          <w:tcPr>
            <w:tcW w:w="1537" w:type="dxa"/>
          </w:tcPr>
          <w:p w14:paraId="247B02A4"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pPr>
            <w:r w:rsidRPr="00DE6A6F">
              <w:t>1 611</w:t>
            </w:r>
          </w:p>
        </w:tc>
        <w:tc>
          <w:tcPr>
            <w:tcW w:w="2301" w:type="dxa"/>
          </w:tcPr>
          <w:p w14:paraId="1E21034E"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pPr>
            <w:r w:rsidRPr="00DE6A6F">
              <w:t>Édition de 2020: 22</w:t>
            </w:r>
          </w:p>
          <w:p w14:paraId="738883E0"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pPr>
            <w:r w:rsidRPr="00DE6A6F">
              <w:t>Édition de 2024: 231</w:t>
            </w:r>
          </w:p>
          <w:p w14:paraId="57381F96"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DE6A6F">
              <w:rPr>
                <w:b/>
                <w:bCs/>
              </w:rPr>
              <w:t>Total: 253</w:t>
            </w:r>
          </w:p>
        </w:tc>
      </w:tr>
      <w:tr w:rsidR="00E5433A" w:rsidRPr="00DE6A6F" w14:paraId="0755F191" w14:textId="77777777" w:rsidTr="00DD5056">
        <w:trPr>
          <w:trHeight w:val="315"/>
          <w:jc w:val="center"/>
        </w:trPr>
        <w:tc>
          <w:tcPr>
            <w:cnfStyle w:val="001000000000" w:firstRow="0" w:lastRow="0" w:firstColumn="1" w:lastColumn="0" w:oddVBand="0" w:evenVBand="0" w:oddHBand="0" w:evenHBand="0" w:firstRowFirstColumn="0" w:firstRowLastColumn="0" w:lastRowFirstColumn="0" w:lastRowLastColumn="0"/>
            <w:tcW w:w="2422" w:type="dxa"/>
            <w:hideMark/>
          </w:tcPr>
          <w:p w14:paraId="404EEA11" w14:textId="77777777" w:rsidR="00E5433A" w:rsidRPr="00DE6A6F" w:rsidRDefault="00E5433A" w:rsidP="00DD5056">
            <w:pPr>
              <w:pStyle w:val="Tablehead"/>
              <w:keepNext w:val="0"/>
              <w:rPr>
                <w:b/>
                <w:bCs w:val="0"/>
              </w:rPr>
            </w:pPr>
            <w:r w:rsidRPr="00DE6A6F">
              <w:rPr>
                <w:b/>
                <w:bCs w:val="0"/>
              </w:rPr>
              <w:t>DVD vendus</w:t>
            </w:r>
          </w:p>
        </w:tc>
        <w:tc>
          <w:tcPr>
            <w:tcW w:w="1322" w:type="dxa"/>
          </w:tcPr>
          <w:p w14:paraId="2E76780D"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pPr>
            <w:r w:rsidRPr="00DE6A6F">
              <w:t>3 855</w:t>
            </w:r>
          </w:p>
        </w:tc>
        <w:tc>
          <w:tcPr>
            <w:tcW w:w="1537" w:type="dxa"/>
          </w:tcPr>
          <w:p w14:paraId="11E85774"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pPr>
            <w:r w:rsidRPr="00DE6A6F">
              <w:t>1 638</w:t>
            </w:r>
          </w:p>
        </w:tc>
        <w:tc>
          <w:tcPr>
            <w:tcW w:w="1537" w:type="dxa"/>
          </w:tcPr>
          <w:p w14:paraId="196FB09E"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pPr>
            <w:r w:rsidRPr="00DE6A6F">
              <w:t>11 700</w:t>
            </w:r>
          </w:p>
        </w:tc>
        <w:tc>
          <w:tcPr>
            <w:tcW w:w="2301" w:type="dxa"/>
          </w:tcPr>
          <w:p w14:paraId="6CD76F11"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pPr>
            <w:r w:rsidRPr="00DE6A6F">
              <w:t>Édition de 2020: 922</w:t>
            </w:r>
          </w:p>
          <w:p w14:paraId="1FCCDEEE"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pPr>
            <w:r w:rsidRPr="00DE6A6F">
              <w:t>Édition de 2024: 3 750</w:t>
            </w:r>
          </w:p>
          <w:p w14:paraId="11911EC4"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DE6A6F">
              <w:rPr>
                <w:b/>
                <w:bCs/>
              </w:rPr>
              <w:t>Total: 4 672</w:t>
            </w:r>
          </w:p>
        </w:tc>
      </w:tr>
      <w:tr w:rsidR="00E5433A" w:rsidRPr="00DE6A6F" w14:paraId="7F3A1D19" w14:textId="77777777" w:rsidTr="00DD5056">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422" w:type="dxa"/>
          </w:tcPr>
          <w:p w14:paraId="0720E92C" w14:textId="77777777" w:rsidR="00E5433A" w:rsidRPr="00DE6A6F" w:rsidRDefault="00E5433A" w:rsidP="00DD5056">
            <w:pPr>
              <w:pStyle w:val="Tablehead"/>
              <w:keepNext w:val="0"/>
              <w:rPr>
                <w:b/>
                <w:bCs w:val="0"/>
              </w:rPr>
            </w:pPr>
            <w:r w:rsidRPr="00DE6A6F">
              <w:rPr>
                <w:b/>
                <w:bCs w:val="0"/>
              </w:rPr>
              <w:t>Clés USB vendues</w:t>
            </w:r>
          </w:p>
        </w:tc>
        <w:tc>
          <w:tcPr>
            <w:tcW w:w="1322" w:type="dxa"/>
          </w:tcPr>
          <w:p w14:paraId="149DF7E2"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pPr>
            <w:r w:rsidRPr="00DE6A6F">
              <w:t>–</w:t>
            </w:r>
          </w:p>
        </w:tc>
        <w:tc>
          <w:tcPr>
            <w:tcW w:w="1537" w:type="dxa"/>
          </w:tcPr>
          <w:p w14:paraId="0B3B43BD"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pPr>
            <w:r w:rsidRPr="00DE6A6F">
              <w:t>–</w:t>
            </w:r>
          </w:p>
        </w:tc>
        <w:tc>
          <w:tcPr>
            <w:tcW w:w="1537" w:type="dxa"/>
          </w:tcPr>
          <w:p w14:paraId="7BA26AB2"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pPr>
            <w:r w:rsidRPr="00DE6A6F">
              <w:t>–</w:t>
            </w:r>
          </w:p>
        </w:tc>
        <w:tc>
          <w:tcPr>
            <w:tcW w:w="2301" w:type="dxa"/>
          </w:tcPr>
          <w:p w14:paraId="20E421FB"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pPr>
            <w:r w:rsidRPr="00DE6A6F">
              <w:t>Édition de 2020: –</w:t>
            </w:r>
          </w:p>
          <w:p w14:paraId="6AF862A3"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pPr>
            <w:r w:rsidRPr="00DE6A6F">
              <w:t>Édition de 2024: 3</w:t>
            </w:r>
          </w:p>
          <w:p w14:paraId="55ECF9DB"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DE6A6F">
              <w:rPr>
                <w:b/>
                <w:bCs/>
              </w:rPr>
              <w:t>Total: 3</w:t>
            </w:r>
          </w:p>
        </w:tc>
      </w:tr>
      <w:tr w:rsidR="00E5433A" w:rsidRPr="00DE6A6F" w14:paraId="28FD78AF" w14:textId="77777777" w:rsidTr="00DD5056">
        <w:trPr>
          <w:trHeight w:val="315"/>
          <w:jc w:val="center"/>
        </w:trPr>
        <w:tc>
          <w:tcPr>
            <w:cnfStyle w:val="001000000000" w:firstRow="0" w:lastRow="0" w:firstColumn="1" w:lastColumn="0" w:oddVBand="0" w:evenVBand="0" w:oddHBand="0" w:evenHBand="0" w:firstRowFirstColumn="0" w:firstRowLastColumn="0" w:lastRowFirstColumn="0" w:lastRowLastColumn="0"/>
            <w:tcW w:w="2422" w:type="dxa"/>
            <w:hideMark/>
          </w:tcPr>
          <w:p w14:paraId="737B406A" w14:textId="77777777" w:rsidR="00E5433A" w:rsidRPr="00DE6A6F" w:rsidRDefault="00E5433A" w:rsidP="00DD5056">
            <w:pPr>
              <w:pStyle w:val="Tablehead"/>
              <w:keepNext w:val="0"/>
              <w:rPr>
                <w:b/>
                <w:bCs w:val="0"/>
              </w:rPr>
            </w:pPr>
            <w:r w:rsidRPr="00DE6A6F">
              <w:rPr>
                <w:b/>
                <w:bCs w:val="0"/>
              </w:rPr>
              <w:t>Téléchargements gratuits</w:t>
            </w:r>
          </w:p>
        </w:tc>
        <w:tc>
          <w:tcPr>
            <w:tcW w:w="1322" w:type="dxa"/>
          </w:tcPr>
          <w:p w14:paraId="5A6317EB"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pPr>
            <w:r w:rsidRPr="00DE6A6F">
              <w:t>18 092</w:t>
            </w:r>
          </w:p>
        </w:tc>
        <w:tc>
          <w:tcPr>
            <w:tcW w:w="1537" w:type="dxa"/>
          </w:tcPr>
          <w:p w14:paraId="2699847D"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pPr>
            <w:r w:rsidRPr="00DE6A6F">
              <w:t>13 467</w:t>
            </w:r>
          </w:p>
        </w:tc>
        <w:tc>
          <w:tcPr>
            <w:tcW w:w="1537" w:type="dxa"/>
          </w:tcPr>
          <w:p w14:paraId="6A7C7B63"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pPr>
            <w:r w:rsidRPr="00DE6A6F">
              <w:t>42 439</w:t>
            </w:r>
          </w:p>
        </w:tc>
        <w:tc>
          <w:tcPr>
            <w:tcW w:w="2301" w:type="dxa"/>
          </w:tcPr>
          <w:p w14:paraId="449665D9"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pPr>
            <w:r w:rsidRPr="00DE6A6F">
              <w:t>Édition de 2020: 29 537</w:t>
            </w:r>
          </w:p>
          <w:p w14:paraId="58CE0A5A"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pPr>
            <w:r w:rsidRPr="00DE6A6F">
              <w:t>Édition de 2024: 12 445</w:t>
            </w:r>
          </w:p>
          <w:p w14:paraId="736FF456"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DE6A6F">
              <w:rPr>
                <w:b/>
                <w:bCs/>
              </w:rPr>
              <w:t>Total: 41 982</w:t>
            </w:r>
          </w:p>
        </w:tc>
      </w:tr>
    </w:tbl>
    <w:p w14:paraId="1F0BABB7" w14:textId="77777777" w:rsidR="00E5433A" w:rsidRPr="00DE6A6F" w:rsidRDefault="00E5433A" w:rsidP="00E5433A">
      <w:pPr>
        <w:pStyle w:val="TableNo"/>
      </w:pPr>
      <w:r w:rsidRPr="00DE6A6F">
        <w:lastRenderedPageBreak/>
        <w:t>Tableau 8.1.4.1-2</w:t>
      </w:r>
    </w:p>
    <w:p w14:paraId="1DC752AA" w14:textId="77777777" w:rsidR="00E5433A" w:rsidRPr="00DE6A6F" w:rsidRDefault="00E5433A" w:rsidP="00E5433A">
      <w:pPr>
        <w:pStyle w:val="Tabletitle"/>
      </w:pPr>
      <w:r w:rsidRPr="00DE6A6F">
        <w:t>Téléchargements des Règles de procédure</w:t>
      </w:r>
    </w:p>
    <w:tbl>
      <w:tblPr>
        <w:tblStyle w:val="GridTable5Dark-Accent1"/>
        <w:tblW w:w="9606" w:type="dxa"/>
        <w:jc w:val="center"/>
        <w:tblLook w:val="04A0" w:firstRow="1" w:lastRow="0" w:firstColumn="1" w:lastColumn="0" w:noHBand="0" w:noVBand="1"/>
      </w:tblPr>
      <w:tblGrid>
        <w:gridCol w:w="2288"/>
        <w:gridCol w:w="1839"/>
        <w:gridCol w:w="1827"/>
        <w:gridCol w:w="1826"/>
        <w:gridCol w:w="1826"/>
      </w:tblGrid>
      <w:tr w:rsidR="00E5433A" w:rsidRPr="00DE6A6F" w14:paraId="197AA33B" w14:textId="77777777" w:rsidTr="00DD5056">
        <w:trPr>
          <w:cnfStyle w:val="100000000000" w:firstRow="1" w:lastRow="0" w:firstColumn="0" w:lastColumn="0" w:oddVBand="0" w:evenVBand="0" w:oddHBand="0"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2288" w:type="dxa"/>
            <w:hideMark/>
          </w:tcPr>
          <w:p w14:paraId="02BB0CAB" w14:textId="77777777" w:rsidR="00E5433A" w:rsidRPr="00DE6A6F" w:rsidRDefault="00E5433A" w:rsidP="00DD5056">
            <w:pPr>
              <w:pStyle w:val="Tablehead"/>
              <w:rPr>
                <w:b/>
                <w:bCs w:val="0"/>
              </w:rPr>
            </w:pPr>
          </w:p>
        </w:tc>
        <w:tc>
          <w:tcPr>
            <w:tcW w:w="1839" w:type="dxa"/>
          </w:tcPr>
          <w:p w14:paraId="5CE1A57B" w14:textId="77777777" w:rsidR="00E5433A" w:rsidRPr="00DE6A6F" w:rsidRDefault="00E5433A" w:rsidP="00DD5056">
            <w:pPr>
              <w:pStyle w:val="Tablehead"/>
              <w:cnfStyle w:val="100000000000" w:firstRow="1" w:lastRow="0" w:firstColumn="0" w:lastColumn="0" w:oddVBand="0" w:evenVBand="0" w:oddHBand="0" w:evenHBand="0" w:firstRowFirstColumn="0" w:firstRowLastColumn="0" w:lastRowFirstColumn="0" w:lastRowLastColumn="0"/>
              <w:rPr>
                <w:b/>
                <w:bCs w:val="0"/>
              </w:rPr>
            </w:pPr>
            <w:r w:rsidRPr="00DE6A6F">
              <w:rPr>
                <w:b/>
                <w:bCs w:val="0"/>
              </w:rPr>
              <w:t>2021</w:t>
            </w:r>
          </w:p>
        </w:tc>
        <w:tc>
          <w:tcPr>
            <w:tcW w:w="1827" w:type="dxa"/>
          </w:tcPr>
          <w:p w14:paraId="579643B7" w14:textId="77777777" w:rsidR="00E5433A" w:rsidRPr="00DE6A6F" w:rsidRDefault="00E5433A" w:rsidP="00DD5056">
            <w:pPr>
              <w:pStyle w:val="Tablehead"/>
              <w:cnfStyle w:val="100000000000" w:firstRow="1" w:lastRow="0" w:firstColumn="0" w:lastColumn="0" w:oddVBand="0" w:evenVBand="0" w:oddHBand="0" w:evenHBand="0" w:firstRowFirstColumn="0" w:firstRowLastColumn="0" w:lastRowFirstColumn="0" w:lastRowLastColumn="0"/>
              <w:rPr>
                <w:b/>
                <w:bCs w:val="0"/>
              </w:rPr>
            </w:pPr>
            <w:r w:rsidRPr="00DE6A6F">
              <w:rPr>
                <w:b/>
                <w:bCs w:val="0"/>
              </w:rPr>
              <w:t>2022</w:t>
            </w:r>
          </w:p>
        </w:tc>
        <w:tc>
          <w:tcPr>
            <w:tcW w:w="1826" w:type="dxa"/>
          </w:tcPr>
          <w:p w14:paraId="3AB0A0C4" w14:textId="77777777" w:rsidR="00E5433A" w:rsidRPr="00DE6A6F" w:rsidRDefault="00E5433A" w:rsidP="00DD5056">
            <w:pPr>
              <w:pStyle w:val="Tablehead"/>
              <w:cnfStyle w:val="100000000000" w:firstRow="1" w:lastRow="0" w:firstColumn="0" w:lastColumn="0" w:oddVBand="0" w:evenVBand="0" w:oddHBand="0" w:evenHBand="0" w:firstRowFirstColumn="0" w:firstRowLastColumn="0" w:lastRowFirstColumn="0" w:lastRowLastColumn="0"/>
              <w:rPr>
                <w:b/>
                <w:bCs w:val="0"/>
              </w:rPr>
            </w:pPr>
            <w:r w:rsidRPr="00DE6A6F">
              <w:rPr>
                <w:b/>
                <w:bCs w:val="0"/>
              </w:rPr>
              <w:t>2023</w:t>
            </w:r>
          </w:p>
        </w:tc>
        <w:tc>
          <w:tcPr>
            <w:tcW w:w="1826" w:type="dxa"/>
          </w:tcPr>
          <w:p w14:paraId="25145E84" w14:textId="77777777" w:rsidR="00E5433A" w:rsidRPr="00DE6A6F" w:rsidRDefault="00E5433A" w:rsidP="00DD5056">
            <w:pPr>
              <w:pStyle w:val="Tablehead"/>
              <w:cnfStyle w:val="100000000000" w:firstRow="1" w:lastRow="0" w:firstColumn="0" w:lastColumn="0" w:oddVBand="0" w:evenVBand="0" w:oddHBand="0" w:evenHBand="0" w:firstRowFirstColumn="0" w:firstRowLastColumn="0" w:lastRowFirstColumn="0" w:lastRowLastColumn="0"/>
              <w:rPr>
                <w:b/>
                <w:bCs w:val="0"/>
              </w:rPr>
            </w:pPr>
            <w:r w:rsidRPr="00DE6A6F">
              <w:rPr>
                <w:b/>
                <w:bCs w:val="0"/>
              </w:rPr>
              <w:t>2024*</w:t>
            </w:r>
          </w:p>
        </w:tc>
      </w:tr>
      <w:tr w:rsidR="00E5433A" w:rsidRPr="00DE6A6F" w14:paraId="5C0E2FB1" w14:textId="77777777" w:rsidTr="00DD5056">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288" w:type="dxa"/>
            <w:hideMark/>
          </w:tcPr>
          <w:p w14:paraId="10D4C788" w14:textId="77777777" w:rsidR="00E5433A" w:rsidRPr="00DE6A6F" w:rsidRDefault="00E5433A" w:rsidP="00DD5056">
            <w:pPr>
              <w:pStyle w:val="Tablehead"/>
              <w:keepNext w:val="0"/>
              <w:rPr>
                <w:b/>
                <w:bCs w:val="0"/>
                <w:color w:val="auto"/>
              </w:rPr>
            </w:pPr>
            <w:r w:rsidRPr="00DE6A6F">
              <w:rPr>
                <w:b/>
                <w:bCs w:val="0"/>
              </w:rPr>
              <w:t>Règles de procédure</w:t>
            </w:r>
          </w:p>
        </w:tc>
        <w:tc>
          <w:tcPr>
            <w:tcW w:w="1839" w:type="dxa"/>
          </w:tcPr>
          <w:p w14:paraId="4DF76F9E"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pPr>
            <w:r w:rsidRPr="00DE6A6F">
              <w:t>10 539</w:t>
            </w:r>
          </w:p>
        </w:tc>
        <w:tc>
          <w:tcPr>
            <w:tcW w:w="1827" w:type="dxa"/>
          </w:tcPr>
          <w:p w14:paraId="2881D79E"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pPr>
            <w:r w:rsidRPr="00DE6A6F">
              <w:t>11 887</w:t>
            </w:r>
          </w:p>
        </w:tc>
        <w:tc>
          <w:tcPr>
            <w:tcW w:w="1826" w:type="dxa"/>
          </w:tcPr>
          <w:p w14:paraId="18398C5C"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pPr>
            <w:r w:rsidRPr="00DE6A6F">
              <w:t>16 875</w:t>
            </w:r>
          </w:p>
        </w:tc>
        <w:tc>
          <w:tcPr>
            <w:tcW w:w="1826" w:type="dxa"/>
          </w:tcPr>
          <w:p w14:paraId="72CA7598"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pPr>
            <w:r w:rsidRPr="00DE6A6F">
              <w:t>14 510</w:t>
            </w:r>
          </w:p>
        </w:tc>
      </w:tr>
    </w:tbl>
    <w:p w14:paraId="274893A9" w14:textId="77777777" w:rsidR="00E5433A" w:rsidRPr="00DE6A6F" w:rsidRDefault="00E5433A" w:rsidP="00E5433A">
      <w:pPr>
        <w:pStyle w:val="Tablelegend"/>
      </w:pPr>
      <w:r w:rsidRPr="00DE6A6F">
        <w:t>*</w:t>
      </w:r>
      <w:r w:rsidRPr="00DE6A6F">
        <w:tab/>
        <w:t>Ce chiffre inclut toutes les versions des Règles de procédure téléchargées. Le chiffre donné pour l'année 2024 tient donc compte de toutes les Règles de procédure en vigueur.</w:t>
      </w:r>
    </w:p>
    <w:p w14:paraId="265585A0" w14:textId="77777777" w:rsidR="00E5433A" w:rsidRPr="00DE6A6F" w:rsidRDefault="00E5433A" w:rsidP="00E5433A">
      <w:pPr>
        <w:pStyle w:val="Heading4"/>
      </w:pPr>
      <w:r w:rsidRPr="00DE6A6F">
        <w:t>8.1.4.2</w:t>
      </w:r>
      <w:r w:rsidRPr="00DE6A6F">
        <w:tab/>
        <w:t>Recommandations UIT-R</w:t>
      </w:r>
    </w:p>
    <w:p w14:paraId="39F40CB0" w14:textId="77777777" w:rsidR="00E5433A" w:rsidRPr="00DE6A6F" w:rsidRDefault="00E5433A" w:rsidP="00E5433A">
      <w:r w:rsidRPr="00DE6A6F">
        <w:t>Grâce à la politique d'accès en ligne gratuit, des utilisateurs du monde entier ont accès aux Recommandations UIT-R et peuvent les télécharger. Entre janvier 2021 et décembre 2024, près de sept millions de téléchargements de Recommandations UIT-R depuis le site web de l'UIT ont été enregistrés. Le Tableau 8.1.4.2-1 illustre la répartition de ces téléchargements par année et par série. On recense actuellement 1 203 Recommandations UIT-R en vigueur.</w:t>
      </w:r>
    </w:p>
    <w:p w14:paraId="6297934D" w14:textId="77777777" w:rsidR="00E5433A" w:rsidRPr="00DE6A6F" w:rsidRDefault="00E5433A" w:rsidP="00E5433A">
      <w:pPr>
        <w:pStyle w:val="TableNo"/>
      </w:pPr>
      <w:r w:rsidRPr="00DE6A6F">
        <w:t>Tableau 8.1.4.2-1</w:t>
      </w:r>
    </w:p>
    <w:p w14:paraId="6BFAE93B" w14:textId="77777777" w:rsidR="00E5433A" w:rsidRPr="00DE6A6F" w:rsidRDefault="00E5433A" w:rsidP="00E5433A">
      <w:pPr>
        <w:pStyle w:val="Tabletitle"/>
      </w:pPr>
      <w:r w:rsidRPr="00DE6A6F">
        <w:t>Répartition des téléchargements des Recommandations UIT-R</w:t>
      </w:r>
    </w:p>
    <w:tbl>
      <w:tblPr>
        <w:tblStyle w:val="GridTable5Dark-Accent1"/>
        <w:tblW w:w="5000" w:type="pct"/>
        <w:jc w:val="center"/>
        <w:tblLook w:val="04A0" w:firstRow="1" w:lastRow="0" w:firstColumn="1" w:lastColumn="0" w:noHBand="0" w:noVBand="1"/>
      </w:tblPr>
      <w:tblGrid>
        <w:gridCol w:w="1378"/>
        <w:gridCol w:w="1376"/>
        <w:gridCol w:w="1375"/>
        <w:gridCol w:w="1375"/>
        <w:gridCol w:w="1375"/>
        <w:gridCol w:w="1375"/>
        <w:gridCol w:w="1375"/>
      </w:tblGrid>
      <w:tr w:rsidR="00E5433A" w:rsidRPr="00DE6A6F" w14:paraId="478B2307" w14:textId="77777777" w:rsidTr="00DD5056">
        <w:trPr>
          <w:cnfStyle w:val="100000000000" w:firstRow="1" w:lastRow="0" w:firstColumn="0" w:lastColumn="0" w:oddVBand="0" w:evenVBand="0" w:oddHBand="0" w:evenHBand="0" w:firstRowFirstColumn="0" w:firstRowLastColumn="0" w:lastRowFirstColumn="0" w:lastRowLastColumn="0"/>
          <w:cantSplit/>
          <w:trHeight w:val="465"/>
          <w:tblHeader/>
          <w:jc w:val="center"/>
        </w:trPr>
        <w:tc>
          <w:tcPr>
            <w:cnfStyle w:val="001000000000" w:firstRow="0" w:lastRow="0" w:firstColumn="1" w:lastColumn="0" w:oddVBand="0" w:evenVBand="0" w:oddHBand="0" w:evenHBand="0" w:firstRowFirstColumn="0" w:firstRowLastColumn="0" w:lastRowFirstColumn="0" w:lastRowLastColumn="0"/>
            <w:tcW w:w="715" w:type="pct"/>
            <w:vAlign w:val="center"/>
          </w:tcPr>
          <w:p w14:paraId="13D26ABB" w14:textId="77777777" w:rsidR="00E5433A" w:rsidRPr="00DE6A6F" w:rsidRDefault="00E5433A" w:rsidP="00DD5056">
            <w:pPr>
              <w:pStyle w:val="Tablehead"/>
              <w:keepNext w:val="0"/>
              <w:rPr>
                <w:b/>
                <w:bCs w:val="0"/>
                <w:szCs w:val="24"/>
              </w:rPr>
            </w:pPr>
            <w:r w:rsidRPr="00DE6A6F">
              <w:rPr>
                <w:b/>
                <w:bCs w:val="0"/>
              </w:rPr>
              <w:t>SÉRIE</w:t>
            </w:r>
          </w:p>
        </w:tc>
        <w:tc>
          <w:tcPr>
            <w:tcW w:w="714" w:type="pct"/>
            <w:vAlign w:val="center"/>
          </w:tcPr>
          <w:p w14:paraId="0A5549CD" w14:textId="77777777" w:rsidR="00E5433A" w:rsidRPr="00DE6A6F" w:rsidRDefault="00E5433A" w:rsidP="00DD5056">
            <w:pPr>
              <w:pStyle w:val="Tablehead"/>
              <w:cnfStyle w:val="100000000000" w:firstRow="1" w:lastRow="0" w:firstColumn="0" w:lastColumn="0" w:oddVBand="0" w:evenVBand="0" w:oddHBand="0" w:evenHBand="0" w:firstRowFirstColumn="0" w:firstRowLastColumn="0" w:lastRowFirstColumn="0" w:lastRowLastColumn="0"/>
              <w:rPr>
                <w:b/>
                <w:bCs w:val="0"/>
                <w:szCs w:val="24"/>
              </w:rPr>
            </w:pPr>
            <w:r w:rsidRPr="00DE6A6F">
              <w:rPr>
                <w:b/>
                <w:bCs w:val="0"/>
              </w:rPr>
              <w:t>2021</w:t>
            </w:r>
          </w:p>
        </w:tc>
        <w:tc>
          <w:tcPr>
            <w:tcW w:w="714" w:type="pct"/>
            <w:vAlign w:val="center"/>
          </w:tcPr>
          <w:p w14:paraId="04FCE3FD" w14:textId="77777777" w:rsidR="00E5433A" w:rsidRPr="00DE6A6F" w:rsidRDefault="00E5433A" w:rsidP="00DD5056">
            <w:pPr>
              <w:pStyle w:val="Tablehead"/>
              <w:cnfStyle w:val="100000000000" w:firstRow="1" w:lastRow="0" w:firstColumn="0" w:lastColumn="0" w:oddVBand="0" w:evenVBand="0" w:oddHBand="0" w:evenHBand="0" w:firstRowFirstColumn="0" w:firstRowLastColumn="0" w:lastRowFirstColumn="0" w:lastRowLastColumn="0"/>
              <w:rPr>
                <w:b/>
                <w:bCs w:val="0"/>
                <w:szCs w:val="24"/>
              </w:rPr>
            </w:pPr>
            <w:r w:rsidRPr="00DE6A6F">
              <w:rPr>
                <w:b/>
                <w:bCs w:val="0"/>
              </w:rPr>
              <w:t>2022</w:t>
            </w:r>
          </w:p>
        </w:tc>
        <w:tc>
          <w:tcPr>
            <w:tcW w:w="714" w:type="pct"/>
            <w:vAlign w:val="center"/>
          </w:tcPr>
          <w:p w14:paraId="74C32252" w14:textId="77777777" w:rsidR="00E5433A" w:rsidRPr="00DE6A6F" w:rsidRDefault="00E5433A" w:rsidP="00DD5056">
            <w:pPr>
              <w:pStyle w:val="Tablehead"/>
              <w:cnfStyle w:val="100000000000" w:firstRow="1" w:lastRow="0" w:firstColumn="0" w:lastColumn="0" w:oddVBand="0" w:evenVBand="0" w:oddHBand="0" w:evenHBand="0" w:firstRowFirstColumn="0" w:firstRowLastColumn="0" w:lastRowFirstColumn="0" w:lastRowLastColumn="0"/>
              <w:rPr>
                <w:b/>
                <w:bCs w:val="0"/>
                <w:szCs w:val="24"/>
              </w:rPr>
            </w:pPr>
            <w:r w:rsidRPr="00DE6A6F">
              <w:rPr>
                <w:b/>
                <w:bCs w:val="0"/>
              </w:rPr>
              <w:t>2023</w:t>
            </w:r>
          </w:p>
        </w:tc>
        <w:tc>
          <w:tcPr>
            <w:tcW w:w="714" w:type="pct"/>
            <w:vAlign w:val="center"/>
          </w:tcPr>
          <w:p w14:paraId="7D089394" w14:textId="77777777" w:rsidR="00E5433A" w:rsidRPr="00DE6A6F" w:rsidRDefault="00E5433A" w:rsidP="00DD5056">
            <w:pPr>
              <w:pStyle w:val="Tablehead"/>
              <w:cnfStyle w:val="100000000000" w:firstRow="1" w:lastRow="0" w:firstColumn="0" w:lastColumn="0" w:oddVBand="0" w:evenVBand="0" w:oddHBand="0" w:evenHBand="0" w:firstRowFirstColumn="0" w:firstRowLastColumn="0" w:lastRowFirstColumn="0" w:lastRowLastColumn="0"/>
              <w:rPr>
                <w:b/>
                <w:bCs w:val="0"/>
                <w:szCs w:val="24"/>
              </w:rPr>
            </w:pPr>
            <w:r w:rsidRPr="00DE6A6F">
              <w:rPr>
                <w:b/>
                <w:bCs w:val="0"/>
              </w:rPr>
              <w:t>2024</w:t>
            </w:r>
          </w:p>
        </w:tc>
        <w:tc>
          <w:tcPr>
            <w:tcW w:w="714" w:type="pct"/>
            <w:vAlign w:val="center"/>
          </w:tcPr>
          <w:p w14:paraId="4D129544" w14:textId="77777777" w:rsidR="00E5433A" w:rsidRPr="00DE6A6F" w:rsidRDefault="00E5433A" w:rsidP="00DD5056">
            <w:pPr>
              <w:pStyle w:val="Tablehead"/>
              <w:cnfStyle w:val="100000000000" w:firstRow="1" w:lastRow="0" w:firstColumn="0" w:lastColumn="0" w:oddVBand="0" w:evenVBand="0" w:oddHBand="0" w:evenHBand="0" w:firstRowFirstColumn="0" w:firstRowLastColumn="0" w:lastRowFirstColumn="0" w:lastRowLastColumn="0"/>
              <w:rPr>
                <w:b/>
                <w:bCs w:val="0"/>
                <w:szCs w:val="24"/>
              </w:rPr>
            </w:pPr>
            <w:r w:rsidRPr="00DE6A6F">
              <w:rPr>
                <w:b/>
                <w:bCs w:val="0"/>
              </w:rPr>
              <w:t>TOTAL</w:t>
            </w:r>
          </w:p>
        </w:tc>
        <w:tc>
          <w:tcPr>
            <w:tcW w:w="714" w:type="pct"/>
            <w:vAlign w:val="center"/>
          </w:tcPr>
          <w:p w14:paraId="5CF53F52" w14:textId="77777777" w:rsidR="00E5433A" w:rsidRPr="00DE6A6F" w:rsidRDefault="00E5433A" w:rsidP="00DD5056">
            <w:pPr>
              <w:pStyle w:val="Tablehead"/>
              <w:cnfStyle w:val="100000000000" w:firstRow="1" w:lastRow="0" w:firstColumn="0" w:lastColumn="0" w:oddVBand="0" w:evenVBand="0" w:oddHBand="0" w:evenHBand="0" w:firstRowFirstColumn="0" w:firstRowLastColumn="0" w:lastRowFirstColumn="0" w:lastRowLastColumn="0"/>
              <w:rPr>
                <w:b/>
                <w:bCs w:val="0"/>
                <w:szCs w:val="24"/>
              </w:rPr>
            </w:pPr>
            <w:r w:rsidRPr="00DE6A6F">
              <w:rPr>
                <w:b/>
                <w:bCs w:val="0"/>
              </w:rPr>
              <w:t>%</w:t>
            </w:r>
          </w:p>
        </w:tc>
      </w:tr>
      <w:tr w:rsidR="00E5433A" w:rsidRPr="00DE6A6F" w14:paraId="1F33D46E" w14:textId="77777777" w:rsidTr="00DD505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715" w:type="pct"/>
          </w:tcPr>
          <w:p w14:paraId="3FCB8F25" w14:textId="77777777" w:rsidR="00E5433A" w:rsidRPr="00DE6A6F" w:rsidRDefault="00E5433A" w:rsidP="00DD5056">
            <w:pPr>
              <w:pStyle w:val="Tablehead"/>
              <w:keepNext w:val="0"/>
              <w:rPr>
                <w:b/>
                <w:bCs w:val="0"/>
                <w:szCs w:val="24"/>
              </w:rPr>
            </w:pPr>
            <w:r w:rsidRPr="00DE6A6F">
              <w:rPr>
                <w:b/>
                <w:bCs w:val="0"/>
              </w:rPr>
              <w:t>P</w:t>
            </w:r>
          </w:p>
        </w:tc>
        <w:tc>
          <w:tcPr>
            <w:tcW w:w="714" w:type="pct"/>
          </w:tcPr>
          <w:p w14:paraId="7F3F62D7"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410 918</w:t>
            </w:r>
          </w:p>
        </w:tc>
        <w:tc>
          <w:tcPr>
            <w:tcW w:w="714" w:type="pct"/>
          </w:tcPr>
          <w:p w14:paraId="3DBFE198"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347 953</w:t>
            </w:r>
          </w:p>
        </w:tc>
        <w:tc>
          <w:tcPr>
            <w:tcW w:w="714" w:type="pct"/>
          </w:tcPr>
          <w:p w14:paraId="053E5811"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401 927</w:t>
            </w:r>
          </w:p>
        </w:tc>
        <w:tc>
          <w:tcPr>
            <w:tcW w:w="714" w:type="pct"/>
          </w:tcPr>
          <w:p w14:paraId="43C54178"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t>425 058</w:t>
            </w:r>
          </w:p>
        </w:tc>
        <w:tc>
          <w:tcPr>
            <w:tcW w:w="714" w:type="pct"/>
          </w:tcPr>
          <w:p w14:paraId="016D6267"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t>1 589 856</w:t>
            </w:r>
          </w:p>
        </w:tc>
        <w:tc>
          <w:tcPr>
            <w:tcW w:w="714" w:type="pct"/>
          </w:tcPr>
          <w:p w14:paraId="5C64B9AC"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22,86%</w:t>
            </w:r>
          </w:p>
        </w:tc>
      </w:tr>
      <w:tr w:rsidR="00E5433A" w:rsidRPr="00DE6A6F" w14:paraId="38864907" w14:textId="77777777" w:rsidTr="00DD5056">
        <w:trPr>
          <w:trHeight w:val="330"/>
          <w:jc w:val="center"/>
        </w:trPr>
        <w:tc>
          <w:tcPr>
            <w:cnfStyle w:val="001000000000" w:firstRow="0" w:lastRow="0" w:firstColumn="1" w:lastColumn="0" w:oddVBand="0" w:evenVBand="0" w:oddHBand="0" w:evenHBand="0" w:firstRowFirstColumn="0" w:firstRowLastColumn="0" w:lastRowFirstColumn="0" w:lastRowLastColumn="0"/>
            <w:tcW w:w="715" w:type="pct"/>
          </w:tcPr>
          <w:p w14:paraId="22692FD8" w14:textId="77777777" w:rsidR="00E5433A" w:rsidRPr="00DE6A6F" w:rsidRDefault="00E5433A" w:rsidP="00DD5056">
            <w:pPr>
              <w:pStyle w:val="Tablehead"/>
              <w:keepNext w:val="0"/>
              <w:rPr>
                <w:b/>
                <w:bCs w:val="0"/>
                <w:szCs w:val="24"/>
              </w:rPr>
            </w:pPr>
            <w:r w:rsidRPr="00DE6A6F">
              <w:rPr>
                <w:b/>
                <w:bCs w:val="0"/>
              </w:rPr>
              <w:t>M</w:t>
            </w:r>
          </w:p>
        </w:tc>
        <w:tc>
          <w:tcPr>
            <w:tcW w:w="714" w:type="pct"/>
          </w:tcPr>
          <w:p w14:paraId="385D2791"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365 675</w:t>
            </w:r>
          </w:p>
        </w:tc>
        <w:tc>
          <w:tcPr>
            <w:tcW w:w="714" w:type="pct"/>
          </w:tcPr>
          <w:p w14:paraId="68C3C50F"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314 920</w:t>
            </w:r>
          </w:p>
        </w:tc>
        <w:tc>
          <w:tcPr>
            <w:tcW w:w="714" w:type="pct"/>
          </w:tcPr>
          <w:p w14:paraId="396BB30E"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355 079</w:t>
            </w:r>
          </w:p>
        </w:tc>
        <w:tc>
          <w:tcPr>
            <w:tcW w:w="714" w:type="pct"/>
          </w:tcPr>
          <w:p w14:paraId="73C0FB6C"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b/>
                <w:bCs/>
                <w:szCs w:val="24"/>
              </w:rPr>
            </w:pPr>
            <w:r w:rsidRPr="00DE6A6F">
              <w:t>349 004</w:t>
            </w:r>
          </w:p>
        </w:tc>
        <w:tc>
          <w:tcPr>
            <w:tcW w:w="714" w:type="pct"/>
          </w:tcPr>
          <w:p w14:paraId="4D7A482F"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b/>
                <w:bCs/>
                <w:szCs w:val="24"/>
              </w:rPr>
            </w:pPr>
            <w:r w:rsidRPr="00DE6A6F">
              <w:t>1 389 678</w:t>
            </w:r>
          </w:p>
        </w:tc>
        <w:tc>
          <w:tcPr>
            <w:tcW w:w="714" w:type="pct"/>
          </w:tcPr>
          <w:p w14:paraId="673006EB"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19,99%</w:t>
            </w:r>
          </w:p>
        </w:tc>
      </w:tr>
      <w:tr w:rsidR="00E5433A" w:rsidRPr="00DE6A6F" w14:paraId="41BE8FC6" w14:textId="77777777" w:rsidTr="00DD505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715" w:type="pct"/>
          </w:tcPr>
          <w:p w14:paraId="12AC5B5A" w14:textId="77777777" w:rsidR="00E5433A" w:rsidRPr="00DE6A6F" w:rsidRDefault="00E5433A" w:rsidP="00DD5056">
            <w:pPr>
              <w:pStyle w:val="Tablehead"/>
              <w:keepNext w:val="0"/>
              <w:rPr>
                <w:b/>
                <w:bCs w:val="0"/>
                <w:szCs w:val="24"/>
              </w:rPr>
            </w:pPr>
            <w:r w:rsidRPr="00DE6A6F">
              <w:rPr>
                <w:b/>
                <w:bCs w:val="0"/>
              </w:rPr>
              <w:t>BT</w:t>
            </w:r>
          </w:p>
        </w:tc>
        <w:tc>
          <w:tcPr>
            <w:tcW w:w="714" w:type="pct"/>
          </w:tcPr>
          <w:p w14:paraId="79393BF2"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231 981</w:t>
            </w:r>
          </w:p>
        </w:tc>
        <w:tc>
          <w:tcPr>
            <w:tcW w:w="714" w:type="pct"/>
          </w:tcPr>
          <w:p w14:paraId="23BDB238"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218 403</w:t>
            </w:r>
          </w:p>
        </w:tc>
        <w:tc>
          <w:tcPr>
            <w:tcW w:w="714" w:type="pct"/>
          </w:tcPr>
          <w:p w14:paraId="3F6AD933"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240 031</w:t>
            </w:r>
          </w:p>
        </w:tc>
        <w:tc>
          <w:tcPr>
            <w:tcW w:w="714" w:type="pct"/>
          </w:tcPr>
          <w:p w14:paraId="011B3E9E"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t>237 839</w:t>
            </w:r>
          </w:p>
        </w:tc>
        <w:tc>
          <w:tcPr>
            <w:tcW w:w="714" w:type="pct"/>
          </w:tcPr>
          <w:p w14:paraId="0D3DD2A6"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t>928 254</w:t>
            </w:r>
          </w:p>
        </w:tc>
        <w:tc>
          <w:tcPr>
            <w:tcW w:w="714" w:type="pct"/>
          </w:tcPr>
          <w:p w14:paraId="17C6D3F8"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13,35%</w:t>
            </w:r>
          </w:p>
        </w:tc>
      </w:tr>
      <w:tr w:rsidR="00E5433A" w:rsidRPr="00DE6A6F" w14:paraId="482F2704" w14:textId="77777777" w:rsidTr="00DD5056">
        <w:trPr>
          <w:trHeight w:val="330"/>
          <w:jc w:val="center"/>
        </w:trPr>
        <w:tc>
          <w:tcPr>
            <w:cnfStyle w:val="001000000000" w:firstRow="0" w:lastRow="0" w:firstColumn="1" w:lastColumn="0" w:oddVBand="0" w:evenVBand="0" w:oddHBand="0" w:evenHBand="0" w:firstRowFirstColumn="0" w:firstRowLastColumn="0" w:lastRowFirstColumn="0" w:lastRowLastColumn="0"/>
            <w:tcW w:w="715" w:type="pct"/>
          </w:tcPr>
          <w:p w14:paraId="469E6360" w14:textId="77777777" w:rsidR="00E5433A" w:rsidRPr="00DE6A6F" w:rsidRDefault="00E5433A" w:rsidP="00DD5056">
            <w:pPr>
              <w:pStyle w:val="Tablehead"/>
              <w:keepNext w:val="0"/>
              <w:rPr>
                <w:b/>
                <w:bCs w:val="0"/>
                <w:szCs w:val="24"/>
              </w:rPr>
            </w:pPr>
            <w:r w:rsidRPr="00DE6A6F">
              <w:rPr>
                <w:b/>
                <w:bCs w:val="0"/>
              </w:rPr>
              <w:t>SM</w:t>
            </w:r>
          </w:p>
        </w:tc>
        <w:tc>
          <w:tcPr>
            <w:tcW w:w="714" w:type="pct"/>
          </w:tcPr>
          <w:p w14:paraId="45574420"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196 660</w:t>
            </w:r>
          </w:p>
        </w:tc>
        <w:tc>
          <w:tcPr>
            <w:tcW w:w="714" w:type="pct"/>
          </w:tcPr>
          <w:p w14:paraId="3FDD48D5"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169 755</w:t>
            </w:r>
          </w:p>
        </w:tc>
        <w:tc>
          <w:tcPr>
            <w:tcW w:w="714" w:type="pct"/>
          </w:tcPr>
          <w:p w14:paraId="273FD89D"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177 372</w:t>
            </w:r>
          </w:p>
        </w:tc>
        <w:tc>
          <w:tcPr>
            <w:tcW w:w="714" w:type="pct"/>
          </w:tcPr>
          <w:p w14:paraId="5765D294"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b/>
                <w:bCs/>
                <w:szCs w:val="24"/>
              </w:rPr>
            </w:pPr>
            <w:r w:rsidRPr="00DE6A6F">
              <w:t>166 663</w:t>
            </w:r>
          </w:p>
        </w:tc>
        <w:tc>
          <w:tcPr>
            <w:tcW w:w="714" w:type="pct"/>
          </w:tcPr>
          <w:p w14:paraId="784C65E8"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b/>
                <w:bCs/>
                <w:szCs w:val="24"/>
              </w:rPr>
            </w:pPr>
            <w:r w:rsidRPr="00DE6A6F">
              <w:t>710 450</w:t>
            </w:r>
          </w:p>
        </w:tc>
        <w:tc>
          <w:tcPr>
            <w:tcW w:w="714" w:type="pct"/>
          </w:tcPr>
          <w:p w14:paraId="25EE75EF"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10,22%</w:t>
            </w:r>
          </w:p>
        </w:tc>
      </w:tr>
      <w:tr w:rsidR="00E5433A" w:rsidRPr="00DE6A6F" w14:paraId="7E2702DF" w14:textId="77777777" w:rsidTr="00DD505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715" w:type="pct"/>
          </w:tcPr>
          <w:p w14:paraId="53F8B272" w14:textId="77777777" w:rsidR="00E5433A" w:rsidRPr="00DE6A6F" w:rsidRDefault="00E5433A" w:rsidP="00DD5056">
            <w:pPr>
              <w:pStyle w:val="Tablehead"/>
              <w:keepNext w:val="0"/>
              <w:rPr>
                <w:b/>
                <w:bCs w:val="0"/>
                <w:szCs w:val="24"/>
              </w:rPr>
            </w:pPr>
            <w:r w:rsidRPr="00DE6A6F">
              <w:rPr>
                <w:b/>
                <w:bCs w:val="0"/>
              </w:rPr>
              <w:t>BS</w:t>
            </w:r>
          </w:p>
        </w:tc>
        <w:tc>
          <w:tcPr>
            <w:tcW w:w="714" w:type="pct"/>
          </w:tcPr>
          <w:p w14:paraId="06E2B222"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166 563</w:t>
            </w:r>
          </w:p>
        </w:tc>
        <w:tc>
          <w:tcPr>
            <w:tcW w:w="714" w:type="pct"/>
          </w:tcPr>
          <w:p w14:paraId="41D87959"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143 107</w:t>
            </w:r>
          </w:p>
        </w:tc>
        <w:tc>
          <w:tcPr>
            <w:tcW w:w="714" w:type="pct"/>
          </w:tcPr>
          <w:p w14:paraId="28B4319C"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158 493</w:t>
            </w:r>
          </w:p>
        </w:tc>
        <w:tc>
          <w:tcPr>
            <w:tcW w:w="714" w:type="pct"/>
          </w:tcPr>
          <w:p w14:paraId="23E00531"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t>135 612</w:t>
            </w:r>
          </w:p>
        </w:tc>
        <w:tc>
          <w:tcPr>
            <w:tcW w:w="714" w:type="pct"/>
          </w:tcPr>
          <w:p w14:paraId="6433E245"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t>603 775</w:t>
            </w:r>
          </w:p>
        </w:tc>
        <w:tc>
          <w:tcPr>
            <w:tcW w:w="714" w:type="pct"/>
          </w:tcPr>
          <w:p w14:paraId="357C571F"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8,68%</w:t>
            </w:r>
          </w:p>
        </w:tc>
      </w:tr>
      <w:tr w:rsidR="00E5433A" w:rsidRPr="00DE6A6F" w14:paraId="7B33D998" w14:textId="77777777" w:rsidTr="00DD5056">
        <w:trPr>
          <w:trHeight w:val="330"/>
          <w:jc w:val="center"/>
        </w:trPr>
        <w:tc>
          <w:tcPr>
            <w:cnfStyle w:val="001000000000" w:firstRow="0" w:lastRow="0" w:firstColumn="1" w:lastColumn="0" w:oddVBand="0" w:evenVBand="0" w:oddHBand="0" w:evenHBand="0" w:firstRowFirstColumn="0" w:firstRowLastColumn="0" w:lastRowFirstColumn="0" w:lastRowLastColumn="0"/>
            <w:tcW w:w="715" w:type="pct"/>
          </w:tcPr>
          <w:p w14:paraId="39A61135" w14:textId="77777777" w:rsidR="00E5433A" w:rsidRPr="00DE6A6F" w:rsidRDefault="00E5433A" w:rsidP="00DD5056">
            <w:pPr>
              <w:pStyle w:val="Tablehead"/>
              <w:keepNext w:val="0"/>
              <w:rPr>
                <w:b/>
                <w:bCs w:val="0"/>
                <w:szCs w:val="24"/>
              </w:rPr>
            </w:pPr>
            <w:r w:rsidRPr="00DE6A6F">
              <w:rPr>
                <w:b/>
                <w:bCs w:val="0"/>
              </w:rPr>
              <w:t>F</w:t>
            </w:r>
          </w:p>
        </w:tc>
        <w:tc>
          <w:tcPr>
            <w:tcW w:w="714" w:type="pct"/>
          </w:tcPr>
          <w:p w14:paraId="32EF032F"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147 667</w:t>
            </w:r>
          </w:p>
        </w:tc>
        <w:tc>
          <w:tcPr>
            <w:tcW w:w="714" w:type="pct"/>
          </w:tcPr>
          <w:p w14:paraId="1659EF41"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116 539</w:t>
            </w:r>
          </w:p>
        </w:tc>
        <w:tc>
          <w:tcPr>
            <w:tcW w:w="714" w:type="pct"/>
          </w:tcPr>
          <w:p w14:paraId="133C478A"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139 580</w:t>
            </w:r>
          </w:p>
        </w:tc>
        <w:tc>
          <w:tcPr>
            <w:tcW w:w="714" w:type="pct"/>
          </w:tcPr>
          <w:p w14:paraId="0A913215"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b/>
                <w:bCs/>
                <w:szCs w:val="24"/>
              </w:rPr>
            </w:pPr>
            <w:r w:rsidRPr="00DE6A6F">
              <w:t>123 807</w:t>
            </w:r>
          </w:p>
        </w:tc>
        <w:tc>
          <w:tcPr>
            <w:tcW w:w="714" w:type="pct"/>
          </w:tcPr>
          <w:p w14:paraId="7F3B04E6"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b/>
                <w:bCs/>
                <w:szCs w:val="24"/>
              </w:rPr>
            </w:pPr>
            <w:r w:rsidRPr="00DE6A6F">
              <w:t>527 593</w:t>
            </w:r>
          </w:p>
        </w:tc>
        <w:tc>
          <w:tcPr>
            <w:tcW w:w="714" w:type="pct"/>
          </w:tcPr>
          <w:p w14:paraId="1637F161"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7,59%</w:t>
            </w:r>
          </w:p>
        </w:tc>
      </w:tr>
      <w:tr w:rsidR="00E5433A" w:rsidRPr="00DE6A6F" w14:paraId="0885E16E" w14:textId="77777777" w:rsidTr="00DD505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715" w:type="pct"/>
          </w:tcPr>
          <w:p w14:paraId="0F2FA7BD" w14:textId="77777777" w:rsidR="00E5433A" w:rsidRPr="00DE6A6F" w:rsidRDefault="00E5433A" w:rsidP="00DD5056">
            <w:pPr>
              <w:pStyle w:val="Tablehead"/>
              <w:keepNext w:val="0"/>
              <w:rPr>
                <w:b/>
                <w:bCs w:val="0"/>
                <w:szCs w:val="24"/>
              </w:rPr>
            </w:pPr>
            <w:r w:rsidRPr="00DE6A6F">
              <w:rPr>
                <w:b/>
                <w:bCs w:val="0"/>
              </w:rPr>
              <w:t>S</w:t>
            </w:r>
          </w:p>
        </w:tc>
        <w:tc>
          <w:tcPr>
            <w:tcW w:w="714" w:type="pct"/>
          </w:tcPr>
          <w:p w14:paraId="3242B987"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123 593</w:t>
            </w:r>
          </w:p>
        </w:tc>
        <w:tc>
          <w:tcPr>
            <w:tcW w:w="714" w:type="pct"/>
          </w:tcPr>
          <w:p w14:paraId="44D44EE7"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87 801</w:t>
            </w:r>
          </w:p>
        </w:tc>
        <w:tc>
          <w:tcPr>
            <w:tcW w:w="714" w:type="pct"/>
          </w:tcPr>
          <w:p w14:paraId="1FE3CC1C"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105 480</w:t>
            </w:r>
          </w:p>
        </w:tc>
        <w:tc>
          <w:tcPr>
            <w:tcW w:w="714" w:type="pct"/>
          </w:tcPr>
          <w:p w14:paraId="011A1FFF"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t>110 982</w:t>
            </w:r>
          </w:p>
        </w:tc>
        <w:tc>
          <w:tcPr>
            <w:tcW w:w="714" w:type="pct"/>
          </w:tcPr>
          <w:p w14:paraId="624A3A99"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t>427 856</w:t>
            </w:r>
          </w:p>
        </w:tc>
        <w:tc>
          <w:tcPr>
            <w:tcW w:w="714" w:type="pct"/>
          </w:tcPr>
          <w:p w14:paraId="54B6EBEE"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6,15%</w:t>
            </w:r>
          </w:p>
        </w:tc>
      </w:tr>
      <w:tr w:rsidR="00E5433A" w:rsidRPr="00DE6A6F" w14:paraId="39BA3EE8" w14:textId="77777777" w:rsidTr="00DD5056">
        <w:trPr>
          <w:trHeight w:val="330"/>
          <w:jc w:val="center"/>
        </w:trPr>
        <w:tc>
          <w:tcPr>
            <w:cnfStyle w:val="001000000000" w:firstRow="0" w:lastRow="0" w:firstColumn="1" w:lastColumn="0" w:oddVBand="0" w:evenVBand="0" w:oddHBand="0" w:evenHBand="0" w:firstRowFirstColumn="0" w:firstRowLastColumn="0" w:lastRowFirstColumn="0" w:lastRowLastColumn="0"/>
            <w:tcW w:w="715" w:type="pct"/>
          </w:tcPr>
          <w:p w14:paraId="1325F5E1" w14:textId="77777777" w:rsidR="00E5433A" w:rsidRPr="00DE6A6F" w:rsidRDefault="00E5433A" w:rsidP="00DD5056">
            <w:pPr>
              <w:pStyle w:val="Tablehead"/>
              <w:keepNext w:val="0"/>
              <w:rPr>
                <w:b/>
                <w:bCs w:val="0"/>
                <w:szCs w:val="24"/>
              </w:rPr>
            </w:pPr>
            <w:r w:rsidRPr="00DE6A6F">
              <w:rPr>
                <w:b/>
                <w:bCs w:val="0"/>
              </w:rPr>
              <w:t>V</w:t>
            </w:r>
          </w:p>
        </w:tc>
        <w:tc>
          <w:tcPr>
            <w:tcW w:w="714" w:type="pct"/>
          </w:tcPr>
          <w:p w14:paraId="32568611"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47 032</w:t>
            </w:r>
          </w:p>
        </w:tc>
        <w:tc>
          <w:tcPr>
            <w:tcW w:w="714" w:type="pct"/>
          </w:tcPr>
          <w:p w14:paraId="3C61FF09"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44 707</w:t>
            </w:r>
          </w:p>
        </w:tc>
        <w:tc>
          <w:tcPr>
            <w:tcW w:w="714" w:type="pct"/>
          </w:tcPr>
          <w:p w14:paraId="1681D357"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39 508</w:t>
            </w:r>
          </w:p>
        </w:tc>
        <w:tc>
          <w:tcPr>
            <w:tcW w:w="714" w:type="pct"/>
          </w:tcPr>
          <w:p w14:paraId="0D9566A2"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b/>
                <w:bCs/>
                <w:szCs w:val="24"/>
              </w:rPr>
            </w:pPr>
            <w:r w:rsidRPr="00DE6A6F">
              <w:t>49 133</w:t>
            </w:r>
          </w:p>
        </w:tc>
        <w:tc>
          <w:tcPr>
            <w:tcW w:w="714" w:type="pct"/>
          </w:tcPr>
          <w:p w14:paraId="378F06E8"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b/>
                <w:bCs/>
                <w:szCs w:val="24"/>
              </w:rPr>
            </w:pPr>
            <w:r w:rsidRPr="00DE6A6F">
              <w:t>180 380</w:t>
            </w:r>
          </w:p>
        </w:tc>
        <w:tc>
          <w:tcPr>
            <w:tcW w:w="714" w:type="pct"/>
          </w:tcPr>
          <w:p w14:paraId="0508B2A6"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2,59%</w:t>
            </w:r>
          </w:p>
        </w:tc>
      </w:tr>
      <w:tr w:rsidR="00E5433A" w:rsidRPr="00DE6A6F" w14:paraId="7524E077" w14:textId="77777777" w:rsidTr="00DD505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715" w:type="pct"/>
          </w:tcPr>
          <w:p w14:paraId="390C1164" w14:textId="77777777" w:rsidR="00E5433A" w:rsidRPr="00DE6A6F" w:rsidRDefault="00E5433A" w:rsidP="00DD5056">
            <w:pPr>
              <w:pStyle w:val="Tablehead"/>
              <w:keepNext w:val="0"/>
              <w:rPr>
                <w:b/>
                <w:bCs w:val="0"/>
                <w:szCs w:val="24"/>
              </w:rPr>
            </w:pPr>
            <w:r w:rsidRPr="00DE6A6F">
              <w:rPr>
                <w:b/>
                <w:bCs w:val="0"/>
              </w:rPr>
              <w:t>SA</w:t>
            </w:r>
          </w:p>
        </w:tc>
        <w:tc>
          <w:tcPr>
            <w:tcW w:w="714" w:type="pct"/>
          </w:tcPr>
          <w:p w14:paraId="1F03EB44"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43 137</w:t>
            </w:r>
          </w:p>
        </w:tc>
        <w:tc>
          <w:tcPr>
            <w:tcW w:w="714" w:type="pct"/>
          </w:tcPr>
          <w:p w14:paraId="7465638C"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33 274</w:t>
            </w:r>
          </w:p>
        </w:tc>
        <w:tc>
          <w:tcPr>
            <w:tcW w:w="714" w:type="pct"/>
          </w:tcPr>
          <w:p w14:paraId="70A8D583"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46 373</w:t>
            </w:r>
          </w:p>
        </w:tc>
        <w:tc>
          <w:tcPr>
            <w:tcW w:w="714" w:type="pct"/>
          </w:tcPr>
          <w:p w14:paraId="1813F2E9"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t>42 201</w:t>
            </w:r>
          </w:p>
        </w:tc>
        <w:tc>
          <w:tcPr>
            <w:tcW w:w="714" w:type="pct"/>
          </w:tcPr>
          <w:p w14:paraId="505A92E9"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t>164 985</w:t>
            </w:r>
          </w:p>
        </w:tc>
        <w:tc>
          <w:tcPr>
            <w:tcW w:w="714" w:type="pct"/>
          </w:tcPr>
          <w:p w14:paraId="3DC2CC50"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2,37%</w:t>
            </w:r>
          </w:p>
        </w:tc>
      </w:tr>
      <w:tr w:rsidR="00E5433A" w:rsidRPr="00DE6A6F" w14:paraId="49449D6F" w14:textId="77777777" w:rsidTr="00DD5056">
        <w:trPr>
          <w:trHeight w:val="330"/>
          <w:jc w:val="center"/>
        </w:trPr>
        <w:tc>
          <w:tcPr>
            <w:cnfStyle w:val="001000000000" w:firstRow="0" w:lastRow="0" w:firstColumn="1" w:lastColumn="0" w:oddVBand="0" w:evenVBand="0" w:oddHBand="0" w:evenHBand="0" w:firstRowFirstColumn="0" w:firstRowLastColumn="0" w:lastRowFirstColumn="0" w:lastRowLastColumn="0"/>
            <w:tcW w:w="715" w:type="pct"/>
          </w:tcPr>
          <w:p w14:paraId="22C43968" w14:textId="77777777" w:rsidR="00E5433A" w:rsidRPr="00DE6A6F" w:rsidRDefault="00E5433A" w:rsidP="00DD5056">
            <w:pPr>
              <w:pStyle w:val="Tablehead"/>
              <w:keepNext w:val="0"/>
              <w:rPr>
                <w:b/>
                <w:bCs w:val="0"/>
                <w:szCs w:val="24"/>
              </w:rPr>
            </w:pPr>
            <w:r w:rsidRPr="00DE6A6F">
              <w:rPr>
                <w:b/>
                <w:bCs w:val="0"/>
              </w:rPr>
              <w:t>RS</w:t>
            </w:r>
          </w:p>
        </w:tc>
        <w:tc>
          <w:tcPr>
            <w:tcW w:w="714" w:type="pct"/>
          </w:tcPr>
          <w:p w14:paraId="5CDB0E24"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23 253</w:t>
            </w:r>
          </w:p>
        </w:tc>
        <w:tc>
          <w:tcPr>
            <w:tcW w:w="714" w:type="pct"/>
          </w:tcPr>
          <w:p w14:paraId="5ABA603B"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19 350</w:t>
            </w:r>
          </w:p>
        </w:tc>
        <w:tc>
          <w:tcPr>
            <w:tcW w:w="714" w:type="pct"/>
          </w:tcPr>
          <w:p w14:paraId="3B0A9984"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24 932</w:t>
            </w:r>
          </w:p>
        </w:tc>
        <w:tc>
          <w:tcPr>
            <w:tcW w:w="714" w:type="pct"/>
          </w:tcPr>
          <w:p w14:paraId="20B02DE1"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b/>
                <w:bCs/>
                <w:szCs w:val="24"/>
              </w:rPr>
            </w:pPr>
            <w:r w:rsidRPr="00DE6A6F">
              <w:t>27 680</w:t>
            </w:r>
          </w:p>
        </w:tc>
        <w:tc>
          <w:tcPr>
            <w:tcW w:w="714" w:type="pct"/>
          </w:tcPr>
          <w:p w14:paraId="21DCCACF"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b/>
                <w:bCs/>
                <w:szCs w:val="24"/>
              </w:rPr>
            </w:pPr>
            <w:r w:rsidRPr="00DE6A6F">
              <w:t>95 215</w:t>
            </w:r>
          </w:p>
        </w:tc>
        <w:tc>
          <w:tcPr>
            <w:tcW w:w="714" w:type="pct"/>
          </w:tcPr>
          <w:p w14:paraId="2E5D3846"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1,37%</w:t>
            </w:r>
          </w:p>
        </w:tc>
      </w:tr>
      <w:tr w:rsidR="00E5433A" w:rsidRPr="00DE6A6F" w14:paraId="19C172CF" w14:textId="77777777" w:rsidTr="00DD505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715" w:type="pct"/>
          </w:tcPr>
          <w:p w14:paraId="68589A84" w14:textId="77777777" w:rsidR="00E5433A" w:rsidRPr="00DE6A6F" w:rsidRDefault="00E5433A" w:rsidP="00DD5056">
            <w:pPr>
              <w:pStyle w:val="Tablehead"/>
              <w:keepNext w:val="0"/>
              <w:rPr>
                <w:b/>
                <w:bCs w:val="0"/>
                <w:szCs w:val="24"/>
              </w:rPr>
            </w:pPr>
            <w:r w:rsidRPr="00DE6A6F">
              <w:rPr>
                <w:b/>
                <w:bCs w:val="0"/>
              </w:rPr>
              <w:t>BO</w:t>
            </w:r>
          </w:p>
        </w:tc>
        <w:tc>
          <w:tcPr>
            <w:tcW w:w="714" w:type="pct"/>
          </w:tcPr>
          <w:p w14:paraId="2A2CA913"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23 173</w:t>
            </w:r>
          </w:p>
        </w:tc>
        <w:tc>
          <w:tcPr>
            <w:tcW w:w="714" w:type="pct"/>
          </w:tcPr>
          <w:p w14:paraId="0E5EFFB1"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16 489</w:t>
            </w:r>
          </w:p>
        </w:tc>
        <w:tc>
          <w:tcPr>
            <w:tcW w:w="714" w:type="pct"/>
          </w:tcPr>
          <w:p w14:paraId="6D83EF35"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22 760</w:t>
            </w:r>
          </w:p>
        </w:tc>
        <w:tc>
          <w:tcPr>
            <w:tcW w:w="714" w:type="pct"/>
          </w:tcPr>
          <w:p w14:paraId="797CB026"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t>20 941</w:t>
            </w:r>
          </w:p>
        </w:tc>
        <w:tc>
          <w:tcPr>
            <w:tcW w:w="714" w:type="pct"/>
          </w:tcPr>
          <w:p w14:paraId="3F7E9139"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t>83 363</w:t>
            </w:r>
          </w:p>
        </w:tc>
        <w:tc>
          <w:tcPr>
            <w:tcW w:w="714" w:type="pct"/>
          </w:tcPr>
          <w:p w14:paraId="75961570"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1,20%</w:t>
            </w:r>
          </w:p>
        </w:tc>
      </w:tr>
      <w:tr w:rsidR="00E5433A" w:rsidRPr="00DE6A6F" w14:paraId="2798E89B" w14:textId="77777777" w:rsidTr="00DD5056">
        <w:trPr>
          <w:trHeight w:val="330"/>
          <w:jc w:val="center"/>
        </w:trPr>
        <w:tc>
          <w:tcPr>
            <w:cnfStyle w:val="001000000000" w:firstRow="0" w:lastRow="0" w:firstColumn="1" w:lastColumn="0" w:oddVBand="0" w:evenVBand="0" w:oddHBand="0" w:evenHBand="0" w:firstRowFirstColumn="0" w:firstRowLastColumn="0" w:lastRowFirstColumn="0" w:lastRowLastColumn="0"/>
            <w:tcW w:w="715" w:type="pct"/>
          </w:tcPr>
          <w:p w14:paraId="2D5E3243" w14:textId="77777777" w:rsidR="00E5433A" w:rsidRPr="00DE6A6F" w:rsidRDefault="00E5433A" w:rsidP="00DD5056">
            <w:pPr>
              <w:pStyle w:val="Tablehead"/>
              <w:keepNext w:val="0"/>
              <w:rPr>
                <w:b/>
                <w:bCs w:val="0"/>
                <w:szCs w:val="24"/>
              </w:rPr>
            </w:pPr>
            <w:r w:rsidRPr="00DE6A6F">
              <w:rPr>
                <w:b/>
                <w:bCs w:val="0"/>
              </w:rPr>
              <w:t>TF</w:t>
            </w:r>
          </w:p>
        </w:tc>
        <w:tc>
          <w:tcPr>
            <w:tcW w:w="714" w:type="pct"/>
          </w:tcPr>
          <w:p w14:paraId="11BAFD9F"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22 729</w:t>
            </w:r>
          </w:p>
        </w:tc>
        <w:tc>
          <w:tcPr>
            <w:tcW w:w="714" w:type="pct"/>
          </w:tcPr>
          <w:p w14:paraId="4DA088F7"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18 211</w:t>
            </w:r>
          </w:p>
        </w:tc>
        <w:tc>
          <w:tcPr>
            <w:tcW w:w="714" w:type="pct"/>
          </w:tcPr>
          <w:p w14:paraId="22B33B28"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20 903</w:t>
            </w:r>
          </w:p>
        </w:tc>
        <w:tc>
          <w:tcPr>
            <w:tcW w:w="714" w:type="pct"/>
          </w:tcPr>
          <w:p w14:paraId="50F135B0"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b/>
                <w:bCs/>
                <w:szCs w:val="24"/>
              </w:rPr>
            </w:pPr>
            <w:r w:rsidRPr="00DE6A6F">
              <w:t>20 589</w:t>
            </w:r>
          </w:p>
        </w:tc>
        <w:tc>
          <w:tcPr>
            <w:tcW w:w="714" w:type="pct"/>
          </w:tcPr>
          <w:p w14:paraId="50A577B4"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b/>
                <w:bCs/>
                <w:szCs w:val="24"/>
              </w:rPr>
            </w:pPr>
            <w:r w:rsidRPr="00DE6A6F">
              <w:t>82 432</w:t>
            </w:r>
          </w:p>
        </w:tc>
        <w:tc>
          <w:tcPr>
            <w:tcW w:w="714" w:type="pct"/>
          </w:tcPr>
          <w:p w14:paraId="76EE1B44"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1,19%</w:t>
            </w:r>
          </w:p>
        </w:tc>
      </w:tr>
      <w:tr w:rsidR="00E5433A" w:rsidRPr="00DE6A6F" w14:paraId="63FC4A34" w14:textId="77777777" w:rsidTr="00DD505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715" w:type="pct"/>
          </w:tcPr>
          <w:p w14:paraId="3020412D" w14:textId="77777777" w:rsidR="00E5433A" w:rsidRPr="00DE6A6F" w:rsidRDefault="00E5433A" w:rsidP="00DD5056">
            <w:pPr>
              <w:pStyle w:val="Tablehead"/>
              <w:keepNext w:val="0"/>
              <w:rPr>
                <w:b/>
                <w:bCs w:val="0"/>
                <w:szCs w:val="24"/>
              </w:rPr>
            </w:pPr>
            <w:r w:rsidRPr="00DE6A6F">
              <w:rPr>
                <w:b/>
                <w:bCs w:val="0"/>
              </w:rPr>
              <w:t>SF</w:t>
            </w:r>
          </w:p>
        </w:tc>
        <w:tc>
          <w:tcPr>
            <w:tcW w:w="714" w:type="pct"/>
          </w:tcPr>
          <w:p w14:paraId="60711E08"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16 720</w:t>
            </w:r>
          </w:p>
        </w:tc>
        <w:tc>
          <w:tcPr>
            <w:tcW w:w="714" w:type="pct"/>
          </w:tcPr>
          <w:p w14:paraId="6E9A0C12"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13 102</w:t>
            </w:r>
          </w:p>
        </w:tc>
        <w:tc>
          <w:tcPr>
            <w:tcW w:w="714" w:type="pct"/>
          </w:tcPr>
          <w:p w14:paraId="26CDEF59"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15 980</w:t>
            </w:r>
          </w:p>
        </w:tc>
        <w:tc>
          <w:tcPr>
            <w:tcW w:w="714" w:type="pct"/>
          </w:tcPr>
          <w:p w14:paraId="4563F6E2"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t>14 142</w:t>
            </w:r>
          </w:p>
        </w:tc>
        <w:tc>
          <w:tcPr>
            <w:tcW w:w="714" w:type="pct"/>
          </w:tcPr>
          <w:p w14:paraId="270315DE"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t>59 944</w:t>
            </w:r>
          </w:p>
        </w:tc>
        <w:tc>
          <w:tcPr>
            <w:tcW w:w="714" w:type="pct"/>
          </w:tcPr>
          <w:p w14:paraId="3C6AB05A"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0,86%</w:t>
            </w:r>
          </w:p>
        </w:tc>
      </w:tr>
      <w:tr w:rsidR="00E5433A" w:rsidRPr="00DE6A6F" w14:paraId="78408C0B" w14:textId="77777777" w:rsidTr="00DD5056">
        <w:trPr>
          <w:trHeight w:val="330"/>
          <w:jc w:val="center"/>
        </w:trPr>
        <w:tc>
          <w:tcPr>
            <w:cnfStyle w:val="001000000000" w:firstRow="0" w:lastRow="0" w:firstColumn="1" w:lastColumn="0" w:oddVBand="0" w:evenVBand="0" w:oddHBand="0" w:evenHBand="0" w:firstRowFirstColumn="0" w:firstRowLastColumn="0" w:lastRowFirstColumn="0" w:lastRowLastColumn="0"/>
            <w:tcW w:w="715" w:type="pct"/>
          </w:tcPr>
          <w:p w14:paraId="60B7A11A" w14:textId="77777777" w:rsidR="00E5433A" w:rsidRPr="00DE6A6F" w:rsidRDefault="00E5433A" w:rsidP="00DD5056">
            <w:pPr>
              <w:pStyle w:val="Tablehead"/>
              <w:keepNext w:val="0"/>
              <w:rPr>
                <w:b/>
                <w:bCs w:val="0"/>
                <w:szCs w:val="24"/>
              </w:rPr>
            </w:pPr>
            <w:r w:rsidRPr="00DE6A6F">
              <w:rPr>
                <w:b/>
                <w:bCs w:val="0"/>
              </w:rPr>
              <w:t>BR</w:t>
            </w:r>
          </w:p>
        </w:tc>
        <w:tc>
          <w:tcPr>
            <w:tcW w:w="714" w:type="pct"/>
          </w:tcPr>
          <w:p w14:paraId="7FAC5814"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15 009</w:t>
            </w:r>
          </w:p>
        </w:tc>
        <w:tc>
          <w:tcPr>
            <w:tcW w:w="714" w:type="pct"/>
          </w:tcPr>
          <w:p w14:paraId="11BBFE37"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9 838</w:t>
            </w:r>
          </w:p>
        </w:tc>
        <w:tc>
          <w:tcPr>
            <w:tcW w:w="714" w:type="pct"/>
          </w:tcPr>
          <w:p w14:paraId="74143CB3"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13 285</w:t>
            </w:r>
          </w:p>
        </w:tc>
        <w:tc>
          <w:tcPr>
            <w:tcW w:w="714" w:type="pct"/>
          </w:tcPr>
          <w:p w14:paraId="47698C1F"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b/>
                <w:bCs/>
                <w:szCs w:val="24"/>
              </w:rPr>
            </w:pPr>
            <w:r w:rsidRPr="00DE6A6F">
              <w:t>13 260</w:t>
            </w:r>
          </w:p>
        </w:tc>
        <w:tc>
          <w:tcPr>
            <w:tcW w:w="714" w:type="pct"/>
          </w:tcPr>
          <w:p w14:paraId="37316D16"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b/>
                <w:bCs/>
                <w:szCs w:val="24"/>
              </w:rPr>
            </w:pPr>
            <w:r w:rsidRPr="00DE6A6F">
              <w:t>51 392</w:t>
            </w:r>
          </w:p>
        </w:tc>
        <w:tc>
          <w:tcPr>
            <w:tcW w:w="714" w:type="pct"/>
          </w:tcPr>
          <w:p w14:paraId="7E32A713"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0,74%</w:t>
            </w:r>
          </w:p>
        </w:tc>
      </w:tr>
      <w:tr w:rsidR="00E5433A" w:rsidRPr="00DE6A6F" w14:paraId="0D13350E" w14:textId="77777777" w:rsidTr="00DD505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715" w:type="pct"/>
          </w:tcPr>
          <w:p w14:paraId="5F4983D8" w14:textId="77777777" w:rsidR="00E5433A" w:rsidRPr="00DE6A6F" w:rsidRDefault="00E5433A" w:rsidP="00DD5056">
            <w:pPr>
              <w:pStyle w:val="Tablehead"/>
              <w:keepNext w:val="0"/>
              <w:rPr>
                <w:b/>
                <w:bCs w:val="0"/>
                <w:szCs w:val="24"/>
              </w:rPr>
            </w:pPr>
            <w:r w:rsidRPr="00DE6A6F">
              <w:rPr>
                <w:b/>
                <w:bCs w:val="0"/>
              </w:rPr>
              <w:t>RA</w:t>
            </w:r>
          </w:p>
        </w:tc>
        <w:tc>
          <w:tcPr>
            <w:tcW w:w="714" w:type="pct"/>
          </w:tcPr>
          <w:p w14:paraId="2253ED6E"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10 777</w:t>
            </w:r>
          </w:p>
        </w:tc>
        <w:tc>
          <w:tcPr>
            <w:tcW w:w="714" w:type="pct"/>
          </w:tcPr>
          <w:p w14:paraId="08C86763"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9 169</w:t>
            </w:r>
          </w:p>
        </w:tc>
        <w:tc>
          <w:tcPr>
            <w:tcW w:w="714" w:type="pct"/>
          </w:tcPr>
          <w:p w14:paraId="0B32ECF4"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11 546</w:t>
            </w:r>
          </w:p>
        </w:tc>
        <w:tc>
          <w:tcPr>
            <w:tcW w:w="714" w:type="pct"/>
          </w:tcPr>
          <w:p w14:paraId="3BB8F1A8"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t>10 619</w:t>
            </w:r>
          </w:p>
        </w:tc>
        <w:tc>
          <w:tcPr>
            <w:tcW w:w="714" w:type="pct"/>
          </w:tcPr>
          <w:p w14:paraId="411B8988"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t>42 111</w:t>
            </w:r>
          </w:p>
        </w:tc>
        <w:tc>
          <w:tcPr>
            <w:tcW w:w="714" w:type="pct"/>
          </w:tcPr>
          <w:p w14:paraId="5877F588"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0,61%</w:t>
            </w:r>
          </w:p>
        </w:tc>
      </w:tr>
      <w:tr w:rsidR="00E5433A" w:rsidRPr="00DE6A6F" w14:paraId="5555F3BB" w14:textId="77777777" w:rsidTr="00DD5056">
        <w:trPr>
          <w:trHeight w:val="330"/>
          <w:jc w:val="center"/>
        </w:trPr>
        <w:tc>
          <w:tcPr>
            <w:cnfStyle w:val="001000000000" w:firstRow="0" w:lastRow="0" w:firstColumn="1" w:lastColumn="0" w:oddVBand="0" w:evenVBand="0" w:oddHBand="0" w:evenHBand="0" w:firstRowFirstColumn="0" w:firstRowLastColumn="0" w:lastRowFirstColumn="0" w:lastRowLastColumn="0"/>
            <w:tcW w:w="715" w:type="pct"/>
          </w:tcPr>
          <w:p w14:paraId="34E71AFA" w14:textId="77777777" w:rsidR="00E5433A" w:rsidRPr="00DE6A6F" w:rsidRDefault="00E5433A" w:rsidP="00DD5056">
            <w:pPr>
              <w:pStyle w:val="Tablehead"/>
              <w:keepNext w:val="0"/>
              <w:rPr>
                <w:b/>
                <w:bCs w:val="0"/>
                <w:szCs w:val="24"/>
              </w:rPr>
            </w:pPr>
            <w:r w:rsidRPr="00DE6A6F">
              <w:rPr>
                <w:b/>
                <w:bCs w:val="0"/>
              </w:rPr>
              <w:t>SNG</w:t>
            </w:r>
          </w:p>
        </w:tc>
        <w:tc>
          <w:tcPr>
            <w:tcW w:w="714" w:type="pct"/>
          </w:tcPr>
          <w:p w14:paraId="2102A7D6"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2 548</w:t>
            </w:r>
          </w:p>
        </w:tc>
        <w:tc>
          <w:tcPr>
            <w:tcW w:w="714" w:type="pct"/>
          </w:tcPr>
          <w:p w14:paraId="7DED8D5D"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1 987</w:t>
            </w:r>
          </w:p>
        </w:tc>
        <w:tc>
          <w:tcPr>
            <w:tcW w:w="714" w:type="pct"/>
          </w:tcPr>
          <w:p w14:paraId="1D5513B6"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3 045</w:t>
            </w:r>
          </w:p>
        </w:tc>
        <w:tc>
          <w:tcPr>
            <w:tcW w:w="714" w:type="pct"/>
          </w:tcPr>
          <w:p w14:paraId="63E1E862"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b/>
                <w:bCs/>
                <w:szCs w:val="24"/>
              </w:rPr>
            </w:pPr>
            <w:r w:rsidRPr="00DE6A6F">
              <w:t>2 673</w:t>
            </w:r>
          </w:p>
        </w:tc>
        <w:tc>
          <w:tcPr>
            <w:tcW w:w="714" w:type="pct"/>
          </w:tcPr>
          <w:p w14:paraId="6C9CEB70"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b/>
                <w:bCs/>
                <w:szCs w:val="24"/>
              </w:rPr>
            </w:pPr>
            <w:r w:rsidRPr="00DE6A6F">
              <w:t>10 253</w:t>
            </w:r>
          </w:p>
        </w:tc>
        <w:tc>
          <w:tcPr>
            <w:tcW w:w="714" w:type="pct"/>
          </w:tcPr>
          <w:p w14:paraId="5B0120D8"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0,15%</w:t>
            </w:r>
          </w:p>
        </w:tc>
      </w:tr>
      <w:tr w:rsidR="00E5433A" w:rsidRPr="00DE6A6F" w14:paraId="20D4DFFC" w14:textId="77777777" w:rsidTr="00DD505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715" w:type="pct"/>
          </w:tcPr>
          <w:p w14:paraId="5D743109" w14:textId="77777777" w:rsidR="00E5433A" w:rsidRPr="00DE6A6F" w:rsidRDefault="00E5433A" w:rsidP="00E5433A">
            <w:pPr>
              <w:pStyle w:val="Tablehead"/>
              <w:keepLines/>
              <w:rPr>
                <w:b/>
                <w:bCs w:val="0"/>
                <w:szCs w:val="24"/>
              </w:rPr>
            </w:pPr>
            <w:r w:rsidRPr="00DE6A6F">
              <w:rPr>
                <w:b/>
                <w:bCs w:val="0"/>
              </w:rPr>
              <w:lastRenderedPageBreak/>
              <w:t>IS</w:t>
            </w:r>
          </w:p>
        </w:tc>
        <w:tc>
          <w:tcPr>
            <w:tcW w:w="714" w:type="pct"/>
          </w:tcPr>
          <w:p w14:paraId="4D8A19E2" w14:textId="77777777" w:rsidR="00E5433A" w:rsidRPr="00DE6A6F" w:rsidRDefault="00E5433A" w:rsidP="00E5433A">
            <w:pPr>
              <w:pStyle w:val="Tabletext"/>
              <w:keepNext/>
              <w:keepLines/>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1 366</w:t>
            </w:r>
          </w:p>
        </w:tc>
        <w:tc>
          <w:tcPr>
            <w:tcW w:w="714" w:type="pct"/>
          </w:tcPr>
          <w:p w14:paraId="460FD75B" w14:textId="77777777" w:rsidR="00E5433A" w:rsidRPr="00DE6A6F" w:rsidRDefault="00E5433A" w:rsidP="00E5433A">
            <w:pPr>
              <w:pStyle w:val="Tabletext"/>
              <w:keepNext/>
              <w:keepLines/>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1 203</w:t>
            </w:r>
          </w:p>
        </w:tc>
        <w:tc>
          <w:tcPr>
            <w:tcW w:w="714" w:type="pct"/>
          </w:tcPr>
          <w:p w14:paraId="68C5993F" w14:textId="77777777" w:rsidR="00E5433A" w:rsidRPr="00DE6A6F" w:rsidRDefault="00E5433A" w:rsidP="00E5433A">
            <w:pPr>
              <w:pStyle w:val="Tabletext"/>
              <w:keepNext/>
              <w:keepLines/>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1 416</w:t>
            </w:r>
          </w:p>
        </w:tc>
        <w:tc>
          <w:tcPr>
            <w:tcW w:w="714" w:type="pct"/>
          </w:tcPr>
          <w:p w14:paraId="7F94E1E5" w14:textId="77777777" w:rsidR="00E5433A" w:rsidRPr="00DE6A6F" w:rsidRDefault="00E5433A" w:rsidP="00E5433A">
            <w:pPr>
              <w:pStyle w:val="Tabletext"/>
              <w:keepNext/>
              <w:keepLines/>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t>997</w:t>
            </w:r>
          </w:p>
        </w:tc>
        <w:tc>
          <w:tcPr>
            <w:tcW w:w="714" w:type="pct"/>
          </w:tcPr>
          <w:p w14:paraId="0DAB107F" w14:textId="77777777" w:rsidR="00E5433A" w:rsidRPr="00DE6A6F" w:rsidRDefault="00E5433A" w:rsidP="00E5433A">
            <w:pPr>
              <w:pStyle w:val="Tabletext"/>
              <w:keepNext/>
              <w:keepLines/>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t>4 982</w:t>
            </w:r>
          </w:p>
        </w:tc>
        <w:tc>
          <w:tcPr>
            <w:tcW w:w="714" w:type="pct"/>
          </w:tcPr>
          <w:p w14:paraId="76A486D0" w14:textId="77777777" w:rsidR="00E5433A" w:rsidRPr="00DE6A6F" w:rsidRDefault="00E5433A" w:rsidP="00E5433A">
            <w:pPr>
              <w:pStyle w:val="Tabletext"/>
              <w:keepNext/>
              <w:keepLines/>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0,07%</w:t>
            </w:r>
          </w:p>
        </w:tc>
      </w:tr>
      <w:tr w:rsidR="00E5433A" w:rsidRPr="00DE6A6F" w14:paraId="1906F3C2" w14:textId="77777777" w:rsidTr="00DD5056">
        <w:trPr>
          <w:trHeight w:val="330"/>
          <w:jc w:val="center"/>
        </w:trPr>
        <w:tc>
          <w:tcPr>
            <w:cnfStyle w:val="001000000000" w:firstRow="0" w:lastRow="0" w:firstColumn="1" w:lastColumn="0" w:oddVBand="0" w:evenVBand="0" w:oddHBand="0" w:evenHBand="0" w:firstRowFirstColumn="0" w:firstRowLastColumn="0" w:lastRowFirstColumn="0" w:lastRowLastColumn="0"/>
            <w:tcW w:w="715" w:type="pct"/>
          </w:tcPr>
          <w:p w14:paraId="21A19B4B" w14:textId="77777777" w:rsidR="00E5433A" w:rsidRPr="00DE6A6F" w:rsidRDefault="00E5433A" w:rsidP="00E5433A">
            <w:pPr>
              <w:pStyle w:val="Tablehead"/>
              <w:keepLines/>
              <w:rPr>
                <w:b/>
                <w:bCs w:val="0"/>
                <w:szCs w:val="24"/>
              </w:rPr>
            </w:pPr>
            <w:r w:rsidRPr="00DE6A6F">
              <w:rPr>
                <w:b/>
                <w:bCs w:val="0"/>
              </w:rPr>
              <w:t>PI</w:t>
            </w:r>
          </w:p>
        </w:tc>
        <w:tc>
          <w:tcPr>
            <w:tcW w:w="714" w:type="pct"/>
          </w:tcPr>
          <w:p w14:paraId="4FCF506E" w14:textId="77777777" w:rsidR="00E5433A" w:rsidRPr="00DE6A6F" w:rsidRDefault="00E5433A" w:rsidP="00E5433A">
            <w:pPr>
              <w:pStyle w:val="Tabletext"/>
              <w:keepNext/>
              <w:keepLines/>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206</w:t>
            </w:r>
          </w:p>
        </w:tc>
        <w:tc>
          <w:tcPr>
            <w:tcW w:w="714" w:type="pct"/>
          </w:tcPr>
          <w:p w14:paraId="5F4D710A" w14:textId="77777777" w:rsidR="00E5433A" w:rsidRPr="00DE6A6F" w:rsidRDefault="00E5433A" w:rsidP="00E5433A">
            <w:pPr>
              <w:pStyle w:val="Tabletext"/>
              <w:keepNext/>
              <w:keepLines/>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143</w:t>
            </w:r>
          </w:p>
        </w:tc>
        <w:tc>
          <w:tcPr>
            <w:tcW w:w="714" w:type="pct"/>
          </w:tcPr>
          <w:p w14:paraId="38F667BF" w14:textId="77777777" w:rsidR="00E5433A" w:rsidRPr="00DE6A6F" w:rsidRDefault="00E5433A" w:rsidP="00E5433A">
            <w:pPr>
              <w:pStyle w:val="Tabletext"/>
              <w:keepNext/>
              <w:keepLines/>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288</w:t>
            </w:r>
          </w:p>
        </w:tc>
        <w:tc>
          <w:tcPr>
            <w:tcW w:w="714" w:type="pct"/>
          </w:tcPr>
          <w:p w14:paraId="5FF6DF6E" w14:textId="77777777" w:rsidR="00E5433A" w:rsidRPr="00DE6A6F" w:rsidRDefault="00E5433A" w:rsidP="00E5433A">
            <w:pPr>
              <w:pStyle w:val="Tabletext"/>
              <w:keepNext/>
              <w:keepLines/>
              <w:jc w:val="center"/>
              <w:cnfStyle w:val="000000000000" w:firstRow="0" w:lastRow="0" w:firstColumn="0" w:lastColumn="0" w:oddVBand="0" w:evenVBand="0" w:oddHBand="0" w:evenHBand="0" w:firstRowFirstColumn="0" w:firstRowLastColumn="0" w:lastRowFirstColumn="0" w:lastRowLastColumn="0"/>
              <w:rPr>
                <w:rFonts w:eastAsia="Calibri"/>
                <w:b/>
                <w:bCs/>
                <w:szCs w:val="24"/>
              </w:rPr>
            </w:pPr>
            <w:r w:rsidRPr="00DE6A6F">
              <w:t>248</w:t>
            </w:r>
          </w:p>
        </w:tc>
        <w:tc>
          <w:tcPr>
            <w:tcW w:w="714" w:type="pct"/>
          </w:tcPr>
          <w:p w14:paraId="1CE65F05" w14:textId="77777777" w:rsidR="00E5433A" w:rsidRPr="00DE6A6F" w:rsidRDefault="00E5433A" w:rsidP="00E5433A">
            <w:pPr>
              <w:pStyle w:val="Tabletext"/>
              <w:keepNext/>
              <w:keepLines/>
              <w:jc w:val="center"/>
              <w:cnfStyle w:val="000000000000" w:firstRow="0" w:lastRow="0" w:firstColumn="0" w:lastColumn="0" w:oddVBand="0" w:evenVBand="0" w:oddHBand="0" w:evenHBand="0" w:firstRowFirstColumn="0" w:firstRowLastColumn="0" w:lastRowFirstColumn="0" w:lastRowLastColumn="0"/>
              <w:rPr>
                <w:rFonts w:eastAsia="Calibri"/>
                <w:b/>
                <w:bCs/>
                <w:szCs w:val="24"/>
              </w:rPr>
            </w:pPr>
            <w:r w:rsidRPr="00DE6A6F">
              <w:t>885</w:t>
            </w:r>
          </w:p>
        </w:tc>
        <w:tc>
          <w:tcPr>
            <w:tcW w:w="714" w:type="pct"/>
          </w:tcPr>
          <w:p w14:paraId="4CD81769" w14:textId="77777777" w:rsidR="00E5433A" w:rsidRPr="00DE6A6F" w:rsidRDefault="00E5433A" w:rsidP="00E5433A">
            <w:pPr>
              <w:pStyle w:val="Tabletext"/>
              <w:keepNext/>
              <w:keepLines/>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0,01%</w:t>
            </w:r>
          </w:p>
        </w:tc>
      </w:tr>
      <w:tr w:rsidR="00E5433A" w:rsidRPr="00DE6A6F" w14:paraId="57C6296D" w14:textId="77777777" w:rsidTr="00DD5056">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15" w:type="pct"/>
          </w:tcPr>
          <w:p w14:paraId="3AC2206F" w14:textId="77777777" w:rsidR="00E5433A" w:rsidRPr="00DE6A6F" w:rsidRDefault="00E5433A" w:rsidP="00E5433A">
            <w:pPr>
              <w:pStyle w:val="Tablehead"/>
              <w:keepLines/>
              <w:rPr>
                <w:b/>
                <w:bCs w:val="0"/>
                <w:szCs w:val="24"/>
              </w:rPr>
            </w:pPr>
            <w:r w:rsidRPr="00DE6A6F">
              <w:rPr>
                <w:b/>
                <w:bCs w:val="0"/>
              </w:rPr>
              <w:t>TOTAL</w:t>
            </w:r>
          </w:p>
        </w:tc>
        <w:tc>
          <w:tcPr>
            <w:tcW w:w="714" w:type="pct"/>
          </w:tcPr>
          <w:p w14:paraId="44631CB0" w14:textId="77777777" w:rsidR="00E5433A" w:rsidRPr="00DE6A6F" w:rsidRDefault="00E5433A" w:rsidP="00E5433A">
            <w:pPr>
              <w:pStyle w:val="Tabletext"/>
              <w:keepNext/>
              <w:keepLines/>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rPr>
                <w:b/>
              </w:rPr>
              <w:t>1 849 007</w:t>
            </w:r>
          </w:p>
        </w:tc>
        <w:tc>
          <w:tcPr>
            <w:tcW w:w="714" w:type="pct"/>
          </w:tcPr>
          <w:p w14:paraId="29506807" w14:textId="77777777" w:rsidR="00E5433A" w:rsidRPr="00DE6A6F" w:rsidRDefault="00E5433A" w:rsidP="00E5433A">
            <w:pPr>
              <w:pStyle w:val="Tabletext"/>
              <w:keepNext/>
              <w:keepLines/>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rPr>
                <w:b/>
              </w:rPr>
              <w:t>1 565 951</w:t>
            </w:r>
          </w:p>
        </w:tc>
        <w:tc>
          <w:tcPr>
            <w:tcW w:w="714" w:type="pct"/>
          </w:tcPr>
          <w:p w14:paraId="0CB39117" w14:textId="77777777" w:rsidR="00E5433A" w:rsidRPr="00DE6A6F" w:rsidRDefault="00E5433A" w:rsidP="00E5433A">
            <w:pPr>
              <w:pStyle w:val="Tabletext"/>
              <w:keepNext/>
              <w:keepLines/>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rPr>
                <w:b/>
              </w:rPr>
              <w:t>1 777 998</w:t>
            </w:r>
          </w:p>
        </w:tc>
        <w:tc>
          <w:tcPr>
            <w:tcW w:w="714" w:type="pct"/>
          </w:tcPr>
          <w:p w14:paraId="5FD1C9D7" w14:textId="77777777" w:rsidR="00E5433A" w:rsidRPr="00DE6A6F" w:rsidRDefault="00E5433A" w:rsidP="00E5433A">
            <w:pPr>
              <w:pStyle w:val="Tabletext"/>
              <w:keepNext/>
              <w:keepLines/>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rPr>
                <w:b/>
              </w:rPr>
              <w:t>1 751 448</w:t>
            </w:r>
          </w:p>
        </w:tc>
        <w:tc>
          <w:tcPr>
            <w:tcW w:w="714" w:type="pct"/>
          </w:tcPr>
          <w:p w14:paraId="0E391693" w14:textId="77777777" w:rsidR="00E5433A" w:rsidRPr="00DE6A6F" w:rsidRDefault="00E5433A" w:rsidP="00E5433A">
            <w:pPr>
              <w:pStyle w:val="Tabletext"/>
              <w:keepNext/>
              <w:keepLines/>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rPr>
                <w:b/>
              </w:rPr>
              <w:t>6 943 404</w:t>
            </w:r>
          </w:p>
        </w:tc>
        <w:tc>
          <w:tcPr>
            <w:tcW w:w="714" w:type="pct"/>
          </w:tcPr>
          <w:p w14:paraId="3F23B43C" w14:textId="77777777" w:rsidR="00E5433A" w:rsidRPr="00DE6A6F" w:rsidRDefault="00E5433A" w:rsidP="00E5433A">
            <w:pPr>
              <w:pStyle w:val="Tabletext"/>
              <w:keepNext/>
              <w:keepLines/>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100%</w:t>
            </w:r>
          </w:p>
        </w:tc>
      </w:tr>
    </w:tbl>
    <w:p w14:paraId="68302D50" w14:textId="77777777" w:rsidR="00E5433A" w:rsidRPr="00DE6A6F" w:rsidRDefault="00E5433A" w:rsidP="00E5433A">
      <w:pPr>
        <w:pStyle w:val="Tablefin"/>
      </w:pPr>
    </w:p>
    <w:p w14:paraId="1B47336D" w14:textId="77777777" w:rsidR="00E5433A" w:rsidRPr="00DE6A6F" w:rsidRDefault="00E5433A" w:rsidP="00E5433A">
      <w:pPr>
        <w:pStyle w:val="Heading4"/>
      </w:pPr>
      <w:r w:rsidRPr="00DE6A6F">
        <w:t>8.1.4.3</w:t>
      </w:r>
      <w:r w:rsidRPr="00DE6A6F">
        <w:tab/>
        <w:t>Rapports UIT-R</w:t>
      </w:r>
    </w:p>
    <w:p w14:paraId="158C9C84" w14:textId="77777777" w:rsidR="00E5433A" w:rsidRPr="00DE6A6F" w:rsidRDefault="00E5433A" w:rsidP="00E5433A">
      <w:r w:rsidRPr="00DE6A6F">
        <w:t>Comme pour les Recommandations UIT-R, les Rapports UIT-R ont été mis en œuvre dans le monde entier, touchant la plupart des publics et contribuant à l'application de bonnes pratiques techniques dans certains domaines des radiocommunications. Entre janvier 2021 et décembre 2024, plus d'un million cinq cent mille téléchargements de Rapports UIT-R depuis le site web de l'UIT ont été enregistrés. Le Tableau 8.1.4.3-1 illustre la répartition de ces téléchargements par année et par série. On recense actuellement 641 Rapports UIT-R en vigueur.</w:t>
      </w:r>
    </w:p>
    <w:p w14:paraId="4E5D251B" w14:textId="77777777" w:rsidR="00E5433A" w:rsidRPr="00DE6A6F" w:rsidRDefault="00E5433A" w:rsidP="00E5433A">
      <w:pPr>
        <w:pStyle w:val="TableNo"/>
      </w:pPr>
      <w:r w:rsidRPr="00DE6A6F">
        <w:t>Tableau 8.1.4.3-1</w:t>
      </w:r>
    </w:p>
    <w:p w14:paraId="66655CA4" w14:textId="77777777" w:rsidR="00E5433A" w:rsidRPr="00DE6A6F" w:rsidRDefault="00E5433A" w:rsidP="00E5433A">
      <w:pPr>
        <w:pStyle w:val="Tabletitle"/>
      </w:pPr>
      <w:r w:rsidRPr="00DE6A6F">
        <w:t>Répartition des téléchargements des Rapports UIT-R</w:t>
      </w:r>
    </w:p>
    <w:tbl>
      <w:tblPr>
        <w:tblStyle w:val="GridTable5Dark-Accent1"/>
        <w:tblW w:w="5000" w:type="pct"/>
        <w:jc w:val="center"/>
        <w:tblLook w:val="04A0" w:firstRow="1" w:lastRow="0" w:firstColumn="1" w:lastColumn="0" w:noHBand="0" w:noVBand="1"/>
      </w:tblPr>
      <w:tblGrid>
        <w:gridCol w:w="1379"/>
        <w:gridCol w:w="1377"/>
        <w:gridCol w:w="1375"/>
        <w:gridCol w:w="1375"/>
        <w:gridCol w:w="1375"/>
        <w:gridCol w:w="1375"/>
        <w:gridCol w:w="1373"/>
      </w:tblGrid>
      <w:tr w:rsidR="00E5433A" w:rsidRPr="00DE6A6F" w14:paraId="2BA022A7" w14:textId="77777777" w:rsidTr="00DD5056">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716" w:type="pct"/>
            <w:noWrap/>
            <w:vAlign w:val="bottom"/>
          </w:tcPr>
          <w:p w14:paraId="599FE5A1" w14:textId="77777777" w:rsidR="00E5433A" w:rsidRPr="00DE6A6F" w:rsidRDefault="00E5433A" w:rsidP="00DD5056">
            <w:pPr>
              <w:pStyle w:val="Tablehead"/>
              <w:rPr>
                <w:b/>
                <w:szCs w:val="24"/>
              </w:rPr>
            </w:pPr>
            <w:r w:rsidRPr="00DE6A6F">
              <w:rPr>
                <w:b/>
              </w:rPr>
              <w:t>SÉRIE</w:t>
            </w:r>
          </w:p>
        </w:tc>
        <w:tc>
          <w:tcPr>
            <w:tcW w:w="715" w:type="pct"/>
            <w:noWrap/>
            <w:vAlign w:val="bottom"/>
          </w:tcPr>
          <w:p w14:paraId="66393A76" w14:textId="77777777" w:rsidR="00E5433A" w:rsidRPr="00DE6A6F" w:rsidRDefault="00E5433A" w:rsidP="00DD5056">
            <w:pPr>
              <w:pStyle w:val="Tablehead"/>
              <w:cnfStyle w:val="100000000000" w:firstRow="1" w:lastRow="0" w:firstColumn="0" w:lastColumn="0" w:oddVBand="0" w:evenVBand="0" w:oddHBand="0" w:evenHBand="0" w:firstRowFirstColumn="0" w:firstRowLastColumn="0" w:lastRowFirstColumn="0" w:lastRowLastColumn="0"/>
              <w:rPr>
                <w:rFonts w:eastAsia="Calibri"/>
                <w:b/>
                <w:bCs w:val="0"/>
                <w:szCs w:val="24"/>
              </w:rPr>
            </w:pPr>
            <w:r w:rsidRPr="00DE6A6F">
              <w:rPr>
                <w:b/>
                <w:bCs w:val="0"/>
              </w:rPr>
              <w:t>2021</w:t>
            </w:r>
          </w:p>
        </w:tc>
        <w:tc>
          <w:tcPr>
            <w:tcW w:w="714" w:type="pct"/>
            <w:vAlign w:val="bottom"/>
          </w:tcPr>
          <w:p w14:paraId="3C84AD10" w14:textId="77777777" w:rsidR="00E5433A" w:rsidRPr="00DE6A6F" w:rsidRDefault="00E5433A" w:rsidP="00DD5056">
            <w:pPr>
              <w:pStyle w:val="Tablehead"/>
              <w:cnfStyle w:val="100000000000" w:firstRow="1" w:lastRow="0" w:firstColumn="0" w:lastColumn="0" w:oddVBand="0" w:evenVBand="0" w:oddHBand="0" w:evenHBand="0" w:firstRowFirstColumn="0" w:firstRowLastColumn="0" w:lastRowFirstColumn="0" w:lastRowLastColumn="0"/>
              <w:rPr>
                <w:rFonts w:eastAsia="Calibri"/>
                <w:b/>
                <w:bCs w:val="0"/>
                <w:szCs w:val="24"/>
              </w:rPr>
            </w:pPr>
            <w:r w:rsidRPr="00DE6A6F">
              <w:rPr>
                <w:b/>
                <w:bCs w:val="0"/>
              </w:rPr>
              <w:t>2022</w:t>
            </w:r>
          </w:p>
        </w:tc>
        <w:tc>
          <w:tcPr>
            <w:tcW w:w="714" w:type="pct"/>
            <w:vAlign w:val="bottom"/>
          </w:tcPr>
          <w:p w14:paraId="48F023BE" w14:textId="77777777" w:rsidR="00E5433A" w:rsidRPr="00DE6A6F" w:rsidRDefault="00E5433A" w:rsidP="00DD5056">
            <w:pPr>
              <w:pStyle w:val="Tablehead"/>
              <w:cnfStyle w:val="100000000000" w:firstRow="1" w:lastRow="0" w:firstColumn="0" w:lastColumn="0" w:oddVBand="0" w:evenVBand="0" w:oddHBand="0" w:evenHBand="0" w:firstRowFirstColumn="0" w:firstRowLastColumn="0" w:lastRowFirstColumn="0" w:lastRowLastColumn="0"/>
              <w:rPr>
                <w:rFonts w:eastAsia="Calibri"/>
                <w:b/>
                <w:bCs w:val="0"/>
                <w:szCs w:val="24"/>
              </w:rPr>
            </w:pPr>
            <w:r w:rsidRPr="00DE6A6F">
              <w:rPr>
                <w:b/>
                <w:bCs w:val="0"/>
              </w:rPr>
              <w:t>2023</w:t>
            </w:r>
          </w:p>
        </w:tc>
        <w:tc>
          <w:tcPr>
            <w:tcW w:w="714" w:type="pct"/>
            <w:vAlign w:val="bottom"/>
          </w:tcPr>
          <w:p w14:paraId="3F97FD33" w14:textId="77777777" w:rsidR="00E5433A" w:rsidRPr="00DE6A6F" w:rsidRDefault="00E5433A" w:rsidP="00DD5056">
            <w:pPr>
              <w:pStyle w:val="Tablehead"/>
              <w:cnfStyle w:val="100000000000" w:firstRow="1" w:lastRow="0" w:firstColumn="0" w:lastColumn="0" w:oddVBand="0" w:evenVBand="0" w:oddHBand="0" w:evenHBand="0" w:firstRowFirstColumn="0" w:firstRowLastColumn="0" w:lastRowFirstColumn="0" w:lastRowLastColumn="0"/>
              <w:rPr>
                <w:b/>
                <w:bCs w:val="0"/>
                <w:szCs w:val="24"/>
              </w:rPr>
            </w:pPr>
            <w:r w:rsidRPr="00DE6A6F">
              <w:rPr>
                <w:b/>
                <w:bCs w:val="0"/>
              </w:rPr>
              <w:t>2024</w:t>
            </w:r>
          </w:p>
        </w:tc>
        <w:tc>
          <w:tcPr>
            <w:tcW w:w="714" w:type="pct"/>
            <w:noWrap/>
            <w:vAlign w:val="bottom"/>
          </w:tcPr>
          <w:p w14:paraId="44D96AD0" w14:textId="77777777" w:rsidR="00E5433A" w:rsidRPr="00DE6A6F" w:rsidRDefault="00E5433A" w:rsidP="00DD5056">
            <w:pPr>
              <w:pStyle w:val="Tablehead"/>
              <w:cnfStyle w:val="100000000000" w:firstRow="1" w:lastRow="0" w:firstColumn="0" w:lastColumn="0" w:oddVBand="0" w:evenVBand="0" w:oddHBand="0" w:evenHBand="0" w:firstRowFirstColumn="0" w:firstRowLastColumn="0" w:lastRowFirstColumn="0" w:lastRowLastColumn="0"/>
              <w:rPr>
                <w:rFonts w:eastAsia="Calibri"/>
                <w:b/>
                <w:bCs w:val="0"/>
                <w:szCs w:val="24"/>
              </w:rPr>
            </w:pPr>
            <w:r w:rsidRPr="00DE6A6F">
              <w:rPr>
                <w:b/>
                <w:bCs w:val="0"/>
              </w:rPr>
              <w:t>TOTAL</w:t>
            </w:r>
          </w:p>
        </w:tc>
        <w:tc>
          <w:tcPr>
            <w:tcW w:w="714" w:type="pct"/>
            <w:vAlign w:val="bottom"/>
          </w:tcPr>
          <w:p w14:paraId="63E38CDF" w14:textId="77777777" w:rsidR="00E5433A" w:rsidRPr="00DE6A6F" w:rsidRDefault="00E5433A" w:rsidP="00DD5056">
            <w:pPr>
              <w:pStyle w:val="Tablehead"/>
              <w:cnfStyle w:val="100000000000" w:firstRow="1" w:lastRow="0" w:firstColumn="0" w:lastColumn="0" w:oddVBand="0" w:evenVBand="0" w:oddHBand="0" w:evenHBand="0" w:firstRowFirstColumn="0" w:firstRowLastColumn="0" w:lastRowFirstColumn="0" w:lastRowLastColumn="0"/>
              <w:rPr>
                <w:rFonts w:eastAsia="Calibri"/>
                <w:b/>
                <w:bCs w:val="0"/>
                <w:szCs w:val="24"/>
              </w:rPr>
            </w:pPr>
            <w:r w:rsidRPr="00DE6A6F">
              <w:rPr>
                <w:b/>
                <w:bCs w:val="0"/>
              </w:rPr>
              <w:t>%</w:t>
            </w:r>
          </w:p>
        </w:tc>
      </w:tr>
      <w:tr w:rsidR="00E5433A" w:rsidRPr="00DE6A6F" w14:paraId="13F6E8AD" w14:textId="77777777" w:rsidTr="00DD505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716" w:type="pct"/>
            <w:noWrap/>
            <w:vAlign w:val="bottom"/>
            <w:hideMark/>
          </w:tcPr>
          <w:p w14:paraId="395E19C4" w14:textId="77777777" w:rsidR="00E5433A" w:rsidRPr="00DE6A6F" w:rsidRDefault="00E5433A" w:rsidP="00DD5056">
            <w:pPr>
              <w:pStyle w:val="Tablehead"/>
              <w:rPr>
                <w:b/>
                <w:szCs w:val="24"/>
              </w:rPr>
            </w:pPr>
            <w:r w:rsidRPr="00DE6A6F">
              <w:rPr>
                <w:b/>
              </w:rPr>
              <w:t>SM</w:t>
            </w:r>
          </w:p>
        </w:tc>
        <w:tc>
          <w:tcPr>
            <w:tcW w:w="715" w:type="pct"/>
            <w:noWrap/>
            <w:vAlign w:val="bottom"/>
          </w:tcPr>
          <w:p w14:paraId="6A0F3769"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149 392</w:t>
            </w:r>
          </w:p>
        </w:tc>
        <w:tc>
          <w:tcPr>
            <w:tcW w:w="714" w:type="pct"/>
            <w:vAlign w:val="bottom"/>
          </w:tcPr>
          <w:p w14:paraId="64CDB4B9"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105 880</w:t>
            </w:r>
          </w:p>
        </w:tc>
        <w:tc>
          <w:tcPr>
            <w:tcW w:w="714" w:type="pct"/>
            <w:vAlign w:val="bottom"/>
          </w:tcPr>
          <w:p w14:paraId="429B0788"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116 282</w:t>
            </w:r>
          </w:p>
        </w:tc>
        <w:tc>
          <w:tcPr>
            <w:tcW w:w="714" w:type="pct"/>
            <w:vAlign w:val="bottom"/>
          </w:tcPr>
          <w:p w14:paraId="507CBC94"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t>128 647</w:t>
            </w:r>
          </w:p>
        </w:tc>
        <w:tc>
          <w:tcPr>
            <w:tcW w:w="714" w:type="pct"/>
            <w:noWrap/>
            <w:vAlign w:val="bottom"/>
          </w:tcPr>
          <w:p w14:paraId="5C5B613D"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t>500 201</w:t>
            </w:r>
          </w:p>
        </w:tc>
        <w:tc>
          <w:tcPr>
            <w:tcW w:w="714" w:type="pct"/>
            <w:vAlign w:val="bottom"/>
          </w:tcPr>
          <w:p w14:paraId="38AE5B72"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30,07%</w:t>
            </w:r>
          </w:p>
        </w:tc>
      </w:tr>
      <w:tr w:rsidR="00E5433A" w:rsidRPr="00DE6A6F" w14:paraId="30E043E3" w14:textId="77777777" w:rsidTr="00DD5056">
        <w:trPr>
          <w:trHeight w:val="354"/>
          <w:jc w:val="center"/>
        </w:trPr>
        <w:tc>
          <w:tcPr>
            <w:cnfStyle w:val="001000000000" w:firstRow="0" w:lastRow="0" w:firstColumn="1" w:lastColumn="0" w:oddVBand="0" w:evenVBand="0" w:oddHBand="0" w:evenHBand="0" w:firstRowFirstColumn="0" w:firstRowLastColumn="0" w:lastRowFirstColumn="0" w:lastRowLastColumn="0"/>
            <w:tcW w:w="716" w:type="pct"/>
            <w:noWrap/>
            <w:vAlign w:val="bottom"/>
            <w:hideMark/>
          </w:tcPr>
          <w:p w14:paraId="0248FA89" w14:textId="77777777" w:rsidR="00E5433A" w:rsidRPr="00DE6A6F" w:rsidRDefault="00E5433A" w:rsidP="00DD5056">
            <w:pPr>
              <w:pStyle w:val="Tablehead"/>
              <w:rPr>
                <w:b/>
                <w:szCs w:val="24"/>
              </w:rPr>
            </w:pPr>
            <w:r w:rsidRPr="00DE6A6F">
              <w:rPr>
                <w:b/>
              </w:rPr>
              <w:t>M</w:t>
            </w:r>
          </w:p>
        </w:tc>
        <w:tc>
          <w:tcPr>
            <w:tcW w:w="715" w:type="pct"/>
            <w:noWrap/>
            <w:vAlign w:val="bottom"/>
          </w:tcPr>
          <w:p w14:paraId="44C00A66"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118 785</w:t>
            </w:r>
          </w:p>
        </w:tc>
        <w:tc>
          <w:tcPr>
            <w:tcW w:w="714" w:type="pct"/>
            <w:vAlign w:val="bottom"/>
          </w:tcPr>
          <w:p w14:paraId="165BC07A"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102 742</w:t>
            </w:r>
          </w:p>
        </w:tc>
        <w:tc>
          <w:tcPr>
            <w:tcW w:w="714" w:type="pct"/>
            <w:vAlign w:val="bottom"/>
          </w:tcPr>
          <w:p w14:paraId="58F3D57F"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121 622</w:t>
            </w:r>
          </w:p>
        </w:tc>
        <w:tc>
          <w:tcPr>
            <w:tcW w:w="714" w:type="pct"/>
            <w:vAlign w:val="bottom"/>
          </w:tcPr>
          <w:p w14:paraId="1D52466D"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b/>
                <w:bCs/>
                <w:szCs w:val="24"/>
              </w:rPr>
            </w:pPr>
            <w:r w:rsidRPr="00DE6A6F">
              <w:t>103 466</w:t>
            </w:r>
          </w:p>
        </w:tc>
        <w:tc>
          <w:tcPr>
            <w:tcW w:w="714" w:type="pct"/>
            <w:noWrap/>
            <w:vAlign w:val="bottom"/>
          </w:tcPr>
          <w:p w14:paraId="78647C8A"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b/>
                <w:bCs/>
                <w:szCs w:val="24"/>
              </w:rPr>
            </w:pPr>
            <w:r w:rsidRPr="00DE6A6F">
              <w:t>446 615</w:t>
            </w:r>
          </w:p>
        </w:tc>
        <w:tc>
          <w:tcPr>
            <w:tcW w:w="714" w:type="pct"/>
            <w:vAlign w:val="bottom"/>
          </w:tcPr>
          <w:p w14:paraId="420ABC22"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26,85%</w:t>
            </w:r>
          </w:p>
        </w:tc>
      </w:tr>
      <w:tr w:rsidR="00E5433A" w:rsidRPr="00DE6A6F" w14:paraId="292B51C0" w14:textId="77777777" w:rsidTr="00DD505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716" w:type="pct"/>
            <w:noWrap/>
            <w:vAlign w:val="bottom"/>
            <w:hideMark/>
          </w:tcPr>
          <w:p w14:paraId="269925A5" w14:textId="77777777" w:rsidR="00E5433A" w:rsidRPr="00DE6A6F" w:rsidRDefault="00E5433A" w:rsidP="00DD5056">
            <w:pPr>
              <w:pStyle w:val="Tablehead"/>
              <w:rPr>
                <w:b/>
                <w:szCs w:val="24"/>
              </w:rPr>
            </w:pPr>
            <w:r w:rsidRPr="00DE6A6F">
              <w:rPr>
                <w:b/>
              </w:rPr>
              <w:t>BT</w:t>
            </w:r>
          </w:p>
        </w:tc>
        <w:tc>
          <w:tcPr>
            <w:tcW w:w="715" w:type="pct"/>
            <w:noWrap/>
            <w:vAlign w:val="bottom"/>
          </w:tcPr>
          <w:p w14:paraId="5C45FE09"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75 168</w:t>
            </w:r>
          </w:p>
        </w:tc>
        <w:tc>
          <w:tcPr>
            <w:tcW w:w="714" w:type="pct"/>
            <w:vAlign w:val="bottom"/>
          </w:tcPr>
          <w:p w14:paraId="042F89F9"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76 421</w:t>
            </w:r>
          </w:p>
        </w:tc>
        <w:tc>
          <w:tcPr>
            <w:tcW w:w="714" w:type="pct"/>
            <w:vAlign w:val="bottom"/>
          </w:tcPr>
          <w:p w14:paraId="2ECCBBBF"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83 612</w:t>
            </w:r>
          </w:p>
        </w:tc>
        <w:tc>
          <w:tcPr>
            <w:tcW w:w="714" w:type="pct"/>
            <w:vAlign w:val="bottom"/>
          </w:tcPr>
          <w:p w14:paraId="7F4B6141"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t>75 390</w:t>
            </w:r>
          </w:p>
        </w:tc>
        <w:tc>
          <w:tcPr>
            <w:tcW w:w="714" w:type="pct"/>
            <w:noWrap/>
            <w:vAlign w:val="bottom"/>
          </w:tcPr>
          <w:p w14:paraId="09DEF6C6"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t>310 591</w:t>
            </w:r>
          </w:p>
        </w:tc>
        <w:tc>
          <w:tcPr>
            <w:tcW w:w="714" w:type="pct"/>
            <w:vAlign w:val="bottom"/>
          </w:tcPr>
          <w:p w14:paraId="49ADBCA8"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18,67%</w:t>
            </w:r>
          </w:p>
        </w:tc>
      </w:tr>
      <w:tr w:rsidR="00E5433A" w:rsidRPr="00DE6A6F" w14:paraId="425E8368" w14:textId="77777777" w:rsidTr="00DD5056">
        <w:trPr>
          <w:trHeight w:val="330"/>
          <w:jc w:val="center"/>
        </w:trPr>
        <w:tc>
          <w:tcPr>
            <w:cnfStyle w:val="001000000000" w:firstRow="0" w:lastRow="0" w:firstColumn="1" w:lastColumn="0" w:oddVBand="0" w:evenVBand="0" w:oddHBand="0" w:evenHBand="0" w:firstRowFirstColumn="0" w:firstRowLastColumn="0" w:lastRowFirstColumn="0" w:lastRowLastColumn="0"/>
            <w:tcW w:w="716" w:type="pct"/>
            <w:noWrap/>
            <w:vAlign w:val="bottom"/>
            <w:hideMark/>
          </w:tcPr>
          <w:p w14:paraId="7DEBE89F" w14:textId="77777777" w:rsidR="00E5433A" w:rsidRPr="00DE6A6F" w:rsidRDefault="00E5433A" w:rsidP="00DD5056">
            <w:pPr>
              <w:pStyle w:val="Tablehead"/>
              <w:rPr>
                <w:b/>
                <w:szCs w:val="24"/>
              </w:rPr>
            </w:pPr>
            <w:r w:rsidRPr="00DE6A6F">
              <w:rPr>
                <w:b/>
              </w:rPr>
              <w:t>BS</w:t>
            </w:r>
          </w:p>
        </w:tc>
        <w:tc>
          <w:tcPr>
            <w:tcW w:w="715" w:type="pct"/>
            <w:noWrap/>
            <w:vAlign w:val="bottom"/>
          </w:tcPr>
          <w:p w14:paraId="5E480C9A"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35 392</w:t>
            </w:r>
          </w:p>
        </w:tc>
        <w:tc>
          <w:tcPr>
            <w:tcW w:w="714" w:type="pct"/>
            <w:vAlign w:val="bottom"/>
          </w:tcPr>
          <w:p w14:paraId="0D185F11"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30 002</w:t>
            </w:r>
          </w:p>
        </w:tc>
        <w:tc>
          <w:tcPr>
            <w:tcW w:w="714" w:type="pct"/>
            <w:vAlign w:val="bottom"/>
          </w:tcPr>
          <w:p w14:paraId="7B03D0F6"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31 013</w:t>
            </w:r>
          </w:p>
        </w:tc>
        <w:tc>
          <w:tcPr>
            <w:tcW w:w="714" w:type="pct"/>
            <w:vAlign w:val="bottom"/>
          </w:tcPr>
          <w:p w14:paraId="5C7459A3"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b/>
                <w:bCs/>
                <w:szCs w:val="24"/>
              </w:rPr>
            </w:pPr>
            <w:r w:rsidRPr="00DE6A6F">
              <w:t>25 730</w:t>
            </w:r>
          </w:p>
        </w:tc>
        <w:tc>
          <w:tcPr>
            <w:tcW w:w="714" w:type="pct"/>
            <w:noWrap/>
            <w:vAlign w:val="bottom"/>
          </w:tcPr>
          <w:p w14:paraId="769FAE2F"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b/>
                <w:bCs/>
                <w:szCs w:val="24"/>
              </w:rPr>
            </w:pPr>
            <w:r w:rsidRPr="00DE6A6F">
              <w:t>122 137</w:t>
            </w:r>
          </w:p>
        </w:tc>
        <w:tc>
          <w:tcPr>
            <w:tcW w:w="714" w:type="pct"/>
            <w:vAlign w:val="bottom"/>
          </w:tcPr>
          <w:p w14:paraId="66EA3775"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7,34%</w:t>
            </w:r>
          </w:p>
        </w:tc>
      </w:tr>
      <w:tr w:rsidR="00E5433A" w:rsidRPr="00DE6A6F" w14:paraId="41620A45" w14:textId="77777777" w:rsidTr="00DD505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716" w:type="pct"/>
            <w:noWrap/>
            <w:vAlign w:val="bottom"/>
            <w:hideMark/>
          </w:tcPr>
          <w:p w14:paraId="3EE408F2" w14:textId="77777777" w:rsidR="00E5433A" w:rsidRPr="00DE6A6F" w:rsidRDefault="00E5433A" w:rsidP="00DD5056">
            <w:pPr>
              <w:pStyle w:val="Tablehead"/>
              <w:rPr>
                <w:b/>
                <w:szCs w:val="24"/>
              </w:rPr>
            </w:pPr>
            <w:r w:rsidRPr="00DE6A6F">
              <w:rPr>
                <w:b/>
              </w:rPr>
              <w:t>BO</w:t>
            </w:r>
          </w:p>
        </w:tc>
        <w:tc>
          <w:tcPr>
            <w:tcW w:w="715" w:type="pct"/>
            <w:noWrap/>
            <w:vAlign w:val="bottom"/>
          </w:tcPr>
          <w:p w14:paraId="4D37EF6D"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16 812</w:t>
            </w:r>
          </w:p>
        </w:tc>
        <w:tc>
          <w:tcPr>
            <w:tcW w:w="714" w:type="pct"/>
            <w:vAlign w:val="bottom"/>
          </w:tcPr>
          <w:p w14:paraId="75E8F552"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16 721</w:t>
            </w:r>
          </w:p>
        </w:tc>
        <w:tc>
          <w:tcPr>
            <w:tcW w:w="714" w:type="pct"/>
            <w:vAlign w:val="bottom"/>
          </w:tcPr>
          <w:p w14:paraId="05184AFF"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16 993</w:t>
            </w:r>
          </w:p>
        </w:tc>
        <w:tc>
          <w:tcPr>
            <w:tcW w:w="714" w:type="pct"/>
            <w:vAlign w:val="bottom"/>
          </w:tcPr>
          <w:p w14:paraId="1001C406"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t>13 740</w:t>
            </w:r>
          </w:p>
        </w:tc>
        <w:tc>
          <w:tcPr>
            <w:tcW w:w="714" w:type="pct"/>
            <w:noWrap/>
            <w:vAlign w:val="bottom"/>
          </w:tcPr>
          <w:p w14:paraId="2EC9D42D"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t>64 266</w:t>
            </w:r>
          </w:p>
        </w:tc>
        <w:tc>
          <w:tcPr>
            <w:tcW w:w="714" w:type="pct"/>
            <w:vAlign w:val="bottom"/>
          </w:tcPr>
          <w:p w14:paraId="0FDD8C74"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3,86%</w:t>
            </w:r>
          </w:p>
        </w:tc>
      </w:tr>
      <w:tr w:rsidR="00E5433A" w:rsidRPr="00DE6A6F" w14:paraId="21D25C47" w14:textId="77777777" w:rsidTr="00DD5056">
        <w:trPr>
          <w:trHeight w:val="330"/>
          <w:jc w:val="center"/>
        </w:trPr>
        <w:tc>
          <w:tcPr>
            <w:cnfStyle w:val="001000000000" w:firstRow="0" w:lastRow="0" w:firstColumn="1" w:lastColumn="0" w:oddVBand="0" w:evenVBand="0" w:oddHBand="0" w:evenHBand="0" w:firstRowFirstColumn="0" w:firstRowLastColumn="0" w:lastRowFirstColumn="0" w:lastRowLastColumn="0"/>
            <w:tcW w:w="716" w:type="pct"/>
            <w:noWrap/>
            <w:vAlign w:val="bottom"/>
            <w:hideMark/>
          </w:tcPr>
          <w:p w14:paraId="6930C185" w14:textId="77777777" w:rsidR="00E5433A" w:rsidRPr="00DE6A6F" w:rsidRDefault="00E5433A" w:rsidP="00DD5056">
            <w:pPr>
              <w:pStyle w:val="Tablehead"/>
              <w:rPr>
                <w:b/>
                <w:szCs w:val="24"/>
              </w:rPr>
            </w:pPr>
            <w:r w:rsidRPr="00DE6A6F">
              <w:rPr>
                <w:b/>
              </w:rPr>
              <w:t>P</w:t>
            </w:r>
          </w:p>
        </w:tc>
        <w:tc>
          <w:tcPr>
            <w:tcW w:w="715" w:type="pct"/>
            <w:noWrap/>
            <w:vAlign w:val="bottom"/>
          </w:tcPr>
          <w:p w14:paraId="0E7CFDF6"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18 142</w:t>
            </w:r>
          </w:p>
        </w:tc>
        <w:tc>
          <w:tcPr>
            <w:tcW w:w="714" w:type="pct"/>
            <w:vAlign w:val="bottom"/>
          </w:tcPr>
          <w:p w14:paraId="6C277665"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15 647</w:t>
            </w:r>
          </w:p>
        </w:tc>
        <w:tc>
          <w:tcPr>
            <w:tcW w:w="714" w:type="pct"/>
            <w:vAlign w:val="bottom"/>
          </w:tcPr>
          <w:p w14:paraId="40F5EB17"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15 536</w:t>
            </w:r>
          </w:p>
        </w:tc>
        <w:tc>
          <w:tcPr>
            <w:tcW w:w="714" w:type="pct"/>
            <w:vAlign w:val="bottom"/>
          </w:tcPr>
          <w:p w14:paraId="3548A880"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b/>
                <w:bCs/>
                <w:szCs w:val="24"/>
              </w:rPr>
            </w:pPr>
            <w:r w:rsidRPr="00DE6A6F">
              <w:t>11 673</w:t>
            </w:r>
          </w:p>
        </w:tc>
        <w:tc>
          <w:tcPr>
            <w:tcW w:w="714" w:type="pct"/>
            <w:noWrap/>
            <w:vAlign w:val="bottom"/>
          </w:tcPr>
          <w:p w14:paraId="3F74F37E"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b/>
                <w:bCs/>
                <w:szCs w:val="24"/>
              </w:rPr>
            </w:pPr>
            <w:r w:rsidRPr="00DE6A6F">
              <w:t>60 998</w:t>
            </w:r>
          </w:p>
        </w:tc>
        <w:tc>
          <w:tcPr>
            <w:tcW w:w="714" w:type="pct"/>
            <w:vAlign w:val="bottom"/>
          </w:tcPr>
          <w:p w14:paraId="04ADFD12"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3,67%</w:t>
            </w:r>
          </w:p>
        </w:tc>
      </w:tr>
      <w:tr w:rsidR="00E5433A" w:rsidRPr="00DE6A6F" w14:paraId="79398F85" w14:textId="77777777" w:rsidTr="00DD505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716" w:type="pct"/>
            <w:noWrap/>
            <w:vAlign w:val="bottom"/>
            <w:hideMark/>
          </w:tcPr>
          <w:p w14:paraId="1E2AE73D" w14:textId="77777777" w:rsidR="00E5433A" w:rsidRPr="00DE6A6F" w:rsidRDefault="00E5433A" w:rsidP="00DD5056">
            <w:pPr>
              <w:pStyle w:val="Tablehead"/>
              <w:rPr>
                <w:b/>
                <w:szCs w:val="24"/>
              </w:rPr>
            </w:pPr>
            <w:r w:rsidRPr="00DE6A6F">
              <w:rPr>
                <w:b/>
              </w:rPr>
              <w:t>F</w:t>
            </w:r>
          </w:p>
        </w:tc>
        <w:tc>
          <w:tcPr>
            <w:tcW w:w="715" w:type="pct"/>
            <w:noWrap/>
            <w:vAlign w:val="bottom"/>
          </w:tcPr>
          <w:p w14:paraId="6EF5C1A9"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15 138</w:t>
            </w:r>
          </w:p>
        </w:tc>
        <w:tc>
          <w:tcPr>
            <w:tcW w:w="714" w:type="pct"/>
            <w:vAlign w:val="bottom"/>
          </w:tcPr>
          <w:p w14:paraId="65135A91"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8 623</w:t>
            </w:r>
          </w:p>
        </w:tc>
        <w:tc>
          <w:tcPr>
            <w:tcW w:w="714" w:type="pct"/>
            <w:vAlign w:val="bottom"/>
          </w:tcPr>
          <w:p w14:paraId="3286555A"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9 397</w:t>
            </w:r>
          </w:p>
        </w:tc>
        <w:tc>
          <w:tcPr>
            <w:tcW w:w="714" w:type="pct"/>
            <w:vAlign w:val="bottom"/>
          </w:tcPr>
          <w:p w14:paraId="66852E04"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t>9 940</w:t>
            </w:r>
          </w:p>
        </w:tc>
        <w:tc>
          <w:tcPr>
            <w:tcW w:w="714" w:type="pct"/>
            <w:noWrap/>
            <w:vAlign w:val="bottom"/>
          </w:tcPr>
          <w:p w14:paraId="1E4344DE"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t>43 098</w:t>
            </w:r>
          </w:p>
        </w:tc>
        <w:tc>
          <w:tcPr>
            <w:tcW w:w="714" w:type="pct"/>
            <w:vAlign w:val="bottom"/>
          </w:tcPr>
          <w:p w14:paraId="15B5C454"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2,59%</w:t>
            </w:r>
          </w:p>
        </w:tc>
      </w:tr>
      <w:tr w:rsidR="00E5433A" w:rsidRPr="00DE6A6F" w14:paraId="01B95DDD" w14:textId="77777777" w:rsidTr="00DD5056">
        <w:trPr>
          <w:trHeight w:val="330"/>
          <w:jc w:val="center"/>
        </w:trPr>
        <w:tc>
          <w:tcPr>
            <w:cnfStyle w:val="001000000000" w:firstRow="0" w:lastRow="0" w:firstColumn="1" w:lastColumn="0" w:oddVBand="0" w:evenVBand="0" w:oddHBand="0" w:evenHBand="0" w:firstRowFirstColumn="0" w:firstRowLastColumn="0" w:lastRowFirstColumn="0" w:lastRowLastColumn="0"/>
            <w:tcW w:w="716" w:type="pct"/>
            <w:noWrap/>
            <w:vAlign w:val="bottom"/>
            <w:hideMark/>
          </w:tcPr>
          <w:p w14:paraId="3043ECAF" w14:textId="77777777" w:rsidR="00E5433A" w:rsidRPr="00DE6A6F" w:rsidRDefault="00E5433A" w:rsidP="00DD5056">
            <w:pPr>
              <w:pStyle w:val="Tablehead"/>
              <w:rPr>
                <w:b/>
                <w:szCs w:val="24"/>
              </w:rPr>
            </w:pPr>
            <w:r w:rsidRPr="00DE6A6F">
              <w:rPr>
                <w:b/>
              </w:rPr>
              <w:t>S</w:t>
            </w:r>
          </w:p>
        </w:tc>
        <w:tc>
          <w:tcPr>
            <w:tcW w:w="715" w:type="pct"/>
            <w:noWrap/>
            <w:vAlign w:val="bottom"/>
          </w:tcPr>
          <w:p w14:paraId="38DBC9B8"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9 918</w:t>
            </w:r>
          </w:p>
        </w:tc>
        <w:tc>
          <w:tcPr>
            <w:tcW w:w="714" w:type="pct"/>
            <w:vAlign w:val="bottom"/>
          </w:tcPr>
          <w:p w14:paraId="62D67102"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9 170</w:t>
            </w:r>
          </w:p>
        </w:tc>
        <w:tc>
          <w:tcPr>
            <w:tcW w:w="714" w:type="pct"/>
            <w:vAlign w:val="bottom"/>
          </w:tcPr>
          <w:p w14:paraId="57BA3969"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10 174</w:t>
            </w:r>
          </w:p>
        </w:tc>
        <w:tc>
          <w:tcPr>
            <w:tcW w:w="714" w:type="pct"/>
            <w:vAlign w:val="bottom"/>
          </w:tcPr>
          <w:p w14:paraId="1E394943"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b/>
                <w:bCs/>
                <w:szCs w:val="24"/>
              </w:rPr>
            </w:pPr>
            <w:r w:rsidRPr="00DE6A6F">
              <w:t>8 220</w:t>
            </w:r>
          </w:p>
        </w:tc>
        <w:tc>
          <w:tcPr>
            <w:tcW w:w="714" w:type="pct"/>
            <w:noWrap/>
            <w:vAlign w:val="bottom"/>
          </w:tcPr>
          <w:p w14:paraId="16BC5A32"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b/>
                <w:bCs/>
                <w:szCs w:val="24"/>
              </w:rPr>
            </w:pPr>
            <w:r w:rsidRPr="00DE6A6F">
              <w:t>37 482</w:t>
            </w:r>
          </w:p>
        </w:tc>
        <w:tc>
          <w:tcPr>
            <w:tcW w:w="714" w:type="pct"/>
            <w:vAlign w:val="bottom"/>
          </w:tcPr>
          <w:p w14:paraId="52DCF53F"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2,25%</w:t>
            </w:r>
          </w:p>
        </w:tc>
      </w:tr>
      <w:tr w:rsidR="00E5433A" w:rsidRPr="00DE6A6F" w14:paraId="0F9B8B7F" w14:textId="77777777" w:rsidTr="00DD505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716" w:type="pct"/>
            <w:noWrap/>
            <w:vAlign w:val="bottom"/>
            <w:hideMark/>
          </w:tcPr>
          <w:p w14:paraId="3F5290F2" w14:textId="77777777" w:rsidR="00E5433A" w:rsidRPr="00DE6A6F" w:rsidRDefault="00E5433A" w:rsidP="00DD5056">
            <w:pPr>
              <w:pStyle w:val="Tablehead"/>
              <w:rPr>
                <w:b/>
                <w:szCs w:val="24"/>
              </w:rPr>
            </w:pPr>
            <w:r w:rsidRPr="00DE6A6F">
              <w:rPr>
                <w:b/>
              </w:rPr>
              <w:t>SA</w:t>
            </w:r>
          </w:p>
        </w:tc>
        <w:tc>
          <w:tcPr>
            <w:tcW w:w="715" w:type="pct"/>
            <w:noWrap/>
            <w:vAlign w:val="bottom"/>
          </w:tcPr>
          <w:p w14:paraId="5D8F6D74"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9 042</w:t>
            </w:r>
          </w:p>
        </w:tc>
        <w:tc>
          <w:tcPr>
            <w:tcW w:w="714" w:type="pct"/>
            <w:vAlign w:val="bottom"/>
          </w:tcPr>
          <w:p w14:paraId="6266EE4E"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5 346</w:t>
            </w:r>
          </w:p>
        </w:tc>
        <w:tc>
          <w:tcPr>
            <w:tcW w:w="714" w:type="pct"/>
            <w:vAlign w:val="bottom"/>
          </w:tcPr>
          <w:p w14:paraId="21D10725"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6 856</w:t>
            </w:r>
          </w:p>
        </w:tc>
        <w:tc>
          <w:tcPr>
            <w:tcW w:w="714" w:type="pct"/>
            <w:vAlign w:val="bottom"/>
          </w:tcPr>
          <w:p w14:paraId="6B0BE3FD"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t>6 745</w:t>
            </w:r>
          </w:p>
        </w:tc>
        <w:tc>
          <w:tcPr>
            <w:tcW w:w="714" w:type="pct"/>
            <w:noWrap/>
            <w:vAlign w:val="bottom"/>
          </w:tcPr>
          <w:p w14:paraId="4236610A"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t>27 989</w:t>
            </w:r>
          </w:p>
        </w:tc>
        <w:tc>
          <w:tcPr>
            <w:tcW w:w="714" w:type="pct"/>
            <w:vAlign w:val="bottom"/>
          </w:tcPr>
          <w:p w14:paraId="3B35877D"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1,68%</w:t>
            </w:r>
          </w:p>
        </w:tc>
      </w:tr>
      <w:tr w:rsidR="00E5433A" w:rsidRPr="00DE6A6F" w14:paraId="0B0C71B3" w14:textId="77777777" w:rsidTr="00DD5056">
        <w:trPr>
          <w:trHeight w:val="330"/>
          <w:jc w:val="center"/>
        </w:trPr>
        <w:tc>
          <w:tcPr>
            <w:cnfStyle w:val="001000000000" w:firstRow="0" w:lastRow="0" w:firstColumn="1" w:lastColumn="0" w:oddVBand="0" w:evenVBand="0" w:oddHBand="0" w:evenHBand="0" w:firstRowFirstColumn="0" w:firstRowLastColumn="0" w:lastRowFirstColumn="0" w:lastRowLastColumn="0"/>
            <w:tcW w:w="716" w:type="pct"/>
            <w:noWrap/>
            <w:vAlign w:val="bottom"/>
            <w:hideMark/>
          </w:tcPr>
          <w:p w14:paraId="5D434CBE" w14:textId="77777777" w:rsidR="00E5433A" w:rsidRPr="00DE6A6F" w:rsidRDefault="00E5433A" w:rsidP="00DD5056">
            <w:pPr>
              <w:pStyle w:val="Tablehead"/>
              <w:rPr>
                <w:b/>
                <w:szCs w:val="24"/>
              </w:rPr>
            </w:pPr>
            <w:r w:rsidRPr="00DE6A6F">
              <w:rPr>
                <w:b/>
              </w:rPr>
              <w:t>RS</w:t>
            </w:r>
          </w:p>
        </w:tc>
        <w:tc>
          <w:tcPr>
            <w:tcW w:w="715" w:type="pct"/>
            <w:noWrap/>
            <w:vAlign w:val="bottom"/>
          </w:tcPr>
          <w:p w14:paraId="79E40B68"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6 343</w:t>
            </w:r>
          </w:p>
        </w:tc>
        <w:tc>
          <w:tcPr>
            <w:tcW w:w="714" w:type="pct"/>
            <w:vAlign w:val="bottom"/>
          </w:tcPr>
          <w:p w14:paraId="3C9694AF"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4 486</w:t>
            </w:r>
          </w:p>
        </w:tc>
        <w:tc>
          <w:tcPr>
            <w:tcW w:w="714" w:type="pct"/>
            <w:vAlign w:val="bottom"/>
          </w:tcPr>
          <w:p w14:paraId="77D2D9CF"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6 236</w:t>
            </w:r>
          </w:p>
        </w:tc>
        <w:tc>
          <w:tcPr>
            <w:tcW w:w="714" w:type="pct"/>
            <w:vAlign w:val="bottom"/>
          </w:tcPr>
          <w:p w14:paraId="6EFACB0A"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b/>
                <w:bCs/>
                <w:szCs w:val="24"/>
              </w:rPr>
            </w:pPr>
            <w:r w:rsidRPr="00DE6A6F">
              <w:t>6 584</w:t>
            </w:r>
          </w:p>
        </w:tc>
        <w:tc>
          <w:tcPr>
            <w:tcW w:w="714" w:type="pct"/>
            <w:noWrap/>
            <w:vAlign w:val="bottom"/>
          </w:tcPr>
          <w:p w14:paraId="264C2DC1"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b/>
                <w:bCs/>
                <w:szCs w:val="24"/>
              </w:rPr>
            </w:pPr>
            <w:r w:rsidRPr="00DE6A6F">
              <w:t>23 649</w:t>
            </w:r>
          </w:p>
        </w:tc>
        <w:tc>
          <w:tcPr>
            <w:tcW w:w="714" w:type="pct"/>
            <w:vAlign w:val="bottom"/>
          </w:tcPr>
          <w:p w14:paraId="538406F9"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1,42%</w:t>
            </w:r>
          </w:p>
        </w:tc>
      </w:tr>
      <w:tr w:rsidR="00E5433A" w:rsidRPr="00DE6A6F" w14:paraId="74BEB9AF" w14:textId="77777777" w:rsidTr="00DD505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716" w:type="pct"/>
            <w:noWrap/>
            <w:vAlign w:val="bottom"/>
            <w:hideMark/>
          </w:tcPr>
          <w:p w14:paraId="7772A170" w14:textId="77777777" w:rsidR="00E5433A" w:rsidRPr="00DE6A6F" w:rsidRDefault="00E5433A" w:rsidP="00DD5056">
            <w:pPr>
              <w:pStyle w:val="Tablehead"/>
              <w:rPr>
                <w:b/>
                <w:szCs w:val="24"/>
              </w:rPr>
            </w:pPr>
            <w:r w:rsidRPr="00DE6A6F">
              <w:rPr>
                <w:b/>
              </w:rPr>
              <w:t>RA</w:t>
            </w:r>
          </w:p>
        </w:tc>
        <w:tc>
          <w:tcPr>
            <w:tcW w:w="715" w:type="pct"/>
            <w:noWrap/>
            <w:vAlign w:val="bottom"/>
          </w:tcPr>
          <w:p w14:paraId="03A8357C"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4 834</w:t>
            </w:r>
          </w:p>
        </w:tc>
        <w:tc>
          <w:tcPr>
            <w:tcW w:w="714" w:type="pct"/>
            <w:vAlign w:val="bottom"/>
          </w:tcPr>
          <w:p w14:paraId="671889D2"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4 840</w:t>
            </w:r>
          </w:p>
        </w:tc>
        <w:tc>
          <w:tcPr>
            <w:tcW w:w="714" w:type="pct"/>
            <w:vAlign w:val="bottom"/>
          </w:tcPr>
          <w:p w14:paraId="336C2AD6"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6 463</w:t>
            </w:r>
          </w:p>
        </w:tc>
        <w:tc>
          <w:tcPr>
            <w:tcW w:w="714" w:type="pct"/>
            <w:vAlign w:val="bottom"/>
          </w:tcPr>
          <w:p w14:paraId="57B41CA5"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t>6 208</w:t>
            </w:r>
          </w:p>
        </w:tc>
        <w:tc>
          <w:tcPr>
            <w:tcW w:w="714" w:type="pct"/>
            <w:noWrap/>
            <w:vAlign w:val="bottom"/>
          </w:tcPr>
          <w:p w14:paraId="33BBDC08"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t>22 345</w:t>
            </w:r>
          </w:p>
        </w:tc>
        <w:tc>
          <w:tcPr>
            <w:tcW w:w="714" w:type="pct"/>
            <w:vAlign w:val="bottom"/>
          </w:tcPr>
          <w:p w14:paraId="48F4DC92"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1,34%</w:t>
            </w:r>
          </w:p>
        </w:tc>
      </w:tr>
      <w:tr w:rsidR="00E5433A" w:rsidRPr="00DE6A6F" w14:paraId="34AF8A1F" w14:textId="77777777" w:rsidTr="00DD5056">
        <w:trPr>
          <w:trHeight w:val="330"/>
          <w:jc w:val="center"/>
        </w:trPr>
        <w:tc>
          <w:tcPr>
            <w:cnfStyle w:val="001000000000" w:firstRow="0" w:lastRow="0" w:firstColumn="1" w:lastColumn="0" w:oddVBand="0" w:evenVBand="0" w:oddHBand="0" w:evenHBand="0" w:firstRowFirstColumn="0" w:firstRowLastColumn="0" w:lastRowFirstColumn="0" w:lastRowLastColumn="0"/>
            <w:tcW w:w="716" w:type="pct"/>
            <w:noWrap/>
            <w:vAlign w:val="bottom"/>
            <w:hideMark/>
          </w:tcPr>
          <w:p w14:paraId="53E656F3" w14:textId="77777777" w:rsidR="00E5433A" w:rsidRPr="00DE6A6F" w:rsidRDefault="00E5433A" w:rsidP="00DD5056">
            <w:pPr>
              <w:pStyle w:val="Tablehead"/>
              <w:rPr>
                <w:b/>
                <w:szCs w:val="24"/>
              </w:rPr>
            </w:pPr>
            <w:r w:rsidRPr="00DE6A6F">
              <w:rPr>
                <w:b/>
              </w:rPr>
              <w:t>TF</w:t>
            </w:r>
          </w:p>
        </w:tc>
        <w:tc>
          <w:tcPr>
            <w:tcW w:w="715" w:type="pct"/>
            <w:noWrap/>
            <w:vAlign w:val="bottom"/>
          </w:tcPr>
          <w:p w14:paraId="46A2832A"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97</w:t>
            </w:r>
          </w:p>
        </w:tc>
        <w:tc>
          <w:tcPr>
            <w:tcW w:w="714" w:type="pct"/>
            <w:vAlign w:val="bottom"/>
          </w:tcPr>
          <w:p w14:paraId="638EC8C2"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466</w:t>
            </w:r>
          </w:p>
        </w:tc>
        <w:tc>
          <w:tcPr>
            <w:tcW w:w="714" w:type="pct"/>
            <w:vAlign w:val="bottom"/>
          </w:tcPr>
          <w:p w14:paraId="77B8A6E5"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948</w:t>
            </w:r>
          </w:p>
        </w:tc>
        <w:tc>
          <w:tcPr>
            <w:tcW w:w="714" w:type="pct"/>
            <w:vAlign w:val="bottom"/>
          </w:tcPr>
          <w:p w14:paraId="01E79907"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b/>
                <w:bCs/>
                <w:szCs w:val="24"/>
              </w:rPr>
            </w:pPr>
            <w:r w:rsidRPr="00DE6A6F">
              <w:t>1 017</w:t>
            </w:r>
          </w:p>
        </w:tc>
        <w:tc>
          <w:tcPr>
            <w:tcW w:w="714" w:type="pct"/>
            <w:noWrap/>
            <w:vAlign w:val="bottom"/>
          </w:tcPr>
          <w:p w14:paraId="2CE66282"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b/>
                <w:bCs/>
                <w:szCs w:val="24"/>
              </w:rPr>
            </w:pPr>
            <w:r w:rsidRPr="00DE6A6F">
              <w:t>2 528</w:t>
            </w:r>
          </w:p>
        </w:tc>
        <w:tc>
          <w:tcPr>
            <w:tcW w:w="714" w:type="pct"/>
            <w:vAlign w:val="bottom"/>
          </w:tcPr>
          <w:p w14:paraId="1D5DDB37"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0,15%</w:t>
            </w:r>
          </w:p>
        </w:tc>
      </w:tr>
      <w:tr w:rsidR="00E5433A" w:rsidRPr="00DE6A6F" w14:paraId="4937397F" w14:textId="77777777" w:rsidTr="00DD5056">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716" w:type="pct"/>
            <w:noWrap/>
            <w:vAlign w:val="bottom"/>
            <w:hideMark/>
          </w:tcPr>
          <w:p w14:paraId="4D52A97E" w14:textId="77777777" w:rsidR="00E5433A" w:rsidRPr="00DE6A6F" w:rsidRDefault="00E5433A" w:rsidP="00DD5056">
            <w:pPr>
              <w:pStyle w:val="Tablehead"/>
              <w:rPr>
                <w:b/>
                <w:szCs w:val="24"/>
              </w:rPr>
            </w:pPr>
            <w:r w:rsidRPr="00DE6A6F">
              <w:rPr>
                <w:b/>
              </w:rPr>
              <w:t>SF</w:t>
            </w:r>
          </w:p>
        </w:tc>
        <w:tc>
          <w:tcPr>
            <w:tcW w:w="715" w:type="pct"/>
            <w:noWrap/>
            <w:vAlign w:val="bottom"/>
          </w:tcPr>
          <w:p w14:paraId="773D25A1"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397</w:t>
            </w:r>
          </w:p>
        </w:tc>
        <w:tc>
          <w:tcPr>
            <w:tcW w:w="714" w:type="pct"/>
            <w:vAlign w:val="bottom"/>
          </w:tcPr>
          <w:p w14:paraId="7FD9900A"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326</w:t>
            </w:r>
          </w:p>
        </w:tc>
        <w:tc>
          <w:tcPr>
            <w:tcW w:w="714" w:type="pct"/>
            <w:vAlign w:val="bottom"/>
          </w:tcPr>
          <w:p w14:paraId="5877C7E4"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345</w:t>
            </w:r>
          </w:p>
        </w:tc>
        <w:tc>
          <w:tcPr>
            <w:tcW w:w="714" w:type="pct"/>
            <w:vAlign w:val="bottom"/>
          </w:tcPr>
          <w:p w14:paraId="063C6434"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t>269</w:t>
            </w:r>
          </w:p>
        </w:tc>
        <w:tc>
          <w:tcPr>
            <w:tcW w:w="714" w:type="pct"/>
            <w:noWrap/>
            <w:vAlign w:val="bottom"/>
          </w:tcPr>
          <w:p w14:paraId="55DCC15B"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t>1 337</w:t>
            </w:r>
          </w:p>
        </w:tc>
        <w:tc>
          <w:tcPr>
            <w:tcW w:w="714" w:type="pct"/>
            <w:vAlign w:val="bottom"/>
          </w:tcPr>
          <w:p w14:paraId="10F2AF2E"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0,08%</w:t>
            </w:r>
          </w:p>
        </w:tc>
      </w:tr>
      <w:tr w:rsidR="00E5433A" w:rsidRPr="00DE6A6F" w14:paraId="0DCDB85F" w14:textId="77777777" w:rsidTr="00DD5056">
        <w:trPr>
          <w:trHeight w:val="361"/>
          <w:jc w:val="center"/>
        </w:trPr>
        <w:tc>
          <w:tcPr>
            <w:cnfStyle w:val="001000000000" w:firstRow="0" w:lastRow="0" w:firstColumn="1" w:lastColumn="0" w:oddVBand="0" w:evenVBand="0" w:oddHBand="0" w:evenHBand="0" w:firstRowFirstColumn="0" w:firstRowLastColumn="0" w:lastRowFirstColumn="0" w:lastRowLastColumn="0"/>
            <w:tcW w:w="716" w:type="pct"/>
            <w:noWrap/>
            <w:vAlign w:val="bottom"/>
          </w:tcPr>
          <w:p w14:paraId="66A5A968" w14:textId="77777777" w:rsidR="00E5433A" w:rsidRPr="00DE6A6F" w:rsidRDefault="00E5433A" w:rsidP="00DD5056">
            <w:pPr>
              <w:pStyle w:val="Tablehead"/>
              <w:rPr>
                <w:b/>
                <w:szCs w:val="24"/>
              </w:rPr>
            </w:pPr>
            <w:r w:rsidRPr="00DE6A6F">
              <w:rPr>
                <w:b/>
              </w:rPr>
              <w:t>BR</w:t>
            </w:r>
          </w:p>
        </w:tc>
        <w:tc>
          <w:tcPr>
            <w:tcW w:w="715" w:type="pct"/>
            <w:noWrap/>
            <w:vAlign w:val="bottom"/>
          </w:tcPr>
          <w:p w14:paraId="7C60E6AD"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61</w:t>
            </w:r>
          </w:p>
        </w:tc>
        <w:tc>
          <w:tcPr>
            <w:tcW w:w="714" w:type="pct"/>
            <w:vAlign w:val="bottom"/>
          </w:tcPr>
          <w:p w14:paraId="2C7E6A44"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88</w:t>
            </w:r>
          </w:p>
        </w:tc>
        <w:tc>
          <w:tcPr>
            <w:tcW w:w="714" w:type="pct"/>
            <w:vAlign w:val="bottom"/>
          </w:tcPr>
          <w:p w14:paraId="08BF9071"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97</w:t>
            </w:r>
          </w:p>
        </w:tc>
        <w:tc>
          <w:tcPr>
            <w:tcW w:w="714" w:type="pct"/>
            <w:vAlign w:val="bottom"/>
          </w:tcPr>
          <w:p w14:paraId="3814FB72"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b/>
                <w:bCs/>
                <w:szCs w:val="24"/>
              </w:rPr>
            </w:pPr>
            <w:r w:rsidRPr="00DE6A6F">
              <w:t>65</w:t>
            </w:r>
          </w:p>
        </w:tc>
        <w:tc>
          <w:tcPr>
            <w:tcW w:w="714" w:type="pct"/>
            <w:noWrap/>
            <w:vAlign w:val="bottom"/>
          </w:tcPr>
          <w:p w14:paraId="17FF0754"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b/>
                <w:bCs/>
                <w:szCs w:val="24"/>
              </w:rPr>
            </w:pPr>
            <w:r w:rsidRPr="00DE6A6F">
              <w:t>311</w:t>
            </w:r>
          </w:p>
        </w:tc>
        <w:tc>
          <w:tcPr>
            <w:tcW w:w="714" w:type="pct"/>
            <w:vAlign w:val="bottom"/>
          </w:tcPr>
          <w:p w14:paraId="2DC8DCDC" w14:textId="77777777" w:rsidR="00E5433A" w:rsidRPr="00DE6A6F" w:rsidRDefault="00E5433A" w:rsidP="00DD505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DE6A6F">
              <w:t>0,02%</w:t>
            </w:r>
          </w:p>
        </w:tc>
      </w:tr>
      <w:tr w:rsidR="00E5433A" w:rsidRPr="00DE6A6F" w14:paraId="738252D1" w14:textId="77777777" w:rsidTr="00DD5056">
        <w:trPr>
          <w:cnfStyle w:val="000000100000" w:firstRow="0" w:lastRow="0" w:firstColumn="0" w:lastColumn="0" w:oddVBand="0" w:evenVBand="0" w:oddHBand="1" w:evenHBand="0" w:firstRowFirstColumn="0" w:firstRowLastColumn="0" w:lastRowFirstColumn="0" w:lastRowLastColumn="0"/>
          <w:trHeight w:val="511"/>
          <w:jc w:val="center"/>
        </w:trPr>
        <w:tc>
          <w:tcPr>
            <w:cnfStyle w:val="001000000000" w:firstRow="0" w:lastRow="0" w:firstColumn="1" w:lastColumn="0" w:oddVBand="0" w:evenVBand="0" w:oddHBand="0" w:evenHBand="0" w:firstRowFirstColumn="0" w:firstRowLastColumn="0" w:lastRowFirstColumn="0" w:lastRowLastColumn="0"/>
            <w:tcW w:w="716" w:type="pct"/>
            <w:noWrap/>
            <w:hideMark/>
          </w:tcPr>
          <w:p w14:paraId="2826BCD3" w14:textId="77777777" w:rsidR="00E5433A" w:rsidRPr="00DE6A6F" w:rsidRDefault="00E5433A" w:rsidP="00DD5056">
            <w:pPr>
              <w:pStyle w:val="Tablehead"/>
              <w:rPr>
                <w:b/>
                <w:szCs w:val="24"/>
              </w:rPr>
            </w:pPr>
            <w:r w:rsidRPr="00DE6A6F">
              <w:rPr>
                <w:b/>
              </w:rPr>
              <w:t>TOTAL</w:t>
            </w:r>
          </w:p>
        </w:tc>
        <w:tc>
          <w:tcPr>
            <w:tcW w:w="715" w:type="pct"/>
            <w:noWrap/>
          </w:tcPr>
          <w:p w14:paraId="7126B9D9"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rPr>
                <w:b/>
              </w:rPr>
              <w:t>459 521</w:t>
            </w:r>
          </w:p>
        </w:tc>
        <w:tc>
          <w:tcPr>
            <w:tcW w:w="714" w:type="pct"/>
          </w:tcPr>
          <w:p w14:paraId="75B4B9CE"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rPr>
                <w:b/>
              </w:rPr>
              <w:t>380 758</w:t>
            </w:r>
          </w:p>
        </w:tc>
        <w:tc>
          <w:tcPr>
            <w:tcW w:w="714" w:type="pct"/>
          </w:tcPr>
          <w:p w14:paraId="31491D55"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rPr>
                <w:b/>
              </w:rPr>
              <w:t>425 574</w:t>
            </w:r>
          </w:p>
        </w:tc>
        <w:tc>
          <w:tcPr>
            <w:tcW w:w="714" w:type="pct"/>
          </w:tcPr>
          <w:p w14:paraId="5CF70557"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r w:rsidRPr="00DE6A6F">
              <w:rPr>
                <w:b/>
              </w:rPr>
              <w:t>397 694</w:t>
            </w:r>
          </w:p>
        </w:tc>
        <w:tc>
          <w:tcPr>
            <w:tcW w:w="714" w:type="pct"/>
            <w:noWrap/>
          </w:tcPr>
          <w:p w14:paraId="0B94D50B"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b/>
                <w:bCs/>
                <w:szCs w:val="24"/>
              </w:rPr>
            </w:pPr>
            <w:r w:rsidRPr="00DE6A6F">
              <w:rPr>
                <w:b/>
              </w:rPr>
              <w:t>1 663 547</w:t>
            </w:r>
          </w:p>
        </w:tc>
        <w:tc>
          <w:tcPr>
            <w:tcW w:w="714" w:type="pct"/>
          </w:tcPr>
          <w:p w14:paraId="67BDB2D4" w14:textId="77777777" w:rsidR="00E5433A" w:rsidRPr="00DE6A6F" w:rsidRDefault="00E5433A" w:rsidP="00DD505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DE6A6F">
              <w:t>100%</w:t>
            </w:r>
          </w:p>
        </w:tc>
      </w:tr>
    </w:tbl>
    <w:p w14:paraId="69B01A07" w14:textId="77777777" w:rsidR="00E5433A" w:rsidRPr="00DE6A6F" w:rsidRDefault="00E5433A" w:rsidP="00E5433A">
      <w:pPr>
        <w:pStyle w:val="Tablefin"/>
      </w:pPr>
    </w:p>
    <w:p w14:paraId="23E3735C" w14:textId="77777777" w:rsidR="00E5433A" w:rsidRPr="00DE6A6F" w:rsidRDefault="00E5433A" w:rsidP="00E5433A">
      <w:pPr>
        <w:pStyle w:val="Heading4"/>
      </w:pPr>
      <w:r w:rsidRPr="00DE6A6F">
        <w:lastRenderedPageBreak/>
        <w:t>8.1.4.4</w:t>
      </w:r>
      <w:r w:rsidRPr="00DE6A6F">
        <w:tab/>
        <w:t>Manuels</w:t>
      </w:r>
    </w:p>
    <w:p w14:paraId="67CD4AB7" w14:textId="77777777" w:rsidR="00E5433A" w:rsidRPr="00DE6A6F" w:rsidRDefault="00E5433A" w:rsidP="00E5433A">
      <w:pPr>
        <w:keepNext/>
        <w:keepLines/>
      </w:pPr>
      <w:r w:rsidRPr="00DE6A6F">
        <w:t>Les Manuels de l'UIT-R peuvent également être téléchargés gratuitement depuis le site web de l'UIT. Près de cinq cent mille téléchargements ont été enregistrés entre 2021 et 2024. Le Tableau 8.1.4.4-1 illustre la répartition des ventes de Manuels de l'UIT-R de la série portant sur la gestion du spectre et d'autres Manuels.</w:t>
      </w:r>
    </w:p>
    <w:p w14:paraId="49B83475" w14:textId="77777777" w:rsidR="00E5433A" w:rsidRPr="00DE6A6F" w:rsidRDefault="00E5433A" w:rsidP="00E5433A">
      <w:r w:rsidRPr="00DE6A6F">
        <w:t>À ce jour, 48 Manuels de l'UIT-R au total ont été publiés.</w:t>
      </w:r>
    </w:p>
    <w:p w14:paraId="3AC14E83" w14:textId="77777777" w:rsidR="00E5433A" w:rsidRPr="00DE6A6F" w:rsidRDefault="00E5433A" w:rsidP="00E5433A">
      <w:pPr>
        <w:pStyle w:val="TableNo"/>
        <w:spacing w:before="480"/>
      </w:pPr>
      <w:r w:rsidRPr="00DE6A6F">
        <w:t>Tableau 8.1.4.4-1</w:t>
      </w:r>
    </w:p>
    <w:p w14:paraId="24EDC18C" w14:textId="77777777" w:rsidR="00E5433A" w:rsidRPr="00DE6A6F" w:rsidRDefault="00E5433A" w:rsidP="00E5433A">
      <w:pPr>
        <w:pStyle w:val="Tabletitle"/>
      </w:pPr>
      <w:r w:rsidRPr="00DE6A6F">
        <w:t>Répartition des Manuels de l'UIT-R de la série sur la gestion du spectre et des autres Manuels</w:t>
      </w:r>
    </w:p>
    <w:tbl>
      <w:tblPr>
        <w:tblW w:w="9411" w:type="dxa"/>
        <w:jc w:val="center"/>
        <w:tblCellMar>
          <w:left w:w="0" w:type="dxa"/>
          <w:right w:w="0" w:type="dxa"/>
        </w:tblCellMar>
        <w:tblLook w:val="04A0" w:firstRow="1" w:lastRow="0" w:firstColumn="1" w:lastColumn="0" w:noHBand="0" w:noVBand="1"/>
      </w:tblPr>
      <w:tblGrid>
        <w:gridCol w:w="3879"/>
        <w:gridCol w:w="1461"/>
        <w:gridCol w:w="1357"/>
        <w:gridCol w:w="1357"/>
        <w:gridCol w:w="1357"/>
      </w:tblGrid>
      <w:tr w:rsidR="00E5433A" w:rsidRPr="00DE6A6F" w14:paraId="0A2CBB3F" w14:textId="77777777" w:rsidTr="00DD5056">
        <w:trPr>
          <w:trHeight w:val="481"/>
          <w:jc w:val="center"/>
        </w:trPr>
        <w:tc>
          <w:tcPr>
            <w:tcW w:w="3879" w:type="dxa"/>
            <w:tcBorders>
              <w:top w:val="single" w:sz="8" w:space="0" w:color="FFFFFF" w:themeColor="background1"/>
              <w:left w:val="single" w:sz="8" w:space="0" w:color="FFFFFF" w:themeColor="background1"/>
              <w:bottom w:val="single" w:sz="8" w:space="0" w:color="FFFFFF" w:themeColor="background1"/>
              <w:right w:val="nil"/>
            </w:tcBorders>
            <w:shd w:val="clear" w:color="auto" w:fill="4F81BD" w:themeFill="accent1"/>
            <w:tcMar>
              <w:top w:w="0" w:type="dxa"/>
              <w:left w:w="108" w:type="dxa"/>
              <w:bottom w:w="0" w:type="dxa"/>
              <w:right w:w="108" w:type="dxa"/>
            </w:tcMar>
            <w:vAlign w:val="center"/>
            <w:hideMark/>
          </w:tcPr>
          <w:p w14:paraId="5026D60D" w14:textId="77777777" w:rsidR="00E5433A" w:rsidRPr="00DE6A6F" w:rsidRDefault="00E5433A" w:rsidP="00DD5056">
            <w:pPr>
              <w:pStyle w:val="Tablehead"/>
              <w:keepNext w:val="0"/>
              <w:rPr>
                <w:color w:val="FFFFFF" w:themeColor="background1"/>
                <w:szCs w:val="24"/>
              </w:rPr>
            </w:pPr>
            <w:r w:rsidRPr="00DE6A6F">
              <w:rPr>
                <w:color w:val="FFFFFF" w:themeColor="background1"/>
              </w:rPr>
              <w:t>Manuel</w:t>
            </w:r>
          </w:p>
        </w:tc>
        <w:tc>
          <w:tcPr>
            <w:tcW w:w="1461" w:type="dxa"/>
            <w:tcBorders>
              <w:top w:val="single" w:sz="8" w:space="0" w:color="FFFFFF" w:themeColor="background1"/>
              <w:left w:val="nil"/>
              <w:bottom w:val="single" w:sz="8" w:space="0" w:color="FFFFFF" w:themeColor="background1"/>
            </w:tcBorders>
            <w:shd w:val="clear" w:color="auto" w:fill="4F81BD" w:themeFill="accent1"/>
            <w:tcMar>
              <w:top w:w="0" w:type="dxa"/>
              <w:left w:w="108" w:type="dxa"/>
              <w:bottom w:w="0" w:type="dxa"/>
              <w:right w:w="108" w:type="dxa"/>
            </w:tcMar>
            <w:vAlign w:val="center"/>
            <w:hideMark/>
          </w:tcPr>
          <w:p w14:paraId="7CEE816B" w14:textId="77777777" w:rsidR="00E5433A" w:rsidRPr="00DE6A6F" w:rsidRDefault="00E5433A" w:rsidP="00DD5056">
            <w:pPr>
              <w:pStyle w:val="Tablehead"/>
              <w:rPr>
                <w:color w:val="FFFFFF" w:themeColor="background1"/>
                <w:szCs w:val="24"/>
              </w:rPr>
            </w:pPr>
            <w:r w:rsidRPr="00DE6A6F">
              <w:rPr>
                <w:color w:val="FFFFFF" w:themeColor="background1"/>
              </w:rPr>
              <w:t>2021</w:t>
            </w:r>
          </w:p>
        </w:tc>
        <w:tc>
          <w:tcPr>
            <w:tcW w:w="1357" w:type="dxa"/>
            <w:tcBorders>
              <w:top w:val="single" w:sz="8" w:space="0" w:color="FFFFFF" w:themeColor="background1"/>
              <w:bottom w:val="single" w:sz="8" w:space="0" w:color="FFFFFF" w:themeColor="background1"/>
            </w:tcBorders>
            <w:shd w:val="clear" w:color="auto" w:fill="4F81BD" w:themeFill="accent1"/>
            <w:vAlign w:val="center"/>
          </w:tcPr>
          <w:p w14:paraId="64E7D7C3" w14:textId="77777777" w:rsidR="00E5433A" w:rsidRPr="00DE6A6F" w:rsidRDefault="00E5433A" w:rsidP="00DD5056">
            <w:pPr>
              <w:pStyle w:val="Tablehead"/>
              <w:rPr>
                <w:color w:val="FFFFFF" w:themeColor="background1"/>
                <w:szCs w:val="24"/>
              </w:rPr>
            </w:pPr>
            <w:r w:rsidRPr="00DE6A6F">
              <w:rPr>
                <w:color w:val="FFFFFF" w:themeColor="background1"/>
              </w:rPr>
              <w:t>2022</w:t>
            </w:r>
          </w:p>
        </w:tc>
        <w:tc>
          <w:tcPr>
            <w:tcW w:w="1357" w:type="dxa"/>
            <w:tcBorders>
              <w:top w:val="single" w:sz="8" w:space="0" w:color="FFFFFF" w:themeColor="background1"/>
              <w:bottom w:val="single" w:sz="8" w:space="0" w:color="FFFFFF" w:themeColor="background1"/>
              <w:right w:val="single" w:sz="8" w:space="0" w:color="FFFFFF" w:themeColor="background1"/>
            </w:tcBorders>
            <w:shd w:val="clear" w:color="auto" w:fill="4F81BD" w:themeFill="accent1"/>
            <w:vAlign w:val="center"/>
          </w:tcPr>
          <w:p w14:paraId="2D4D3147" w14:textId="77777777" w:rsidR="00E5433A" w:rsidRPr="00DE6A6F" w:rsidRDefault="00E5433A" w:rsidP="00DD5056">
            <w:pPr>
              <w:pStyle w:val="Tablehead"/>
              <w:rPr>
                <w:color w:val="FFFFFF" w:themeColor="background1"/>
                <w:szCs w:val="24"/>
              </w:rPr>
            </w:pPr>
            <w:r w:rsidRPr="00DE6A6F">
              <w:rPr>
                <w:color w:val="FFFFFF" w:themeColor="background1"/>
              </w:rPr>
              <w:t>2023</w:t>
            </w:r>
          </w:p>
        </w:tc>
        <w:tc>
          <w:tcPr>
            <w:tcW w:w="1357" w:type="dxa"/>
            <w:tcBorders>
              <w:top w:val="single" w:sz="8" w:space="0" w:color="FFFFFF" w:themeColor="background1"/>
              <w:bottom w:val="single" w:sz="8" w:space="0" w:color="FFFFFF" w:themeColor="background1"/>
              <w:right w:val="single" w:sz="8" w:space="0" w:color="FFFFFF" w:themeColor="background1"/>
            </w:tcBorders>
            <w:shd w:val="clear" w:color="auto" w:fill="4F81BD" w:themeFill="accent1"/>
            <w:vAlign w:val="center"/>
          </w:tcPr>
          <w:p w14:paraId="056837AE" w14:textId="77777777" w:rsidR="00E5433A" w:rsidRPr="00DE6A6F" w:rsidRDefault="00E5433A" w:rsidP="00DD5056">
            <w:pPr>
              <w:pStyle w:val="Tablehead"/>
              <w:rPr>
                <w:color w:val="FFFFFF" w:themeColor="background1"/>
                <w:szCs w:val="24"/>
              </w:rPr>
            </w:pPr>
            <w:r w:rsidRPr="00DE6A6F">
              <w:rPr>
                <w:color w:val="FFFFFF" w:themeColor="background1"/>
              </w:rPr>
              <w:t>2024</w:t>
            </w:r>
          </w:p>
        </w:tc>
      </w:tr>
      <w:tr w:rsidR="00E5433A" w:rsidRPr="00DE6A6F" w14:paraId="56BE20D3" w14:textId="77777777" w:rsidTr="00DD5056">
        <w:trPr>
          <w:trHeight w:val="510"/>
          <w:jc w:val="center"/>
        </w:trPr>
        <w:tc>
          <w:tcPr>
            <w:tcW w:w="3879" w:type="dxa"/>
            <w:tcBorders>
              <w:top w:val="nil"/>
              <w:left w:val="single" w:sz="8" w:space="0" w:color="FFFFFF" w:themeColor="background1"/>
              <w:bottom w:val="single" w:sz="8" w:space="0" w:color="FFFFFF" w:themeColor="background1"/>
              <w:right w:val="single" w:sz="8" w:space="0" w:color="FFFFFF" w:themeColor="background1"/>
            </w:tcBorders>
            <w:shd w:val="clear" w:color="auto" w:fill="4F81BD" w:themeFill="accent1"/>
            <w:tcMar>
              <w:top w:w="0" w:type="dxa"/>
              <w:left w:w="108" w:type="dxa"/>
              <w:bottom w:w="0" w:type="dxa"/>
              <w:right w:w="108" w:type="dxa"/>
            </w:tcMar>
            <w:vAlign w:val="center"/>
            <w:hideMark/>
          </w:tcPr>
          <w:p w14:paraId="711819BB" w14:textId="77777777" w:rsidR="00E5433A" w:rsidRPr="00DE6A6F" w:rsidRDefault="00E5433A" w:rsidP="00DD5056">
            <w:pPr>
              <w:pStyle w:val="Tablehead"/>
              <w:keepNext w:val="0"/>
              <w:rPr>
                <w:color w:val="FFFFFF" w:themeColor="background1"/>
                <w:szCs w:val="24"/>
              </w:rPr>
            </w:pPr>
            <w:r w:rsidRPr="00DE6A6F">
              <w:rPr>
                <w:color w:val="FFFFFF" w:themeColor="background1"/>
              </w:rPr>
              <w:t>Série sur la gestion du spectre</w:t>
            </w:r>
          </w:p>
          <w:p w14:paraId="449FFD77" w14:textId="77777777" w:rsidR="00E5433A" w:rsidRPr="00DE6A6F" w:rsidRDefault="00E5433A" w:rsidP="00DD5056">
            <w:pPr>
              <w:pStyle w:val="Tablehead"/>
              <w:keepNext w:val="0"/>
              <w:rPr>
                <w:color w:val="FFFFFF" w:themeColor="background1"/>
                <w:szCs w:val="24"/>
              </w:rPr>
            </w:pPr>
            <w:r w:rsidRPr="00DE6A6F">
              <w:rPr>
                <w:color w:val="FFFFFF" w:themeColor="background1"/>
              </w:rPr>
              <w:t>(exemplaires papier vendus)</w:t>
            </w:r>
          </w:p>
        </w:tc>
        <w:tc>
          <w:tcPr>
            <w:tcW w:w="1461" w:type="dxa"/>
            <w:tcBorders>
              <w:top w:val="nil"/>
              <w:left w:val="nil"/>
              <w:bottom w:val="single" w:sz="8" w:space="0" w:color="FFFFFF" w:themeColor="background1"/>
              <w:right w:val="single" w:sz="8" w:space="0" w:color="FFFFFF" w:themeColor="background1"/>
            </w:tcBorders>
            <w:shd w:val="clear" w:color="auto" w:fill="B8CCE4" w:themeFill="accent1" w:themeFillTint="66"/>
            <w:tcMar>
              <w:top w:w="0" w:type="dxa"/>
              <w:left w:w="108" w:type="dxa"/>
              <w:bottom w:w="0" w:type="dxa"/>
              <w:right w:w="108" w:type="dxa"/>
            </w:tcMar>
            <w:vAlign w:val="center"/>
            <w:hideMark/>
          </w:tcPr>
          <w:p w14:paraId="48CB92AD" w14:textId="77777777" w:rsidR="00E5433A" w:rsidRPr="00DE6A6F" w:rsidRDefault="00E5433A" w:rsidP="00DD5056">
            <w:pPr>
              <w:pStyle w:val="Tabletext"/>
              <w:jc w:val="center"/>
              <w:rPr>
                <w:szCs w:val="24"/>
              </w:rPr>
            </w:pPr>
            <w:r w:rsidRPr="00DE6A6F">
              <w:t>5</w:t>
            </w:r>
          </w:p>
        </w:tc>
        <w:tc>
          <w:tcPr>
            <w:tcW w:w="1357" w:type="dxa"/>
            <w:tcBorders>
              <w:top w:val="nil"/>
              <w:left w:val="nil"/>
              <w:bottom w:val="single" w:sz="8" w:space="0" w:color="FFFFFF" w:themeColor="background1"/>
              <w:right w:val="single" w:sz="8" w:space="0" w:color="FFFFFF" w:themeColor="background1"/>
            </w:tcBorders>
            <w:shd w:val="clear" w:color="auto" w:fill="B8CCE4" w:themeFill="accent1" w:themeFillTint="66"/>
            <w:vAlign w:val="center"/>
          </w:tcPr>
          <w:p w14:paraId="44C6C586" w14:textId="77777777" w:rsidR="00E5433A" w:rsidRPr="00DE6A6F" w:rsidRDefault="00E5433A" w:rsidP="00DD5056">
            <w:pPr>
              <w:pStyle w:val="Tabletext"/>
              <w:jc w:val="center"/>
              <w:rPr>
                <w:szCs w:val="24"/>
              </w:rPr>
            </w:pPr>
            <w:r w:rsidRPr="00DE6A6F">
              <w:t>0</w:t>
            </w:r>
          </w:p>
        </w:tc>
        <w:tc>
          <w:tcPr>
            <w:tcW w:w="1357" w:type="dxa"/>
            <w:tcBorders>
              <w:top w:val="nil"/>
              <w:left w:val="nil"/>
              <w:bottom w:val="single" w:sz="8" w:space="0" w:color="FFFFFF" w:themeColor="background1"/>
              <w:right w:val="single" w:sz="8" w:space="0" w:color="FFFFFF" w:themeColor="background1"/>
            </w:tcBorders>
            <w:shd w:val="clear" w:color="auto" w:fill="B8CCE4" w:themeFill="accent1" w:themeFillTint="66"/>
            <w:vAlign w:val="center"/>
          </w:tcPr>
          <w:p w14:paraId="189474E2" w14:textId="77777777" w:rsidR="00E5433A" w:rsidRPr="00DE6A6F" w:rsidRDefault="00E5433A" w:rsidP="00DD5056">
            <w:pPr>
              <w:pStyle w:val="Tabletext"/>
              <w:jc w:val="center"/>
              <w:rPr>
                <w:szCs w:val="24"/>
              </w:rPr>
            </w:pPr>
            <w:r w:rsidRPr="00DE6A6F">
              <w:t>–</w:t>
            </w:r>
          </w:p>
        </w:tc>
        <w:tc>
          <w:tcPr>
            <w:tcW w:w="1357" w:type="dxa"/>
            <w:tcBorders>
              <w:top w:val="nil"/>
              <w:left w:val="nil"/>
              <w:bottom w:val="single" w:sz="8" w:space="0" w:color="FFFFFF" w:themeColor="background1"/>
              <w:right w:val="single" w:sz="8" w:space="0" w:color="FFFFFF" w:themeColor="background1"/>
            </w:tcBorders>
            <w:shd w:val="clear" w:color="auto" w:fill="B8CCE4" w:themeFill="accent1" w:themeFillTint="66"/>
            <w:vAlign w:val="center"/>
          </w:tcPr>
          <w:p w14:paraId="1254B55B" w14:textId="77777777" w:rsidR="00E5433A" w:rsidRPr="00DE6A6F" w:rsidRDefault="00E5433A" w:rsidP="00DD5056">
            <w:pPr>
              <w:pStyle w:val="Tabletext"/>
              <w:jc w:val="center"/>
              <w:rPr>
                <w:szCs w:val="24"/>
              </w:rPr>
            </w:pPr>
            <w:r w:rsidRPr="00DE6A6F">
              <w:t>0</w:t>
            </w:r>
          </w:p>
        </w:tc>
      </w:tr>
      <w:tr w:rsidR="00E5433A" w:rsidRPr="00DE6A6F" w14:paraId="20298F00" w14:textId="77777777" w:rsidTr="00DD5056">
        <w:trPr>
          <w:trHeight w:val="441"/>
          <w:jc w:val="center"/>
        </w:trPr>
        <w:tc>
          <w:tcPr>
            <w:tcW w:w="3879" w:type="dxa"/>
            <w:tcBorders>
              <w:top w:val="nil"/>
              <w:left w:val="single" w:sz="8" w:space="0" w:color="FFFFFF" w:themeColor="background1"/>
              <w:bottom w:val="single" w:sz="8" w:space="0" w:color="FFFFFF" w:themeColor="background1"/>
              <w:right w:val="single" w:sz="8" w:space="0" w:color="FFFFFF" w:themeColor="background1"/>
            </w:tcBorders>
            <w:shd w:val="clear" w:color="auto" w:fill="4F81BD" w:themeFill="accent1"/>
            <w:tcMar>
              <w:top w:w="0" w:type="dxa"/>
              <w:left w:w="108" w:type="dxa"/>
              <w:bottom w:w="0" w:type="dxa"/>
              <w:right w:w="108" w:type="dxa"/>
            </w:tcMar>
            <w:vAlign w:val="center"/>
            <w:hideMark/>
          </w:tcPr>
          <w:p w14:paraId="56FE2467" w14:textId="77777777" w:rsidR="00E5433A" w:rsidRPr="00DE6A6F" w:rsidRDefault="00E5433A" w:rsidP="00DD5056">
            <w:pPr>
              <w:pStyle w:val="Tablehead"/>
              <w:keepNext w:val="0"/>
              <w:rPr>
                <w:color w:val="FFFFFF" w:themeColor="background1"/>
                <w:szCs w:val="24"/>
              </w:rPr>
            </w:pPr>
            <w:r w:rsidRPr="00DE6A6F">
              <w:rPr>
                <w:color w:val="FFFFFF" w:themeColor="background1"/>
              </w:rPr>
              <w:t>Autres manuels</w:t>
            </w:r>
          </w:p>
          <w:p w14:paraId="6EC776E1" w14:textId="77777777" w:rsidR="00E5433A" w:rsidRPr="00DE6A6F" w:rsidRDefault="00E5433A" w:rsidP="00DD5056">
            <w:pPr>
              <w:pStyle w:val="Tablehead"/>
              <w:keepNext w:val="0"/>
              <w:rPr>
                <w:color w:val="FFFFFF" w:themeColor="background1"/>
                <w:szCs w:val="24"/>
              </w:rPr>
            </w:pPr>
            <w:r w:rsidRPr="00DE6A6F">
              <w:rPr>
                <w:color w:val="FFFFFF" w:themeColor="background1"/>
              </w:rPr>
              <w:t>(exemplaires papier vendus)</w:t>
            </w:r>
          </w:p>
        </w:tc>
        <w:tc>
          <w:tcPr>
            <w:tcW w:w="1461" w:type="dxa"/>
            <w:tcBorders>
              <w:top w:val="nil"/>
              <w:left w:val="nil"/>
              <w:bottom w:val="single" w:sz="8" w:space="0" w:color="FFFFFF" w:themeColor="background1"/>
              <w:right w:val="single" w:sz="8" w:space="0" w:color="FFFFFF" w:themeColor="background1"/>
            </w:tcBorders>
            <w:shd w:val="clear" w:color="auto" w:fill="DBE5F1" w:themeFill="accent1" w:themeFillTint="33"/>
            <w:tcMar>
              <w:top w:w="0" w:type="dxa"/>
              <w:left w:w="108" w:type="dxa"/>
              <w:bottom w:w="0" w:type="dxa"/>
              <w:right w:w="108" w:type="dxa"/>
            </w:tcMar>
            <w:vAlign w:val="center"/>
            <w:hideMark/>
          </w:tcPr>
          <w:p w14:paraId="7528926B" w14:textId="77777777" w:rsidR="00E5433A" w:rsidRPr="00DE6A6F" w:rsidRDefault="00E5433A" w:rsidP="00DD5056">
            <w:pPr>
              <w:pStyle w:val="Tabletext"/>
              <w:jc w:val="center"/>
              <w:rPr>
                <w:szCs w:val="24"/>
              </w:rPr>
            </w:pPr>
            <w:r w:rsidRPr="00DE6A6F">
              <w:t>5</w:t>
            </w:r>
          </w:p>
        </w:tc>
        <w:tc>
          <w:tcPr>
            <w:tcW w:w="1357" w:type="dxa"/>
            <w:tcBorders>
              <w:top w:val="nil"/>
              <w:left w:val="nil"/>
              <w:bottom w:val="single" w:sz="8" w:space="0" w:color="FFFFFF" w:themeColor="background1"/>
              <w:right w:val="single" w:sz="8" w:space="0" w:color="FFFFFF" w:themeColor="background1"/>
            </w:tcBorders>
            <w:shd w:val="clear" w:color="auto" w:fill="DBE5F1" w:themeFill="accent1" w:themeFillTint="33"/>
            <w:vAlign w:val="center"/>
          </w:tcPr>
          <w:p w14:paraId="3085F64D" w14:textId="77777777" w:rsidR="00E5433A" w:rsidRPr="00DE6A6F" w:rsidRDefault="00E5433A" w:rsidP="00DD5056">
            <w:pPr>
              <w:pStyle w:val="Tabletext"/>
              <w:jc w:val="center"/>
              <w:rPr>
                <w:szCs w:val="24"/>
              </w:rPr>
            </w:pPr>
            <w:r w:rsidRPr="00DE6A6F">
              <w:t>4</w:t>
            </w:r>
          </w:p>
        </w:tc>
        <w:tc>
          <w:tcPr>
            <w:tcW w:w="1357" w:type="dxa"/>
            <w:tcBorders>
              <w:top w:val="nil"/>
              <w:left w:val="nil"/>
              <w:bottom w:val="single" w:sz="8" w:space="0" w:color="FFFFFF" w:themeColor="background1"/>
              <w:right w:val="single" w:sz="8" w:space="0" w:color="FFFFFF" w:themeColor="background1"/>
            </w:tcBorders>
            <w:shd w:val="clear" w:color="auto" w:fill="DBE5F1" w:themeFill="accent1" w:themeFillTint="33"/>
            <w:vAlign w:val="center"/>
          </w:tcPr>
          <w:p w14:paraId="1E46C350" w14:textId="77777777" w:rsidR="00E5433A" w:rsidRPr="00DE6A6F" w:rsidRDefault="00E5433A" w:rsidP="00DD5056">
            <w:pPr>
              <w:pStyle w:val="Tabletext"/>
              <w:jc w:val="center"/>
              <w:rPr>
                <w:szCs w:val="24"/>
              </w:rPr>
            </w:pPr>
            <w:r w:rsidRPr="00DE6A6F">
              <w:t>–</w:t>
            </w:r>
          </w:p>
        </w:tc>
        <w:tc>
          <w:tcPr>
            <w:tcW w:w="1357" w:type="dxa"/>
            <w:tcBorders>
              <w:top w:val="nil"/>
              <w:left w:val="nil"/>
              <w:bottom w:val="single" w:sz="8" w:space="0" w:color="FFFFFF" w:themeColor="background1"/>
              <w:right w:val="single" w:sz="8" w:space="0" w:color="FFFFFF" w:themeColor="background1"/>
            </w:tcBorders>
            <w:shd w:val="clear" w:color="auto" w:fill="DBE5F1" w:themeFill="accent1" w:themeFillTint="33"/>
            <w:vAlign w:val="center"/>
          </w:tcPr>
          <w:p w14:paraId="1BBF97A6" w14:textId="77777777" w:rsidR="00E5433A" w:rsidRPr="00DE6A6F" w:rsidRDefault="00E5433A" w:rsidP="00DD5056">
            <w:pPr>
              <w:pStyle w:val="Tabletext"/>
              <w:jc w:val="center"/>
              <w:rPr>
                <w:szCs w:val="24"/>
              </w:rPr>
            </w:pPr>
            <w:r w:rsidRPr="00DE6A6F">
              <w:t>0</w:t>
            </w:r>
          </w:p>
        </w:tc>
      </w:tr>
      <w:tr w:rsidR="00E5433A" w:rsidRPr="00DE6A6F" w14:paraId="1636D64A" w14:textId="77777777" w:rsidTr="00DD5056">
        <w:trPr>
          <w:trHeight w:val="248"/>
          <w:jc w:val="center"/>
        </w:trPr>
        <w:tc>
          <w:tcPr>
            <w:tcW w:w="3879" w:type="dxa"/>
            <w:tcBorders>
              <w:top w:val="single" w:sz="8"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4F81BD" w:themeFill="accent1"/>
            <w:tcMar>
              <w:top w:w="0" w:type="dxa"/>
              <w:left w:w="108" w:type="dxa"/>
              <w:bottom w:w="0" w:type="dxa"/>
              <w:right w:w="108" w:type="dxa"/>
            </w:tcMar>
            <w:vAlign w:val="center"/>
            <w:hideMark/>
          </w:tcPr>
          <w:p w14:paraId="755FC8B7" w14:textId="77777777" w:rsidR="00E5433A" w:rsidRPr="00DE6A6F" w:rsidRDefault="00E5433A" w:rsidP="00DD5056">
            <w:pPr>
              <w:pStyle w:val="Tablehead"/>
              <w:keepNext w:val="0"/>
              <w:rPr>
                <w:color w:val="FFFFFF" w:themeColor="background1"/>
                <w:szCs w:val="24"/>
              </w:rPr>
            </w:pPr>
            <w:r w:rsidRPr="00DE6A6F">
              <w:rPr>
                <w:color w:val="FFFFFF" w:themeColor="background1"/>
              </w:rPr>
              <w:t>Total</w:t>
            </w:r>
          </w:p>
        </w:tc>
        <w:tc>
          <w:tcPr>
            <w:tcW w:w="1461" w:type="dxa"/>
            <w:tcBorders>
              <w:top w:val="single" w:sz="8" w:space="0" w:color="FFFFFF" w:themeColor="background1"/>
              <w:left w:val="nil"/>
              <w:bottom w:val="single" w:sz="4" w:space="0" w:color="FFFFFF" w:themeColor="background1"/>
              <w:right w:val="single" w:sz="8" w:space="0" w:color="FFFFFF" w:themeColor="background1"/>
            </w:tcBorders>
            <w:shd w:val="clear" w:color="auto" w:fill="B8CCE4" w:themeFill="accent1" w:themeFillTint="66"/>
            <w:tcMar>
              <w:top w:w="0" w:type="dxa"/>
              <w:left w:w="108" w:type="dxa"/>
              <w:bottom w:w="0" w:type="dxa"/>
              <w:right w:w="108" w:type="dxa"/>
            </w:tcMar>
            <w:vAlign w:val="center"/>
            <w:hideMark/>
          </w:tcPr>
          <w:p w14:paraId="76A40CE3" w14:textId="77777777" w:rsidR="00E5433A" w:rsidRPr="00DE6A6F" w:rsidRDefault="00E5433A" w:rsidP="00DD5056">
            <w:pPr>
              <w:pStyle w:val="Tabletext"/>
              <w:jc w:val="center"/>
              <w:rPr>
                <w:b/>
                <w:szCs w:val="24"/>
              </w:rPr>
            </w:pPr>
            <w:r w:rsidRPr="00DE6A6F">
              <w:rPr>
                <w:b/>
              </w:rPr>
              <w:t>10</w:t>
            </w:r>
          </w:p>
        </w:tc>
        <w:tc>
          <w:tcPr>
            <w:tcW w:w="1357" w:type="dxa"/>
            <w:tcBorders>
              <w:top w:val="single" w:sz="8" w:space="0" w:color="FFFFFF" w:themeColor="background1"/>
              <w:left w:val="nil"/>
              <w:bottom w:val="single" w:sz="4" w:space="0" w:color="FFFFFF" w:themeColor="background1"/>
              <w:right w:val="single" w:sz="8" w:space="0" w:color="FFFFFF" w:themeColor="background1"/>
            </w:tcBorders>
            <w:shd w:val="clear" w:color="auto" w:fill="B8CCE4" w:themeFill="accent1" w:themeFillTint="66"/>
            <w:vAlign w:val="center"/>
          </w:tcPr>
          <w:p w14:paraId="0E8F5CC6" w14:textId="77777777" w:rsidR="00E5433A" w:rsidRPr="00DE6A6F" w:rsidRDefault="00E5433A" w:rsidP="00DD5056">
            <w:pPr>
              <w:pStyle w:val="Tabletext"/>
              <w:jc w:val="center"/>
              <w:rPr>
                <w:b/>
                <w:szCs w:val="24"/>
              </w:rPr>
            </w:pPr>
            <w:r w:rsidRPr="00DE6A6F">
              <w:rPr>
                <w:b/>
              </w:rPr>
              <w:t>4</w:t>
            </w:r>
          </w:p>
        </w:tc>
        <w:tc>
          <w:tcPr>
            <w:tcW w:w="1357" w:type="dxa"/>
            <w:tcBorders>
              <w:top w:val="single" w:sz="8" w:space="0" w:color="FFFFFF" w:themeColor="background1"/>
              <w:left w:val="nil"/>
              <w:bottom w:val="single" w:sz="4" w:space="0" w:color="FFFFFF" w:themeColor="background1"/>
              <w:right w:val="single" w:sz="8" w:space="0" w:color="FFFFFF" w:themeColor="background1"/>
            </w:tcBorders>
            <w:shd w:val="clear" w:color="auto" w:fill="B8CCE4" w:themeFill="accent1" w:themeFillTint="66"/>
            <w:vAlign w:val="center"/>
          </w:tcPr>
          <w:p w14:paraId="2CE6D898" w14:textId="77777777" w:rsidR="00E5433A" w:rsidRPr="00DE6A6F" w:rsidRDefault="00E5433A" w:rsidP="00DD5056">
            <w:pPr>
              <w:pStyle w:val="Tabletext"/>
              <w:jc w:val="center"/>
              <w:rPr>
                <w:b/>
                <w:szCs w:val="24"/>
              </w:rPr>
            </w:pPr>
            <w:r w:rsidRPr="00DE6A6F">
              <w:t>–</w:t>
            </w:r>
          </w:p>
        </w:tc>
        <w:tc>
          <w:tcPr>
            <w:tcW w:w="1357" w:type="dxa"/>
            <w:tcBorders>
              <w:top w:val="single" w:sz="8" w:space="0" w:color="FFFFFF" w:themeColor="background1"/>
              <w:left w:val="nil"/>
              <w:bottom w:val="single" w:sz="4" w:space="0" w:color="FFFFFF" w:themeColor="background1"/>
              <w:right w:val="single" w:sz="8" w:space="0" w:color="FFFFFF" w:themeColor="background1"/>
            </w:tcBorders>
            <w:shd w:val="clear" w:color="auto" w:fill="B8CCE4" w:themeFill="accent1" w:themeFillTint="66"/>
            <w:vAlign w:val="center"/>
          </w:tcPr>
          <w:p w14:paraId="2F100FB1" w14:textId="77777777" w:rsidR="00E5433A" w:rsidRPr="00DE6A6F" w:rsidRDefault="00E5433A" w:rsidP="00DD5056">
            <w:pPr>
              <w:pStyle w:val="Tabletext"/>
              <w:jc w:val="center"/>
              <w:rPr>
                <w:b/>
                <w:szCs w:val="24"/>
              </w:rPr>
            </w:pPr>
            <w:r w:rsidRPr="00DE6A6F">
              <w:rPr>
                <w:b/>
              </w:rPr>
              <w:t>0</w:t>
            </w:r>
          </w:p>
        </w:tc>
      </w:tr>
      <w:tr w:rsidR="00E5433A" w:rsidRPr="00DE6A6F" w14:paraId="75D66D3F" w14:textId="77777777" w:rsidTr="00DD5056">
        <w:trPr>
          <w:trHeight w:val="248"/>
          <w:jc w:val="center"/>
        </w:trPr>
        <w:tc>
          <w:tcPr>
            <w:tcW w:w="3879" w:type="dxa"/>
            <w:tcBorders>
              <w:top w:val="single" w:sz="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F81BD" w:themeFill="accent1"/>
            <w:tcMar>
              <w:top w:w="0" w:type="dxa"/>
              <w:left w:w="108" w:type="dxa"/>
              <w:bottom w:w="0" w:type="dxa"/>
              <w:right w:w="108" w:type="dxa"/>
            </w:tcMar>
            <w:vAlign w:val="center"/>
          </w:tcPr>
          <w:p w14:paraId="50C79851" w14:textId="77777777" w:rsidR="00E5433A" w:rsidRPr="00DE6A6F" w:rsidRDefault="00E5433A" w:rsidP="00DD5056">
            <w:pPr>
              <w:pStyle w:val="Tablehead"/>
              <w:keepNext w:val="0"/>
              <w:rPr>
                <w:color w:val="FFFFFF" w:themeColor="background1"/>
                <w:szCs w:val="24"/>
              </w:rPr>
            </w:pPr>
            <w:r w:rsidRPr="00DE6A6F">
              <w:rPr>
                <w:color w:val="FFFFFF" w:themeColor="background1"/>
              </w:rPr>
              <w:t>Téléchargements gratuits</w:t>
            </w:r>
          </w:p>
        </w:tc>
        <w:tc>
          <w:tcPr>
            <w:tcW w:w="1461" w:type="dxa"/>
            <w:tcBorders>
              <w:top w:val="single" w:sz="4" w:space="0" w:color="FFFFFF" w:themeColor="background1"/>
              <w:left w:val="nil"/>
              <w:bottom w:val="single" w:sz="8" w:space="0" w:color="FFFFFF" w:themeColor="background1"/>
              <w:right w:val="single" w:sz="8" w:space="0" w:color="FFFFFF" w:themeColor="background1"/>
            </w:tcBorders>
            <w:shd w:val="clear" w:color="auto" w:fill="B8CCE4" w:themeFill="accent1" w:themeFillTint="66"/>
            <w:tcMar>
              <w:top w:w="0" w:type="dxa"/>
              <w:left w:w="108" w:type="dxa"/>
              <w:bottom w:w="0" w:type="dxa"/>
              <w:right w:w="108" w:type="dxa"/>
            </w:tcMar>
            <w:vAlign w:val="center"/>
          </w:tcPr>
          <w:p w14:paraId="142B478D" w14:textId="77777777" w:rsidR="00E5433A" w:rsidRPr="00DE6A6F" w:rsidRDefault="00E5433A" w:rsidP="00DD5056">
            <w:pPr>
              <w:pStyle w:val="Tabletext"/>
              <w:jc w:val="center"/>
              <w:rPr>
                <w:b/>
                <w:szCs w:val="24"/>
              </w:rPr>
            </w:pPr>
            <w:r w:rsidRPr="00DE6A6F">
              <w:rPr>
                <w:b/>
              </w:rPr>
              <w:t>126 201</w:t>
            </w:r>
          </w:p>
        </w:tc>
        <w:tc>
          <w:tcPr>
            <w:tcW w:w="1357" w:type="dxa"/>
            <w:tcBorders>
              <w:top w:val="single" w:sz="4" w:space="0" w:color="FFFFFF" w:themeColor="background1"/>
              <w:left w:val="nil"/>
              <w:bottom w:val="single" w:sz="8" w:space="0" w:color="FFFFFF" w:themeColor="background1"/>
              <w:right w:val="single" w:sz="8" w:space="0" w:color="FFFFFF" w:themeColor="background1"/>
            </w:tcBorders>
            <w:shd w:val="clear" w:color="auto" w:fill="B8CCE4" w:themeFill="accent1" w:themeFillTint="66"/>
            <w:vAlign w:val="center"/>
          </w:tcPr>
          <w:p w14:paraId="5B64A3D1" w14:textId="77777777" w:rsidR="00E5433A" w:rsidRPr="00DE6A6F" w:rsidRDefault="00E5433A" w:rsidP="00DD5056">
            <w:pPr>
              <w:pStyle w:val="Tabletext"/>
              <w:jc w:val="center"/>
              <w:rPr>
                <w:b/>
                <w:szCs w:val="24"/>
              </w:rPr>
            </w:pPr>
            <w:r w:rsidRPr="00DE6A6F">
              <w:rPr>
                <w:b/>
              </w:rPr>
              <w:t>134 159</w:t>
            </w:r>
          </w:p>
        </w:tc>
        <w:tc>
          <w:tcPr>
            <w:tcW w:w="1357" w:type="dxa"/>
            <w:tcBorders>
              <w:top w:val="single" w:sz="4" w:space="0" w:color="FFFFFF" w:themeColor="background1"/>
              <w:left w:val="nil"/>
              <w:bottom w:val="single" w:sz="8" w:space="0" w:color="FFFFFF" w:themeColor="background1"/>
              <w:right w:val="single" w:sz="8" w:space="0" w:color="FFFFFF" w:themeColor="background1"/>
            </w:tcBorders>
            <w:shd w:val="clear" w:color="auto" w:fill="B8CCE4" w:themeFill="accent1" w:themeFillTint="66"/>
            <w:vAlign w:val="center"/>
          </w:tcPr>
          <w:p w14:paraId="3EED8096" w14:textId="77777777" w:rsidR="00E5433A" w:rsidRPr="00DE6A6F" w:rsidRDefault="00E5433A" w:rsidP="00DD5056">
            <w:pPr>
              <w:pStyle w:val="Tabletext"/>
              <w:jc w:val="center"/>
              <w:rPr>
                <w:b/>
                <w:szCs w:val="24"/>
              </w:rPr>
            </w:pPr>
            <w:r w:rsidRPr="00DE6A6F">
              <w:rPr>
                <w:b/>
              </w:rPr>
              <w:t>143 478</w:t>
            </w:r>
          </w:p>
        </w:tc>
        <w:tc>
          <w:tcPr>
            <w:tcW w:w="1357" w:type="dxa"/>
            <w:tcBorders>
              <w:top w:val="single" w:sz="4" w:space="0" w:color="FFFFFF" w:themeColor="background1"/>
              <w:left w:val="nil"/>
              <w:bottom w:val="single" w:sz="8" w:space="0" w:color="FFFFFF" w:themeColor="background1"/>
              <w:right w:val="single" w:sz="8" w:space="0" w:color="FFFFFF" w:themeColor="background1"/>
            </w:tcBorders>
            <w:shd w:val="clear" w:color="auto" w:fill="B8CCE4" w:themeFill="accent1" w:themeFillTint="66"/>
            <w:vAlign w:val="center"/>
          </w:tcPr>
          <w:p w14:paraId="386AD767" w14:textId="77777777" w:rsidR="00E5433A" w:rsidRPr="00DE6A6F" w:rsidRDefault="00E5433A" w:rsidP="00DD5056">
            <w:pPr>
              <w:pStyle w:val="Tabletext"/>
              <w:jc w:val="center"/>
              <w:rPr>
                <w:b/>
                <w:szCs w:val="24"/>
              </w:rPr>
            </w:pPr>
            <w:r w:rsidRPr="00DE6A6F">
              <w:rPr>
                <w:b/>
              </w:rPr>
              <w:t>97 290</w:t>
            </w:r>
          </w:p>
        </w:tc>
      </w:tr>
    </w:tbl>
    <w:p w14:paraId="3E29FA21" w14:textId="77777777" w:rsidR="00E5433A" w:rsidRPr="00DE6A6F" w:rsidRDefault="00E5433A" w:rsidP="00E5433A">
      <w:pPr>
        <w:pStyle w:val="Tablefin"/>
      </w:pPr>
    </w:p>
    <w:p w14:paraId="6B6DA1B9" w14:textId="77777777" w:rsidR="00E5433A" w:rsidRPr="00DE6A6F" w:rsidRDefault="00E5433A" w:rsidP="00E5433A">
      <w:pPr>
        <w:pStyle w:val="Heading4"/>
      </w:pPr>
      <w:r w:rsidRPr="00DE6A6F">
        <w:t>8.1.4.5</w:t>
      </w:r>
      <w:r w:rsidRPr="00DE6A6F">
        <w:tab/>
        <w:t>Manuel maritime</w:t>
      </w:r>
    </w:p>
    <w:p w14:paraId="67E218F6" w14:textId="77777777" w:rsidR="00E5433A" w:rsidRPr="00DE6A6F" w:rsidRDefault="00E5433A" w:rsidP="00E5433A">
      <w:r w:rsidRPr="00DE6A6F">
        <w:t>En ce qui concerne ces publications de service, on trouvera dans le Tableau 8.1.4.5-1 le nombre de livraisons des éditions de 2020 et de 2024 du Manuel maritime. L'édition de 2024 a été publiée en décembre 2024 et est disponible à la vente en CD-ROM, en clé USB, au format numérique ou en version papier.</w:t>
      </w:r>
    </w:p>
    <w:p w14:paraId="67E47ECA" w14:textId="77777777" w:rsidR="00E5433A" w:rsidRPr="00DE6A6F" w:rsidRDefault="00E5433A" w:rsidP="00E5433A">
      <w:pPr>
        <w:pStyle w:val="TableNo"/>
        <w:keepNext w:val="0"/>
        <w:spacing w:before="360"/>
      </w:pPr>
      <w:r w:rsidRPr="00DE6A6F">
        <w:t>Tableau 8.1.4.5-1</w:t>
      </w:r>
    </w:p>
    <w:tbl>
      <w:tblPr>
        <w:tblStyle w:val="GridTable5Dark-Accent1"/>
        <w:tblW w:w="0" w:type="auto"/>
        <w:tblInd w:w="135" w:type="dxa"/>
        <w:tblLayout w:type="fixed"/>
        <w:tblLook w:val="04A0" w:firstRow="1" w:lastRow="0" w:firstColumn="1" w:lastColumn="0" w:noHBand="0" w:noVBand="1"/>
      </w:tblPr>
      <w:tblGrid>
        <w:gridCol w:w="1855"/>
        <w:gridCol w:w="1790"/>
        <w:gridCol w:w="1558"/>
        <w:gridCol w:w="1516"/>
        <w:gridCol w:w="2731"/>
      </w:tblGrid>
      <w:tr w:rsidR="00E5433A" w:rsidRPr="00DE6A6F" w14:paraId="6EE2148C" w14:textId="77777777" w:rsidTr="00DD5056">
        <w:trPr>
          <w:cnfStyle w:val="100000000000" w:firstRow="1" w:lastRow="0" w:firstColumn="0" w:lastColumn="0" w:oddVBand="0" w:evenVBand="0" w:oddHBand="0"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855" w:type="dxa"/>
            <w:tcBorders>
              <w:top w:val="single" w:sz="8" w:space="0" w:color="FFFFFF" w:themeColor="background1"/>
              <w:left w:val="single" w:sz="8" w:space="0" w:color="FFFFFF" w:themeColor="background1"/>
              <w:bottom w:val="single" w:sz="8" w:space="0" w:color="FFFFFF" w:themeColor="background1"/>
            </w:tcBorders>
            <w:tcMar>
              <w:left w:w="108" w:type="dxa"/>
              <w:right w:w="108" w:type="dxa"/>
            </w:tcMar>
          </w:tcPr>
          <w:p w14:paraId="43E0FB07" w14:textId="77777777" w:rsidR="00E5433A" w:rsidRPr="00DE6A6F" w:rsidRDefault="00E5433A" w:rsidP="00E5433A">
            <w:pPr>
              <w:pStyle w:val="Tablehead"/>
              <w:keepNext w:val="0"/>
              <w:rPr>
                <w:b/>
                <w:bCs w:val="0"/>
              </w:rPr>
            </w:pPr>
          </w:p>
        </w:tc>
        <w:tc>
          <w:tcPr>
            <w:tcW w:w="1790" w:type="dxa"/>
            <w:tcBorders>
              <w:top w:val="single" w:sz="8" w:space="0" w:color="FFFFFF" w:themeColor="background1"/>
              <w:bottom w:val="single" w:sz="8" w:space="0" w:color="FFFFFF" w:themeColor="background1"/>
            </w:tcBorders>
            <w:tcMar>
              <w:left w:w="108" w:type="dxa"/>
              <w:right w:w="108" w:type="dxa"/>
            </w:tcMar>
          </w:tcPr>
          <w:p w14:paraId="290B07BF" w14:textId="77777777" w:rsidR="00E5433A" w:rsidRPr="00DE6A6F" w:rsidRDefault="00E5433A" w:rsidP="00E5433A">
            <w:pPr>
              <w:pStyle w:val="Tablehead"/>
              <w:keepNext w:val="0"/>
              <w:cnfStyle w:val="100000000000" w:firstRow="1" w:lastRow="0" w:firstColumn="0" w:lastColumn="0" w:oddVBand="0" w:evenVBand="0" w:oddHBand="0" w:evenHBand="0" w:firstRowFirstColumn="0" w:firstRowLastColumn="0" w:lastRowFirstColumn="0" w:lastRowLastColumn="0"/>
              <w:rPr>
                <w:b/>
                <w:bCs w:val="0"/>
              </w:rPr>
            </w:pPr>
            <w:r w:rsidRPr="00DE6A6F">
              <w:rPr>
                <w:b/>
                <w:bCs w:val="0"/>
              </w:rPr>
              <w:t>2021</w:t>
            </w:r>
            <w:r w:rsidRPr="00DE6A6F">
              <w:rPr>
                <w:b/>
                <w:bCs w:val="0"/>
              </w:rPr>
              <w:br/>
              <w:t>Édition de 2020 du Manuel maritime</w:t>
            </w:r>
          </w:p>
        </w:tc>
        <w:tc>
          <w:tcPr>
            <w:tcW w:w="1558" w:type="dxa"/>
            <w:tcBorders>
              <w:top w:val="single" w:sz="8" w:space="0" w:color="FFFFFF" w:themeColor="background1"/>
              <w:bottom w:val="single" w:sz="8" w:space="0" w:color="FFFFFF" w:themeColor="background1"/>
            </w:tcBorders>
            <w:tcMar>
              <w:left w:w="108" w:type="dxa"/>
              <w:right w:w="108" w:type="dxa"/>
            </w:tcMar>
          </w:tcPr>
          <w:p w14:paraId="2734F9D0" w14:textId="77777777" w:rsidR="00E5433A" w:rsidRPr="00DE6A6F" w:rsidRDefault="00E5433A" w:rsidP="00E5433A">
            <w:pPr>
              <w:pStyle w:val="Tablehead"/>
              <w:keepNext w:val="0"/>
              <w:cnfStyle w:val="100000000000" w:firstRow="1" w:lastRow="0" w:firstColumn="0" w:lastColumn="0" w:oddVBand="0" w:evenVBand="0" w:oddHBand="0" w:evenHBand="0" w:firstRowFirstColumn="0" w:firstRowLastColumn="0" w:lastRowFirstColumn="0" w:lastRowLastColumn="0"/>
              <w:rPr>
                <w:b/>
                <w:bCs w:val="0"/>
              </w:rPr>
            </w:pPr>
            <w:r w:rsidRPr="00DE6A6F">
              <w:rPr>
                <w:b/>
                <w:bCs w:val="0"/>
              </w:rPr>
              <w:t>2022</w:t>
            </w:r>
            <w:r w:rsidRPr="00DE6A6F">
              <w:rPr>
                <w:b/>
                <w:bCs w:val="0"/>
              </w:rPr>
              <w:br/>
              <w:t>Édition de 2020 du Manuel maritime</w:t>
            </w:r>
          </w:p>
        </w:tc>
        <w:tc>
          <w:tcPr>
            <w:tcW w:w="1516" w:type="dxa"/>
            <w:tcBorders>
              <w:top w:val="single" w:sz="8" w:space="0" w:color="FFFFFF" w:themeColor="background1"/>
              <w:bottom w:val="single" w:sz="8" w:space="0" w:color="FFFFFF" w:themeColor="background1"/>
            </w:tcBorders>
            <w:tcMar>
              <w:left w:w="108" w:type="dxa"/>
              <w:right w:w="108" w:type="dxa"/>
            </w:tcMar>
          </w:tcPr>
          <w:p w14:paraId="366068B8" w14:textId="77777777" w:rsidR="00E5433A" w:rsidRPr="00DE6A6F" w:rsidRDefault="00E5433A" w:rsidP="00E5433A">
            <w:pPr>
              <w:pStyle w:val="Tablehead"/>
              <w:keepNext w:val="0"/>
              <w:cnfStyle w:val="100000000000" w:firstRow="1" w:lastRow="0" w:firstColumn="0" w:lastColumn="0" w:oddVBand="0" w:evenVBand="0" w:oddHBand="0" w:evenHBand="0" w:firstRowFirstColumn="0" w:firstRowLastColumn="0" w:lastRowFirstColumn="0" w:lastRowLastColumn="0"/>
              <w:rPr>
                <w:b/>
                <w:bCs w:val="0"/>
              </w:rPr>
            </w:pPr>
            <w:r w:rsidRPr="00DE6A6F">
              <w:rPr>
                <w:b/>
                <w:bCs w:val="0"/>
              </w:rPr>
              <w:t>2023</w:t>
            </w:r>
            <w:r w:rsidRPr="00DE6A6F">
              <w:rPr>
                <w:b/>
                <w:bCs w:val="0"/>
              </w:rPr>
              <w:br/>
              <w:t xml:space="preserve">Édition de 2020 du Manuel maritime </w:t>
            </w:r>
          </w:p>
        </w:tc>
        <w:tc>
          <w:tcPr>
            <w:tcW w:w="2731" w:type="dxa"/>
            <w:tcBorders>
              <w:top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B9E319D" w14:textId="77777777" w:rsidR="00E5433A" w:rsidRPr="00DE6A6F" w:rsidRDefault="00E5433A" w:rsidP="00E5433A">
            <w:pPr>
              <w:pStyle w:val="Tablehead"/>
              <w:keepNext w:val="0"/>
              <w:cnfStyle w:val="100000000000" w:firstRow="1" w:lastRow="0" w:firstColumn="0" w:lastColumn="0" w:oddVBand="0" w:evenVBand="0" w:oddHBand="0" w:evenHBand="0" w:firstRowFirstColumn="0" w:firstRowLastColumn="0" w:lastRowFirstColumn="0" w:lastRowLastColumn="0"/>
              <w:rPr>
                <w:b/>
                <w:bCs w:val="0"/>
              </w:rPr>
            </w:pPr>
            <w:r w:rsidRPr="00DE6A6F">
              <w:rPr>
                <w:b/>
                <w:bCs w:val="0"/>
              </w:rPr>
              <w:t>2024</w:t>
            </w:r>
            <w:r w:rsidRPr="00DE6A6F">
              <w:rPr>
                <w:b/>
                <w:bCs w:val="0"/>
              </w:rPr>
              <w:br/>
              <w:t>Éditions de 2020 et de 2024 du Manuel maritime</w:t>
            </w:r>
          </w:p>
        </w:tc>
      </w:tr>
      <w:tr w:rsidR="00E5433A" w:rsidRPr="00DE6A6F" w14:paraId="319D798A" w14:textId="77777777" w:rsidTr="00DD505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23B27C2" w14:textId="77777777" w:rsidR="00E5433A" w:rsidRPr="00DE6A6F" w:rsidRDefault="00E5433A" w:rsidP="00E5433A">
            <w:pPr>
              <w:pStyle w:val="Tablehead"/>
              <w:keepNext w:val="0"/>
              <w:rPr>
                <w:b/>
                <w:bCs w:val="0"/>
                <w:szCs w:val="24"/>
              </w:rPr>
            </w:pPr>
            <w:r w:rsidRPr="00DE6A6F">
              <w:rPr>
                <w:b/>
                <w:bCs w:val="0"/>
              </w:rPr>
              <w:t>Exemplaires papier vendus</w:t>
            </w:r>
          </w:p>
        </w:tc>
        <w:tc>
          <w:tcPr>
            <w:tcW w:w="17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27122B4" w14:textId="77777777" w:rsidR="00E5433A" w:rsidRPr="00DE6A6F" w:rsidRDefault="00E5433A" w:rsidP="00E5433A">
            <w:pPr>
              <w:pStyle w:val="Tabletext"/>
              <w:jc w:val="center"/>
              <w:cnfStyle w:val="000000100000" w:firstRow="0" w:lastRow="0" w:firstColumn="0" w:lastColumn="0" w:oddVBand="0" w:evenVBand="0" w:oddHBand="1" w:evenHBand="0" w:firstRowFirstColumn="0" w:firstRowLastColumn="0" w:lastRowFirstColumn="0" w:lastRowLastColumn="0"/>
              <w:rPr>
                <w:szCs w:val="24"/>
              </w:rPr>
            </w:pPr>
            <w:r w:rsidRPr="00DE6A6F">
              <w:t>1 396</w:t>
            </w:r>
          </w:p>
        </w:tc>
        <w:tc>
          <w:tcPr>
            <w:tcW w:w="1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94D3C84" w14:textId="77777777" w:rsidR="00E5433A" w:rsidRPr="00DE6A6F" w:rsidRDefault="00E5433A" w:rsidP="00E5433A">
            <w:pPr>
              <w:pStyle w:val="Tabletext"/>
              <w:jc w:val="center"/>
              <w:cnfStyle w:val="000000100000" w:firstRow="0" w:lastRow="0" w:firstColumn="0" w:lastColumn="0" w:oddVBand="0" w:evenVBand="0" w:oddHBand="1" w:evenHBand="0" w:firstRowFirstColumn="0" w:firstRowLastColumn="0" w:lastRowFirstColumn="0" w:lastRowLastColumn="0"/>
              <w:rPr>
                <w:szCs w:val="24"/>
              </w:rPr>
            </w:pPr>
            <w:r w:rsidRPr="00DE6A6F">
              <w:t>189</w:t>
            </w:r>
          </w:p>
        </w:tc>
        <w:tc>
          <w:tcPr>
            <w:tcW w:w="15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31767BA" w14:textId="77777777" w:rsidR="00E5433A" w:rsidRPr="00DE6A6F" w:rsidRDefault="00E5433A" w:rsidP="00E5433A">
            <w:pPr>
              <w:pStyle w:val="Tabletext"/>
              <w:jc w:val="center"/>
              <w:cnfStyle w:val="000000100000" w:firstRow="0" w:lastRow="0" w:firstColumn="0" w:lastColumn="0" w:oddVBand="0" w:evenVBand="0" w:oddHBand="1" w:evenHBand="0" w:firstRowFirstColumn="0" w:firstRowLastColumn="0" w:lastRowFirstColumn="0" w:lastRowLastColumn="0"/>
              <w:rPr>
                <w:szCs w:val="24"/>
              </w:rPr>
            </w:pPr>
            <w:r w:rsidRPr="00DE6A6F">
              <w:t>73</w:t>
            </w:r>
          </w:p>
        </w:tc>
        <w:tc>
          <w:tcPr>
            <w:tcW w:w="273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3F300E6" w14:textId="77777777" w:rsidR="00E5433A" w:rsidRPr="00DE6A6F" w:rsidRDefault="00E5433A" w:rsidP="00E5433A">
            <w:pPr>
              <w:pStyle w:val="Tabletext"/>
              <w:jc w:val="center"/>
              <w:cnfStyle w:val="000000100000" w:firstRow="0" w:lastRow="0" w:firstColumn="0" w:lastColumn="0" w:oddVBand="0" w:evenVBand="0" w:oddHBand="1" w:evenHBand="0" w:firstRowFirstColumn="0" w:firstRowLastColumn="0" w:lastRowFirstColumn="0" w:lastRowLastColumn="0"/>
              <w:rPr>
                <w:szCs w:val="24"/>
              </w:rPr>
            </w:pPr>
            <w:r w:rsidRPr="00DE6A6F">
              <w:t>Édition de 2020: 64</w:t>
            </w:r>
          </w:p>
          <w:p w14:paraId="1C761F1F" w14:textId="77777777" w:rsidR="00E5433A" w:rsidRPr="00DE6A6F" w:rsidRDefault="00E5433A" w:rsidP="00E5433A">
            <w:pPr>
              <w:pStyle w:val="Tabletext"/>
              <w:jc w:val="center"/>
              <w:cnfStyle w:val="000000100000" w:firstRow="0" w:lastRow="0" w:firstColumn="0" w:lastColumn="0" w:oddVBand="0" w:evenVBand="0" w:oddHBand="1" w:evenHBand="0" w:firstRowFirstColumn="0" w:firstRowLastColumn="0" w:lastRowFirstColumn="0" w:lastRowLastColumn="0"/>
              <w:rPr>
                <w:szCs w:val="24"/>
              </w:rPr>
            </w:pPr>
            <w:r w:rsidRPr="00DE6A6F">
              <w:t>Édition de 2024: 148</w:t>
            </w:r>
          </w:p>
          <w:p w14:paraId="7A949823" w14:textId="77777777" w:rsidR="00E5433A" w:rsidRPr="00DE6A6F" w:rsidRDefault="00E5433A" w:rsidP="00E5433A">
            <w:pPr>
              <w:pStyle w:val="Tabletext"/>
              <w:jc w:val="center"/>
              <w:cnfStyle w:val="000000100000" w:firstRow="0" w:lastRow="0" w:firstColumn="0" w:lastColumn="0" w:oddVBand="0" w:evenVBand="0" w:oddHBand="1" w:evenHBand="0" w:firstRowFirstColumn="0" w:firstRowLastColumn="0" w:lastRowFirstColumn="0" w:lastRowLastColumn="0"/>
              <w:rPr>
                <w:b/>
                <w:bCs/>
                <w:szCs w:val="24"/>
              </w:rPr>
            </w:pPr>
            <w:r w:rsidRPr="00DE6A6F">
              <w:rPr>
                <w:b/>
              </w:rPr>
              <w:t>Total: 212</w:t>
            </w:r>
          </w:p>
        </w:tc>
      </w:tr>
      <w:tr w:rsidR="00E5433A" w:rsidRPr="00DE6A6F" w14:paraId="3951012F" w14:textId="77777777" w:rsidTr="00DD5056">
        <w:trPr>
          <w:trHeight w:val="315"/>
        </w:trPr>
        <w:tc>
          <w:tcPr>
            <w:cnfStyle w:val="001000000000" w:firstRow="0" w:lastRow="0" w:firstColumn="1" w:lastColumn="0" w:oddVBand="0" w:evenVBand="0" w:oddHBand="0" w:evenHBand="0" w:firstRowFirstColumn="0" w:firstRowLastColumn="0" w:lastRowFirstColumn="0" w:lastRowLastColumn="0"/>
            <w:tcW w:w="18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14C82AC" w14:textId="77777777" w:rsidR="00E5433A" w:rsidRPr="00DE6A6F" w:rsidRDefault="00E5433A" w:rsidP="00E5433A">
            <w:pPr>
              <w:pStyle w:val="Tablehead"/>
              <w:keepNext w:val="0"/>
              <w:rPr>
                <w:b/>
                <w:bCs w:val="0"/>
                <w:szCs w:val="24"/>
              </w:rPr>
            </w:pPr>
            <w:r w:rsidRPr="00DE6A6F">
              <w:rPr>
                <w:b/>
                <w:bCs w:val="0"/>
              </w:rPr>
              <w:t>DVD vendus</w:t>
            </w:r>
          </w:p>
        </w:tc>
        <w:tc>
          <w:tcPr>
            <w:tcW w:w="17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F3DA44C" w14:textId="77777777" w:rsidR="00E5433A" w:rsidRPr="00DE6A6F" w:rsidRDefault="00E5433A" w:rsidP="00E5433A">
            <w:pPr>
              <w:pStyle w:val="Tabletext"/>
              <w:jc w:val="center"/>
              <w:cnfStyle w:val="000000000000" w:firstRow="0" w:lastRow="0" w:firstColumn="0" w:lastColumn="0" w:oddVBand="0" w:evenVBand="0" w:oddHBand="0" w:evenHBand="0" w:firstRowFirstColumn="0" w:firstRowLastColumn="0" w:lastRowFirstColumn="0" w:lastRowLastColumn="0"/>
              <w:rPr>
                <w:szCs w:val="24"/>
              </w:rPr>
            </w:pPr>
            <w:r w:rsidRPr="00DE6A6F">
              <w:t>19 079</w:t>
            </w:r>
          </w:p>
        </w:tc>
        <w:tc>
          <w:tcPr>
            <w:tcW w:w="1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AD4F112" w14:textId="77777777" w:rsidR="00E5433A" w:rsidRPr="00DE6A6F" w:rsidRDefault="00E5433A" w:rsidP="00E5433A">
            <w:pPr>
              <w:pStyle w:val="Tabletext"/>
              <w:jc w:val="center"/>
              <w:cnfStyle w:val="000000000000" w:firstRow="0" w:lastRow="0" w:firstColumn="0" w:lastColumn="0" w:oddVBand="0" w:evenVBand="0" w:oddHBand="0" w:evenHBand="0" w:firstRowFirstColumn="0" w:firstRowLastColumn="0" w:lastRowFirstColumn="0" w:lastRowLastColumn="0"/>
              <w:rPr>
                <w:szCs w:val="24"/>
              </w:rPr>
            </w:pPr>
            <w:r w:rsidRPr="00DE6A6F">
              <w:t>5 637</w:t>
            </w:r>
          </w:p>
        </w:tc>
        <w:tc>
          <w:tcPr>
            <w:tcW w:w="15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6310F7D" w14:textId="77777777" w:rsidR="00E5433A" w:rsidRPr="00DE6A6F" w:rsidRDefault="00E5433A" w:rsidP="00E5433A">
            <w:pPr>
              <w:pStyle w:val="Tabletext"/>
              <w:jc w:val="center"/>
              <w:cnfStyle w:val="000000000000" w:firstRow="0" w:lastRow="0" w:firstColumn="0" w:lastColumn="0" w:oddVBand="0" w:evenVBand="0" w:oddHBand="0" w:evenHBand="0" w:firstRowFirstColumn="0" w:firstRowLastColumn="0" w:lastRowFirstColumn="0" w:lastRowLastColumn="0"/>
              <w:rPr>
                <w:szCs w:val="24"/>
              </w:rPr>
            </w:pPr>
            <w:r w:rsidRPr="00DE6A6F">
              <w:t>3 363</w:t>
            </w:r>
          </w:p>
        </w:tc>
        <w:tc>
          <w:tcPr>
            <w:tcW w:w="273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32C00FB" w14:textId="77777777" w:rsidR="00E5433A" w:rsidRPr="00DE6A6F" w:rsidRDefault="00E5433A" w:rsidP="00E5433A">
            <w:pPr>
              <w:pStyle w:val="Tabletext"/>
              <w:jc w:val="center"/>
              <w:cnfStyle w:val="000000000000" w:firstRow="0" w:lastRow="0" w:firstColumn="0" w:lastColumn="0" w:oddVBand="0" w:evenVBand="0" w:oddHBand="0" w:evenHBand="0" w:firstRowFirstColumn="0" w:firstRowLastColumn="0" w:lastRowFirstColumn="0" w:lastRowLastColumn="0"/>
              <w:rPr>
                <w:szCs w:val="24"/>
              </w:rPr>
            </w:pPr>
            <w:r w:rsidRPr="00DE6A6F">
              <w:t>Édition de 2020: 2 771</w:t>
            </w:r>
          </w:p>
          <w:p w14:paraId="2A2E7D78" w14:textId="77777777" w:rsidR="00E5433A" w:rsidRPr="00DE6A6F" w:rsidRDefault="00E5433A" w:rsidP="00E5433A">
            <w:pPr>
              <w:pStyle w:val="Tabletext"/>
              <w:jc w:val="center"/>
              <w:cnfStyle w:val="000000000000" w:firstRow="0" w:lastRow="0" w:firstColumn="0" w:lastColumn="0" w:oddVBand="0" w:evenVBand="0" w:oddHBand="0" w:evenHBand="0" w:firstRowFirstColumn="0" w:firstRowLastColumn="0" w:lastRowFirstColumn="0" w:lastRowLastColumn="0"/>
              <w:rPr>
                <w:szCs w:val="24"/>
              </w:rPr>
            </w:pPr>
            <w:r w:rsidRPr="00DE6A6F">
              <w:t>Édition de 2024: 10 166</w:t>
            </w:r>
          </w:p>
          <w:p w14:paraId="549027BB" w14:textId="77777777" w:rsidR="00E5433A" w:rsidRPr="00DE6A6F" w:rsidRDefault="00E5433A" w:rsidP="00E5433A">
            <w:pPr>
              <w:pStyle w:val="Tabletext"/>
              <w:jc w:val="center"/>
              <w:cnfStyle w:val="000000000000" w:firstRow="0" w:lastRow="0" w:firstColumn="0" w:lastColumn="0" w:oddVBand="0" w:evenVBand="0" w:oddHBand="0" w:evenHBand="0" w:firstRowFirstColumn="0" w:firstRowLastColumn="0" w:lastRowFirstColumn="0" w:lastRowLastColumn="0"/>
              <w:rPr>
                <w:b/>
                <w:bCs/>
                <w:szCs w:val="24"/>
              </w:rPr>
            </w:pPr>
            <w:r w:rsidRPr="00DE6A6F">
              <w:rPr>
                <w:b/>
              </w:rPr>
              <w:t>Total: 12 937</w:t>
            </w:r>
          </w:p>
        </w:tc>
      </w:tr>
      <w:tr w:rsidR="00E5433A" w:rsidRPr="00DE6A6F" w14:paraId="37F64766" w14:textId="77777777" w:rsidTr="00DD505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3A73027" w14:textId="77777777" w:rsidR="00E5433A" w:rsidRPr="00DE6A6F" w:rsidRDefault="00E5433A" w:rsidP="00E5433A">
            <w:pPr>
              <w:pStyle w:val="Tablehead"/>
              <w:keepNext w:val="0"/>
              <w:rPr>
                <w:b/>
                <w:bCs w:val="0"/>
                <w:szCs w:val="24"/>
              </w:rPr>
            </w:pPr>
            <w:r w:rsidRPr="00DE6A6F">
              <w:rPr>
                <w:b/>
                <w:bCs w:val="0"/>
              </w:rPr>
              <w:t>Clés USB vendues</w:t>
            </w:r>
          </w:p>
        </w:tc>
        <w:tc>
          <w:tcPr>
            <w:tcW w:w="17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FEF3E54" w14:textId="77777777" w:rsidR="00E5433A" w:rsidRPr="00DE6A6F" w:rsidRDefault="00E5433A" w:rsidP="00E5433A">
            <w:pPr>
              <w:pStyle w:val="Tabletext"/>
              <w:jc w:val="center"/>
              <w:cnfStyle w:val="000000100000" w:firstRow="0" w:lastRow="0" w:firstColumn="0" w:lastColumn="0" w:oddVBand="0" w:evenVBand="0" w:oddHBand="1" w:evenHBand="0" w:firstRowFirstColumn="0" w:firstRowLastColumn="0" w:lastRowFirstColumn="0" w:lastRowLastColumn="0"/>
              <w:rPr>
                <w:szCs w:val="24"/>
              </w:rPr>
            </w:pPr>
            <w:r w:rsidRPr="00DE6A6F">
              <w:t>–</w:t>
            </w:r>
          </w:p>
        </w:tc>
        <w:tc>
          <w:tcPr>
            <w:tcW w:w="1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8370797" w14:textId="77777777" w:rsidR="00E5433A" w:rsidRPr="00DE6A6F" w:rsidRDefault="00E5433A" w:rsidP="00E5433A">
            <w:pPr>
              <w:pStyle w:val="Tabletext"/>
              <w:jc w:val="center"/>
              <w:cnfStyle w:val="000000100000" w:firstRow="0" w:lastRow="0" w:firstColumn="0" w:lastColumn="0" w:oddVBand="0" w:evenVBand="0" w:oddHBand="1" w:evenHBand="0" w:firstRowFirstColumn="0" w:firstRowLastColumn="0" w:lastRowFirstColumn="0" w:lastRowLastColumn="0"/>
              <w:rPr>
                <w:szCs w:val="24"/>
              </w:rPr>
            </w:pPr>
            <w:r w:rsidRPr="00DE6A6F">
              <w:t>–</w:t>
            </w:r>
          </w:p>
        </w:tc>
        <w:tc>
          <w:tcPr>
            <w:tcW w:w="15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22AF511" w14:textId="77777777" w:rsidR="00E5433A" w:rsidRPr="00DE6A6F" w:rsidRDefault="00E5433A" w:rsidP="00E5433A">
            <w:pPr>
              <w:pStyle w:val="Tabletext"/>
              <w:jc w:val="center"/>
              <w:cnfStyle w:val="000000100000" w:firstRow="0" w:lastRow="0" w:firstColumn="0" w:lastColumn="0" w:oddVBand="0" w:evenVBand="0" w:oddHBand="1" w:evenHBand="0" w:firstRowFirstColumn="0" w:firstRowLastColumn="0" w:lastRowFirstColumn="0" w:lastRowLastColumn="0"/>
              <w:rPr>
                <w:szCs w:val="24"/>
              </w:rPr>
            </w:pPr>
            <w:r w:rsidRPr="00DE6A6F">
              <w:t>–</w:t>
            </w:r>
          </w:p>
        </w:tc>
        <w:tc>
          <w:tcPr>
            <w:tcW w:w="273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5082C0C" w14:textId="77777777" w:rsidR="00E5433A" w:rsidRPr="00DE6A6F" w:rsidRDefault="00E5433A" w:rsidP="00E5433A">
            <w:pPr>
              <w:pStyle w:val="Tabletext"/>
              <w:jc w:val="center"/>
              <w:cnfStyle w:val="000000100000" w:firstRow="0" w:lastRow="0" w:firstColumn="0" w:lastColumn="0" w:oddVBand="0" w:evenVBand="0" w:oddHBand="1" w:evenHBand="0" w:firstRowFirstColumn="0" w:firstRowLastColumn="0" w:lastRowFirstColumn="0" w:lastRowLastColumn="0"/>
              <w:rPr>
                <w:szCs w:val="24"/>
              </w:rPr>
            </w:pPr>
            <w:r w:rsidRPr="00DE6A6F">
              <w:t>Édition de 2020: –</w:t>
            </w:r>
          </w:p>
          <w:p w14:paraId="658E9BE8" w14:textId="77777777" w:rsidR="00E5433A" w:rsidRPr="00DE6A6F" w:rsidRDefault="00E5433A" w:rsidP="00E5433A">
            <w:pPr>
              <w:pStyle w:val="Tabletext"/>
              <w:jc w:val="center"/>
              <w:cnfStyle w:val="000000100000" w:firstRow="0" w:lastRow="0" w:firstColumn="0" w:lastColumn="0" w:oddVBand="0" w:evenVBand="0" w:oddHBand="1" w:evenHBand="0" w:firstRowFirstColumn="0" w:firstRowLastColumn="0" w:lastRowFirstColumn="0" w:lastRowLastColumn="0"/>
              <w:rPr>
                <w:szCs w:val="24"/>
              </w:rPr>
            </w:pPr>
            <w:r w:rsidRPr="00DE6A6F">
              <w:t>Édition de 2024: 440</w:t>
            </w:r>
          </w:p>
          <w:p w14:paraId="2AFFF211" w14:textId="77777777" w:rsidR="00E5433A" w:rsidRPr="00DE6A6F" w:rsidRDefault="00E5433A" w:rsidP="00E5433A">
            <w:pPr>
              <w:pStyle w:val="Tabletext"/>
              <w:jc w:val="center"/>
              <w:cnfStyle w:val="000000100000" w:firstRow="0" w:lastRow="0" w:firstColumn="0" w:lastColumn="0" w:oddVBand="0" w:evenVBand="0" w:oddHBand="1" w:evenHBand="0" w:firstRowFirstColumn="0" w:firstRowLastColumn="0" w:lastRowFirstColumn="0" w:lastRowLastColumn="0"/>
              <w:rPr>
                <w:b/>
                <w:bCs/>
                <w:szCs w:val="24"/>
              </w:rPr>
            </w:pPr>
            <w:r w:rsidRPr="00DE6A6F">
              <w:rPr>
                <w:b/>
              </w:rPr>
              <w:t>Total: 440</w:t>
            </w:r>
          </w:p>
        </w:tc>
      </w:tr>
      <w:tr w:rsidR="00E5433A" w:rsidRPr="00DE6A6F" w14:paraId="5FEBC200" w14:textId="77777777" w:rsidTr="00DD5056">
        <w:trPr>
          <w:trHeight w:val="315"/>
        </w:trPr>
        <w:tc>
          <w:tcPr>
            <w:cnfStyle w:val="001000000000" w:firstRow="0" w:lastRow="0" w:firstColumn="1" w:lastColumn="0" w:oddVBand="0" w:evenVBand="0" w:oddHBand="0" w:evenHBand="0" w:firstRowFirstColumn="0" w:firstRowLastColumn="0" w:lastRowFirstColumn="0" w:lastRowLastColumn="0"/>
            <w:tcW w:w="18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E1DE9FE" w14:textId="77777777" w:rsidR="00E5433A" w:rsidRPr="00DE6A6F" w:rsidRDefault="00E5433A" w:rsidP="00E5433A">
            <w:pPr>
              <w:pStyle w:val="Tablehead"/>
              <w:keepNext w:val="0"/>
              <w:rPr>
                <w:b/>
                <w:bCs w:val="0"/>
                <w:szCs w:val="24"/>
              </w:rPr>
            </w:pPr>
            <w:r w:rsidRPr="00DE6A6F">
              <w:rPr>
                <w:b/>
                <w:bCs w:val="0"/>
              </w:rPr>
              <w:t>Format numérique</w:t>
            </w:r>
          </w:p>
        </w:tc>
        <w:tc>
          <w:tcPr>
            <w:tcW w:w="17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CA6C296" w14:textId="77777777" w:rsidR="00E5433A" w:rsidRPr="00DE6A6F" w:rsidRDefault="00E5433A" w:rsidP="00E5433A">
            <w:pPr>
              <w:pStyle w:val="Tabletext"/>
              <w:jc w:val="center"/>
              <w:cnfStyle w:val="000000000000" w:firstRow="0" w:lastRow="0" w:firstColumn="0" w:lastColumn="0" w:oddVBand="0" w:evenVBand="0" w:oddHBand="0" w:evenHBand="0" w:firstRowFirstColumn="0" w:firstRowLastColumn="0" w:lastRowFirstColumn="0" w:lastRowLastColumn="0"/>
              <w:rPr>
                <w:szCs w:val="24"/>
              </w:rPr>
            </w:pPr>
            <w:r w:rsidRPr="00DE6A6F">
              <w:t>–</w:t>
            </w:r>
          </w:p>
        </w:tc>
        <w:tc>
          <w:tcPr>
            <w:tcW w:w="1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483E484" w14:textId="77777777" w:rsidR="00E5433A" w:rsidRPr="00DE6A6F" w:rsidRDefault="00E5433A" w:rsidP="00E5433A">
            <w:pPr>
              <w:pStyle w:val="Tabletext"/>
              <w:jc w:val="center"/>
              <w:cnfStyle w:val="000000000000" w:firstRow="0" w:lastRow="0" w:firstColumn="0" w:lastColumn="0" w:oddVBand="0" w:evenVBand="0" w:oddHBand="0" w:evenHBand="0" w:firstRowFirstColumn="0" w:firstRowLastColumn="0" w:lastRowFirstColumn="0" w:lastRowLastColumn="0"/>
              <w:rPr>
                <w:szCs w:val="24"/>
              </w:rPr>
            </w:pPr>
            <w:r w:rsidRPr="00DE6A6F">
              <w:t>–</w:t>
            </w:r>
          </w:p>
        </w:tc>
        <w:tc>
          <w:tcPr>
            <w:tcW w:w="15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2E23E45" w14:textId="77777777" w:rsidR="00E5433A" w:rsidRPr="00DE6A6F" w:rsidRDefault="00E5433A" w:rsidP="00E5433A">
            <w:pPr>
              <w:pStyle w:val="Tabletext"/>
              <w:jc w:val="center"/>
              <w:cnfStyle w:val="000000000000" w:firstRow="0" w:lastRow="0" w:firstColumn="0" w:lastColumn="0" w:oddVBand="0" w:evenVBand="0" w:oddHBand="0" w:evenHBand="0" w:firstRowFirstColumn="0" w:firstRowLastColumn="0" w:lastRowFirstColumn="0" w:lastRowLastColumn="0"/>
              <w:rPr>
                <w:szCs w:val="24"/>
              </w:rPr>
            </w:pPr>
            <w:r w:rsidRPr="00DE6A6F">
              <w:t>–</w:t>
            </w:r>
          </w:p>
        </w:tc>
        <w:tc>
          <w:tcPr>
            <w:tcW w:w="273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C7BBE3F" w14:textId="77777777" w:rsidR="00E5433A" w:rsidRPr="00DE6A6F" w:rsidRDefault="00E5433A" w:rsidP="00E5433A">
            <w:pPr>
              <w:pStyle w:val="Tabletext"/>
              <w:jc w:val="center"/>
              <w:cnfStyle w:val="000000000000" w:firstRow="0" w:lastRow="0" w:firstColumn="0" w:lastColumn="0" w:oddVBand="0" w:evenVBand="0" w:oddHBand="0" w:evenHBand="0" w:firstRowFirstColumn="0" w:firstRowLastColumn="0" w:lastRowFirstColumn="0" w:lastRowLastColumn="0"/>
              <w:rPr>
                <w:szCs w:val="24"/>
              </w:rPr>
            </w:pPr>
            <w:r w:rsidRPr="00DE6A6F">
              <w:t>Édition de 2020: –</w:t>
            </w:r>
          </w:p>
          <w:p w14:paraId="423E6748" w14:textId="77777777" w:rsidR="00E5433A" w:rsidRPr="00DE6A6F" w:rsidRDefault="00E5433A" w:rsidP="00E5433A">
            <w:pPr>
              <w:pStyle w:val="Tabletext"/>
              <w:jc w:val="center"/>
              <w:cnfStyle w:val="000000000000" w:firstRow="0" w:lastRow="0" w:firstColumn="0" w:lastColumn="0" w:oddVBand="0" w:evenVBand="0" w:oddHBand="0" w:evenHBand="0" w:firstRowFirstColumn="0" w:firstRowLastColumn="0" w:lastRowFirstColumn="0" w:lastRowLastColumn="0"/>
              <w:rPr>
                <w:szCs w:val="24"/>
              </w:rPr>
            </w:pPr>
            <w:r w:rsidRPr="00DE6A6F">
              <w:t>Édition de 2024: 277</w:t>
            </w:r>
          </w:p>
          <w:p w14:paraId="6F0CFA50" w14:textId="77777777" w:rsidR="00E5433A" w:rsidRPr="00DE6A6F" w:rsidRDefault="00E5433A" w:rsidP="00E5433A">
            <w:pPr>
              <w:pStyle w:val="Tabletext"/>
              <w:jc w:val="center"/>
              <w:cnfStyle w:val="000000000000" w:firstRow="0" w:lastRow="0" w:firstColumn="0" w:lastColumn="0" w:oddVBand="0" w:evenVBand="0" w:oddHBand="0" w:evenHBand="0" w:firstRowFirstColumn="0" w:firstRowLastColumn="0" w:lastRowFirstColumn="0" w:lastRowLastColumn="0"/>
              <w:rPr>
                <w:b/>
                <w:bCs/>
                <w:szCs w:val="24"/>
              </w:rPr>
            </w:pPr>
            <w:r w:rsidRPr="00DE6A6F">
              <w:rPr>
                <w:b/>
              </w:rPr>
              <w:t>Total: 277</w:t>
            </w:r>
          </w:p>
        </w:tc>
      </w:tr>
    </w:tbl>
    <w:p w14:paraId="7712065B" w14:textId="77777777" w:rsidR="00E5433A" w:rsidRPr="00DE6A6F" w:rsidRDefault="00E5433A" w:rsidP="00E5433A">
      <w:pPr>
        <w:pStyle w:val="Heading2"/>
        <w:rPr>
          <w:i/>
        </w:rPr>
      </w:pPr>
      <w:bookmarkStart w:id="8" w:name="_Toc424047601"/>
      <w:bookmarkStart w:id="9" w:name="_Toc446060783"/>
      <w:r w:rsidRPr="00DE6A6F">
        <w:lastRenderedPageBreak/>
        <w:t>8.2</w:t>
      </w:r>
      <w:r w:rsidRPr="00DE6A6F">
        <w:tab/>
        <w:t>Séminaires, ateliers</w:t>
      </w:r>
      <w:bookmarkEnd w:id="8"/>
      <w:bookmarkEnd w:id="9"/>
      <w:r w:rsidRPr="00DE6A6F">
        <w:t xml:space="preserve"> et autres manifestations</w:t>
      </w:r>
    </w:p>
    <w:p w14:paraId="098AC7F9" w14:textId="77777777" w:rsidR="00E5433A" w:rsidRPr="00DE6A6F" w:rsidRDefault="00E5433A" w:rsidP="00E5433A">
      <w:r w:rsidRPr="00DE6A6F">
        <w:t>Depuis 2024, une nouvelle série de séminaires WRS/RRS a été lancée au cours de la période intermédiaire entre deux CMR correspondant à la période 2024-2027. Ces séminaires visent à diffuser, à l'échelle mondiale, les mises à jour figurant dans l'édition de 2024 du Règlement des radiocommunications (et les décisions prises par la CMR-23), ainsi que les Règles de procédure associées. Compte tenu de l'expérience acquise précédemment dans le cadre des séminaires WRS/RRS, le BR prévoit d'organiser pour la période 2024-2027 deux séminaires WRS (un tous les deux ans), complétés par onze séminaires régionaux des radiocommunications (RRS) (chacun ciblant une sous-région différente), conformément au calendrier suivant:</w:t>
      </w:r>
    </w:p>
    <w:p w14:paraId="2C265920" w14:textId="77777777" w:rsidR="00E5433A" w:rsidRPr="00DE6A6F" w:rsidRDefault="00E5433A" w:rsidP="00E5433A">
      <w:pPr>
        <w:pStyle w:val="TableNo"/>
      </w:pPr>
      <w:r w:rsidRPr="00DE6A6F">
        <w:t>TABLEAU 8.2-1</w:t>
      </w:r>
    </w:p>
    <w:tbl>
      <w:tblPr>
        <w:tblStyle w:val="TableGrid"/>
        <w:tblW w:w="5155" w:type="pct"/>
        <w:jc w:val="center"/>
        <w:tblLayout w:type="fixed"/>
        <w:tblLook w:val="04A0" w:firstRow="1" w:lastRow="0" w:firstColumn="1" w:lastColumn="0" w:noHBand="0" w:noVBand="1"/>
      </w:tblPr>
      <w:tblGrid>
        <w:gridCol w:w="2547"/>
        <w:gridCol w:w="1843"/>
        <w:gridCol w:w="1707"/>
        <w:gridCol w:w="1695"/>
        <w:gridCol w:w="1275"/>
        <w:gridCol w:w="860"/>
      </w:tblGrid>
      <w:tr w:rsidR="00E5433A" w:rsidRPr="00DE6A6F" w14:paraId="6A44458D" w14:textId="77777777" w:rsidTr="00DD5056">
        <w:trPr>
          <w:trHeight w:val="300"/>
          <w:tblHeader/>
          <w:jc w:val="center"/>
        </w:trPr>
        <w:tc>
          <w:tcPr>
            <w:tcW w:w="2547" w:type="dxa"/>
            <w:shd w:val="clear" w:color="auto" w:fill="F2F2F2" w:themeFill="background1" w:themeFillShade="F2"/>
            <w:noWrap/>
            <w:hideMark/>
          </w:tcPr>
          <w:p w14:paraId="5635E6E8" w14:textId="77777777" w:rsidR="00E5433A" w:rsidRPr="00DE6A6F" w:rsidRDefault="00E5433A" w:rsidP="00DD5056">
            <w:pPr>
              <w:pStyle w:val="Tablehead"/>
              <w:keepLines/>
            </w:pPr>
          </w:p>
        </w:tc>
        <w:tc>
          <w:tcPr>
            <w:tcW w:w="1843" w:type="dxa"/>
            <w:shd w:val="clear" w:color="auto" w:fill="F2F2F2" w:themeFill="background1" w:themeFillShade="F2"/>
            <w:noWrap/>
            <w:hideMark/>
          </w:tcPr>
          <w:p w14:paraId="6CE83AA7" w14:textId="77777777" w:rsidR="00E5433A" w:rsidRPr="00DE6A6F" w:rsidRDefault="00E5433A" w:rsidP="00DD5056">
            <w:pPr>
              <w:pStyle w:val="Tablehead"/>
              <w:keepLines/>
              <w:rPr>
                <w:bCs/>
              </w:rPr>
            </w:pPr>
            <w:r w:rsidRPr="00DE6A6F">
              <w:t>Langue</w:t>
            </w:r>
          </w:p>
        </w:tc>
        <w:tc>
          <w:tcPr>
            <w:tcW w:w="1707" w:type="dxa"/>
            <w:shd w:val="clear" w:color="auto" w:fill="F2F2F2" w:themeFill="background1" w:themeFillShade="F2"/>
            <w:noWrap/>
            <w:hideMark/>
          </w:tcPr>
          <w:p w14:paraId="241F19D9" w14:textId="77777777" w:rsidR="00E5433A" w:rsidRPr="00DE6A6F" w:rsidRDefault="00E5433A" w:rsidP="00DD5056">
            <w:pPr>
              <w:pStyle w:val="Tablehead"/>
              <w:keepLines/>
              <w:rPr>
                <w:bCs/>
              </w:rPr>
            </w:pPr>
            <w:r w:rsidRPr="00DE6A6F">
              <w:t>2024</w:t>
            </w:r>
          </w:p>
        </w:tc>
        <w:tc>
          <w:tcPr>
            <w:tcW w:w="1695" w:type="dxa"/>
            <w:shd w:val="clear" w:color="auto" w:fill="F2F2F2" w:themeFill="background1" w:themeFillShade="F2"/>
            <w:noWrap/>
            <w:hideMark/>
          </w:tcPr>
          <w:p w14:paraId="582F5300" w14:textId="77777777" w:rsidR="00E5433A" w:rsidRPr="00DE6A6F" w:rsidRDefault="00E5433A" w:rsidP="00DD5056">
            <w:pPr>
              <w:pStyle w:val="Tablehead"/>
              <w:keepLines/>
              <w:rPr>
                <w:bCs/>
              </w:rPr>
            </w:pPr>
            <w:r w:rsidRPr="00DE6A6F">
              <w:t>2025</w:t>
            </w:r>
          </w:p>
        </w:tc>
        <w:tc>
          <w:tcPr>
            <w:tcW w:w="1275" w:type="dxa"/>
            <w:shd w:val="clear" w:color="auto" w:fill="F2F2F2" w:themeFill="background1" w:themeFillShade="F2"/>
            <w:noWrap/>
            <w:hideMark/>
          </w:tcPr>
          <w:p w14:paraId="2A90178B" w14:textId="77777777" w:rsidR="00E5433A" w:rsidRPr="00DE6A6F" w:rsidRDefault="00E5433A" w:rsidP="00DD5056">
            <w:pPr>
              <w:pStyle w:val="Tablehead"/>
              <w:keepLines/>
              <w:rPr>
                <w:bCs/>
              </w:rPr>
            </w:pPr>
            <w:r w:rsidRPr="00DE6A6F">
              <w:t>2026</w:t>
            </w:r>
          </w:p>
        </w:tc>
        <w:tc>
          <w:tcPr>
            <w:tcW w:w="860" w:type="dxa"/>
            <w:shd w:val="clear" w:color="auto" w:fill="F2F2F2" w:themeFill="background1" w:themeFillShade="F2"/>
            <w:noWrap/>
            <w:hideMark/>
          </w:tcPr>
          <w:p w14:paraId="74E40297" w14:textId="77777777" w:rsidR="00E5433A" w:rsidRPr="00DE6A6F" w:rsidRDefault="00E5433A" w:rsidP="00DD5056">
            <w:pPr>
              <w:pStyle w:val="Tablehead"/>
              <w:keepLines/>
              <w:rPr>
                <w:bCs/>
              </w:rPr>
            </w:pPr>
            <w:r w:rsidRPr="00DE6A6F">
              <w:t>2027</w:t>
            </w:r>
          </w:p>
        </w:tc>
      </w:tr>
      <w:tr w:rsidR="00E5433A" w:rsidRPr="00DE6A6F" w14:paraId="5C974A7D" w14:textId="77777777" w:rsidTr="00DD5056">
        <w:tblPrEx>
          <w:jc w:val="left"/>
        </w:tblPrEx>
        <w:trPr>
          <w:trHeight w:val="324"/>
        </w:trPr>
        <w:tc>
          <w:tcPr>
            <w:tcW w:w="2547" w:type="dxa"/>
            <w:shd w:val="clear" w:color="auto" w:fill="DAEEF3" w:themeFill="accent5" w:themeFillTint="33"/>
            <w:noWrap/>
            <w:hideMark/>
          </w:tcPr>
          <w:p w14:paraId="582D253D" w14:textId="77777777" w:rsidR="00E5433A" w:rsidRPr="00DE6A6F" w:rsidRDefault="00E5433A" w:rsidP="00DD5056">
            <w:pPr>
              <w:pStyle w:val="Tablehead"/>
              <w:keepLines/>
              <w:jc w:val="left"/>
            </w:pPr>
            <w:r w:rsidRPr="00DE6A6F">
              <w:t>WRS (2)</w:t>
            </w:r>
          </w:p>
        </w:tc>
        <w:tc>
          <w:tcPr>
            <w:tcW w:w="1843" w:type="dxa"/>
            <w:noWrap/>
            <w:hideMark/>
          </w:tcPr>
          <w:p w14:paraId="56FA6808" w14:textId="77777777" w:rsidR="00E5433A" w:rsidRPr="00DE6A6F" w:rsidRDefault="00E5433A" w:rsidP="00DD5056">
            <w:pPr>
              <w:pStyle w:val="Tabletext"/>
              <w:keepNext/>
              <w:keepLines/>
              <w:jc w:val="center"/>
            </w:pPr>
            <w:r w:rsidRPr="00DE6A6F">
              <w:t>Langues officielles des Nations Unies</w:t>
            </w:r>
          </w:p>
        </w:tc>
        <w:tc>
          <w:tcPr>
            <w:tcW w:w="1707" w:type="dxa"/>
            <w:noWrap/>
            <w:hideMark/>
          </w:tcPr>
          <w:p w14:paraId="5F75D0B3" w14:textId="77777777" w:rsidR="00E5433A" w:rsidRPr="00DE6A6F" w:rsidRDefault="00E5433A" w:rsidP="00DD5056">
            <w:pPr>
              <w:pStyle w:val="Tabletext"/>
              <w:keepNext/>
              <w:keepLines/>
              <w:jc w:val="center"/>
            </w:pPr>
            <w:r w:rsidRPr="00DE6A6F">
              <w:t>2-6 décembre</w:t>
            </w:r>
          </w:p>
          <w:p w14:paraId="45D43C0B" w14:textId="77777777" w:rsidR="00E5433A" w:rsidRPr="00DE6A6F" w:rsidRDefault="00E5433A" w:rsidP="00DD5056">
            <w:pPr>
              <w:pStyle w:val="Tabletext"/>
              <w:keepNext/>
              <w:keepLines/>
              <w:jc w:val="center"/>
            </w:pPr>
            <w:r w:rsidRPr="00DE6A6F">
              <w:t xml:space="preserve">Genève </w:t>
            </w:r>
          </w:p>
        </w:tc>
        <w:tc>
          <w:tcPr>
            <w:tcW w:w="1695" w:type="dxa"/>
            <w:noWrap/>
            <w:hideMark/>
          </w:tcPr>
          <w:p w14:paraId="7A1043BD" w14:textId="77777777" w:rsidR="00E5433A" w:rsidRPr="00DE6A6F" w:rsidRDefault="00E5433A" w:rsidP="00DD5056">
            <w:pPr>
              <w:pStyle w:val="Tabletext"/>
              <w:keepNext/>
              <w:keepLines/>
              <w:jc w:val="center"/>
            </w:pPr>
            <w:r w:rsidRPr="00DE6A6F">
              <w:t>−</w:t>
            </w:r>
          </w:p>
        </w:tc>
        <w:tc>
          <w:tcPr>
            <w:tcW w:w="1275" w:type="dxa"/>
            <w:noWrap/>
            <w:hideMark/>
          </w:tcPr>
          <w:p w14:paraId="5D03B061" w14:textId="77777777" w:rsidR="00E5433A" w:rsidRPr="00DE6A6F" w:rsidRDefault="00E5433A" w:rsidP="00DD5056">
            <w:pPr>
              <w:pStyle w:val="Tabletext"/>
              <w:keepNext/>
              <w:keepLines/>
              <w:jc w:val="center"/>
            </w:pPr>
            <w:r w:rsidRPr="00DE6A6F">
              <w:t>Décembre</w:t>
            </w:r>
          </w:p>
          <w:p w14:paraId="719269DA" w14:textId="77777777" w:rsidR="00E5433A" w:rsidRPr="00DE6A6F" w:rsidRDefault="00E5433A" w:rsidP="00DD5056">
            <w:pPr>
              <w:pStyle w:val="Tabletext"/>
              <w:keepNext/>
              <w:keepLines/>
              <w:jc w:val="center"/>
            </w:pPr>
            <w:r w:rsidRPr="00DE6A6F">
              <w:t>Genève</w:t>
            </w:r>
          </w:p>
        </w:tc>
        <w:tc>
          <w:tcPr>
            <w:tcW w:w="860" w:type="dxa"/>
            <w:noWrap/>
            <w:hideMark/>
          </w:tcPr>
          <w:p w14:paraId="18F3D0A0" w14:textId="77777777" w:rsidR="00E5433A" w:rsidRPr="00DE6A6F" w:rsidRDefault="00E5433A" w:rsidP="00DD5056">
            <w:pPr>
              <w:pStyle w:val="Tabletext"/>
              <w:keepNext/>
              <w:keepLines/>
              <w:jc w:val="center"/>
            </w:pPr>
            <w:r w:rsidRPr="00DE6A6F">
              <w:t>−</w:t>
            </w:r>
          </w:p>
        </w:tc>
      </w:tr>
      <w:tr w:rsidR="00E5433A" w:rsidRPr="00DE6A6F" w14:paraId="4043C1FB" w14:textId="77777777" w:rsidTr="00DD5056">
        <w:trPr>
          <w:trHeight w:val="324"/>
          <w:jc w:val="center"/>
        </w:trPr>
        <w:tc>
          <w:tcPr>
            <w:tcW w:w="9927" w:type="dxa"/>
            <w:gridSpan w:val="6"/>
            <w:shd w:val="clear" w:color="auto" w:fill="F2F2F2" w:themeFill="background1" w:themeFillShade="F2"/>
            <w:noWrap/>
            <w:hideMark/>
          </w:tcPr>
          <w:p w14:paraId="33117860" w14:textId="77777777" w:rsidR="00E5433A" w:rsidRPr="00DE6A6F" w:rsidRDefault="00E5433A" w:rsidP="00DD5056">
            <w:pPr>
              <w:pStyle w:val="Tabletext"/>
              <w:keepNext/>
              <w:keepLines/>
            </w:pPr>
            <w:r w:rsidRPr="00DE6A6F">
              <w:rPr>
                <w:b/>
              </w:rPr>
              <w:t>RRS (11)</w:t>
            </w:r>
          </w:p>
        </w:tc>
      </w:tr>
      <w:tr w:rsidR="00E5433A" w:rsidRPr="00DE6A6F" w14:paraId="75E742E3" w14:textId="77777777" w:rsidTr="00DD5056">
        <w:trPr>
          <w:trHeight w:val="429"/>
          <w:jc w:val="center"/>
        </w:trPr>
        <w:tc>
          <w:tcPr>
            <w:tcW w:w="9927" w:type="dxa"/>
            <w:gridSpan w:val="6"/>
            <w:shd w:val="clear" w:color="auto" w:fill="F2F2F2" w:themeFill="background1" w:themeFillShade="F2"/>
            <w:hideMark/>
          </w:tcPr>
          <w:p w14:paraId="0275A27D" w14:textId="77777777" w:rsidR="00E5433A" w:rsidRPr="00DE6A6F" w:rsidRDefault="00E5433A" w:rsidP="00DD5056">
            <w:pPr>
              <w:pStyle w:val="Tablehead"/>
              <w:keepLines/>
              <w:jc w:val="left"/>
              <w:rPr>
                <w:i/>
                <w:iCs/>
              </w:rPr>
            </w:pPr>
            <w:r w:rsidRPr="00DE6A6F">
              <w:t>Région Afrique:</w:t>
            </w:r>
            <w:r w:rsidRPr="00DE6A6F">
              <w:rPr>
                <w:i/>
              </w:rPr>
              <w:t xml:space="preserve"> </w:t>
            </w:r>
            <w:r w:rsidRPr="00DE6A6F">
              <w:t>AFR (2)</w:t>
            </w:r>
          </w:p>
        </w:tc>
      </w:tr>
      <w:tr w:rsidR="00E5433A" w:rsidRPr="00DE6A6F" w14:paraId="5809AA5C" w14:textId="77777777" w:rsidTr="00DD5056">
        <w:trPr>
          <w:trHeight w:val="383"/>
          <w:jc w:val="center"/>
        </w:trPr>
        <w:tc>
          <w:tcPr>
            <w:tcW w:w="2547" w:type="dxa"/>
            <w:noWrap/>
            <w:hideMark/>
          </w:tcPr>
          <w:p w14:paraId="43FE087C" w14:textId="77777777" w:rsidR="00E5433A" w:rsidRPr="00DE6A6F" w:rsidRDefault="00E5433A" w:rsidP="00DD5056">
            <w:pPr>
              <w:pStyle w:val="Tabletext"/>
            </w:pPr>
            <w:r w:rsidRPr="00DE6A6F">
              <w:t>Afrique</w:t>
            </w:r>
          </w:p>
        </w:tc>
        <w:tc>
          <w:tcPr>
            <w:tcW w:w="1843" w:type="dxa"/>
            <w:noWrap/>
            <w:hideMark/>
          </w:tcPr>
          <w:p w14:paraId="03985DEF" w14:textId="77777777" w:rsidR="00E5433A" w:rsidRPr="00DE6A6F" w:rsidRDefault="00E5433A" w:rsidP="00DD5056">
            <w:pPr>
              <w:pStyle w:val="Tabletext"/>
              <w:jc w:val="center"/>
            </w:pPr>
            <w:r w:rsidRPr="00DE6A6F">
              <w:t>Anglais/arabe/</w:t>
            </w:r>
            <w:r w:rsidRPr="00DE6A6F">
              <w:br/>
              <w:t>français</w:t>
            </w:r>
          </w:p>
        </w:tc>
        <w:tc>
          <w:tcPr>
            <w:tcW w:w="1707" w:type="dxa"/>
            <w:noWrap/>
            <w:hideMark/>
          </w:tcPr>
          <w:p w14:paraId="075847FC" w14:textId="77777777" w:rsidR="00E5433A" w:rsidRPr="00DE6A6F" w:rsidRDefault="00E5433A" w:rsidP="00DD5056">
            <w:pPr>
              <w:pStyle w:val="Tabletext"/>
              <w:jc w:val="center"/>
            </w:pPr>
            <w:r w:rsidRPr="00DE6A6F">
              <w:t>−</w:t>
            </w:r>
          </w:p>
        </w:tc>
        <w:tc>
          <w:tcPr>
            <w:tcW w:w="1695" w:type="dxa"/>
            <w:hideMark/>
          </w:tcPr>
          <w:p w14:paraId="60CE3DD3" w14:textId="77777777" w:rsidR="00E5433A" w:rsidRPr="00DE6A6F" w:rsidRDefault="00E5433A" w:rsidP="00DD5056">
            <w:pPr>
              <w:pStyle w:val="Tabletext"/>
              <w:jc w:val="center"/>
            </w:pPr>
            <w:r w:rsidRPr="00DE6A6F">
              <w:t>5-8 mai</w:t>
            </w:r>
            <w:r w:rsidRPr="00DE6A6F">
              <w:br/>
              <w:t>Ville de Djibouti (Djibouti (République de))</w:t>
            </w:r>
          </w:p>
        </w:tc>
        <w:tc>
          <w:tcPr>
            <w:tcW w:w="1275" w:type="dxa"/>
            <w:noWrap/>
            <w:hideMark/>
          </w:tcPr>
          <w:p w14:paraId="6326B918" w14:textId="77777777" w:rsidR="00E5433A" w:rsidRPr="00DE6A6F" w:rsidRDefault="00E5433A" w:rsidP="00DD5056">
            <w:pPr>
              <w:pStyle w:val="Tabletext"/>
              <w:jc w:val="center"/>
            </w:pPr>
            <w:r w:rsidRPr="00DE6A6F">
              <w:t>−</w:t>
            </w:r>
          </w:p>
        </w:tc>
        <w:tc>
          <w:tcPr>
            <w:tcW w:w="860" w:type="dxa"/>
            <w:noWrap/>
            <w:hideMark/>
          </w:tcPr>
          <w:p w14:paraId="5F97A7B5" w14:textId="77777777" w:rsidR="00E5433A" w:rsidRPr="00DE6A6F" w:rsidRDefault="00E5433A" w:rsidP="00DD5056">
            <w:pPr>
              <w:pStyle w:val="Tabletext"/>
              <w:jc w:val="center"/>
            </w:pPr>
            <w:r w:rsidRPr="00DE6A6F">
              <w:t>−</w:t>
            </w:r>
          </w:p>
        </w:tc>
      </w:tr>
      <w:tr w:rsidR="00E5433A" w:rsidRPr="00DE6A6F" w14:paraId="443F78D3" w14:textId="77777777" w:rsidTr="00DD5056">
        <w:trPr>
          <w:trHeight w:val="300"/>
          <w:jc w:val="center"/>
        </w:trPr>
        <w:tc>
          <w:tcPr>
            <w:tcW w:w="2547" w:type="dxa"/>
            <w:noWrap/>
            <w:hideMark/>
          </w:tcPr>
          <w:p w14:paraId="05D982F0" w14:textId="77777777" w:rsidR="00E5433A" w:rsidRPr="00DE6A6F" w:rsidRDefault="00E5433A" w:rsidP="00DD5056">
            <w:pPr>
              <w:pStyle w:val="Tabletext"/>
            </w:pPr>
            <w:r w:rsidRPr="00DE6A6F">
              <w:t>Afrique</w:t>
            </w:r>
          </w:p>
        </w:tc>
        <w:tc>
          <w:tcPr>
            <w:tcW w:w="1843" w:type="dxa"/>
            <w:noWrap/>
            <w:hideMark/>
          </w:tcPr>
          <w:p w14:paraId="0480D9CD" w14:textId="77777777" w:rsidR="00E5433A" w:rsidRPr="00DE6A6F" w:rsidRDefault="00E5433A" w:rsidP="00DD5056">
            <w:pPr>
              <w:pStyle w:val="Tabletext"/>
              <w:jc w:val="center"/>
            </w:pPr>
            <w:r w:rsidRPr="00DE6A6F">
              <w:t>Anglais/français</w:t>
            </w:r>
          </w:p>
        </w:tc>
        <w:tc>
          <w:tcPr>
            <w:tcW w:w="1707" w:type="dxa"/>
            <w:noWrap/>
            <w:hideMark/>
          </w:tcPr>
          <w:p w14:paraId="5E30522E" w14:textId="77777777" w:rsidR="00E5433A" w:rsidRPr="00DE6A6F" w:rsidRDefault="00E5433A" w:rsidP="00DD5056">
            <w:pPr>
              <w:pStyle w:val="Tabletext"/>
              <w:jc w:val="center"/>
            </w:pPr>
            <w:r w:rsidRPr="00DE6A6F">
              <w:t>−</w:t>
            </w:r>
          </w:p>
        </w:tc>
        <w:tc>
          <w:tcPr>
            <w:tcW w:w="1695" w:type="dxa"/>
            <w:noWrap/>
            <w:hideMark/>
          </w:tcPr>
          <w:p w14:paraId="7ECD9E33" w14:textId="77777777" w:rsidR="00E5433A" w:rsidRPr="00DE6A6F" w:rsidRDefault="00E5433A" w:rsidP="00DD5056">
            <w:pPr>
              <w:pStyle w:val="Tabletext"/>
              <w:jc w:val="center"/>
            </w:pPr>
            <w:r w:rsidRPr="00DE6A6F">
              <w:t>−</w:t>
            </w:r>
          </w:p>
        </w:tc>
        <w:tc>
          <w:tcPr>
            <w:tcW w:w="1275" w:type="dxa"/>
            <w:noWrap/>
            <w:hideMark/>
          </w:tcPr>
          <w:p w14:paraId="313B1585" w14:textId="77777777" w:rsidR="00E5433A" w:rsidRPr="00DE6A6F" w:rsidRDefault="00E5433A" w:rsidP="00DD5056">
            <w:pPr>
              <w:pStyle w:val="Tabletext"/>
              <w:jc w:val="center"/>
            </w:pPr>
            <w:r w:rsidRPr="00DE6A6F">
              <w:t>−</w:t>
            </w:r>
          </w:p>
        </w:tc>
        <w:tc>
          <w:tcPr>
            <w:tcW w:w="860" w:type="dxa"/>
            <w:hideMark/>
          </w:tcPr>
          <w:p w14:paraId="42B5670F" w14:textId="77777777" w:rsidR="00E5433A" w:rsidRPr="00DE6A6F" w:rsidRDefault="00E5433A" w:rsidP="00DD5056">
            <w:pPr>
              <w:pStyle w:val="Tabletext"/>
              <w:jc w:val="center"/>
            </w:pPr>
            <w:r w:rsidRPr="00DE6A6F">
              <w:t>Juillet</w:t>
            </w:r>
          </w:p>
        </w:tc>
      </w:tr>
      <w:tr w:rsidR="00E5433A" w:rsidRPr="00DE6A6F" w14:paraId="0D7EC3B5" w14:textId="77777777" w:rsidTr="00DD5056">
        <w:tblPrEx>
          <w:jc w:val="left"/>
        </w:tblPrEx>
        <w:trPr>
          <w:trHeight w:val="300"/>
        </w:trPr>
        <w:tc>
          <w:tcPr>
            <w:tcW w:w="9927" w:type="dxa"/>
            <w:gridSpan w:val="6"/>
            <w:shd w:val="clear" w:color="auto" w:fill="F2F2F2" w:themeFill="background1" w:themeFillShade="F2"/>
            <w:hideMark/>
          </w:tcPr>
          <w:p w14:paraId="520B1057" w14:textId="77777777" w:rsidR="00E5433A" w:rsidRPr="00DE6A6F" w:rsidRDefault="00E5433A" w:rsidP="00DD5056">
            <w:pPr>
              <w:pStyle w:val="Tablehead"/>
              <w:jc w:val="left"/>
            </w:pPr>
            <w:r w:rsidRPr="00DE6A6F">
              <w:t>Région Amériques: AMS (3)</w:t>
            </w:r>
          </w:p>
        </w:tc>
      </w:tr>
      <w:tr w:rsidR="00E5433A" w:rsidRPr="00DE6A6F" w14:paraId="29829940" w14:textId="77777777" w:rsidTr="00DD5056">
        <w:trPr>
          <w:trHeight w:val="576"/>
          <w:jc w:val="center"/>
        </w:trPr>
        <w:tc>
          <w:tcPr>
            <w:tcW w:w="2547" w:type="dxa"/>
            <w:noWrap/>
          </w:tcPr>
          <w:p w14:paraId="5326B205" w14:textId="77777777" w:rsidR="00E5433A" w:rsidRPr="00DE6A6F" w:rsidRDefault="00E5433A" w:rsidP="00DD5056">
            <w:pPr>
              <w:pStyle w:val="Tabletext"/>
            </w:pPr>
            <w:r w:rsidRPr="00DE6A6F">
              <w:t>Caraïbes</w:t>
            </w:r>
          </w:p>
        </w:tc>
        <w:tc>
          <w:tcPr>
            <w:tcW w:w="1843" w:type="dxa"/>
            <w:noWrap/>
          </w:tcPr>
          <w:p w14:paraId="0E885DA9" w14:textId="77777777" w:rsidR="00E5433A" w:rsidRPr="00DE6A6F" w:rsidRDefault="00E5433A" w:rsidP="00DD5056">
            <w:pPr>
              <w:pStyle w:val="Tabletext"/>
              <w:jc w:val="center"/>
            </w:pPr>
            <w:r w:rsidRPr="00DE6A6F">
              <w:t>Anglais</w:t>
            </w:r>
          </w:p>
        </w:tc>
        <w:tc>
          <w:tcPr>
            <w:tcW w:w="1707" w:type="dxa"/>
          </w:tcPr>
          <w:p w14:paraId="207DC8D4" w14:textId="77777777" w:rsidR="00E5433A" w:rsidRPr="00DE6A6F" w:rsidRDefault="00E5433A" w:rsidP="00DD5056">
            <w:pPr>
              <w:pStyle w:val="Tabletext"/>
              <w:jc w:val="center"/>
            </w:pPr>
            <w:r w:rsidRPr="00DE6A6F">
              <w:t>22-27 juillet</w:t>
            </w:r>
          </w:p>
          <w:p w14:paraId="148E3BD8" w14:textId="77777777" w:rsidR="00E5433A" w:rsidRPr="00DE6A6F" w:rsidRDefault="00E5433A" w:rsidP="00DD5056">
            <w:pPr>
              <w:pStyle w:val="Tabletext"/>
              <w:jc w:val="center"/>
            </w:pPr>
            <w:r w:rsidRPr="00DE6A6F">
              <w:t>Saint-Georges (Grenade)</w:t>
            </w:r>
          </w:p>
        </w:tc>
        <w:tc>
          <w:tcPr>
            <w:tcW w:w="1695" w:type="dxa"/>
            <w:noWrap/>
          </w:tcPr>
          <w:p w14:paraId="2F9A843E" w14:textId="77777777" w:rsidR="00E5433A" w:rsidRPr="00DE6A6F" w:rsidRDefault="00E5433A" w:rsidP="00DD5056">
            <w:pPr>
              <w:pStyle w:val="Tabletext"/>
              <w:jc w:val="center"/>
            </w:pPr>
            <w:r w:rsidRPr="00DE6A6F">
              <w:t>−</w:t>
            </w:r>
          </w:p>
        </w:tc>
        <w:tc>
          <w:tcPr>
            <w:tcW w:w="1275" w:type="dxa"/>
            <w:noWrap/>
          </w:tcPr>
          <w:p w14:paraId="55D00FE5" w14:textId="77777777" w:rsidR="00E5433A" w:rsidRPr="00DE6A6F" w:rsidRDefault="00E5433A" w:rsidP="00DD5056">
            <w:pPr>
              <w:pStyle w:val="Tabletext"/>
              <w:jc w:val="center"/>
            </w:pPr>
            <w:r w:rsidRPr="00DE6A6F">
              <w:t>−</w:t>
            </w:r>
          </w:p>
        </w:tc>
        <w:tc>
          <w:tcPr>
            <w:tcW w:w="860" w:type="dxa"/>
            <w:noWrap/>
          </w:tcPr>
          <w:p w14:paraId="29FEA813" w14:textId="77777777" w:rsidR="00E5433A" w:rsidRPr="00DE6A6F" w:rsidRDefault="00E5433A" w:rsidP="00DD5056">
            <w:pPr>
              <w:pStyle w:val="Tabletext"/>
              <w:jc w:val="center"/>
            </w:pPr>
            <w:r w:rsidRPr="00DE6A6F">
              <w:t>−</w:t>
            </w:r>
          </w:p>
        </w:tc>
      </w:tr>
      <w:tr w:rsidR="00E5433A" w:rsidRPr="00DE6A6F" w14:paraId="59378091" w14:textId="77777777" w:rsidTr="00DD5056">
        <w:trPr>
          <w:trHeight w:val="227"/>
          <w:jc w:val="center"/>
        </w:trPr>
        <w:tc>
          <w:tcPr>
            <w:tcW w:w="2547" w:type="dxa"/>
            <w:noWrap/>
            <w:hideMark/>
          </w:tcPr>
          <w:p w14:paraId="123DF682" w14:textId="77777777" w:rsidR="00E5433A" w:rsidRPr="00DE6A6F" w:rsidRDefault="00E5433A" w:rsidP="00DD5056">
            <w:pPr>
              <w:pStyle w:val="Tabletext"/>
            </w:pPr>
            <w:r w:rsidRPr="00DE6A6F">
              <w:t>Amérique du Sud</w:t>
            </w:r>
          </w:p>
        </w:tc>
        <w:tc>
          <w:tcPr>
            <w:tcW w:w="1843" w:type="dxa"/>
            <w:noWrap/>
            <w:hideMark/>
          </w:tcPr>
          <w:p w14:paraId="6E268CED" w14:textId="77777777" w:rsidR="00E5433A" w:rsidRPr="00DE6A6F" w:rsidRDefault="00E5433A" w:rsidP="00DD5056">
            <w:pPr>
              <w:pStyle w:val="Tabletext"/>
              <w:jc w:val="center"/>
            </w:pPr>
            <w:r w:rsidRPr="00DE6A6F">
              <w:t>Espagnol</w:t>
            </w:r>
          </w:p>
        </w:tc>
        <w:tc>
          <w:tcPr>
            <w:tcW w:w="1707" w:type="dxa"/>
            <w:hideMark/>
          </w:tcPr>
          <w:p w14:paraId="57F946AC" w14:textId="77777777" w:rsidR="00E5433A" w:rsidRPr="00DE6A6F" w:rsidRDefault="00E5433A" w:rsidP="00DD5056">
            <w:pPr>
              <w:pStyle w:val="Tabletext"/>
              <w:jc w:val="center"/>
            </w:pPr>
            <w:r w:rsidRPr="00DE6A6F">
              <w:t>−</w:t>
            </w:r>
          </w:p>
        </w:tc>
        <w:tc>
          <w:tcPr>
            <w:tcW w:w="1695" w:type="dxa"/>
            <w:noWrap/>
            <w:hideMark/>
          </w:tcPr>
          <w:p w14:paraId="111927F4" w14:textId="77777777" w:rsidR="00E5433A" w:rsidRPr="00DE6A6F" w:rsidRDefault="00E5433A" w:rsidP="00DD5056">
            <w:pPr>
              <w:pStyle w:val="Tabletext"/>
              <w:jc w:val="center"/>
            </w:pPr>
            <w:r w:rsidRPr="00DE6A6F">
              <w:t> </w:t>
            </w:r>
          </w:p>
        </w:tc>
        <w:tc>
          <w:tcPr>
            <w:tcW w:w="1275" w:type="dxa"/>
            <w:noWrap/>
            <w:hideMark/>
          </w:tcPr>
          <w:p w14:paraId="0D1E6B99" w14:textId="77777777" w:rsidR="00E5433A" w:rsidRPr="00DE6A6F" w:rsidRDefault="00E5433A" w:rsidP="00DD5056">
            <w:pPr>
              <w:pStyle w:val="Tabletext"/>
              <w:jc w:val="center"/>
            </w:pPr>
            <w:r w:rsidRPr="00DE6A6F">
              <w:t>−</w:t>
            </w:r>
          </w:p>
        </w:tc>
        <w:tc>
          <w:tcPr>
            <w:tcW w:w="860" w:type="dxa"/>
            <w:noWrap/>
            <w:hideMark/>
          </w:tcPr>
          <w:p w14:paraId="631289A6" w14:textId="77777777" w:rsidR="00E5433A" w:rsidRPr="00DE6A6F" w:rsidRDefault="00E5433A" w:rsidP="00DD5056">
            <w:pPr>
              <w:pStyle w:val="Tabletext"/>
              <w:jc w:val="center"/>
            </w:pPr>
            <w:r w:rsidRPr="00DE6A6F">
              <w:t>−</w:t>
            </w:r>
          </w:p>
        </w:tc>
      </w:tr>
      <w:tr w:rsidR="00E5433A" w:rsidRPr="00DE6A6F" w14:paraId="5D63DBFA" w14:textId="77777777" w:rsidTr="00DD5056">
        <w:trPr>
          <w:trHeight w:val="300"/>
          <w:jc w:val="center"/>
        </w:trPr>
        <w:tc>
          <w:tcPr>
            <w:tcW w:w="2547" w:type="dxa"/>
            <w:noWrap/>
            <w:hideMark/>
          </w:tcPr>
          <w:p w14:paraId="414C1DA8" w14:textId="77777777" w:rsidR="00E5433A" w:rsidRPr="00DE6A6F" w:rsidRDefault="00E5433A" w:rsidP="00DD5056">
            <w:pPr>
              <w:pStyle w:val="Tabletext"/>
            </w:pPr>
            <w:r w:rsidRPr="00DE6A6F">
              <w:t>Mésoamérique</w:t>
            </w:r>
          </w:p>
        </w:tc>
        <w:tc>
          <w:tcPr>
            <w:tcW w:w="1843" w:type="dxa"/>
            <w:noWrap/>
            <w:hideMark/>
          </w:tcPr>
          <w:p w14:paraId="201A8DD9" w14:textId="77777777" w:rsidR="00E5433A" w:rsidRPr="00DE6A6F" w:rsidRDefault="00E5433A" w:rsidP="00DD5056">
            <w:pPr>
              <w:pStyle w:val="Tabletext"/>
              <w:jc w:val="center"/>
            </w:pPr>
            <w:r w:rsidRPr="00DE6A6F">
              <w:t>Espagnol/anglais</w:t>
            </w:r>
          </w:p>
        </w:tc>
        <w:tc>
          <w:tcPr>
            <w:tcW w:w="1707" w:type="dxa"/>
            <w:noWrap/>
            <w:hideMark/>
          </w:tcPr>
          <w:p w14:paraId="35C0932D" w14:textId="77777777" w:rsidR="00E5433A" w:rsidRPr="00DE6A6F" w:rsidRDefault="00E5433A" w:rsidP="00DD5056">
            <w:pPr>
              <w:pStyle w:val="Tabletext"/>
              <w:jc w:val="center"/>
            </w:pPr>
            <w:r w:rsidRPr="00DE6A6F">
              <w:t>−</w:t>
            </w:r>
          </w:p>
        </w:tc>
        <w:tc>
          <w:tcPr>
            <w:tcW w:w="1695" w:type="dxa"/>
            <w:noWrap/>
            <w:hideMark/>
          </w:tcPr>
          <w:p w14:paraId="37DAFAEB" w14:textId="77777777" w:rsidR="00E5433A" w:rsidRPr="00DE6A6F" w:rsidRDefault="00E5433A" w:rsidP="00DD5056">
            <w:pPr>
              <w:pStyle w:val="Tabletext"/>
              <w:jc w:val="center"/>
            </w:pPr>
            <w:r w:rsidRPr="00DE6A6F">
              <w:t>16-20 juin</w:t>
            </w:r>
            <w:r w:rsidRPr="00DE6A6F">
              <w:br/>
              <w:t>Tegucigalpa (Honduras)</w:t>
            </w:r>
          </w:p>
        </w:tc>
        <w:tc>
          <w:tcPr>
            <w:tcW w:w="1275" w:type="dxa"/>
            <w:noWrap/>
            <w:hideMark/>
          </w:tcPr>
          <w:p w14:paraId="66D8CD7B" w14:textId="77777777" w:rsidR="00E5433A" w:rsidRPr="00DE6A6F" w:rsidRDefault="00E5433A" w:rsidP="00DD5056">
            <w:pPr>
              <w:pStyle w:val="Tabletext"/>
              <w:jc w:val="center"/>
            </w:pPr>
            <w:r w:rsidRPr="00DE6A6F">
              <w:t>Juin</w:t>
            </w:r>
          </w:p>
        </w:tc>
        <w:tc>
          <w:tcPr>
            <w:tcW w:w="860" w:type="dxa"/>
            <w:hideMark/>
          </w:tcPr>
          <w:p w14:paraId="264FC5CC" w14:textId="77777777" w:rsidR="00E5433A" w:rsidRPr="00DE6A6F" w:rsidRDefault="00E5433A" w:rsidP="00DD5056">
            <w:pPr>
              <w:pStyle w:val="Tabletext"/>
              <w:jc w:val="center"/>
            </w:pPr>
            <w:r w:rsidRPr="00DE6A6F">
              <w:t>−</w:t>
            </w:r>
          </w:p>
        </w:tc>
      </w:tr>
      <w:tr w:rsidR="00E5433A" w:rsidRPr="00DE6A6F" w14:paraId="6A5C8EC6" w14:textId="77777777" w:rsidTr="00DD5056">
        <w:trPr>
          <w:trHeight w:val="300"/>
          <w:jc w:val="center"/>
        </w:trPr>
        <w:tc>
          <w:tcPr>
            <w:tcW w:w="9927" w:type="dxa"/>
            <w:gridSpan w:val="6"/>
            <w:shd w:val="clear" w:color="auto" w:fill="F2F2F2" w:themeFill="background1" w:themeFillShade="F2"/>
            <w:hideMark/>
          </w:tcPr>
          <w:p w14:paraId="5AFB00DA" w14:textId="77777777" w:rsidR="00E5433A" w:rsidRPr="00DE6A6F" w:rsidRDefault="00E5433A" w:rsidP="00DD5056">
            <w:pPr>
              <w:pStyle w:val="Tablehead"/>
              <w:jc w:val="left"/>
            </w:pPr>
            <w:r w:rsidRPr="00DE6A6F">
              <w:t>Région Asie-Pacifique: APC (3)</w:t>
            </w:r>
          </w:p>
        </w:tc>
      </w:tr>
      <w:tr w:rsidR="00E5433A" w:rsidRPr="00DE6A6F" w14:paraId="67C69C1D" w14:textId="77777777" w:rsidTr="00DD5056">
        <w:trPr>
          <w:trHeight w:val="288"/>
          <w:jc w:val="center"/>
        </w:trPr>
        <w:tc>
          <w:tcPr>
            <w:tcW w:w="2547" w:type="dxa"/>
            <w:noWrap/>
          </w:tcPr>
          <w:p w14:paraId="7BDE2B20" w14:textId="77777777" w:rsidR="00E5433A" w:rsidRPr="00DE6A6F" w:rsidRDefault="00E5433A" w:rsidP="00DD5056">
            <w:pPr>
              <w:pStyle w:val="Tabletext"/>
            </w:pPr>
            <w:r w:rsidRPr="00DE6A6F">
              <w:t>États insulaires du Pacifique</w:t>
            </w:r>
          </w:p>
        </w:tc>
        <w:tc>
          <w:tcPr>
            <w:tcW w:w="1843" w:type="dxa"/>
            <w:noWrap/>
          </w:tcPr>
          <w:p w14:paraId="15296BBB" w14:textId="77777777" w:rsidR="00E5433A" w:rsidRPr="00DE6A6F" w:rsidRDefault="00E5433A" w:rsidP="00DD5056">
            <w:pPr>
              <w:pStyle w:val="Tabletext"/>
              <w:jc w:val="center"/>
            </w:pPr>
            <w:r w:rsidRPr="00DE6A6F">
              <w:t>Anglais</w:t>
            </w:r>
          </w:p>
        </w:tc>
        <w:tc>
          <w:tcPr>
            <w:tcW w:w="1707" w:type="dxa"/>
            <w:noWrap/>
            <w:hideMark/>
          </w:tcPr>
          <w:p w14:paraId="71169735" w14:textId="77777777" w:rsidR="00E5433A" w:rsidRPr="00DE6A6F" w:rsidRDefault="00E5433A" w:rsidP="00DD5056">
            <w:pPr>
              <w:pStyle w:val="Tabletext"/>
              <w:jc w:val="center"/>
            </w:pPr>
            <w:r w:rsidRPr="00DE6A6F">
              <w:t>16</w:t>
            </w:r>
            <w:r w:rsidRPr="00DE6A6F">
              <w:noBreakHyphen/>
              <w:t>21 septembre</w:t>
            </w:r>
          </w:p>
          <w:p w14:paraId="0AB3C7E4" w14:textId="77777777" w:rsidR="00E5433A" w:rsidRPr="00DE6A6F" w:rsidRDefault="00E5433A" w:rsidP="00DD5056">
            <w:pPr>
              <w:pStyle w:val="Tabletext"/>
              <w:jc w:val="center"/>
            </w:pPr>
            <w:r w:rsidRPr="00DE6A6F">
              <w:t>Apia (Samoa)</w:t>
            </w:r>
          </w:p>
        </w:tc>
        <w:tc>
          <w:tcPr>
            <w:tcW w:w="1695" w:type="dxa"/>
            <w:noWrap/>
            <w:hideMark/>
          </w:tcPr>
          <w:p w14:paraId="2E081E37" w14:textId="77777777" w:rsidR="00E5433A" w:rsidRPr="00DE6A6F" w:rsidRDefault="00E5433A" w:rsidP="00DD5056">
            <w:pPr>
              <w:pStyle w:val="Tabletext"/>
              <w:jc w:val="center"/>
            </w:pPr>
            <w:r w:rsidRPr="00DE6A6F">
              <w:t>−</w:t>
            </w:r>
          </w:p>
        </w:tc>
        <w:tc>
          <w:tcPr>
            <w:tcW w:w="1275" w:type="dxa"/>
            <w:hideMark/>
          </w:tcPr>
          <w:p w14:paraId="087BFA27" w14:textId="77777777" w:rsidR="00E5433A" w:rsidRPr="00DE6A6F" w:rsidRDefault="00E5433A" w:rsidP="00DD5056">
            <w:pPr>
              <w:pStyle w:val="Tabletext"/>
              <w:jc w:val="center"/>
            </w:pPr>
            <w:r w:rsidRPr="00DE6A6F">
              <w:t>−</w:t>
            </w:r>
          </w:p>
        </w:tc>
        <w:tc>
          <w:tcPr>
            <w:tcW w:w="860" w:type="dxa"/>
            <w:noWrap/>
            <w:hideMark/>
          </w:tcPr>
          <w:p w14:paraId="1738594D" w14:textId="77777777" w:rsidR="00E5433A" w:rsidRPr="00DE6A6F" w:rsidRDefault="00E5433A" w:rsidP="00DD5056">
            <w:pPr>
              <w:pStyle w:val="Tabletext"/>
              <w:jc w:val="center"/>
            </w:pPr>
            <w:r w:rsidRPr="00DE6A6F">
              <w:t>−</w:t>
            </w:r>
          </w:p>
        </w:tc>
      </w:tr>
      <w:tr w:rsidR="00E5433A" w:rsidRPr="00DE6A6F" w14:paraId="61EC69E8" w14:textId="77777777" w:rsidTr="00DD5056">
        <w:trPr>
          <w:trHeight w:val="409"/>
          <w:jc w:val="center"/>
        </w:trPr>
        <w:tc>
          <w:tcPr>
            <w:tcW w:w="2547" w:type="dxa"/>
            <w:noWrap/>
            <w:hideMark/>
          </w:tcPr>
          <w:p w14:paraId="495FE6C4" w14:textId="77777777" w:rsidR="00E5433A" w:rsidRPr="00DE6A6F" w:rsidRDefault="00E5433A" w:rsidP="00DD5056">
            <w:pPr>
              <w:pStyle w:val="Tabletext"/>
            </w:pPr>
            <w:r w:rsidRPr="00DE6A6F">
              <w:t>Asie méridionale</w:t>
            </w:r>
          </w:p>
        </w:tc>
        <w:tc>
          <w:tcPr>
            <w:tcW w:w="1843" w:type="dxa"/>
            <w:noWrap/>
            <w:hideMark/>
          </w:tcPr>
          <w:p w14:paraId="7F24CC0F" w14:textId="77777777" w:rsidR="00E5433A" w:rsidRPr="00DE6A6F" w:rsidRDefault="00E5433A" w:rsidP="00DD5056">
            <w:pPr>
              <w:pStyle w:val="Tabletext"/>
              <w:jc w:val="center"/>
            </w:pPr>
            <w:r w:rsidRPr="00DE6A6F">
              <w:t>Anglais</w:t>
            </w:r>
          </w:p>
        </w:tc>
        <w:tc>
          <w:tcPr>
            <w:tcW w:w="1707" w:type="dxa"/>
            <w:hideMark/>
          </w:tcPr>
          <w:p w14:paraId="41B55A01" w14:textId="77777777" w:rsidR="00E5433A" w:rsidRPr="00DE6A6F" w:rsidRDefault="00E5433A" w:rsidP="00DD5056">
            <w:pPr>
              <w:pStyle w:val="Tabletext"/>
              <w:jc w:val="center"/>
            </w:pPr>
            <w:r w:rsidRPr="00DE6A6F">
              <w:t>−</w:t>
            </w:r>
          </w:p>
        </w:tc>
        <w:tc>
          <w:tcPr>
            <w:tcW w:w="1695" w:type="dxa"/>
            <w:noWrap/>
          </w:tcPr>
          <w:p w14:paraId="654AAA42" w14:textId="77777777" w:rsidR="00E5433A" w:rsidRPr="00DE6A6F" w:rsidRDefault="00E5433A" w:rsidP="00DD5056">
            <w:pPr>
              <w:pStyle w:val="Tabletext"/>
              <w:jc w:val="center"/>
            </w:pPr>
            <w:r w:rsidRPr="00DE6A6F">
              <w:t>15</w:t>
            </w:r>
            <w:r w:rsidRPr="00DE6A6F">
              <w:noBreakHyphen/>
              <w:t>19 septembre</w:t>
            </w:r>
            <w:r w:rsidRPr="00DE6A6F">
              <w:br/>
              <w:t>Chine</w:t>
            </w:r>
          </w:p>
          <w:p w14:paraId="7C729445" w14:textId="77777777" w:rsidR="00E5433A" w:rsidRPr="00DE6A6F" w:rsidRDefault="00E5433A" w:rsidP="00DD5056">
            <w:pPr>
              <w:pStyle w:val="Tabletext"/>
              <w:jc w:val="center"/>
            </w:pPr>
            <w:r w:rsidRPr="00DE6A6F">
              <w:t>(date et lieu provisoires)</w:t>
            </w:r>
          </w:p>
        </w:tc>
        <w:tc>
          <w:tcPr>
            <w:tcW w:w="1275" w:type="dxa"/>
            <w:noWrap/>
            <w:hideMark/>
          </w:tcPr>
          <w:p w14:paraId="52AF034A" w14:textId="77777777" w:rsidR="00E5433A" w:rsidRPr="00DE6A6F" w:rsidRDefault="00E5433A" w:rsidP="00DD5056">
            <w:pPr>
              <w:pStyle w:val="Tabletext"/>
              <w:jc w:val="center"/>
            </w:pPr>
            <w:r w:rsidRPr="00DE6A6F">
              <w:t>−</w:t>
            </w:r>
          </w:p>
        </w:tc>
        <w:tc>
          <w:tcPr>
            <w:tcW w:w="860" w:type="dxa"/>
            <w:noWrap/>
            <w:hideMark/>
          </w:tcPr>
          <w:p w14:paraId="1F1E2133" w14:textId="77777777" w:rsidR="00E5433A" w:rsidRPr="00DE6A6F" w:rsidRDefault="00E5433A" w:rsidP="00DD5056">
            <w:pPr>
              <w:pStyle w:val="Tabletext"/>
              <w:jc w:val="center"/>
            </w:pPr>
            <w:r w:rsidRPr="00DE6A6F">
              <w:t>−</w:t>
            </w:r>
          </w:p>
        </w:tc>
      </w:tr>
      <w:tr w:rsidR="00E5433A" w:rsidRPr="00DE6A6F" w14:paraId="4823EB09" w14:textId="77777777" w:rsidTr="00DD5056">
        <w:trPr>
          <w:trHeight w:val="415"/>
          <w:jc w:val="center"/>
        </w:trPr>
        <w:tc>
          <w:tcPr>
            <w:tcW w:w="2547" w:type="dxa"/>
            <w:noWrap/>
          </w:tcPr>
          <w:p w14:paraId="45A7D4F4" w14:textId="77777777" w:rsidR="00E5433A" w:rsidRPr="00DE6A6F" w:rsidRDefault="00E5433A" w:rsidP="00DD5056">
            <w:pPr>
              <w:pStyle w:val="Tabletext"/>
            </w:pPr>
            <w:r w:rsidRPr="00DE6A6F">
              <w:t>Asie centrale</w:t>
            </w:r>
          </w:p>
        </w:tc>
        <w:tc>
          <w:tcPr>
            <w:tcW w:w="1843" w:type="dxa"/>
            <w:noWrap/>
          </w:tcPr>
          <w:p w14:paraId="52A16F27" w14:textId="77777777" w:rsidR="00E5433A" w:rsidRPr="00DE6A6F" w:rsidRDefault="00E5433A" w:rsidP="00DD5056">
            <w:pPr>
              <w:pStyle w:val="Tabletext"/>
              <w:jc w:val="center"/>
            </w:pPr>
            <w:r w:rsidRPr="00DE6A6F">
              <w:t>Anglais</w:t>
            </w:r>
          </w:p>
        </w:tc>
        <w:tc>
          <w:tcPr>
            <w:tcW w:w="1707" w:type="dxa"/>
            <w:noWrap/>
          </w:tcPr>
          <w:p w14:paraId="16321532" w14:textId="77777777" w:rsidR="00E5433A" w:rsidRPr="00DE6A6F" w:rsidRDefault="00E5433A" w:rsidP="00DD5056">
            <w:pPr>
              <w:pStyle w:val="Tabletext"/>
              <w:jc w:val="center"/>
              <w:rPr>
                <w:b/>
                <w:bCs/>
              </w:rPr>
            </w:pPr>
            <w:r w:rsidRPr="00DE6A6F">
              <w:t>−</w:t>
            </w:r>
          </w:p>
        </w:tc>
        <w:tc>
          <w:tcPr>
            <w:tcW w:w="1695" w:type="dxa"/>
          </w:tcPr>
          <w:p w14:paraId="1A63D377" w14:textId="77777777" w:rsidR="00E5433A" w:rsidRPr="00DE6A6F" w:rsidRDefault="00E5433A" w:rsidP="00DD5056">
            <w:pPr>
              <w:pStyle w:val="Tabletext"/>
              <w:jc w:val="center"/>
              <w:rPr>
                <w:b/>
                <w:bCs/>
              </w:rPr>
            </w:pPr>
            <w:r w:rsidRPr="00DE6A6F">
              <w:t>−</w:t>
            </w:r>
          </w:p>
        </w:tc>
        <w:tc>
          <w:tcPr>
            <w:tcW w:w="1275" w:type="dxa"/>
            <w:noWrap/>
          </w:tcPr>
          <w:p w14:paraId="02B44DD5" w14:textId="77777777" w:rsidR="00E5433A" w:rsidRPr="00DE6A6F" w:rsidRDefault="00E5433A" w:rsidP="00DD5056">
            <w:pPr>
              <w:pStyle w:val="Tabletext"/>
              <w:jc w:val="center"/>
            </w:pPr>
            <w:r w:rsidRPr="00DE6A6F">
              <w:t>Septembre</w:t>
            </w:r>
          </w:p>
        </w:tc>
        <w:tc>
          <w:tcPr>
            <w:tcW w:w="860" w:type="dxa"/>
            <w:noWrap/>
          </w:tcPr>
          <w:p w14:paraId="5A1A906F" w14:textId="77777777" w:rsidR="00E5433A" w:rsidRPr="00DE6A6F" w:rsidRDefault="00E5433A" w:rsidP="00DD5056">
            <w:pPr>
              <w:pStyle w:val="Tabletext"/>
              <w:jc w:val="center"/>
            </w:pPr>
            <w:r w:rsidRPr="00DE6A6F">
              <w:t>−</w:t>
            </w:r>
          </w:p>
        </w:tc>
      </w:tr>
      <w:tr w:rsidR="00E5433A" w:rsidRPr="00DE6A6F" w14:paraId="0A7016E3" w14:textId="77777777" w:rsidTr="00DD5056">
        <w:trPr>
          <w:trHeight w:val="300"/>
          <w:jc w:val="center"/>
        </w:trPr>
        <w:tc>
          <w:tcPr>
            <w:tcW w:w="2547" w:type="dxa"/>
            <w:shd w:val="clear" w:color="auto" w:fill="F2F2F2" w:themeFill="background1" w:themeFillShade="F2"/>
            <w:hideMark/>
          </w:tcPr>
          <w:p w14:paraId="24FC9AA7" w14:textId="77777777" w:rsidR="00E5433A" w:rsidRPr="00DE6A6F" w:rsidRDefault="00E5433A" w:rsidP="00DD5056">
            <w:pPr>
              <w:pStyle w:val="Tablehead"/>
              <w:jc w:val="left"/>
            </w:pPr>
            <w:r w:rsidRPr="00DE6A6F">
              <w:lastRenderedPageBreak/>
              <w:t>Région des États arabes: ARB (1)</w:t>
            </w:r>
          </w:p>
        </w:tc>
        <w:tc>
          <w:tcPr>
            <w:tcW w:w="1843" w:type="dxa"/>
            <w:hideMark/>
          </w:tcPr>
          <w:p w14:paraId="09C5BF1B" w14:textId="77777777" w:rsidR="00E5433A" w:rsidRPr="00DE6A6F" w:rsidRDefault="00E5433A" w:rsidP="00DD5056">
            <w:pPr>
              <w:pStyle w:val="Tabletext"/>
              <w:jc w:val="center"/>
            </w:pPr>
            <w:r w:rsidRPr="00DE6A6F">
              <w:t>Anglais/arabe</w:t>
            </w:r>
          </w:p>
        </w:tc>
        <w:tc>
          <w:tcPr>
            <w:tcW w:w="1707" w:type="dxa"/>
            <w:noWrap/>
          </w:tcPr>
          <w:p w14:paraId="02411866" w14:textId="77777777" w:rsidR="00E5433A" w:rsidRPr="00DE6A6F" w:rsidRDefault="00E5433A" w:rsidP="00DD5056">
            <w:pPr>
              <w:pStyle w:val="Tabletext"/>
              <w:jc w:val="center"/>
            </w:pPr>
            <w:r w:rsidRPr="00DE6A6F">
              <w:t>−</w:t>
            </w:r>
          </w:p>
        </w:tc>
        <w:tc>
          <w:tcPr>
            <w:tcW w:w="1695" w:type="dxa"/>
            <w:noWrap/>
            <w:hideMark/>
          </w:tcPr>
          <w:p w14:paraId="1651AD44" w14:textId="77777777" w:rsidR="00E5433A" w:rsidRPr="00DE6A6F" w:rsidRDefault="00E5433A" w:rsidP="00DD5056">
            <w:pPr>
              <w:pStyle w:val="Tabletext"/>
              <w:jc w:val="center"/>
            </w:pPr>
            <w:r w:rsidRPr="00DE6A6F">
              <w:t>−</w:t>
            </w:r>
          </w:p>
        </w:tc>
        <w:tc>
          <w:tcPr>
            <w:tcW w:w="1275" w:type="dxa"/>
            <w:noWrap/>
            <w:hideMark/>
          </w:tcPr>
          <w:p w14:paraId="5670C3A0" w14:textId="77777777" w:rsidR="00E5433A" w:rsidRPr="00DE6A6F" w:rsidRDefault="00E5433A" w:rsidP="00DD5056">
            <w:pPr>
              <w:pStyle w:val="Tabletext"/>
              <w:jc w:val="center"/>
            </w:pPr>
            <w:r w:rsidRPr="00DE6A6F">
              <w:t>Février</w:t>
            </w:r>
          </w:p>
        </w:tc>
        <w:tc>
          <w:tcPr>
            <w:tcW w:w="860" w:type="dxa"/>
            <w:noWrap/>
            <w:hideMark/>
          </w:tcPr>
          <w:p w14:paraId="3F0DAB44" w14:textId="77777777" w:rsidR="00E5433A" w:rsidRPr="00DE6A6F" w:rsidRDefault="00E5433A" w:rsidP="00DD5056">
            <w:pPr>
              <w:pStyle w:val="Tabletext"/>
              <w:jc w:val="center"/>
            </w:pPr>
            <w:r w:rsidRPr="00DE6A6F">
              <w:t>−</w:t>
            </w:r>
          </w:p>
        </w:tc>
      </w:tr>
      <w:tr w:rsidR="00E5433A" w:rsidRPr="00DE6A6F" w14:paraId="3599C030" w14:textId="77777777" w:rsidTr="00DD5056">
        <w:trPr>
          <w:trHeight w:val="300"/>
          <w:jc w:val="center"/>
        </w:trPr>
        <w:tc>
          <w:tcPr>
            <w:tcW w:w="2547" w:type="dxa"/>
            <w:shd w:val="clear" w:color="auto" w:fill="F2F2F2" w:themeFill="background1" w:themeFillShade="F2"/>
            <w:hideMark/>
          </w:tcPr>
          <w:p w14:paraId="092ACB60" w14:textId="77777777" w:rsidR="00E5433A" w:rsidRPr="00DE6A6F" w:rsidRDefault="00E5433A" w:rsidP="00DD5056">
            <w:pPr>
              <w:pStyle w:val="Tablehead"/>
              <w:jc w:val="left"/>
            </w:pPr>
            <w:r w:rsidRPr="00DE6A6F">
              <w:t>CEI et Europe de l'Est (1)</w:t>
            </w:r>
          </w:p>
        </w:tc>
        <w:tc>
          <w:tcPr>
            <w:tcW w:w="1843" w:type="dxa"/>
            <w:hideMark/>
          </w:tcPr>
          <w:p w14:paraId="49C8CB3C" w14:textId="77777777" w:rsidR="00E5433A" w:rsidRPr="00DE6A6F" w:rsidRDefault="00E5433A" w:rsidP="00DD5056">
            <w:pPr>
              <w:pStyle w:val="Tabletext"/>
              <w:jc w:val="center"/>
            </w:pPr>
            <w:r w:rsidRPr="00DE6A6F">
              <w:t xml:space="preserve">Russe </w:t>
            </w:r>
          </w:p>
        </w:tc>
        <w:tc>
          <w:tcPr>
            <w:tcW w:w="1707" w:type="dxa"/>
            <w:noWrap/>
            <w:hideMark/>
          </w:tcPr>
          <w:p w14:paraId="3729A0D4" w14:textId="77777777" w:rsidR="00E5433A" w:rsidRPr="00DE6A6F" w:rsidRDefault="00E5433A" w:rsidP="00DD5056">
            <w:pPr>
              <w:pStyle w:val="Tabletext"/>
              <w:jc w:val="center"/>
            </w:pPr>
            <w:r w:rsidRPr="00DE6A6F">
              <w:t>15-19 avril</w:t>
            </w:r>
          </w:p>
          <w:p w14:paraId="530BAB4C" w14:textId="77777777" w:rsidR="00E5433A" w:rsidRPr="00DE6A6F" w:rsidRDefault="00E5433A" w:rsidP="00DD5056">
            <w:pPr>
              <w:pStyle w:val="Tabletext"/>
              <w:jc w:val="center"/>
            </w:pPr>
            <w:r w:rsidRPr="00DE6A6F">
              <w:t>Astana (Kazakhstan)</w:t>
            </w:r>
          </w:p>
        </w:tc>
        <w:tc>
          <w:tcPr>
            <w:tcW w:w="1695" w:type="dxa"/>
            <w:noWrap/>
            <w:hideMark/>
          </w:tcPr>
          <w:p w14:paraId="01B76AFD" w14:textId="77777777" w:rsidR="00E5433A" w:rsidRPr="00DE6A6F" w:rsidRDefault="00E5433A" w:rsidP="00DD5056">
            <w:pPr>
              <w:pStyle w:val="Tabletext"/>
              <w:jc w:val="center"/>
            </w:pPr>
            <w:r w:rsidRPr="00DE6A6F">
              <w:t>−</w:t>
            </w:r>
          </w:p>
        </w:tc>
        <w:tc>
          <w:tcPr>
            <w:tcW w:w="1275" w:type="dxa"/>
            <w:hideMark/>
          </w:tcPr>
          <w:p w14:paraId="7490205B" w14:textId="77777777" w:rsidR="00E5433A" w:rsidRPr="00DE6A6F" w:rsidRDefault="00E5433A" w:rsidP="00DD5056">
            <w:pPr>
              <w:pStyle w:val="Tabletext"/>
              <w:jc w:val="center"/>
            </w:pPr>
            <w:r w:rsidRPr="00DE6A6F">
              <w:t>−</w:t>
            </w:r>
          </w:p>
        </w:tc>
        <w:tc>
          <w:tcPr>
            <w:tcW w:w="860" w:type="dxa"/>
            <w:noWrap/>
            <w:hideMark/>
          </w:tcPr>
          <w:p w14:paraId="583648F5" w14:textId="77777777" w:rsidR="00E5433A" w:rsidRPr="00DE6A6F" w:rsidRDefault="00E5433A" w:rsidP="00DD5056">
            <w:pPr>
              <w:pStyle w:val="Tabletext"/>
              <w:jc w:val="center"/>
            </w:pPr>
            <w:r w:rsidRPr="00DE6A6F">
              <w:t>−</w:t>
            </w:r>
          </w:p>
        </w:tc>
      </w:tr>
      <w:tr w:rsidR="00E5433A" w:rsidRPr="00DE6A6F" w14:paraId="6F973196" w14:textId="77777777" w:rsidTr="00DD5056">
        <w:trPr>
          <w:trHeight w:val="300"/>
          <w:jc w:val="center"/>
        </w:trPr>
        <w:tc>
          <w:tcPr>
            <w:tcW w:w="2547" w:type="dxa"/>
            <w:shd w:val="clear" w:color="auto" w:fill="F2F2F2" w:themeFill="background1" w:themeFillShade="F2"/>
            <w:hideMark/>
          </w:tcPr>
          <w:p w14:paraId="666EBB77" w14:textId="77777777" w:rsidR="00E5433A" w:rsidRPr="00DE6A6F" w:rsidRDefault="00E5433A" w:rsidP="00DD5056">
            <w:pPr>
              <w:pStyle w:val="Tablehead"/>
              <w:jc w:val="left"/>
            </w:pPr>
            <w:r w:rsidRPr="00DE6A6F">
              <w:t>Région Europe (1)</w:t>
            </w:r>
          </w:p>
        </w:tc>
        <w:tc>
          <w:tcPr>
            <w:tcW w:w="1843" w:type="dxa"/>
            <w:hideMark/>
          </w:tcPr>
          <w:p w14:paraId="411AAFC1" w14:textId="77777777" w:rsidR="00E5433A" w:rsidRPr="00DE6A6F" w:rsidRDefault="00E5433A" w:rsidP="00DD5056">
            <w:pPr>
              <w:pStyle w:val="Tabletext"/>
              <w:jc w:val="center"/>
            </w:pPr>
            <w:r w:rsidRPr="00DE6A6F">
              <w:t>Anglais</w:t>
            </w:r>
          </w:p>
        </w:tc>
        <w:tc>
          <w:tcPr>
            <w:tcW w:w="1707" w:type="dxa"/>
            <w:noWrap/>
            <w:hideMark/>
          </w:tcPr>
          <w:p w14:paraId="37D54BB1" w14:textId="77777777" w:rsidR="00E5433A" w:rsidRPr="00DE6A6F" w:rsidRDefault="00E5433A" w:rsidP="00DD5056">
            <w:pPr>
              <w:pStyle w:val="Tabletext"/>
              <w:jc w:val="center"/>
            </w:pPr>
            <w:r w:rsidRPr="00DE6A6F">
              <w:t>−</w:t>
            </w:r>
          </w:p>
        </w:tc>
        <w:tc>
          <w:tcPr>
            <w:tcW w:w="1695" w:type="dxa"/>
            <w:noWrap/>
            <w:hideMark/>
          </w:tcPr>
          <w:p w14:paraId="0CC59135" w14:textId="77777777" w:rsidR="00E5433A" w:rsidRPr="00DE6A6F" w:rsidRDefault="00E5433A" w:rsidP="00DD5056">
            <w:pPr>
              <w:pStyle w:val="Tabletext"/>
              <w:jc w:val="center"/>
            </w:pPr>
            <w:r w:rsidRPr="00DE6A6F">
              <w:t>−</w:t>
            </w:r>
          </w:p>
        </w:tc>
        <w:tc>
          <w:tcPr>
            <w:tcW w:w="1275" w:type="dxa"/>
            <w:noWrap/>
            <w:hideMark/>
          </w:tcPr>
          <w:p w14:paraId="126051CF" w14:textId="77777777" w:rsidR="00E5433A" w:rsidRPr="00DE6A6F" w:rsidRDefault="00E5433A" w:rsidP="00DD5056">
            <w:pPr>
              <w:pStyle w:val="Tabletext"/>
              <w:jc w:val="center"/>
            </w:pPr>
            <w:r w:rsidRPr="00DE6A6F">
              <w:t>−</w:t>
            </w:r>
          </w:p>
        </w:tc>
        <w:tc>
          <w:tcPr>
            <w:tcW w:w="860" w:type="dxa"/>
            <w:hideMark/>
          </w:tcPr>
          <w:p w14:paraId="142F247B" w14:textId="77777777" w:rsidR="00E5433A" w:rsidRPr="00DE6A6F" w:rsidRDefault="00E5433A" w:rsidP="00DD5056">
            <w:pPr>
              <w:pStyle w:val="Tabletext"/>
              <w:jc w:val="center"/>
            </w:pPr>
            <w:r w:rsidRPr="00DE6A6F">
              <w:t>Avril</w:t>
            </w:r>
          </w:p>
        </w:tc>
      </w:tr>
    </w:tbl>
    <w:p w14:paraId="16563C75" w14:textId="77777777" w:rsidR="00E5433A" w:rsidRPr="00DE6A6F" w:rsidRDefault="00E5433A" w:rsidP="00E5433A">
      <w:pPr>
        <w:pStyle w:val="Tablefin"/>
        <w:rPr>
          <w:highlight w:val="cyan"/>
        </w:rPr>
      </w:pPr>
    </w:p>
    <w:p w14:paraId="055A1CD0" w14:textId="77777777" w:rsidR="00E5433A" w:rsidRPr="00DE6A6F" w:rsidRDefault="00E5433A" w:rsidP="00E5433A">
      <w:r w:rsidRPr="00DE6A6F">
        <w:t>Comme lors des périodes précédentes, afin d'optimiser les ressources nécessaires, le calendrier proposé ci-dessus est établi selon les principes suivants:</w:t>
      </w:r>
    </w:p>
    <w:p w14:paraId="6D1015E7" w14:textId="77777777" w:rsidR="00E5433A" w:rsidRPr="00DE6A6F" w:rsidRDefault="00E5433A" w:rsidP="00E5433A">
      <w:pPr>
        <w:pStyle w:val="enumlev1"/>
      </w:pPr>
      <w:r w:rsidRPr="00DE6A6F">
        <w:t>•</w:t>
      </w:r>
      <w:r w:rsidRPr="00DE6A6F">
        <w:tab/>
        <w:t>Premier trimestre de 2024: aucun séminaire RRS/WRS, mise à jour du RR et des outils logiciels associés.</w:t>
      </w:r>
    </w:p>
    <w:p w14:paraId="1D251D8E" w14:textId="77777777" w:rsidR="00E5433A" w:rsidRPr="00DE6A6F" w:rsidRDefault="00E5433A" w:rsidP="00E5433A">
      <w:pPr>
        <w:pStyle w:val="enumlev1"/>
      </w:pPr>
      <w:r w:rsidRPr="00DE6A6F">
        <w:t>•</w:t>
      </w:r>
      <w:r w:rsidRPr="00DE6A6F">
        <w:tab/>
        <w:t>Deuxième trimestre de 2027: aucun séminaire RRS/WRS et préparation de la CMR-27.</w:t>
      </w:r>
    </w:p>
    <w:p w14:paraId="33EB93F3" w14:textId="77777777" w:rsidR="00E5433A" w:rsidRPr="00DE6A6F" w:rsidRDefault="00E5433A" w:rsidP="00E5433A">
      <w:pPr>
        <w:pStyle w:val="enumlev1"/>
      </w:pPr>
      <w:r w:rsidRPr="00DE6A6F">
        <w:t>•</w:t>
      </w:r>
      <w:r w:rsidRPr="00DE6A6F">
        <w:tab/>
        <w:t>Deux séminaires WRS seront organisés pendant la période (un tous les deux ans): WRS-24 et WRS-26.</w:t>
      </w:r>
    </w:p>
    <w:p w14:paraId="6F979011" w14:textId="77777777" w:rsidR="00E5433A" w:rsidRPr="00DE6A6F" w:rsidRDefault="00E5433A" w:rsidP="00E5433A">
      <w:pPr>
        <w:pStyle w:val="enumlev1"/>
      </w:pPr>
      <w:r w:rsidRPr="00DE6A6F">
        <w:t>•</w:t>
      </w:r>
      <w:r w:rsidRPr="00DE6A6F">
        <w:tab/>
        <w:t>Le premier séminaire WRS suivant une CMR (WRS-24) comprendra une session spéciale au cours de laquelle les modifications apportées au RR par la CMR seront expliquées de manière détaillée.</w:t>
      </w:r>
    </w:p>
    <w:p w14:paraId="247EBE42" w14:textId="77777777" w:rsidR="00E5433A" w:rsidRPr="00DE6A6F" w:rsidRDefault="00E5433A" w:rsidP="00E5433A">
      <w:pPr>
        <w:pStyle w:val="enumlev1"/>
      </w:pPr>
      <w:r w:rsidRPr="00DE6A6F">
        <w:t>•</w:t>
      </w:r>
      <w:r w:rsidRPr="00DE6A6F">
        <w:tab/>
        <w:t>Les deux séminaires RRS pour l'Afrique ne se tiennent pas la même année que le séminaire WRS, étant donné que la participation aux séminaires RRS pour l'Afrique est près de deux fois supérieure à celle des autres séminaires RRS, et afin de tenir compte de la nécessité d'assurer une répartition uniforme du budget alloué aux bourses.</w:t>
      </w:r>
    </w:p>
    <w:p w14:paraId="2D55BAFA" w14:textId="77777777" w:rsidR="00E5433A" w:rsidRPr="00DE6A6F" w:rsidRDefault="00E5433A" w:rsidP="00E5433A">
      <w:pPr>
        <w:pStyle w:val="enumlev1"/>
      </w:pPr>
      <w:r w:rsidRPr="00DE6A6F">
        <w:t>•</w:t>
      </w:r>
      <w:r w:rsidRPr="00DE6A6F">
        <w:tab/>
        <w:t>Les séminaires RRS se déroulent dans la ou les langues principales de la région, ce qui permettra de réduire les coûts liés à l'interprétation et de faciliter l'échange d'informations pendant la manifestation.</w:t>
      </w:r>
    </w:p>
    <w:p w14:paraId="4CF2C9DC" w14:textId="77777777" w:rsidR="00E5433A" w:rsidRPr="00DE6A6F" w:rsidRDefault="00E5433A" w:rsidP="00E5433A">
      <w:pPr>
        <w:pStyle w:val="enumlev1"/>
      </w:pPr>
      <w:r w:rsidRPr="00DE6A6F">
        <w:t>•</w:t>
      </w:r>
      <w:r w:rsidRPr="00DE6A6F">
        <w:tab/>
        <w:t>Les programmes des séminaires RRS sont adaptés aux besoins particuliers de la région concernée.</w:t>
      </w:r>
    </w:p>
    <w:p w14:paraId="1936C9E0" w14:textId="77777777" w:rsidR="00E5433A" w:rsidRPr="00DE6A6F" w:rsidRDefault="00E5433A" w:rsidP="00E5433A">
      <w:pPr>
        <w:pStyle w:val="enumlev1"/>
      </w:pPr>
      <w:r w:rsidRPr="00DE6A6F">
        <w:t>•</w:t>
      </w:r>
      <w:r w:rsidRPr="00DE6A6F">
        <w:tab/>
        <w:t>Les derniers jours de chaque séminaire RRS, une séance de type «forum» est organisée (il faudra peut-être prévoir des services d'interprétation de/vers l'anglais pour ces journées).</w:t>
      </w:r>
    </w:p>
    <w:p w14:paraId="65EB5EC1" w14:textId="77777777" w:rsidR="00E5433A" w:rsidRPr="00DE6A6F" w:rsidRDefault="00E5433A" w:rsidP="00E5433A">
      <w:r w:rsidRPr="00DE6A6F">
        <w:t>Le programme ci-dessus a été dûment coordonné en collaboration avec les Bureaux régionaux de l'UIT ainsi qu'avec les groupes régionaux compétents.</w:t>
      </w:r>
    </w:p>
    <w:p w14:paraId="119EFDCA" w14:textId="77777777" w:rsidR="00E5433A" w:rsidRPr="00DE6A6F" w:rsidRDefault="00E5433A" w:rsidP="00E5433A">
      <w:pPr>
        <w:rPr>
          <w:szCs w:val="24"/>
        </w:rPr>
      </w:pPr>
      <w:r w:rsidRPr="00DE6A6F">
        <w:t xml:space="preserve">Outre les séminaires WRS et RRS, l'UIT a lancé, en janvier 2025, la </w:t>
      </w:r>
      <w:hyperlink r:id="rId51" w:anchor="/fr" w:history="1">
        <w:r w:rsidRPr="00DE6A6F">
          <w:rPr>
            <w:rStyle w:val="Hyperlink"/>
          </w:rPr>
          <w:t>série de manifestations relevant du programme Space Connect</w:t>
        </w:r>
      </w:hyperlink>
      <w:r w:rsidRPr="00DE6A6F">
        <w:t>, comme demandé lors de la session de 2024 du GCR et en vue de traiter de questions d'ordre technique et réglementaire liées aux constellations de satellites non-OSG.</w:t>
      </w:r>
    </w:p>
    <w:p w14:paraId="1B7AE289" w14:textId="77777777" w:rsidR="00E5433A" w:rsidRPr="00DE6A6F" w:rsidRDefault="00E5433A" w:rsidP="00E5433A">
      <w:pPr>
        <w:pStyle w:val="Heading3"/>
        <w:rPr>
          <w:b w:val="0"/>
          <w:szCs w:val="24"/>
        </w:rPr>
      </w:pPr>
      <w:r w:rsidRPr="00DE6A6F">
        <w:t>8.2.1</w:t>
      </w:r>
      <w:r w:rsidRPr="00DE6A6F">
        <w:tab/>
        <w:t>Séminaire mondial des radiocommunications (WRS)</w:t>
      </w:r>
    </w:p>
    <w:p w14:paraId="5451656E" w14:textId="77777777" w:rsidR="00E5433A" w:rsidRPr="00DE6A6F" w:rsidRDefault="00E5433A" w:rsidP="00E5433A">
      <w:r w:rsidRPr="00DE6A6F">
        <w:t>Le WRS-24, tenu du 2 au 6 décembre 2024 à Genève (Suisse), a accueilli 657 participants provenant de 114 pays. Le BR a accordé 50 bourses pour la participation à ce séminaire.</w:t>
      </w:r>
    </w:p>
    <w:p w14:paraId="51AD07A0" w14:textId="77777777" w:rsidR="00E5433A" w:rsidRPr="00DE6A6F" w:rsidRDefault="00E5433A" w:rsidP="00E5433A">
      <w:r w:rsidRPr="00DE6A6F">
        <w:t>La séance plénière du WRS-24 s'est tenue sous la forme d'une manifestation physique avec participation à distance.</w:t>
      </w:r>
    </w:p>
    <w:p w14:paraId="760A56B8" w14:textId="77777777" w:rsidR="00E5433A" w:rsidRPr="00DE6A6F" w:rsidRDefault="00E5433A" w:rsidP="00E5433A">
      <w:pPr>
        <w:keepNext/>
        <w:keepLines/>
      </w:pPr>
      <w:r w:rsidRPr="00DE6A6F">
        <w:lastRenderedPageBreak/>
        <w:t>Étant donné l'utilisation accrue des systèmes de radiocommunication et compte tenu du rôle que le BR joue pour informer les personnes et les organisations du monde entier sur le Règlement des radiocommunications et sa mise en œuvre, les séances plénières du WRS sont dorénavant ouvertes à toutes et tous.</w:t>
      </w:r>
    </w:p>
    <w:p w14:paraId="05ADC9A2" w14:textId="77777777" w:rsidR="00E5433A" w:rsidRPr="00DE6A6F" w:rsidRDefault="00E5433A" w:rsidP="00E5433A">
      <w:r w:rsidRPr="00DE6A6F">
        <w:t>Les ateliers sur les services de Terre et les services spatiaux du WRS-24 se sont déroulés en parallèle et en présentiel uniquement, et étaient réservés à la participation des membres de l'UIT-R. À l'occasion de ces ateliers, qui se sont tenus sur trois jours, les participants ont pu se familiariser directement avec les procédures de notification de l'UIT, ainsi qu'avec les logiciels, les bases de données et les publications électroniques que le Bureau des radiocommunications met à la disposition des membres de l'UIT. Des séances spécialement conçues pour les utilisateurs débutants et les utilisateurs de niveau avancé des outils logiciels du BR ont aussi été proposées. Les séances se sont tenues essentiellement en anglais et en français. Comme demandé lors de la session de 2024 du GCR, le WRS-24 comprenait des séances traitant des aspects techniques et réglementaires des constellations de satellites de communication non OSG.</w:t>
      </w:r>
    </w:p>
    <w:p w14:paraId="771CF7D5" w14:textId="77777777" w:rsidR="00E5433A" w:rsidRPr="00DE6A6F" w:rsidRDefault="00E5433A" w:rsidP="00E5433A">
      <w:r w:rsidRPr="00DE6A6F">
        <w:t>Le WRS-26 est programmé pour le dernier trimestre de l'année 2026.</w:t>
      </w:r>
    </w:p>
    <w:p w14:paraId="2D5C981F" w14:textId="77777777" w:rsidR="00E5433A" w:rsidRPr="00DE6A6F" w:rsidRDefault="00E5433A" w:rsidP="00E5433A">
      <w:pPr>
        <w:pStyle w:val="Heading3"/>
        <w:rPr>
          <w:b w:val="0"/>
          <w:szCs w:val="24"/>
        </w:rPr>
      </w:pPr>
      <w:r w:rsidRPr="00DE6A6F">
        <w:t>8.2.2</w:t>
      </w:r>
      <w:r w:rsidRPr="00DE6A6F">
        <w:tab/>
        <w:t>Séminaires régionaux des radiocommunications (RRS)</w:t>
      </w:r>
    </w:p>
    <w:p w14:paraId="5444ACE9" w14:textId="77777777" w:rsidR="00E5433A" w:rsidRPr="00DE6A6F" w:rsidRDefault="00E5433A" w:rsidP="00E5433A">
      <w:r w:rsidRPr="00DE6A6F">
        <w:t>En complément des séminaires mondiaux des radiocommunications qui se tiennent tous les deux ans, le BR a continué d'organiser, dans le cadre d'une stratégie de sensibilisation sur le plan régional, des séminaires régionaux des radiocommunications (RRS) dans les différentes régions du monde, en vue de promouvoir le renforcement des capacités humaines en ce qui concerne l'utilisation du spectre des fréquences radioélectriques et des orbites de satellites et, en particulier, l'application des dispositions du Règlement des radiocommunications de l'UIT.</w:t>
      </w:r>
    </w:p>
    <w:p w14:paraId="69AA43B4" w14:textId="77777777" w:rsidR="00E5433A" w:rsidRPr="00DE6A6F" w:rsidRDefault="00E5433A" w:rsidP="00E5433A">
      <w:r w:rsidRPr="00DE6A6F">
        <w:t>Ces séminaires sont organisés conjointement avec l'autorité chargée de la gestion du spectre des pays hôtes, en coopération étroite avec les organisations régionales concernées et les bureaux régionaux ou bureaux de zone de l'UIT. Le programme de ces séminaires comporte un volet technique, d'une durée de deux jours, et des ateliers d'une durée d'un jour consacrés aux services de Terre et aux services spatiaux. Ces séminaires sont complétés par un forum de deux jours portant sur des questions relatives au spectre qui présentent un intérêt particulier pour la région.</w:t>
      </w:r>
    </w:p>
    <w:p w14:paraId="43F44128" w14:textId="77777777" w:rsidR="00E5433A" w:rsidRPr="00DE6A6F" w:rsidRDefault="00E5433A" w:rsidP="00E5433A">
      <w:r w:rsidRPr="00DE6A6F">
        <w:t>On trouvera dans le Tableau 8.2.2-1 un résumé des séminaires régionaux des radiocommunications organisés en 2024.</w:t>
      </w:r>
    </w:p>
    <w:p w14:paraId="0C748389" w14:textId="77777777" w:rsidR="00E5433A" w:rsidRPr="00DE6A6F" w:rsidRDefault="00E5433A" w:rsidP="00E5433A">
      <w:pPr>
        <w:sectPr w:rsidR="00E5433A" w:rsidRPr="00DE6A6F" w:rsidSect="00E5433A">
          <w:headerReference w:type="even" r:id="rId52"/>
          <w:headerReference w:type="default" r:id="rId53"/>
          <w:footerReference w:type="even" r:id="rId54"/>
          <w:pgSz w:w="11907" w:h="16834"/>
          <w:pgMar w:top="1418" w:right="1134" w:bottom="1418" w:left="1134" w:header="720" w:footer="720" w:gutter="0"/>
          <w:paperSrc w:first="15" w:other="15"/>
          <w:cols w:space="720"/>
          <w:titlePg/>
          <w:docGrid w:linePitch="326"/>
        </w:sectPr>
      </w:pPr>
    </w:p>
    <w:p w14:paraId="6CE6D6BD" w14:textId="77777777" w:rsidR="00E5433A" w:rsidRPr="00DE6A6F" w:rsidRDefault="00E5433A" w:rsidP="00E5433A">
      <w:pPr>
        <w:pStyle w:val="TableNo"/>
      </w:pPr>
      <w:r w:rsidRPr="00DE6A6F">
        <w:lastRenderedPageBreak/>
        <w:t>Tableau 8.2.2-1</w:t>
      </w:r>
    </w:p>
    <w:p w14:paraId="6EC904CC" w14:textId="77777777" w:rsidR="00E5433A" w:rsidRPr="00DE6A6F" w:rsidRDefault="00E5433A" w:rsidP="00E5433A">
      <w:pPr>
        <w:pStyle w:val="Tabletitle"/>
      </w:pPr>
      <w:r w:rsidRPr="00DE6A6F">
        <w:t>Séminaires régionaux des radiocommunications de l'UIT (2024)</w:t>
      </w:r>
    </w:p>
    <w:tbl>
      <w:tblPr>
        <w:tblStyle w:val="TableGrid"/>
        <w:tblW w:w="5128" w:type="pct"/>
        <w:jc w:val="center"/>
        <w:tblLook w:val="04A0" w:firstRow="1" w:lastRow="0" w:firstColumn="1" w:lastColumn="0" w:noHBand="0" w:noVBand="1"/>
      </w:tblPr>
      <w:tblGrid>
        <w:gridCol w:w="1737"/>
        <w:gridCol w:w="1531"/>
        <w:gridCol w:w="1225"/>
        <w:gridCol w:w="1340"/>
        <w:gridCol w:w="2671"/>
        <w:gridCol w:w="1687"/>
        <w:gridCol w:w="921"/>
        <w:gridCol w:w="1544"/>
        <w:gridCol w:w="1690"/>
      </w:tblGrid>
      <w:tr w:rsidR="00E5433A" w:rsidRPr="00DE6A6F" w14:paraId="5F1E813D" w14:textId="77777777" w:rsidTr="00DD5056">
        <w:trPr>
          <w:tblHeader/>
          <w:jc w:val="center"/>
        </w:trPr>
        <w:tc>
          <w:tcPr>
            <w:tcW w:w="605" w:type="pct"/>
            <w:tcBorders>
              <w:top w:val="single" w:sz="4" w:space="0" w:color="auto"/>
              <w:left w:val="single" w:sz="4" w:space="0" w:color="auto"/>
              <w:bottom w:val="single" w:sz="4" w:space="0" w:color="auto"/>
              <w:right w:val="single" w:sz="4" w:space="0" w:color="auto"/>
            </w:tcBorders>
            <w:vAlign w:val="center"/>
            <w:hideMark/>
          </w:tcPr>
          <w:p w14:paraId="30C9F4EE" w14:textId="77777777" w:rsidR="00E5433A" w:rsidRPr="00DE6A6F" w:rsidRDefault="00E5433A" w:rsidP="00DD5056">
            <w:pPr>
              <w:pStyle w:val="Tablehead"/>
              <w:rPr>
                <w:rFonts w:cstheme="majorBidi"/>
                <w:bCs/>
                <w:sz w:val="18"/>
                <w:szCs w:val="16"/>
              </w:rPr>
            </w:pPr>
            <w:r w:rsidRPr="00DE6A6F">
              <w:rPr>
                <w:sz w:val="18"/>
                <w:szCs w:val="16"/>
              </w:rPr>
              <w:t>Date</w:t>
            </w:r>
          </w:p>
        </w:tc>
        <w:tc>
          <w:tcPr>
            <w:tcW w:w="534" w:type="pct"/>
            <w:tcBorders>
              <w:top w:val="single" w:sz="4" w:space="0" w:color="auto"/>
              <w:left w:val="single" w:sz="4" w:space="0" w:color="auto"/>
              <w:bottom w:val="single" w:sz="4" w:space="0" w:color="auto"/>
              <w:right w:val="single" w:sz="4" w:space="0" w:color="auto"/>
            </w:tcBorders>
            <w:vAlign w:val="center"/>
            <w:hideMark/>
          </w:tcPr>
          <w:p w14:paraId="4EC61AD0" w14:textId="77777777" w:rsidR="00E5433A" w:rsidRPr="00DE6A6F" w:rsidRDefault="00E5433A" w:rsidP="00DD5056">
            <w:pPr>
              <w:pStyle w:val="Tablehead"/>
              <w:rPr>
                <w:rFonts w:cstheme="majorBidi"/>
                <w:bCs/>
                <w:sz w:val="18"/>
                <w:szCs w:val="16"/>
              </w:rPr>
            </w:pPr>
            <w:r w:rsidRPr="00DE6A6F">
              <w:rPr>
                <w:sz w:val="18"/>
                <w:szCs w:val="16"/>
              </w:rPr>
              <w:t>RRS</w:t>
            </w:r>
          </w:p>
        </w:tc>
        <w:tc>
          <w:tcPr>
            <w:tcW w:w="427" w:type="pct"/>
            <w:tcBorders>
              <w:top w:val="single" w:sz="4" w:space="0" w:color="auto"/>
              <w:left w:val="single" w:sz="4" w:space="0" w:color="auto"/>
              <w:bottom w:val="single" w:sz="4" w:space="0" w:color="auto"/>
              <w:right w:val="single" w:sz="4" w:space="0" w:color="auto"/>
            </w:tcBorders>
            <w:vAlign w:val="center"/>
            <w:hideMark/>
          </w:tcPr>
          <w:p w14:paraId="20FF7AED" w14:textId="77777777" w:rsidR="00E5433A" w:rsidRPr="00DE6A6F" w:rsidRDefault="00E5433A" w:rsidP="00DD5056">
            <w:pPr>
              <w:pStyle w:val="Tablehead"/>
              <w:rPr>
                <w:rFonts w:cstheme="majorBidi"/>
                <w:bCs/>
                <w:sz w:val="18"/>
                <w:szCs w:val="16"/>
              </w:rPr>
            </w:pPr>
            <w:r w:rsidRPr="00DE6A6F">
              <w:rPr>
                <w:sz w:val="18"/>
                <w:szCs w:val="16"/>
              </w:rPr>
              <w:t>Lieu</w:t>
            </w:r>
          </w:p>
        </w:tc>
        <w:tc>
          <w:tcPr>
            <w:tcW w:w="467" w:type="pct"/>
            <w:tcBorders>
              <w:top w:val="single" w:sz="4" w:space="0" w:color="auto"/>
              <w:left w:val="single" w:sz="4" w:space="0" w:color="auto"/>
              <w:bottom w:val="single" w:sz="4" w:space="0" w:color="auto"/>
              <w:right w:val="single" w:sz="4" w:space="0" w:color="auto"/>
            </w:tcBorders>
            <w:vAlign w:val="center"/>
            <w:hideMark/>
          </w:tcPr>
          <w:p w14:paraId="041B9604" w14:textId="77777777" w:rsidR="00E5433A" w:rsidRPr="00DE6A6F" w:rsidRDefault="00E5433A" w:rsidP="00DD5056">
            <w:pPr>
              <w:pStyle w:val="Tablehead"/>
              <w:rPr>
                <w:rFonts w:cstheme="majorBidi"/>
                <w:bCs/>
                <w:sz w:val="18"/>
                <w:szCs w:val="16"/>
              </w:rPr>
            </w:pPr>
            <w:r w:rsidRPr="00DE6A6F">
              <w:rPr>
                <w:sz w:val="18"/>
                <w:szCs w:val="16"/>
              </w:rPr>
              <w:t>Organisateur</w:t>
            </w:r>
          </w:p>
        </w:tc>
        <w:tc>
          <w:tcPr>
            <w:tcW w:w="931" w:type="pct"/>
            <w:tcBorders>
              <w:top w:val="single" w:sz="4" w:space="0" w:color="auto"/>
              <w:left w:val="single" w:sz="4" w:space="0" w:color="auto"/>
              <w:bottom w:val="single" w:sz="4" w:space="0" w:color="auto"/>
              <w:right w:val="single" w:sz="4" w:space="0" w:color="auto"/>
            </w:tcBorders>
            <w:vAlign w:val="center"/>
            <w:hideMark/>
          </w:tcPr>
          <w:p w14:paraId="3156C89B" w14:textId="77777777" w:rsidR="00E5433A" w:rsidRPr="00DE6A6F" w:rsidRDefault="00E5433A" w:rsidP="00DD5056">
            <w:pPr>
              <w:pStyle w:val="Tablehead"/>
              <w:rPr>
                <w:rFonts w:cstheme="majorBidi"/>
                <w:bCs/>
                <w:sz w:val="18"/>
                <w:szCs w:val="16"/>
              </w:rPr>
            </w:pPr>
            <w:r w:rsidRPr="00DE6A6F">
              <w:rPr>
                <w:sz w:val="18"/>
                <w:szCs w:val="16"/>
              </w:rPr>
              <w:t>Collaborateurs</w:t>
            </w:r>
          </w:p>
        </w:tc>
        <w:tc>
          <w:tcPr>
            <w:tcW w:w="588" w:type="pct"/>
            <w:tcBorders>
              <w:top w:val="single" w:sz="4" w:space="0" w:color="auto"/>
              <w:left w:val="single" w:sz="4" w:space="0" w:color="auto"/>
              <w:bottom w:val="single" w:sz="4" w:space="0" w:color="auto"/>
              <w:right w:val="single" w:sz="4" w:space="0" w:color="auto"/>
            </w:tcBorders>
            <w:vAlign w:val="center"/>
            <w:hideMark/>
          </w:tcPr>
          <w:p w14:paraId="695AC224" w14:textId="77777777" w:rsidR="00E5433A" w:rsidRPr="00DE6A6F" w:rsidRDefault="00E5433A" w:rsidP="00DD5056">
            <w:pPr>
              <w:pStyle w:val="Tablehead"/>
              <w:rPr>
                <w:rFonts w:cstheme="majorBidi"/>
                <w:bCs/>
                <w:sz w:val="18"/>
                <w:szCs w:val="16"/>
              </w:rPr>
            </w:pPr>
            <w:r w:rsidRPr="00DE6A6F">
              <w:rPr>
                <w:sz w:val="18"/>
                <w:szCs w:val="16"/>
              </w:rPr>
              <w:t>Thèmes des forums</w:t>
            </w:r>
          </w:p>
        </w:tc>
        <w:tc>
          <w:tcPr>
            <w:tcW w:w="321" w:type="pct"/>
            <w:tcBorders>
              <w:top w:val="single" w:sz="4" w:space="0" w:color="auto"/>
              <w:left w:val="single" w:sz="4" w:space="0" w:color="auto"/>
              <w:bottom w:val="single" w:sz="4" w:space="0" w:color="auto"/>
              <w:right w:val="single" w:sz="4" w:space="0" w:color="auto"/>
            </w:tcBorders>
            <w:vAlign w:val="center"/>
            <w:hideMark/>
          </w:tcPr>
          <w:p w14:paraId="59D6C521" w14:textId="77777777" w:rsidR="00E5433A" w:rsidRPr="00DE6A6F" w:rsidRDefault="00E5433A" w:rsidP="00DD5056">
            <w:pPr>
              <w:pStyle w:val="Tablehead"/>
              <w:rPr>
                <w:rFonts w:cstheme="majorBidi"/>
                <w:bCs/>
                <w:sz w:val="18"/>
                <w:szCs w:val="16"/>
              </w:rPr>
            </w:pPr>
            <w:r w:rsidRPr="00DE6A6F">
              <w:rPr>
                <w:sz w:val="18"/>
                <w:szCs w:val="16"/>
              </w:rPr>
              <w:t>Langues</w:t>
            </w:r>
          </w:p>
        </w:tc>
        <w:tc>
          <w:tcPr>
            <w:tcW w:w="538" w:type="pct"/>
            <w:tcBorders>
              <w:top w:val="single" w:sz="4" w:space="0" w:color="auto"/>
              <w:left w:val="single" w:sz="4" w:space="0" w:color="auto"/>
              <w:bottom w:val="single" w:sz="4" w:space="0" w:color="auto"/>
              <w:right w:val="single" w:sz="4" w:space="0" w:color="auto"/>
            </w:tcBorders>
            <w:vAlign w:val="center"/>
            <w:hideMark/>
          </w:tcPr>
          <w:p w14:paraId="1F556BF7" w14:textId="77777777" w:rsidR="00E5433A" w:rsidRPr="00DE6A6F" w:rsidRDefault="00E5433A" w:rsidP="00DD5056">
            <w:pPr>
              <w:pStyle w:val="Tablehead"/>
              <w:rPr>
                <w:rFonts w:cstheme="majorBidi"/>
                <w:bCs/>
                <w:sz w:val="18"/>
                <w:szCs w:val="16"/>
              </w:rPr>
            </w:pPr>
            <w:r w:rsidRPr="00DE6A6F">
              <w:rPr>
                <w:sz w:val="18"/>
                <w:szCs w:val="16"/>
              </w:rPr>
              <w:t>Participants/</w:t>
            </w:r>
            <w:r w:rsidRPr="00DE6A6F">
              <w:rPr>
                <w:sz w:val="18"/>
                <w:szCs w:val="16"/>
              </w:rPr>
              <w:br/>
              <w:t>administrations</w:t>
            </w:r>
          </w:p>
        </w:tc>
        <w:tc>
          <w:tcPr>
            <w:tcW w:w="588" w:type="pct"/>
            <w:tcBorders>
              <w:top w:val="single" w:sz="4" w:space="0" w:color="auto"/>
              <w:left w:val="single" w:sz="4" w:space="0" w:color="auto"/>
              <w:bottom w:val="single" w:sz="4" w:space="0" w:color="auto"/>
              <w:right w:val="single" w:sz="4" w:space="0" w:color="auto"/>
            </w:tcBorders>
          </w:tcPr>
          <w:p w14:paraId="2B1BA891" w14:textId="77777777" w:rsidR="00E5433A" w:rsidRPr="00DE6A6F" w:rsidRDefault="00E5433A" w:rsidP="00DD5056">
            <w:pPr>
              <w:pStyle w:val="Tablehead"/>
              <w:rPr>
                <w:rFonts w:cstheme="majorBidi"/>
                <w:bCs/>
                <w:sz w:val="18"/>
                <w:szCs w:val="16"/>
              </w:rPr>
            </w:pPr>
            <w:r w:rsidRPr="00DE6A6F">
              <w:rPr>
                <w:sz w:val="18"/>
                <w:szCs w:val="16"/>
              </w:rPr>
              <w:t>Bourses accordées</w:t>
            </w:r>
          </w:p>
        </w:tc>
      </w:tr>
      <w:tr w:rsidR="00E5433A" w:rsidRPr="00DE6A6F" w14:paraId="2CC85451" w14:textId="77777777" w:rsidTr="00DD5056">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050F4B3" w14:textId="77777777" w:rsidR="00E5433A" w:rsidRPr="00DE6A6F" w:rsidRDefault="00E5433A" w:rsidP="00DD5056">
            <w:pPr>
              <w:pStyle w:val="Tabletext"/>
              <w:spacing w:before="120" w:after="120"/>
              <w:jc w:val="center"/>
              <w:rPr>
                <w:rFonts w:cstheme="majorBidi"/>
                <w:b/>
                <w:bCs/>
                <w:sz w:val="18"/>
                <w:szCs w:val="16"/>
              </w:rPr>
            </w:pPr>
            <w:r w:rsidRPr="00DE6A6F">
              <w:rPr>
                <w:b/>
                <w:bCs/>
                <w:sz w:val="18"/>
                <w:szCs w:val="16"/>
              </w:rPr>
              <w:t>2024</w:t>
            </w:r>
          </w:p>
        </w:tc>
      </w:tr>
      <w:tr w:rsidR="00E5433A" w:rsidRPr="00DE6A6F" w14:paraId="2F8D3A1B" w14:textId="77777777" w:rsidTr="00DD5056">
        <w:trPr>
          <w:jc w:val="center"/>
        </w:trPr>
        <w:tc>
          <w:tcPr>
            <w:tcW w:w="605" w:type="pct"/>
            <w:tcBorders>
              <w:top w:val="single" w:sz="4" w:space="0" w:color="auto"/>
              <w:left w:val="single" w:sz="4" w:space="0" w:color="auto"/>
              <w:bottom w:val="single" w:sz="4" w:space="0" w:color="auto"/>
              <w:right w:val="single" w:sz="4" w:space="0" w:color="auto"/>
            </w:tcBorders>
            <w:vAlign w:val="center"/>
          </w:tcPr>
          <w:p w14:paraId="1C576060" w14:textId="77777777" w:rsidR="00E5433A" w:rsidRPr="00DE6A6F" w:rsidRDefault="00E5433A" w:rsidP="00DD5056">
            <w:pPr>
              <w:pStyle w:val="Tabletext"/>
              <w:jc w:val="center"/>
              <w:rPr>
                <w:rFonts w:cstheme="majorBidi"/>
                <w:sz w:val="17"/>
                <w:szCs w:val="17"/>
              </w:rPr>
            </w:pPr>
            <w:r w:rsidRPr="00DE6A6F">
              <w:rPr>
                <w:sz w:val="17"/>
                <w:szCs w:val="17"/>
              </w:rPr>
              <w:t>15-19 avril 2024</w:t>
            </w:r>
          </w:p>
        </w:tc>
        <w:tc>
          <w:tcPr>
            <w:tcW w:w="534" w:type="pct"/>
            <w:tcBorders>
              <w:top w:val="single" w:sz="4" w:space="0" w:color="auto"/>
              <w:left w:val="single" w:sz="4" w:space="0" w:color="auto"/>
              <w:bottom w:val="single" w:sz="4" w:space="0" w:color="auto"/>
              <w:right w:val="single" w:sz="4" w:space="0" w:color="auto"/>
            </w:tcBorders>
            <w:vAlign w:val="center"/>
            <w:hideMark/>
          </w:tcPr>
          <w:p w14:paraId="5F18F826" w14:textId="77777777" w:rsidR="00E5433A" w:rsidRPr="00DE6A6F" w:rsidRDefault="00E5433A" w:rsidP="00DD5056">
            <w:pPr>
              <w:pStyle w:val="Tabletext"/>
              <w:jc w:val="center"/>
              <w:rPr>
                <w:rFonts w:cstheme="majorBidi"/>
                <w:b/>
                <w:bCs/>
                <w:sz w:val="17"/>
                <w:szCs w:val="17"/>
              </w:rPr>
            </w:pPr>
            <w:r w:rsidRPr="00DE6A6F">
              <w:rPr>
                <w:b/>
                <w:sz w:val="17"/>
                <w:szCs w:val="17"/>
              </w:rPr>
              <w:t>RRS-24-CEI</w:t>
            </w:r>
          </w:p>
        </w:tc>
        <w:tc>
          <w:tcPr>
            <w:tcW w:w="427" w:type="pct"/>
            <w:tcBorders>
              <w:top w:val="single" w:sz="4" w:space="0" w:color="auto"/>
              <w:left w:val="single" w:sz="4" w:space="0" w:color="auto"/>
              <w:bottom w:val="single" w:sz="4" w:space="0" w:color="auto"/>
              <w:right w:val="single" w:sz="4" w:space="0" w:color="auto"/>
            </w:tcBorders>
            <w:vAlign w:val="center"/>
            <w:hideMark/>
          </w:tcPr>
          <w:p w14:paraId="5BF4A943" w14:textId="77777777" w:rsidR="00E5433A" w:rsidRPr="00DE6A6F" w:rsidRDefault="00E5433A" w:rsidP="00DD5056">
            <w:pPr>
              <w:pStyle w:val="Tabletext"/>
              <w:jc w:val="center"/>
              <w:rPr>
                <w:rFonts w:cstheme="majorBidi"/>
                <w:bCs/>
                <w:sz w:val="17"/>
                <w:szCs w:val="17"/>
              </w:rPr>
            </w:pPr>
            <w:r w:rsidRPr="00DE6A6F">
              <w:rPr>
                <w:sz w:val="17"/>
                <w:szCs w:val="17"/>
              </w:rPr>
              <w:t>Astana (Kazakhstan)</w:t>
            </w:r>
          </w:p>
        </w:tc>
        <w:tc>
          <w:tcPr>
            <w:tcW w:w="467" w:type="pct"/>
            <w:tcBorders>
              <w:top w:val="single" w:sz="4" w:space="0" w:color="auto"/>
              <w:left w:val="single" w:sz="4" w:space="0" w:color="auto"/>
              <w:bottom w:val="single" w:sz="4" w:space="0" w:color="auto"/>
              <w:right w:val="single" w:sz="4" w:space="0" w:color="auto"/>
            </w:tcBorders>
            <w:vAlign w:val="center"/>
            <w:hideMark/>
          </w:tcPr>
          <w:p w14:paraId="540E58EA" w14:textId="77777777" w:rsidR="00E5433A" w:rsidRPr="00DE6A6F" w:rsidRDefault="00E5433A" w:rsidP="00DD5056">
            <w:pPr>
              <w:pStyle w:val="Tabletext"/>
              <w:jc w:val="center"/>
              <w:rPr>
                <w:rFonts w:cstheme="majorBidi"/>
                <w:sz w:val="17"/>
                <w:szCs w:val="17"/>
              </w:rPr>
            </w:pPr>
            <w:r w:rsidRPr="00DE6A6F">
              <w:rPr>
                <w:sz w:val="17"/>
                <w:szCs w:val="17"/>
              </w:rPr>
              <w:t>−</w:t>
            </w:r>
          </w:p>
        </w:tc>
        <w:tc>
          <w:tcPr>
            <w:tcW w:w="931" w:type="pct"/>
            <w:tcBorders>
              <w:top w:val="single" w:sz="4" w:space="0" w:color="auto"/>
              <w:left w:val="single" w:sz="4" w:space="0" w:color="auto"/>
              <w:bottom w:val="single" w:sz="4" w:space="0" w:color="auto"/>
              <w:right w:val="single" w:sz="4" w:space="0" w:color="auto"/>
            </w:tcBorders>
            <w:vAlign w:val="center"/>
            <w:hideMark/>
          </w:tcPr>
          <w:p w14:paraId="4575E039" w14:textId="77777777" w:rsidR="00E5433A" w:rsidRPr="00DE6A6F" w:rsidRDefault="00E5433A" w:rsidP="00DD5056">
            <w:pPr>
              <w:pStyle w:val="Tabletext"/>
              <w:jc w:val="center"/>
              <w:rPr>
                <w:rFonts w:cstheme="majorBidi"/>
                <w:sz w:val="17"/>
                <w:szCs w:val="17"/>
              </w:rPr>
            </w:pPr>
            <w:hyperlink r:id="rId55" w:tgtFrame="_blank" w:history="1">
              <w:r w:rsidRPr="00DE6A6F">
                <w:rPr>
                  <w:rStyle w:val="Hyperlink"/>
                  <w:rFonts w:asciiTheme="majorBidi" w:hAnsiTheme="majorBidi"/>
                  <w:sz w:val="17"/>
                  <w:szCs w:val="17"/>
                </w:rPr>
                <w:t>Ministère du développement numérique, des i</w:t>
              </w:r>
              <w:r w:rsidRPr="00DE6A6F">
                <w:rPr>
                  <w:rStyle w:val="Hyperlink"/>
                  <w:rFonts w:asciiTheme="majorBidi" w:hAnsiTheme="majorBidi"/>
                  <w:sz w:val="17"/>
                  <w:szCs w:val="17"/>
                </w:rPr>
                <w:t>n</w:t>
              </w:r>
              <w:r w:rsidRPr="00DE6A6F">
                <w:rPr>
                  <w:rStyle w:val="Hyperlink"/>
                  <w:rFonts w:asciiTheme="majorBidi" w:hAnsiTheme="majorBidi"/>
                  <w:sz w:val="17"/>
                  <w:szCs w:val="17"/>
                </w:rPr>
                <w:t>novations et de l'industrie aérospatiale de la République du Kazakhstan</w:t>
              </w:r>
            </w:hyperlink>
            <w:r w:rsidRPr="00DE6A6F">
              <w:rPr>
                <w:sz w:val="17"/>
                <w:szCs w:val="17"/>
              </w:rPr>
              <w:t> en collaboration avec la </w:t>
            </w:r>
            <w:hyperlink r:id="rId56" w:tgtFrame="_blank" w:history="1">
              <w:r w:rsidRPr="00DE6A6F">
                <w:rPr>
                  <w:rStyle w:val="Hyperlink"/>
                  <w:rFonts w:asciiTheme="majorBidi" w:hAnsiTheme="majorBidi"/>
                  <w:sz w:val="17"/>
                  <w:szCs w:val="17"/>
                </w:rPr>
                <w:t>Communauté régionale</w:t>
              </w:r>
              <w:r w:rsidRPr="00DE6A6F">
                <w:rPr>
                  <w:rStyle w:val="Hyperlink"/>
                  <w:rFonts w:asciiTheme="majorBidi" w:hAnsiTheme="majorBidi"/>
                  <w:sz w:val="17"/>
                  <w:szCs w:val="17"/>
                </w:rPr>
                <w:t xml:space="preserve"> </w:t>
              </w:r>
              <w:r w:rsidRPr="00DE6A6F">
                <w:rPr>
                  <w:rStyle w:val="Hyperlink"/>
                  <w:rFonts w:asciiTheme="majorBidi" w:hAnsiTheme="majorBidi"/>
                  <w:sz w:val="17"/>
                  <w:szCs w:val="17"/>
                </w:rPr>
                <w:t>des communications</w:t>
              </w:r>
            </w:hyperlink>
            <w:r w:rsidRPr="00DE6A6F">
              <w:rPr>
                <w:sz w:val="17"/>
                <w:szCs w:val="17"/>
              </w:rPr>
              <w:t>(RCC)</w:t>
            </w:r>
          </w:p>
          <w:p w14:paraId="5627D507" w14:textId="77777777" w:rsidR="00E5433A" w:rsidRPr="00DE6A6F" w:rsidRDefault="00E5433A" w:rsidP="00DD5056">
            <w:pPr>
              <w:pStyle w:val="Tabletext"/>
              <w:jc w:val="center"/>
              <w:rPr>
                <w:rFonts w:cstheme="majorBidi"/>
                <w:sz w:val="17"/>
                <w:szCs w:val="17"/>
              </w:rPr>
            </w:pPr>
            <w:r w:rsidRPr="00DE6A6F">
              <w:rPr>
                <w:sz w:val="17"/>
                <w:szCs w:val="17"/>
              </w:rPr>
              <w:t>Bureau régional de l'UIT pour la CEI</w:t>
            </w:r>
          </w:p>
        </w:tc>
        <w:tc>
          <w:tcPr>
            <w:tcW w:w="588" w:type="pct"/>
            <w:tcBorders>
              <w:top w:val="single" w:sz="4" w:space="0" w:color="auto"/>
              <w:left w:val="single" w:sz="4" w:space="0" w:color="auto"/>
              <w:bottom w:val="single" w:sz="4" w:space="0" w:color="auto"/>
              <w:right w:val="single" w:sz="4" w:space="0" w:color="auto"/>
            </w:tcBorders>
            <w:vAlign w:val="center"/>
            <w:hideMark/>
          </w:tcPr>
          <w:p w14:paraId="51246414" w14:textId="77777777" w:rsidR="00E5433A" w:rsidRPr="00DE6A6F" w:rsidRDefault="00E5433A" w:rsidP="00DD5056">
            <w:pPr>
              <w:pStyle w:val="Tabletext"/>
              <w:jc w:val="center"/>
              <w:rPr>
                <w:rFonts w:cstheme="majorBidi"/>
                <w:sz w:val="17"/>
                <w:szCs w:val="17"/>
              </w:rPr>
            </w:pPr>
            <w:r w:rsidRPr="00DE6A6F">
              <w:rPr>
                <w:sz w:val="17"/>
                <w:szCs w:val="17"/>
              </w:rPr>
              <w:t>Gestion moderne du spectre</w:t>
            </w:r>
          </w:p>
        </w:tc>
        <w:tc>
          <w:tcPr>
            <w:tcW w:w="321" w:type="pct"/>
            <w:tcBorders>
              <w:top w:val="single" w:sz="4" w:space="0" w:color="auto"/>
              <w:left w:val="single" w:sz="4" w:space="0" w:color="auto"/>
              <w:bottom w:val="single" w:sz="4" w:space="0" w:color="auto"/>
              <w:right w:val="single" w:sz="4" w:space="0" w:color="auto"/>
            </w:tcBorders>
            <w:vAlign w:val="center"/>
            <w:hideMark/>
          </w:tcPr>
          <w:p w14:paraId="7C203ABD" w14:textId="77777777" w:rsidR="00E5433A" w:rsidRPr="00DE6A6F" w:rsidRDefault="00E5433A" w:rsidP="00DD5056">
            <w:pPr>
              <w:pStyle w:val="Tabletext"/>
              <w:jc w:val="center"/>
              <w:rPr>
                <w:rFonts w:cstheme="majorBidi"/>
                <w:sz w:val="17"/>
                <w:szCs w:val="17"/>
              </w:rPr>
            </w:pPr>
            <w:r w:rsidRPr="00DE6A6F">
              <w:rPr>
                <w:sz w:val="17"/>
                <w:szCs w:val="17"/>
              </w:rPr>
              <w:t>R</w:t>
            </w:r>
          </w:p>
        </w:tc>
        <w:tc>
          <w:tcPr>
            <w:tcW w:w="538" w:type="pct"/>
            <w:tcBorders>
              <w:top w:val="single" w:sz="4" w:space="0" w:color="auto"/>
              <w:left w:val="single" w:sz="4" w:space="0" w:color="auto"/>
              <w:bottom w:val="single" w:sz="4" w:space="0" w:color="auto"/>
              <w:right w:val="single" w:sz="4" w:space="0" w:color="auto"/>
            </w:tcBorders>
            <w:vAlign w:val="center"/>
            <w:hideMark/>
          </w:tcPr>
          <w:p w14:paraId="7B7A5EF1" w14:textId="77777777" w:rsidR="00E5433A" w:rsidRPr="00DE6A6F" w:rsidRDefault="00E5433A" w:rsidP="00DD5056">
            <w:pPr>
              <w:pStyle w:val="Tabletext"/>
              <w:jc w:val="center"/>
              <w:rPr>
                <w:rFonts w:cstheme="majorBidi"/>
                <w:sz w:val="17"/>
                <w:szCs w:val="17"/>
              </w:rPr>
            </w:pPr>
            <w:r w:rsidRPr="00DE6A6F">
              <w:rPr>
                <w:sz w:val="17"/>
                <w:szCs w:val="17"/>
              </w:rPr>
              <w:t>93/8</w:t>
            </w:r>
          </w:p>
        </w:tc>
        <w:tc>
          <w:tcPr>
            <w:tcW w:w="588" w:type="pct"/>
            <w:tcBorders>
              <w:top w:val="single" w:sz="4" w:space="0" w:color="auto"/>
              <w:left w:val="single" w:sz="4" w:space="0" w:color="auto"/>
              <w:bottom w:val="single" w:sz="4" w:space="0" w:color="auto"/>
              <w:right w:val="single" w:sz="4" w:space="0" w:color="auto"/>
            </w:tcBorders>
            <w:vAlign w:val="center"/>
          </w:tcPr>
          <w:p w14:paraId="20992E2D" w14:textId="77777777" w:rsidR="00E5433A" w:rsidRPr="00DE6A6F" w:rsidDel="00203E0B" w:rsidRDefault="00E5433A" w:rsidP="00DD5056">
            <w:pPr>
              <w:pStyle w:val="Tabletext"/>
              <w:jc w:val="center"/>
              <w:rPr>
                <w:rFonts w:cstheme="majorBidi"/>
                <w:sz w:val="17"/>
                <w:szCs w:val="17"/>
              </w:rPr>
            </w:pPr>
            <w:r w:rsidRPr="00DE6A6F">
              <w:rPr>
                <w:sz w:val="17"/>
                <w:szCs w:val="17"/>
              </w:rPr>
              <w:t>2</w:t>
            </w:r>
          </w:p>
        </w:tc>
      </w:tr>
      <w:tr w:rsidR="00E5433A" w:rsidRPr="00DE6A6F" w14:paraId="4C3D8F56" w14:textId="77777777" w:rsidTr="00DD5056">
        <w:trPr>
          <w:jc w:val="center"/>
        </w:trPr>
        <w:tc>
          <w:tcPr>
            <w:tcW w:w="605" w:type="pct"/>
            <w:tcBorders>
              <w:top w:val="single" w:sz="4" w:space="0" w:color="auto"/>
              <w:left w:val="single" w:sz="4" w:space="0" w:color="auto"/>
              <w:bottom w:val="single" w:sz="4" w:space="0" w:color="auto"/>
              <w:right w:val="single" w:sz="4" w:space="0" w:color="auto"/>
            </w:tcBorders>
            <w:vAlign w:val="center"/>
          </w:tcPr>
          <w:p w14:paraId="57FAFBC4" w14:textId="77777777" w:rsidR="00E5433A" w:rsidRPr="00DE6A6F" w:rsidRDefault="00E5433A" w:rsidP="00DD5056">
            <w:pPr>
              <w:pStyle w:val="Tabletext"/>
              <w:jc w:val="center"/>
              <w:rPr>
                <w:rFonts w:cstheme="majorBidi"/>
                <w:sz w:val="17"/>
                <w:szCs w:val="17"/>
              </w:rPr>
            </w:pPr>
            <w:r w:rsidRPr="00DE6A6F">
              <w:rPr>
                <w:sz w:val="17"/>
                <w:szCs w:val="17"/>
              </w:rPr>
              <w:t>22-27 juillet 2024</w:t>
            </w:r>
          </w:p>
        </w:tc>
        <w:tc>
          <w:tcPr>
            <w:tcW w:w="534" w:type="pct"/>
            <w:tcBorders>
              <w:top w:val="single" w:sz="4" w:space="0" w:color="auto"/>
              <w:left w:val="single" w:sz="4" w:space="0" w:color="auto"/>
              <w:bottom w:val="single" w:sz="4" w:space="0" w:color="auto"/>
              <w:right w:val="single" w:sz="4" w:space="0" w:color="auto"/>
            </w:tcBorders>
            <w:vAlign w:val="center"/>
            <w:hideMark/>
          </w:tcPr>
          <w:p w14:paraId="529985DD" w14:textId="77777777" w:rsidR="00E5433A" w:rsidRPr="00DE6A6F" w:rsidRDefault="00E5433A" w:rsidP="00DD5056">
            <w:pPr>
              <w:pStyle w:val="Tabletext"/>
              <w:jc w:val="center"/>
              <w:rPr>
                <w:rFonts w:cstheme="majorBidi"/>
                <w:b/>
                <w:bCs/>
                <w:sz w:val="17"/>
                <w:szCs w:val="17"/>
              </w:rPr>
            </w:pPr>
            <w:r w:rsidRPr="00DE6A6F">
              <w:rPr>
                <w:b/>
                <w:sz w:val="17"/>
                <w:szCs w:val="17"/>
              </w:rPr>
              <w:t>RRS-24-Amériques</w:t>
            </w:r>
          </w:p>
        </w:tc>
        <w:tc>
          <w:tcPr>
            <w:tcW w:w="427" w:type="pct"/>
            <w:tcBorders>
              <w:top w:val="single" w:sz="4" w:space="0" w:color="auto"/>
              <w:left w:val="single" w:sz="4" w:space="0" w:color="auto"/>
              <w:bottom w:val="single" w:sz="4" w:space="0" w:color="auto"/>
              <w:right w:val="single" w:sz="4" w:space="0" w:color="auto"/>
            </w:tcBorders>
            <w:vAlign w:val="center"/>
            <w:hideMark/>
          </w:tcPr>
          <w:p w14:paraId="66B14C32" w14:textId="77777777" w:rsidR="00E5433A" w:rsidRPr="00DE6A6F" w:rsidRDefault="00E5433A" w:rsidP="00DD5056">
            <w:pPr>
              <w:pStyle w:val="Tabletext"/>
              <w:jc w:val="center"/>
              <w:rPr>
                <w:rFonts w:cstheme="majorBidi"/>
                <w:sz w:val="17"/>
                <w:szCs w:val="17"/>
              </w:rPr>
            </w:pPr>
            <w:r w:rsidRPr="00DE6A6F">
              <w:rPr>
                <w:sz w:val="17"/>
                <w:szCs w:val="17"/>
              </w:rPr>
              <w:t>Saint</w:t>
            </w:r>
            <w:r w:rsidRPr="00DE6A6F">
              <w:rPr>
                <w:sz w:val="17"/>
                <w:szCs w:val="17"/>
              </w:rPr>
              <w:noBreakHyphen/>
              <w:t>Georges (Grenade)</w:t>
            </w:r>
          </w:p>
        </w:tc>
        <w:tc>
          <w:tcPr>
            <w:tcW w:w="467" w:type="pct"/>
            <w:tcBorders>
              <w:top w:val="single" w:sz="4" w:space="0" w:color="auto"/>
              <w:left w:val="single" w:sz="4" w:space="0" w:color="auto"/>
              <w:bottom w:val="single" w:sz="4" w:space="0" w:color="auto"/>
              <w:right w:val="single" w:sz="4" w:space="0" w:color="auto"/>
            </w:tcBorders>
            <w:vAlign w:val="center"/>
            <w:hideMark/>
          </w:tcPr>
          <w:p w14:paraId="3AC4FCFF" w14:textId="77777777" w:rsidR="00E5433A" w:rsidRPr="00DE6A6F" w:rsidRDefault="00E5433A" w:rsidP="00DD5056">
            <w:pPr>
              <w:pStyle w:val="Tabletext"/>
              <w:jc w:val="center"/>
              <w:rPr>
                <w:rFonts w:cstheme="majorBidi"/>
                <w:color w:val="444444"/>
                <w:sz w:val="17"/>
                <w:szCs w:val="17"/>
                <w:shd w:val="clear" w:color="auto" w:fill="FFFFFF"/>
              </w:rPr>
            </w:pPr>
            <w:r w:rsidRPr="00DE6A6F">
              <w:rPr>
                <w:sz w:val="17"/>
                <w:szCs w:val="17"/>
              </w:rPr>
              <w:t>−</w:t>
            </w:r>
          </w:p>
        </w:tc>
        <w:tc>
          <w:tcPr>
            <w:tcW w:w="931" w:type="pct"/>
            <w:tcBorders>
              <w:top w:val="single" w:sz="4" w:space="0" w:color="auto"/>
              <w:left w:val="single" w:sz="4" w:space="0" w:color="auto"/>
              <w:bottom w:val="single" w:sz="4" w:space="0" w:color="auto"/>
              <w:right w:val="single" w:sz="4" w:space="0" w:color="auto"/>
            </w:tcBorders>
            <w:vAlign w:val="center"/>
            <w:hideMark/>
          </w:tcPr>
          <w:p w14:paraId="322A8C84" w14:textId="77777777" w:rsidR="00E5433A" w:rsidRPr="00DE6A6F" w:rsidRDefault="00E5433A" w:rsidP="00DD5056">
            <w:pPr>
              <w:pStyle w:val="Tabletext"/>
              <w:jc w:val="center"/>
              <w:rPr>
                <w:rFonts w:cstheme="majorBidi"/>
                <w:sz w:val="17"/>
                <w:szCs w:val="17"/>
              </w:rPr>
            </w:pPr>
            <w:hyperlink r:id="rId57" w:tgtFrame="_blank" w:history="1">
              <w:r w:rsidRPr="00DE6A6F">
                <w:rPr>
                  <w:rStyle w:val="Hyperlink"/>
                  <w:rFonts w:asciiTheme="majorBidi" w:hAnsiTheme="majorBidi"/>
                  <w:sz w:val="17"/>
                  <w:szCs w:val="17"/>
                </w:rPr>
                <w:t>Commission nationale de régulat</w:t>
              </w:r>
              <w:r w:rsidRPr="00DE6A6F">
                <w:rPr>
                  <w:rStyle w:val="Hyperlink"/>
                  <w:rFonts w:asciiTheme="majorBidi" w:hAnsiTheme="majorBidi"/>
                  <w:sz w:val="17"/>
                  <w:szCs w:val="17"/>
                </w:rPr>
                <w:t>i</w:t>
              </w:r>
              <w:r w:rsidRPr="00DE6A6F">
                <w:rPr>
                  <w:rStyle w:val="Hyperlink"/>
                  <w:rFonts w:asciiTheme="majorBidi" w:hAnsiTheme="majorBidi"/>
                  <w:sz w:val="17"/>
                  <w:szCs w:val="17"/>
                </w:rPr>
                <w:t>on des télécommunications</w:t>
              </w:r>
            </w:hyperlink>
            <w:r w:rsidRPr="00DE6A6F">
              <w:rPr>
                <w:sz w:val="17"/>
                <w:szCs w:val="17"/>
              </w:rPr>
              <w:t> (NTRC) de Grenade, en collaboration avec la </w:t>
            </w:r>
            <w:hyperlink r:id="rId58" w:tgtFrame="_blank" w:history="1">
              <w:r w:rsidRPr="00DE6A6F">
                <w:rPr>
                  <w:rStyle w:val="Hyperlink"/>
                  <w:rFonts w:asciiTheme="majorBidi" w:hAnsiTheme="majorBidi"/>
                  <w:sz w:val="17"/>
                  <w:szCs w:val="17"/>
                </w:rPr>
                <w:t xml:space="preserve">Commission </w:t>
              </w:r>
              <w:r w:rsidRPr="00DE6A6F">
                <w:rPr>
                  <w:rStyle w:val="Hyperlink"/>
                  <w:rFonts w:asciiTheme="majorBidi" w:hAnsiTheme="majorBidi"/>
                  <w:sz w:val="17"/>
                  <w:szCs w:val="17"/>
                </w:rPr>
                <w:t>i</w:t>
              </w:r>
              <w:r w:rsidRPr="00DE6A6F">
                <w:rPr>
                  <w:rStyle w:val="Hyperlink"/>
                  <w:rFonts w:asciiTheme="majorBidi" w:hAnsiTheme="majorBidi"/>
                  <w:sz w:val="17"/>
                  <w:szCs w:val="17"/>
                </w:rPr>
                <w:t>nteraméricaine des télécommunications</w:t>
              </w:r>
            </w:hyperlink>
            <w:r w:rsidRPr="00DE6A6F">
              <w:rPr>
                <w:sz w:val="17"/>
                <w:szCs w:val="17"/>
              </w:rPr>
              <w:t> (CITEL) et l'Union des télécommunications des Caraïbes (CTU)</w:t>
            </w:r>
          </w:p>
          <w:p w14:paraId="255D818A" w14:textId="77777777" w:rsidR="00E5433A" w:rsidRPr="00DE6A6F" w:rsidRDefault="00E5433A" w:rsidP="00DD5056">
            <w:pPr>
              <w:pStyle w:val="Tabletext"/>
              <w:jc w:val="center"/>
              <w:rPr>
                <w:rFonts w:cstheme="majorBidi"/>
                <w:sz w:val="17"/>
                <w:szCs w:val="17"/>
              </w:rPr>
            </w:pPr>
            <w:r w:rsidRPr="00DE6A6F">
              <w:rPr>
                <w:sz w:val="17"/>
                <w:szCs w:val="17"/>
              </w:rPr>
              <w:t>Bureau de l'UIT pour la région Amériques</w:t>
            </w:r>
          </w:p>
        </w:tc>
        <w:tc>
          <w:tcPr>
            <w:tcW w:w="588" w:type="pct"/>
            <w:tcBorders>
              <w:top w:val="single" w:sz="4" w:space="0" w:color="auto"/>
              <w:left w:val="single" w:sz="4" w:space="0" w:color="auto"/>
              <w:bottom w:val="single" w:sz="4" w:space="0" w:color="auto"/>
              <w:right w:val="single" w:sz="4" w:space="0" w:color="auto"/>
            </w:tcBorders>
            <w:vAlign w:val="center"/>
            <w:hideMark/>
          </w:tcPr>
          <w:p w14:paraId="0F3F5FF4" w14:textId="77777777" w:rsidR="00E5433A" w:rsidRPr="00DE6A6F" w:rsidRDefault="00E5433A" w:rsidP="00DD5056">
            <w:pPr>
              <w:pStyle w:val="Tabletext"/>
              <w:jc w:val="center"/>
              <w:rPr>
                <w:rFonts w:cstheme="majorBidi"/>
                <w:sz w:val="17"/>
                <w:szCs w:val="17"/>
              </w:rPr>
            </w:pPr>
            <w:r w:rsidRPr="00DE6A6F">
              <w:rPr>
                <w:sz w:val="17"/>
                <w:szCs w:val="17"/>
              </w:rPr>
              <w:t>Systèmes à satellites: enjeux et perspectives pour la région</w:t>
            </w:r>
          </w:p>
        </w:tc>
        <w:tc>
          <w:tcPr>
            <w:tcW w:w="321" w:type="pct"/>
            <w:tcBorders>
              <w:top w:val="single" w:sz="4" w:space="0" w:color="auto"/>
              <w:left w:val="single" w:sz="4" w:space="0" w:color="auto"/>
              <w:bottom w:val="single" w:sz="4" w:space="0" w:color="auto"/>
              <w:right w:val="single" w:sz="4" w:space="0" w:color="auto"/>
            </w:tcBorders>
            <w:vAlign w:val="center"/>
            <w:hideMark/>
          </w:tcPr>
          <w:p w14:paraId="0D50DECC" w14:textId="77777777" w:rsidR="00E5433A" w:rsidRPr="00DE6A6F" w:rsidRDefault="00E5433A" w:rsidP="00DD5056">
            <w:pPr>
              <w:pStyle w:val="Tabletext"/>
              <w:jc w:val="center"/>
              <w:rPr>
                <w:rFonts w:cstheme="majorBidi"/>
                <w:sz w:val="17"/>
                <w:szCs w:val="17"/>
              </w:rPr>
            </w:pPr>
            <w:r w:rsidRPr="00DE6A6F">
              <w:rPr>
                <w:sz w:val="17"/>
                <w:szCs w:val="17"/>
              </w:rPr>
              <w:t>E, F, S</w:t>
            </w:r>
          </w:p>
        </w:tc>
        <w:tc>
          <w:tcPr>
            <w:tcW w:w="538" w:type="pct"/>
            <w:tcBorders>
              <w:top w:val="single" w:sz="4" w:space="0" w:color="auto"/>
              <w:left w:val="single" w:sz="4" w:space="0" w:color="auto"/>
              <w:bottom w:val="single" w:sz="4" w:space="0" w:color="auto"/>
              <w:right w:val="single" w:sz="4" w:space="0" w:color="auto"/>
            </w:tcBorders>
            <w:vAlign w:val="center"/>
            <w:hideMark/>
          </w:tcPr>
          <w:p w14:paraId="727FF2B3" w14:textId="77777777" w:rsidR="00E5433A" w:rsidRPr="00DE6A6F" w:rsidRDefault="00E5433A" w:rsidP="00DD5056">
            <w:pPr>
              <w:pStyle w:val="Tabletext"/>
              <w:jc w:val="center"/>
              <w:rPr>
                <w:rFonts w:cstheme="majorBidi"/>
                <w:sz w:val="17"/>
                <w:szCs w:val="17"/>
              </w:rPr>
            </w:pPr>
            <w:r w:rsidRPr="00DE6A6F">
              <w:rPr>
                <w:sz w:val="17"/>
                <w:szCs w:val="17"/>
              </w:rPr>
              <w:t>75/15</w:t>
            </w:r>
          </w:p>
        </w:tc>
        <w:tc>
          <w:tcPr>
            <w:tcW w:w="588" w:type="pct"/>
            <w:tcBorders>
              <w:top w:val="single" w:sz="4" w:space="0" w:color="auto"/>
              <w:left w:val="single" w:sz="4" w:space="0" w:color="auto"/>
              <w:bottom w:val="single" w:sz="4" w:space="0" w:color="auto"/>
              <w:right w:val="single" w:sz="4" w:space="0" w:color="auto"/>
            </w:tcBorders>
            <w:vAlign w:val="center"/>
          </w:tcPr>
          <w:p w14:paraId="318EBEE1" w14:textId="77777777" w:rsidR="00E5433A" w:rsidRPr="00DE6A6F" w:rsidDel="00203E0B" w:rsidRDefault="00E5433A" w:rsidP="00DD5056">
            <w:pPr>
              <w:pStyle w:val="Tabletext"/>
              <w:jc w:val="center"/>
              <w:rPr>
                <w:rFonts w:cstheme="majorBidi"/>
                <w:sz w:val="17"/>
                <w:szCs w:val="17"/>
              </w:rPr>
            </w:pPr>
            <w:r w:rsidRPr="00DE6A6F">
              <w:rPr>
                <w:sz w:val="17"/>
                <w:szCs w:val="17"/>
              </w:rPr>
              <w:t>5</w:t>
            </w:r>
          </w:p>
        </w:tc>
      </w:tr>
      <w:tr w:rsidR="00E5433A" w:rsidRPr="00DE6A6F" w14:paraId="76B8B3A6" w14:textId="77777777" w:rsidTr="00DD5056">
        <w:trPr>
          <w:jc w:val="center"/>
        </w:trPr>
        <w:tc>
          <w:tcPr>
            <w:tcW w:w="605" w:type="pct"/>
            <w:tcBorders>
              <w:top w:val="single" w:sz="4" w:space="0" w:color="auto"/>
              <w:left w:val="single" w:sz="4" w:space="0" w:color="auto"/>
              <w:bottom w:val="single" w:sz="4" w:space="0" w:color="auto"/>
              <w:right w:val="single" w:sz="4" w:space="0" w:color="auto"/>
            </w:tcBorders>
            <w:vAlign w:val="center"/>
          </w:tcPr>
          <w:p w14:paraId="70B0A8A9" w14:textId="77777777" w:rsidR="00E5433A" w:rsidRPr="00DE6A6F" w:rsidRDefault="00E5433A" w:rsidP="00DD5056">
            <w:pPr>
              <w:pStyle w:val="Tabletext"/>
              <w:jc w:val="center"/>
              <w:rPr>
                <w:rFonts w:cstheme="majorBidi"/>
                <w:sz w:val="17"/>
                <w:szCs w:val="17"/>
              </w:rPr>
            </w:pPr>
            <w:r w:rsidRPr="00DE6A6F">
              <w:rPr>
                <w:sz w:val="17"/>
                <w:szCs w:val="17"/>
              </w:rPr>
              <w:t>16</w:t>
            </w:r>
            <w:r w:rsidRPr="00DE6A6F">
              <w:rPr>
                <w:sz w:val="17"/>
                <w:szCs w:val="17"/>
              </w:rPr>
              <w:noBreakHyphen/>
              <w:t>21 septembre 2024</w:t>
            </w:r>
          </w:p>
        </w:tc>
        <w:tc>
          <w:tcPr>
            <w:tcW w:w="534" w:type="pct"/>
            <w:tcBorders>
              <w:top w:val="single" w:sz="4" w:space="0" w:color="auto"/>
              <w:left w:val="single" w:sz="4" w:space="0" w:color="auto"/>
              <w:bottom w:val="single" w:sz="4" w:space="0" w:color="auto"/>
              <w:right w:val="single" w:sz="4" w:space="0" w:color="auto"/>
            </w:tcBorders>
            <w:vAlign w:val="center"/>
          </w:tcPr>
          <w:p w14:paraId="4443541B" w14:textId="77777777" w:rsidR="00E5433A" w:rsidRPr="00DE6A6F" w:rsidRDefault="00E5433A" w:rsidP="00DD5056">
            <w:pPr>
              <w:pStyle w:val="Tabletext"/>
              <w:jc w:val="center"/>
              <w:rPr>
                <w:rFonts w:cstheme="majorBidi"/>
                <w:b/>
                <w:bCs/>
                <w:sz w:val="17"/>
                <w:szCs w:val="17"/>
              </w:rPr>
            </w:pPr>
            <w:r w:rsidRPr="00DE6A6F">
              <w:rPr>
                <w:b/>
                <w:sz w:val="17"/>
                <w:szCs w:val="17"/>
              </w:rPr>
              <w:t>RRS-24-Asie</w:t>
            </w:r>
            <w:r w:rsidRPr="00DE6A6F">
              <w:rPr>
                <w:b/>
                <w:sz w:val="17"/>
                <w:szCs w:val="17"/>
              </w:rPr>
              <w:noBreakHyphen/>
              <w:t>Pacifique</w:t>
            </w:r>
          </w:p>
        </w:tc>
        <w:tc>
          <w:tcPr>
            <w:tcW w:w="427" w:type="pct"/>
            <w:tcBorders>
              <w:top w:val="single" w:sz="4" w:space="0" w:color="auto"/>
              <w:left w:val="single" w:sz="4" w:space="0" w:color="auto"/>
              <w:bottom w:val="single" w:sz="4" w:space="0" w:color="auto"/>
              <w:right w:val="single" w:sz="4" w:space="0" w:color="auto"/>
            </w:tcBorders>
            <w:vAlign w:val="center"/>
          </w:tcPr>
          <w:p w14:paraId="65FE5B42" w14:textId="77777777" w:rsidR="00E5433A" w:rsidRPr="00DE6A6F" w:rsidRDefault="00E5433A" w:rsidP="00DD5056">
            <w:pPr>
              <w:pStyle w:val="Tabletext"/>
              <w:jc w:val="center"/>
              <w:rPr>
                <w:rFonts w:cstheme="majorBidi"/>
                <w:bCs/>
                <w:sz w:val="17"/>
                <w:szCs w:val="17"/>
              </w:rPr>
            </w:pPr>
            <w:r w:rsidRPr="00DE6A6F">
              <w:rPr>
                <w:sz w:val="17"/>
                <w:szCs w:val="17"/>
              </w:rPr>
              <w:t>Apia (Samoa)</w:t>
            </w:r>
          </w:p>
        </w:tc>
        <w:tc>
          <w:tcPr>
            <w:tcW w:w="467" w:type="pct"/>
            <w:tcBorders>
              <w:top w:val="single" w:sz="4" w:space="0" w:color="auto"/>
              <w:left w:val="single" w:sz="4" w:space="0" w:color="auto"/>
              <w:bottom w:val="single" w:sz="4" w:space="0" w:color="auto"/>
              <w:right w:val="single" w:sz="4" w:space="0" w:color="auto"/>
            </w:tcBorders>
            <w:vAlign w:val="center"/>
          </w:tcPr>
          <w:p w14:paraId="69FFEFCE" w14:textId="77777777" w:rsidR="00E5433A" w:rsidRPr="00DE6A6F" w:rsidRDefault="00E5433A" w:rsidP="00DD5056">
            <w:pPr>
              <w:pStyle w:val="Tabletext"/>
              <w:jc w:val="center"/>
              <w:rPr>
                <w:sz w:val="17"/>
                <w:szCs w:val="17"/>
              </w:rPr>
            </w:pPr>
          </w:p>
        </w:tc>
        <w:tc>
          <w:tcPr>
            <w:tcW w:w="931" w:type="pct"/>
            <w:tcBorders>
              <w:top w:val="single" w:sz="4" w:space="0" w:color="auto"/>
              <w:left w:val="single" w:sz="4" w:space="0" w:color="auto"/>
              <w:bottom w:val="single" w:sz="4" w:space="0" w:color="auto"/>
              <w:right w:val="single" w:sz="4" w:space="0" w:color="auto"/>
            </w:tcBorders>
            <w:vAlign w:val="center"/>
          </w:tcPr>
          <w:p w14:paraId="1A9FA334" w14:textId="77777777" w:rsidR="00E5433A" w:rsidRPr="00DE6A6F" w:rsidRDefault="00E5433A" w:rsidP="00DD5056">
            <w:pPr>
              <w:pStyle w:val="Tabletext"/>
              <w:jc w:val="center"/>
              <w:rPr>
                <w:rFonts w:cstheme="majorBidi"/>
                <w:sz w:val="17"/>
                <w:szCs w:val="17"/>
              </w:rPr>
            </w:pPr>
            <w:r w:rsidRPr="00DE6A6F">
              <w:rPr>
                <w:sz w:val="17"/>
                <w:szCs w:val="17"/>
              </w:rPr>
              <w:t>Bureau du régulateur du Samoa, en collaboration avec la </w:t>
            </w:r>
            <w:hyperlink r:id="rId59" w:tgtFrame="_blank" w:history="1">
              <w:r w:rsidRPr="00DE6A6F">
                <w:rPr>
                  <w:rStyle w:val="Hyperlink"/>
                  <w:rFonts w:asciiTheme="majorBidi" w:hAnsiTheme="majorBidi"/>
                  <w:sz w:val="17"/>
                  <w:szCs w:val="17"/>
                </w:rPr>
                <w:t>T</w:t>
              </w:r>
              <w:r w:rsidRPr="00DE6A6F">
                <w:rPr>
                  <w:rStyle w:val="Hyperlink"/>
                  <w:rFonts w:asciiTheme="majorBidi" w:hAnsiTheme="majorBidi"/>
                  <w:sz w:val="17"/>
                  <w:szCs w:val="17"/>
                </w:rPr>
                <w:t>é</w:t>
              </w:r>
              <w:r w:rsidRPr="00DE6A6F">
                <w:rPr>
                  <w:rStyle w:val="Hyperlink"/>
                  <w:rFonts w:asciiTheme="majorBidi" w:hAnsiTheme="majorBidi"/>
                  <w:sz w:val="17"/>
                  <w:szCs w:val="17"/>
                </w:rPr>
                <w:t>lécommunauté Asie</w:t>
              </w:r>
              <w:r w:rsidRPr="00DE6A6F">
                <w:rPr>
                  <w:rStyle w:val="Hyperlink"/>
                  <w:rFonts w:asciiTheme="majorBidi" w:hAnsiTheme="majorBidi"/>
                  <w:sz w:val="17"/>
                  <w:szCs w:val="17"/>
                </w:rPr>
                <w:noBreakHyphen/>
                <w:t>Pacifique</w:t>
              </w:r>
            </w:hyperlink>
            <w:r w:rsidRPr="00DE6A6F">
              <w:rPr>
                <w:sz w:val="17"/>
                <w:szCs w:val="17"/>
              </w:rPr>
              <w:t> (APT) et la </w:t>
            </w:r>
            <w:hyperlink r:id="rId60" w:tgtFrame="_blank" w:history="1">
              <w:r w:rsidRPr="00DE6A6F">
                <w:rPr>
                  <w:rStyle w:val="Hyperlink"/>
                  <w:rFonts w:asciiTheme="majorBidi" w:hAnsiTheme="majorBidi"/>
                  <w:sz w:val="17"/>
                  <w:szCs w:val="17"/>
                </w:rPr>
                <w:t>Pacific Islands Telecommunicatio</w:t>
              </w:r>
              <w:r w:rsidRPr="00DE6A6F">
                <w:rPr>
                  <w:rStyle w:val="Hyperlink"/>
                  <w:rFonts w:asciiTheme="majorBidi" w:hAnsiTheme="majorBidi"/>
                  <w:sz w:val="17"/>
                  <w:szCs w:val="17"/>
                </w:rPr>
                <w:t>n</w:t>
              </w:r>
              <w:r w:rsidRPr="00DE6A6F">
                <w:rPr>
                  <w:rStyle w:val="Hyperlink"/>
                  <w:rFonts w:asciiTheme="majorBidi" w:hAnsiTheme="majorBidi"/>
                  <w:sz w:val="17"/>
                  <w:szCs w:val="17"/>
                </w:rPr>
                <w:t>s Association</w:t>
              </w:r>
            </w:hyperlink>
            <w:r w:rsidRPr="00DE6A6F">
              <w:rPr>
                <w:sz w:val="17"/>
                <w:szCs w:val="17"/>
              </w:rPr>
              <w:t> (PITA), parrainé par le Ministère de l'industrie et des technologies de l'information (MIIT) de la Chine</w:t>
            </w:r>
          </w:p>
          <w:p w14:paraId="7944D4E8" w14:textId="77777777" w:rsidR="00E5433A" w:rsidRPr="00DE6A6F" w:rsidRDefault="00E5433A" w:rsidP="00DD5056">
            <w:pPr>
              <w:pStyle w:val="Tabletext"/>
              <w:jc w:val="center"/>
              <w:rPr>
                <w:rFonts w:cstheme="majorBidi"/>
                <w:sz w:val="17"/>
                <w:szCs w:val="17"/>
              </w:rPr>
            </w:pPr>
            <w:r w:rsidRPr="00DE6A6F">
              <w:rPr>
                <w:sz w:val="17"/>
                <w:szCs w:val="17"/>
              </w:rPr>
              <w:t>Bureau de l'UIT pour la région Asie-Pacifique</w:t>
            </w:r>
          </w:p>
        </w:tc>
        <w:tc>
          <w:tcPr>
            <w:tcW w:w="588" w:type="pct"/>
            <w:tcBorders>
              <w:top w:val="single" w:sz="4" w:space="0" w:color="auto"/>
              <w:left w:val="single" w:sz="4" w:space="0" w:color="auto"/>
              <w:bottom w:val="single" w:sz="4" w:space="0" w:color="auto"/>
              <w:right w:val="single" w:sz="4" w:space="0" w:color="auto"/>
            </w:tcBorders>
            <w:vAlign w:val="center"/>
          </w:tcPr>
          <w:p w14:paraId="60A8D25F" w14:textId="77777777" w:rsidR="00E5433A" w:rsidRPr="00DE6A6F" w:rsidRDefault="00E5433A" w:rsidP="00DD5056">
            <w:pPr>
              <w:pStyle w:val="Tabletext"/>
              <w:jc w:val="center"/>
              <w:rPr>
                <w:rFonts w:cstheme="majorBidi"/>
                <w:sz w:val="17"/>
                <w:szCs w:val="17"/>
              </w:rPr>
            </w:pPr>
            <w:r w:rsidRPr="00DE6A6F">
              <w:rPr>
                <w:sz w:val="17"/>
                <w:szCs w:val="17"/>
              </w:rPr>
              <w:t>Systèmes modernes de radiocommunication</w:t>
            </w:r>
          </w:p>
        </w:tc>
        <w:tc>
          <w:tcPr>
            <w:tcW w:w="321" w:type="pct"/>
            <w:tcBorders>
              <w:top w:val="single" w:sz="4" w:space="0" w:color="auto"/>
              <w:left w:val="single" w:sz="4" w:space="0" w:color="auto"/>
              <w:bottom w:val="single" w:sz="4" w:space="0" w:color="auto"/>
              <w:right w:val="single" w:sz="4" w:space="0" w:color="auto"/>
            </w:tcBorders>
            <w:vAlign w:val="center"/>
          </w:tcPr>
          <w:p w14:paraId="479B7DB9" w14:textId="77777777" w:rsidR="00E5433A" w:rsidRPr="00DE6A6F" w:rsidRDefault="00E5433A" w:rsidP="00DD5056">
            <w:pPr>
              <w:pStyle w:val="Tabletext"/>
              <w:jc w:val="center"/>
              <w:rPr>
                <w:rFonts w:cstheme="majorBidi"/>
                <w:sz w:val="17"/>
                <w:szCs w:val="17"/>
              </w:rPr>
            </w:pPr>
            <w:r w:rsidRPr="00DE6A6F">
              <w:rPr>
                <w:sz w:val="17"/>
                <w:szCs w:val="17"/>
              </w:rPr>
              <w:t>E</w:t>
            </w:r>
          </w:p>
        </w:tc>
        <w:tc>
          <w:tcPr>
            <w:tcW w:w="538" w:type="pct"/>
            <w:tcBorders>
              <w:top w:val="single" w:sz="4" w:space="0" w:color="auto"/>
              <w:left w:val="single" w:sz="4" w:space="0" w:color="auto"/>
              <w:bottom w:val="single" w:sz="4" w:space="0" w:color="auto"/>
              <w:right w:val="single" w:sz="4" w:space="0" w:color="auto"/>
            </w:tcBorders>
            <w:vAlign w:val="center"/>
          </w:tcPr>
          <w:p w14:paraId="3332FBAC" w14:textId="77777777" w:rsidR="00E5433A" w:rsidRPr="00DE6A6F" w:rsidRDefault="00E5433A" w:rsidP="00DD5056">
            <w:pPr>
              <w:pStyle w:val="Tabletext"/>
              <w:jc w:val="center"/>
              <w:rPr>
                <w:rFonts w:cstheme="majorBidi"/>
                <w:sz w:val="17"/>
                <w:szCs w:val="17"/>
              </w:rPr>
            </w:pPr>
            <w:r w:rsidRPr="00DE6A6F">
              <w:rPr>
                <w:sz w:val="17"/>
                <w:szCs w:val="17"/>
              </w:rPr>
              <w:t>100/25</w:t>
            </w:r>
          </w:p>
        </w:tc>
        <w:tc>
          <w:tcPr>
            <w:tcW w:w="588" w:type="pct"/>
            <w:tcBorders>
              <w:top w:val="single" w:sz="4" w:space="0" w:color="auto"/>
              <w:left w:val="single" w:sz="4" w:space="0" w:color="auto"/>
              <w:bottom w:val="single" w:sz="4" w:space="0" w:color="auto"/>
              <w:right w:val="single" w:sz="4" w:space="0" w:color="auto"/>
            </w:tcBorders>
            <w:vAlign w:val="center"/>
          </w:tcPr>
          <w:p w14:paraId="45EDCAAE" w14:textId="77777777" w:rsidR="00E5433A" w:rsidRPr="00DE6A6F" w:rsidRDefault="00E5433A" w:rsidP="00DD5056">
            <w:pPr>
              <w:pStyle w:val="Tabletext"/>
              <w:jc w:val="center"/>
              <w:rPr>
                <w:rFonts w:cstheme="majorBidi"/>
                <w:sz w:val="17"/>
                <w:szCs w:val="17"/>
              </w:rPr>
            </w:pPr>
            <w:r w:rsidRPr="00DE6A6F">
              <w:rPr>
                <w:sz w:val="17"/>
                <w:szCs w:val="17"/>
              </w:rPr>
              <w:t>Budget ordinaire: 2</w:t>
            </w:r>
          </w:p>
          <w:p w14:paraId="4E853CD8" w14:textId="77777777" w:rsidR="00E5433A" w:rsidRPr="00DE6A6F" w:rsidRDefault="00E5433A" w:rsidP="00DD5056">
            <w:pPr>
              <w:pStyle w:val="Tabletext"/>
              <w:jc w:val="center"/>
              <w:rPr>
                <w:rFonts w:cstheme="majorBidi"/>
                <w:sz w:val="17"/>
                <w:szCs w:val="17"/>
              </w:rPr>
            </w:pPr>
            <w:r w:rsidRPr="00DE6A6F">
              <w:rPr>
                <w:sz w:val="17"/>
                <w:szCs w:val="17"/>
              </w:rPr>
              <w:t>Projet: 17</w:t>
            </w:r>
          </w:p>
          <w:p w14:paraId="687BF6D2" w14:textId="77777777" w:rsidR="00E5433A" w:rsidRPr="00DE6A6F" w:rsidRDefault="00E5433A" w:rsidP="00DD5056">
            <w:pPr>
              <w:pStyle w:val="Tabletext"/>
              <w:jc w:val="center"/>
              <w:rPr>
                <w:rFonts w:cstheme="majorBidi"/>
                <w:sz w:val="17"/>
                <w:szCs w:val="17"/>
              </w:rPr>
            </w:pPr>
            <w:r w:rsidRPr="00DE6A6F">
              <w:rPr>
                <w:sz w:val="17"/>
                <w:szCs w:val="17"/>
              </w:rPr>
              <w:t>Le MIIT a accordé des bourses pour la participation à cette manifestation.</w:t>
            </w:r>
          </w:p>
        </w:tc>
      </w:tr>
    </w:tbl>
    <w:p w14:paraId="26D0CD95" w14:textId="77777777" w:rsidR="00E5433A" w:rsidRPr="00DE6A6F" w:rsidRDefault="00E5433A" w:rsidP="00E5433A">
      <w:pPr>
        <w:pStyle w:val="Tablefin"/>
      </w:pPr>
    </w:p>
    <w:p w14:paraId="336BA4B9" w14:textId="77777777" w:rsidR="00E5433A" w:rsidRPr="00DE6A6F" w:rsidRDefault="00E5433A" w:rsidP="00E5433A">
      <w:pPr>
        <w:sectPr w:rsidR="00E5433A" w:rsidRPr="00DE6A6F" w:rsidSect="00E5433A">
          <w:headerReference w:type="default" r:id="rId61"/>
          <w:headerReference w:type="first" r:id="rId62"/>
          <w:pgSz w:w="16834" w:h="11907" w:orient="landscape"/>
          <w:pgMar w:top="1134" w:right="1418" w:bottom="1134" w:left="1418" w:header="720" w:footer="720" w:gutter="0"/>
          <w:paperSrc w:first="15" w:other="15"/>
          <w:cols w:space="720"/>
          <w:titlePg/>
          <w:docGrid w:linePitch="326"/>
        </w:sectPr>
      </w:pPr>
      <w:r w:rsidRPr="00DE6A6F">
        <w:t>Le BR, avec ses partenaires régionaux, a accordé 26 bourses pour la participation aux séminaires RRS (une bourse par pays remplissant les conditions requises).</w:t>
      </w:r>
    </w:p>
    <w:p w14:paraId="439B0DA5" w14:textId="77777777" w:rsidR="00E5433A" w:rsidRPr="00DE6A6F" w:rsidRDefault="00E5433A" w:rsidP="00E5433A">
      <w:pPr>
        <w:pStyle w:val="Heading3"/>
        <w:rPr>
          <w:i/>
        </w:rPr>
      </w:pPr>
      <w:bookmarkStart w:id="10" w:name="_Toc446060786"/>
      <w:bookmarkStart w:id="11" w:name="_Toc424047604"/>
      <w:r w:rsidRPr="00DE6A6F">
        <w:lastRenderedPageBreak/>
        <w:t>8.2.3</w:t>
      </w:r>
      <w:r w:rsidRPr="00DE6A6F">
        <w:tab/>
        <w:t>Séminaires mondiaux et régionaux des radiocommunications prévus durant la période 2024-2027</w:t>
      </w:r>
    </w:p>
    <w:bookmarkEnd w:id="10"/>
    <w:p w14:paraId="2E6754E0" w14:textId="77777777" w:rsidR="00E5433A" w:rsidRPr="00DE6A6F" w:rsidRDefault="00E5433A" w:rsidP="00E5433A">
      <w:r w:rsidRPr="00DE6A6F">
        <w:t>Compte tenu du calendrier de séminaires WRS/RRS pour la période 2024-2027 (Tableau 8.2.2-1), il est prévu d'organiser les séminaires suivants en 2025:</w:t>
      </w:r>
    </w:p>
    <w:p w14:paraId="4D2FD85C" w14:textId="77777777" w:rsidR="00E5433A" w:rsidRPr="00DE6A6F" w:rsidRDefault="00E5433A" w:rsidP="00E5433A">
      <w:pPr>
        <w:pStyle w:val="enumlev1"/>
      </w:pPr>
      <w:r w:rsidRPr="00DE6A6F">
        <w:t>•</w:t>
      </w:r>
      <w:r w:rsidRPr="00DE6A6F">
        <w:tab/>
        <w:t>RRS-25-Afrique: 5-8 mai, ville de Djibouti (Djibouti (République de))</w:t>
      </w:r>
    </w:p>
    <w:p w14:paraId="3F8C2A19" w14:textId="77777777" w:rsidR="00E5433A" w:rsidRPr="00DE6A6F" w:rsidRDefault="00E5433A" w:rsidP="00E5433A">
      <w:pPr>
        <w:pStyle w:val="enumlev1"/>
      </w:pPr>
      <w:r w:rsidRPr="00DE6A6F">
        <w:t>•</w:t>
      </w:r>
      <w:r w:rsidRPr="00DE6A6F">
        <w:tab/>
        <w:t>RRS-25-Amériques (centré sur la région Mésoamérique): 16-20 juin, Tegucigalpa (Honduras)</w:t>
      </w:r>
    </w:p>
    <w:p w14:paraId="7F37D167" w14:textId="77777777" w:rsidR="00E5433A" w:rsidRPr="00DE6A6F" w:rsidRDefault="00E5433A" w:rsidP="00E5433A">
      <w:pPr>
        <w:pStyle w:val="enumlev1"/>
      </w:pPr>
      <w:r w:rsidRPr="00DE6A6F">
        <w:t>•</w:t>
      </w:r>
      <w:r w:rsidRPr="00DE6A6F">
        <w:tab/>
        <w:t>RRS-25-Asie-Pacifique: septembre (lieu à déterminer)</w:t>
      </w:r>
    </w:p>
    <w:p w14:paraId="1B6951D5" w14:textId="77777777" w:rsidR="00E5433A" w:rsidRPr="00DE6A6F" w:rsidRDefault="00E5433A" w:rsidP="00E5433A">
      <w:r w:rsidRPr="00DE6A6F">
        <w:t>Les activités de renforcement des capacités suivantes sont prévues pour l'année 2025:</w:t>
      </w:r>
    </w:p>
    <w:p w14:paraId="32752422" w14:textId="77777777" w:rsidR="00E5433A" w:rsidRPr="00DE6A6F" w:rsidRDefault="00E5433A" w:rsidP="00E5433A">
      <w:pPr>
        <w:pStyle w:val="enumlev1"/>
      </w:pPr>
      <w:r w:rsidRPr="00DE6A6F">
        <w:t>•</w:t>
      </w:r>
      <w:r w:rsidRPr="00DE6A6F">
        <w:tab/>
        <w:t>Atelier régional sur la gestion moderne du spectre et systèmes modernes de contrôle des émissions (pour la région Amériques), deuxième trimestre de 2025 (lieu à déterminer), qui se déroulera en anglais et en espagnol.</w:t>
      </w:r>
    </w:p>
    <w:p w14:paraId="52F7F854" w14:textId="77777777" w:rsidR="00E5433A" w:rsidRPr="00DE6A6F" w:rsidRDefault="00E5433A" w:rsidP="00E5433A">
      <w:pPr>
        <w:pStyle w:val="enumlev1"/>
      </w:pPr>
      <w:r w:rsidRPr="00DE6A6F">
        <w:t>•</w:t>
      </w:r>
      <w:r w:rsidRPr="00DE6A6F">
        <w:tab/>
        <w:t>Premier atelier régional sur la gestion du spectre (région Asie-Pacifique), qui se tiendra en marge du RRS-25-Asie-Pacifique (dans le même lieu).</w:t>
      </w:r>
    </w:p>
    <w:p w14:paraId="0DFE8F67" w14:textId="77777777" w:rsidR="00E5433A" w:rsidRPr="00DE6A6F" w:rsidRDefault="00E5433A" w:rsidP="00E5433A">
      <w:pPr>
        <w:pStyle w:val="Heading3"/>
        <w:rPr>
          <w:highlight w:val="cyan"/>
        </w:rPr>
      </w:pPr>
      <w:r w:rsidRPr="00DE6A6F">
        <w:t>8.2.4</w:t>
      </w:r>
      <w:r w:rsidRPr="00DE6A6F">
        <w:tab/>
        <w:t>Ateliers sur les tableaux nationaux d'attribution des bandes de fréquences (TNABF)</w:t>
      </w:r>
    </w:p>
    <w:p w14:paraId="79D01092" w14:textId="77777777" w:rsidR="00E5433A" w:rsidRPr="00DE6A6F" w:rsidRDefault="00E5433A" w:rsidP="00E5433A">
      <w:pPr>
        <w:rPr>
          <w:rFonts w:eastAsia="Calibri"/>
        </w:rPr>
      </w:pPr>
      <w:r w:rsidRPr="00DE6A6F">
        <w:t>Au cours des différents séminaires RRS, les participants ont souligné qu'il était nécessaire d'améliorer et de mettre à jour d'urgence leurs tableaux nationaux d'attribution des fréquences, et de garantir leur harmonisation avec le RR. Ils étaient notamment confrontés:</w:t>
      </w:r>
    </w:p>
    <w:p w14:paraId="3E18AD0C" w14:textId="77777777" w:rsidR="00E5433A" w:rsidRPr="00DE6A6F" w:rsidRDefault="00E5433A" w:rsidP="00E5433A">
      <w:pPr>
        <w:pStyle w:val="enumlev1"/>
      </w:pPr>
      <w:r w:rsidRPr="00DE6A6F">
        <w:t>•</w:t>
      </w:r>
      <w:r w:rsidRPr="00DE6A6F">
        <w:tab/>
        <w:t>au manque de sensibilisation à l'importance des tableaux nationaux d'attribution des fréquences;</w:t>
      </w:r>
    </w:p>
    <w:p w14:paraId="53B37083" w14:textId="77777777" w:rsidR="00E5433A" w:rsidRPr="00DE6A6F" w:rsidRDefault="00E5433A" w:rsidP="00E5433A">
      <w:pPr>
        <w:pStyle w:val="enumlev1"/>
      </w:pPr>
      <w:r w:rsidRPr="00DE6A6F">
        <w:t>•</w:t>
      </w:r>
      <w:r w:rsidRPr="00DE6A6F">
        <w:tab/>
        <w:t>au manque de ressources humaines qualifiées et spécialisées pour actualiser et tenir à jour ces tableaux;</w:t>
      </w:r>
    </w:p>
    <w:p w14:paraId="25F0328D" w14:textId="77777777" w:rsidR="00E5433A" w:rsidRPr="00DE6A6F" w:rsidRDefault="00E5433A" w:rsidP="00E5433A">
      <w:pPr>
        <w:pStyle w:val="enumlev1"/>
      </w:pPr>
      <w:r w:rsidRPr="00DE6A6F">
        <w:t>•</w:t>
      </w:r>
      <w:r w:rsidRPr="00DE6A6F">
        <w:tab/>
        <w:t>à une connaissance insuffisante des questions relatives au RR (en particulier l'Article </w:t>
      </w:r>
      <w:r w:rsidRPr="00DE6A6F">
        <w:rPr>
          <w:b/>
          <w:bCs/>
        </w:rPr>
        <w:t>5</w:t>
      </w:r>
      <w:r w:rsidRPr="00DE6A6F">
        <w:t xml:space="preserve"> du RR) et au processus des CMR, à la structure des CE de l'UIT-R et aux publications du BR;</w:t>
      </w:r>
    </w:p>
    <w:p w14:paraId="0AD0005A" w14:textId="77777777" w:rsidR="00E5433A" w:rsidRPr="00DE6A6F" w:rsidRDefault="00E5433A" w:rsidP="00E5433A">
      <w:pPr>
        <w:pStyle w:val="enumlev1"/>
      </w:pPr>
      <w:r w:rsidRPr="00DE6A6F">
        <w:t>•</w:t>
      </w:r>
      <w:r w:rsidRPr="00DE6A6F">
        <w:tab/>
        <w:t>à des outils informatiques limités (et dépassés) de gestion du spectre (et de mise à jour des tableaux nationaux d'attribution des fréquences).</w:t>
      </w:r>
    </w:p>
    <w:p w14:paraId="68AA27DA" w14:textId="77777777" w:rsidR="00E5433A" w:rsidRPr="00DE6A6F" w:rsidRDefault="00E5433A" w:rsidP="00E5433A">
      <w:pPr>
        <w:rPr>
          <w:rFonts w:eastAsia="Calibri"/>
        </w:rPr>
      </w:pPr>
      <w:r w:rsidRPr="00DE6A6F">
        <w:t>Bien que les séminaires WRS et RRS portent sur cette question, ils restent principalement axés sur:</w:t>
      </w:r>
    </w:p>
    <w:p w14:paraId="62C7C802" w14:textId="77777777" w:rsidR="00E5433A" w:rsidRPr="00DE6A6F" w:rsidRDefault="00E5433A" w:rsidP="00E5433A">
      <w:pPr>
        <w:pStyle w:val="enumlev1"/>
      </w:pPr>
      <w:r w:rsidRPr="00DE6A6F">
        <w:t>•</w:t>
      </w:r>
      <w:r w:rsidRPr="00DE6A6F">
        <w:tab/>
        <w:t>la préparation de fiches de notification pour l'inscription des stations (WRS);</w:t>
      </w:r>
    </w:p>
    <w:p w14:paraId="2550F18F" w14:textId="77777777" w:rsidR="00E5433A" w:rsidRPr="00DE6A6F" w:rsidRDefault="00E5433A" w:rsidP="00E5433A">
      <w:pPr>
        <w:pStyle w:val="enumlev1"/>
      </w:pPr>
      <w:r w:rsidRPr="00DE6A6F">
        <w:t>•</w:t>
      </w:r>
      <w:r w:rsidRPr="00DE6A6F">
        <w:tab/>
        <w:t>les questions les plus pertinentes du programme des régions pour la gestion du spectre (par exemple la 5G, la TNT, les grandes constellations, les communications d'urgence, etc.).</w:t>
      </w:r>
    </w:p>
    <w:p w14:paraId="2D4FC5F4" w14:textId="77777777" w:rsidR="00E5433A" w:rsidRPr="00DE6A6F" w:rsidRDefault="00E5433A" w:rsidP="00E5433A">
      <w:pPr>
        <w:rPr>
          <w:rFonts w:eastAsia="Calibri"/>
        </w:rPr>
      </w:pPr>
      <w:r w:rsidRPr="00DE6A6F">
        <w:t>Par conséquent, il a été jugé nécessaire de compléter les séminaires WRS/RRS par une formation spécifiquement consacrée au tableaux nationaux d'attribution des fréquences et à leur mise à jour compte tenu du RR de l'UIT et des publications de l'UIT-R.</w:t>
      </w:r>
    </w:p>
    <w:p w14:paraId="6869F4A9" w14:textId="77777777" w:rsidR="00E5433A" w:rsidRPr="00DE6A6F" w:rsidRDefault="00E5433A" w:rsidP="00E5433A">
      <w:pPr>
        <w:rPr>
          <w:rFonts w:eastAsia="Calibri"/>
        </w:rPr>
      </w:pPr>
      <w:r w:rsidRPr="00DE6A6F">
        <w:t>En réponse à cette demande, le BR a organisé, au cours de l'année 2024, les ateliers suivants consacrés aux tableaux nationaux d'attribution des fréquences (un atelier par Région du RR):</w:t>
      </w:r>
    </w:p>
    <w:p w14:paraId="43DBDB20" w14:textId="77777777" w:rsidR="00E5433A" w:rsidRPr="00DE6A6F" w:rsidRDefault="00E5433A" w:rsidP="00E5433A">
      <w:pPr>
        <w:pStyle w:val="enumlev1"/>
      </w:pPr>
      <w:r w:rsidRPr="00DE6A6F">
        <w:t>•</w:t>
      </w:r>
      <w:r w:rsidRPr="00DE6A6F">
        <w:tab/>
      </w:r>
      <w:r w:rsidRPr="00DE6A6F">
        <w:rPr>
          <w:b/>
          <w:bCs/>
        </w:rPr>
        <w:t>Atelier sur les TNABF pour la Région 1</w:t>
      </w:r>
      <w:r w:rsidRPr="00DE6A6F">
        <w:t>: 20-23 mai, Addis-Abeba (Éthiopie), organisé conjointement par l'UIT et l'</w:t>
      </w:r>
      <w:hyperlink r:id="rId63" w:tgtFrame="_blank" w:history="1">
        <w:r w:rsidRPr="00DE6A6F">
          <w:rPr>
            <w:rStyle w:val="Hyperlink"/>
          </w:rPr>
          <w:t>Initiative de politique et de rég</w:t>
        </w:r>
        <w:r w:rsidRPr="00DE6A6F">
          <w:rPr>
            <w:rStyle w:val="Hyperlink"/>
          </w:rPr>
          <w:t>u</w:t>
        </w:r>
        <w:r w:rsidRPr="00DE6A6F">
          <w:rPr>
            <w:rStyle w:val="Hyperlink"/>
          </w:rPr>
          <w:t>lation pour l'Afrique numérique</w:t>
        </w:r>
      </w:hyperlink>
      <w:r w:rsidRPr="00DE6A6F">
        <w:t xml:space="preserve"> (PRIDA).</w:t>
      </w:r>
    </w:p>
    <w:p w14:paraId="64722B65" w14:textId="77777777" w:rsidR="00E5433A" w:rsidRPr="00DE6A6F" w:rsidRDefault="00E5433A" w:rsidP="00E5433A">
      <w:pPr>
        <w:pStyle w:val="enumlev1"/>
        <w:ind w:firstLine="0"/>
      </w:pPr>
      <w:r w:rsidRPr="00DE6A6F">
        <w:t>Cet atelier s'est tenu à l'aimable invitation du </w:t>
      </w:r>
      <w:bookmarkStart w:id="12" w:name="_Hlk191886144"/>
      <w:r w:rsidRPr="00DE6A6F">
        <w:rPr>
          <w:rStyle w:val="Hyperlink"/>
        </w:rPr>
        <w:fldChar w:fldCharType="begin"/>
      </w:r>
      <w:r w:rsidRPr="00DE6A6F">
        <w:rPr>
          <w:rStyle w:val="Hyperlink"/>
        </w:rPr>
        <w:instrText>HYPERLINK "http://www.mint.gov.et/" \t "_blank"</w:instrText>
      </w:r>
      <w:r w:rsidRPr="00DE6A6F">
        <w:rPr>
          <w:rStyle w:val="Hyperlink"/>
        </w:rPr>
      </w:r>
      <w:r w:rsidRPr="00DE6A6F">
        <w:rPr>
          <w:rStyle w:val="Hyperlink"/>
        </w:rPr>
        <w:fldChar w:fldCharType="separate"/>
      </w:r>
      <w:r w:rsidRPr="00DE6A6F">
        <w:rPr>
          <w:rStyle w:val="Hyperlink"/>
        </w:rPr>
        <w:t>Ministère de l'innovation</w:t>
      </w:r>
      <w:r w:rsidRPr="00DE6A6F">
        <w:rPr>
          <w:rStyle w:val="Hyperlink"/>
        </w:rPr>
        <w:t xml:space="preserve"> </w:t>
      </w:r>
      <w:r w:rsidRPr="00DE6A6F">
        <w:rPr>
          <w:rStyle w:val="Hyperlink"/>
        </w:rPr>
        <w:t>et des technologies (MinT) de l'Éthiopie</w:t>
      </w:r>
      <w:r w:rsidRPr="00DE6A6F">
        <w:rPr>
          <w:rStyle w:val="Hyperlink"/>
        </w:rPr>
        <w:fldChar w:fldCharType="end"/>
      </w:r>
      <w:bookmarkEnd w:id="12"/>
      <w:r w:rsidRPr="00DE6A6F">
        <w:t>, en collaboration avec l'</w:t>
      </w:r>
      <w:hyperlink r:id="rId64" w:tgtFrame="_blank" w:history="1">
        <w:r w:rsidRPr="00DE6A6F">
          <w:rPr>
            <w:rStyle w:val="Hyperlink"/>
          </w:rPr>
          <w:t>Union africaine des télécommu</w:t>
        </w:r>
        <w:r w:rsidRPr="00DE6A6F">
          <w:rPr>
            <w:rStyle w:val="Hyperlink"/>
          </w:rPr>
          <w:t>n</w:t>
        </w:r>
        <w:r w:rsidRPr="00DE6A6F">
          <w:rPr>
            <w:rStyle w:val="Hyperlink"/>
          </w:rPr>
          <w:t>ications</w:t>
        </w:r>
      </w:hyperlink>
      <w:r w:rsidRPr="00DE6A6F">
        <w:t xml:space="preserve"> (UAT).</w:t>
      </w:r>
    </w:p>
    <w:p w14:paraId="0AF7BA8E" w14:textId="77777777" w:rsidR="00E5433A" w:rsidRPr="00DE6A6F" w:rsidRDefault="00E5433A" w:rsidP="00E5433A">
      <w:pPr>
        <w:pStyle w:val="enumlev1"/>
        <w:ind w:firstLine="0"/>
      </w:pPr>
      <w:r w:rsidRPr="00DE6A6F">
        <w:lastRenderedPageBreak/>
        <w:t>Un service d'interprétation simultanée a été assuré en anglais, en arabe et en français durant les exposés et les discussions.</w:t>
      </w:r>
    </w:p>
    <w:p w14:paraId="5CBC8C89" w14:textId="77777777" w:rsidR="00E5433A" w:rsidRPr="00DE6A6F" w:rsidRDefault="00E5433A" w:rsidP="00E5433A">
      <w:pPr>
        <w:pStyle w:val="enumlev1"/>
        <w:ind w:firstLine="0"/>
      </w:pPr>
      <w:r w:rsidRPr="00DE6A6F">
        <w:t>Le BR a accordé 35 bourses pour la participation à cette manifestation.</w:t>
      </w:r>
    </w:p>
    <w:p w14:paraId="48685164" w14:textId="77777777" w:rsidR="00E5433A" w:rsidRPr="00DE6A6F" w:rsidRDefault="00E5433A" w:rsidP="00E5433A">
      <w:pPr>
        <w:pStyle w:val="enumlev1"/>
      </w:pPr>
      <w:r w:rsidRPr="00DE6A6F">
        <w:t>•</w:t>
      </w:r>
      <w:r w:rsidRPr="00DE6A6F">
        <w:tab/>
      </w:r>
      <w:r w:rsidRPr="00DE6A6F">
        <w:rPr>
          <w:b/>
          <w:bCs/>
        </w:rPr>
        <w:t>Atelier sur les TNABF pour la Région 2</w:t>
      </w:r>
      <w:r w:rsidRPr="00DE6A6F">
        <w:t>: 17-20 juin: Mexico (Mexique).</w:t>
      </w:r>
    </w:p>
    <w:p w14:paraId="65073933" w14:textId="77777777" w:rsidR="00E5433A" w:rsidRPr="00DE6A6F" w:rsidRDefault="00E5433A" w:rsidP="00E5433A">
      <w:pPr>
        <w:pStyle w:val="enumlev1"/>
        <w:ind w:firstLine="0"/>
      </w:pPr>
      <w:r w:rsidRPr="00DE6A6F">
        <w:t>Cet atelier s'est tenu à l'aimable invitation de l'</w:t>
      </w:r>
      <w:hyperlink r:id="rId65" w:tgtFrame="_blank" w:history="1">
        <w:r w:rsidRPr="00DE6A6F">
          <w:rPr>
            <w:rStyle w:val="Hyperlink"/>
          </w:rPr>
          <w:t>Institut fédéral des télécommunications du Mexique</w:t>
        </w:r>
      </w:hyperlink>
      <w:r w:rsidRPr="00DE6A6F">
        <w:t> (Instituto Federal de Telecomunicaciones, IFT), en collaboration avec la </w:t>
      </w:r>
      <w:hyperlink r:id="rId66" w:tgtFrame="_blank" w:history="1">
        <w:r w:rsidRPr="00DE6A6F">
          <w:rPr>
            <w:rStyle w:val="Hyperlink"/>
          </w:rPr>
          <w:t>Commission interaméricaine des télécommunications</w:t>
        </w:r>
      </w:hyperlink>
      <w:r w:rsidRPr="00DE6A6F">
        <w:t> (CITEL).</w:t>
      </w:r>
    </w:p>
    <w:p w14:paraId="612A4B7E" w14:textId="77777777" w:rsidR="00E5433A" w:rsidRPr="00DE6A6F" w:rsidRDefault="00E5433A" w:rsidP="00E5433A">
      <w:pPr>
        <w:pStyle w:val="enumlev1"/>
        <w:ind w:firstLine="0"/>
      </w:pPr>
      <w:r w:rsidRPr="00DE6A6F">
        <w:t>Un service d'interprétation simultanée a été assuré en anglais et en espagnol durant les exposés et les discussions.</w:t>
      </w:r>
    </w:p>
    <w:p w14:paraId="2E9F052E" w14:textId="77777777" w:rsidR="00E5433A" w:rsidRPr="00DE6A6F" w:rsidRDefault="00E5433A" w:rsidP="00E5433A">
      <w:pPr>
        <w:pStyle w:val="enumlev1"/>
        <w:ind w:firstLine="0"/>
      </w:pPr>
      <w:r w:rsidRPr="00DE6A6F">
        <w:t>Le BR a accordé 18 bourses pour la participation à cette manifestation.</w:t>
      </w:r>
    </w:p>
    <w:p w14:paraId="25967879" w14:textId="77777777" w:rsidR="00E5433A" w:rsidRPr="00DE6A6F" w:rsidRDefault="00E5433A" w:rsidP="00E5433A">
      <w:pPr>
        <w:pStyle w:val="enumlev1"/>
      </w:pPr>
      <w:r w:rsidRPr="00DE6A6F">
        <w:t>•</w:t>
      </w:r>
      <w:r w:rsidRPr="00DE6A6F">
        <w:tab/>
      </w:r>
      <w:r w:rsidRPr="00DE6A6F">
        <w:rPr>
          <w:b/>
          <w:bCs/>
        </w:rPr>
        <w:t>Atelier sur les TNABF pour la Région 3</w:t>
      </w:r>
      <w:r w:rsidRPr="00DE6A6F">
        <w:t>: 28-31 mai: Shanghai (Chine).</w:t>
      </w:r>
    </w:p>
    <w:p w14:paraId="18988DBB" w14:textId="77777777" w:rsidR="00E5433A" w:rsidRPr="00DE6A6F" w:rsidRDefault="00E5433A" w:rsidP="00E5433A">
      <w:pPr>
        <w:pStyle w:val="enumlev1"/>
        <w:ind w:firstLine="0"/>
      </w:pPr>
      <w:r w:rsidRPr="00DE6A6F">
        <w:t>Cet atelier s'est tenu à l'aimable invitation du </w:t>
      </w:r>
      <w:hyperlink r:id="rId67" w:tgtFrame="_blank" w:history="1">
        <w:r w:rsidRPr="00DE6A6F">
          <w:rPr>
            <w:rStyle w:val="Hyperlink"/>
          </w:rPr>
          <w:t>Ministère de l'industrie et des technologies de l'information</w:t>
        </w:r>
      </w:hyperlink>
      <w:r w:rsidRPr="00DE6A6F">
        <w:t> (MIIT)de la Chine, en collaboration avec la </w:t>
      </w:r>
      <w:hyperlink r:id="rId68" w:history="1">
        <w:r w:rsidRPr="00DE6A6F">
          <w:rPr>
            <w:rStyle w:val="Hyperlink"/>
          </w:rPr>
          <w:t>Télécommunauté Asie-Pacifique</w:t>
        </w:r>
      </w:hyperlink>
      <w:r w:rsidRPr="00DE6A6F">
        <w:t xml:space="preserve"> (APT).</w:t>
      </w:r>
    </w:p>
    <w:p w14:paraId="2F81F542" w14:textId="77777777" w:rsidR="00E5433A" w:rsidRPr="00DE6A6F" w:rsidRDefault="00E5433A" w:rsidP="00E5433A">
      <w:pPr>
        <w:pStyle w:val="enumlev1"/>
        <w:ind w:firstLine="0"/>
      </w:pPr>
      <w:r w:rsidRPr="00DE6A6F">
        <w:t>Les exposés et les discussions de cet atelier se sont déroulés uniquement en anglais.</w:t>
      </w:r>
    </w:p>
    <w:p w14:paraId="27AAB2E7" w14:textId="77777777" w:rsidR="00E5433A" w:rsidRPr="00DE6A6F" w:rsidRDefault="00E5433A" w:rsidP="00E5433A">
      <w:pPr>
        <w:pStyle w:val="enumlev1"/>
        <w:ind w:firstLine="0"/>
      </w:pPr>
      <w:r w:rsidRPr="00DE6A6F">
        <w:t>Le BR a accordé 13 bourses pour la participation à cette manifestation. De plus, le MIIT a accordé 15 bourses pour la participation à cette manifestation.</w:t>
      </w:r>
    </w:p>
    <w:p w14:paraId="5A9E1E29" w14:textId="77777777" w:rsidR="00E5433A" w:rsidRPr="00DE6A6F" w:rsidRDefault="00E5433A" w:rsidP="00E5433A">
      <w:pPr>
        <w:rPr>
          <w:rFonts w:eastAsiaTheme="minorEastAsia"/>
        </w:rPr>
      </w:pPr>
      <w:r w:rsidRPr="00DE6A6F">
        <w:t>Les ateliers sur les tableaux nationaux d'attribution des bandes de fréquences ont été couronnés de succès, en témoignent le grand nombre de pays qui y ont participé et les commentaires reçus. Plusieurs administrations ont souligné que la plupart des difficultés rencontrées pour garantir une gestion et une mise à jour efficaces des tableaux nationaux d'attribution des bandes de fréquences résultent de difficultés liées aux systèmes de gestion du spectre, non seulement d'un point de vue technique, mais aussi en ce qui concerne les procédures. De futures manifestations de renforcement des capacités pourraient contribuer à relever ce défi.</w:t>
      </w:r>
    </w:p>
    <w:p w14:paraId="7EF7E75A" w14:textId="77777777" w:rsidR="00E5433A" w:rsidRPr="00DE6A6F" w:rsidRDefault="00E5433A" w:rsidP="00E5433A">
      <w:pPr>
        <w:pStyle w:val="Heading2"/>
      </w:pPr>
      <w:bookmarkStart w:id="13" w:name="_Toc424047610"/>
      <w:bookmarkStart w:id="14" w:name="_Toc446060788"/>
      <w:bookmarkEnd w:id="11"/>
      <w:r w:rsidRPr="00DE6A6F">
        <w:t>8.3</w:t>
      </w:r>
      <w:r w:rsidRPr="00DE6A6F">
        <w:tab/>
        <w:t>Assistance fournie aux États Membres</w:t>
      </w:r>
      <w:bookmarkEnd w:id="13"/>
      <w:bookmarkEnd w:id="14"/>
      <w:r w:rsidRPr="00DE6A6F">
        <w:t>, en particulier aux pays en développement et aux pays les moins avancés (PMA)</w:t>
      </w:r>
    </w:p>
    <w:p w14:paraId="07736D72" w14:textId="77777777" w:rsidR="00E5433A" w:rsidRPr="00DE6A6F" w:rsidRDefault="00E5433A" w:rsidP="00E5433A">
      <w:r w:rsidRPr="00DE6A6F">
        <w:t>Le Bureau continue de recevoir de nombreuses demandes d'assistance de la part des administrations, qu'il s'agisse de questions générales liées à la gestion du spectre, au processus des CMR et à la participation aux commissions d'études et aux groupes de travail de l'UIT-R, ou encore de l'inscription des assignations de fréquence à des stations de Terre, spatiales ou terriennes ou à des stations du service de radioastronomie. Le Bureau s'emploie à répondre à chaque demande dans les limites de ses ressources disponibles et compte tenu de la nécessité de répartir les ressources allouées au traitement des fiches de notification soumises et les ressources chargées de répondre aux demandes d'assistance. Il convient de noter que le Bureau n'est pas en position d'appliquer les dispositions du Règlement des radiocommunications à la place des administrations, mais peut seulement les conseiller sur les manières de mettre en œuvre lesdites dispositions.</w:t>
      </w:r>
    </w:p>
    <w:p w14:paraId="723A6ABB" w14:textId="77777777" w:rsidR="00E5433A" w:rsidRPr="00DE6A6F" w:rsidRDefault="00E5433A" w:rsidP="00E5433A">
      <w:pPr>
        <w:pStyle w:val="Heading3"/>
      </w:pPr>
      <w:bookmarkStart w:id="15" w:name="_Toc424047611"/>
      <w:bookmarkStart w:id="16" w:name="_Toc446060789"/>
      <w:r w:rsidRPr="00DE6A6F">
        <w:t>8.3.1</w:t>
      </w:r>
      <w:r w:rsidRPr="00DE6A6F">
        <w:tab/>
        <w:t>Assistance fournie aux administrations des pays en développement</w:t>
      </w:r>
      <w:bookmarkEnd w:id="15"/>
      <w:bookmarkEnd w:id="16"/>
    </w:p>
    <w:p w14:paraId="461D6A3D" w14:textId="77777777" w:rsidR="00E5433A" w:rsidRPr="00DE6A6F" w:rsidRDefault="00E5433A" w:rsidP="00E5433A">
      <w:r w:rsidRPr="00DE6A6F">
        <w:t>Depuis la CMR</w:t>
      </w:r>
      <w:r w:rsidRPr="00DE6A6F">
        <w:noBreakHyphen/>
        <w:t>23, le Bureau a fourni une assistance aux administrations des pays en développement dans les domaines suivants:</w:t>
      </w:r>
    </w:p>
    <w:p w14:paraId="71818BFC" w14:textId="77777777" w:rsidR="00E5433A" w:rsidRPr="00DE6A6F" w:rsidRDefault="00E5433A" w:rsidP="00E5433A">
      <w:pPr>
        <w:pStyle w:val="enumlev1"/>
      </w:pPr>
      <w:r w:rsidRPr="00DE6A6F">
        <w:t>•</w:t>
      </w:r>
      <w:r w:rsidRPr="00DE6A6F">
        <w:tab/>
        <w:t>participation à des séminaires de renforcement des capacités sur les communications par satellite;</w:t>
      </w:r>
    </w:p>
    <w:p w14:paraId="11E43CFC" w14:textId="77777777" w:rsidR="00E5433A" w:rsidRPr="00DE6A6F" w:rsidRDefault="00E5433A" w:rsidP="00E5433A">
      <w:pPr>
        <w:pStyle w:val="enumlev1"/>
      </w:pPr>
      <w:r w:rsidRPr="00DE6A6F">
        <w:t>•</w:t>
      </w:r>
      <w:r w:rsidRPr="00DE6A6F">
        <w:tab/>
        <w:t>fourniture d'une assistance concernant les procédures de coordination au titre des numéros </w:t>
      </w:r>
      <w:r w:rsidRPr="00DE6A6F">
        <w:rPr>
          <w:b/>
          <w:bCs/>
        </w:rPr>
        <w:t>9.18</w:t>
      </w:r>
      <w:r w:rsidRPr="00DE6A6F">
        <w:t xml:space="preserve">, </w:t>
      </w:r>
      <w:r w:rsidRPr="00DE6A6F">
        <w:rPr>
          <w:b/>
          <w:bCs/>
        </w:rPr>
        <w:t>9.19</w:t>
      </w:r>
      <w:r w:rsidRPr="00DE6A6F">
        <w:t xml:space="preserve"> et </w:t>
      </w:r>
      <w:r w:rsidRPr="00DE6A6F">
        <w:rPr>
          <w:b/>
          <w:bCs/>
        </w:rPr>
        <w:t>9.21</w:t>
      </w:r>
      <w:r w:rsidRPr="00DE6A6F">
        <w:t xml:space="preserve"> du RR;</w:t>
      </w:r>
    </w:p>
    <w:p w14:paraId="7C043B87" w14:textId="77777777" w:rsidR="00E5433A" w:rsidRPr="00DE6A6F" w:rsidRDefault="00E5433A" w:rsidP="00E5433A">
      <w:pPr>
        <w:pStyle w:val="enumlev1"/>
      </w:pPr>
      <w:r w:rsidRPr="00DE6A6F">
        <w:lastRenderedPageBreak/>
        <w:t>•</w:t>
      </w:r>
      <w:r w:rsidRPr="00DE6A6F">
        <w:tab/>
        <w:t>fourniture d'une assistance concernant les procédures de modification du Plan exposées dans les accords régionaux;</w:t>
      </w:r>
    </w:p>
    <w:p w14:paraId="496C9BC9" w14:textId="77777777" w:rsidR="00E5433A" w:rsidRPr="00DE6A6F" w:rsidRDefault="00E5433A" w:rsidP="00E5433A">
      <w:pPr>
        <w:pStyle w:val="enumlev1"/>
      </w:pPr>
      <w:r w:rsidRPr="00DE6A6F">
        <w:t>•</w:t>
      </w:r>
      <w:r w:rsidRPr="00DE6A6F">
        <w:tab/>
        <w:t>fourniture d'une assistance concernant l'assignation des indicatifs d'appel et des identités MMSI;</w:t>
      </w:r>
    </w:p>
    <w:p w14:paraId="66A13DAB" w14:textId="77777777" w:rsidR="00E5433A" w:rsidRPr="00DE6A6F" w:rsidRDefault="00E5433A" w:rsidP="00E5433A">
      <w:pPr>
        <w:pStyle w:val="enumlev1"/>
      </w:pPr>
      <w:r w:rsidRPr="00DE6A6F">
        <w:t>•</w:t>
      </w:r>
      <w:r w:rsidRPr="00DE6A6F">
        <w:tab/>
        <w:t>fourniture d'une assistance concernant les procédures de notification au titre de l'Article </w:t>
      </w:r>
      <w:r w:rsidRPr="00DE6A6F">
        <w:rPr>
          <w:b/>
          <w:bCs/>
        </w:rPr>
        <w:t>11</w:t>
      </w:r>
      <w:r w:rsidRPr="00DE6A6F">
        <w:t xml:space="preserve"> du RR;</w:t>
      </w:r>
    </w:p>
    <w:p w14:paraId="52C7A62E" w14:textId="77777777" w:rsidR="00E5433A" w:rsidRPr="00DE6A6F" w:rsidRDefault="00E5433A" w:rsidP="00E5433A">
      <w:pPr>
        <w:pStyle w:val="enumlev1"/>
      </w:pPr>
      <w:r w:rsidRPr="00DE6A6F">
        <w:t>•</w:t>
      </w:r>
      <w:r w:rsidRPr="00DE6A6F">
        <w:tab/>
        <w:t>fourniture d'une assistance concernant les procédures applicables aux systèmes spatiaux;</w:t>
      </w:r>
    </w:p>
    <w:p w14:paraId="503F237A" w14:textId="77777777" w:rsidR="00E5433A" w:rsidRPr="00DE6A6F" w:rsidRDefault="00E5433A" w:rsidP="00E5433A">
      <w:pPr>
        <w:pStyle w:val="enumlev1"/>
      </w:pPr>
      <w:r w:rsidRPr="00DE6A6F">
        <w:t>•</w:t>
      </w:r>
      <w:r w:rsidRPr="00DE6A6F">
        <w:tab/>
        <w:t>fourniture d'une assistance accrue concernant la mise en œuvre de la Résolution </w:t>
      </w:r>
      <w:r w:rsidRPr="00DE6A6F">
        <w:rPr>
          <w:b/>
          <w:bCs/>
        </w:rPr>
        <w:t>170 (Rév.CMR-23</w:t>
      </w:r>
      <w:r w:rsidRPr="00DE6A6F">
        <w:t>).</w:t>
      </w:r>
    </w:p>
    <w:p w14:paraId="2140E753" w14:textId="77777777" w:rsidR="00E5433A" w:rsidRPr="00DE6A6F" w:rsidRDefault="00E5433A" w:rsidP="00E5433A">
      <w:pPr>
        <w:pStyle w:val="Heading3"/>
      </w:pPr>
      <w:bookmarkStart w:id="17" w:name="_Toc424047612"/>
      <w:bookmarkStart w:id="18" w:name="_Toc446060790"/>
      <w:r w:rsidRPr="00DE6A6F">
        <w:t>8.3.2</w:t>
      </w:r>
      <w:r w:rsidRPr="00DE6A6F">
        <w:tab/>
        <w:t>Assistance aux Groupes régionaux</w:t>
      </w:r>
      <w:bookmarkEnd w:id="17"/>
      <w:bookmarkEnd w:id="18"/>
    </w:p>
    <w:p w14:paraId="51F7131F" w14:textId="77777777" w:rsidR="00E5433A" w:rsidRPr="00DE6A6F" w:rsidRDefault="00E5433A" w:rsidP="00E5433A">
      <w:pPr>
        <w:pStyle w:val="Heading4"/>
      </w:pPr>
      <w:bookmarkStart w:id="19" w:name="_Toc424047613"/>
      <w:r w:rsidRPr="00DE6A6F">
        <w:t>8.3.2.1</w:t>
      </w:r>
      <w:r w:rsidRPr="00DE6A6F">
        <w:tab/>
        <w:t>Assistance à la Communauté de développement de l'Afrique australe (SADC)</w:t>
      </w:r>
    </w:p>
    <w:p w14:paraId="0EA58067" w14:textId="77777777" w:rsidR="00E5433A" w:rsidRPr="00DE6A6F" w:rsidRDefault="00E5433A" w:rsidP="00E5433A">
      <w:r w:rsidRPr="00DE6A6F">
        <w:t>En août 2024, l'administration de l'Angola a demandé, au nom de 16 administrations de la SADC, l'assistance technique du Bureau des radiocommunications en vue d'identifier un créneau orbital approprié pour le réseau à satellite partagé de la SADC. Cette demande visait à tirer parti de la procédure spéciale définie dans le Résolution </w:t>
      </w:r>
      <w:r w:rsidRPr="00DE6A6F">
        <w:rPr>
          <w:b/>
        </w:rPr>
        <w:t>170 (Rév.CMR-23)</w:t>
      </w:r>
      <w:r w:rsidRPr="00DE6A6F">
        <w:t>.</w:t>
      </w:r>
    </w:p>
    <w:p w14:paraId="7E3BB7B8" w14:textId="77777777" w:rsidR="00E5433A" w:rsidRPr="00DE6A6F" w:rsidRDefault="00E5433A" w:rsidP="00E5433A">
      <w:r w:rsidRPr="00DE6A6F">
        <w:t>Étant donné qu'il s'agissait de la première demande traitée dans le cadre de la Résolution </w:t>
      </w:r>
      <w:r w:rsidRPr="00DE6A6F">
        <w:rPr>
          <w:b/>
          <w:bCs/>
        </w:rPr>
        <w:t>170 (Rév.CMR-23)</w:t>
      </w:r>
      <w:r w:rsidRPr="00DE6A6F">
        <w:t>, le Bureau ne disposait pas des logiciels nécessaires pour choisir une position orbitale appropriée. Par conséquent, trois ingénieurs du Bureau ont consacré plus de 100 heures de travail à mener les analyses et les évaluations nécessaires.</w:t>
      </w:r>
    </w:p>
    <w:p w14:paraId="540418E9" w14:textId="77777777" w:rsidR="00E5433A" w:rsidRPr="00DE6A6F" w:rsidRDefault="00E5433A" w:rsidP="00E5433A">
      <w:r w:rsidRPr="00DE6A6F">
        <w:t>Le Bureau a mené les activités suivantes:</w:t>
      </w:r>
    </w:p>
    <w:p w14:paraId="3C3C8148" w14:textId="77777777" w:rsidR="00E5433A" w:rsidRPr="00DE6A6F" w:rsidRDefault="00E5433A" w:rsidP="00E5433A">
      <w:pPr>
        <w:pStyle w:val="enumlev1"/>
      </w:pPr>
      <w:r w:rsidRPr="00DE6A6F">
        <w:t>•</w:t>
      </w:r>
      <w:r w:rsidRPr="00DE6A6F">
        <w:tab/>
        <w:t>Examen de caractéristiques techniques: le Bureau a analysé les paramètres techniques initiaux du réseau à satellite proposé à sept positions orbitales potentielles présélectionnées par les administrations de la SADC, et a formulé des observations et des recommandations pertinentes.</w:t>
      </w:r>
    </w:p>
    <w:p w14:paraId="78386A70" w14:textId="77777777" w:rsidR="00E5433A" w:rsidRPr="00DE6A6F" w:rsidRDefault="00E5433A" w:rsidP="00E5433A">
      <w:pPr>
        <w:pStyle w:val="enumlev1"/>
      </w:pPr>
      <w:r w:rsidRPr="00DE6A6F">
        <w:t>•</w:t>
      </w:r>
      <w:r w:rsidRPr="00DE6A6F">
        <w:tab/>
        <w:t>Analyse compatibilité: le Bureau a réalisé une analyse de compatibilité détaillée du réseau à satellite proposé compte tenu des allotissements et des assignations figurant dans le Plan de l'Appendice 30B. L'analyse était basée sur des intervalles de 0,1 degré à l'intérieur de l'arc orbital compris entre 3,5° E et 72,3° E, en respectant un angle d'élévation minimal de 20 degrés pour tous les points d'essai fournis par l'administration de l'Angola.</w:t>
      </w:r>
    </w:p>
    <w:p w14:paraId="27584F3D" w14:textId="77777777" w:rsidR="00E5433A" w:rsidRPr="00DE6A6F" w:rsidRDefault="00E5433A" w:rsidP="00E5433A">
      <w:r w:rsidRPr="00DE6A6F">
        <w:t>Les résultats de l'étude ont indiqué qu'aucune position orbitale à l'intérieur de l'arc orbital examiné ne pouvait éviter complètement de causer des brouillages aux allotissements et aux assignations existants d'autres administrations. Toutefois, on a déterminé trois positions orbitales dans lesquelles les niveaux des brouillages potentiels causés et subis par le réseau à satellite partagé de la SADC se situaient dans des limites acceptables.</w:t>
      </w:r>
    </w:p>
    <w:p w14:paraId="01E49714" w14:textId="77777777" w:rsidR="00E5433A" w:rsidRPr="00DE6A6F" w:rsidRDefault="00E5433A" w:rsidP="00E5433A">
      <w:r w:rsidRPr="00DE6A6F">
        <w:t>Pour mieux évaluer ces résultats, le Bureau et les administrations de la SADC ont organisé une série de réunions virtuelles et un atelier entre janvier et février 2025. Les discussions ont permis de mettre en lumière les difficultés rencontrées pour choisir une position orbitale optimale unique pour le réseau à satellite partagé de la SADC proposé, en raison des problèmes de coordination prévisibles avec les administrations affectées. En conséquence, les trois positions orbitales identifiées par le Bureau seraient examinées pendant la phase initiale de développement, en plus des sept positions orbitales initialement choisies par les administrations de la SADC.</w:t>
      </w:r>
    </w:p>
    <w:p w14:paraId="39848B6B" w14:textId="77777777" w:rsidR="00E5433A" w:rsidRPr="00DE6A6F" w:rsidRDefault="00E5433A" w:rsidP="00E5433A">
      <w:r w:rsidRPr="00DE6A6F">
        <w:t>En outre, il a été demandé au Bureau de continuer à fournir un appui pour la coordination et d'autres activités, en vue de choisir un créneau orbital pour la mise en œuvre du réseau à satellite partagé de la SADC et de mettre en service ses assignations avant la fin du délai réglementaire de huit ans.</w:t>
      </w:r>
    </w:p>
    <w:p w14:paraId="2CE567B5" w14:textId="77777777" w:rsidR="00E5433A" w:rsidRPr="00DE6A6F" w:rsidRDefault="00E5433A" w:rsidP="00E5433A">
      <w:pPr>
        <w:pStyle w:val="Heading2"/>
      </w:pPr>
      <w:bookmarkStart w:id="20" w:name="_Toc418163382"/>
      <w:bookmarkStart w:id="21" w:name="_Toc418232300"/>
      <w:bookmarkStart w:id="22" w:name="_Toc424047620"/>
      <w:bookmarkStart w:id="23" w:name="_Toc446060792"/>
      <w:bookmarkEnd w:id="19"/>
      <w:r w:rsidRPr="00DE6A6F">
        <w:lastRenderedPageBreak/>
        <w:t>8.4</w:t>
      </w:r>
      <w:r w:rsidRPr="00DE6A6F">
        <w:tab/>
        <w:t>Partenariats stratégiques, y compris la coopération intersectorielle</w:t>
      </w:r>
      <w:bookmarkEnd w:id="20"/>
      <w:bookmarkEnd w:id="21"/>
      <w:bookmarkEnd w:id="22"/>
      <w:bookmarkEnd w:id="23"/>
    </w:p>
    <w:p w14:paraId="77C86171" w14:textId="77777777" w:rsidR="00E5433A" w:rsidRPr="00DE6A6F" w:rsidRDefault="00E5433A" w:rsidP="00E5433A">
      <w:pPr>
        <w:pStyle w:val="Heading3"/>
      </w:pPr>
      <w:bookmarkStart w:id="24" w:name="_Toc424047621"/>
      <w:bookmarkStart w:id="25" w:name="_Toc446060793"/>
      <w:r w:rsidRPr="00DE6A6F">
        <w:t>8.4.1</w:t>
      </w:r>
      <w:r w:rsidRPr="00DE6A6F">
        <w:tab/>
        <w:t>Coopération avec l'UIT-D</w:t>
      </w:r>
      <w:bookmarkStart w:id="26" w:name="_Toc424047622"/>
      <w:bookmarkEnd w:id="24"/>
      <w:bookmarkEnd w:id="25"/>
    </w:p>
    <w:p w14:paraId="5D4F3252" w14:textId="77777777" w:rsidR="00E5433A" w:rsidRPr="00DE6A6F" w:rsidRDefault="00E5433A" w:rsidP="00E5433A">
      <w:r w:rsidRPr="00DE6A6F">
        <w:t>Le BR a entretenu une collaboration étroite avec le BDT sur les questions présentant un intérêt mutuel pour l'UIT-R et l'UIT-D. Le BR a participé aux réunions pertinentes des commissions d'études et des groupes du Rapporteur de l'UIT-D ainsi que du GCDT, lorsque les activités de liaison portaient sur des thèmes comme la gestion du spectre, la radiodiffusion numérique, le passage de l'analogique au numérique, le passage aux IMT et la mise en œuvre des IMT et les technologies d'accès hertzien large bande.</w:t>
      </w:r>
    </w:p>
    <w:p w14:paraId="424A60CF" w14:textId="77777777" w:rsidR="00E5433A" w:rsidRPr="00DE6A6F" w:rsidRDefault="00E5433A" w:rsidP="00E5433A">
      <w:pPr>
        <w:rPr>
          <w:rFonts w:eastAsia="Calibri"/>
        </w:rPr>
      </w:pPr>
      <w:r w:rsidRPr="00DE6A6F">
        <w:t xml:space="preserve">Afin de faciliter la collaboration en utilisant les mécanismes existants, le Département des commissions d'études du BR fournit des résumés des réalisations récentes de ses commissions d'études ou de ses groupes de travail aux commissions d'études de l'UIT-D concernées en tenant à jour tous les produits récemment approuvés. Ces renseignements sont publiés régulièrement sur le </w:t>
      </w:r>
      <w:hyperlink r:id="rId69" w:history="1">
        <w:r w:rsidRPr="00DE6A6F">
          <w:rPr>
            <w:rStyle w:val="Hyperlink"/>
          </w:rPr>
          <w:t>site web des CE d</w:t>
        </w:r>
        <w:r w:rsidRPr="00DE6A6F">
          <w:rPr>
            <w:rStyle w:val="Hyperlink"/>
          </w:rPr>
          <w:t>e</w:t>
        </w:r>
        <w:r w:rsidRPr="00DE6A6F">
          <w:rPr>
            <w:rStyle w:val="Hyperlink"/>
          </w:rPr>
          <w:t xml:space="preserve"> l'UIT-R</w:t>
        </w:r>
      </w:hyperlink>
      <w:r w:rsidRPr="00DE6A6F">
        <w:t>. Le fichier correspondant contient une liste des textes approuvés récemment, par ordre chronologique pour la période d'études 2023-2027, ainsi qu'une brève description du contenu de chaque document. Le Département des commissions d'études du BR a établi une correspondance avec les questions confiées aux commissions d'études de l'UIT</w:t>
      </w:r>
      <w:r w:rsidRPr="00DE6A6F">
        <w:noBreakHyphen/>
        <w:t>D et/ou de l'UIT-T pour lesquelles chaque document de l'UIT-R pourrait présenter un intérêt. Cela permet également d'éviter les chevauchements d'activités et d'utiliser les résultats des travaux effectués par les commissions d'études de l'UIT-R. Ces renseignements sont également disponibles pour la période d'études 2019</w:t>
      </w:r>
      <w:r w:rsidRPr="00DE6A6F">
        <w:noBreakHyphen/>
        <w:t>2023.</w:t>
      </w:r>
    </w:p>
    <w:p w14:paraId="3A70CA0E" w14:textId="77777777" w:rsidR="00E5433A" w:rsidRPr="00DE6A6F" w:rsidRDefault="00E5433A" w:rsidP="00E5433A">
      <w:r w:rsidRPr="00DE6A6F">
        <w:t>En réponse à des demandes du BDT, des experts de l'UIT-R et du BR ont participé à des séminaires et ateliers de l'UIT organisés par l'UIT-D.</w:t>
      </w:r>
    </w:p>
    <w:p w14:paraId="1404414C" w14:textId="77777777" w:rsidR="00E5433A" w:rsidRPr="00DE6A6F" w:rsidRDefault="00E5433A" w:rsidP="00E5433A">
      <w:pPr>
        <w:rPr>
          <w:color w:val="000000" w:themeColor="text1"/>
          <w:szCs w:val="24"/>
          <w:highlight w:val="lightGray"/>
        </w:rPr>
      </w:pPr>
      <w:r w:rsidRPr="00DE6A6F">
        <w:t xml:space="preserve">Le BR continue de s'employer à informer les membres de l'UIT et à leur prêter une assistance, en particulier dans les pays en développement, pour l'examen des sujets se rapportant à des questions de radiocommunication. À cette fin, le BR organise un certain nombre d'ateliers, de séminaires et de réunions consacrés au spectre radioélectrique et d'activités en matière de renforcement des capacités, </w:t>
      </w:r>
      <w:bookmarkStart w:id="27" w:name="_Hlk140483846"/>
      <w:r w:rsidRPr="00DE6A6F">
        <w:t>y compris des sessions de formation</w:t>
      </w:r>
      <w:bookmarkEnd w:id="27"/>
      <w:r w:rsidRPr="00DE6A6F">
        <w:t>, ou y participe.</w:t>
      </w:r>
      <w:r w:rsidRPr="00DE6A6F">
        <w:rPr>
          <w:color w:val="0E101A"/>
        </w:rPr>
        <w:t xml:space="preserve"> Par exemple, le BDT et le BR ont dispensé la formation nationale </w:t>
      </w:r>
      <w:r w:rsidRPr="00DE6A6F">
        <w:rPr>
          <w:color w:val="000000" w:themeColor="text1"/>
        </w:rPr>
        <w:t>sur la mise en service de réseaux de communication mobile de prochaine génération (5G/IMT-2020) à l'intention de l'Ukraine.</w:t>
      </w:r>
    </w:p>
    <w:p w14:paraId="0249BBA8" w14:textId="77777777" w:rsidR="00E5433A" w:rsidRPr="00DE6A6F" w:rsidRDefault="00E5433A" w:rsidP="00E5433A">
      <w:pPr>
        <w:pStyle w:val="Heading4"/>
        <w:rPr>
          <w:i/>
        </w:rPr>
      </w:pPr>
      <w:r w:rsidRPr="00DE6A6F">
        <w:t>8.4.1.1</w:t>
      </w:r>
      <w:r w:rsidRPr="00DE6A6F">
        <w:tab/>
        <w:t>GSR</w:t>
      </w:r>
    </w:p>
    <w:p w14:paraId="61B0D49A" w14:textId="77777777" w:rsidR="00E5433A" w:rsidRPr="00DE6A6F" w:rsidRDefault="00E5433A" w:rsidP="00E5433A">
      <w:bookmarkStart w:id="28" w:name="_Toc424047623"/>
      <w:bookmarkEnd w:id="26"/>
      <w:r w:rsidRPr="00DE6A6F">
        <w:t>Conscient de l'importance de la fourniture d'une assistance spécialisée aux États Membres, le BR continue de mettre à la disposition du BDT des compétences techniques sur les aspects relatifs à la gestion du spectre, à la radiodiffusion numérique et au dividende numérique. Le BR a contribué aux travaux du Colloque mondial des régulateurs de l'UIT de 2024, en organisant des sessions relatives à la viabilité de l'utilisation de l'espace et en y participant.</w:t>
      </w:r>
    </w:p>
    <w:p w14:paraId="57D8F71B" w14:textId="77777777" w:rsidR="00E5433A" w:rsidRPr="00DE6A6F" w:rsidRDefault="00E5433A" w:rsidP="00E5433A">
      <w:pPr>
        <w:pStyle w:val="Heading4"/>
        <w:rPr>
          <w:i/>
        </w:rPr>
      </w:pPr>
      <w:r w:rsidRPr="00DE6A6F">
        <w:t>8.4.1.2</w:t>
      </w:r>
      <w:r w:rsidRPr="00DE6A6F">
        <w:tab/>
        <w:t>Colloque sur les indicateurs des télécommunications/TIC dans le monde (WTIS</w:t>
      </w:r>
      <w:bookmarkEnd w:id="28"/>
      <w:r w:rsidRPr="00DE6A6F">
        <w:t>)</w:t>
      </w:r>
    </w:p>
    <w:p w14:paraId="398CAB83" w14:textId="77777777" w:rsidR="00E5433A" w:rsidRPr="00DE6A6F" w:rsidRDefault="00E5433A" w:rsidP="00E5433A">
      <w:r w:rsidRPr="00DE6A6F">
        <w:t>En 2024, aucune session consacrée à des questions liées au spectre ne figurait à l'ordre du jour du WTIS.</w:t>
      </w:r>
    </w:p>
    <w:p w14:paraId="649C9F39" w14:textId="77777777" w:rsidR="00E5433A" w:rsidRPr="00DE6A6F" w:rsidRDefault="00E5433A" w:rsidP="00E5433A">
      <w:pPr>
        <w:pStyle w:val="Heading4"/>
      </w:pPr>
      <w:bookmarkStart w:id="29" w:name="_Toc424047624"/>
      <w:r w:rsidRPr="00DE6A6F">
        <w:t>8.4.1.3</w:t>
      </w:r>
      <w:r w:rsidRPr="00DE6A6F">
        <w:tab/>
        <w:t>Programme de formation sur la gestion du spectre (SMTP)</w:t>
      </w:r>
      <w:bookmarkEnd w:id="29"/>
    </w:p>
    <w:p w14:paraId="7700D2FA" w14:textId="77777777" w:rsidR="00E5433A" w:rsidRPr="00DE6A6F" w:rsidRDefault="00E5433A" w:rsidP="00E5433A">
      <w:r w:rsidRPr="00DE6A6F">
        <w:t xml:space="preserve">Le BR participe activement, depuis 2013, à un projet commun avec le BDT visant à créer un programme de formation à la gestion du spectre (SMPT), tout au long des différentes phases de ce projet (conception, élaboration de ressources didactiques et examen par les pairs et essai pilote). Plusieurs mises à jour ont été apportées au fil des ans et le BR a effectué régulièrement un examen des ressources qui composent la version actuelle du Programme SMTP. Les dernières mises à jour </w:t>
      </w:r>
      <w:r w:rsidRPr="00DE6A6F">
        <w:br w:type="page"/>
      </w:r>
    </w:p>
    <w:p w14:paraId="6795375B" w14:textId="1BB4828B" w:rsidR="00E5433A" w:rsidRPr="00DE6A6F" w:rsidRDefault="00E5433A" w:rsidP="00E5433A">
      <w:r w:rsidRPr="00DE6A6F">
        <w:lastRenderedPageBreak/>
        <w:t>ont été apportées afin de prendre en considération les résultats de la CMR-19 et de l'AR-19. Il est prévu de procéder à un examen du programme en vue de l'aligner sur l'édition de 2024 du RR ou de le mettre à jour afin qu'il en tienne compte.</w:t>
      </w:r>
    </w:p>
    <w:p w14:paraId="62797C3E" w14:textId="77777777" w:rsidR="00E5433A" w:rsidRPr="00DE6A6F" w:rsidRDefault="00E5433A" w:rsidP="00E5433A">
      <w:bookmarkStart w:id="30" w:name="_Toc446060796"/>
      <w:r w:rsidRPr="00DE6A6F">
        <w:t>Compte tenu des ressources nécessaires pour tenir/mettre à jour cet outil et de son importance pour de nombreuses administrations, des discussions sont en cours au sein du BDT pour vérifier si le Programme SMTP pourrait être encore amélioré ou transféré sur un outil différent.</w:t>
      </w:r>
    </w:p>
    <w:p w14:paraId="69A03CB9" w14:textId="77777777" w:rsidR="00E5433A" w:rsidRPr="00DE6A6F" w:rsidRDefault="00E5433A" w:rsidP="00E5433A">
      <w:pPr>
        <w:pStyle w:val="Heading2"/>
      </w:pPr>
      <w:r w:rsidRPr="00DE6A6F">
        <w:t>8.5</w:t>
      </w:r>
      <w:r w:rsidRPr="00DE6A6F">
        <w:tab/>
        <w:t>Membres</w:t>
      </w:r>
      <w:bookmarkEnd w:id="30"/>
    </w:p>
    <w:p w14:paraId="43467C1E" w14:textId="77777777" w:rsidR="00E5433A" w:rsidRPr="00DE6A6F" w:rsidRDefault="00E5433A" w:rsidP="00E5433A">
      <w:pPr>
        <w:pStyle w:val="Heading3"/>
      </w:pPr>
      <w:r w:rsidRPr="00DE6A6F">
        <w:t>8.5.1</w:t>
      </w:r>
      <w:r w:rsidRPr="00DE6A6F">
        <w:tab/>
        <w:t>Membres de l'UIT</w:t>
      </w:r>
    </w:p>
    <w:p w14:paraId="02146EDB" w14:textId="77777777" w:rsidR="00E5433A" w:rsidRPr="00DE6A6F" w:rsidRDefault="00E5433A" w:rsidP="00E5433A">
      <w:r w:rsidRPr="00DE6A6F">
        <w:t>Le Tableau 8.5.1-1 indique la répartition des membres de l'UIT, par Secteur et par Région, en 2024.</w:t>
      </w:r>
    </w:p>
    <w:p w14:paraId="64ED86DF" w14:textId="77777777" w:rsidR="00E5433A" w:rsidRPr="00DE6A6F" w:rsidRDefault="00E5433A" w:rsidP="00E5433A">
      <w:pPr>
        <w:pStyle w:val="TableNo"/>
      </w:pPr>
      <w:r w:rsidRPr="00DE6A6F">
        <w:t>Tableau 8.5.1-1</w:t>
      </w:r>
    </w:p>
    <w:p w14:paraId="075C0584" w14:textId="77777777" w:rsidR="00E5433A" w:rsidRPr="00DE6A6F" w:rsidRDefault="00E5433A" w:rsidP="00E5433A">
      <w:pPr>
        <w:pStyle w:val="Tabletitle"/>
      </w:pPr>
      <w:r w:rsidRPr="00DE6A6F">
        <w:t>Membres de l'UIT, par Secteur et par Région, en 2024</w:t>
      </w:r>
    </w:p>
    <w:p w14:paraId="704C3DAA" w14:textId="77777777" w:rsidR="00E5433A" w:rsidRPr="00DE6A6F" w:rsidRDefault="00E5433A" w:rsidP="00E5433A">
      <w:pPr>
        <w:pStyle w:val="Figure"/>
      </w:pPr>
      <w:r w:rsidRPr="00DE6A6F">
        <w:rPr>
          <w:noProof/>
        </w:rPr>
        <w:drawing>
          <wp:inline distT="0" distB="0" distL="0" distR="0" wp14:anchorId="3094B4C8" wp14:editId="53E83A8A">
            <wp:extent cx="6120765" cy="1891030"/>
            <wp:effectExtent l="0" t="0" r="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70">
                      <a:extLst>
                        <a:ext uri="{28A0092B-C50C-407E-A947-70E740481C1C}">
                          <a14:useLocalDpi xmlns:a14="http://schemas.microsoft.com/office/drawing/2010/main" val="0"/>
                        </a:ext>
                      </a:extLst>
                    </a:blip>
                    <a:stretch>
                      <a:fillRect/>
                    </a:stretch>
                  </pic:blipFill>
                  <pic:spPr>
                    <a:xfrm>
                      <a:off x="0" y="0"/>
                      <a:ext cx="6120765" cy="1891030"/>
                    </a:xfrm>
                    <a:prstGeom prst="rect">
                      <a:avLst/>
                    </a:prstGeom>
                  </pic:spPr>
                </pic:pic>
              </a:graphicData>
            </a:graphic>
          </wp:inline>
        </w:drawing>
      </w:r>
    </w:p>
    <w:p w14:paraId="37E6A31C" w14:textId="77777777" w:rsidR="00E5433A" w:rsidRPr="00DE6A6F" w:rsidRDefault="00E5433A" w:rsidP="00E5433A">
      <w:pPr>
        <w:pStyle w:val="Heading3"/>
      </w:pPr>
      <w:r w:rsidRPr="00DE6A6F">
        <w:t>8.5.2</w:t>
      </w:r>
      <w:r w:rsidRPr="00DE6A6F">
        <w:tab/>
        <w:t>Membres de l'UIT-R</w:t>
      </w:r>
    </w:p>
    <w:p w14:paraId="260C48DB" w14:textId="77777777" w:rsidR="00E5433A" w:rsidRPr="00DE6A6F" w:rsidRDefault="00E5433A" w:rsidP="00E5433A">
      <w:r w:rsidRPr="00DE6A6F">
        <w:t>Le Tableau 8.5.2-1 indique l'évolution du nombre de Membres du Secteur de l'UIT-R, d'Associés et d'établissements universitaires ayant participé aux travaux de ce Secteur au cours de la période allant de 2019 à 2024.</w:t>
      </w:r>
    </w:p>
    <w:p w14:paraId="4053D1AD" w14:textId="77777777" w:rsidR="00E5433A" w:rsidRPr="00DE6A6F" w:rsidRDefault="00E5433A" w:rsidP="00E5433A">
      <w:pPr>
        <w:pStyle w:val="TableNo"/>
      </w:pPr>
      <w:r w:rsidRPr="00DE6A6F">
        <w:t>Tableau 8.5.2-1</w:t>
      </w:r>
    </w:p>
    <w:p w14:paraId="6A9FA4B3" w14:textId="77777777" w:rsidR="00E5433A" w:rsidRPr="00DE6A6F" w:rsidRDefault="00E5433A" w:rsidP="00E5433A">
      <w:pPr>
        <w:pStyle w:val="Tabletitle"/>
      </w:pPr>
      <w:r w:rsidRPr="00DE6A6F">
        <w:t>Évolution de la composition de l'UIT-R sur la période 2019-2024</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890"/>
        <w:gridCol w:w="1132"/>
        <w:gridCol w:w="890"/>
        <w:gridCol w:w="890"/>
        <w:gridCol w:w="780"/>
        <w:gridCol w:w="780"/>
        <w:gridCol w:w="1133"/>
        <w:gridCol w:w="1696"/>
      </w:tblGrid>
      <w:tr w:rsidR="00E5433A" w:rsidRPr="00DE6A6F" w14:paraId="587CC7C7" w14:textId="77777777" w:rsidTr="00DD5056">
        <w:trPr>
          <w:trHeight w:val="300"/>
        </w:trPr>
        <w:tc>
          <w:tcPr>
            <w:tcW w:w="1288" w:type="dxa"/>
          </w:tcPr>
          <w:p w14:paraId="097E527A" w14:textId="77777777" w:rsidR="00E5433A" w:rsidRPr="00DE6A6F" w:rsidRDefault="00E5433A" w:rsidP="00DD5056">
            <w:pPr>
              <w:pStyle w:val="Tablehead"/>
              <w:keepNext w:val="0"/>
            </w:pPr>
          </w:p>
        </w:tc>
        <w:tc>
          <w:tcPr>
            <w:tcW w:w="1033" w:type="dxa"/>
          </w:tcPr>
          <w:p w14:paraId="4E2ED7EE" w14:textId="77777777" w:rsidR="00E5433A" w:rsidRPr="00DE6A6F" w:rsidRDefault="00E5433A" w:rsidP="00DD5056">
            <w:pPr>
              <w:pStyle w:val="Tablehead"/>
              <w:rPr>
                <w:bCs/>
              </w:rPr>
            </w:pPr>
            <w:r w:rsidRPr="00DE6A6F">
              <w:t>2019</w:t>
            </w:r>
          </w:p>
        </w:tc>
        <w:tc>
          <w:tcPr>
            <w:tcW w:w="1421" w:type="dxa"/>
          </w:tcPr>
          <w:p w14:paraId="761E957B" w14:textId="77777777" w:rsidR="00E5433A" w:rsidRPr="00DE6A6F" w:rsidRDefault="00E5433A" w:rsidP="00DD5056">
            <w:pPr>
              <w:pStyle w:val="Tablehead"/>
              <w:rPr>
                <w:bCs/>
                <w:color w:val="000000" w:themeColor="text1"/>
              </w:rPr>
            </w:pPr>
            <w:r w:rsidRPr="00DE6A6F">
              <w:rPr>
                <w:color w:val="000000" w:themeColor="text1"/>
              </w:rPr>
              <w:t>2020</w:t>
            </w:r>
          </w:p>
        </w:tc>
        <w:tc>
          <w:tcPr>
            <w:tcW w:w="1033" w:type="dxa"/>
          </w:tcPr>
          <w:p w14:paraId="0E598F97" w14:textId="77777777" w:rsidR="00E5433A" w:rsidRPr="00DE6A6F" w:rsidRDefault="00E5433A" w:rsidP="00DD5056">
            <w:pPr>
              <w:pStyle w:val="Tablehead"/>
              <w:rPr>
                <w:bCs/>
                <w:color w:val="000000" w:themeColor="text1"/>
              </w:rPr>
            </w:pPr>
            <w:r w:rsidRPr="00DE6A6F">
              <w:rPr>
                <w:color w:val="000000" w:themeColor="text1"/>
              </w:rPr>
              <w:t>2021</w:t>
            </w:r>
          </w:p>
        </w:tc>
        <w:tc>
          <w:tcPr>
            <w:tcW w:w="1033" w:type="dxa"/>
          </w:tcPr>
          <w:p w14:paraId="1CE649BB" w14:textId="77777777" w:rsidR="00E5433A" w:rsidRPr="00DE6A6F" w:rsidRDefault="00E5433A" w:rsidP="00DD5056">
            <w:pPr>
              <w:pStyle w:val="Tablehead"/>
              <w:rPr>
                <w:bCs/>
                <w:color w:val="000000" w:themeColor="text1"/>
              </w:rPr>
            </w:pPr>
            <w:r w:rsidRPr="00DE6A6F">
              <w:rPr>
                <w:color w:val="000000" w:themeColor="text1"/>
              </w:rPr>
              <w:t>2022</w:t>
            </w:r>
          </w:p>
        </w:tc>
        <w:tc>
          <w:tcPr>
            <w:tcW w:w="855" w:type="dxa"/>
          </w:tcPr>
          <w:p w14:paraId="49A75569" w14:textId="77777777" w:rsidR="00E5433A" w:rsidRPr="00DE6A6F" w:rsidRDefault="00E5433A" w:rsidP="00DD5056">
            <w:pPr>
              <w:pStyle w:val="Tablehead"/>
              <w:rPr>
                <w:bCs/>
                <w:color w:val="000000" w:themeColor="text1"/>
              </w:rPr>
            </w:pPr>
            <w:r w:rsidRPr="00DE6A6F">
              <w:rPr>
                <w:color w:val="000000" w:themeColor="text1"/>
              </w:rPr>
              <w:t>2023</w:t>
            </w:r>
          </w:p>
        </w:tc>
        <w:tc>
          <w:tcPr>
            <w:tcW w:w="855" w:type="dxa"/>
          </w:tcPr>
          <w:p w14:paraId="33848C1D" w14:textId="77777777" w:rsidR="00E5433A" w:rsidRPr="00DE6A6F" w:rsidRDefault="00E5433A" w:rsidP="00DD5056">
            <w:pPr>
              <w:pStyle w:val="Tablehead"/>
              <w:rPr>
                <w:bCs/>
                <w:color w:val="000000" w:themeColor="text1"/>
              </w:rPr>
            </w:pPr>
            <w:r w:rsidRPr="00DE6A6F">
              <w:rPr>
                <w:color w:val="000000" w:themeColor="text1"/>
              </w:rPr>
              <w:t>2024</w:t>
            </w:r>
          </w:p>
        </w:tc>
        <w:tc>
          <w:tcPr>
            <w:tcW w:w="1034" w:type="dxa"/>
          </w:tcPr>
          <w:p w14:paraId="7F000EBF" w14:textId="77777777" w:rsidR="00E5433A" w:rsidRPr="00DE6A6F" w:rsidRDefault="00E5433A" w:rsidP="00DD5056">
            <w:pPr>
              <w:pStyle w:val="Tablehead"/>
              <w:rPr>
                <w:bCs/>
                <w:color w:val="000000" w:themeColor="text1"/>
              </w:rPr>
            </w:pPr>
            <w:r w:rsidRPr="00DE6A6F">
              <w:rPr>
                <w:color w:val="000000" w:themeColor="text1"/>
              </w:rPr>
              <w:t>Évolution entre 2019 et 2024</w:t>
            </w:r>
          </w:p>
        </w:tc>
        <w:tc>
          <w:tcPr>
            <w:tcW w:w="1261" w:type="dxa"/>
          </w:tcPr>
          <w:p w14:paraId="4042A9E7" w14:textId="77777777" w:rsidR="00E5433A" w:rsidRPr="00DE6A6F" w:rsidRDefault="00E5433A" w:rsidP="00DD5056">
            <w:pPr>
              <w:pStyle w:val="Tablehead"/>
              <w:rPr>
                <w:bCs/>
                <w:color w:val="000000" w:themeColor="text1"/>
              </w:rPr>
            </w:pPr>
            <w:r w:rsidRPr="00DE6A6F">
              <w:t>Pourcentage d'augmentation</w:t>
            </w:r>
          </w:p>
        </w:tc>
      </w:tr>
      <w:tr w:rsidR="00E5433A" w:rsidRPr="00DE6A6F" w14:paraId="0E6F8290" w14:textId="77777777" w:rsidTr="00DD5056">
        <w:trPr>
          <w:trHeight w:val="300"/>
        </w:trPr>
        <w:tc>
          <w:tcPr>
            <w:tcW w:w="1288" w:type="dxa"/>
          </w:tcPr>
          <w:p w14:paraId="4608F45C" w14:textId="77777777" w:rsidR="00E5433A" w:rsidRPr="00DE6A6F" w:rsidRDefault="00E5433A" w:rsidP="00DD5056">
            <w:pPr>
              <w:pStyle w:val="Tablehead"/>
              <w:keepNext w:val="0"/>
              <w:rPr>
                <w:bCs/>
              </w:rPr>
            </w:pPr>
            <w:r w:rsidRPr="00DE6A6F">
              <w:t>Membres du Secteur</w:t>
            </w:r>
          </w:p>
        </w:tc>
        <w:tc>
          <w:tcPr>
            <w:tcW w:w="1033" w:type="dxa"/>
          </w:tcPr>
          <w:p w14:paraId="609349CF" w14:textId="77777777" w:rsidR="00E5433A" w:rsidRPr="00DE6A6F" w:rsidRDefault="00E5433A" w:rsidP="00DD5056">
            <w:pPr>
              <w:pStyle w:val="Tabletext"/>
              <w:jc w:val="center"/>
            </w:pPr>
            <w:r w:rsidRPr="00DE6A6F">
              <w:t>272</w:t>
            </w:r>
          </w:p>
        </w:tc>
        <w:tc>
          <w:tcPr>
            <w:tcW w:w="1421" w:type="dxa"/>
          </w:tcPr>
          <w:p w14:paraId="0D83629E" w14:textId="77777777" w:rsidR="00E5433A" w:rsidRPr="00DE6A6F" w:rsidRDefault="00E5433A" w:rsidP="00DD5056">
            <w:pPr>
              <w:pStyle w:val="Tabletext"/>
              <w:jc w:val="center"/>
            </w:pPr>
            <w:r w:rsidRPr="00DE6A6F">
              <w:t>275</w:t>
            </w:r>
          </w:p>
        </w:tc>
        <w:tc>
          <w:tcPr>
            <w:tcW w:w="1033" w:type="dxa"/>
          </w:tcPr>
          <w:p w14:paraId="046B07C4" w14:textId="77777777" w:rsidR="00E5433A" w:rsidRPr="00DE6A6F" w:rsidRDefault="00E5433A" w:rsidP="00DD5056">
            <w:pPr>
              <w:pStyle w:val="Tabletext"/>
              <w:jc w:val="center"/>
            </w:pPr>
            <w:r w:rsidRPr="00DE6A6F">
              <w:t>278</w:t>
            </w:r>
          </w:p>
        </w:tc>
        <w:tc>
          <w:tcPr>
            <w:tcW w:w="1033" w:type="dxa"/>
          </w:tcPr>
          <w:p w14:paraId="19159ECE" w14:textId="77777777" w:rsidR="00E5433A" w:rsidRPr="00DE6A6F" w:rsidRDefault="00E5433A" w:rsidP="00DD5056">
            <w:pPr>
              <w:pStyle w:val="Tabletext"/>
              <w:jc w:val="center"/>
            </w:pPr>
            <w:r w:rsidRPr="00DE6A6F">
              <w:t>278</w:t>
            </w:r>
          </w:p>
        </w:tc>
        <w:tc>
          <w:tcPr>
            <w:tcW w:w="855" w:type="dxa"/>
          </w:tcPr>
          <w:p w14:paraId="6D7A0BF1" w14:textId="77777777" w:rsidR="00E5433A" w:rsidRPr="00DE6A6F" w:rsidRDefault="00E5433A" w:rsidP="00DD5056">
            <w:pPr>
              <w:pStyle w:val="Tabletext"/>
              <w:jc w:val="center"/>
            </w:pPr>
            <w:r w:rsidRPr="00DE6A6F">
              <w:t>283</w:t>
            </w:r>
          </w:p>
        </w:tc>
        <w:tc>
          <w:tcPr>
            <w:tcW w:w="855" w:type="dxa"/>
          </w:tcPr>
          <w:p w14:paraId="7E2904D9" w14:textId="77777777" w:rsidR="00E5433A" w:rsidRPr="00DE6A6F" w:rsidRDefault="00E5433A" w:rsidP="00DD5056">
            <w:pPr>
              <w:pStyle w:val="Tabletext"/>
              <w:jc w:val="center"/>
            </w:pPr>
            <w:r w:rsidRPr="00DE6A6F">
              <w:t>285</w:t>
            </w:r>
          </w:p>
        </w:tc>
        <w:tc>
          <w:tcPr>
            <w:tcW w:w="1034" w:type="dxa"/>
          </w:tcPr>
          <w:p w14:paraId="06ABF30B" w14:textId="77777777" w:rsidR="00E5433A" w:rsidRPr="00DE6A6F" w:rsidRDefault="00E5433A" w:rsidP="00DD5056">
            <w:pPr>
              <w:pStyle w:val="Tabletext"/>
              <w:jc w:val="center"/>
            </w:pPr>
            <w:r w:rsidRPr="00DE6A6F">
              <w:t>13</w:t>
            </w:r>
          </w:p>
        </w:tc>
        <w:tc>
          <w:tcPr>
            <w:tcW w:w="1261" w:type="dxa"/>
          </w:tcPr>
          <w:p w14:paraId="0D97AA5E" w14:textId="77777777" w:rsidR="00E5433A" w:rsidRPr="00DE6A6F" w:rsidRDefault="00E5433A" w:rsidP="00DD5056">
            <w:pPr>
              <w:pStyle w:val="Tabletext"/>
              <w:jc w:val="center"/>
            </w:pPr>
            <w:r w:rsidRPr="00DE6A6F">
              <w:t>41%</w:t>
            </w:r>
          </w:p>
        </w:tc>
      </w:tr>
      <w:tr w:rsidR="00E5433A" w:rsidRPr="00DE6A6F" w14:paraId="7394855D" w14:textId="77777777" w:rsidTr="00DD5056">
        <w:trPr>
          <w:trHeight w:val="300"/>
        </w:trPr>
        <w:tc>
          <w:tcPr>
            <w:tcW w:w="1288" w:type="dxa"/>
          </w:tcPr>
          <w:p w14:paraId="66F07A71" w14:textId="77777777" w:rsidR="00E5433A" w:rsidRPr="00DE6A6F" w:rsidRDefault="00E5433A" w:rsidP="00DD5056">
            <w:pPr>
              <w:pStyle w:val="Tablehead"/>
              <w:keepNext w:val="0"/>
              <w:rPr>
                <w:bCs/>
              </w:rPr>
            </w:pPr>
            <w:r w:rsidRPr="00DE6A6F">
              <w:t>Associés</w:t>
            </w:r>
          </w:p>
        </w:tc>
        <w:tc>
          <w:tcPr>
            <w:tcW w:w="1033" w:type="dxa"/>
          </w:tcPr>
          <w:p w14:paraId="329640BB" w14:textId="77777777" w:rsidR="00E5433A" w:rsidRPr="00DE6A6F" w:rsidRDefault="00E5433A" w:rsidP="00DD5056">
            <w:pPr>
              <w:pStyle w:val="Tabletext"/>
              <w:jc w:val="center"/>
            </w:pPr>
            <w:r w:rsidRPr="00DE6A6F">
              <w:t>21</w:t>
            </w:r>
          </w:p>
        </w:tc>
        <w:tc>
          <w:tcPr>
            <w:tcW w:w="1421" w:type="dxa"/>
          </w:tcPr>
          <w:p w14:paraId="493E0D31" w14:textId="77777777" w:rsidR="00E5433A" w:rsidRPr="00DE6A6F" w:rsidRDefault="00E5433A" w:rsidP="00DD5056">
            <w:pPr>
              <w:pStyle w:val="Tabletext"/>
              <w:jc w:val="center"/>
            </w:pPr>
            <w:r w:rsidRPr="00DE6A6F">
              <w:t>22</w:t>
            </w:r>
          </w:p>
        </w:tc>
        <w:tc>
          <w:tcPr>
            <w:tcW w:w="1033" w:type="dxa"/>
          </w:tcPr>
          <w:p w14:paraId="6C8CE0AC" w14:textId="77777777" w:rsidR="00E5433A" w:rsidRPr="00DE6A6F" w:rsidRDefault="00E5433A" w:rsidP="00DD5056">
            <w:pPr>
              <w:pStyle w:val="Tabletext"/>
              <w:jc w:val="center"/>
            </w:pPr>
            <w:r w:rsidRPr="00DE6A6F">
              <w:t>28</w:t>
            </w:r>
          </w:p>
        </w:tc>
        <w:tc>
          <w:tcPr>
            <w:tcW w:w="1033" w:type="dxa"/>
          </w:tcPr>
          <w:p w14:paraId="73941873" w14:textId="77777777" w:rsidR="00E5433A" w:rsidRPr="00DE6A6F" w:rsidRDefault="00E5433A" w:rsidP="00DD5056">
            <w:pPr>
              <w:pStyle w:val="Tabletext"/>
              <w:jc w:val="center"/>
            </w:pPr>
            <w:r w:rsidRPr="00DE6A6F">
              <w:t>38</w:t>
            </w:r>
          </w:p>
        </w:tc>
        <w:tc>
          <w:tcPr>
            <w:tcW w:w="855" w:type="dxa"/>
          </w:tcPr>
          <w:p w14:paraId="137AD842" w14:textId="77777777" w:rsidR="00E5433A" w:rsidRPr="00DE6A6F" w:rsidRDefault="00E5433A" w:rsidP="00DD5056">
            <w:pPr>
              <w:pStyle w:val="Tabletext"/>
              <w:jc w:val="center"/>
            </w:pPr>
            <w:r w:rsidRPr="00DE6A6F">
              <w:t>44</w:t>
            </w:r>
          </w:p>
        </w:tc>
        <w:tc>
          <w:tcPr>
            <w:tcW w:w="855" w:type="dxa"/>
          </w:tcPr>
          <w:p w14:paraId="6AC725C7" w14:textId="77777777" w:rsidR="00E5433A" w:rsidRPr="00DE6A6F" w:rsidRDefault="00E5433A" w:rsidP="00DD5056">
            <w:pPr>
              <w:pStyle w:val="Tabletext"/>
              <w:jc w:val="center"/>
            </w:pPr>
            <w:r w:rsidRPr="00DE6A6F">
              <w:t>43</w:t>
            </w:r>
          </w:p>
        </w:tc>
        <w:tc>
          <w:tcPr>
            <w:tcW w:w="1034" w:type="dxa"/>
          </w:tcPr>
          <w:p w14:paraId="75014045" w14:textId="77777777" w:rsidR="00E5433A" w:rsidRPr="00DE6A6F" w:rsidRDefault="00E5433A" w:rsidP="00DD5056">
            <w:pPr>
              <w:pStyle w:val="Tabletext"/>
              <w:jc w:val="center"/>
            </w:pPr>
            <w:r w:rsidRPr="00DE6A6F">
              <w:t>22</w:t>
            </w:r>
          </w:p>
        </w:tc>
        <w:tc>
          <w:tcPr>
            <w:tcW w:w="1261" w:type="dxa"/>
          </w:tcPr>
          <w:p w14:paraId="4C0B965F" w14:textId="77777777" w:rsidR="00E5433A" w:rsidRPr="00DE6A6F" w:rsidRDefault="00E5433A" w:rsidP="00DD5056">
            <w:pPr>
              <w:pStyle w:val="Tabletext"/>
              <w:jc w:val="center"/>
            </w:pPr>
            <w:r w:rsidRPr="00DE6A6F">
              <w:t>104%</w:t>
            </w:r>
          </w:p>
        </w:tc>
      </w:tr>
      <w:tr w:rsidR="00E5433A" w:rsidRPr="00DE6A6F" w14:paraId="4971D41E" w14:textId="77777777" w:rsidTr="00DD5056">
        <w:trPr>
          <w:trHeight w:val="300"/>
        </w:trPr>
        <w:tc>
          <w:tcPr>
            <w:tcW w:w="1288" w:type="dxa"/>
          </w:tcPr>
          <w:p w14:paraId="23CD2C3C" w14:textId="77777777" w:rsidR="00E5433A" w:rsidRPr="00DE6A6F" w:rsidRDefault="00E5433A" w:rsidP="00DD5056">
            <w:pPr>
              <w:pStyle w:val="Tablehead"/>
              <w:keepNext w:val="0"/>
              <w:rPr>
                <w:bCs/>
              </w:rPr>
            </w:pPr>
            <w:r w:rsidRPr="00DE6A6F">
              <w:t>Établissements universitaires*</w:t>
            </w:r>
          </w:p>
        </w:tc>
        <w:tc>
          <w:tcPr>
            <w:tcW w:w="1033" w:type="dxa"/>
          </w:tcPr>
          <w:p w14:paraId="1126BF8F" w14:textId="77777777" w:rsidR="00E5433A" w:rsidRPr="00DE6A6F" w:rsidRDefault="00E5433A" w:rsidP="00DD5056">
            <w:pPr>
              <w:pStyle w:val="Tabletext"/>
              <w:jc w:val="center"/>
            </w:pPr>
            <w:r w:rsidRPr="00DE6A6F">
              <w:t>156</w:t>
            </w:r>
          </w:p>
        </w:tc>
        <w:tc>
          <w:tcPr>
            <w:tcW w:w="1421" w:type="dxa"/>
          </w:tcPr>
          <w:p w14:paraId="168F888D" w14:textId="77777777" w:rsidR="00E5433A" w:rsidRPr="00DE6A6F" w:rsidRDefault="00E5433A" w:rsidP="00DD5056">
            <w:pPr>
              <w:pStyle w:val="Tabletext"/>
              <w:jc w:val="center"/>
            </w:pPr>
            <w:r w:rsidRPr="00DE6A6F">
              <w:t>161</w:t>
            </w:r>
          </w:p>
        </w:tc>
        <w:tc>
          <w:tcPr>
            <w:tcW w:w="1033" w:type="dxa"/>
          </w:tcPr>
          <w:p w14:paraId="1B763429" w14:textId="77777777" w:rsidR="00E5433A" w:rsidRPr="00DE6A6F" w:rsidRDefault="00E5433A" w:rsidP="00DD5056">
            <w:pPr>
              <w:pStyle w:val="Tabletext"/>
              <w:jc w:val="center"/>
            </w:pPr>
            <w:r w:rsidRPr="00DE6A6F">
              <w:t>161</w:t>
            </w:r>
          </w:p>
        </w:tc>
        <w:tc>
          <w:tcPr>
            <w:tcW w:w="1033" w:type="dxa"/>
          </w:tcPr>
          <w:p w14:paraId="20BBBF72" w14:textId="77777777" w:rsidR="00E5433A" w:rsidRPr="00DE6A6F" w:rsidRDefault="00E5433A" w:rsidP="00DD5056">
            <w:pPr>
              <w:pStyle w:val="Tabletext"/>
              <w:jc w:val="center"/>
            </w:pPr>
            <w:r w:rsidRPr="00DE6A6F">
              <w:t>171</w:t>
            </w:r>
          </w:p>
        </w:tc>
        <w:tc>
          <w:tcPr>
            <w:tcW w:w="855" w:type="dxa"/>
          </w:tcPr>
          <w:p w14:paraId="5DAC34E1" w14:textId="77777777" w:rsidR="00E5433A" w:rsidRPr="00DE6A6F" w:rsidRDefault="00E5433A" w:rsidP="00DD5056">
            <w:pPr>
              <w:pStyle w:val="Tabletext"/>
              <w:jc w:val="center"/>
            </w:pPr>
            <w:r w:rsidRPr="00DE6A6F">
              <w:t>169</w:t>
            </w:r>
          </w:p>
        </w:tc>
        <w:tc>
          <w:tcPr>
            <w:tcW w:w="855" w:type="dxa"/>
          </w:tcPr>
          <w:p w14:paraId="32758BFB" w14:textId="77777777" w:rsidR="00E5433A" w:rsidRPr="00DE6A6F" w:rsidRDefault="00E5433A" w:rsidP="00DD5056">
            <w:pPr>
              <w:pStyle w:val="Tabletext"/>
              <w:jc w:val="center"/>
            </w:pPr>
            <w:r w:rsidRPr="00DE6A6F">
              <w:t>170</w:t>
            </w:r>
          </w:p>
        </w:tc>
        <w:tc>
          <w:tcPr>
            <w:tcW w:w="1034" w:type="dxa"/>
          </w:tcPr>
          <w:p w14:paraId="6287F9C4" w14:textId="77777777" w:rsidR="00E5433A" w:rsidRPr="00DE6A6F" w:rsidRDefault="00E5433A" w:rsidP="00DD5056">
            <w:pPr>
              <w:pStyle w:val="Tabletext"/>
              <w:jc w:val="center"/>
            </w:pPr>
            <w:r w:rsidRPr="00DE6A6F">
              <w:t>14</w:t>
            </w:r>
          </w:p>
        </w:tc>
        <w:tc>
          <w:tcPr>
            <w:tcW w:w="1261" w:type="dxa"/>
          </w:tcPr>
          <w:p w14:paraId="1585CF63" w14:textId="77777777" w:rsidR="00E5433A" w:rsidRPr="00DE6A6F" w:rsidRDefault="00E5433A" w:rsidP="00DD5056">
            <w:pPr>
              <w:pStyle w:val="Tabletext"/>
              <w:jc w:val="center"/>
            </w:pPr>
            <w:r w:rsidRPr="00DE6A6F">
              <w:t>9%</w:t>
            </w:r>
          </w:p>
        </w:tc>
      </w:tr>
    </w:tbl>
    <w:p w14:paraId="2EE363DB" w14:textId="77777777" w:rsidR="00E5433A" w:rsidRPr="00DE6A6F" w:rsidRDefault="00E5433A" w:rsidP="00E5433A">
      <w:pPr>
        <w:pStyle w:val="Tablelegend"/>
        <w:rPr>
          <w:i/>
          <w:iCs/>
          <w:szCs w:val="18"/>
        </w:rPr>
      </w:pPr>
      <w:r w:rsidRPr="00DE6A6F">
        <w:rPr>
          <w:i/>
          <w:iCs/>
        </w:rPr>
        <w:t>*</w:t>
      </w:r>
      <w:r w:rsidRPr="00DE6A6F">
        <w:rPr>
          <w:i/>
          <w:iCs/>
        </w:rPr>
        <w:tab/>
        <w:t>En vertu d'une décision de la PP-14, les établissements universitaires participent aux travaux des trois Secteurs de l'UIT.</w:t>
      </w:r>
    </w:p>
    <w:p w14:paraId="647AA40B" w14:textId="77777777" w:rsidR="00E5433A" w:rsidRPr="00DE6A6F" w:rsidRDefault="00E5433A" w:rsidP="00E5433A">
      <w:pPr>
        <w:pStyle w:val="Heading2"/>
      </w:pPr>
      <w:bookmarkStart w:id="31" w:name="_Toc424047607"/>
      <w:bookmarkStart w:id="32" w:name="_Toc446060797"/>
      <w:r w:rsidRPr="00DE6A6F">
        <w:lastRenderedPageBreak/>
        <w:t>8.6</w:t>
      </w:r>
      <w:r w:rsidRPr="00DE6A6F">
        <w:tab/>
        <w:t>Communication et promotion</w:t>
      </w:r>
      <w:bookmarkEnd w:id="31"/>
      <w:bookmarkEnd w:id="32"/>
    </w:p>
    <w:p w14:paraId="4FF431E1" w14:textId="77777777" w:rsidR="00E5433A" w:rsidRPr="00DE6A6F" w:rsidRDefault="00E5433A" w:rsidP="00E5433A">
      <w:pPr>
        <w:pStyle w:val="Heading3"/>
        <w:rPr>
          <w:i/>
        </w:rPr>
      </w:pPr>
      <w:r w:rsidRPr="00DE6A6F">
        <w:t>8.6.1</w:t>
      </w:r>
      <w:r w:rsidRPr="00DE6A6F">
        <w:tab/>
        <w:t>Sites web et bases de données</w:t>
      </w:r>
    </w:p>
    <w:p w14:paraId="662A768D" w14:textId="77777777" w:rsidR="00E5433A" w:rsidRPr="00DE6A6F" w:rsidRDefault="00E5433A" w:rsidP="00E5433A">
      <w:r w:rsidRPr="00DE6A6F">
        <w:t>L'entretien des sites web de l'UIT-R, y compris les bases de données connexes et d'autres systèmes de gestion de l'information, est assuré par l'équipe BRWeb (</w:t>
      </w:r>
      <w:hyperlink r:id="rId71">
        <w:r w:rsidRPr="00DE6A6F">
          <w:rPr>
            <w:rStyle w:val="Hyperlink"/>
          </w:rPr>
          <w:t>brweb@i</w:t>
        </w:r>
        <w:r w:rsidRPr="00DE6A6F">
          <w:rPr>
            <w:rStyle w:val="Hyperlink"/>
          </w:rPr>
          <w:t>t</w:t>
        </w:r>
        <w:r w:rsidRPr="00DE6A6F">
          <w:rPr>
            <w:rStyle w:val="Hyperlink"/>
          </w:rPr>
          <w:t>u.int</w:t>
        </w:r>
      </w:hyperlink>
      <w:r w:rsidRPr="00DE6A6F">
        <w:t>).</w:t>
      </w:r>
    </w:p>
    <w:p w14:paraId="0612FC0F" w14:textId="77777777" w:rsidR="00E5433A" w:rsidRPr="00DE6A6F" w:rsidRDefault="00E5433A" w:rsidP="00E5433A">
      <w:r w:rsidRPr="00DE6A6F">
        <w:t>En 2024, la priorité a été donnée au site web des résultats de la CMR-23 ainsi qu'aux activités et nouveautés qui s'y rapportent.</w:t>
      </w:r>
    </w:p>
    <w:p w14:paraId="215C7017" w14:textId="77777777" w:rsidR="00E5433A" w:rsidRPr="00DE6A6F" w:rsidRDefault="00E5433A" w:rsidP="00E5433A">
      <w:pPr>
        <w:pStyle w:val="Heading4"/>
      </w:pPr>
      <w:r w:rsidRPr="00DE6A6F">
        <w:t>8.6.1.1</w:t>
      </w:r>
      <w:r w:rsidRPr="00DE6A6F">
        <w:tab/>
        <w:t>Nouveau système de gestion de contenu (CMS): WordPress</w:t>
      </w:r>
    </w:p>
    <w:p w14:paraId="7244F560" w14:textId="77777777" w:rsidR="00E5433A" w:rsidRPr="00DE6A6F" w:rsidRDefault="00E5433A" w:rsidP="00E5433A">
      <w:pPr>
        <w:rPr>
          <w:szCs w:val="24"/>
        </w:rPr>
      </w:pPr>
      <w:r w:rsidRPr="00DE6A6F">
        <w:t>Les nouveaux sites web préparés en 2024 à l'aide de WordPress sont présentés dans l'Addendum 2 au présent document.</w:t>
      </w:r>
    </w:p>
    <w:p w14:paraId="5A86479A" w14:textId="77777777" w:rsidR="00E5433A" w:rsidRPr="00DE6A6F" w:rsidRDefault="00E5433A" w:rsidP="00E5433A">
      <w:pPr>
        <w:pStyle w:val="Heading4"/>
      </w:pPr>
      <w:r w:rsidRPr="00DE6A6F">
        <w:t>8.6.1.2</w:t>
      </w:r>
      <w:r w:rsidRPr="00DE6A6F">
        <w:tab/>
        <w:t>Situation de la traduction</w:t>
      </w:r>
    </w:p>
    <w:p w14:paraId="6C75D627" w14:textId="77777777" w:rsidR="00E5433A" w:rsidRPr="00DE6A6F" w:rsidRDefault="00E5433A" w:rsidP="00E5433A">
      <w:pPr>
        <w:rPr>
          <w:rFonts w:eastAsia="SimSun"/>
        </w:rPr>
      </w:pPr>
      <w:r w:rsidRPr="00DE6A6F">
        <w:t>Cette question fait l'objet de l'Addendum 2 au présent document.</w:t>
      </w:r>
    </w:p>
    <w:p w14:paraId="7FA595FE" w14:textId="77777777" w:rsidR="00E5433A" w:rsidRPr="00DE6A6F" w:rsidRDefault="00E5433A" w:rsidP="00E5433A">
      <w:pPr>
        <w:pStyle w:val="Heading3"/>
        <w:rPr>
          <w:i/>
        </w:rPr>
      </w:pPr>
      <w:r w:rsidRPr="00DE6A6F">
        <w:t>8.6.2</w:t>
      </w:r>
      <w:r w:rsidRPr="00DE6A6F">
        <w:tab/>
        <w:t>Promotion et relations avec les médias</w:t>
      </w:r>
    </w:p>
    <w:p w14:paraId="0E782CFC" w14:textId="77777777" w:rsidR="00E5433A" w:rsidRPr="00DE6A6F" w:rsidRDefault="00E5433A" w:rsidP="00E5433A">
      <w:pPr>
        <w:rPr>
          <w:rFonts w:eastAsia="SimSun"/>
        </w:rPr>
      </w:pPr>
      <w:r w:rsidRPr="00DE6A6F">
        <w:t>En 2024, les activités de communication du BR ont essentiellement porté sur les activités et les manifestations organisées après l'AR-23 et la CMR-23, y compris sur les réunions virtuelles et sur les webinaires, et avaient pour principal but de diffuser les résultats de la CMR-23 et de promouvoir d'autres activités que le Bureau a menées en ligne et sur les réseaux sociaux.</w:t>
      </w:r>
    </w:p>
    <w:p w14:paraId="33626ED4" w14:textId="77777777" w:rsidR="00E5433A" w:rsidRPr="00DE6A6F" w:rsidRDefault="00E5433A" w:rsidP="00E5433A">
      <w:r w:rsidRPr="00DE6A6F">
        <w:t xml:space="preserve">En mars 2024, la revue «Nouvelles de l'UIT» sur </w:t>
      </w:r>
      <w:hyperlink r:id="rId72" w:anchor="/fr" w:history="1">
        <w:r w:rsidRPr="00DE6A6F">
          <w:rPr>
            <w:rStyle w:val="Hyperlink"/>
          </w:rPr>
          <w:t>les résultats de la Conférence mondi</w:t>
        </w:r>
        <w:r w:rsidRPr="00DE6A6F">
          <w:rPr>
            <w:rStyle w:val="Hyperlink"/>
          </w:rPr>
          <w:t>a</w:t>
        </w:r>
        <w:r w:rsidRPr="00DE6A6F">
          <w:rPr>
            <w:rStyle w:val="Hyperlink"/>
          </w:rPr>
          <w:t>le des radiocommunications de 2023</w:t>
        </w:r>
      </w:hyperlink>
      <w:r w:rsidRPr="00DE6A6F">
        <w:t xml:space="preserve"> a été publiée et diffusée sur les pages d'accueil de l'UIT et de l'UIT-R et sur les réseaux sociaux, et a été envoyée à tous les participants inscrits à la CMR-23.</w:t>
      </w:r>
    </w:p>
    <w:p w14:paraId="62428618" w14:textId="77777777" w:rsidR="00E5433A" w:rsidRPr="00DE6A6F" w:rsidRDefault="00E5433A" w:rsidP="00E5433A">
      <w:pPr>
        <w:pStyle w:val="Heading4"/>
      </w:pPr>
      <w:r w:rsidRPr="00DE6A6F">
        <w:t>8.6.2.1</w:t>
      </w:r>
      <w:r w:rsidRPr="00DE6A6F">
        <w:tab/>
        <w:t>Rubrique de questions les plus fréquemment posées (FAQ) et documents d'information à l'intention des médias, revue «Nouvelles de l'UIT», billets de blogs et articles</w:t>
      </w:r>
    </w:p>
    <w:p w14:paraId="2D1F20B6" w14:textId="77777777" w:rsidR="00E5433A" w:rsidRPr="00DE6A6F" w:rsidRDefault="00E5433A" w:rsidP="00E5433A">
      <w:r w:rsidRPr="00DE6A6F">
        <w:t>En 2024, le Bureau, en collaboration avec le Département de la communication institutionnelle a publié régulièrement, sur le site web du BR et par le biais de la plate-forme ITU Hub, des documents d'information à l'intention des médias, des articles et des billets de blog, rédigés par le Directeur du BR ainsi que par d'autres responsables du BR.</w:t>
      </w:r>
    </w:p>
    <w:p w14:paraId="1E369F5D" w14:textId="77777777" w:rsidR="00E5433A" w:rsidRPr="00DE6A6F" w:rsidRDefault="00E5433A" w:rsidP="00E5433A">
      <w:r w:rsidRPr="00DE6A6F">
        <w:t>Les questions les plus fréquemment posées (FAQ) ont été créées ou mises à jour en fonction des questions posées par les médias:</w:t>
      </w:r>
    </w:p>
    <w:p w14:paraId="308C83EF" w14:textId="77777777" w:rsidR="00E5433A" w:rsidRPr="00DE6A6F" w:rsidRDefault="00E5433A" w:rsidP="00E5433A">
      <w:pPr>
        <w:pStyle w:val="enumlev1"/>
      </w:pPr>
      <w:r w:rsidRPr="00DE6A6F">
        <w:t>•</w:t>
      </w:r>
      <w:r w:rsidRPr="00DE6A6F">
        <w:tab/>
      </w:r>
      <w:hyperlink r:id="rId73" w:history="1">
        <w:r w:rsidRPr="00DE6A6F">
          <w:rPr>
            <w:rStyle w:val="Hyperlink"/>
          </w:rPr>
          <w:t xml:space="preserve">FAQ sur Comité du Règlement des </w:t>
        </w:r>
        <w:r w:rsidRPr="00DE6A6F">
          <w:rPr>
            <w:rStyle w:val="Hyperlink"/>
          </w:rPr>
          <w:t>r</w:t>
        </w:r>
        <w:r w:rsidRPr="00DE6A6F">
          <w:rPr>
            <w:rStyle w:val="Hyperlink"/>
          </w:rPr>
          <w:t>adiocommunications de l'UIT</w:t>
        </w:r>
      </w:hyperlink>
    </w:p>
    <w:p w14:paraId="19AE36CD" w14:textId="77777777" w:rsidR="00E5433A" w:rsidRPr="00DE6A6F" w:rsidRDefault="00E5433A" w:rsidP="00E5433A">
      <w:pPr>
        <w:pStyle w:val="enumlev1"/>
      </w:pPr>
      <w:r w:rsidRPr="00DE6A6F">
        <w:t>•</w:t>
      </w:r>
      <w:r w:rsidRPr="00DE6A6F">
        <w:tab/>
      </w:r>
      <w:hyperlink r:id="rId74" w:history="1">
        <w:r w:rsidRPr="00DE6A6F">
          <w:rPr>
            <w:rStyle w:val="Hyperlink"/>
          </w:rPr>
          <w:t>FAQ sur les brouilla</w:t>
        </w:r>
        <w:r w:rsidRPr="00DE6A6F">
          <w:rPr>
            <w:rStyle w:val="Hyperlink"/>
          </w:rPr>
          <w:t>g</w:t>
        </w:r>
        <w:r w:rsidRPr="00DE6A6F">
          <w:rPr>
            <w:rStyle w:val="Hyperlink"/>
          </w:rPr>
          <w:t>es causés aux systèmes mondiaux de navigation par satellite (GNSS)</w:t>
        </w:r>
      </w:hyperlink>
    </w:p>
    <w:p w14:paraId="4B791B2E" w14:textId="77777777" w:rsidR="00E5433A" w:rsidRPr="00DE6A6F" w:rsidRDefault="00E5433A" w:rsidP="00E5433A">
      <w:pPr>
        <w:pStyle w:val="enumlev1"/>
      </w:pPr>
      <w:r w:rsidRPr="00DE6A6F">
        <w:t>•</w:t>
      </w:r>
      <w:r w:rsidRPr="00DE6A6F">
        <w:tab/>
      </w:r>
      <w:hyperlink r:id="rId75" w:history="1">
        <w:r w:rsidRPr="00DE6A6F">
          <w:rPr>
            <w:rStyle w:val="Hyperlink"/>
          </w:rPr>
          <w:t>FAQ de l'UIT-R sur les Télécommunic</w:t>
        </w:r>
        <w:r w:rsidRPr="00DE6A6F">
          <w:rPr>
            <w:rStyle w:val="Hyperlink"/>
          </w:rPr>
          <w:t>a</w:t>
        </w:r>
        <w:r w:rsidRPr="00DE6A6F">
          <w:rPr>
            <w:rStyle w:val="Hyperlink"/>
          </w:rPr>
          <w:t>tions mobiles internationales (IMT)</w:t>
        </w:r>
      </w:hyperlink>
    </w:p>
    <w:p w14:paraId="0014A335" w14:textId="77777777" w:rsidR="00E5433A" w:rsidRPr="00DE6A6F" w:rsidRDefault="00E5433A" w:rsidP="00E5433A">
      <w:r w:rsidRPr="00DE6A6F">
        <w:t>Les documents d'information à l'intention des médias ont été mis à jour pour tenir compte des résultats de la CMR-23:</w:t>
      </w:r>
    </w:p>
    <w:p w14:paraId="32C5E685" w14:textId="77777777" w:rsidR="00E5433A" w:rsidRPr="00DE6A6F" w:rsidRDefault="00E5433A" w:rsidP="00E5433A">
      <w:pPr>
        <w:pStyle w:val="enumlev1"/>
      </w:pPr>
      <w:r w:rsidRPr="00DE6A6F">
        <w:t>•</w:t>
      </w:r>
      <w:r w:rsidRPr="00DE6A6F">
        <w:tab/>
      </w:r>
      <w:hyperlink r:id="rId76" w:history="1">
        <w:r w:rsidRPr="00DE6A6F">
          <w:rPr>
            <w:rStyle w:val="Hyperlink"/>
          </w:rPr>
          <w:t>6G-5G: Document d'information à l'inte</w:t>
        </w:r>
        <w:r w:rsidRPr="00DE6A6F">
          <w:rPr>
            <w:rStyle w:val="Hyperlink"/>
          </w:rPr>
          <w:t>n</w:t>
        </w:r>
        <w:r w:rsidRPr="00DE6A6F">
          <w:rPr>
            <w:rStyle w:val="Hyperlink"/>
          </w:rPr>
          <w:t>tion des médias sur les IMT-2020 et IMT-2030 (Technologies mobiles de cinquième génération (IMT-2020 et réseaux ultérieurs))</w:t>
        </w:r>
      </w:hyperlink>
    </w:p>
    <w:p w14:paraId="6D2953FB" w14:textId="77777777" w:rsidR="00E5433A" w:rsidRPr="00DE6A6F" w:rsidRDefault="00E5433A" w:rsidP="00E5433A">
      <w:pPr>
        <w:pStyle w:val="enumlev1"/>
      </w:pPr>
      <w:r w:rsidRPr="00DE6A6F">
        <w:t>•</w:t>
      </w:r>
      <w:r w:rsidRPr="00DE6A6F">
        <w:tab/>
      </w:r>
      <w:hyperlink r:id="rId77" w:history="1">
        <w:r w:rsidRPr="00DE6A6F">
          <w:rPr>
            <w:rStyle w:val="Hyperlink"/>
          </w:rPr>
          <w:t>Stations placées sur des plates-f</w:t>
        </w:r>
        <w:r w:rsidRPr="00DE6A6F">
          <w:rPr>
            <w:rStyle w:val="Hyperlink"/>
          </w:rPr>
          <w:t>o</w:t>
        </w:r>
        <w:r w:rsidRPr="00DE6A6F">
          <w:rPr>
            <w:rStyle w:val="Hyperlink"/>
          </w:rPr>
          <w:t>rmes à haute altitude (HAPS)</w:t>
        </w:r>
      </w:hyperlink>
    </w:p>
    <w:p w14:paraId="6587BF97" w14:textId="77777777" w:rsidR="00E5433A" w:rsidRPr="00DE6A6F" w:rsidRDefault="00E5433A" w:rsidP="00E5433A">
      <w:pPr>
        <w:pStyle w:val="enumlev1"/>
      </w:pPr>
      <w:r w:rsidRPr="00DE6A6F">
        <w:t>•</w:t>
      </w:r>
      <w:r w:rsidRPr="00DE6A6F">
        <w:tab/>
      </w:r>
      <w:hyperlink r:id="rId78" w:history="1">
        <w:r w:rsidRPr="00DE6A6F">
          <w:rPr>
            <w:rStyle w:val="Hyperlink"/>
          </w:rPr>
          <w:t>UIT-R: Gérer le spectr</w:t>
        </w:r>
        <w:r w:rsidRPr="00DE6A6F">
          <w:rPr>
            <w:rStyle w:val="Hyperlink"/>
          </w:rPr>
          <w:t>e</w:t>
        </w:r>
        <w:r w:rsidRPr="00DE6A6F">
          <w:rPr>
            <w:rStyle w:val="Hyperlink"/>
          </w:rPr>
          <w:t xml:space="preserve"> des fréquences radioélectriques dans l'intérêt de l'humanité tout entière</w:t>
        </w:r>
      </w:hyperlink>
    </w:p>
    <w:p w14:paraId="23CDE3FE" w14:textId="77777777" w:rsidR="00E5433A" w:rsidRPr="00DE6A6F" w:rsidRDefault="00E5433A" w:rsidP="00E5433A">
      <w:pPr>
        <w:pStyle w:val="enumlev1"/>
      </w:pPr>
      <w:r w:rsidRPr="00DE6A6F">
        <w:t>•</w:t>
      </w:r>
      <w:r w:rsidRPr="00DE6A6F">
        <w:tab/>
      </w:r>
      <w:hyperlink r:id="rId79" w:history="1">
        <w:r w:rsidRPr="00DE6A6F">
          <w:rPr>
            <w:rStyle w:val="Hyperlink"/>
          </w:rPr>
          <w:t>Garantir la sécurité des personnes et des navires en mer par les radiocommunicatio</w:t>
        </w:r>
        <w:r w:rsidRPr="00DE6A6F">
          <w:rPr>
            <w:rStyle w:val="Hyperlink"/>
          </w:rPr>
          <w:t>n</w:t>
        </w:r>
        <w:r w:rsidRPr="00DE6A6F">
          <w:rPr>
            <w:rStyle w:val="Hyperlink"/>
          </w:rPr>
          <w:t>s</w:t>
        </w:r>
      </w:hyperlink>
    </w:p>
    <w:p w14:paraId="2CB03C79" w14:textId="77777777" w:rsidR="00E5433A" w:rsidRPr="00DE6A6F" w:rsidRDefault="00E5433A" w:rsidP="00E5433A">
      <w:pPr>
        <w:pStyle w:val="enumlev1"/>
      </w:pPr>
      <w:r w:rsidRPr="00DE6A6F">
        <w:t>•</w:t>
      </w:r>
      <w:r w:rsidRPr="00DE6A6F">
        <w:tab/>
      </w:r>
      <w:hyperlink r:id="rId80" w:history="1">
        <w:r w:rsidRPr="00DE6A6F">
          <w:rPr>
            <w:rStyle w:val="Hyperlink"/>
          </w:rPr>
          <w:t>Défis liés aux satellites: Stations terriennes en mou</w:t>
        </w:r>
        <w:r w:rsidRPr="00DE6A6F">
          <w:rPr>
            <w:rStyle w:val="Hyperlink"/>
          </w:rPr>
          <w:t>v</w:t>
        </w:r>
        <w:r w:rsidRPr="00DE6A6F">
          <w:rPr>
            <w:rStyle w:val="Hyperlink"/>
          </w:rPr>
          <w:t>ement (ESIM)</w:t>
        </w:r>
      </w:hyperlink>
    </w:p>
    <w:p w14:paraId="000CC674" w14:textId="77777777" w:rsidR="00E5433A" w:rsidRPr="00DE6A6F" w:rsidRDefault="00E5433A" w:rsidP="00E5433A">
      <w:pPr>
        <w:pStyle w:val="enumlev1"/>
      </w:pPr>
      <w:r w:rsidRPr="00DE6A6F">
        <w:t>•</w:t>
      </w:r>
      <w:r w:rsidRPr="00DE6A6F">
        <w:tab/>
      </w:r>
      <w:hyperlink r:id="rId81" w:history="1">
        <w:r w:rsidRPr="00DE6A6F">
          <w:rPr>
            <w:rStyle w:val="Hyperlink"/>
          </w:rPr>
          <w:t>Réglementation des systèmes à sa</w:t>
        </w:r>
        <w:r w:rsidRPr="00DE6A6F">
          <w:rPr>
            <w:rStyle w:val="Hyperlink"/>
          </w:rPr>
          <w:t>t</w:t>
        </w:r>
        <w:r w:rsidRPr="00DE6A6F">
          <w:rPr>
            <w:rStyle w:val="Hyperlink"/>
          </w:rPr>
          <w:t>ellites</w:t>
        </w:r>
      </w:hyperlink>
    </w:p>
    <w:p w14:paraId="0525F11D" w14:textId="77777777" w:rsidR="00E5433A" w:rsidRPr="00DE6A6F" w:rsidRDefault="00E5433A" w:rsidP="00E5433A">
      <w:r w:rsidRPr="00DE6A6F">
        <w:lastRenderedPageBreak/>
        <w:t>En 2024, le Bureau des radiocommunications a répondu à 46 demandes émanant de revues techniques spécialisées et de médias s'intéressant à ses travaux. Il a répondu sans tarder à chaque demande en fournissant les informations sollicitées, afin d'entretenir des relations constructives avec les médias. Les questions des médias relatives aux activités de l'UIT-R portaient principalement sur les fiches de notification de réseaux à satellite, les brouillages préjudiciables et les brouillages causés aux systèmes GPS, le Comité du Règlement des radiocommunications (RRB), la CMR-23 ainsi que la 5G et la 6G.</w:t>
      </w:r>
    </w:p>
    <w:p w14:paraId="1B9F9605" w14:textId="77777777" w:rsidR="00E5433A" w:rsidRPr="00DE6A6F" w:rsidRDefault="00E5433A" w:rsidP="00E5433A">
      <w:r w:rsidRPr="00DE6A6F">
        <w:t>En 2024, le Bureau a produit deux documents à l'intention de la presse:</w:t>
      </w:r>
    </w:p>
    <w:p w14:paraId="544AEC97" w14:textId="77777777" w:rsidR="00E5433A" w:rsidRPr="00DE6A6F" w:rsidRDefault="00E5433A" w:rsidP="00E5433A">
      <w:pPr>
        <w:pStyle w:val="enumlev1"/>
      </w:pPr>
      <w:r w:rsidRPr="00DE6A6F">
        <w:t>•</w:t>
      </w:r>
      <w:r w:rsidRPr="00DE6A6F">
        <w:tab/>
        <w:t>28 août: communiqué de presse concernant l'édition de 2024 du Règlement des radiocommunications (envoyé à plus de 4 000 journalistes et consulté par 28% d'entre eux).</w:t>
      </w:r>
    </w:p>
    <w:p w14:paraId="59633C03" w14:textId="77777777" w:rsidR="00E5433A" w:rsidRPr="00DE6A6F" w:rsidRDefault="00E5433A" w:rsidP="00E5433A">
      <w:pPr>
        <w:pStyle w:val="enumlev1"/>
      </w:pPr>
      <w:r w:rsidRPr="00DE6A6F">
        <w:t>•</w:t>
      </w:r>
      <w:r w:rsidRPr="00DE6A6F">
        <w:tab/>
        <w:t>28 novembre: avis aux médias concernant le WRS-24 (envoyé à plus de 4 000 journalistes et consulté par 26% d'entre eux).</w:t>
      </w:r>
    </w:p>
    <w:p w14:paraId="4F023327" w14:textId="77777777" w:rsidR="00E5433A" w:rsidRPr="00DE6A6F" w:rsidRDefault="00E5433A" w:rsidP="00E5433A">
      <w:pPr>
        <w:rPr>
          <w:sz w:val="22"/>
          <w:szCs w:val="22"/>
        </w:rPr>
      </w:pPr>
      <w:r w:rsidRPr="00DE6A6F">
        <w:t>Les activités de communication sur les manifestations suivantes organisées par l'UIT ont compris, entre autres, l'utilisation de communiqués de presse, de communiqués à l'intention des membres, de billets sur le blog «Nouvelles de l'UIT», de vidéos, de la promotion événementielle et de publications sur les réseaux sociaux.</w:t>
      </w:r>
    </w:p>
    <w:p w14:paraId="227146DF" w14:textId="77777777" w:rsidR="00E5433A" w:rsidRPr="00DE6A6F" w:rsidRDefault="00E5433A" w:rsidP="00E5433A">
      <w:pPr>
        <w:pStyle w:val="enumlev1"/>
      </w:pPr>
      <w:r w:rsidRPr="00DE6A6F">
        <w:t>•</w:t>
      </w:r>
      <w:r w:rsidRPr="00DE6A6F">
        <w:tab/>
      </w:r>
      <w:hyperlink r:id="rId82" w:anchor="/fr" w:history="1">
        <w:r w:rsidRPr="00DE6A6F">
          <w:rPr>
            <w:rStyle w:val="Hyperlink"/>
          </w:rPr>
          <w:t>Séminaire mondial des radiocommunic</w:t>
        </w:r>
        <w:r w:rsidRPr="00DE6A6F">
          <w:rPr>
            <w:rStyle w:val="Hyperlink"/>
          </w:rPr>
          <w:t>a</w:t>
        </w:r>
        <w:r w:rsidRPr="00DE6A6F">
          <w:rPr>
            <w:rStyle w:val="Hyperlink"/>
          </w:rPr>
          <w:t>tions de 2024 (WRS-24)</w:t>
        </w:r>
      </w:hyperlink>
      <w:r w:rsidRPr="00DE6A6F">
        <w:t xml:space="preserve"> (2-6 décembre 2024)</w:t>
      </w:r>
    </w:p>
    <w:p w14:paraId="6EB89B78" w14:textId="77777777" w:rsidR="00E5433A" w:rsidRPr="00DE6A6F" w:rsidRDefault="00E5433A" w:rsidP="00E5433A">
      <w:pPr>
        <w:pStyle w:val="enumlev1"/>
      </w:pPr>
      <w:r w:rsidRPr="00DE6A6F">
        <w:t>•</w:t>
      </w:r>
      <w:r w:rsidRPr="00DE6A6F">
        <w:tab/>
      </w:r>
      <w:hyperlink r:id="rId83" w:anchor="/fr" w:history="1">
        <w:r w:rsidRPr="00DE6A6F">
          <w:rPr>
            <w:rStyle w:val="Hyperlink"/>
          </w:rPr>
          <w:t>Exposition sur les radiocommunications de de</w:t>
        </w:r>
        <w:r w:rsidRPr="00DE6A6F">
          <w:rPr>
            <w:rStyle w:val="Hyperlink"/>
          </w:rPr>
          <w:t>m</w:t>
        </w:r>
        <w:r w:rsidRPr="00DE6A6F">
          <w:rPr>
            <w:rStyle w:val="Hyperlink"/>
          </w:rPr>
          <w:t>ain</w:t>
        </w:r>
      </w:hyperlink>
      <w:r w:rsidRPr="00DE6A6F">
        <w:t xml:space="preserve"> organisée parallèlement au WRS-24</w:t>
      </w:r>
    </w:p>
    <w:p w14:paraId="3B314F38" w14:textId="77777777" w:rsidR="00E5433A" w:rsidRPr="00DE6A6F" w:rsidRDefault="00E5433A" w:rsidP="00E5433A">
      <w:pPr>
        <w:pStyle w:val="enumlev1"/>
      </w:pPr>
      <w:bookmarkStart w:id="33" w:name="_Hlk191886170"/>
      <w:r w:rsidRPr="00DE6A6F">
        <w:t>•</w:t>
      </w:r>
      <w:r w:rsidRPr="00DE6A6F">
        <w:tab/>
      </w:r>
      <w:hyperlink r:id="rId84" w:history="1">
        <w:r w:rsidRPr="00DE6A6F">
          <w:rPr>
            <w:rStyle w:val="Hyperlink"/>
          </w:rPr>
          <w:t>Atelier sur l'avenir d</w:t>
        </w:r>
        <w:r w:rsidRPr="00DE6A6F">
          <w:rPr>
            <w:rStyle w:val="Hyperlink"/>
          </w:rPr>
          <w:t>e</w:t>
        </w:r>
        <w:r w:rsidRPr="00DE6A6F">
          <w:rPr>
            <w:rStyle w:val="Hyperlink"/>
          </w:rPr>
          <w:t xml:space="preserve"> la télévision en Europe</w:t>
        </w:r>
      </w:hyperlink>
      <w:bookmarkEnd w:id="33"/>
      <w:r w:rsidRPr="00DE6A6F">
        <w:t xml:space="preserve"> (7 novembre 2024)</w:t>
      </w:r>
    </w:p>
    <w:p w14:paraId="6DB8DE4C" w14:textId="77777777" w:rsidR="00E5433A" w:rsidRPr="00DE6A6F" w:rsidRDefault="00E5433A" w:rsidP="00E5433A">
      <w:pPr>
        <w:pStyle w:val="enumlev1"/>
      </w:pPr>
      <w:r w:rsidRPr="00DE6A6F">
        <w:t>•</w:t>
      </w:r>
      <w:r w:rsidRPr="00DE6A6F">
        <w:tab/>
      </w:r>
      <w:hyperlink r:id="rId85" w:history="1">
        <w:r w:rsidRPr="00DE6A6F">
          <w:rPr>
            <w:rStyle w:val="Hyperlink"/>
          </w:rPr>
          <w:t xml:space="preserve">Forum de l'UIT sur la viabilité de l'utilisation </w:t>
        </w:r>
        <w:bookmarkStart w:id="34" w:name="_Hlt191374043"/>
        <w:bookmarkStart w:id="35" w:name="_Hlt191374044"/>
        <w:r w:rsidRPr="00DE6A6F">
          <w:rPr>
            <w:rStyle w:val="Hyperlink"/>
          </w:rPr>
          <w:t>de</w:t>
        </w:r>
        <w:bookmarkEnd w:id="34"/>
        <w:bookmarkEnd w:id="35"/>
        <w:r w:rsidRPr="00DE6A6F">
          <w:rPr>
            <w:rStyle w:val="Hyperlink"/>
          </w:rPr>
          <w:t xml:space="preserve"> l'espace</w:t>
        </w:r>
      </w:hyperlink>
      <w:r w:rsidRPr="00DE6A6F">
        <w:t xml:space="preserve"> (10-11 septembre 2024)</w:t>
      </w:r>
    </w:p>
    <w:p w14:paraId="68350A56" w14:textId="77777777" w:rsidR="00E5433A" w:rsidRPr="00DE6A6F" w:rsidRDefault="00E5433A" w:rsidP="00E5433A">
      <w:pPr>
        <w:pStyle w:val="enumlev1"/>
      </w:pPr>
      <w:r w:rsidRPr="00DE6A6F">
        <w:t>•</w:t>
      </w:r>
      <w:r w:rsidRPr="00DE6A6F">
        <w:tab/>
      </w:r>
      <w:hyperlink r:id="rId86" w:history="1">
        <w:r w:rsidRPr="00DE6A6F">
          <w:rPr>
            <w:rStyle w:val="Hyperlink"/>
          </w:rPr>
          <w:t>Séminaire régional des radiocommuni</w:t>
        </w:r>
        <w:r w:rsidRPr="00DE6A6F">
          <w:rPr>
            <w:rStyle w:val="Hyperlink"/>
          </w:rPr>
          <w:t>c</w:t>
        </w:r>
        <w:r w:rsidRPr="00DE6A6F">
          <w:rPr>
            <w:rStyle w:val="Hyperlink"/>
          </w:rPr>
          <w:t>ations pour la région Asie-Pacifique</w:t>
        </w:r>
      </w:hyperlink>
      <w:r w:rsidRPr="00DE6A6F">
        <w:t xml:space="preserve"> (RRS</w:t>
      </w:r>
      <w:r w:rsidRPr="00DE6A6F">
        <w:noBreakHyphen/>
        <w:t>24</w:t>
      </w:r>
      <w:r w:rsidRPr="00DE6A6F">
        <w:noBreakHyphen/>
        <w:t>Asie</w:t>
      </w:r>
      <w:r w:rsidRPr="00DE6A6F">
        <w:noBreakHyphen/>
        <w:t>Pacifique) (16-21 septembre 2024)</w:t>
      </w:r>
    </w:p>
    <w:p w14:paraId="55DA617A" w14:textId="77777777" w:rsidR="00E5433A" w:rsidRPr="00DE6A6F" w:rsidRDefault="00E5433A" w:rsidP="00E5433A">
      <w:pPr>
        <w:pStyle w:val="enumlev1"/>
      </w:pPr>
      <w:r w:rsidRPr="00DE6A6F">
        <w:t>•</w:t>
      </w:r>
      <w:r w:rsidRPr="00DE6A6F">
        <w:tab/>
      </w:r>
      <w:hyperlink r:id="rId87" w:history="1">
        <w:r w:rsidRPr="00DE6A6F">
          <w:rPr>
            <w:rStyle w:val="Hyperlink"/>
          </w:rPr>
          <w:t xml:space="preserve">Séminaire régional des radiocommunications pour la </w:t>
        </w:r>
        <w:r w:rsidRPr="00DE6A6F">
          <w:rPr>
            <w:rStyle w:val="Hyperlink"/>
          </w:rPr>
          <w:t>r</w:t>
        </w:r>
        <w:r w:rsidRPr="00DE6A6F">
          <w:rPr>
            <w:rStyle w:val="Hyperlink"/>
          </w:rPr>
          <w:t>égion Amériques</w:t>
        </w:r>
      </w:hyperlink>
      <w:r w:rsidRPr="00DE6A6F">
        <w:t xml:space="preserve"> (RRS</w:t>
      </w:r>
      <w:r w:rsidRPr="00DE6A6F">
        <w:noBreakHyphen/>
        <w:t>24</w:t>
      </w:r>
      <w:r w:rsidRPr="00DE6A6F">
        <w:noBreakHyphen/>
        <w:t>Amériques) (22-27 juillet 2024)</w:t>
      </w:r>
    </w:p>
    <w:p w14:paraId="35DA762A" w14:textId="77777777" w:rsidR="00E5433A" w:rsidRPr="00DE6A6F" w:rsidRDefault="00E5433A" w:rsidP="00E5433A">
      <w:pPr>
        <w:pStyle w:val="enumlev1"/>
      </w:pPr>
      <w:r w:rsidRPr="00DE6A6F">
        <w:t>•</w:t>
      </w:r>
      <w:r w:rsidRPr="00DE6A6F">
        <w:tab/>
      </w:r>
      <w:hyperlink r:id="rId88" w:history="1">
        <w:r w:rsidRPr="00DE6A6F">
          <w:rPr>
            <w:rStyle w:val="Hyperlink"/>
          </w:rPr>
          <w:t>Séminaire régional des radiocommunications pour les pays de</w:t>
        </w:r>
        <w:r w:rsidRPr="00DE6A6F">
          <w:rPr>
            <w:rStyle w:val="Hyperlink"/>
          </w:rPr>
          <w:t xml:space="preserve"> </w:t>
        </w:r>
        <w:r w:rsidRPr="00DE6A6F">
          <w:rPr>
            <w:rStyle w:val="Hyperlink"/>
          </w:rPr>
          <w:t>la CEI</w:t>
        </w:r>
      </w:hyperlink>
      <w:r w:rsidRPr="00DE6A6F">
        <w:t xml:space="preserve"> (RRS-24-CEI) (15</w:t>
      </w:r>
      <w:r w:rsidRPr="00DE6A6F">
        <w:noBreakHyphen/>
        <w:t>19 avril 2024)</w:t>
      </w:r>
    </w:p>
    <w:p w14:paraId="18F3F1DE" w14:textId="77777777" w:rsidR="00E5433A" w:rsidRPr="00DE6A6F" w:rsidRDefault="00E5433A" w:rsidP="00E5433A">
      <w:pPr>
        <w:pStyle w:val="enumlev1"/>
      </w:pPr>
      <w:r w:rsidRPr="00DE6A6F">
        <w:t>•</w:t>
      </w:r>
      <w:r w:rsidRPr="00DE6A6F">
        <w:tab/>
      </w:r>
      <w:hyperlink r:id="rId89" w:history="1">
        <w:r w:rsidRPr="00DE6A6F">
          <w:rPr>
            <w:rStyle w:val="Hyperlink"/>
          </w:rPr>
          <w:t>Atelier de formation à l'utilisation et à la gestion du spectre radioélectriq</w:t>
        </w:r>
        <w:r w:rsidRPr="00DE6A6F">
          <w:rPr>
            <w:rStyle w:val="Hyperlink"/>
          </w:rPr>
          <w:t>u</w:t>
        </w:r>
        <w:r w:rsidRPr="00DE6A6F">
          <w:rPr>
            <w:rStyle w:val="Hyperlink"/>
          </w:rPr>
          <w:t>e à des fins météorologiques</w:t>
        </w:r>
      </w:hyperlink>
      <w:r w:rsidRPr="00DE6A6F">
        <w:t xml:space="preserve"> (3-4 mars 2025, Singapour)</w:t>
      </w:r>
    </w:p>
    <w:p w14:paraId="6192857F" w14:textId="77777777" w:rsidR="00E5433A" w:rsidRPr="00DE6A6F" w:rsidRDefault="00E5433A" w:rsidP="00E5433A">
      <w:r w:rsidRPr="00DE6A6F">
        <w:t>Ateliers organisés en 2024 sur le Tableau national d'attribution des bandes de fréquences (TNABF):</w:t>
      </w:r>
    </w:p>
    <w:p w14:paraId="4D184DA6" w14:textId="77777777" w:rsidR="00E5433A" w:rsidRPr="00DE6A6F" w:rsidRDefault="00E5433A" w:rsidP="00E5433A">
      <w:pPr>
        <w:pStyle w:val="enumlev1"/>
        <w:rPr>
          <w:sz w:val="22"/>
          <w:szCs w:val="22"/>
        </w:rPr>
      </w:pPr>
      <w:r w:rsidRPr="00DE6A6F">
        <w:t>•</w:t>
      </w:r>
      <w:r w:rsidRPr="00DE6A6F">
        <w:tab/>
      </w:r>
      <w:hyperlink r:id="rId90" w:history="1">
        <w:r w:rsidRPr="00DE6A6F">
          <w:rPr>
            <w:rStyle w:val="Hyperlink"/>
          </w:rPr>
          <w:t>Région 1</w:t>
        </w:r>
        <w:r w:rsidRPr="00DE6A6F">
          <w:rPr>
            <w:rStyle w:val="Hyperlink"/>
            <w:color w:val="auto"/>
            <w:u w:val="none"/>
          </w:rPr>
          <w:t xml:space="preserve"> (20-23 </w:t>
        </w:r>
        <w:r w:rsidRPr="00DE6A6F">
          <w:rPr>
            <w:rStyle w:val="Hyperlink"/>
            <w:color w:val="auto"/>
            <w:u w:val="none"/>
          </w:rPr>
          <w:t>m</w:t>
        </w:r>
        <w:r w:rsidRPr="00DE6A6F">
          <w:rPr>
            <w:rStyle w:val="Hyperlink"/>
            <w:color w:val="auto"/>
            <w:u w:val="none"/>
          </w:rPr>
          <w:t>ai)</w:t>
        </w:r>
      </w:hyperlink>
    </w:p>
    <w:p w14:paraId="3867C474" w14:textId="77777777" w:rsidR="00E5433A" w:rsidRPr="00DE6A6F" w:rsidRDefault="00E5433A" w:rsidP="00E5433A">
      <w:pPr>
        <w:pStyle w:val="enumlev1"/>
        <w:rPr>
          <w:sz w:val="22"/>
          <w:szCs w:val="22"/>
        </w:rPr>
      </w:pPr>
      <w:r w:rsidRPr="00DE6A6F">
        <w:t>•</w:t>
      </w:r>
      <w:r w:rsidRPr="00DE6A6F">
        <w:tab/>
      </w:r>
      <w:hyperlink r:id="rId91" w:history="1">
        <w:r w:rsidRPr="00DE6A6F">
          <w:rPr>
            <w:rStyle w:val="Hyperlink"/>
          </w:rPr>
          <w:t>Région 3</w:t>
        </w:r>
        <w:r w:rsidRPr="00DE6A6F">
          <w:rPr>
            <w:rStyle w:val="Hyperlink"/>
            <w:color w:val="auto"/>
            <w:u w:val="none"/>
          </w:rPr>
          <w:t xml:space="preserve"> (28-3</w:t>
        </w:r>
        <w:r w:rsidRPr="00DE6A6F">
          <w:rPr>
            <w:rStyle w:val="Hyperlink"/>
            <w:color w:val="auto"/>
            <w:u w:val="none"/>
          </w:rPr>
          <w:t>1</w:t>
        </w:r>
        <w:r w:rsidRPr="00DE6A6F">
          <w:rPr>
            <w:rStyle w:val="Hyperlink"/>
            <w:color w:val="auto"/>
            <w:u w:val="none"/>
          </w:rPr>
          <w:t> mai)</w:t>
        </w:r>
      </w:hyperlink>
    </w:p>
    <w:p w14:paraId="7FE8663C" w14:textId="77777777" w:rsidR="00E5433A" w:rsidRPr="00DE6A6F" w:rsidRDefault="00E5433A" w:rsidP="00E5433A">
      <w:pPr>
        <w:pStyle w:val="enumlev1"/>
        <w:rPr>
          <w:sz w:val="22"/>
          <w:szCs w:val="22"/>
        </w:rPr>
      </w:pPr>
      <w:r w:rsidRPr="00DE6A6F">
        <w:t>•</w:t>
      </w:r>
      <w:r w:rsidRPr="00DE6A6F">
        <w:tab/>
      </w:r>
      <w:hyperlink r:id="rId92" w:history="1">
        <w:r w:rsidRPr="00DE6A6F">
          <w:rPr>
            <w:rStyle w:val="Hyperlink"/>
          </w:rPr>
          <w:t>Région 2</w:t>
        </w:r>
        <w:r w:rsidRPr="00DE6A6F">
          <w:rPr>
            <w:rStyle w:val="Hyperlink"/>
            <w:color w:val="auto"/>
            <w:u w:val="none"/>
          </w:rPr>
          <w:t xml:space="preserve"> (1</w:t>
        </w:r>
        <w:r w:rsidRPr="00DE6A6F">
          <w:rPr>
            <w:rStyle w:val="Hyperlink"/>
            <w:color w:val="auto"/>
            <w:u w:val="none"/>
          </w:rPr>
          <w:t>7</w:t>
        </w:r>
        <w:r w:rsidRPr="00DE6A6F">
          <w:rPr>
            <w:rStyle w:val="Hyperlink"/>
            <w:color w:val="auto"/>
            <w:u w:val="none"/>
          </w:rPr>
          <w:t>-20 juin)</w:t>
        </w:r>
      </w:hyperlink>
    </w:p>
    <w:p w14:paraId="11A712AC" w14:textId="77777777" w:rsidR="00E5433A" w:rsidRPr="00DE6A6F" w:rsidRDefault="00E5433A" w:rsidP="00E5433A">
      <w:r w:rsidRPr="00DE6A6F">
        <w:t>Le Bureau a participé activement à plusieurs journées internationales organisées par les Nations Unies et liées avec ses travaux, notamment aux manifestations suivantes:</w:t>
      </w:r>
    </w:p>
    <w:p w14:paraId="51840229" w14:textId="77777777" w:rsidR="00E5433A" w:rsidRPr="00DE6A6F" w:rsidRDefault="00E5433A" w:rsidP="00E5433A">
      <w:pPr>
        <w:pStyle w:val="enumlev1"/>
      </w:pPr>
      <w:r w:rsidRPr="00DE6A6F">
        <w:t>•</w:t>
      </w:r>
      <w:r w:rsidRPr="00DE6A6F">
        <w:tab/>
      </w:r>
      <w:hyperlink r:id="rId93" w:history="1">
        <w:r w:rsidRPr="00DE6A6F">
          <w:rPr>
            <w:rStyle w:val="Hyperlink"/>
          </w:rPr>
          <w:t>Journée mon</w:t>
        </w:r>
        <w:r w:rsidRPr="00DE6A6F">
          <w:rPr>
            <w:rStyle w:val="Hyperlink"/>
          </w:rPr>
          <w:t>d</w:t>
        </w:r>
        <w:r w:rsidRPr="00DE6A6F">
          <w:rPr>
            <w:rStyle w:val="Hyperlink"/>
          </w:rPr>
          <w:t>iale de la radio</w:t>
        </w:r>
      </w:hyperlink>
      <w:r w:rsidRPr="00DE6A6F">
        <w:t xml:space="preserve"> (13 février)</w:t>
      </w:r>
    </w:p>
    <w:p w14:paraId="5053C924" w14:textId="77777777" w:rsidR="00E5433A" w:rsidRPr="00DE6A6F" w:rsidRDefault="00E5433A" w:rsidP="00E5433A">
      <w:pPr>
        <w:pStyle w:val="enumlev1"/>
      </w:pPr>
      <w:r w:rsidRPr="00DE6A6F">
        <w:t>•</w:t>
      </w:r>
      <w:r w:rsidRPr="00DE6A6F">
        <w:tab/>
      </w:r>
      <w:hyperlink r:id="rId94" w:history="1">
        <w:r w:rsidRPr="00DE6A6F">
          <w:rPr>
            <w:rStyle w:val="Hyperlink"/>
          </w:rPr>
          <w:t>Journée météorologique m</w:t>
        </w:r>
        <w:r w:rsidRPr="00DE6A6F">
          <w:rPr>
            <w:rStyle w:val="Hyperlink"/>
          </w:rPr>
          <w:t>o</w:t>
        </w:r>
        <w:r w:rsidRPr="00DE6A6F">
          <w:rPr>
            <w:rStyle w:val="Hyperlink"/>
          </w:rPr>
          <w:t>ndiale</w:t>
        </w:r>
      </w:hyperlink>
      <w:r w:rsidRPr="00DE6A6F">
        <w:t xml:space="preserve"> (24 mars)</w:t>
      </w:r>
    </w:p>
    <w:p w14:paraId="395859A6" w14:textId="77777777" w:rsidR="00E5433A" w:rsidRPr="00DE6A6F" w:rsidRDefault="00E5433A" w:rsidP="00E5433A">
      <w:pPr>
        <w:pStyle w:val="enumlev1"/>
      </w:pPr>
      <w:r w:rsidRPr="00DE6A6F">
        <w:t>•</w:t>
      </w:r>
      <w:r w:rsidRPr="00DE6A6F">
        <w:tab/>
      </w:r>
      <w:hyperlink r:id="rId95" w:history="1">
        <w:r w:rsidRPr="00DE6A6F">
          <w:rPr>
            <w:rStyle w:val="Hyperlink"/>
          </w:rPr>
          <w:t>Journée mondiale des radio-</w:t>
        </w:r>
        <w:r w:rsidRPr="00DE6A6F">
          <w:rPr>
            <w:rStyle w:val="Hyperlink"/>
          </w:rPr>
          <w:t>a</w:t>
        </w:r>
        <w:r w:rsidRPr="00DE6A6F">
          <w:rPr>
            <w:rStyle w:val="Hyperlink"/>
          </w:rPr>
          <w:t>mateurs</w:t>
        </w:r>
      </w:hyperlink>
      <w:r w:rsidRPr="00DE6A6F">
        <w:t xml:space="preserve"> (18 avril)</w:t>
      </w:r>
    </w:p>
    <w:p w14:paraId="0D73FA8B" w14:textId="77777777" w:rsidR="00E5433A" w:rsidRPr="00DE6A6F" w:rsidRDefault="00E5433A" w:rsidP="00E5433A">
      <w:pPr>
        <w:pStyle w:val="enumlev1"/>
      </w:pPr>
      <w:r w:rsidRPr="00DE6A6F">
        <w:t>•</w:t>
      </w:r>
      <w:r w:rsidRPr="00DE6A6F">
        <w:tab/>
      </w:r>
      <w:hyperlink r:id="rId96" w:history="1">
        <w:r w:rsidRPr="00DE6A6F">
          <w:rPr>
            <w:rStyle w:val="Hyperlink"/>
          </w:rPr>
          <w:t xml:space="preserve">Journée internationale de la </w:t>
        </w:r>
        <w:r w:rsidRPr="00DE6A6F">
          <w:rPr>
            <w:rStyle w:val="Hyperlink"/>
          </w:rPr>
          <w:t>L</w:t>
        </w:r>
        <w:r w:rsidRPr="00DE6A6F">
          <w:rPr>
            <w:rStyle w:val="Hyperlink"/>
          </w:rPr>
          <w:t>une</w:t>
        </w:r>
      </w:hyperlink>
      <w:r w:rsidRPr="00DE6A6F">
        <w:t xml:space="preserve"> (20 juillet)</w:t>
      </w:r>
    </w:p>
    <w:p w14:paraId="355F53AE" w14:textId="77777777" w:rsidR="00E5433A" w:rsidRPr="00DE6A6F" w:rsidRDefault="00E5433A" w:rsidP="00E5433A">
      <w:pPr>
        <w:pStyle w:val="enumlev1"/>
      </w:pPr>
      <w:r w:rsidRPr="00DE6A6F">
        <w:t>•</w:t>
      </w:r>
      <w:r w:rsidRPr="00DE6A6F">
        <w:tab/>
      </w:r>
      <w:hyperlink r:id="rId97" w:history="1">
        <w:r w:rsidRPr="00DE6A6F">
          <w:rPr>
            <w:rStyle w:val="Hyperlink"/>
          </w:rPr>
          <w:t>Journée mondiale de la té</w:t>
        </w:r>
        <w:r w:rsidRPr="00DE6A6F">
          <w:rPr>
            <w:rStyle w:val="Hyperlink"/>
          </w:rPr>
          <w:t>l</w:t>
        </w:r>
        <w:r w:rsidRPr="00DE6A6F">
          <w:rPr>
            <w:rStyle w:val="Hyperlink"/>
          </w:rPr>
          <w:t>évision</w:t>
        </w:r>
      </w:hyperlink>
      <w:r w:rsidRPr="00DE6A6F">
        <w:t xml:space="preserve"> (21 novembre)</w:t>
      </w:r>
    </w:p>
    <w:p w14:paraId="251A01FF" w14:textId="77777777" w:rsidR="00E5433A" w:rsidRPr="00DE6A6F" w:rsidRDefault="00E5433A" w:rsidP="00E5433A">
      <w:pPr>
        <w:rPr>
          <w:rFonts w:eastAsia="Calibri"/>
        </w:rPr>
      </w:pPr>
      <w:r w:rsidRPr="00DE6A6F">
        <w:t xml:space="preserve">Le Directeur du Bureau des radiocommunications a régulièrement contribué aux articles, billets de blog et podcasts de la revue «Nouvelles de l'UIT» publiés dans le </w:t>
      </w:r>
      <w:hyperlink r:id="rId98" w:history="1">
        <w:r w:rsidRPr="00DE6A6F">
          <w:rPr>
            <w:rStyle w:val="Hyperlink"/>
          </w:rPr>
          <w:t>coin du Dire</w:t>
        </w:r>
        <w:r w:rsidRPr="00DE6A6F">
          <w:rPr>
            <w:rStyle w:val="Hyperlink"/>
          </w:rPr>
          <w:t>c</w:t>
        </w:r>
        <w:r w:rsidRPr="00DE6A6F">
          <w:rPr>
            <w:rStyle w:val="Hyperlink"/>
          </w:rPr>
          <w:t>teur du BR</w:t>
        </w:r>
      </w:hyperlink>
      <w:r w:rsidRPr="00DE6A6F">
        <w:t>.</w:t>
      </w:r>
    </w:p>
    <w:p w14:paraId="71CB478F" w14:textId="77777777" w:rsidR="00E5433A" w:rsidRPr="00DE6A6F" w:rsidRDefault="00E5433A" w:rsidP="00E5433A">
      <w:pPr>
        <w:pStyle w:val="Heading4"/>
      </w:pPr>
      <w:r w:rsidRPr="00DE6A6F">
        <w:lastRenderedPageBreak/>
        <w:t>8.6.2.2</w:t>
      </w:r>
      <w:r w:rsidRPr="00DE6A6F">
        <w:tab/>
        <w:t>Communications promotionnelles, ventes et marketing</w:t>
      </w:r>
    </w:p>
    <w:p w14:paraId="1E85346F" w14:textId="77777777" w:rsidR="00E5433A" w:rsidRPr="00DE6A6F" w:rsidRDefault="00E5433A" w:rsidP="00E5433A">
      <w:pPr>
        <w:rPr>
          <w:rFonts w:eastAsia="SimSun"/>
        </w:rPr>
      </w:pPr>
      <w:r w:rsidRPr="00DE6A6F">
        <w:t xml:space="preserve">En 2024, les efforts consacrés à la promotion et à la communication se sont concentrés sur l'utilisation de la nouvelle </w:t>
      </w:r>
      <w:hyperlink r:id="rId99" w:history="1">
        <w:r w:rsidRPr="00DE6A6F">
          <w:rPr>
            <w:rStyle w:val="Hyperlink"/>
            <w:color w:val="auto"/>
            <w:u w:val="none"/>
          </w:rPr>
          <w:t xml:space="preserve">plate-forme des </w:t>
        </w:r>
        <w:r w:rsidRPr="00DE6A6F">
          <w:rPr>
            <w:rStyle w:val="Hyperlink"/>
          </w:rPr>
          <w:t>«</w:t>
        </w:r>
        <w:r w:rsidRPr="00DE6A6F">
          <w:rPr>
            <w:rStyle w:val="Hyperlink"/>
          </w:rPr>
          <w:t>N</w:t>
        </w:r>
        <w:r w:rsidRPr="00DE6A6F">
          <w:rPr>
            <w:rStyle w:val="Hyperlink"/>
          </w:rPr>
          <w:t>ouvelles de l'UIT»</w:t>
        </w:r>
      </w:hyperlink>
      <w:r w:rsidRPr="00DE6A6F">
        <w:t>, en collaboration avec la Division des ventes et du marketing de l'UIT, afin de promouvoir en ligne certaines publications et bases de données ainsi que certains logiciels de l'UIT-R arborant des identités visuelles spécialement pensées pour les supports de communication de l'UIT.</w:t>
      </w:r>
    </w:p>
    <w:p w14:paraId="773946FC" w14:textId="77777777" w:rsidR="00E5433A" w:rsidRPr="00DE6A6F" w:rsidRDefault="00E5433A" w:rsidP="00E5433A">
      <w:pPr>
        <w:pStyle w:val="Heading4"/>
      </w:pPr>
      <w:r w:rsidRPr="00DE6A6F">
        <w:t>8.6.2.3</w:t>
      </w:r>
      <w:r w:rsidRPr="00DE6A6F">
        <w:tab/>
        <w:t>Expositions et démonstrations</w:t>
      </w:r>
    </w:p>
    <w:p w14:paraId="6B652861" w14:textId="77777777" w:rsidR="00E5433A" w:rsidRPr="00DE6A6F" w:rsidRDefault="00E5433A" w:rsidP="00E5433A">
      <w:pPr>
        <w:rPr>
          <w:rFonts w:eastAsia="SimSun"/>
        </w:rPr>
      </w:pPr>
      <w:r w:rsidRPr="00DE6A6F">
        <w:t>La deuxième édition de l'</w:t>
      </w:r>
      <w:hyperlink r:id="rId100" w:anchor="/fr" w:history="1">
        <w:r w:rsidRPr="00DE6A6F">
          <w:rPr>
            <w:rStyle w:val="Hyperlink"/>
          </w:rPr>
          <w:t>Exposition sur les radioco</w:t>
        </w:r>
        <w:r w:rsidRPr="00DE6A6F">
          <w:rPr>
            <w:rStyle w:val="Hyperlink"/>
          </w:rPr>
          <w:t>m</w:t>
        </w:r>
        <w:r w:rsidRPr="00DE6A6F">
          <w:rPr>
            <w:rStyle w:val="Hyperlink"/>
          </w:rPr>
          <w:t xml:space="preserve">munications </w:t>
        </w:r>
        <w:r w:rsidRPr="00DE6A6F">
          <w:rPr>
            <w:rStyle w:val="Hyperlink"/>
            <w:rFonts w:asciiTheme="majorBidi" w:hAnsiTheme="majorBidi"/>
          </w:rPr>
          <w:t>de demain</w:t>
        </w:r>
      </w:hyperlink>
      <w:r w:rsidRPr="00DE6A6F">
        <w:t xml:space="preserve"> s'est tenue les 2 et 3 décembre 2024 au CICG (Genève, Suisse) parallèlement au </w:t>
      </w:r>
      <w:hyperlink r:id="rId101" w:anchor="/fr" w:history="1">
        <w:r w:rsidRPr="00DE6A6F">
          <w:rPr>
            <w:rStyle w:val="Hyperlink"/>
            <w:rFonts w:asciiTheme="majorBidi" w:hAnsiTheme="majorBidi"/>
          </w:rPr>
          <w:t>WRS-2</w:t>
        </w:r>
        <w:r w:rsidRPr="00DE6A6F">
          <w:rPr>
            <w:rStyle w:val="Hyperlink"/>
            <w:rFonts w:asciiTheme="majorBidi" w:hAnsiTheme="majorBidi"/>
          </w:rPr>
          <w:t>4</w:t>
        </w:r>
      </w:hyperlink>
      <w:r w:rsidRPr="00DE6A6F">
        <w:t>. Cette manifestation était ouverte aux membres de l'UIT et aux non-membres moyennant un droit d'accès.</w:t>
      </w:r>
    </w:p>
    <w:p w14:paraId="22CB14BD" w14:textId="77777777" w:rsidR="00E5433A" w:rsidRPr="00DE6A6F" w:rsidRDefault="00E5433A" w:rsidP="00E5433A">
      <w:pPr>
        <w:pStyle w:val="Heading2"/>
      </w:pPr>
      <w:r w:rsidRPr="00DE6A6F">
        <w:t>8.7</w:t>
      </w:r>
      <w:r w:rsidRPr="00DE6A6F">
        <w:tab/>
        <w:t>Équité hommes-femmes</w:t>
      </w:r>
    </w:p>
    <w:p w14:paraId="63E7681B" w14:textId="77777777" w:rsidR="00E5433A" w:rsidRPr="00DE6A6F" w:rsidRDefault="00E5433A" w:rsidP="00E5433A">
      <w:r w:rsidRPr="00DE6A6F">
        <w:t>Nous avons assisté à une augmentation importante du nombre de femmes assistant aux manifestations de l'UIT-R. Le Tableau 8.7-1 illustre l'augmentation du taux de participation des femmes aux manifestations de l'UIT-R entre 2019 et 2024. Le Tableau 8.7-2 montre l'augmentation du taux de participation des femmes entre la CMR-19 et la CMR-23.</w:t>
      </w:r>
    </w:p>
    <w:p w14:paraId="3F91BEA8" w14:textId="77777777" w:rsidR="00E5433A" w:rsidRPr="00DE6A6F" w:rsidRDefault="00E5433A" w:rsidP="00E5433A">
      <w:pPr>
        <w:pStyle w:val="TableNo"/>
      </w:pPr>
      <w:r w:rsidRPr="00DE6A6F">
        <w:t>Tableau 8.7-1</w:t>
      </w:r>
    </w:p>
    <w:p w14:paraId="554C0D9E" w14:textId="77777777" w:rsidR="00E5433A" w:rsidRPr="00DE6A6F" w:rsidRDefault="00E5433A" w:rsidP="00E5433A">
      <w:pPr>
        <w:pStyle w:val="Tabletitle"/>
      </w:pPr>
      <w:r w:rsidRPr="00DE6A6F">
        <w:t>Évolution du taux de participation des femmes aux manifestations de l'UIT-R entre 2019 et 2024</w:t>
      </w:r>
    </w:p>
    <w:p w14:paraId="61B35763" w14:textId="77777777" w:rsidR="00E5433A" w:rsidRPr="00DE6A6F" w:rsidRDefault="00E5433A" w:rsidP="00E5433A">
      <w:pPr>
        <w:pStyle w:val="Figure"/>
        <w:keepNext w:val="0"/>
        <w:keepLines w:val="0"/>
      </w:pPr>
      <w:r w:rsidRPr="00DE6A6F">
        <w:rPr>
          <w:noProof/>
        </w:rPr>
        <w:drawing>
          <wp:inline distT="0" distB="0" distL="0" distR="0" wp14:anchorId="0F1AB0D4" wp14:editId="0DFE6FB0">
            <wp:extent cx="5426499" cy="1841485"/>
            <wp:effectExtent l="0" t="0" r="317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5467712" cy="1855471"/>
                    </a:xfrm>
                    <a:prstGeom prst="rect">
                      <a:avLst/>
                    </a:prstGeom>
                  </pic:spPr>
                </pic:pic>
              </a:graphicData>
            </a:graphic>
          </wp:inline>
        </w:drawing>
      </w:r>
    </w:p>
    <w:p w14:paraId="382C6DDF" w14:textId="77777777" w:rsidR="00E5433A" w:rsidRPr="00DE6A6F" w:rsidRDefault="00E5433A" w:rsidP="00E5433A">
      <w:pPr>
        <w:pStyle w:val="TableNo"/>
      </w:pPr>
      <w:r w:rsidRPr="00DE6A6F">
        <w:t>Tableau 8.7-2</w:t>
      </w:r>
    </w:p>
    <w:p w14:paraId="1B7FD5FC" w14:textId="77777777" w:rsidR="00E5433A" w:rsidRPr="00DE6A6F" w:rsidRDefault="00E5433A" w:rsidP="00E5433A">
      <w:pPr>
        <w:pStyle w:val="Tabletitle"/>
        <w:keepLines w:val="0"/>
      </w:pPr>
      <w:r w:rsidRPr="00DE6A6F">
        <w:t>Évolution du taux de participation des femmes entre la CMR-19 et la CMR-24</w:t>
      </w:r>
    </w:p>
    <w:p w14:paraId="1240F373" w14:textId="77777777" w:rsidR="00E5433A" w:rsidRPr="00DE6A6F" w:rsidRDefault="00E5433A" w:rsidP="00E5433A">
      <w:pPr>
        <w:pStyle w:val="Figure"/>
        <w:keepNext w:val="0"/>
        <w:keepLines w:val="0"/>
      </w:pPr>
      <w:r w:rsidRPr="00DE6A6F">
        <w:rPr>
          <w:noProof/>
        </w:rPr>
        <w:drawing>
          <wp:inline distT="0" distB="0" distL="0" distR="0" wp14:anchorId="750F6F07" wp14:editId="3F4D6C86">
            <wp:extent cx="3181350" cy="2057400"/>
            <wp:effectExtent l="0" t="0" r="0" b="0"/>
            <wp:docPr id="99335158" name="Picture 99335158" descr="A graph of a person and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35158" name="Picture 99335158" descr="A graph of a person and person&#10;&#10;AI-generated content may be incorrect."/>
                    <pic:cNvPicPr/>
                  </pic:nvPicPr>
                  <pic:blipFill>
                    <a:blip r:embed="rId103"/>
                    <a:stretch>
                      <a:fillRect/>
                    </a:stretch>
                  </pic:blipFill>
                  <pic:spPr>
                    <a:xfrm>
                      <a:off x="0" y="0"/>
                      <a:ext cx="3181350" cy="2057400"/>
                    </a:xfrm>
                    <a:prstGeom prst="rect">
                      <a:avLst/>
                    </a:prstGeom>
                  </pic:spPr>
                </pic:pic>
              </a:graphicData>
            </a:graphic>
          </wp:inline>
        </w:drawing>
      </w:r>
    </w:p>
    <w:p w14:paraId="60C84084" w14:textId="77777777" w:rsidR="00E5433A" w:rsidRPr="00DE6A6F" w:rsidRDefault="00E5433A" w:rsidP="00E5433A">
      <w:pPr>
        <w:pStyle w:val="Heading3"/>
        <w:rPr>
          <w:rFonts w:eastAsia="Calibri"/>
        </w:rPr>
      </w:pPr>
      <w:r w:rsidRPr="00DE6A6F">
        <w:lastRenderedPageBreak/>
        <w:t>8.7.1</w:t>
      </w:r>
      <w:r w:rsidRPr="00DE6A6F">
        <w:tab/>
        <w:t>Résolution de l'AR-23 sur l'égalité hommes-femmes</w:t>
      </w:r>
    </w:p>
    <w:p w14:paraId="7D5FFB90" w14:textId="77777777" w:rsidR="00E5433A" w:rsidRPr="00DE6A6F" w:rsidRDefault="00E5433A" w:rsidP="00E5433A">
      <w:r w:rsidRPr="00DE6A6F">
        <w:t xml:space="preserve">L'Assemblée des radiocommunications de l'UIT (AR-23) a adopté une nouvelle </w:t>
      </w:r>
      <w:hyperlink r:id="rId104" w:history="1">
        <w:r w:rsidRPr="00DE6A6F">
          <w:rPr>
            <w:rStyle w:val="Hyperlink"/>
            <w:i/>
          </w:rPr>
          <w:t>R</w:t>
        </w:r>
        <w:r w:rsidRPr="00DE6A6F">
          <w:rPr>
            <w:rStyle w:val="Hyperlink"/>
            <w:i/>
          </w:rPr>
          <w:t>é</w:t>
        </w:r>
        <w:r w:rsidRPr="00DE6A6F">
          <w:rPr>
            <w:rStyle w:val="Hyperlink"/>
            <w:i/>
          </w:rPr>
          <w:t>solution sur l'égalité hommes-femmes</w:t>
        </w:r>
      </w:hyperlink>
      <w:r w:rsidRPr="00DE6A6F">
        <w:t xml:space="preserve"> (Résolution UIT-R 72), qui vise à renforcer, accélérer et intensifier la participation active des femmes aux travaux et aux activités du Secteur des radiocommunications de l'UIT (UIT-R).</w:t>
      </w:r>
    </w:p>
    <w:p w14:paraId="6642CDEE" w14:textId="77777777" w:rsidR="00E5433A" w:rsidRPr="00DE6A6F" w:rsidRDefault="00E5433A" w:rsidP="00E5433A">
      <w:r w:rsidRPr="00DE6A6F">
        <w:t>Aux termes de la Résolution UIT-R 72, dans laquelle est soulignée l'importance des postes de direction pour insuffler des changements significatifs, l'ensemble des politiques, programmes de travail, activités de diffusion de l'information, publications, commissions d'études, séminaires, cours, assemblées et conférences sur les radiocommunications de l'UIT doivent traduire l'engagement de l'UIT-R en faveur de l'égalité hommes-femmes.</w:t>
      </w:r>
    </w:p>
    <w:p w14:paraId="2BE2FECD" w14:textId="77777777" w:rsidR="00E5433A" w:rsidRPr="00DE6A6F" w:rsidRDefault="00E5433A" w:rsidP="00E5433A">
      <w:pPr>
        <w:pStyle w:val="Heading3"/>
        <w:rPr>
          <w:rFonts w:eastAsia="Calibri"/>
          <w:b w:val="0"/>
        </w:rPr>
      </w:pPr>
      <w:r w:rsidRPr="00DE6A6F">
        <w:t>8.7.2</w:t>
      </w:r>
      <w:r w:rsidRPr="00DE6A6F">
        <w:tab/>
        <w:t>Réseau de femmes pour la CMR-27</w:t>
      </w:r>
    </w:p>
    <w:p w14:paraId="3E55C20F" w14:textId="77777777" w:rsidR="00E5433A" w:rsidRPr="00DE6A6F" w:rsidRDefault="00E5433A" w:rsidP="00E5433A">
      <w:pPr>
        <w:rPr>
          <w:rFonts w:eastAsia="Aptos"/>
        </w:rPr>
      </w:pPr>
      <w:r w:rsidRPr="00DE6A6F">
        <w:t xml:space="preserve">Le </w:t>
      </w:r>
      <w:hyperlink r:id="rId105" w:anchor="/fr" w:history="1">
        <w:r w:rsidRPr="00DE6A6F">
          <w:rPr>
            <w:rStyle w:val="Hyperlink"/>
          </w:rPr>
          <w:t>Réseau de femmes pour la CMR-27 (NOW4</w:t>
        </w:r>
        <w:r w:rsidRPr="00DE6A6F">
          <w:rPr>
            <w:rStyle w:val="Hyperlink"/>
          </w:rPr>
          <w:t>W</w:t>
        </w:r>
        <w:r w:rsidRPr="00DE6A6F">
          <w:rPr>
            <w:rStyle w:val="Hyperlink"/>
          </w:rPr>
          <w:t>RC27)</w:t>
        </w:r>
      </w:hyperlink>
      <w:r w:rsidRPr="00DE6A6F">
        <w:t xml:space="preserve"> a été officiellement créé durant la CMR</w:t>
      </w:r>
      <w:r w:rsidRPr="00DE6A6F">
        <w:noBreakHyphen/>
        <w:t>23 dans le but de promouvoir l'égalité, l'équité et la parité hommes-femmes et d'encourager et d'aider davantage de femmes et de jeunes filles dans le domaine des radiocommunications, ainsi que de favoriser l'inclusion des femmes et leur nomination à des fonctions de direction dans le cadre des activités de l'UIT-R.</w:t>
      </w:r>
    </w:p>
    <w:p w14:paraId="7B028D24" w14:textId="77777777" w:rsidR="00E5433A" w:rsidRPr="00DE6A6F" w:rsidRDefault="00E5433A" w:rsidP="00E5433A">
      <w:pPr>
        <w:rPr>
          <w:rFonts w:eastAsia="Aptos"/>
        </w:rPr>
      </w:pPr>
      <w:r w:rsidRPr="00DE6A6F">
        <w:t>Fort du succès du programme NOW4WRC23, ce réseau continue d'encourager la participation active des femmes tout au long de la période d'études précédant la CMR-27.</w:t>
      </w:r>
    </w:p>
    <w:p w14:paraId="2BED9A29" w14:textId="77777777" w:rsidR="00E5433A" w:rsidRPr="00DE6A6F" w:rsidRDefault="00E5433A" w:rsidP="00E5433A">
      <w:pPr>
        <w:rPr>
          <w:rFonts w:eastAsia="Aptos"/>
        </w:rPr>
      </w:pPr>
      <w:r w:rsidRPr="00DE6A6F">
        <w:t>Les initiatives de l'UIT-R complètent les activités régionales menées par les coprésidentes au niveau régional du programme NOW4WRC27.</w:t>
      </w:r>
    </w:p>
    <w:p w14:paraId="553FE8F1" w14:textId="77777777" w:rsidR="00E5433A" w:rsidRPr="00DE6A6F" w:rsidRDefault="00E5433A" w:rsidP="00E5433A">
      <w:pPr>
        <w:pStyle w:val="Heading4"/>
        <w:rPr>
          <w:rFonts w:eastAsia="Calibri"/>
        </w:rPr>
      </w:pPr>
      <w:r w:rsidRPr="00DE6A6F">
        <w:t>8.7.2.1</w:t>
      </w:r>
      <w:r w:rsidRPr="00DE6A6F">
        <w:tab/>
        <w:t>Programme de mentorat NOW4WRC27</w:t>
      </w:r>
    </w:p>
    <w:p w14:paraId="0FD83B6C" w14:textId="77777777" w:rsidR="00E5433A" w:rsidRPr="00DE6A6F" w:rsidRDefault="00E5433A" w:rsidP="00E5433A">
      <w:pPr>
        <w:rPr>
          <w:rFonts w:eastAsia="Aptos"/>
        </w:rPr>
      </w:pPr>
      <w:r w:rsidRPr="00DE6A6F">
        <w:t xml:space="preserve">Le </w:t>
      </w:r>
      <w:hyperlink r:id="rId106" w:anchor="/fr" w:history="1">
        <w:r w:rsidRPr="00DE6A6F">
          <w:rPr>
            <w:rStyle w:val="Hyperlink"/>
          </w:rPr>
          <w:t>programme de mentorat N</w:t>
        </w:r>
        <w:r w:rsidRPr="00DE6A6F">
          <w:rPr>
            <w:rStyle w:val="Hyperlink"/>
          </w:rPr>
          <w:t>O</w:t>
        </w:r>
        <w:r w:rsidRPr="00DE6A6F">
          <w:rPr>
            <w:rStyle w:val="Hyperlink"/>
          </w:rPr>
          <w:t>W4WRC27</w:t>
        </w:r>
      </w:hyperlink>
      <w:r w:rsidRPr="00DE6A6F">
        <w:rPr>
          <w:bCs/>
        </w:rPr>
        <w:t xml:space="preserve"> </w:t>
      </w:r>
      <w:r w:rsidRPr="00DE6A6F">
        <w:t>a été créé en février 2025. Il vise à autonomiser les déléguées en leur permettant de mieux comprendre les méthodes de travail de l'UIT-R, le Règlement des radiocommunications et les processus internationaux de la CMR-27.</w:t>
      </w:r>
    </w:p>
    <w:p w14:paraId="756C57DA" w14:textId="77777777" w:rsidR="00E5433A" w:rsidRPr="00DE6A6F" w:rsidRDefault="00E5433A" w:rsidP="00E5433A">
      <w:r w:rsidRPr="00DE6A6F">
        <w:t>Le programme de mentorat est essentiel pour aider les bénéficiaires du programme, en particulier les personnes prenant part pour la première fois à la CMR, à comprendre les processus, les points de l'ordre du jour et les défis des CMR.</w:t>
      </w:r>
    </w:p>
    <w:p w14:paraId="58733A2F" w14:textId="77777777" w:rsidR="00E5433A" w:rsidRPr="00DE6A6F" w:rsidRDefault="00E5433A" w:rsidP="00E5433A">
      <w:r w:rsidRPr="00DE6A6F">
        <w:t xml:space="preserve">Le </w:t>
      </w:r>
      <w:hyperlink r:id="rId107" w:anchor="/fr" w:tooltip="https://www.itu.int/now4wrc27/online-registration/" w:history="1">
        <w:r w:rsidRPr="00DE6A6F">
          <w:rPr>
            <w:rStyle w:val="Hyperlink"/>
          </w:rPr>
          <w:t>formulaire d'inscr</w:t>
        </w:r>
        <w:r w:rsidRPr="00DE6A6F">
          <w:rPr>
            <w:rStyle w:val="Hyperlink"/>
          </w:rPr>
          <w:t>i</w:t>
        </w:r>
        <w:r w:rsidRPr="00DE6A6F">
          <w:rPr>
            <w:rStyle w:val="Hyperlink"/>
          </w:rPr>
          <w:t>ption en ligne</w:t>
        </w:r>
      </w:hyperlink>
      <w:r w:rsidRPr="00DE6A6F">
        <w:t xml:space="preserve"> pour rejoindre le programme de mentorat en tant que mentor ou bénéficiaire est disponible jusqu'au 30 avril 2025. Bien qu'il s'adresse principalement aux femmes, le programme accueille également des hommes en qualité de mentors, favorisant ainsi la collaboration et l'inclusion au sein de la communauté de l'UIT-R.</w:t>
      </w:r>
    </w:p>
    <w:p w14:paraId="578BFDCE" w14:textId="77777777" w:rsidR="00E5433A" w:rsidRPr="00DE6A6F" w:rsidRDefault="00E5433A" w:rsidP="00E5433A">
      <w:pPr>
        <w:jc w:val="center"/>
      </w:pPr>
      <w:r w:rsidRPr="00DE6A6F">
        <w:t>______________</w:t>
      </w:r>
    </w:p>
    <w:sectPr w:rsidR="00E5433A" w:rsidRPr="00DE6A6F">
      <w:headerReference w:type="even" r:id="rId108"/>
      <w:headerReference w:type="default" r:id="rId109"/>
      <w:footerReference w:type="even" r:id="rId110"/>
      <w:headerReference w:type="first" r:id="rId1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A8D21" w14:textId="77777777" w:rsidR="00C6480E" w:rsidRDefault="00C6480E">
      <w:r>
        <w:separator/>
      </w:r>
    </w:p>
  </w:endnote>
  <w:endnote w:type="continuationSeparator" w:id="0">
    <w:p w14:paraId="0FDE2F04" w14:textId="77777777" w:rsidR="00C6480E" w:rsidRDefault="00C6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1288" w14:textId="4D8E402C" w:rsidR="00E5433A" w:rsidRDefault="00E5433A">
    <w:pPr>
      <w:pStyle w:val="Footer"/>
      <w:rPr>
        <w:lang w:val="en-US"/>
      </w:rPr>
    </w:pPr>
    <w:r>
      <w:fldChar w:fldCharType="begin"/>
    </w:r>
    <w:r w:rsidRPr="00A9055C">
      <w:rPr>
        <w:lang w:val="en-US"/>
      </w:rPr>
      <w:instrText xml:space="preserve"> FILENAME \p \* MERGEFORMAT </w:instrText>
    </w:r>
    <w:r>
      <w:fldChar w:fldCharType="separate"/>
    </w:r>
    <w:r w:rsidR="00DE6A6F">
      <w:rPr>
        <w:lang w:val="en-US"/>
      </w:rPr>
      <w:t>P:\FRA\gDoc\BR\RAG\2500420F.docx</w:t>
    </w:r>
    <w:r>
      <w:rPr>
        <w:lang w:val="en-US"/>
      </w:rPr>
      <w:fldChar w:fldCharType="end"/>
    </w:r>
    <w:r>
      <w:rPr>
        <w:lang w:val="en-US"/>
      </w:rPr>
      <w:tab/>
    </w:r>
    <w:r>
      <w:fldChar w:fldCharType="begin"/>
    </w:r>
    <w:r>
      <w:instrText xml:space="preserve"> savedate \@ dd.MM.yy </w:instrText>
    </w:r>
    <w:r>
      <w:fldChar w:fldCharType="separate"/>
    </w:r>
    <w:r w:rsidR="00DE6A6F">
      <w:t>19.03.25</w:t>
    </w:r>
    <w:r>
      <w:fldChar w:fldCharType="end"/>
    </w:r>
    <w:r>
      <w:rPr>
        <w:lang w:val="en-US"/>
      </w:rPr>
      <w:tab/>
    </w:r>
    <w:r>
      <w:fldChar w:fldCharType="begin"/>
    </w:r>
    <w:r>
      <w:instrText xml:space="preserve"> printdate \@ dd.MM.yy </w:instrText>
    </w:r>
    <w:r>
      <w:fldChar w:fldCharType="separate"/>
    </w:r>
    <w:r w:rsidR="00DE6A6F">
      <w:t>11.10.99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E16B1" w14:textId="4EDD7487"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DE6A6F">
      <w:rPr>
        <w:lang w:val="en-US"/>
      </w:rPr>
      <w:t>P:\FRA\gDoc\BR\RAG\2500420F.docx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DE6A6F">
      <w:t>19.03.25</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DE6A6F">
      <w:t>11.10.99</w:t>
    </w:r>
    <w:r w:rsidR="00847A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3495D" w14:textId="77777777" w:rsidR="00C6480E" w:rsidRDefault="00C6480E">
      <w:r>
        <w:t>____________________</w:t>
      </w:r>
    </w:p>
  </w:footnote>
  <w:footnote w:type="continuationSeparator" w:id="0">
    <w:p w14:paraId="532AF226" w14:textId="77777777" w:rsidR="00C6480E" w:rsidRDefault="00C6480E">
      <w:r>
        <w:continuationSeparator/>
      </w:r>
    </w:p>
  </w:footnote>
  <w:footnote w:id="1">
    <w:p w14:paraId="7FBB9F61" w14:textId="694EF57B" w:rsidR="00972E78" w:rsidRDefault="00972E78" w:rsidP="00BB3BB3">
      <w:pPr>
        <w:pStyle w:val="FootnoteText"/>
        <w:spacing w:before="40"/>
      </w:pPr>
      <w:r>
        <w:rPr>
          <w:rStyle w:val="FootnoteReference"/>
        </w:rPr>
        <w:t>*</w:t>
      </w:r>
      <w:r>
        <w:tab/>
        <w:t>Cette date a été choisie en fonction de la réservation du Centre international de conférences de</w:t>
      </w:r>
      <w:r w:rsidR="008F7F84">
        <w:t> </w:t>
      </w:r>
      <w:r>
        <w:t xml:space="preserve">Genève (CICG) pour la RPC27-2, qui se tiendra durant le deuxième trimestre de l'année 2027 (voir le Document </w:t>
      </w:r>
      <w:hyperlink r:id="rId1" w:tgtFrame="_blank" w:history="1">
        <w:r>
          <w:rPr>
            <w:rStyle w:val="Hyperlink"/>
          </w:rPr>
          <w:t>CL24/37(Rév.1)</w:t>
        </w:r>
      </w:hyperlink>
      <w:r>
        <w:t>), ainsi que sur les délais et les exigences en matière de traduction fixés dans la Résolution </w:t>
      </w:r>
      <w:hyperlink r:id="rId2" w:history="1">
        <w:r>
          <w:rPr>
            <w:rStyle w:val="Hyperlink"/>
          </w:rPr>
          <w:t>UIT‑R 2-9</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FC99B" w14:textId="77777777" w:rsidR="00E5433A" w:rsidRDefault="00E5433A">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59A6F" w14:textId="77777777" w:rsidR="00E5433A" w:rsidRDefault="00E5433A" w:rsidP="00925627">
    <w:pPr>
      <w:pStyle w:val="Header"/>
      <w:rPr>
        <w:lang w:val="es-ES"/>
      </w:rPr>
    </w:pPr>
    <w:r>
      <w:fldChar w:fldCharType="begin"/>
    </w:r>
    <w:r>
      <w:instrText xml:space="preserve"> PAGE </w:instrText>
    </w:r>
    <w:r>
      <w:fldChar w:fldCharType="separate"/>
    </w:r>
    <w:r>
      <w:rPr>
        <w:noProof/>
      </w:rPr>
      <w:t>2</w:t>
    </w:r>
    <w:r>
      <w:rPr>
        <w:noProof/>
      </w:rPr>
      <w:fldChar w:fldCharType="end"/>
    </w:r>
  </w:p>
  <w:p w14:paraId="0962657A" w14:textId="77777777" w:rsidR="00E5433A" w:rsidRDefault="00E5433A" w:rsidP="007711EA">
    <w:pPr>
      <w:pStyle w:val="Header"/>
      <w:rPr>
        <w:lang w:val="es-ES"/>
      </w:rPr>
    </w:pPr>
    <w:r>
      <w:rPr>
        <w:lang w:val="es-ES"/>
      </w:rPr>
      <w:t>RAG/30-F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4491B" w14:textId="77777777" w:rsidR="00E5433A" w:rsidRDefault="00E5433A" w:rsidP="00925627">
    <w:pPr>
      <w:pStyle w:val="Header"/>
      <w:rPr>
        <w:lang w:val="es-ES"/>
      </w:rPr>
    </w:pPr>
    <w:r>
      <w:fldChar w:fldCharType="begin"/>
    </w:r>
    <w:r>
      <w:instrText xml:space="preserve"> PAGE </w:instrText>
    </w:r>
    <w:r>
      <w:fldChar w:fldCharType="separate"/>
    </w:r>
    <w:r>
      <w:rPr>
        <w:noProof/>
      </w:rPr>
      <w:t>2</w:t>
    </w:r>
    <w:r>
      <w:rPr>
        <w:noProof/>
      </w:rPr>
      <w:fldChar w:fldCharType="end"/>
    </w:r>
  </w:p>
  <w:p w14:paraId="16855140" w14:textId="77777777" w:rsidR="00E5433A" w:rsidRDefault="00E5433A" w:rsidP="007711EA">
    <w:pPr>
      <w:pStyle w:val="Header"/>
      <w:rPr>
        <w:lang w:val="es-ES"/>
      </w:rPr>
    </w:pPr>
    <w:r>
      <w:rPr>
        <w:lang w:val="es-ES"/>
      </w:rPr>
      <w:t>RAG/30-F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BF822" w14:textId="77777777" w:rsidR="00E5433A" w:rsidRDefault="00E5433A" w:rsidP="00E5433A">
    <w:pPr>
      <w:pStyle w:val="Header"/>
      <w:rPr>
        <w:lang w:val="es-ES"/>
      </w:rPr>
    </w:pPr>
    <w:r>
      <w:fldChar w:fldCharType="begin"/>
    </w:r>
    <w:r>
      <w:instrText xml:space="preserve"> PAGE </w:instrText>
    </w:r>
    <w:r>
      <w:fldChar w:fldCharType="separate"/>
    </w:r>
    <w:r>
      <w:t>25</w:t>
    </w:r>
    <w:r>
      <w:rPr>
        <w:noProof/>
      </w:rPr>
      <w:fldChar w:fldCharType="end"/>
    </w:r>
  </w:p>
  <w:p w14:paraId="52DDCC1B" w14:textId="749AFF66" w:rsidR="00E5433A" w:rsidRDefault="00E5433A" w:rsidP="00E5433A">
    <w:pPr>
      <w:pStyle w:val="Header"/>
    </w:pPr>
    <w:r>
      <w:rPr>
        <w:lang w:val="es-ES"/>
      </w:rPr>
      <w:t>RAG/30-F</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2FF21"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10B54" w14:textId="77777777" w:rsidR="00847AAC" w:rsidRDefault="00A9055C" w:rsidP="00925627">
    <w:pPr>
      <w:pStyle w:val="Header"/>
      <w:rPr>
        <w:lang w:val="es-ES"/>
      </w:rPr>
    </w:pPr>
    <w:r>
      <w:fldChar w:fldCharType="begin"/>
    </w:r>
    <w:r>
      <w:instrText xml:space="preserve"> PAGE </w:instrText>
    </w:r>
    <w:r>
      <w:fldChar w:fldCharType="separate"/>
    </w:r>
    <w:r w:rsidR="007711EA">
      <w:rPr>
        <w:noProof/>
      </w:rPr>
      <w:t>2</w:t>
    </w:r>
    <w:r>
      <w:rPr>
        <w:noProof/>
      </w:rPr>
      <w:fldChar w:fldCharType="end"/>
    </w:r>
  </w:p>
  <w:p w14:paraId="421C41E0" w14:textId="2CCD9456" w:rsidR="00847AAC" w:rsidRDefault="0097156E" w:rsidP="007711EA">
    <w:pPr>
      <w:pStyle w:val="Header"/>
      <w:rPr>
        <w:lang w:val="es-ES"/>
      </w:rPr>
    </w:pPr>
    <w:r>
      <w:rPr>
        <w:lang w:val="es-ES"/>
      </w:rPr>
      <w:t>RAG</w:t>
    </w:r>
    <w:r w:rsidR="00847AAC">
      <w:rPr>
        <w:lang w:val="es-ES"/>
      </w:rPr>
      <w:t>/</w:t>
    </w:r>
    <w:r w:rsidR="004D3B33">
      <w:rPr>
        <w:lang w:val="es-ES"/>
      </w:rPr>
      <w:t>30</w:t>
    </w:r>
    <w:r w:rsidR="00AF2EDC">
      <w:rPr>
        <w:lang w:val="es-ES"/>
      </w:rPr>
      <w:t>-</w:t>
    </w:r>
    <w:r w:rsidR="00847AAC">
      <w:rPr>
        <w:lang w:val="es-ES"/>
      </w:rPr>
      <w:t>F</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93AAF" w14:textId="77777777" w:rsidR="00E5433A" w:rsidRDefault="00E5433A" w:rsidP="00E5433A">
    <w:pPr>
      <w:pStyle w:val="Header"/>
      <w:rPr>
        <w:lang w:val="es-ES"/>
      </w:rPr>
    </w:pPr>
    <w:r>
      <w:fldChar w:fldCharType="begin"/>
    </w:r>
    <w:r>
      <w:instrText xml:space="preserve"> PAGE </w:instrText>
    </w:r>
    <w:r>
      <w:fldChar w:fldCharType="separate"/>
    </w:r>
    <w:r>
      <w:t>25</w:t>
    </w:r>
    <w:r>
      <w:rPr>
        <w:noProof/>
      </w:rPr>
      <w:fldChar w:fldCharType="end"/>
    </w:r>
  </w:p>
  <w:p w14:paraId="187D0592" w14:textId="77777777" w:rsidR="00E5433A" w:rsidRDefault="00E5433A" w:rsidP="00E5433A">
    <w:pPr>
      <w:pStyle w:val="Header"/>
    </w:pPr>
    <w:r>
      <w:rPr>
        <w:lang w:val="es-ES"/>
      </w:rPr>
      <w:t>RAG/30-F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2DABA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0FC2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18E38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87C46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B74B5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BA97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52A9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CA5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1E63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E6EA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702F1"/>
    <w:multiLevelType w:val="hybridMultilevel"/>
    <w:tmpl w:val="F1726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300DF6"/>
    <w:multiLevelType w:val="hybridMultilevel"/>
    <w:tmpl w:val="39A87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895AFB"/>
    <w:multiLevelType w:val="hybridMultilevel"/>
    <w:tmpl w:val="7A1AA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4274AB"/>
    <w:multiLevelType w:val="hybridMultilevel"/>
    <w:tmpl w:val="40FE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C07400"/>
    <w:multiLevelType w:val="hybridMultilevel"/>
    <w:tmpl w:val="2A9C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C1751"/>
    <w:multiLevelType w:val="hybridMultilevel"/>
    <w:tmpl w:val="9D069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BA22B7"/>
    <w:multiLevelType w:val="hybridMultilevel"/>
    <w:tmpl w:val="B0542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394FDE"/>
    <w:multiLevelType w:val="hybridMultilevel"/>
    <w:tmpl w:val="6B10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47903"/>
    <w:multiLevelType w:val="hybridMultilevel"/>
    <w:tmpl w:val="88DA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DC027D"/>
    <w:multiLevelType w:val="hybridMultilevel"/>
    <w:tmpl w:val="D7CC5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A17FED"/>
    <w:multiLevelType w:val="hybridMultilevel"/>
    <w:tmpl w:val="F33277F8"/>
    <w:lvl w:ilvl="0" w:tplc="08090003">
      <w:start w:val="1"/>
      <w:numFmt w:val="bullet"/>
      <w:lvlText w:val="o"/>
      <w:lvlJc w:val="left"/>
      <w:pPr>
        <w:ind w:left="1514" w:hanging="360"/>
      </w:pPr>
      <w:rPr>
        <w:rFonts w:ascii="Courier New" w:hAnsi="Courier New" w:cs="Courier New"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1" w15:restartNumberingAfterBreak="0">
    <w:nsid w:val="7412196A"/>
    <w:multiLevelType w:val="hybridMultilevel"/>
    <w:tmpl w:val="8F508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B25AA4"/>
    <w:multiLevelType w:val="hybridMultilevel"/>
    <w:tmpl w:val="AFD86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9925769">
    <w:abstractNumId w:val="9"/>
  </w:num>
  <w:num w:numId="2" w16cid:durableId="1393428941">
    <w:abstractNumId w:val="7"/>
  </w:num>
  <w:num w:numId="3" w16cid:durableId="549027718">
    <w:abstractNumId w:val="6"/>
  </w:num>
  <w:num w:numId="4" w16cid:durableId="1220020610">
    <w:abstractNumId w:val="5"/>
  </w:num>
  <w:num w:numId="5" w16cid:durableId="705495365">
    <w:abstractNumId w:val="4"/>
  </w:num>
  <w:num w:numId="6" w16cid:durableId="204145163">
    <w:abstractNumId w:val="8"/>
  </w:num>
  <w:num w:numId="7" w16cid:durableId="96489693">
    <w:abstractNumId w:val="3"/>
  </w:num>
  <w:num w:numId="8" w16cid:durableId="67582890">
    <w:abstractNumId w:val="2"/>
  </w:num>
  <w:num w:numId="9" w16cid:durableId="925529736">
    <w:abstractNumId w:val="1"/>
  </w:num>
  <w:num w:numId="10" w16cid:durableId="863444499">
    <w:abstractNumId w:val="0"/>
  </w:num>
  <w:num w:numId="11" w16cid:durableId="895974374">
    <w:abstractNumId w:val="8"/>
  </w:num>
  <w:num w:numId="12" w16cid:durableId="295795903">
    <w:abstractNumId w:val="3"/>
  </w:num>
  <w:num w:numId="13" w16cid:durableId="1376269426">
    <w:abstractNumId w:val="2"/>
  </w:num>
  <w:num w:numId="14" w16cid:durableId="1632830212">
    <w:abstractNumId w:val="1"/>
  </w:num>
  <w:num w:numId="15" w16cid:durableId="1985160227">
    <w:abstractNumId w:val="0"/>
  </w:num>
  <w:num w:numId="16" w16cid:durableId="1474517626">
    <w:abstractNumId w:val="8"/>
  </w:num>
  <w:num w:numId="17" w16cid:durableId="1040712136">
    <w:abstractNumId w:val="3"/>
  </w:num>
  <w:num w:numId="18" w16cid:durableId="726105621">
    <w:abstractNumId w:val="2"/>
  </w:num>
  <w:num w:numId="19" w16cid:durableId="938485669">
    <w:abstractNumId w:val="1"/>
  </w:num>
  <w:num w:numId="20" w16cid:durableId="2140686739">
    <w:abstractNumId w:val="0"/>
  </w:num>
  <w:num w:numId="21" w16cid:durableId="1812013712">
    <w:abstractNumId w:val="8"/>
  </w:num>
  <w:num w:numId="22" w16cid:durableId="1413313472">
    <w:abstractNumId w:val="3"/>
  </w:num>
  <w:num w:numId="23" w16cid:durableId="685595387">
    <w:abstractNumId w:val="2"/>
  </w:num>
  <w:num w:numId="24" w16cid:durableId="1113599904">
    <w:abstractNumId w:val="1"/>
  </w:num>
  <w:num w:numId="25" w16cid:durableId="581717595">
    <w:abstractNumId w:val="0"/>
  </w:num>
  <w:num w:numId="26" w16cid:durableId="1905795608">
    <w:abstractNumId w:val="14"/>
  </w:num>
  <w:num w:numId="27" w16cid:durableId="1275553820">
    <w:abstractNumId w:val="19"/>
  </w:num>
  <w:num w:numId="28" w16cid:durableId="1344936951">
    <w:abstractNumId w:val="15"/>
  </w:num>
  <w:num w:numId="29" w16cid:durableId="418523203">
    <w:abstractNumId w:val="16"/>
  </w:num>
  <w:num w:numId="30" w16cid:durableId="1460609494">
    <w:abstractNumId w:val="11"/>
  </w:num>
  <w:num w:numId="31" w16cid:durableId="1136221219">
    <w:abstractNumId w:val="10"/>
  </w:num>
  <w:num w:numId="32" w16cid:durableId="1979188981">
    <w:abstractNumId w:val="21"/>
  </w:num>
  <w:num w:numId="33" w16cid:durableId="985473649">
    <w:abstractNumId w:val="18"/>
  </w:num>
  <w:num w:numId="34" w16cid:durableId="70540685">
    <w:abstractNumId w:val="12"/>
  </w:num>
  <w:num w:numId="35" w16cid:durableId="1115514146">
    <w:abstractNumId w:val="17"/>
  </w:num>
  <w:num w:numId="36" w16cid:durableId="653607583">
    <w:abstractNumId w:val="13"/>
  </w:num>
  <w:num w:numId="37" w16cid:durableId="527645020">
    <w:abstractNumId w:val="20"/>
  </w:num>
  <w:num w:numId="38" w16cid:durableId="12785604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0E"/>
    <w:rsid w:val="000312F3"/>
    <w:rsid w:val="000558EE"/>
    <w:rsid w:val="00090EC7"/>
    <w:rsid w:val="000C06D8"/>
    <w:rsid w:val="000F31C5"/>
    <w:rsid w:val="00102117"/>
    <w:rsid w:val="00140AE6"/>
    <w:rsid w:val="001A5907"/>
    <w:rsid w:val="001E4FFA"/>
    <w:rsid w:val="00222A1C"/>
    <w:rsid w:val="00294E95"/>
    <w:rsid w:val="002D238A"/>
    <w:rsid w:val="002E13B0"/>
    <w:rsid w:val="003A6CEE"/>
    <w:rsid w:val="00405FBE"/>
    <w:rsid w:val="00443261"/>
    <w:rsid w:val="00450E88"/>
    <w:rsid w:val="00473CCC"/>
    <w:rsid w:val="004C0BEA"/>
    <w:rsid w:val="004D3B33"/>
    <w:rsid w:val="004E1CCF"/>
    <w:rsid w:val="004E76DF"/>
    <w:rsid w:val="004F3C44"/>
    <w:rsid w:val="005031C8"/>
    <w:rsid w:val="005207F5"/>
    <w:rsid w:val="005430E4"/>
    <w:rsid w:val="00560F2F"/>
    <w:rsid w:val="005C46BC"/>
    <w:rsid w:val="005E46A9"/>
    <w:rsid w:val="00642EA0"/>
    <w:rsid w:val="0067019B"/>
    <w:rsid w:val="00677EE5"/>
    <w:rsid w:val="00685B4D"/>
    <w:rsid w:val="00694DEF"/>
    <w:rsid w:val="00697DF4"/>
    <w:rsid w:val="00714C3D"/>
    <w:rsid w:val="0072626E"/>
    <w:rsid w:val="00726B2D"/>
    <w:rsid w:val="00741CF6"/>
    <w:rsid w:val="007711EA"/>
    <w:rsid w:val="00773E5E"/>
    <w:rsid w:val="007C0F3D"/>
    <w:rsid w:val="008069E9"/>
    <w:rsid w:val="00847AAC"/>
    <w:rsid w:val="00854BFF"/>
    <w:rsid w:val="008A4067"/>
    <w:rsid w:val="008B5B76"/>
    <w:rsid w:val="008F7F84"/>
    <w:rsid w:val="00902253"/>
    <w:rsid w:val="00915C8F"/>
    <w:rsid w:val="00925627"/>
    <w:rsid w:val="0093002B"/>
    <w:rsid w:val="0093101F"/>
    <w:rsid w:val="0097156E"/>
    <w:rsid w:val="00972E78"/>
    <w:rsid w:val="0099228C"/>
    <w:rsid w:val="009F13BB"/>
    <w:rsid w:val="00A061CC"/>
    <w:rsid w:val="00A06246"/>
    <w:rsid w:val="00A160A5"/>
    <w:rsid w:val="00A70CD2"/>
    <w:rsid w:val="00A77F03"/>
    <w:rsid w:val="00A9055C"/>
    <w:rsid w:val="00AB7F92"/>
    <w:rsid w:val="00AC1036"/>
    <w:rsid w:val="00AC39EE"/>
    <w:rsid w:val="00AE293F"/>
    <w:rsid w:val="00AF2EDC"/>
    <w:rsid w:val="00B41D84"/>
    <w:rsid w:val="00BA0C7B"/>
    <w:rsid w:val="00BB3BB3"/>
    <w:rsid w:val="00BC4591"/>
    <w:rsid w:val="00BF276C"/>
    <w:rsid w:val="00C6480E"/>
    <w:rsid w:val="00C72A86"/>
    <w:rsid w:val="00CA580E"/>
    <w:rsid w:val="00CC5B9E"/>
    <w:rsid w:val="00CC7208"/>
    <w:rsid w:val="00CE6184"/>
    <w:rsid w:val="00D14934"/>
    <w:rsid w:val="00D228F7"/>
    <w:rsid w:val="00D26DE9"/>
    <w:rsid w:val="00D34E1C"/>
    <w:rsid w:val="00D376D9"/>
    <w:rsid w:val="00D70B0F"/>
    <w:rsid w:val="00D95965"/>
    <w:rsid w:val="00DC5F84"/>
    <w:rsid w:val="00DD55EB"/>
    <w:rsid w:val="00DE6A6F"/>
    <w:rsid w:val="00E16617"/>
    <w:rsid w:val="00E2659D"/>
    <w:rsid w:val="00E5433A"/>
    <w:rsid w:val="00E91A04"/>
    <w:rsid w:val="00EC0F12"/>
    <w:rsid w:val="00ED59FA"/>
    <w:rsid w:val="00F109B8"/>
    <w:rsid w:val="00F11C09"/>
    <w:rsid w:val="00F775D5"/>
    <w:rsid w:val="00FD60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924CD"/>
  <w15:docId w15:val="{DDC6070A-93C9-4D71-BF14-6FA522E9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qFormat/>
    <w:pPr>
      <w:spacing w:before="80"/>
      <w:ind w:left="794" w:hanging="794"/>
    </w:pPr>
  </w:style>
  <w:style w:type="paragraph" w:customStyle="1" w:styleId="enumlev2">
    <w:name w:val="enumlev2"/>
    <w:basedOn w:val="enumlev1"/>
    <w:uiPriority w:val="99"/>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aliases w:val="超级链接,超?级链,CEO_Hyperlink,Style 58,超????,하이퍼링크2,超链接1,하이퍼링크21,超??级链Ú,fL????,fL?级,超??级链,超?级链Ú,’´?级链,’´????,’´??级链Ú,’´??级,超?级链?,Style?,S,超?级链ïÈ,õ±?级链,õ±链ïÈ1,õ±???"/>
    <w:basedOn w:val="DefaultParagraphFont"/>
    <w:uiPriority w:val="99"/>
    <w:unhideWhenUsed/>
    <w:qFormat/>
    <w:rsid w:val="004D3B33"/>
    <w:rPr>
      <w:color w:val="0000FF" w:themeColor="hyperlink"/>
      <w:u w:val="single"/>
    </w:rPr>
  </w:style>
  <w:style w:type="character" w:styleId="UnresolvedMention">
    <w:name w:val="Unresolved Mention"/>
    <w:basedOn w:val="DefaultParagraphFont"/>
    <w:uiPriority w:val="99"/>
    <w:semiHidden/>
    <w:unhideWhenUsed/>
    <w:rsid w:val="004D3B33"/>
    <w:rPr>
      <w:color w:val="605E5C"/>
      <w:shd w:val="clear" w:color="auto" w:fill="E1DFDD"/>
    </w:rPr>
  </w:style>
  <w:style w:type="character" w:styleId="FollowedHyperlink">
    <w:name w:val="FollowedHyperlink"/>
    <w:basedOn w:val="DefaultParagraphFont"/>
    <w:semiHidden/>
    <w:unhideWhenUsed/>
    <w:rsid w:val="00685B4D"/>
    <w:rPr>
      <w:color w:val="800080" w:themeColor="followedHyperlink"/>
      <w:u w:val="single"/>
    </w:rPr>
  </w:style>
  <w:style w:type="table" w:styleId="GridTable5Dark-Accent1">
    <w:name w:val="Grid Table 5 Dark Accent 1"/>
    <w:basedOn w:val="TableNormal"/>
    <w:uiPriority w:val="50"/>
    <w:rsid w:val="00FD604E"/>
    <w:rPr>
      <w:lang w:val="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3Char">
    <w:name w:val="Heading 3 Char"/>
    <w:basedOn w:val="DefaultParagraphFont"/>
    <w:link w:val="Heading3"/>
    <w:rsid w:val="00E5433A"/>
    <w:rPr>
      <w:rFonts w:ascii="Times New Roman" w:hAnsi="Times New Roman"/>
      <w:b/>
      <w:sz w:val="24"/>
      <w:lang w:val="fr-FR" w:eastAsia="en-US"/>
    </w:rPr>
  </w:style>
  <w:style w:type="character" w:customStyle="1" w:styleId="Heading4Char">
    <w:name w:val="Heading 4 Char"/>
    <w:basedOn w:val="DefaultParagraphFont"/>
    <w:link w:val="Heading4"/>
    <w:rsid w:val="00E5433A"/>
    <w:rPr>
      <w:rFonts w:ascii="Times New Roman" w:hAnsi="Times New Roman"/>
      <w:b/>
      <w:sz w:val="24"/>
      <w:lang w:val="fr-FR" w:eastAsia="en-US"/>
    </w:rPr>
  </w:style>
  <w:style w:type="paragraph" w:customStyle="1" w:styleId="TableNo">
    <w:name w:val="Table_No"/>
    <w:basedOn w:val="Normal"/>
    <w:next w:val="Normal"/>
    <w:uiPriority w:val="99"/>
    <w:rsid w:val="00E5433A"/>
    <w:pPr>
      <w:keepNext/>
      <w:tabs>
        <w:tab w:val="clear" w:pos="794"/>
        <w:tab w:val="clear" w:pos="1191"/>
        <w:tab w:val="clear" w:pos="1588"/>
        <w:tab w:val="clear" w:pos="1985"/>
        <w:tab w:val="left" w:pos="1134"/>
        <w:tab w:val="left" w:pos="1871"/>
        <w:tab w:val="left" w:pos="2268"/>
      </w:tabs>
      <w:spacing w:before="560" w:after="120"/>
      <w:jc w:val="center"/>
    </w:pPr>
    <w:rPr>
      <w:caps/>
    </w:rPr>
  </w:style>
  <w:style w:type="paragraph" w:customStyle="1" w:styleId="Tabletitle">
    <w:name w:val="Table_title"/>
    <w:basedOn w:val="Normal"/>
    <w:next w:val="Tabletext"/>
    <w:rsid w:val="00E5433A"/>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table" w:styleId="TableGrid">
    <w:name w:val="Table Grid"/>
    <w:basedOn w:val="TableNormal"/>
    <w:uiPriority w:val="59"/>
    <w:rsid w:val="00E5433A"/>
    <w:rPr>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textChar">
    <w:name w:val="Table_text Char"/>
    <w:basedOn w:val="DefaultParagraphFont"/>
    <w:link w:val="Tabletext"/>
    <w:locked/>
    <w:rsid w:val="00E5433A"/>
    <w:rPr>
      <w:rFonts w:ascii="Times New Roman" w:hAnsi="Times New Roman"/>
      <w:sz w:val="22"/>
      <w:lang w:val="fr-FR" w:eastAsia="en-US"/>
    </w:rPr>
  </w:style>
  <w:style w:type="character" w:customStyle="1" w:styleId="enumlev1Char">
    <w:name w:val="enumlev1 Char"/>
    <w:basedOn w:val="DefaultParagraphFont"/>
    <w:link w:val="enumlev1"/>
    <w:uiPriority w:val="99"/>
    <w:locked/>
    <w:rsid w:val="00E5433A"/>
    <w:rPr>
      <w:rFonts w:ascii="Times New Roman" w:hAnsi="Times New Roman"/>
      <w:sz w:val="24"/>
      <w:lang w:val="fr-FR" w:eastAsia="en-US"/>
    </w:rPr>
  </w:style>
  <w:style w:type="character" w:styleId="CommentReference">
    <w:name w:val="annotation reference"/>
    <w:basedOn w:val="DefaultParagraphFont"/>
    <w:semiHidden/>
    <w:unhideWhenUsed/>
    <w:rsid w:val="00E5433A"/>
    <w:rPr>
      <w:sz w:val="16"/>
      <w:szCs w:val="16"/>
    </w:rPr>
  </w:style>
  <w:style w:type="paragraph" w:styleId="CommentText">
    <w:name w:val="annotation text"/>
    <w:basedOn w:val="Normal"/>
    <w:link w:val="CommentTextChar"/>
    <w:unhideWhenUsed/>
    <w:rsid w:val="00E5433A"/>
    <w:rPr>
      <w:sz w:val="20"/>
    </w:rPr>
  </w:style>
  <w:style w:type="character" w:customStyle="1" w:styleId="CommentTextChar">
    <w:name w:val="Comment Text Char"/>
    <w:basedOn w:val="DefaultParagraphFont"/>
    <w:link w:val="CommentText"/>
    <w:rsid w:val="00E5433A"/>
    <w:rPr>
      <w:rFonts w:ascii="Times New Roman" w:hAnsi="Times New Roman"/>
      <w:lang w:val="fr-FR" w:eastAsia="en-US"/>
    </w:rPr>
  </w:style>
  <w:style w:type="character" w:customStyle="1" w:styleId="TableheadChar">
    <w:name w:val="Table_head Char"/>
    <w:basedOn w:val="DefaultParagraphFont"/>
    <w:link w:val="Tablehead"/>
    <w:uiPriority w:val="99"/>
    <w:rsid w:val="00E5433A"/>
    <w:rPr>
      <w:rFonts w:ascii="Times New Roman" w:hAnsi="Times New Roman"/>
      <w:b/>
      <w:sz w:val="22"/>
      <w:lang w:val="fr-FR" w:eastAsia="en-US"/>
    </w:rPr>
  </w:style>
  <w:style w:type="paragraph" w:customStyle="1" w:styleId="Tablefin">
    <w:name w:val="Table_fin"/>
    <w:basedOn w:val="Tabletext"/>
    <w:rsid w:val="00E5433A"/>
    <w:rPr>
      <w:sz w:val="20"/>
    </w:rPr>
  </w:style>
  <w:style w:type="paragraph" w:styleId="ListParagraph">
    <w:name w:val="List Paragraph"/>
    <w:aliases w:val="Recommendation,List Paragraph11,O5,Para_sk,Resume Title,- Bullets"/>
    <w:basedOn w:val="Normal"/>
    <w:link w:val="ListParagraphChar"/>
    <w:uiPriority w:val="34"/>
    <w:qFormat/>
    <w:rsid w:val="00E5433A"/>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E5433A"/>
    <w:rPr>
      <w:rFonts w:ascii="Times New Roman" w:eastAsiaTheme="minorEastAsia" w:hAnsi="Times New Roman"/>
      <w:sz w:val="24"/>
      <w:szCs w:val="24"/>
      <w:lang w:val="fr-FR" w:eastAsia="ja-JP"/>
    </w:rPr>
  </w:style>
  <w:style w:type="paragraph" w:customStyle="1" w:styleId="Reasons">
    <w:name w:val="Reasons"/>
    <w:basedOn w:val="Normal"/>
    <w:qFormat/>
    <w:rsid w:val="00E5433A"/>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Gyp">
    <w:name w:val="Gyp"/>
    <w:basedOn w:val="enumlev1"/>
    <w:rsid w:val="00E54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4-CL-C-0063/fr" TargetMode="External"/><Relationship Id="rId21" Type="http://schemas.openxmlformats.org/officeDocument/2006/relationships/hyperlink" Target="https://www.itu.int/md/S24-CL-C-0139/fr" TargetMode="External"/><Relationship Id="rId42" Type="http://schemas.openxmlformats.org/officeDocument/2006/relationships/hyperlink" Target="https://www.itu.int/ITU-R/terrasys" TargetMode="External"/><Relationship Id="rId47" Type="http://schemas.openxmlformats.org/officeDocument/2006/relationships/hyperlink" Target="https://www.itu.int/md/R23-WP4A-C-0343/en" TargetMode="External"/><Relationship Id="rId63" Type="http://schemas.openxmlformats.org/officeDocument/2006/relationships/hyperlink" Target="https://prida.africa/fr/" TargetMode="External"/><Relationship Id="rId68" Type="http://schemas.openxmlformats.org/officeDocument/2006/relationships/hyperlink" Target="https://www.apt.int/" TargetMode="External"/><Relationship Id="rId84" Type="http://schemas.openxmlformats.org/officeDocument/2006/relationships/hyperlink" Target="https://www.itu.int/en/ITU-R/seminars/Future-of-tv-europe" TargetMode="External"/><Relationship Id="rId89" Type="http://schemas.openxmlformats.org/officeDocument/2006/relationships/hyperlink" Target="https://www.itu.int/Global-ITU-WMO/use-and-management-of-radio-spectrum-for-meteorology/" TargetMode="External"/><Relationship Id="rId112" Type="http://schemas.openxmlformats.org/officeDocument/2006/relationships/fontTable" Target="fontTable.xml"/><Relationship Id="rId16" Type="http://schemas.openxmlformats.org/officeDocument/2006/relationships/image" Target="media/image3.emf"/><Relationship Id="rId107" Type="http://schemas.openxmlformats.org/officeDocument/2006/relationships/hyperlink" Target="https://www.itu.int/now4wrc27/online-registration/" TargetMode="External"/><Relationship Id="rId11" Type="http://schemas.openxmlformats.org/officeDocument/2006/relationships/hyperlink" Target="https://www.itu.int/md/S24-CL-C-0016/en" TargetMode="External"/><Relationship Id="rId32" Type="http://schemas.openxmlformats.org/officeDocument/2006/relationships/hyperlink" Target="https://www.itu.int/md/S24-SG-CIR-0049/fr" TargetMode="External"/><Relationship Id="rId37" Type="http://schemas.openxmlformats.org/officeDocument/2006/relationships/hyperlink" Target="https://www.itu.int/net4/proposals/CPI/WRC27" TargetMode="External"/><Relationship Id="rId53" Type="http://schemas.openxmlformats.org/officeDocument/2006/relationships/header" Target="header2.xml"/><Relationship Id="rId58" Type="http://schemas.openxmlformats.org/officeDocument/2006/relationships/hyperlink" Target="https://www.oas.org/ext/en/main/oas/our-structure/agencies-and-entities/citel" TargetMode="External"/><Relationship Id="rId74" Type="http://schemas.openxmlformats.org/officeDocument/2006/relationships/hyperlink" Target="https://www.itu.int/en/ITU-R/Documents/FAQs%20on%20GNSS%20Interference.pdf" TargetMode="External"/><Relationship Id="rId79" Type="http://schemas.openxmlformats.org/officeDocument/2006/relationships/hyperlink" Target="https://www.itu.int/en/mediacentre/backgrounders/Pages/Radiocommunications-for-keeping-ships-and-people-safe-at-sea.aspx" TargetMode="External"/><Relationship Id="rId102" Type="http://schemas.openxmlformats.org/officeDocument/2006/relationships/image" Target="media/image6.png"/><Relationship Id="rId5" Type="http://schemas.openxmlformats.org/officeDocument/2006/relationships/webSettings" Target="webSettings.xml"/><Relationship Id="rId90" Type="http://schemas.openxmlformats.org/officeDocument/2006/relationships/hyperlink" Target="https://www.itu.int/en/ITU-R/seminars/ntfa/ntfa-r1-ws-24/Pages/default.aspx" TargetMode="External"/><Relationship Id="rId95" Type="http://schemas.openxmlformats.org/officeDocument/2006/relationships/hyperlink" Target="https://www.arrl.org/news/view/world-amateur-radio-day-is-april-18-2024" TargetMode="External"/><Relationship Id="rId22" Type="http://schemas.openxmlformats.org/officeDocument/2006/relationships/hyperlink" Target="https://www.itu.int/md/R23-RA23-C-0101/en" TargetMode="External"/><Relationship Id="rId27" Type="http://schemas.openxmlformats.org/officeDocument/2006/relationships/image" Target="media/image4.emf"/><Relationship Id="rId43" Type="http://schemas.openxmlformats.org/officeDocument/2006/relationships/hyperlink" Target="https://www.itu.int/ITU-R/terrasys/docs/" TargetMode="External"/><Relationship Id="rId48" Type="http://schemas.openxmlformats.org/officeDocument/2006/relationships/hyperlink" Target="https://www.itu.int/md/R00-CR-CIR-0515/en" TargetMode="External"/><Relationship Id="rId64" Type="http://schemas.openxmlformats.org/officeDocument/2006/relationships/hyperlink" Target="https://atuuat.africa/" TargetMode="External"/><Relationship Id="rId69" Type="http://schemas.openxmlformats.org/officeDocument/2006/relationships/hyperlink" Target="https://www.itu.int/dms_pub/itu-r/oth/0a/0e/R0A0E0000EC0001PDFE.pdf" TargetMode="External"/><Relationship Id="rId113" Type="http://schemas.openxmlformats.org/officeDocument/2006/relationships/theme" Target="theme/theme1.xml"/><Relationship Id="rId80" Type="http://schemas.openxmlformats.org/officeDocument/2006/relationships/hyperlink" Target="https://www.itu.int/en/mediacentre/backgrounders/Pages/Earth-stations-in-motion-satellite-issues.aspx" TargetMode="External"/><Relationship Id="rId85" Type="http://schemas.openxmlformats.org/officeDocument/2006/relationships/hyperlink" Target="https://www.itu.int/ssf/" TargetMode="External"/><Relationship Id="rId12" Type="http://schemas.openxmlformats.org/officeDocument/2006/relationships/hyperlink" Target="https://www.itu.int/md/S24-CL-C-0010/en" TargetMode="External"/><Relationship Id="rId17" Type="http://schemas.openxmlformats.org/officeDocument/2006/relationships/hyperlink" Target="https://www.itu.int/md/S24-CL-C-0012/fr" TargetMode="External"/><Relationship Id="rId33" Type="http://schemas.openxmlformats.org/officeDocument/2006/relationships/hyperlink" Target="https://www.itu.int/md/S24-CL-C-0064/fr" TargetMode="External"/><Relationship Id="rId38" Type="http://schemas.openxmlformats.org/officeDocument/2006/relationships/hyperlink" Target="https://www.itu.int/en/ITU-R/conferences/wrc/2027/Pages/reg-prep.aspx" TargetMode="External"/><Relationship Id="rId59" Type="http://schemas.openxmlformats.org/officeDocument/2006/relationships/hyperlink" Target="https://www.apt.int/" TargetMode="External"/><Relationship Id="rId103" Type="http://schemas.openxmlformats.org/officeDocument/2006/relationships/image" Target="media/image7.png"/><Relationship Id="rId108" Type="http://schemas.openxmlformats.org/officeDocument/2006/relationships/header" Target="header5.xml"/><Relationship Id="rId54" Type="http://schemas.openxmlformats.org/officeDocument/2006/relationships/footer" Target="footer1.xml"/><Relationship Id="rId70" Type="http://schemas.openxmlformats.org/officeDocument/2006/relationships/image" Target="media/image5.PNG"/><Relationship Id="rId75" Type="http://schemas.openxmlformats.org/officeDocument/2006/relationships/hyperlink" Target="https://www.itu.int/en/ITU-R/Documents/ITU-R-FAQ-IMT.pdf" TargetMode="External"/><Relationship Id="rId91" Type="http://schemas.openxmlformats.org/officeDocument/2006/relationships/hyperlink" Target="https://www.itu.int/en/ITU-R/seminars/ntfa/ntfa-r3-ws-24/Pages/default.aspx" TargetMode="External"/><Relationship Id="rId96" Type="http://schemas.openxmlformats.org/officeDocument/2006/relationships/hyperlink" Target="https://news.un.org/en/story/2023/07/113894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5-CWGFHR20-C-0015/en" TargetMode="External"/><Relationship Id="rId23" Type="http://schemas.openxmlformats.org/officeDocument/2006/relationships/hyperlink" Target="https://www.itu.int/md/R23-RA23-C-0091/en" TargetMode="External"/><Relationship Id="rId28" Type="http://schemas.openxmlformats.org/officeDocument/2006/relationships/hyperlink" Target="https://www.itu.int/md/S24-CL-C-0134/fr" TargetMode="External"/><Relationship Id="rId36" Type="http://schemas.openxmlformats.org/officeDocument/2006/relationships/hyperlink" Target="https://www.itu.int/en/ITU-R/study-groups/rcpm/Pages/wrc-31-preliminary-studies.aspx" TargetMode="External"/><Relationship Id="rId49" Type="http://schemas.openxmlformats.org/officeDocument/2006/relationships/hyperlink" Target="https://www.itu.int/pub/R-REG-RR-2020/fr" TargetMode="External"/><Relationship Id="rId57" Type="http://schemas.openxmlformats.org/officeDocument/2006/relationships/hyperlink" Target="https://ntrc.gd/" TargetMode="External"/><Relationship Id="rId106" Type="http://schemas.openxmlformats.org/officeDocument/2006/relationships/hyperlink" Target="https://www.itu.int/now4wrc27/mentoring-programme/" TargetMode="External"/><Relationship Id="rId10" Type="http://schemas.openxmlformats.org/officeDocument/2006/relationships/hyperlink" Target="https://council.itu.int/2024/en/" TargetMode="External"/><Relationship Id="rId31" Type="http://schemas.openxmlformats.org/officeDocument/2006/relationships/hyperlink" Target="https://www.itu.int/md/S24-SG-CIR-0038/fr" TargetMode="External"/><Relationship Id="rId44" Type="http://schemas.openxmlformats.org/officeDocument/2006/relationships/hyperlink" Target="https://www.itu.int/ITU-R/terrasys/docs/" TargetMode="External"/><Relationship Id="rId52" Type="http://schemas.openxmlformats.org/officeDocument/2006/relationships/header" Target="header1.xml"/><Relationship Id="rId60" Type="http://schemas.openxmlformats.org/officeDocument/2006/relationships/hyperlink" Target="https://www.pita.org.fj/" TargetMode="External"/><Relationship Id="rId65" Type="http://schemas.openxmlformats.org/officeDocument/2006/relationships/hyperlink" Target="https://www.ift.org.mx/" TargetMode="External"/><Relationship Id="rId73" Type="http://schemas.openxmlformats.org/officeDocument/2006/relationships/hyperlink" Target="https://www.itu.int/en/ITU-R/Documents/FAQs%20on%20RRB-new%20version.pdf" TargetMode="External"/><Relationship Id="rId78" Type="http://schemas.openxmlformats.org/officeDocument/2006/relationships/hyperlink" Target="https://www.itu.int/en/mediacentre/backgrounders/Pages/itu-r-managing-the-radio-frequency-spectrum-for-the-world.aspx" TargetMode="External"/><Relationship Id="rId81" Type="http://schemas.openxmlformats.org/officeDocument/2006/relationships/hyperlink" Target="https://www.itu.int/en/mediacentre/backgrounders/Pages/Regulation-of-Satellite-Systems.aspx" TargetMode="External"/><Relationship Id="rId86" Type="http://schemas.openxmlformats.org/officeDocument/2006/relationships/hyperlink" Target="https://www.itu.int/en/ITU-R/seminars/rrs/rrs-24-asia&amp;pacific/Pages/default.aspx" TargetMode="External"/><Relationship Id="rId94" Type="http://schemas.openxmlformats.org/officeDocument/2006/relationships/hyperlink" Target="https://wmo.int/fr/site/vsemirnyy-meteorologicheskiy-den-2025" TargetMode="External"/><Relationship Id="rId99" Type="http://schemas.openxmlformats.org/officeDocument/2006/relationships/hyperlink" Target="https://www.itu.int/hub/pubs/itu-news-magazine/" TargetMode="External"/><Relationship Id="rId101" Type="http://schemas.openxmlformats.org/officeDocument/2006/relationships/hyperlink" Target="https://www.itu.int/wrs-24/" TargetMode="External"/><Relationship Id="rId4" Type="http://schemas.openxmlformats.org/officeDocument/2006/relationships/settings" Target="settings.xml"/><Relationship Id="rId9" Type="http://schemas.openxmlformats.org/officeDocument/2006/relationships/hyperlink" Target="https://www.itu.int/md/R00-CA-CIR-0276/en" TargetMode="External"/><Relationship Id="rId13" Type="http://schemas.openxmlformats.org/officeDocument/2006/relationships/hyperlink" Target="https://www.itu.int/md/S23-CL-C-0115/fr" TargetMode="External"/><Relationship Id="rId18" Type="http://schemas.openxmlformats.org/officeDocument/2006/relationships/hyperlink" Target="https://www.itu.int/md/S24-CL-C-0137/fr" TargetMode="External"/><Relationship Id="rId39" Type="http://schemas.openxmlformats.org/officeDocument/2006/relationships/hyperlink" Target="https://www.itu.int/en/ITU-R/study-groups/rcpm/Pages/cpm-27.aspx" TargetMode="External"/><Relationship Id="rId109" Type="http://schemas.openxmlformats.org/officeDocument/2006/relationships/header" Target="header6.xml"/><Relationship Id="rId34" Type="http://schemas.openxmlformats.org/officeDocument/2006/relationships/hyperlink" Target="https://www.itu.int/md/R00-CA-CIR-0270/en" TargetMode="External"/><Relationship Id="rId50" Type="http://schemas.openxmlformats.org/officeDocument/2006/relationships/hyperlink" Target="https://www.itu.int/fr/publications/ITU-R/Pages/publications.aspx?parent=R-REG-RR-2024&amp;media=electronic" TargetMode="External"/><Relationship Id="rId55" Type="http://schemas.openxmlformats.org/officeDocument/2006/relationships/hyperlink" Target="https://www.gov.kz/memleket/entities/mdai?lang=en" TargetMode="External"/><Relationship Id="rId76" Type="http://schemas.openxmlformats.org/officeDocument/2006/relationships/hyperlink" Target="https://www.itu.int/en/mediacentre/backgrounders/Pages/5G-fifth-generation-of-mobile-technologies.aspx" TargetMode="External"/><Relationship Id="rId97" Type="http://schemas.openxmlformats.org/officeDocument/2006/relationships/hyperlink" Target="https://www.un.org/fr/observances/world-television-day" TargetMode="External"/><Relationship Id="rId104" Type="http://schemas.openxmlformats.org/officeDocument/2006/relationships/hyperlink" Target="https://www.itu.int/pub/R-RES-R.72/fr" TargetMode="External"/><Relationship Id="rId7" Type="http://schemas.openxmlformats.org/officeDocument/2006/relationships/endnotes" Target="endnotes.xml"/><Relationship Id="rId71" Type="http://schemas.openxmlformats.org/officeDocument/2006/relationships/hyperlink" Target="mailto:brweb@itu.int" TargetMode="External"/><Relationship Id="rId92" Type="http://schemas.openxmlformats.org/officeDocument/2006/relationships/hyperlink" Target="https://www.itu.int/en/ITU-R/seminars/ntfa/ntfa-r2-ws-24/Pages/default.aspx" TargetMode="External"/><Relationship Id="rId2" Type="http://schemas.openxmlformats.org/officeDocument/2006/relationships/numbering" Target="numbering.xml"/><Relationship Id="rId29" Type="http://schemas.openxmlformats.org/officeDocument/2006/relationships/hyperlink" Target="https://www.itu.int/md/S24-CL-C-0109/fr" TargetMode="External"/><Relationship Id="rId24" Type="http://schemas.openxmlformats.org/officeDocument/2006/relationships/hyperlink" Target="https://www.itu.int/md/R23-RA23-C-0102/en" TargetMode="External"/><Relationship Id="rId40" Type="http://schemas.openxmlformats.org/officeDocument/2006/relationships/hyperlink" Target="https://www.itu.int/md/S24-CL-C-0028/fr" TargetMode="External"/><Relationship Id="rId45" Type="http://schemas.openxmlformats.org/officeDocument/2006/relationships/hyperlink" Target="https://www.itu.int/md/R00-CR-CIR-0516/en" TargetMode="External"/><Relationship Id="rId66" Type="http://schemas.openxmlformats.org/officeDocument/2006/relationships/hyperlink" Target="https://www.oas.org/ext/en/main/oas/our-structure/agencies-and-entities/citel/Home" TargetMode="External"/><Relationship Id="rId87" Type="http://schemas.openxmlformats.org/officeDocument/2006/relationships/hyperlink" Target="https://www.itu.int/en/ITU-R/seminars/rrs/RRS-24-Americas/Pages/default.aspx" TargetMode="External"/><Relationship Id="rId110" Type="http://schemas.openxmlformats.org/officeDocument/2006/relationships/footer" Target="footer2.xml"/><Relationship Id="rId61" Type="http://schemas.openxmlformats.org/officeDocument/2006/relationships/header" Target="header3.xml"/><Relationship Id="rId82" Type="http://schemas.openxmlformats.org/officeDocument/2006/relationships/hyperlink" Target="https://www.itu.int/wrs-24/" TargetMode="External"/><Relationship Id="rId19" Type="http://schemas.openxmlformats.org/officeDocument/2006/relationships/hyperlink" Target="https://www.itu.int/md/S24-CL-C-0138/fr" TargetMode="External"/><Relationship Id="rId14" Type="http://schemas.openxmlformats.org/officeDocument/2006/relationships/image" Target="media/image2.emf"/><Relationship Id="rId30" Type="http://schemas.openxmlformats.org/officeDocument/2006/relationships/hyperlink" Target="https://www.itu.int/md/S24-CL-C-0125/fr" TargetMode="External"/><Relationship Id="rId35" Type="http://schemas.openxmlformats.org/officeDocument/2006/relationships/hyperlink" Target="https://www.itu.int/en/ITU-R/study-groups/rcpm/Pages/wrc-27-studies.aspx" TargetMode="External"/><Relationship Id="rId56" Type="http://schemas.openxmlformats.org/officeDocument/2006/relationships/hyperlink" Target="https://en.rcc.org.ru/regional-commonwealth-in-the-field-of-communications" TargetMode="External"/><Relationship Id="rId77" Type="http://schemas.openxmlformats.org/officeDocument/2006/relationships/hyperlink" Target="https://www.itu.int/en/mediacentre/backgrounders/Pages/High-altitude-platform-systems.aspx" TargetMode="External"/><Relationship Id="rId100" Type="http://schemas.openxmlformats.org/officeDocument/2006/relationships/hyperlink" Target="https://www.itu.int/futureradionow/" TargetMode="External"/><Relationship Id="rId105" Type="http://schemas.openxmlformats.org/officeDocument/2006/relationships/hyperlink" Target="https://www.itu.int/now4wrc27/" TargetMode="External"/><Relationship Id="rId8" Type="http://schemas.openxmlformats.org/officeDocument/2006/relationships/image" Target="media/image1.jpeg"/><Relationship Id="rId51" Type="http://schemas.openxmlformats.org/officeDocument/2006/relationships/hyperlink" Target="https://www.itu.int/space-connect/" TargetMode="External"/><Relationship Id="rId72" Type="http://schemas.openxmlformats.org/officeDocument/2006/relationships/hyperlink" Target="https://www.itu.int/hub/publication/s-gen-news-2024-1/" TargetMode="External"/><Relationship Id="rId93" Type="http://schemas.openxmlformats.org/officeDocument/2006/relationships/hyperlink" Target="https://news.un.org/en/story/2023/02/1133422" TargetMode="External"/><Relationship Id="rId98" Type="http://schemas.openxmlformats.org/officeDocument/2006/relationships/hyperlink" Target="https://www.itu.int/fr/ITU-R/Director/Pages/default.aspx" TargetMode="External"/><Relationship Id="rId3" Type="http://schemas.openxmlformats.org/officeDocument/2006/relationships/styles" Target="styles.xml"/><Relationship Id="rId25" Type="http://schemas.openxmlformats.org/officeDocument/2006/relationships/hyperlink" Target="https://www.itu.int/rag/correspondence-groups/on-cpm-process/" TargetMode="External"/><Relationship Id="rId46" Type="http://schemas.openxmlformats.org/officeDocument/2006/relationships/hyperlink" Target="https://www.itu.int/en/ITU-R/space/ITUSpaceExplorer/Pages/default.aspx" TargetMode="External"/><Relationship Id="rId67" Type="http://schemas.openxmlformats.org/officeDocument/2006/relationships/hyperlink" Target="https://english.www.gov.cn/state_council/2014/08/23/content_281474983035940.htm" TargetMode="External"/><Relationship Id="rId20" Type="http://schemas.openxmlformats.org/officeDocument/2006/relationships/hyperlink" Target="https://www.itu.int/md/S25-CWGFHR20-C-0003/en" TargetMode="External"/><Relationship Id="rId41" Type="http://schemas.openxmlformats.org/officeDocument/2006/relationships/hyperlink" Target="https://www.itu.int/md/S24-CL-C-0123/fr" TargetMode="External"/><Relationship Id="rId62" Type="http://schemas.openxmlformats.org/officeDocument/2006/relationships/header" Target="header4.xml"/><Relationship Id="rId83" Type="http://schemas.openxmlformats.org/officeDocument/2006/relationships/hyperlink" Target="https://www.itu.int/futureradionow/" TargetMode="External"/><Relationship Id="rId88" Type="http://schemas.openxmlformats.org/officeDocument/2006/relationships/hyperlink" Target="https://www.itu.int/en/ITU-R/seminars/rrs/rrs-24-cis/Pages/default.aspx" TargetMode="External"/><Relationship Id="rId111" Type="http://schemas.openxmlformats.org/officeDocument/2006/relationships/header" Target="header7.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pub/R-RES-R.2-9-2023/fr" TargetMode="External"/><Relationship Id="rId1" Type="http://schemas.openxmlformats.org/officeDocument/2006/relationships/hyperlink" Target="https://www.itu.int/md/S24-CL-C-0037/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89ACA-C4FC-4BD9-9996-16829D0C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PF_RAG.dotm</Template>
  <TotalTime>322</TotalTime>
  <Pages>34</Pages>
  <Words>14569</Words>
  <Characters>78529</Characters>
  <Application>Microsoft Office Word</Application>
  <DocSecurity>0</DocSecurity>
  <Lines>1805</Lines>
  <Paragraphs>921</Paragraphs>
  <ScaleCrop>false</ScaleCrop>
  <HeadingPairs>
    <vt:vector size="2" baseType="variant">
      <vt:variant>
        <vt:lpstr>Title</vt:lpstr>
      </vt:variant>
      <vt:variant>
        <vt:i4>1</vt:i4>
      </vt:variant>
    </vt:vector>
  </HeadingPairs>
  <TitlesOfParts>
    <vt:vector size="1" baseType="lpstr">
      <vt:lpstr>RAPPORT À LA TRENTE-DEUXIÈME RÉUNION DU GROUPE CONSULTATIF DES RADIOCOMMUNICATIONS</vt:lpstr>
    </vt:vector>
  </TitlesOfParts>
  <Manager>General Secretariat - Pool</Manager>
  <Company>International Telecommunication Union (ITU)</Company>
  <LinksUpToDate>false</LinksUpToDate>
  <CharactersWithSpaces>92278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TRENTE-DEUXIÈME RÉUNION DU GROUPE CONSULTATIF DES RADIOCOMMUNICATIONS</dc:title>
  <dc:subject>GROUPE CONSULTATIF DES RADIOCOMMUNICATIONS</dc:subject>
  <dc:creator>Directeur du Bureau des radiocommunications</dc:creator>
  <cp:keywords>RAG03-1</cp:keywords>
  <dc:description>Document RAG/30-F  For: _x000d_Document date: 28 février 2025_x000d_Saved by ITU51017918 at 10:19:44 on 19.03.2025</dc:description>
  <cp:lastModifiedBy>French</cp:lastModifiedBy>
  <cp:revision>31</cp:revision>
  <cp:lastPrinted>1999-10-11T14:58:00Z</cp:lastPrinted>
  <dcterms:created xsi:type="dcterms:W3CDTF">2025-03-18T09:42:00Z</dcterms:created>
  <dcterms:modified xsi:type="dcterms:W3CDTF">2025-03-19T09:19:00Z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RAG/30-F</vt:lpwstr>
  </property>
  <property fmtid="{D5CDD505-2E9C-101B-9397-08002B2CF9AE}" pid="3" name="Docdate">
    <vt:lpwstr>28 février 2025</vt:lpwstr>
  </property>
  <property fmtid="{D5CDD505-2E9C-101B-9397-08002B2CF9AE}" pid="4" name="Docorlang">
    <vt:lpwstr>Original: anglais</vt:lpwstr>
  </property>
  <property fmtid="{D5CDD505-2E9C-101B-9397-08002B2CF9AE}" pid="5" name="Docauthor">
    <vt:lpwstr>Directeur du Bureau des radiocommunications</vt:lpwstr>
  </property>
</Properties>
</file>