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14:paraId="0483ECE8" w14:textId="77777777" w:rsidTr="005344C0">
        <w:trPr>
          <w:cantSplit/>
        </w:trPr>
        <w:tc>
          <w:tcPr>
            <w:tcW w:w="6772" w:type="dxa"/>
            <w:vAlign w:val="center"/>
          </w:tcPr>
          <w:p w14:paraId="5358B857" w14:textId="77777777" w:rsidR="0057336B" w:rsidRPr="008F0106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</w:p>
        </w:tc>
        <w:tc>
          <w:tcPr>
            <w:tcW w:w="3117" w:type="dxa"/>
            <w:vAlign w:val="center"/>
          </w:tcPr>
          <w:p w14:paraId="0DA4C0C5" w14:textId="77777777" w:rsidR="0057336B" w:rsidRDefault="00AB4BAD" w:rsidP="00A7663C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74003296" wp14:editId="46A1A30C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51782D" w14:paraId="3917EFF8" w14:textId="77777777" w:rsidTr="005344C0">
        <w:trPr>
          <w:cantSplit/>
        </w:trPr>
        <w:tc>
          <w:tcPr>
            <w:tcW w:w="6772" w:type="dxa"/>
            <w:tcBorders>
              <w:bottom w:val="single" w:sz="12" w:space="0" w:color="auto"/>
            </w:tcBorders>
          </w:tcPr>
          <w:p w14:paraId="5424419E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0DF6333A" w14:textId="77777777" w:rsidR="006E291F" w:rsidRPr="0051782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291F" w:rsidRPr="00710D66" w14:paraId="1AA4B14D" w14:textId="77777777" w:rsidTr="005344C0">
        <w:trPr>
          <w:cantSplit/>
        </w:trPr>
        <w:tc>
          <w:tcPr>
            <w:tcW w:w="6772" w:type="dxa"/>
            <w:tcBorders>
              <w:top w:val="single" w:sz="12" w:space="0" w:color="auto"/>
            </w:tcBorders>
          </w:tcPr>
          <w:p w14:paraId="665DC3E6" w14:textId="77777777"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36314159" w14:textId="77777777" w:rsidR="006E291F" w:rsidRPr="002D238A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6E291F" w:rsidRPr="002A127E" w14:paraId="7C0F1207" w14:textId="77777777" w:rsidTr="005344C0">
        <w:trPr>
          <w:cantSplit/>
        </w:trPr>
        <w:tc>
          <w:tcPr>
            <w:tcW w:w="6772" w:type="dxa"/>
            <w:vMerge w:val="restart"/>
          </w:tcPr>
          <w:p w14:paraId="3B3292C4" w14:textId="77777777" w:rsidR="006E291F" w:rsidRDefault="006E291F" w:rsidP="00CB7A43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7" w:type="dxa"/>
          </w:tcPr>
          <w:p w14:paraId="1E354119" w14:textId="0E304CC3" w:rsidR="006E291F" w:rsidRPr="005344C0" w:rsidRDefault="005344C0" w:rsidP="005344C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RAG/14-S</w:t>
            </w:r>
          </w:p>
        </w:tc>
      </w:tr>
      <w:tr w:rsidR="006E291F" w:rsidRPr="002A127E" w14:paraId="7A5677F4" w14:textId="77777777" w:rsidTr="005344C0">
        <w:trPr>
          <w:cantSplit/>
        </w:trPr>
        <w:tc>
          <w:tcPr>
            <w:tcW w:w="6772" w:type="dxa"/>
            <w:vMerge/>
          </w:tcPr>
          <w:p w14:paraId="69338E5A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7" w:type="dxa"/>
          </w:tcPr>
          <w:p w14:paraId="79E8FD9D" w14:textId="6DFD7D60" w:rsidR="006E291F" w:rsidRPr="005344C0" w:rsidRDefault="005344C0" w:rsidP="005344C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11 de marzo de 2024</w:t>
            </w:r>
          </w:p>
        </w:tc>
      </w:tr>
      <w:tr w:rsidR="006E291F" w:rsidRPr="002A127E" w14:paraId="50180D54" w14:textId="77777777" w:rsidTr="005344C0">
        <w:trPr>
          <w:cantSplit/>
        </w:trPr>
        <w:tc>
          <w:tcPr>
            <w:tcW w:w="6772" w:type="dxa"/>
            <w:vMerge/>
          </w:tcPr>
          <w:p w14:paraId="6244B8A9" w14:textId="77777777"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7" w:type="dxa"/>
          </w:tcPr>
          <w:p w14:paraId="016D1054" w14:textId="30BFAFFB" w:rsidR="006E291F" w:rsidRPr="005344C0" w:rsidRDefault="005344C0" w:rsidP="005344C0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E291F" w14:paraId="11F79F40" w14:textId="77777777" w:rsidTr="008F0106">
        <w:trPr>
          <w:cantSplit/>
        </w:trPr>
        <w:tc>
          <w:tcPr>
            <w:tcW w:w="9889" w:type="dxa"/>
            <w:gridSpan w:val="2"/>
          </w:tcPr>
          <w:p w14:paraId="45C42CCD" w14:textId="697DE23D" w:rsidR="006E291F" w:rsidRDefault="005344C0" w:rsidP="00CB7A43">
            <w:pPr>
              <w:pStyle w:val="Source"/>
            </w:pPr>
            <w:bookmarkStart w:id="3" w:name="dsource" w:colFirst="0" w:colLast="0"/>
            <w:bookmarkEnd w:id="2"/>
            <w:r>
              <w:rPr>
                <w:bCs/>
                <w:lang w:val="es-ES"/>
              </w:rPr>
              <w:t>Arabia Saudita (Reino de)</w:t>
            </w:r>
          </w:p>
        </w:tc>
      </w:tr>
      <w:tr w:rsidR="006E291F" w14:paraId="4D1DD4FA" w14:textId="77777777" w:rsidTr="008F0106">
        <w:trPr>
          <w:cantSplit/>
        </w:trPr>
        <w:tc>
          <w:tcPr>
            <w:tcW w:w="9889" w:type="dxa"/>
            <w:gridSpan w:val="2"/>
          </w:tcPr>
          <w:p w14:paraId="63A50781" w14:textId="34C009F9" w:rsidR="006E291F" w:rsidRDefault="005344C0" w:rsidP="00CB7A43">
            <w:pPr>
              <w:pStyle w:val="Title1"/>
            </w:pPr>
            <w:bookmarkStart w:id="4" w:name="dtitle1" w:colFirst="0" w:colLast="0"/>
            <w:bookmarkEnd w:id="3"/>
            <w:r w:rsidRPr="005344C0">
              <w:t>Directrices sobre la asignación de frecuencias y su utilización por estaciones de los servicios marítimos, aeronáuticos y auxiliares a dichos servicios</w:t>
            </w:r>
          </w:p>
        </w:tc>
      </w:tr>
    </w:tbl>
    <w:bookmarkEnd w:id="4"/>
    <w:p w14:paraId="65BEEB0F" w14:textId="77777777" w:rsidR="005344C0" w:rsidRPr="007B601D" w:rsidRDefault="005344C0" w:rsidP="005344C0">
      <w:pPr>
        <w:pStyle w:val="Heading1"/>
        <w:rPr>
          <w:lang w:val="es-ES"/>
        </w:rPr>
      </w:pPr>
      <w:r>
        <w:rPr>
          <w:bCs/>
          <w:lang w:val="es-ES"/>
        </w:rPr>
        <w:t>1</w:t>
      </w:r>
      <w:r>
        <w:rPr>
          <w:lang w:val="es-ES"/>
        </w:rPr>
        <w:tab/>
      </w:r>
      <w:r>
        <w:rPr>
          <w:bCs/>
          <w:lang w:val="es-ES"/>
        </w:rPr>
        <w:t>Antecedentes</w:t>
      </w:r>
    </w:p>
    <w:p w14:paraId="684C900A" w14:textId="77777777" w:rsidR="005344C0" w:rsidRPr="007B601D" w:rsidRDefault="005344C0" w:rsidP="005344C0">
      <w:pPr>
        <w:rPr>
          <w:lang w:val="es-ES"/>
        </w:rPr>
      </w:pPr>
      <w:r>
        <w:rPr>
          <w:lang w:val="es-ES"/>
        </w:rPr>
        <w:t>Garantizar la seguridad de la vida humana en el mar y la seguridad de la navegación marítima ha sido primordial desde siempre, como ponen de relieve numerosos tratados internacionales. Con la globalización y el auge del comercio internacional que caracterizan a la era actual, el imperativo de la seguridad ha adquirido una importancia aún mayor. Aproximadamente el 25% de los artículos del Reglamento de Radiocomunicaciones están dedicados a regular la utilización de las radiocomunicaciones marítimas, lo que abarca varios artículos (Artículos 30-34, 46-57) y apéndices (Apéndices 15-18 y 25). Con esta regulación no sólo se refuerzan la seguridad y la protección, sino que también se mejora la comodidad general de las operaciones marítimas.</w:t>
      </w:r>
    </w:p>
    <w:p w14:paraId="5C3ECE8F" w14:textId="77777777" w:rsidR="005344C0" w:rsidRPr="007B601D" w:rsidRDefault="005344C0" w:rsidP="005344C0">
      <w:pPr>
        <w:rPr>
          <w:lang w:val="es-ES"/>
        </w:rPr>
      </w:pPr>
      <w:r>
        <w:rPr>
          <w:lang w:val="es-ES"/>
        </w:rPr>
        <w:t>Paralelamente, la seguridad de la navegación aérea y la regularidad de los vuelos constituyen elementos fundamentales, análogos a la seguridad marítima. En el Reglamento de Radiocomunicaciones, un capítulo entero (Capítulo VIII) y varios apéndices (Apéndices 26 y 27) están dedicados exclusivamente a los servicios aeronáuticos. Además, el Reglamento de Radiocomunicaciones incorpora disposiciones que permiten a los servicios aeronáuticos utilizar frecuencias o canales designados para los servicios marítimos en determinadas circunstancias.</w:t>
      </w:r>
    </w:p>
    <w:p w14:paraId="7087389C" w14:textId="634E70FB" w:rsidR="005344C0" w:rsidRPr="007B601D" w:rsidRDefault="005344C0" w:rsidP="005344C0">
      <w:pPr>
        <w:rPr>
          <w:lang w:val="es-ES"/>
        </w:rPr>
      </w:pPr>
      <w:r>
        <w:rPr>
          <w:lang w:val="es-ES"/>
        </w:rPr>
        <w:t>Los organismos especializados de las Naciones Unidas, a saber, la Organización Marítima Internacional (OMI) y la Organización de Aviación Civil Internacional (OACI), desempeñan un papel fundamental en el establecimiento de normas, reglamentos y procedimientos técnicos y administrativos relacionados con la seguridad marítima y la aviación civil internacional, respectivamente.</w:t>
      </w:r>
    </w:p>
    <w:p w14:paraId="0E93B1C2" w14:textId="5D693AC8" w:rsidR="005344C0" w:rsidRPr="007B601D" w:rsidRDefault="005344C0" w:rsidP="005344C0">
      <w:pPr>
        <w:rPr>
          <w:lang w:val="es-ES"/>
        </w:rPr>
      </w:pPr>
      <w:r>
        <w:rPr>
          <w:lang w:val="es-ES"/>
        </w:rPr>
        <w:t xml:space="preserve">Se han elaborado cuidadosamente una serie de manuales para facilitar la comprensión de un gran número de normas y directrices. Entre estos valiosos recursos figuran el Manual para los servicios móvil marítimo y móvil marítimo por satélite (Manual Marítimo), el Manual de radiocomunicaciones marítimas y el Manual relativo a las necesidades de la aviación civil en materia de espectro de radiofrecuencias. Estas publicaciones complementan los convenios y reglamentos establecidos por organizaciones destacadas como la UIT, la OMI y la OACI. Se trata, en esencia, de publicaciones adaptadas a las necesidades de sectores específicos que carecen del alcance necesario para abarcar asuntos más amplios de gestión del espectro que afectan a diversas industrias y organizaciones. Orientarse entre los distintos contextos y marcos reglamentarios que rigen la utilización del espectro para los servicios marítimos y aeronáuticos resulta complejo. Las administraciones se enfrentan a importantes retos a la hora de autorizar efectivamente </w:t>
      </w:r>
      <w:r>
        <w:rPr>
          <w:lang w:val="es-ES"/>
        </w:rPr>
        <w:lastRenderedPageBreak/>
        <w:t>frecuencias/canales a estaciones de estos servicios y de servicios auxiliares (por ejemplo, radionavegación, radiodeterminación, meteorología), garantizando al mismo tiempo el pleno cumplimiento de una serie de tratados, reglamentos, procedimientos y normas internacionales establecidos por organismos autorizados tales como la UIT, la OMI, la OACI y otras entidades competentes.</w:t>
      </w:r>
      <w:bookmarkStart w:id="5" w:name="_Hlk160575730"/>
      <w:bookmarkEnd w:id="5"/>
    </w:p>
    <w:p w14:paraId="53172755" w14:textId="77777777" w:rsidR="005344C0" w:rsidRPr="007B601D" w:rsidRDefault="005344C0" w:rsidP="005344C0">
      <w:pPr>
        <w:pStyle w:val="Heading1"/>
        <w:rPr>
          <w:lang w:val="es-ES"/>
        </w:rPr>
      </w:pPr>
      <w:r>
        <w:rPr>
          <w:bCs/>
          <w:lang w:val="es-ES"/>
        </w:rPr>
        <w:t>2</w:t>
      </w:r>
      <w:r>
        <w:rPr>
          <w:lang w:val="es-ES"/>
        </w:rPr>
        <w:tab/>
      </w:r>
      <w:r>
        <w:rPr>
          <w:bCs/>
          <w:lang w:val="es-ES"/>
        </w:rPr>
        <w:t>Propuestas</w:t>
      </w:r>
    </w:p>
    <w:p w14:paraId="3A4CC923" w14:textId="0BDA72C1" w:rsidR="005344C0" w:rsidRPr="007B601D" w:rsidRDefault="005344C0" w:rsidP="005344C0">
      <w:pPr>
        <w:rPr>
          <w:lang w:val="es-ES"/>
        </w:rPr>
      </w:pPr>
      <w:r>
        <w:rPr>
          <w:lang w:val="es-ES"/>
        </w:rPr>
        <w:t>Remitiéndonos al número 160F PP-98 del Artículo 11A del Convenio de la Unión Internacional de Telecomunicaciones (UIT), destacamos el decisivo papel del Grupo Asesor de Radiocomunicaciones (GAR) a la hora de aunar los esfuerzos de colaboración de la UIT, la OMI y la OACI.</w:t>
      </w:r>
    </w:p>
    <w:p w14:paraId="2ECD14B7" w14:textId="77777777" w:rsidR="005344C0" w:rsidRPr="007B601D" w:rsidRDefault="005344C0" w:rsidP="005344C0">
      <w:pPr>
        <w:rPr>
          <w:lang w:val="es-ES"/>
        </w:rPr>
      </w:pPr>
      <w:r>
        <w:rPr>
          <w:lang w:val="es-ES"/>
        </w:rPr>
        <w:t>Aprovechando los conocimientos y competencias del conjunto de estas organizaciones, podrían elaborarse directrices exhaustivas que establezcan prácticas idóneas, y armonicen los procedimientos administrativos y técnicos y los requisitos reglamentarios para promover la coherencia y la cohesión de las prácticas de gestión del espectro en las distintas regiones y administraciones que se adhieran a los tratados, reglamentos, procedimientos y normas establecidos.</w:t>
      </w:r>
    </w:p>
    <w:p w14:paraId="0CA07186" w14:textId="0C63C593" w:rsidR="005344C0" w:rsidRPr="007B601D" w:rsidRDefault="005344C0" w:rsidP="005344C0">
      <w:pPr>
        <w:rPr>
          <w:lang w:val="es-ES"/>
        </w:rPr>
      </w:pPr>
      <w:r>
        <w:rPr>
          <w:lang w:val="es-ES"/>
        </w:rPr>
        <w:t>A este respecto, la Administración de Arabia Saudita propone que el GAR aconseje al Director de la BR que estudie diversas opciones para la elaboración de directrices (por ejemplo, a través del sitio web) destinadas a las administraciones, con el fin de resolver eficazmente los retos antes mencionados a través de iniciativas de colaboración con organizaciones destacadas</w:t>
      </w:r>
      <w:r w:rsidR="004F7D55">
        <w:rPr>
          <w:lang w:val="es-ES"/>
        </w:rPr>
        <w:t xml:space="preserve"> </w:t>
      </w:r>
      <w:r>
        <w:rPr>
          <w:lang w:val="es-ES"/>
        </w:rPr>
        <w:t>como la UIT, la OMI y la OACI.</w:t>
      </w:r>
    </w:p>
    <w:p w14:paraId="022FC846" w14:textId="77777777" w:rsidR="005344C0" w:rsidRPr="007B601D" w:rsidRDefault="005344C0" w:rsidP="005344C0">
      <w:pPr>
        <w:rPr>
          <w:lang w:val="es-ES"/>
        </w:rPr>
      </w:pPr>
      <w:r>
        <w:rPr>
          <w:lang w:val="es-ES"/>
        </w:rPr>
        <w:t>Las directrices deben abordar de forma exhaustiva todos los esfuerzos existentes en este ámbito, entre ellos:</w:t>
      </w:r>
    </w:p>
    <w:p w14:paraId="7E22C772" w14:textId="77777777" w:rsidR="005344C0" w:rsidRPr="007B601D" w:rsidRDefault="005344C0" w:rsidP="005344C0">
      <w:pPr>
        <w:pStyle w:val="enumlev1"/>
        <w:rPr>
          <w:lang w:val="es-ES"/>
        </w:rPr>
      </w:pPr>
      <w:r>
        <w:rPr>
          <w:lang w:val="es-ES"/>
        </w:rPr>
        <w:t>1)</w:t>
      </w:r>
      <w:r>
        <w:rPr>
          <w:lang w:val="es-ES"/>
        </w:rPr>
        <w:tab/>
        <w:t>los equipos obligatorios de radiocomunicaciones, radionavegación, meteorológicos y de otro tipo a bordo de barcos, embarcaciones, buques, aviones, helicópteros, planeadores, globos, etc., junto con el conjunto necesario de frecuencias y canales designados para distintos fines;</w:t>
      </w:r>
    </w:p>
    <w:p w14:paraId="174A4C17" w14:textId="77777777" w:rsidR="005344C0" w:rsidRPr="007B601D" w:rsidRDefault="005344C0" w:rsidP="005344C0">
      <w:pPr>
        <w:pStyle w:val="enumlev1"/>
        <w:rPr>
          <w:lang w:val="es-ES"/>
        </w:rPr>
      </w:pPr>
      <w:r>
        <w:rPr>
          <w:lang w:val="es-ES"/>
        </w:rPr>
        <w:t>2)</w:t>
      </w:r>
      <w:r>
        <w:rPr>
          <w:lang w:val="es-ES"/>
        </w:rPr>
        <w:tab/>
        <w:t>los métodos de asignación de frecuencias y canales para comunicaciones marítimas y aeronáuticas, navegación y sistemas de vigilancia (por ejemplo, estaciones costeras y portuarias, servicios de tránsito aéreo, control del tráfico aéreo, control operacional aeronáutico, etc.);</w:t>
      </w:r>
    </w:p>
    <w:p w14:paraId="1855D983" w14:textId="77777777" w:rsidR="005344C0" w:rsidRPr="007B601D" w:rsidRDefault="005344C0" w:rsidP="005344C0">
      <w:pPr>
        <w:pStyle w:val="enumlev1"/>
        <w:rPr>
          <w:lang w:val="es-ES"/>
        </w:rPr>
      </w:pPr>
      <w:r>
        <w:rPr>
          <w:lang w:val="es-ES"/>
        </w:rPr>
        <w:t>3)</w:t>
      </w:r>
      <w:r>
        <w:rPr>
          <w:lang w:val="es-ES"/>
        </w:rPr>
        <w:tab/>
        <w:t>los principios fundamentales que rigen la asignación de frecuencias y canales mencionados en los apartados 1) y 2), incluidos los métodos de asignación basados en el «orden de llegada» o la asignación de las mismas frecuencias y canales a múltiples estaciones; y</w:t>
      </w:r>
    </w:p>
    <w:p w14:paraId="3086312F" w14:textId="77777777" w:rsidR="005344C0" w:rsidRPr="007B601D" w:rsidRDefault="005344C0" w:rsidP="005344C0">
      <w:pPr>
        <w:pStyle w:val="enumlev1"/>
        <w:rPr>
          <w:lang w:val="es-ES"/>
        </w:rPr>
      </w:pPr>
      <w:r>
        <w:rPr>
          <w:lang w:val="es-ES"/>
        </w:rPr>
        <w:t>4)</w:t>
      </w:r>
      <w:r>
        <w:rPr>
          <w:lang w:val="es-ES"/>
        </w:rPr>
        <w:tab/>
        <w:t>los procedimientos que garanticen la coexistencia entre asignaciones efectuadas por las administraciones nacionales en los casos en que el Reglamento de Radiocomunicaciones no estipula la coordinación obligatoria, y los métodos para la coexistencia en bandas exclusivas y compartidas.</w:t>
      </w:r>
    </w:p>
    <w:p w14:paraId="2719B390" w14:textId="77777777" w:rsidR="005344C0" w:rsidRPr="007B601D" w:rsidRDefault="005344C0" w:rsidP="004F7D55">
      <w:pPr>
        <w:rPr>
          <w:lang w:val="es-ES"/>
        </w:rPr>
      </w:pPr>
    </w:p>
    <w:p w14:paraId="200A6CD6" w14:textId="77777777" w:rsidR="005344C0" w:rsidRDefault="005344C0" w:rsidP="005344C0">
      <w:pPr>
        <w:jc w:val="center"/>
      </w:pPr>
      <w:r>
        <w:rPr>
          <w:lang w:val="es-ES"/>
        </w:rPr>
        <w:t>______________</w:t>
      </w:r>
    </w:p>
    <w:sectPr w:rsidR="005344C0" w:rsidSect="004D6C09">
      <w:headerReference w:type="default" r:id="rId7"/>
      <w:footerReference w:type="default" r:id="rId8"/>
      <w:footerReference w:type="firs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6F570" w14:textId="77777777" w:rsidR="005344C0" w:rsidRDefault="005344C0">
      <w:r>
        <w:separator/>
      </w:r>
    </w:p>
  </w:endnote>
  <w:endnote w:type="continuationSeparator" w:id="0">
    <w:p w14:paraId="3423A3FE" w14:textId="77777777" w:rsidR="005344C0" w:rsidRDefault="0053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A3AA" w14:textId="3517694D" w:rsidR="00616601" w:rsidRPr="00213F47" w:rsidRDefault="00E72EA7">
    <w:pPr>
      <w:pStyle w:val="Footer"/>
      <w:rPr>
        <w:lang w:val="en-GB"/>
      </w:rPr>
    </w:pPr>
    <w:r>
      <w:fldChar w:fldCharType="begin"/>
    </w:r>
    <w:r w:rsidRPr="00E72EA7">
      <w:rPr>
        <w:lang w:val="en-US"/>
      </w:rPr>
      <w:instrText xml:space="preserve"> FILENAME \p \* MERGEFORMAT </w:instrText>
    </w:r>
    <w:r>
      <w:fldChar w:fldCharType="separate"/>
    </w:r>
    <w:r w:rsidR="00213F47">
      <w:rPr>
        <w:lang w:val="en-US"/>
      </w:rPr>
      <w:t>P:\ESP\ITU-R\AG\RAG\RAG24\000\014S.docx</w:t>
    </w:r>
    <w:r>
      <w:rPr>
        <w:lang w:val="en-US"/>
      </w:rPr>
      <w:fldChar w:fldCharType="end"/>
    </w:r>
    <w:r w:rsidR="00213F47" w:rsidRPr="00213F47">
      <w:rPr>
        <w:lang w:val="en-GB"/>
      </w:rPr>
      <w:t xml:space="preserve"> </w:t>
    </w:r>
    <w:r w:rsidR="00213F47">
      <w:rPr>
        <w:lang w:val="en-GB"/>
      </w:rPr>
      <w:t>(534998)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62CE" w14:textId="44D07E5F" w:rsidR="00616601" w:rsidRPr="00213F47" w:rsidRDefault="00213F47" w:rsidP="00AB4BAD">
    <w:pPr>
      <w:pStyle w:val="Footer"/>
      <w:rPr>
        <w:lang w:val="en-GB"/>
      </w:rPr>
    </w:pPr>
    <w:r>
      <w:fldChar w:fldCharType="begin"/>
    </w:r>
    <w:r w:rsidRPr="00E72EA7"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P:\ESP\ITU-R\AG\RAG\RAG24\000\014S.docx</w:t>
    </w:r>
    <w:r>
      <w:rPr>
        <w:lang w:val="en-US"/>
      </w:rPr>
      <w:fldChar w:fldCharType="end"/>
    </w:r>
    <w:r w:rsidRPr="00213F47">
      <w:rPr>
        <w:lang w:val="en-GB"/>
      </w:rPr>
      <w:t xml:space="preserve"> </w:t>
    </w:r>
    <w:r>
      <w:rPr>
        <w:lang w:val="en-GB"/>
      </w:rPr>
      <w:t>(534998)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0CE9" w14:textId="77777777" w:rsidR="005344C0" w:rsidRDefault="005344C0">
      <w:r>
        <w:t>____________________</w:t>
      </w:r>
    </w:p>
  </w:footnote>
  <w:footnote w:type="continuationSeparator" w:id="0">
    <w:p w14:paraId="6449301A" w14:textId="77777777" w:rsidR="005344C0" w:rsidRDefault="00534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3076" w14:textId="77777777"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B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950285" w14:textId="5A3A5BA3"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616601">
      <w:rPr>
        <w:lang w:val="es-ES"/>
      </w:rPr>
      <w:t>/</w:t>
    </w:r>
    <w:r w:rsidR="004F28C6">
      <w:rPr>
        <w:lang w:val="es-ES"/>
      </w:rPr>
      <w:t>14</w:t>
    </w:r>
    <w:r w:rsidR="00616601">
      <w:rPr>
        <w:lang w:val="es-ES"/>
      </w:rP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C0"/>
    <w:rsid w:val="000C62BA"/>
    <w:rsid w:val="000D756D"/>
    <w:rsid w:val="0012592F"/>
    <w:rsid w:val="001F2F50"/>
    <w:rsid w:val="00213F47"/>
    <w:rsid w:val="0031432E"/>
    <w:rsid w:val="0034043B"/>
    <w:rsid w:val="00414D8B"/>
    <w:rsid w:val="00482905"/>
    <w:rsid w:val="00494752"/>
    <w:rsid w:val="004D6C09"/>
    <w:rsid w:val="004F28C6"/>
    <w:rsid w:val="004F7D55"/>
    <w:rsid w:val="005344C0"/>
    <w:rsid w:val="0057336B"/>
    <w:rsid w:val="005A2195"/>
    <w:rsid w:val="005D3E02"/>
    <w:rsid w:val="00610642"/>
    <w:rsid w:val="00616601"/>
    <w:rsid w:val="00646EEF"/>
    <w:rsid w:val="00663829"/>
    <w:rsid w:val="006A42AB"/>
    <w:rsid w:val="006B5313"/>
    <w:rsid w:val="006E291F"/>
    <w:rsid w:val="008506C9"/>
    <w:rsid w:val="008F0106"/>
    <w:rsid w:val="00924B63"/>
    <w:rsid w:val="00982618"/>
    <w:rsid w:val="009C205E"/>
    <w:rsid w:val="00A0579C"/>
    <w:rsid w:val="00A7663C"/>
    <w:rsid w:val="00AB4BAD"/>
    <w:rsid w:val="00B32E51"/>
    <w:rsid w:val="00C44DE9"/>
    <w:rsid w:val="00C837F0"/>
    <w:rsid w:val="00CB7A43"/>
    <w:rsid w:val="00CF4CAC"/>
    <w:rsid w:val="00D51E1E"/>
    <w:rsid w:val="00DE77E6"/>
    <w:rsid w:val="00E72EA7"/>
    <w:rsid w:val="00E964B9"/>
    <w:rsid w:val="00EA4101"/>
    <w:rsid w:val="00F23715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8DDEC"/>
  <w15:docId w15:val="{A8D40964-E938-4F32-BA68-8D4718CD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link w:val="enumlev1Char"/>
    <w:uiPriority w:val="99"/>
    <w:qFormat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rsid w:val="005344C0"/>
    <w:rPr>
      <w:rFonts w:ascii="Times New Roman" w:hAnsi="Times New Roman"/>
      <w:b/>
      <w:sz w:val="24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5344C0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S%20-%20ITU\BR\PS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PS_RAG.dotm</Template>
  <TotalTime>29</TotalTime>
  <Pages>2</Pages>
  <Words>811</Words>
  <Characters>4943</Characters>
  <Application>Microsoft Office Word</Application>
  <DocSecurity>0</DocSecurity>
  <Lines>87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DIRECTRICES SOBRE LA ASIGNACIÓN DE FRECUENCIAS Y SU UTILIZACIÓN POR ESTACIONES DE LOS SERVICIOS MARÍTIMOS, AERONÁUTICOS Y AUXILIARES A DICHOS SERVICIOS</dc:title>
  <dc:subject>GRUPO ASESOR DE RADIOCOMUNICACIONES</dc:subject>
  <dc:creator>Arabia Saudita (Reino de)</dc:creator>
  <cp:keywords>RAG03-1</cp:keywords>
  <dc:description>Documento RAG/14-S  For: _x000d_Document date: 11 de marzo de 2024_x000d_Saved by ITU51014451 at 16:35:04 on 13/03/2024</dc:description>
  <cp:lastModifiedBy>Marin Matas, Juan Gabriel</cp:lastModifiedBy>
  <cp:revision>4</cp:revision>
  <cp:lastPrinted>1993-02-18T11:12:00Z</cp:lastPrinted>
  <dcterms:created xsi:type="dcterms:W3CDTF">2024-03-13T15:05:00Z</dcterms:created>
  <dcterms:modified xsi:type="dcterms:W3CDTF">2024-03-13T15:35:00Z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RAG/14-S</vt:lpwstr>
  </property>
  <property fmtid="{D5CDD505-2E9C-101B-9397-08002B2CF9AE}" pid="3" name="Docdate">
    <vt:lpwstr>11 de marzo de 2024</vt:lpwstr>
  </property>
  <property fmtid="{D5CDD505-2E9C-101B-9397-08002B2CF9AE}" pid="4" name="Docorlang">
    <vt:lpwstr>Original: inglés</vt:lpwstr>
  </property>
  <property fmtid="{D5CDD505-2E9C-101B-9397-08002B2CF9AE}" pid="5" name="Docauthor">
    <vt:lpwstr>Arabia Saudita (Reino de)</vt:lpwstr>
  </property>
</Properties>
</file>