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8C51ACB" w14:textId="77777777" w:rsidTr="00553F66">
        <w:trPr>
          <w:cantSplit/>
          <w:trHeight w:val="20"/>
        </w:trPr>
        <w:tc>
          <w:tcPr>
            <w:tcW w:w="6619" w:type="dxa"/>
          </w:tcPr>
          <w:p w14:paraId="0801E62F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4BE845A8" w14:textId="77777777" w:rsidR="00280E04" w:rsidRDefault="00553F66" w:rsidP="00F52E75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4EFE7EBD" wp14:editId="1450ED2F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E1A22DD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CA1B2A4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24F0FB3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57BD30C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BB85427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98103CE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0601A" w14:paraId="27D88B1B" w14:textId="77777777" w:rsidTr="00553F66">
        <w:trPr>
          <w:cantSplit/>
        </w:trPr>
        <w:tc>
          <w:tcPr>
            <w:tcW w:w="6619" w:type="dxa"/>
            <w:vMerge w:val="restart"/>
          </w:tcPr>
          <w:p w14:paraId="1A5C4BB4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1D0F1C9" w14:textId="4A6E6F42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</w:t>
            </w:r>
            <w:r w:rsidR="00125D3A">
              <w:t>11</w:t>
            </w:r>
            <w:r w:rsidRPr="0012545F">
              <w:t>-A</w:t>
            </w:r>
          </w:p>
        </w:tc>
      </w:tr>
      <w:tr w:rsidR="0030601A" w14:paraId="512DA717" w14:textId="77777777" w:rsidTr="00553F66">
        <w:trPr>
          <w:cantSplit/>
        </w:trPr>
        <w:tc>
          <w:tcPr>
            <w:tcW w:w="6619" w:type="dxa"/>
            <w:vMerge/>
          </w:tcPr>
          <w:p w14:paraId="395D518B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C0E06F4" w14:textId="3C9169ED" w:rsidR="0030601A" w:rsidRPr="0012545F" w:rsidRDefault="00125D3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11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30601A" w:rsidRPr="0012545F">
              <w:rPr>
                <w:rFonts w:hint="cs"/>
                <w:rtl/>
              </w:rPr>
              <w:t xml:space="preserve"> </w:t>
            </w:r>
            <w:r w:rsidR="00801238">
              <w:t>202</w:t>
            </w:r>
            <w:r w:rsidR="00D36C5E">
              <w:t>4</w:t>
            </w:r>
          </w:p>
        </w:tc>
      </w:tr>
      <w:tr w:rsidR="0030601A" w14:paraId="7FB3658A" w14:textId="77777777" w:rsidTr="00553F66">
        <w:trPr>
          <w:cantSplit/>
        </w:trPr>
        <w:tc>
          <w:tcPr>
            <w:tcW w:w="6619" w:type="dxa"/>
            <w:vMerge/>
          </w:tcPr>
          <w:p w14:paraId="5F6FFF23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69BBD20" w14:textId="002C2D98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</w:t>
            </w:r>
            <w:r w:rsidR="001857F1">
              <w:rPr>
                <w:rFonts w:hint="cs"/>
                <w:rtl/>
              </w:rPr>
              <w:t xml:space="preserve"> </w:t>
            </w:r>
            <w:r w:rsidR="00125D3A" w:rsidRPr="00125D3A">
              <w:rPr>
                <w:rtl/>
              </w:rPr>
              <w:t>بالروسية</w:t>
            </w:r>
          </w:p>
        </w:tc>
      </w:tr>
      <w:tr w:rsidR="00764079" w14:paraId="050B69C9" w14:textId="77777777" w:rsidTr="00553F66">
        <w:trPr>
          <w:cantSplit/>
        </w:trPr>
        <w:tc>
          <w:tcPr>
            <w:tcW w:w="9672" w:type="dxa"/>
            <w:gridSpan w:val="2"/>
          </w:tcPr>
          <w:p w14:paraId="204B5512" w14:textId="336AD946" w:rsidR="00764079" w:rsidRPr="00E621A3" w:rsidRDefault="00125D3A" w:rsidP="00034B65">
            <w:pPr>
              <w:pStyle w:val="Source"/>
              <w:rPr>
                <w:rtl/>
              </w:rPr>
            </w:pPr>
            <w:r w:rsidRPr="00125D3A">
              <w:rPr>
                <w:rtl/>
              </w:rPr>
              <w:t>الاتحاد الروسي</w:t>
            </w:r>
          </w:p>
        </w:tc>
      </w:tr>
      <w:tr w:rsidR="00764079" w14:paraId="0EB93049" w14:textId="77777777" w:rsidTr="00553F66">
        <w:trPr>
          <w:cantSplit/>
        </w:trPr>
        <w:tc>
          <w:tcPr>
            <w:tcW w:w="9672" w:type="dxa"/>
            <w:gridSpan w:val="2"/>
          </w:tcPr>
          <w:p w14:paraId="21E5FA1F" w14:textId="3E5D7C4F" w:rsidR="00764079" w:rsidRPr="00BD6EF3" w:rsidRDefault="00125D3A" w:rsidP="00D44350">
            <w:pPr>
              <w:pStyle w:val="Title1"/>
              <w:spacing w:before="240"/>
              <w:rPr>
                <w:rtl/>
              </w:rPr>
            </w:pPr>
            <w:r w:rsidRPr="00125D3A">
              <w:rPr>
                <w:rtl/>
              </w:rPr>
              <w:t>مقترحات بشأن عمل الفريق الاستشاري للاتصالات الراديوية (</w:t>
            </w:r>
            <w:r w:rsidRPr="00125D3A">
              <w:t>RAG</w:t>
            </w:r>
            <w:r w:rsidRPr="00125D3A">
              <w:rPr>
                <w:rtl/>
              </w:rPr>
              <w:t>)</w:t>
            </w:r>
          </w:p>
        </w:tc>
      </w:tr>
      <w:tr w:rsidR="00125D3A" w14:paraId="0E22402E" w14:textId="77777777" w:rsidTr="00553F66">
        <w:trPr>
          <w:cantSplit/>
        </w:trPr>
        <w:tc>
          <w:tcPr>
            <w:tcW w:w="9672" w:type="dxa"/>
            <w:gridSpan w:val="2"/>
          </w:tcPr>
          <w:p w14:paraId="717E1CC2" w14:textId="7E23799B" w:rsidR="00125D3A" w:rsidRDefault="00125D3A" w:rsidP="00125D3A">
            <w:pPr>
              <w:pStyle w:val="Title1"/>
              <w:rPr>
                <w:rtl/>
              </w:rPr>
            </w:pPr>
            <w:r w:rsidRPr="00125D3A">
              <w:rPr>
                <w:rtl/>
              </w:rPr>
              <w:t>مشاركة الفريق الاستشاري للاتصالات الراديوية (</w:t>
            </w:r>
            <w:r w:rsidRPr="00125D3A">
              <w:t>RAG</w:t>
            </w:r>
            <w:r w:rsidRPr="00125D3A">
              <w:rPr>
                <w:rtl/>
              </w:rPr>
              <w:t xml:space="preserve">) </w:t>
            </w:r>
            <w:r w:rsidR="00076F7F">
              <w:rPr>
                <w:rtl/>
              </w:rPr>
              <w:br/>
            </w:r>
            <w:r w:rsidRPr="00125D3A">
              <w:rPr>
                <w:rtl/>
              </w:rPr>
              <w:t>في الأنشطة المشتركة بين القطاعات</w:t>
            </w:r>
          </w:p>
        </w:tc>
      </w:tr>
    </w:tbl>
    <w:p w14:paraId="5304E85F" w14:textId="7BC26420" w:rsidR="00EE60E9" w:rsidRDefault="00125D3A" w:rsidP="001857F1">
      <w:pPr>
        <w:pStyle w:val="Heading1"/>
      </w:pPr>
      <w:r w:rsidRPr="00125D3A">
        <w:rPr>
          <w:rtl/>
        </w:rPr>
        <w:t>1</w:t>
      </w:r>
      <w:r w:rsidRPr="00125D3A">
        <w:rPr>
          <w:rtl/>
        </w:rPr>
        <w:tab/>
        <w:t>مقدمة</w:t>
      </w:r>
    </w:p>
    <w:p w14:paraId="0F345826" w14:textId="546BE838" w:rsidR="001857F1" w:rsidRDefault="00125D3A" w:rsidP="001857F1">
      <w:pPr>
        <w:rPr>
          <w:rtl/>
        </w:rPr>
      </w:pPr>
      <w:r>
        <w:rPr>
          <w:rtl/>
        </w:rPr>
        <w:t>تلقّى اجتماع الفريق الاستشاري للاتصالات الراديوية</w:t>
      </w:r>
      <w:r w:rsidR="002564DF">
        <w:rPr>
          <w:rFonts w:hint="cs"/>
          <w:rtl/>
        </w:rPr>
        <w:t xml:space="preserve"> </w:t>
      </w:r>
      <w:r w:rsidR="002564DF">
        <w:t>(RAG)</w:t>
      </w:r>
      <w:r w:rsidR="002564DF">
        <w:rPr>
          <w:rFonts w:hint="cs"/>
          <w:rtl/>
        </w:rPr>
        <w:t xml:space="preserve"> </w:t>
      </w:r>
      <w:r>
        <w:rPr>
          <w:rtl/>
        </w:rPr>
        <w:t xml:space="preserve">بيانات اتصال من الفريق الاستشاري لتقييس الاتصالات </w:t>
      </w:r>
      <w:r>
        <w:t>(TSAG)</w:t>
      </w:r>
      <w:r>
        <w:rPr>
          <w:rtl/>
        </w:rPr>
        <w:t>، ولجنة الدراسات 5 لقطاع تقييس الاتصالات، وفريق التنسيق بين القطاعات (</w:t>
      </w:r>
      <w:r>
        <w:t>ISCG</w:t>
      </w:r>
      <w:r>
        <w:rPr>
          <w:rtl/>
        </w:rPr>
        <w:t>). وتتناول هذه التوصيات، في جملة أمور، مسألة التحوُّل الرقمي المستدام، وهو موضوع قيد مناقشة نشطة في قطاع تقييس الاتصالات.</w:t>
      </w:r>
    </w:p>
    <w:p w14:paraId="5933DAF0" w14:textId="58904C49" w:rsidR="00125D3A" w:rsidRDefault="00125D3A" w:rsidP="001857F1">
      <w:pPr>
        <w:rPr>
          <w:rtl/>
        </w:rPr>
      </w:pPr>
      <w:r>
        <w:rPr>
          <w:rtl/>
        </w:rPr>
        <w:t xml:space="preserve">ووفقاً للوثيقة </w:t>
      </w:r>
      <w:r>
        <w:t>RAG/2</w:t>
      </w:r>
      <w:r>
        <w:rPr>
          <w:rtl/>
        </w:rPr>
        <w:t>، يعتزم فريق المقرّر التابع للفريق الاستشاري لتقييس الاتصالات والمعنيّ بالتحول الرقمي المستدام (</w:t>
      </w:r>
      <w:r>
        <w:t>RG</w:t>
      </w:r>
      <w:r w:rsidR="00076F7F">
        <w:noBreakHyphen/>
      </w:r>
      <w:r>
        <w:t>DT</w:t>
      </w:r>
      <w:r>
        <w:rPr>
          <w:rtl/>
        </w:rPr>
        <w:t xml:space="preserve">)، الذي أنشئ في اجتماع </w:t>
      </w:r>
      <w:r>
        <w:t>TSAG-24</w:t>
      </w:r>
      <w:r>
        <w:rPr>
          <w:rtl/>
        </w:rPr>
        <w:t>، إجراءَ تحليل للثغرات بشأن الأنشطة والدراسات المتعلقة بالتحوُّل الرقمي المستدام في قطاعات تقييس الاتصالات وتنمية الاتصالات والاتصالات الراديوية، وكذلك في هيئات التقييس الأخرى.</w:t>
      </w:r>
    </w:p>
    <w:p w14:paraId="3563201A" w14:textId="77777777" w:rsidR="00125D3A" w:rsidRDefault="00125D3A" w:rsidP="001857F1">
      <w:pPr>
        <w:rPr>
          <w:rtl/>
        </w:rPr>
      </w:pPr>
      <w:r>
        <w:rPr>
          <w:rtl/>
        </w:rPr>
        <w:t>وحتى الآن، لم يكن التحول الرقمي المستدام مدرجاً في قائمة الموضوعات ذات الأولوية وذات الاهتمام المشترك في فريق التنسيق بين القطاعات (</w:t>
      </w:r>
      <w:r>
        <w:t>ISCG</w:t>
      </w:r>
      <w:r>
        <w:rPr>
          <w:rtl/>
        </w:rPr>
        <w:t>).</w:t>
      </w:r>
    </w:p>
    <w:p w14:paraId="36D3430A" w14:textId="77777777" w:rsidR="00125D3A" w:rsidRDefault="00125D3A" w:rsidP="001857F1">
      <w:pPr>
        <w:pStyle w:val="Heading1"/>
        <w:rPr>
          <w:rtl/>
        </w:rPr>
      </w:pPr>
      <w:r>
        <w:rPr>
          <w:rtl/>
        </w:rPr>
        <w:t>2</w:t>
      </w:r>
      <w:r>
        <w:rPr>
          <w:rtl/>
        </w:rPr>
        <w:tab/>
        <w:t>المقترح</w:t>
      </w:r>
    </w:p>
    <w:p w14:paraId="61BF95F2" w14:textId="6419E9D6" w:rsidR="00125D3A" w:rsidRDefault="001857F1" w:rsidP="001857F1">
      <w:pPr>
        <w:rPr>
          <w:rtl/>
        </w:rPr>
      </w:pPr>
      <w:r>
        <w:t>1.2</w:t>
      </w:r>
      <w:r w:rsidR="00125D3A">
        <w:rPr>
          <w:rtl/>
        </w:rPr>
        <w:tab/>
        <w:t>دعوة فريق التنسيق بين القطاعات (</w:t>
      </w:r>
      <w:r w:rsidR="00125D3A">
        <w:t>ISCG</w:t>
      </w:r>
      <w:r w:rsidR="00125D3A">
        <w:rPr>
          <w:rtl/>
        </w:rPr>
        <w:t>) إلى إدراج التحوُّل الرقمي المستدام في قائمة الموضوعات ذات</w:t>
      </w:r>
      <w:r w:rsidR="006C1ADA">
        <w:rPr>
          <w:rFonts w:hint="cs"/>
          <w:rtl/>
        </w:rPr>
        <w:t> </w:t>
      </w:r>
      <w:r w:rsidR="00125D3A">
        <w:rPr>
          <w:rtl/>
        </w:rPr>
        <w:t>الأولوية وأن يكون ذلك بمثابة أولوية لجميع قطاعات الاتحاد.</w:t>
      </w:r>
    </w:p>
    <w:p w14:paraId="0DE8516A" w14:textId="37686225" w:rsidR="00125D3A" w:rsidRDefault="001857F1" w:rsidP="001857F1">
      <w:pPr>
        <w:rPr>
          <w:rtl/>
        </w:rPr>
      </w:pPr>
      <w:r>
        <w:t>2.2</w:t>
      </w:r>
      <w:r w:rsidR="00125D3A">
        <w:rPr>
          <w:rtl/>
        </w:rPr>
        <w:tab/>
        <w:t xml:space="preserve">تمشياً مع الهدف 2 من الخطة الاستراتيجية للاتحاد للفترة </w:t>
      </w:r>
      <w:r w:rsidR="002564DF">
        <w:rPr>
          <w:rFonts w:hint="cs"/>
          <w:rtl/>
        </w:rPr>
        <w:t>2023-2027</w:t>
      </w:r>
      <w:r w:rsidR="00125D3A">
        <w:rPr>
          <w:rtl/>
        </w:rPr>
        <w:t>، "التحوُّل الرقمي المستدام: تعزيز</w:t>
      </w:r>
      <w:r w:rsidR="006C1ADA">
        <w:rPr>
          <w:rFonts w:hint="cs"/>
          <w:rtl/>
        </w:rPr>
        <w:t> </w:t>
      </w:r>
      <w:r w:rsidR="00125D3A">
        <w:rPr>
          <w:rtl/>
        </w:rPr>
        <w:t>الاستخدام المنصف والشامل للاتصالات/تكنولوجيا المعلومات والاتصالات لتمكين الأشخاص والمجتمعات تحقيقاً للتنمية المستدامة"، التوصية لمدير مكتب الاتصالات الراديوية بتقديم المعلومات المقابلة في الاجتماع المقبل للفريق الاستشاري للاتصالات الراديوية (</w:t>
      </w:r>
      <w:r w:rsidR="00125D3A">
        <w:t>RAG</w:t>
      </w:r>
      <w:r w:rsidR="00125D3A">
        <w:rPr>
          <w:rtl/>
        </w:rPr>
        <w:t>).</w:t>
      </w:r>
    </w:p>
    <w:p w14:paraId="09FD2198" w14:textId="5B1AAE31" w:rsidR="0039465C" w:rsidRDefault="001857F1" w:rsidP="001857F1">
      <w:r>
        <w:t>3.2</w:t>
      </w:r>
      <w:r w:rsidR="00125D3A">
        <w:rPr>
          <w:rtl/>
        </w:rPr>
        <w:tab/>
        <w:t>تعيين ممثلين للفريق الاستشاري للاتصالات الراديوية في فريق التنسيق بين القطاعات.</w:t>
      </w:r>
    </w:p>
    <w:p w14:paraId="2CC5557D" w14:textId="7418C799" w:rsidR="001857F1" w:rsidRPr="0039465C" w:rsidRDefault="001857F1" w:rsidP="001857F1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1857F1" w:rsidRPr="0039465C" w:rsidSect="00125D3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7FBD" w14:textId="77777777" w:rsidR="00125D3A" w:rsidRDefault="00125D3A" w:rsidP="002919E1">
      <w:r>
        <w:separator/>
      </w:r>
    </w:p>
    <w:p w14:paraId="44506095" w14:textId="77777777" w:rsidR="00125D3A" w:rsidRDefault="00125D3A" w:rsidP="002919E1"/>
    <w:p w14:paraId="5A9615C2" w14:textId="77777777" w:rsidR="00125D3A" w:rsidRDefault="00125D3A" w:rsidP="002919E1"/>
    <w:p w14:paraId="4ACDA751" w14:textId="77777777" w:rsidR="00125D3A" w:rsidRDefault="00125D3A"/>
  </w:endnote>
  <w:endnote w:type="continuationSeparator" w:id="0">
    <w:p w14:paraId="506DD688" w14:textId="77777777" w:rsidR="00125D3A" w:rsidRDefault="00125D3A" w:rsidP="002919E1">
      <w:r>
        <w:continuationSeparator/>
      </w:r>
    </w:p>
    <w:p w14:paraId="20CBFC8B" w14:textId="77777777" w:rsidR="00125D3A" w:rsidRDefault="00125D3A" w:rsidP="002919E1"/>
    <w:p w14:paraId="4CA431DE" w14:textId="77777777" w:rsidR="00125D3A" w:rsidRDefault="00125D3A" w:rsidP="002919E1"/>
    <w:p w14:paraId="5219F587" w14:textId="77777777" w:rsidR="00125D3A" w:rsidRDefault="00125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EEE" w14:textId="0B6D2C3B" w:rsidR="00281F5F" w:rsidRPr="001857F1" w:rsidRDefault="001857F1" w:rsidP="001857F1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P:\ARA\ITU-R\AG\RAG\RAG24\000\011A.docx</w:t>
    </w:r>
    <w:r>
      <w:fldChar w:fldCharType="end"/>
    </w:r>
    <w:proofErr w:type="gramStart"/>
    <w:r w:rsidRPr="00A809E8">
      <w:t xml:space="preserve">   (</w:t>
    </w:r>
    <w:proofErr w:type="gramEnd"/>
    <w:r w:rsidRPr="001857F1">
      <w:t>534959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2612" w14:textId="0AC537CD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857F1">
      <w:rPr>
        <w:noProof/>
      </w:rPr>
      <w:t>P:\ARA\ITU-R\AG\RAG\RAG24\000\011A.docx</w:t>
    </w:r>
    <w:r>
      <w:fldChar w:fldCharType="end"/>
    </w:r>
    <w:proofErr w:type="gramStart"/>
    <w:r w:rsidRPr="00A809E8">
      <w:t xml:space="preserve">   (</w:t>
    </w:r>
    <w:proofErr w:type="gramEnd"/>
    <w:r w:rsidR="001857F1" w:rsidRPr="001857F1">
      <w:t>534959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1523" w14:textId="77777777" w:rsidR="00125D3A" w:rsidRDefault="00125D3A" w:rsidP="002919E1">
      <w:r>
        <w:t>___________________</w:t>
      </w:r>
    </w:p>
  </w:footnote>
  <w:footnote w:type="continuationSeparator" w:id="0">
    <w:p w14:paraId="0165CDBF" w14:textId="77777777" w:rsidR="00125D3A" w:rsidRDefault="00125D3A" w:rsidP="002919E1">
      <w:r>
        <w:continuationSeparator/>
      </w:r>
    </w:p>
    <w:p w14:paraId="3992BB14" w14:textId="77777777" w:rsidR="00125D3A" w:rsidRDefault="00125D3A" w:rsidP="002919E1"/>
    <w:p w14:paraId="4D1FCBED" w14:textId="77777777" w:rsidR="00125D3A" w:rsidRDefault="00125D3A" w:rsidP="002919E1"/>
    <w:p w14:paraId="57DF2A59" w14:textId="77777777" w:rsidR="00125D3A" w:rsidRDefault="00125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285E" w14:textId="77777777" w:rsidR="00281F5F" w:rsidRDefault="00281F5F" w:rsidP="002919E1"/>
  <w:p w14:paraId="5EA17836" w14:textId="77777777" w:rsidR="00281F5F" w:rsidRDefault="00281F5F" w:rsidP="002919E1"/>
  <w:p w14:paraId="738D963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2C27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D36C5E">
      <w:rPr>
        <w:rStyle w:val="PageNumber"/>
      </w:rPr>
      <w:t>24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84571255">
    <w:abstractNumId w:val="9"/>
  </w:num>
  <w:num w:numId="2" w16cid:durableId="683098453">
    <w:abstractNumId w:val="11"/>
  </w:num>
  <w:num w:numId="3" w16cid:durableId="676006606">
    <w:abstractNumId w:val="10"/>
  </w:num>
  <w:num w:numId="4" w16cid:durableId="903955018">
    <w:abstractNumId w:val="12"/>
  </w:num>
  <w:num w:numId="5" w16cid:durableId="68579812">
    <w:abstractNumId w:val="7"/>
  </w:num>
  <w:num w:numId="6" w16cid:durableId="1204824598">
    <w:abstractNumId w:val="6"/>
  </w:num>
  <w:num w:numId="7" w16cid:durableId="490020946">
    <w:abstractNumId w:val="5"/>
  </w:num>
  <w:num w:numId="8" w16cid:durableId="711460756">
    <w:abstractNumId w:val="4"/>
  </w:num>
  <w:num w:numId="9" w16cid:durableId="560992524">
    <w:abstractNumId w:val="8"/>
  </w:num>
  <w:num w:numId="10" w16cid:durableId="1750736950">
    <w:abstractNumId w:val="3"/>
  </w:num>
  <w:num w:numId="11" w16cid:durableId="1770004678">
    <w:abstractNumId w:val="2"/>
  </w:num>
  <w:num w:numId="12" w16cid:durableId="244727552">
    <w:abstractNumId w:val="1"/>
  </w:num>
  <w:num w:numId="13" w16cid:durableId="20691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3A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56F84"/>
    <w:rsid w:val="00075A3F"/>
    <w:rsid w:val="00076F7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25D3A"/>
    <w:rsid w:val="00136B82"/>
    <w:rsid w:val="001464F2"/>
    <w:rsid w:val="00167364"/>
    <w:rsid w:val="001857F1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564DF"/>
    <w:rsid w:val="0026062E"/>
    <w:rsid w:val="00260F50"/>
    <w:rsid w:val="00261EF7"/>
    <w:rsid w:val="0027069F"/>
    <w:rsid w:val="00280E04"/>
    <w:rsid w:val="00281F5F"/>
    <w:rsid w:val="002843E4"/>
    <w:rsid w:val="002917AB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4B03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C1ADA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61C2"/>
    <w:rsid w:val="00827482"/>
    <w:rsid w:val="00830D96"/>
    <w:rsid w:val="0085569D"/>
    <w:rsid w:val="00855B59"/>
    <w:rsid w:val="0085774F"/>
    <w:rsid w:val="008579A5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1201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36C5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487B"/>
    <w:rsid w:val="00F25B80"/>
    <w:rsid w:val="00F2685F"/>
    <w:rsid w:val="00F33A34"/>
    <w:rsid w:val="00F350C8"/>
    <w:rsid w:val="00F52E7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1EB2F"/>
  <w15:docId w15:val="{AA14564F-B480-4541-8CD0-F97A79D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R%20(BR)\PA_RAG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PA_RAG24.dotx</Template>
  <TotalTime>12</TotalTime>
  <Pages>1</Pages>
  <Words>228</Words>
  <Characters>1505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KAAA</dc:creator>
  <cp:keywords>WRC-12</cp:keywords>
  <cp:lastModifiedBy>Arabic-IR</cp:lastModifiedBy>
  <cp:revision>8</cp:revision>
  <cp:lastPrinted>2019-06-26T10:10:00Z</cp:lastPrinted>
  <dcterms:created xsi:type="dcterms:W3CDTF">2024-03-19T11:35:00Z</dcterms:created>
  <dcterms:modified xsi:type="dcterms:W3CDTF">2024-03-19T11:53:00Z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