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14:paraId="7E05EC06" w14:textId="77777777" w:rsidTr="00443261">
        <w:trPr>
          <w:cantSplit/>
        </w:trPr>
        <w:tc>
          <w:tcPr>
            <w:tcW w:w="6771" w:type="dxa"/>
            <w:vAlign w:val="center"/>
          </w:tcPr>
          <w:p w14:paraId="4D3CD282" w14:textId="77777777" w:rsidR="00443261" w:rsidRPr="002D238A" w:rsidRDefault="00443261" w:rsidP="00A448B6">
            <w:pPr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</w:p>
        </w:tc>
        <w:tc>
          <w:tcPr>
            <w:tcW w:w="3118" w:type="dxa"/>
          </w:tcPr>
          <w:p w14:paraId="3164AB21" w14:textId="77777777" w:rsidR="00443261" w:rsidRDefault="007711EA" w:rsidP="00A448B6">
            <w:pPr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0150147B" wp14:editId="782E5A51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 w14:paraId="1D4734BB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43C969E" w14:textId="77777777" w:rsidR="002D238A" w:rsidRPr="0051782D" w:rsidRDefault="002D238A" w:rsidP="00A448B6">
            <w:pPr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636B0FBA" w14:textId="77777777" w:rsidR="002D238A" w:rsidRPr="0051782D" w:rsidRDefault="002D238A" w:rsidP="00A448B6">
            <w:pPr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 w14:paraId="77E4E828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FBE9B76" w14:textId="77777777" w:rsidR="002D238A" w:rsidRPr="0051782D" w:rsidRDefault="002D238A" w:rsidP="00A448B6">
            <w:pPr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E5EDA2D" w14:textId="77777777" w:rsidR="002D238A" w:rsidRPr="002D238A" w:rsidRDefault="002D238A" w:rsidP="00A448B6">
            <w:pPr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 w14:paraId="786DBF62" w14:textId="77777777">
        <w:trPr>
          <w:cantSplit/>
        </w:trPr>
        <w:tc>
          <w:tcPr>
            <w:tcW w:w="6771" w:type="dxa"/>
            <w:vMerge w:val="restart"/>
          </w:tcPr>
          <w:p w14:paraId="23AB3162" w14:textId="77777777" w:rsidR="002D238A" w:rsidRPr="005031C8" w:rsidRDefault="002D238A" w:rsidP="00A448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99230F9" w14:textId="496C4A47" w:rsidR="002D238A" w:rsidRPr="005D7794" w:rsidRDefault="005D7794" w:rsidP="00A448B6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RAG/9-F</w:t>
            </w:r>
          </w:p>
        </w:tc>
      </w:tr>
      <w:tr w:rsidR="002D238A" w:rsidRPr="002A127E" w14:paraId="4A9F671B" w14:textId="77777777">
        <w:trPr>
          <w:cantSplit/>
        </w:trPr>
        <w:tc>
          <w:tcPr>
            <w:tcW w:w="6771" w:type="dxa"/>
            <w:vMerge/>
          </w:tcPr>
          <w:p w14:paraId="2554076B" w14:textId="77777777" w:rsidR="002D238A" w:rsidRDefault="002D238A" w:rsidP="00A448B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23AD4E3E" w14:textId="60E87BDA" w:rsidR="002D238A" w:rsidRPr="005D7794" w:rsidRDefault="005D7794" w:rsidP="00A448B6">
            <w:pPr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  <w:r w:rsidR="00A448B6">
              <w:rPr>
                <w:rFonts w:ascii="Verdana" w:hAnsi="Verdana"/>
                <w:b/>
                <w:sz w:val="20"/>
              </w:rPr>
              <w:t>0</w:t>
            </w:r>
            <w:r>
              <w:rPr>
                <w:rFonts w:ascii="Verdana" w:hAnsi="Verdana"/>
                <w:b/>
                <w:sz w:val="20"/>
              </w:rPr>
              <w:t xml:space="preserve"> mars 2024</w:t>
            </w:r>
          </w:p>
        </w:tc>
      </w:tr>
      <w:tr w:rsidR="002D238A" w:rsidRPr="002A127E" w14:paraId="49EDC34E" w14:textId="77777777">
        <w:trPr>
          <w:cantSplit/>
        </w:trPr>
        <w:tc>
          <w:tcPr>
            <w:tcW w:w="6771" w:type="dxa"/>
            <w:vMerge/>
          </w:tcPr>
          <w:p w14:paraId="604354B1" w14:textId="77777777" w:rsidR="002D238A" w:rsidRDefault="002D238A" w:rsidP="00A448B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1214FAFF" w14:textId="60F97D82" w:rsidR="002D238A" w:rsidRPr="005D7794" w:rsidRDefault="005D7794" w:rsidP="00A448B6">
            <w:pPr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14:paraId="2A695E26" w14:textId="77777777">
        <w:trPr>
          <w:cantSplit/>
        </w:trPr>
        <w:tc>
          <w:tcPr>
            <w:tcW w:w="9889" w:type="dxa"/>
            <w:gridSpan w:val="2"/>
          </w:tcPr>
          <w:p w14:paraId="416A69CB" w14:textId="2AB385BD" w:rsidR="002D238A" w:rsidRDefault="005D7794" w:rsidP="00A448B6">
            <w:pPr>
              <w:pStyle w:val="Source"/>
            </w:pPr>
            <w:bookmarkStart w:id="3" w:name="dsource" w:colFirst="0" w:colLast="0"/>
            <w:bookmarkEnd w:id="2"/>
            <w:r w:rsidRPr="005D7794">
              <w:t>Brésil (République fédérative du)</w:t>
            </w:r>
          </w:p>
        </w:tc>
      </w:tr>
      <w:tr w:rsidR="002D238A" w14:paraId="688B50CC" w14:textId="77777777">
        <w:trPr>
          <w:cantSplit/>
        </w:trPr>
        <w:tc>
          <w:tcPr>
            <w:tcW w:w="9889" w:type="dxa"/>
            <w:gridSpan w:val="2"/>
          </w:tcPr>
          <w:p w14:paraId="274DA3A2" w14:textId="35138E7D" w:rsidR="002D238A" w:rsidRDefault="005D7794" w:rsidP="00A448B6">
            <w:pPr>
              <w:pStyle w:val="Title1"/>
            </w:pPr>
            <w:bookmarkStart w:id="4" w:name="dtitle1" w:colFirst="0" w:colLast="0"/>
            <w:bookmarkEnd w:id="3"/>
            <w:r w:rsidRPr="005D7794">
              <w:t>AUGMENTATION DU NOMBRE D</w:t>
            </w:r>
            <w:r w:rsidR="001E494E">
              <w:t>'</w:t>
            </w:r>
            <w:r w:rsidRPr="005D7794">
              <w:t xml:space="preserve">ACCÈS GRATUITS EN LIGNE </w:t>
            </w:r>
            <w:r w:rsidR="00CE1CE2">
              <w:t>à</w:t>
            </w:r>
            <w:r w:rsidRPr="005D7794">
              <w:t xml:space="preserve"> LA BR</w:t>
            </w:r>
            <w:r w:rsidR="00CE1CE2">
              <w:t> </w:t>
            </w:r>
            <w:r w:rsidRPr="005D7794">
              <w:t>IFIC ET INCIDENCES SUR LE PLAN DU RECOUVREMENT DES COÛTS</w:t>
            </w:r>
          </w:p>
        </w:tc>
      </w:tr>
    </w:tbl>
    <w:bookmarkEnd w:id="4"/>
    <w:p w14:paraId="75412A57" w14:textId="23D01706" w:rsidR="005D7794" w:rsidRDefault="005D7794" w:rsidP="00A448B6">
      <w:pPr>
        <w:pStyle w:val="Normalaftertitle"/>
      </w:pPr>
      <w:r>
        <w:t>Pour atteindre ses objectifs, l</w:t>
      </w:r>
      <w:r w:rsidR="001E494E">
        <w:t>'</w:t>
      </w:r>
      <w:r>
        <w:t>UIT fournit des produits et des services essentiels pour appuyer les travaux menés au titre des priorités thématiques définies dans le plan stratégique de l</w:t>
      </w:r>
      <w:r w:rsidR="001E494E">
        <w:t>'</w:t>
      </w:r>
      <w:r>
        <w:t>UIT.</w:t>
      </w:r>
    </w:p>
    <w:p w14:paraId="51CFE535" w14:textId="4E391D93" w:rsidR="005D7794" w:rsidRDefault="005D7794" w:rsidP="00A448B6">
      <w:r>
        <w:t>L</w:t>
      </w:r>
      <w:r w:rsidR="001E494E">
        <w:t>'</w:t>
      </w:r>
      <w:r>
        <w:t>un des services les plus importants que fournit l</w:t>
      </w:r>
      <w:r w:rsidR="001E494E">
        <w:t>'</w:t>
      </w:r>
      <w:r>
        <w:t>UIT est le traitement et la publication des fiches de notification des réseaux à satellite dans la Circulaire internationale d</w:t>
      </w:r>
      <w:r w:rsidR="001E494E">
        <w:t>'</w:t>
      </w:r>
      <w:r>
        <w:t>information sur les fréquences du BR (BR IFIC – Services spatiaux), qui constitue la base des données destinées à aider les administrations dans les processus de coordination des réseaux à satellite.</w:t>
      </w:r>
    </w:p>
    <w:p w14:paraId="1A28E09C" w14:textId="7831D967" w:rsidR="005D7794" w:rsidRDefault="005D7794" w:rsidP="00A448B6">
      <w:r>
        <w:t>Pendant la pandémie de COVID-19, la BR IFIC pour les services spatiaux a pris la forme d</w:t>
      </w:r>
      <w:r w:rsidR="001E494E">
        <w:t>'</w:t>
      </w:r>
      <w:r>
        <w:t>un service électronique en ligne, ce qui constituait non seulement une amélioration, mais aussi un impératif évident sans lequel le processus de coordination des réseaux à satellite et des systèmes à</w:t>
      </w:r>
      <w:r w:rsidR="00CE1CE2">
        <w:t> </w:t>
      </w:r>
      <w:r>
        <w:t>satellites internationaux à l</w:t>
      </w:r>
      <w:r w:rsidR="001E494E">
        <w:t>'</w:t>
      </w:r>
      <w:r>
        <w:t>échelle mondiale aurait été totalement interrompu. Plus récemment, l</w:t>
      </w:r>
      <w:r w:rsidR="001E494E">
        <w:t>'</w:t>
      </w:r>
      <w:r>
        <w:t>UIT a mis en ligne la nouvelle plate-forme consacrée à la BR IFIC pour les services spatiaux, à</w:t>
      </w:r>
      <w:r w:rsidR="00CE1CE2">
        <w:t> </w:t>
      </w:r>
      <w:r>
        <w:t>laquelle le Brésil, qui était l</w:t>
      </w:r>
      <w:r w:rsidR="001E494E">
        <w:t>'</w:t>
      </w:r>
      <w:r>
        <w:t>une des administrations chargées des tests de la version bêta, a participé. Toutefois, le Département responsable à l</w:t>
      </w:r>
      <w:r w:rsidR="001E494E">
        <w:t>'</w:t>
      </w:r>
      <w:r>
        <w:t>UIT a récemment indiqué qu</w:t>
      </w:r>
      <w:r w:rsidR="001E494E">
        <w:t>'</w:t>
      </w:r>
      <w:r>
        <w:t xml:space="preserve">un seul accès gratuit à cette plate-forme pouvait être accordé. </w:t>
      </w:r>
      <w:r w:rsidR="00CE1CE2">
        <w:t>À</w:t>
      </w:r>
      <w:r>
        <w:t xml:space="preserve"> cet égard, l</w:t>
      </w:r>
      <w:r w:rsidR="001E494E">
        <w:t>'</w:t>
      </w:r>
      <w:r>
        <w:t>une des observations les plus importantes que le Brésil souhaiterait formuler, à présent que le système est en phase de production, est que les administrations ne devraient pas bénéficier d</w:t>
      </w:r>
      <w:r w:rsidR="001E494E">
        <w:t>'</w:t>
      </w:r>
      <w:r>
        <w:t>un accès limité, pour un seul utilisateur, à</w:t>
      </w:r>
      <w:r w:rsidR="00CE1CE2">
        <w:t> </w:t>
      </w:r>
      <w:r>
        <w:t>titre gratuit. Cette approche restrictive va radicalement à l</w:t>
      </w:r>
      <w:r w:rsidR="001E494E">
        <w:t>'</w:t>
      </w:r>
      <w:r>
        <w:t>encontre des objectifs de l</w:t>
      </w:r>
      <w:r w:rsidR="001E494E">
        <w:t>'</w:t>
      </w:r>
      <w:r>
        <w:t>Union.</w:t>
      </w:r>
    </w:p>
    <w:p w14:paraId="2C58280D" w14:textId="47965900" w:rsidR="005D7794" w:rsidRDefault="005D7794" w:rsidP="00A448B6">
      <w:r>
        <w:t>Le Brésil propose que l</w:t>
      </w:r>
      <w:r w:rsidR="001E494E">
        <w:t>'</w:t>
      </w:r>
      <w:r>
        <w:t>UIT revoie le nombre d</w:t>
      </w:r>
      <w:r w:rsidR="001E494E">
        <w:t>'</w:t>
      </w:r>
      <w:r>
        <w:t>accès gratuits à la hausse, sauf s</w:t>
      </w:r>
      <w:r w:rsidR="001E494E">
        <w:t>'</w:t>
      </w:r>
      <w:r>
        <w:t>il existe une corrélation claire et directe entre l</w:t>
      </w:r>
      <w:r w:rsidR="001E494E">
        <w:t>'</w:t>
      </w:r>
      <w:r>
        <w:t>augmentation du nombre d</w:t>
      </w:r>
      <w:r w:rsidR="001E494E">
        <w:t>'</w:t>
      </w:r>
      <w:r>
        <w:t>utilisateurs et l</w:t>
      </w:r>
      <w:r w:rsidR="001E494E">
        <w:t>'</w:t>
      </w:r>
      <w:r>
        <w:t>augmentation correspondante des coûts pour l</w:t>
      </w:r>
      <w:r w:rsidR="001E494E">
        <w:t>'</w:t>
      </w:r>
      <w:r>
        <w:t>Union. Le Brésil tient également à noter que les DVD-ROM continuent d</w:t>
      </w:r>
      <w:r w:rsidR="001E494E">
        <w:t>'</w:t>
      </w:r>
      <w:r>
        <w:t>être envoyés par courrier classique, ce qui, dans la plupart des cas, ne constitue peut</w:t>
      </w:r>
      <w:r w:rsidR="00CE1CE2">
        <w:noBreakHyphen/>
      </w:r>
      <w:r>
        <w:t>être plus une pratique judicieuse, car il s</w:t>
      </w:r>
      <w:r w:rsidR="001E494E">
        <w:t>'</w:t>
      </w:r>
      <w:r>
        <w:t>agit d</w:t>
      </w:r>
      <w:r w:rsidR="001E494E">
        <w:t>'</w:t>
      </w:r>
      <w:r>
        <w:t>une attribution inefficace des ressources. Cette pratique pourrait être remplacée par une politique permettant à un plus grand nombre d</w:t>
      </w:r>
      <w:r w:rsidR="001E494E">
        <w:t>'</w:t>
      </w:r>
      <w:r>
        <w:t>utilisateurs d</w:t>
      </w:r>
      <w:r w:rsidR="001E494E">
        <w:t>'</w:t>
      </w:r>
      <w:r>
        <w:t>accéder gratuitement à la nouvelle plate-forme BR IFIC en ligne, du moins pour les administrations qui le souhaitent.</w:t>
      </w:r>
    </w:p>
    <w:p w14:paraId="5FE0519D" w14:textId="67CE0877" w:rsidR="005D7794" w:rsidRDefault="005D7794" w:rsidP="00A448B6">
      <w:r>
        <w:t>Le Brésil souligne également qu</w:t>
      </w:r>
      <w:r w:rsidR="001E494E">
        <w:t>'</w:t>
      </w:r>
      <w:r>
        <w:t>une étude sur le recouvrement des coûts pour le traitement des fiches de notification des réseaux à satellite est actuellement menée par le Groupe d</w:t>
      </w:r>
      <w:r w:rsidR="001E494E">
        <w:t>'</w:t>
      </w:r>
      <w:r>
        <w:t>experts du Conseil sur la Décision 482 et qu</w:t>
      </w:r>
      <w:r w:rsidR="001E494E">
        <w:t>'</w:t>
      </w:r>
      <w:r>
        <w:t>il pourrait être utile d</w:t>
      </w:r>
      <w:r w:rsidR="001E494E">
        <w:t>'</w:t>
      </w:r>
      <w:r>
        <w:t>inclure des informations sur les coûts marginaux réels, par utilisateur, de l</w:t>
      </w:r>
      <w:r w:rsidR="001E494E">
        <w:t>'</w:t>
      </w:r>
      <w:r>
        <w:t>espace BR</w:t>
      </w:r>
      <w:r w:rsidR="00535C82">
        <w:t> </w:t>
      </w:r>
      <w:r>
        <w:t>IFIC en ligne dans le cadre des informations qui seront présentées par le BR à la deuxième réunion de ce groupe.</w:t>
      </w:r>
    </w:p>
    <w:p w14:paraId="3171E673" w14:textId="3865F3DB" w:rsidR="005D7794" w:rsidRDefault="00CE1CE2" w:rsidP="00A448B6">
      <w:pPr>
        <w:keepNext/>
        <w:keepLines/>
      </w:pPr>
      <w:r>
        <w:lastRenderedPageBreak/>
        <w:t>À</w:t>
      </w:r>
      <w:r w:rsidR="005D7794">
        <w:t xml:space="preserve"> cet égard, le Brésil propose:</w:t>
      </w:r>
    </w:p>
    <w:p w14:paraId="6FB392D6" w14:textId="1CAF679A" w:rsidR="005D7794" w:rsidRDefault="005D7794" w:rsidP="00A448B6">
      <w:pPr>
        <w:pStyle w:val="enumlev1"/>
        <w:keepNext/>
        <w:keepLines/>
      </w:pPr>
      <w:r>
        <w:t>•</w:t>
      </w:r>
      <w:r>
        <w:tab/>
      </w:r>
      <w:r w:rsidR="00CE1CE2">
        <w:t>q</w:t>
      </w:r>
      <w:r>
        <w:t>ue le GCR conseille au Directeur du BR de demander que le nombre d</w:t>
      </w:r>
      <w:r w:rsidR="001E494E">
        <w:t>'</w:t>
      </w:r>
      <w:r>
        <w:t>utilisateurs autorisés à accéder gratuitement à la plate-forme BR IFIC en ligne passe d</w:t>
      </w:r>
      <w:r w:rsidR="00A448B6">
        <w:t>e 1</w:t>
      </w:r>
      <w:r>
        <w:t xml:space="preserve"> à </w:t>
      </w:r>
      <w:r w:rsidR="00A448B6">
        <w:t>10</w:t>
      </w:r>
      <w:r>
        <w:t xml:space="preserve"> par administration (a minima)</w:t>
      </w:r>
      <w:r w:rsidR="00CE1CE2">
        <w:t>;</w:t>
      </w:r>
    </w:p>
    <w:p w14:paraId="43A77EDF" w14:textId="666FD1C6" w:rsidR="00AF2EDC" w:rsidRDefault="005D7794" w:rsidP="00A448B6">
      <w:pPr>
        <w:pStyle w:val="enumlev1"/>
      </w:pPr>
      <w:r>
        <w:t>•</w:t>
      </w:r>
      <w:r>
        <w:tab/>
      </w:r>
      <w:r w:rsidR="00CE1CE2">
        <w:t>q</w:t>
      </w:r>
      <w:r>
        <w:t>ue, dans l</w:t>
      </w:r>
      <w:r w:rsidR="001E494E">
        <w:t>'</w:t>
      </w:r>
      <w:r>
        <w:t>éventualité où l</w:t>
      </w:r>
      <w:r w:rsidR="001E494E">
        <w:t>'</w:t>
      </w:r>
      <w:r>
        <w:t>augmentation du nombre d</w:t>
      </w:r>
      <w:r w:rsidR="001E494E">
        <w:t>'</w:t>
      </w:r>
      <w:r>
        <w:t>utilisateurs, qui passerait à 10, se traduirait par une augmentation des coûts pour l</w:t>
      </w:r>
      <w:r w:rsidR="001E494E">
        <w:t>'</w:t>
      </w:r>
      <w:r>
        <w:t>Union, le BR donne des précisions sur les fondements techniques de cette augmentation des coûts et, afin de compenser ces coûts, suspende l</w:t>
      </w:r>
      <w:r w:rsidR="001E494E">
        <w:t>'</w:t>
      </w:r>
      <w:r>
        <w:t>envoi de la BR IFIC (Services spatiaux) sur support DVD-ROM physique aux administrations qui souhaitent que davantage d</w:t>
      </w:r>
      <w:r w:rsidR="001E494E">
        <w:t>'</w:t>
      </w:r>
      <w:r>
        <w:t>utilisateurs puissent accéder gratuitement à</w:t>
      </w:r>
      <w:r w:rsidR="00A448B6">
        <w:t> </w:t>
      </w:r>
      <w:r>
        <w:t>la plate-forme BR IFIC en ligne.</w:t>
      </w:r>
    </w:p>
    <w:p w14:paraId="5047DDBA" w14:textId="77777777" w:rsidR="005D7794" w:rsidRDefault="005D7794" w:rsidP="00A448B6">
      <w:pPr>
        <w:jc w:val="center"/>
      </w:pPr>
      <w:r>
        <w:t>______________</w:t>
      </w:r>
    </w:p>
    <w:sectPr w:rsidR="005D779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BB82" w14:textId="77777777" w:rsidR="005D7794" w:rsidRDefault="005D7794">
      <w:r>
        <w:separator/>
      </w:r>
    </w:p>
  </w:endnote>
  <w:endnote w:type="continuationSeparator" w:id="0">
    <w:p w14:paraId="12B761BE" w14:textId="77777777" w:rsidR="005D7794" w:rsidRDefault="005D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D7E9" w14:textId="77777777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5D7794">
      <w:rPr>
        <w:lang w:val="en-US"/>
      </w:rPr>
      <w:t>Document2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5D7794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5D7794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AF17" w14:textId="1D2CED5E" w:rsidR="00847AAC" w:rsidRPr="00CE1CE2" w:rsidRDefault="00CE1CE2" w:rsidP="00CE1CE2">
    <w:pPr>
      <w:pStyle w:val="Footer"/>
      <w:rPr>
        <w:lang w:val="en-GB"/>
      </w:rPr>
    </w:pPr>
    <w:r>
      <w:fldChar w:fldCharType="begin"/>
    </w:r>
    <w:r w:rsidRPr="00CE1CE2">
      <w:rPr>
        <w:lang w:val="en-GB"/>
      </w:rPr>
      <w:instrText xml:space="preserve"> FILENAME \p  \* MERGEFORMAT </w:instrText>
    </w:r>
    <w:r>
      <w:fldChar w:fldCharType="separate"/>
    </w:r>
    <w:r w:rsidRPr="00CE1CE2">
      <w:rPr>
        <w:lang w:val="en-GB"/>
      </w:rPr>
      <w:t>P:\FRA\ITU-R\AG\RAG\RAG24\000\009F.docx</w:t>
    </w:r>
    <w:r>
      <w:fldChar w:fldCharType="end"/>
    </w:r>
    <w:r w:rsidRPr="00CE1CE2">
      <w:rPr>
        <w:lang w:val="en-GB"/>
      </w:rPr>
      <w:t xml:space="preserve"> </w:t>
    </w:r>
    <w:r>
      <w:rPr>
        <w:lang w:val="en-GB"/>
      </w:rPr>
      <w:t>(534955</w:t>
    </w:r>
    <w:r w:rsidRPr="00CE1CE2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EE6B" w14:textId="6F0D7A78" w:rsidR="00847AAC" w:rsidRPr="00CE1CE2" w:rsidRDefault="00CE1CE2" w:rsidP="00CE1CE2">
    <w:pPr>
      <w:pStyle w:val="Footer"/>
      <w:rPr>
        <w:lang w:val="en-GB"/>
      </w:rPr>
    </w:pPr>
    <w:r>
      <w:fldChar w:fldCharType="begin"/>
    </w:r>
    <w:r w:rsidRPr="00CE1CE2">
      <w:rPr>
        <w:lang w:val="en-GB"/>
      </w:rPr>
      <w:instrText xml:space="preserve"> FILENAME \p  \* MERGEFORMAT </w:instrText>
    </w:r>
    <w:r>
      <w:fldChar w:fldCharType="separate"/>
    </w:r>
    <w:r w:rsidRPr="00CE1CE2">
      <w:rPr>
        <w:lang w:val="en-GB"/>
      </w:rPr>
      <w:t>P:\FRA\ITU-R\AG\RAG\RAG24\000\009F.docx</w:t>
    </w:r>
    <w:r>
      <w:fldChar w:fldCharType="end"/>
    </w:r>
    <w:r w:rsidRPr="00CE1CE2">
      <w:rPr>
        <w:lang w:val="en-GB"/>
      </w:rPr>
      <w:t xml:space="preserve"> </w:t>
    </w:r>
    <w:r>
      <w:rPr>
        <w:lang w:val="en-GB"/>
      </w:rPr>
      <w:t>(534955</w:t>
    </w:r>
    <w:r w:rsidRPr="00CE1CE2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6E74" w14:textId="77777777" w:rsidR="005D7794" w:rsidRDefault="005D7794">
      <w:r>
        <w:t>____________________</w:t>
      </w:r>
    </w:p>
  </w:footnote>
  <w:footnote w:type="continuationSeparator" w:id="0">
    <w:p w14:paraId="58FF98F8" w14:textId="77777777" w:rsidR="005D7794" w:rsidRDefault="005D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635D" w14:textId="77777777"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ADF1" w14:textId="77777777"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711EA">
      <w:rPr>
        <w:noProof/>
      </w:rPr>
      <w:t>2</w:t>
    </w:r>
    <w:r>
      <w:rPr>
        <w:noProof/>
      </w:rPr>
      <w:fldChar w:fldCharType="end"/>
    </w:r>
  </w:p>
  <w:p w14:paraId="77A5B75C" w14:textId="2DA55B3E" w:rsidR="00847AAC" w:rsidRDefault="0097156E" w:rsidP="007711EA">
    <w:pPr>
      <w:pStyle w:val="Header"/>
      <w:rPr>
        <w:lang w:val="es-ES"/>
      </w:rPr>
    </w:pPr>
    <w:r>
      <w:rPr>
        <w:lang w:val="es-ES"/>
      </w:rPr>
      <w:t>RAG</w:t>
    </w:r>
    <w:r w:rsidR="005D7794">
      <w:rPr>
        <w:lang w:val="es-ES"/>
      </w:rPr>
      <w:t>24</w:t>
    </w:r>
    <w:r w:rsidR="00847AAC">
      <w:rPr>
        <w:lang w:val="es-ES"/>
      </w:rPr>
      <w:t>/</w:t>
    </w:r>
    <w:r w:rsidR="005D7794">
      <w:rPr>
        <w:lang w:val="es-ES"/>
      </w:rPr>
      <w:t>9</w:t>
    </w:r>
    <w:r w:rsidR="00AF2EDC">
      <w:rPr>
        <w:lang w:val="es-ES"/>
      </w:rPr>
      <w:t>-</w:t>
    </w:r>
    <w:r w:rsidR="00847AAC">
      <w:rPr>
        <w:lang w:val="es-ES"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94"/>
    <w:rsid w:val="000C06D8"/>
    <w:rsid w:val="00140AE6"/>
    <w:rsid w:val="001E494E"/>
    <w:rsid w:val="00222A1C"/>
    <w:rsid w:val="002D238A"/>
    <w:rsid w:val="003A6CEE"/>
    <w:rsid w:val="00405FBE"/>
    <w:rsid w:val="00443261"/>
    <w:rsid w:val="004E1CCF"/>
    <w:rsid w:val="004E76DF"/>
    <w:rsid w:val="005031C8"/>
    <w:rsid w:val="005207F5"/>
    <w:rsid w:val="00535C82"/>
    <w:rsid w:val="005430E4"/>
    <w:rsid w:val="00587292"/>
    <w:rsid w:val="005D7794"/>
    <w:rsid w:val="0067019B"/>
    <w:rsid w:val="00677EE5"/>
    <w:rsid w:val="00694DEF"/>
    <w:rsid w:val="006A6286"/>
    <w:rsid w:val="007711EA"/>
    <w:rsid w:val="00773E5E"/>
    <w:rsid w:val="008069E9"/>
    <w:rsid w:val="00847AAC"/>
    <w:rsid w:val="00902253"/>
    <w:rsid w:val="00925627"/>
    <w:rsid w:val="0093101F"/>
    <w:rsid w:val="0097156E"/>
    <w:rsid w:val="009F63EC"/>
    <w:rsid w:val="00A06008"/>
    <w:rsid w:val="00A448B6"/>
    <w:rsid w:val="00A9055C"/>
    <w:rsid w:val="00AB7F92"/>
    <w:rsid w:val="00AC39EE"/>
    <w:rsid w:val="00AF2EDC"/>
    <w:rsid w:val="00B41D84"/>
    <w:rsid w:val="00BA0C7B"/>
    <w:rsid w:val="00BC4591"/>
    <w:rsid w:val="00C72A86"/>
    <w:rsid w:val="00CC5B9E"/>
    <w:rsid w:val="00CC7208"/>
    <w:rsid w:val="00CE1CE2"/>
    <w:rsid w:val="00CE6184"/>
    <w:rsid w:val="00D04B93"/>
    <w:rsid w:val="00D228F7"/>
    <w:rsid w:val="00D34E1C"/>
    <w:rsid w:val="00D95965"/>
    <w:rsid w:val="00DD55EB"/>
    <w:rsid w:val="00E2659D"/>
    <w:rsid w:val="00EC0F12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4AD68"/>
  <w15:docId w15:val="{0FFF9B63-4487-47EF-B665-6D74B73F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5D77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Revision">
    <w:name w:val="Revision"/>
    <w:hidden/>
    <w:uiPriority w:val="99"/>
    <w:semiHidden/>
    <w:rsid w:val="00CE1CE2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BR\PF_RA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PF_RAG.dotm</Template>
  <TotalTime>26</TotalTime>
  <Pages>2</Pages>
  <Words>574</Words>
  <Characters>3183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AUGMENTATION DU NOMBRE D'ACCÈS GRATUITS EN LIGNE À LA BR IFIC ET INCIDENCES SUR LE PLAN DU RECOUVREMENT DES COÛTS</vt:lpstr>
    </vt:vector>
  </TitlesOfParts>
  <Manager>General Secretariat - Pool</Manager>
  <Company>International Telecommunication Union (ITU)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AUGMENTATION DU NOMBRE D'ACCÈS GRATUITS EN LIGNE À LA BR IFIC ET INCIDENCES SUR LE PLAN DU RECOUVREMENT DES COÛTS</dc:title>
  <dc:subject>GROUPE CONSULTATIF DES RADIOCOMMUNICATIONS</dc:subject>
  <dc:creator>Brésil (République fédérative du)</dc:creator>
  <cp:keywords>RAG03-1</cp:keywords>
  <dc:description>Document RAG/9-F  For: _x000d_Document date: 10 mars 2024_x000d_Saved by ITU51013873 at 1:43:21 PM on 3/11/2024</dc:description>
  <cp:lastModifiedBy>French</cp:lastModifiedBy>
  <cp:revision>8</cp:revision>
  <cp:lastPrinted>1999-10-11T14:58:00Z</cp:lastPrinted>
  <dcterms:created xsi:type="dcterms:W3CDTF">2024-03-11T12:13:00Z</dcterms:created>
  <dcterms:modified xsi:type="dcterms:W3CDTF">2024-03-11T12:43:00Z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RAG/9-F</vt:lpwstr>
  </property>
  <property fmtid="{D5CDD505-2E9C-101B-9397-08002B2CF9AE}" pid="3" name="Docdate">
    <vt:lpwstr>10 mars 2024</vt:lpwstr>
  </property>
  <property fmtid="{D5CDD505-2E9C-101B-9397-08002B2CF9AE}" pid="4" name="Docorlang">
    <vt:lpwstr>Original: anglais</vt:lpwstr>
  </property>
  <property fmtid="{D5CDD505-2E9C-101B-9397-08002B2CF9AE}" pid="5" name="Docauthor">
    <vt:lpwstr>Brésil (République fédérative du)</vt:lpwstr>
  </property>
</Properties>
</file>