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14:paraId="29EBD4F0" w14:textId="77777777" w:rsidTr="00EC0BE3">
        <w:trPr>
          <w:cantSplit/>
        </w:trPr>
        <w:tc>
          <w:tcPr>
            <w:tcW w:w="6477" w:type="dxa"/>
            <w:vAlign w:val="center"/>
          </w:tcPr>
          <w:p w14:paraId="0E73BCD5"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B35BE4">
        <w:trPr>
          <w:cantSplit/>
        </w:trPr>
        <w:tc>
          <w:tcPr>
            <w:tcW w:w="6487" w:type="dxa"/>
            <w:gridSpan w:val="2"/>
            <w:tcBorders>
              <w:bottom w:val="single" w:sz="12" w:space="0" w:color="auto"/>
            </w:tcBorders>
          </w:tcPr>
          <w:p w14:paraId="5754C00C"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B35BE4">
            <w:pPr>
              <w:shd w:val="solid" w:color="FFFFFF" w:fill="FFFFFF"/>
              <w:spacing w:before="0" w:after="48" w:line="240" w:lineRule="atLeast"/>
              <w:rPr>
                <w:sz w:val="22"/>
                <w:szCs w:val="22"/>
                <w:lang w:val="en-US"/>
              </w:rPr>
            </w:pPr>
          </w:p>
        </w:tc>
      </w:tr>
      <w:tr w:rsidR="0051782D" w14:paraId="653F22AE" w14:textId="77777777" w:rsidTr="00B35BE4">
        <w:trPr>
          <w:cantSplit/>
        </w:trPr>
        <w:tc>
          <w:tcPr>
            <w:tcW w:w="6487" w:type="dxa"/>
            <w:gridSpan w:val="2"/>
            <w:tcBorders>
              <w:top w:val="single" w:sz="12" w:space="0" w:color="auto"/>
            </w:tcBorders>
          </w:tcPr>
          <w:p w14:paraId="1E9023F7"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77777777" w:rsidR="0051782D" w:rsidRPr="00710D66" w:rsidRDefault="0051782D" w:rsidP="00B35BE4">
            <w:pPr>
              <w:shd w:val="solid" w:color="FFFFFF" w:fill="FFFFFF"/>
              <w:spacing w:before="0" w:after="48" w:line="240" w:lineRule="atLeast"/>
              <w:rPr>
                <w:lang w:val="en-US"/>
              </w:rPr>
            </w:pPr>
          </w:p>
        </w:tc>
      </w:tr>
      <w:tr w:rsidR="0051782D" w14:paraId="30F64E70" w14:textId="77777777" w:rsidTr="00B35BE4">
        <w:trPr>
          <w:cantSplit/>
        </w:trPr>
        <w:tc>
          <w:tcPr>
            <w:tcW w:w="6487" w:type="dxa"/>
            <w:gridSpan w:val="2"/>
            <w:vMerge w:val="restart"/>
          </w:tcPr>
          <w:p w14:paraId="42225AAE" w14:textId="77777777" w:rsidR="0051782D" w:rsidRDefault="0051782D" w:rsidP="00B35BE4">
            <w:pPr>
              <w:shd w:val="solid" w:color="FFFFFF" w:fill="FFFFFF"/>
              <w:spacing w:after="240"/>
              <w:rPr>
                <w:sz w:val="20"/>
              </w:rPr>
            </w:pPr>
            <w:bookmarkStart w:id="0" w:name="dnum" w:colFirst="1" w:colLast="1"/>
          </w:p>
        </w:tc>
        <w:tc>
          <w:tcPr>
            <w:tcW w:w="3402" w:type="dxa"/>
          </w:tcPr>
          <w:p w14:paraId="3AFDAD83" w14:textId="152A94BF" w:rsidR="0051782D" w:rsidRPr="007A7B53" w:rsidRDefault="001A0041" w:rsidP="001A0041">
            <w:pPr>
              <w:shd w:val="solid" w:color="FFFFFF" w:fill="FFFFFF"/>
              <w:spacing w:before="0" w:line="240" w:lineRule="atLeast"/>
              <w:rPr>
                <w:rFonts w:ascii="Verdana" w:hAnsi="Verdana"/>
                <w:b/>
                <w:sz w:val="20"/>
              </w:rPr>
            </w:pPr>
            <w:r>
              <w:rPr>
                <w:rFonts w:ascii="Verdana" w:hAnsi="Verdana"/>
                <w:b/>
                <w:sz w:val="20"/>
              </w:rPr>
              <w:t>Document RAG/</w:t>
            </w:r>
            <w:r w:rsidR="00A978B4">
              <w:rPr>
                <w:rFonts w:ascii="Verdana" w:hAnsi="Verdana"/>
                <w:b/>
                <w:sz w:val="20"/>
              </w:rPr>
              <w:t>8</w:t>
            </w:r>
            <w:r>
              <w:rPr>
                <w:rFonts w:ascii="Verdana" w:hAnsi="Verdana"/>
                <w:b/>
                <w:sz w:val="20"/>
              </w:rPr>
              <w:t>-E</w:t>
            </w:r>
          </w:p>
        </w:tc>
      </w:tr>
      <w:tr w:rsidR="0051782D" w14:paraId="73C3C199" w14:textId="77777777" w:rsidTr="00B35BE4">
        <w:trPr>
          <w:cantSplit/>
        </w:trPr>
        <w:tc>
          <w:tcPr>
            <w:tcW w:w="6487" w:type="dxa"/>
            <w:gridSpan w:val="2"/>
            <w:vMerge/>
          </w:tcPr>
          <w:p w14:paraId="742BDBFA" w14:textId="77777777" w:rsidR="0051782D" w:rsidRDefault="0051782D" w:rsidP="00B35BE4">
            <w:pPr>
              <w:spacing w:before="60"/>
              <w:jc w:val="center"/>
              <w:rPr>
                <w:b/>
                <w:smallCaps/>
                <w:sz w:val="32"/>
              </w:rPr>
            </w:pPr>
            <w:bookmarkStart w:id="1" w:name="ddate" w:colFirst="1" w:colLast="1"/>
            <w:bookmarkEnd w:id="0"/>
          </w:p>
        </w:tc>
        <w:tc>
          <w:tcPr>
            <w:tcW w:w="3402" w:type="dxa"/>
          </w:tcPr>
          <w:p w14:paraId="51A2F5FD" w14:textId="75061D2E" w:rsidR="0051782D" w:rsidRPr="007A7B53" w:rsidRDefault="00A978B4" w:rsidP="001A0041">
            <w:pPr>
              <w:shd w:val="solid" w:color="FFFFFF" w:fill="FFFFFF"/>
              <w:spacing w:before="0" w:line="240" w:lineRule="atLeast"/>
              <w:rPr>
                <w:rFonts w:ascii="Verdana" w:hAnsi="Verdana"/>
                <w:b/>
                <w:sz w:val="20"/>
              </w:rPr>
            </w:pPr>
            <w:r>
              <w:rPr>
                <w:rFonts w:ascii="Verdana" w:hAnsi="Verdana"/>
                <w:b/>
                <w:sz w:val="20"/>
              </w:rPr>
              <w:t>05</w:t>
            </w:r>
            <w:r w:rsidR="003E38D3">
              <w:rPr>
                <w:rFonts w:ascii="Verdana" w:hAnsi="Verdana"/>
                <w:b/>
                <w:sz w:val="20"/>
              </w:rPr>
              <w:t xml:space="preserve"> </w:t>
            </w:r>
            <w:r>
              <w:rPr>
                <w:rFonts w:ascii="Verdana" w:hAnsi="Verdana"/>
                <w:b/>
                <w:sz w:val="20"/>
              </w:rPr>
              <w:t>March</w:t>
            </w:r>
            <w:r w:rsidR="003E38D3">
              <w:rPr>
                <w:rFonts w:ascii="Verdana" w:hAnsi="Verdana"/>
                <w:b/>
                <w:sz w:val="20"/>
              </w:rPr>
              <w:t xml:space="preserve"> 2024</w:t>
            </w:r>
          </w:p>
        </w:tc>
      </w:tr>
      <w:tr w:rsidR="0051782D" w14:paraId="2A70EAD6" w14:textId="77777777" w:rsidTr="00B35BE4">
        <w:trPr>
          <w:cantSplit/>
        </w:trPr>
        <w:tc>
          <w:tcPr>
            <w:tcW w:w="6487" w:type="dxa"/>
            <w:gridSpan w:val="2"/>
            <w:vMerge/>
          </w:tcPr>
          <w:p w14:paraId="37E710DB" w14:textId="77777777" w:rsidR="0051782D" w:rsidRDefault="0051782D" w:rsidP="00B35BE4">
            <w:pPr>
              <w:spacing w:before="60"/>
              <w:jc w:val="center"/>
              <w:rPr>
                <w:b/>
                <w:smallCaps/>
                <w:sz w:val="32"/>
              </w:rPr>
            </w:pPr>
            <w:bookmarkStart w:id="2" w:name="dorlang" w:colFirst="1" w:colLast="1"/>
            <w:bookmarkEnd w:id="1"/>
          </w:p>
        </w:tc>
        <w:tc>
          <w:tcPr>
            <w:tcW w:w="3402" w:type="dxa"/>
          </w:tcPr>
          <w:p w14:paraId="367E6838" w14:textId="5CC96363" w:rsidR="0051782D" w:rsidRPr="007A7B53" w:rsidRDefault="001A0041" w:rsidP="007A7B53">
            <w:pPr>
              <w:shd w:val="solid" w:color="FFFFFF" w:fill="FFFFFF"/>
              <w:spacing w:before="0" w:line="240" w:lineRule="atLeast"/>
              <w:rPr>
                <w:rFonts w:ascii="Verdana" w:hAnsi="Verdana"/>
                <w:b/>
                <w:sz w:val="20"/>
              </w:rPr>
            </w:pPr>
            <w:r>
              <w:rPr>
                <w:rFonts w:ascii="Verdana" w:hAnsi="Verdana"/>
                <w:b/>
                <w:sz w:val="20"/>
              </w:rPr>
              <w:t xml:space="preserve">Original: </w:t>
            </w:r>
            <w:r w:rsidR="00B249A3">
              <w:rPr>
                <w:rFonts w:ascii="Verdana" w:hAnsi="Verdana"/>
                <w:b/>
                <w:sz w:val="20"/>
              </w:rPr>
              <w:t>English</w:t>
            </w:r>
          </w:p>
        </w:tc>
      </w:tr>
      <w:tr w:rsidR="00093C73" w14:paraId="67CF20AF" w14:textId="77777777" w:rsidTr="00B35BE4">
        <w:trPr>
          <w:cantSplit/>
        </w:trPr>
        <w:tc>
          <w:tcPr>
            <w:tcW w:w="9889" w:type="dxa"/>
            <w:gridSpan w:val="3"/>
          </w:tcPr>
          <w:p w14:paraId="60448D20" w14:textId="00AA5D38" w:rsidR="00FA7789" w:rsidRDefault="00A978B4" w:rsidP="00812C40">
            <w:pPr>
              <w:pStyle w:val="Source"/>
            </w:pPr>
            <w:bookmarkStart w:id="3" w:name="dsource" w:colFirst="0" w:colLast="0"/>
            <w:bookmarkEnd w:id="2"/>
            <w:r>
              <w:t>United States of America</w:t>
            </w:r>
            <w:r w:rsidR="007A7B53">
              <w:t xml:space="preserve">  </w:t>
            </w:r>
          </w:p>
          <w:p w14:paraId="48EDD9F3" w14:textId="1FAD2185" w:rsidR="00093C73" w:rsidRDefault="00A978B4" w:rsidP="007A7B53">
            <w:pPr>
              <w:pStyle w:val="Title1"/>
            </w:pPr>
            <w:r w:rsidRPr="00A978B4">
              <w:t>Consideration of Improvement of the Conference preparatory meeting (CPM) Process</w:t>
            </w:r>
          </w:p>
        </w:tc>
      </w:tr>
      <w:tr w:rsidR="00093C73" w14:paraId="12243263" w14:textId="77777777" w:rsidTr="00B35BE4">
        <w:trPr>
          <w:cantSplit/>
        </w:trPr>
        <w:tc>
          <w:tcPr>
            <w:tcW w:w="9889" w:type="dxa"/>
            <w:gridSpan w:val="3"/>
          </w:tcPr>
          <w:p w14:paraId="1025B883" w14:textId="77777777" w:rsidR="00093C73" w:rsidRDefault="00093C73" w:rsidP="005B2C58">
            <w:pPr>
              <w:pStyle w:val="Title1"/>
            </w:pPr>
            <w:bookmarkStart w:id="4" w:name="dtitle1" w:colFirst="0" w:colLast="0"/>
            <w:bookmarkEnd w:id="3"/>
          </w:p>
        </w:tc>
      </w:tr>
    </w:tbl>
    <w:bookmarkEnd w:id="4"/>
    <w:p w14:paraId="2C6418FD" w14:textId="77777777" w:rsidR="00A978B4" w:rsidRPr="008226BA" w:rsidRDefault="00A978B4" w:rsidP="00A978B4">
      <w:pPr>
        <w:overflowPunct/>
        <w:autoSpaceDE/>
        <w:autoSpaceDN/>
        <w:adjustRightInd/>
        <w:spacing w:before="720"/>
        <w:textAlignment w:val="auto"/>
        <w:rPr>
          <w:szCs w:val="24"/>
          <w:lang w:eastAsia="zh-CN"/>
        </w:rPr>
      </w:pPr>
      <w:r w:rsidRPr="008226BA">
        <w:rPr>
          <w:szCs w:val="24"/>
        </w:rPr>
        <w:t>This document proposes the creation of a Correspondence Group (CG) of the Radiocommunication Advisory Group (RAG) to consider further improvements to ITU-R Resolution 2 on the CPM, building on proposals, discussions, and conclusions of the 2023 Radiocommunication Assembly (RA-23).  It also proposes draft Terms of Reference for the CG should RAG decide to create such a group.</w:t>
      </w:r>
    </w:p>
    <w:p w14:paraId="171F60C7" w14:textId="77777777" w:rsidR="00A978B4" w:rsidRPr="008226BA" w:rsidRDefault="00A978B4" w:rsidP="00A978B4">
      <w:pPr>
        <w:spacing w:before="0"/>
        <w:rPr>
          <w:szCs w:val="24"/>
        </w:rPr>
      </w:pPr>
    </w:p>
    <w:p w14:paraId="29D074FB" w14:textId="77777777" w:rsidR="00A978B4" w:rsidRPr="008226BA" w:rsidRDefault="00A978B4" w:rsidP="00A978B4">
      <w:pPr>
        <w:spacing w:before="0"/>
        <w:rPr>
          <w:szCs w:val="24"/>
        </w:rPr>
      </w:pPr>
      <w:r w:rsidRPr="008226BA">
        <w:rPr>
          <w:szCs w:val="24"/>
        </w:rPr>
        <w:t>In considering the revision of Resolution ITU-R 2 at RA-23, the following was noted in the Summary Report of the Fourth Plenary Meeting:</w:t>
      </w:r>
    </w:p>
    <w:p w14:paraId="3D248DFC" w14:textId="77777777" w:rsidR="00A978B4" w:rsidRPr="008226BA" w:rsidRDefault="00A978B4" w:rsidP="00A978B4">
      <w:pPr>
        <w:rPr>
          <w:szCs w:val="24"/>
        </w:rPr>
      </w:pPr>
      <w:r w:rsidRPr="008226BA">
        <w:rPr>
          <w:szCs w:val="24"/>
          <w:lang w:eastAsia="zh-CN"/>
        </w:rPr>
        <w:t>“While considering the contributions proposing modifications to Resolution ITU</w:t>
      </w:r>
      <w:r>
        <w:rPr>
          <w:szCs w:val="24"/>
          <w:lang w:eastAsia="zh-CN"/>
        </w:rPr>
        <w:t>-</w:t>
      </w:r>
      <w:r w:rsidRPr="008226BA">
        <w:rPr>
          <w:szCs w:val="24"/>
          <w:lang w:eastAsia="zh-CN"/>
        </w:rPr>
        <w:t>R 2-8 during the RA</w:t>
      </w:r>
      <w:r>
        <w:rPr>
          <w:szCs w:val="24"/>
          <w:lang w:eastAsia="zh-CN"/>
        </w:rPr>
        <w:t>-</w:t>
      </w:r>
      <w:r w:rsidRPr="008226BA">
        <w:rPr>
          <w:szCs w:val="24"/>
          <w:lang w:eastAsia="zh-CN"/>
        </w:rPr>
        <w:t>23, it was agreed that it is necessary to verify the efficiency of the CPM Process. A few issues were identified that may be helpful to assess in the future. Some views were expressed that it may be useful to review the mandate of the second session of the CPM and its duration. One of the possible proposed approaches is to task the CPM Management Team to prepare the final CPM Report based on draft CPM texts submitted by the responsible groups and use the second session as an opportunity to exchange views among regional groups taking due course not to duplicate the role of ITU Inter-regional Workshops on WRC23 Preparation. This approach would increase the time available for studies by the responsible groups and would reduce the financial resources required by both the ITU and the participating members. Other views were in favour of maintaining the current situation.</w:t>
      </w:r>
      <w:r w:rsidRPr="008226BA">
        <w:rPr>
          <w:szCs w:val="24"/>
        </w:rPr>
        <w:t>”</w:t>
      </w:r>
    </w:p>
    <w:p w14:paraId="3D02C09D" w14:textId="3E67DD5B" w:rsidR="00A978B4" w:rsidRDefault="00A978B4" w:rsidP="00A978B4">
      <w:pPr>
        <w:rPr>
          <w:szCs w:val="24"/>
        </w:rPr>
      </w:pPr>
      <w:r w:rsidRPr="008226BA">
        <w:rPr>
          <w:szCs w:val="24"/>
        </w:rPr>
        <w:t>It was also noted that the RAG could potentially perform those tasks.  The Plenary invited the Director of the Radiocommunication Bureau to undertake consultations to identify a suitable option to addressing this task.</w:t>
      </w:r>
      <w:r>
        <w:rPr>
          <w:szCs w:val="24"/>
        </w:rPr>
        <w:t xml:space="preserve">  Herein, the United States propose a Correspondence Group of the RAG to accomplish this task and draft Terms of Reference for such a group as given in the Annex.</w:t>
      </w:r>
    </w:p>
    <w:p w14:paraId="77BD6261" w14:textId="37742264" w:rsidR="00A978B4" w:rsidRDefault="00A978B4">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p w14:paraId="1979CD31" w14:textId="77777777" w:rsidR="00A978B4" w:rsidRPr="008226BA" w:rsidRDefault="00A978B4" w:rsidP="00A978B4">
      <w:pPr>
        <w:pStyle w:val="AnnexNotitle"/>
      </w:pPr>
      <w:r w:rsidRPr="008226BA">
        <w:lastRenderedPageBreak/>
        <w:t>ANNEX</w:t>
      </w:r>
    </w:p>
    <w:p w14:paraId="70C18ED7" w14:textId="77777777" w:rsidR="00A978B4" w:rsidRPr="008226BA" w:rsidRDefault="00A978B4" w:rsidP="00A978B4">
      <w:pPr>
        <w:pStyle w:val="AnnexNotitle"/>
      </w:pPr>
      <w:r w:rsidRPr="008226BA">
        <w:t>Draft Terms of Reference of the RAG Correspondence Group on Improving the Conference Preparatory Meeting (CPM) Process</w:t>
      </w:r>
    </w:p>
    <w:p w14:paraId="4C91B73B" w14:textId="77777777" w:rsidR="00A978B4" w:rsidRDefault="00A978B4" w:rsidP="00A978B4">
      <w:pPr>
        <w:pStyle w:val="Heading1"/>
      </w:pPr>
      <w:r w:rsidRPr="008226BA">
        <w:t xml:space="preserve">Introduction </w:t>
      </w:r>
    </w:p>
    <w:p w14:paraId="215A8C58" w14:textId="77777777" w:rsidR="00A978B4" w:rsidRDefault="00A978B4" w:rsidP="00A978B4">
      <w:pPr>
        <w:pStyle w:val="x-scope"/>
      </w:pPr>
      <w:r w:rsidRPr="008226BA">
        <w:t xml:space="preserve">Radiocommunication Assembly 2023 in </w:t>
      </w:r>
      <w:hyperlink r:id="rId11" w:history="1">
        <w:r w:rsidRPr="008226BA">
          <w:rPr>
            <w:rStyle w:val="Hyperlink"/>
          </w:rPr>
          <w:t>RA23/PLEN/102</w:t>
        </w:r>
      </w:hyperlink>
      <w:r w:rsidRPr="008226BA">
        <w:t xml:space="preserve"> noted that “it was agreed that it is necessary to verify the efficiency of the CPM Process.”  Regarding which group would perform this task, “the Director of the Radiocommunication Bureau also confirmed that [this] task could be assigned to the RAG.”  In accordance with §§ </w:t>
      </w:r>
      <w:r w:rsidRPr="008226BA">
        <w:rPr>
          <w:b/>
          <w:bCs/>
        </w:rPr>
        <w:t>A1.4.1</w:t>
      </w:r>
      <w:r w:rsidRPr="008226BA">
        <w:t xml:space="preserve"> through </w:t>
      </w:r>
      <w:r w:rsidRPr="008226BA">
        <w:rPr>
          <w:b/>
          <w:bCs/>
        </w:rPr>
        <w:t>A1.4.4</w:t>
      </w:r>
      <w:r w:rsidRPr="008226BA">
        <w:t xml:space="preserve"> of Resolution ITU-R </w:t>
      </w:r>
      <w:r w:rsidRPr="008226BA">
        <w:rPr>
          <w:b/>
          <w:bCs/>
        </w:rPr>
        <w:t>1-9</w:t>
      </w:r>
      <w:r w:rsidRPr="008226BA">
        <w:t>, the 31</w:t>
      </w:r>
      <w:r w:rsidRPr="008226BA">
        <w:rPr>
          <w:vertAlign w:val="superscript"/>
        </w:rPr>
        <w:t>st</w:t>
      </w:r>
      <w:r w:rsidRPr="008226BA">
        <w:t xml:space="preserve"> Meeting </w:t>
      </w:r>
      <w:r>
        <w:t xml:space="preserve">of the </w:t>
      </w:r>
      <w:r w:rsidRPr="008226BA">
        <w:t xml:space="preserve">RAG decided to form a Correspondence Group of the RAG for this purpose.  Based on proposals from the Member States and Sector Members and in consultation with the Study Group Chairmen, the RAG Correspondence Group (CG-CPM) is invited to provide possible revisions of Resolution ITU-R </w:t>
      </w:r>
      <w:r w:rsidRPr="008226BA">
        <w:rPr>
          <w:b/>
          <w:bCs/>
        </w:rPr>
        <w:t>2-9</w:t>
      </w:r>
      <w:r w:rsidRPr="008226BA">
        <w:t xml:space="preserve"> with the following Terms of Reference: </w:t>
      </w:r>
    </w:p>
    <w:p w14:paraId="5E12860F" w14:textId="77777777" w:rsidR="00A978B4" w:rsidRPr="00A978B4" w:rsidRDefault="00A978B4" w:rsidP="00A217AB">
      <w:pPr>
        <w:pStyle w:val="Heading1"/>
        <w:tabs>
          <w:tab w:val="clear" w:pos="794"/>
          <w:tab w:val="clear" w:pos="1191"/>
        </w:tabs>
        <w:ind w:left="0" w:firstLine="0"/>
      </w:pPr>
      <w:r w:rsidRPr="00A978B4">
        <w:t xml:space="preserve">Possible revision of Resolution ITU-R 2-9 with respect to </w:t>
      </w:r>
      <w:r w:rsidRPr="00A978B4">
        <w:rPr>
          <w:i/>
          <w:iCs/>
        </w:rPr>
        <w:t xml:space="preserve">resolves </w:t>
      </w:r>
      <w:r w:rsidRPr="00A978B4">
        <w:t>2</w:t>
      </w:r>
      <w:r w:rsidRPr="00A978B4">
        <w:rPr>
          <w:i/>
          <w:iCs/>
        </w:rPr>
        <w:t xml:space="preserve"> </w:t>
      </w:r>
      <w:r w:rsidRPr="00A978B4">
        <w:t>g)</w:t>
      </w:r>
      <w:r w:rsidRPr="00A978B4">
        <w:rPr>
          <w:i/>
          <w:iCs/>
        </w:rPr>
        <w:t xml:space="preserve"> </w:t>
      </w:r>
      <w:r w:rsidRPr="00A978B4">
        <w:t xml:space="preserve">and Annex 1, Sections A1.2.3, A1.2.5, and A1.6: </w:t>
      </w:r>
    </w:p>
    <w:p w14:paraId="2AA6B987" w14:textId="77777777" w:rsidR="00A978B4" w:rsidRPr="00A978B4" w:rsidRDefault="00A978B4" w:rsidP="00A217AB">
      <w:pPr>
        <w:pStyle w:val="x-scope"/>
        <w:numPr>
          <w:ilvl w:val="0"/>
          <w:numId w:val="16"/>
        </w:numPr>
      </w:pPr>
      <w:r w:rsidRPr="00A978B4">
        <w:t xml:space="preserve">review the mandate of the second session of the CPM and its duration and consider possible improvements to the CPM </w:t>
      </w:r>
      <w:proofErr w:type="gramStart"/>
      <w:r w:rsidRPr="00A978B4">
        <w:t>process;</w:t>
      </w:r>
      <w:proofErr w:type="gramEnd"/>
    </w:p>
    <w:p w14:paraId="59284A2E" w14:textId="1CA1B3B9" w:rsidR="00A978B4" w:rsidRPr="00A978B4" w:rsidRDefault="00A978B4" w:rsidP="00A217AB">
      <w:pPr>
        <w:pStyle w:val="x-scope"/>
        <w:numPr>
          <w:ilvl w:val="0"/>
          <w:numId w:val="16"/>
        </w:numPr>
      </w:pPr>
      <w:r w:rsidRPr="00A978B4">
        <w:t>consider the possibility of reducing the scope and duration of the second session of the CPM</w:t>
      </w:r>
      <w:r w:rsidR="00822F98">
        <w:t>.</w:t>
      </w:r>
    </w:p>
    <w:p w14:paraId="7096B000" w14:textId="7D691E9B" w:rsidR="00A978B4" w:rsidRDefault="00A978B4" w:rsidP="00A978B4">
      <w:pPr>
        <w:pStyle w:val="x-scope"/>
        <w:rPr>
          <w:lang w:val="en-GB"/>
        </w:rPr>
      </w:pPr>
      <w:r w:rsidRPr="00A978B4">
        <w:rPr>
          <w:lang w:val="en-GB"/>
        </w:rPr>
        <w:t>The RAG CG-[CPM] shall commence work at the 31</w:t>
      </w:r>
      <w:r w:rsidRPr="00A978B4">
        <w:rPr>
          <w:vertAlign w:val="superscript"/>
          <w:lang w:val="en-GB"/>
        </w:rPr>
        <w:t>st</w:t>
      </w:r>
      <w:r w:rsidRPr="00A978B4">
        <w:rPr>
          <w:lang w:val="en-GB"/>
        </w:rPr>
        <w:t xml:space="preserve"> Meeting of the RAG and submit a report on its work for consideration by the 32</w:t>
      </w:r>
      <w:r w:rsidRPr="00A978B4">
        <w:rPr>
          <w:vertAlign w:val="superscript"/>
          <w:lang w:val="en-GB"/>
        </w:rPr>
        <w:t>nd</w:t>
      </w:r>
      <w:r w:rsidRPr="00A978B4">
        <w:rPr>
          <w:lang w:val="en-GB"/>
        </w:rPr>
        <w:t xml:space="preserve"> Meeting of the RAG, </w:t>
      </w:r>
      <w:proofErr w:type="gramStart"/>
      <w:r w:rsidRPr="00A978B4">
        <w:rPr>
          <w:lang w:val="en-GB"/>
        </w:rPr>
        <w:t>taking into account</w:t>
      </w:r>
      <w:proofErr w:type="gramEnd"/>
      <w:r w:rsidRPr="00A978B4">
        <w:rPr>
          <w:lang w:val="en-GB"/>
        </w:rPr>
        <w:t xml:space="preserve"> any proposals relevant under the above Terms of Reference submitted to RAG Correspondence Group [CPM].</w:t>
      </w:r>
    </w:p>
    <w:p w14:paraId="49B9581D" w14:textId="77777777" w:rsidR="00A978B4" w:rsidRPr="00A978B4" w:rsidRDefault="00A978B4" w:rsidP="00A978B4">
      <w:pPr>
        <w:pStyle w:val="x-scope"/>
      </w:pPr>
      <w:r w:rsidRPr="00A978B4">
        <w:t xml:space="preserve">The work of the RAG CG-[CPM] should be performed, as much as possible, by correspondence in accordance with § </w:t>
      </w:r>
      <w:r w:rsidRPr="00A978B4">
        <w:rPr>
          <w:b/>
          <w:bCs/>
        </w:rPr>
        <w:t xml:space="preserve">A1.3.2.9 </w:t>
      </w:r>
      <w:r w:rsidRPr="00A978B4">
        <w:t xml:space="preserve">and </w:t>
      </w:r>
      <w:r w:rsidRPr="00A978B4">
        <w:rPr>
          <w:b/>
          <w:bCs/>
        </w:rPr>
        <w:t>A.1.3.2.10</w:t>
      </w:r>
      <w:r w:rsidRPr="00A978B4">
        <w:t xml:space="preserve"> of Resolution ITU-R </w:t>
      </w:r>
      <w:r w:rsidRPr="00A978B4">
        <w:rPr>
          <w:b/>
          <w:bCs/>
        </w:rPr>
        <w:t>1-9</w:t>
      </w:r>
      <w:r w:rsidRPr="00A978B4">
        <w:t xml:space="preserve">. </w:t>
      </w:r>
    </w:p>
    <w:p w14:paraId="177E57BB" w14:textId="77777777" w:rsidR="00A978B4" w:rsidRPr="00A978B4" w:rsidRDefault="00A978B4" w:rsidP="00A978B4">
      <w:pPr>
        <w:pStyle w:val="x-scope"/>
      </w:pPr>
      <w:r w:rsidRPr="00A978B4">
        <w:t xml:space="preserve">The Chairman of the RAG Correspondence Group [CPM] on Improving the Conference Preparatory Meeting (CPM) Process is &lt;name&gt; (E-mail: </w:t>
      </w:r>
      <w:hyperlink r:id="rId12" w:tgtFrame="_blank" w:history="1">
        <w:r w:rsidRPr="00A978B4">
          <w:rPr>
            <w:rStyle w:val="Hyperlink"/>
          </w:rPr>
          <w:t>&lt;</w:t>
        </w:r>
        <w:proofErr w:type="spellStart"/>
        <w:r w:rsidRPr="00A978B4">
          <w:rPr>
            <w:rStyle w:val="Hyperlink"/>
          </w:rPr>
          <w:t>email@address</w:t>
        </w:r>
        <w:proofErr w:type="spellEnd"/>
        <w:r w:rsidRPr="00A978B4">
          <w:rPr>
            <w:rStyle w:val="Hyperlink"/>
          </w:rPr>
          <w:t>&gt;</w:t>
        </w:r>
      </w:hyperlink>
      <w:r w:rsidRPr="00A978B4">
        <w:t xml:space="preserve">). </w:t>
      </w:r>
    </w:p>
    <w:p w14:paraId="64F86FAE" w14:textId="77777777" w:rsidR="00A978B4" w:rsidRPr="00A978B4" w:rsidRDefault="00A978B4" w:rsidP="00A978B4">
      <w:pPr>
        <w:pStyle w:val="x-scope"/>
      </w:pPr>
      <w:r w:rsidRPr="00A978B4">
        <w:t>The group needs to submit its report 45 days prior to the 32</w:t>
      </w:r>
      <w:r w:rsidRPr="00A978B4">
        <w:rPr>
          <w:vertAlign w:val="superscript"/>
        </w:rPr>
        <w:t>nd</w:t>
      </w:r>
      <w:r w:rsidRPr="00A978B4">
        <w:t xml:space="preserve"> Meeting of RAG. </w:t>
      </w:r>
    </w:p>
    <w:p w14:paraId="1B3127EA" w14:textId="77777777" w:rsidR="00A978B4" w:rsidRDefault="00A978B4" w:rsidP="00A978B4">
      <w:pPr>
        <w:pStyle w:val="x-scope"/>
      </w:pPr>
      <w:r w:rsidRPr="00A978B4">
        <w:t>Other relevant information for the work of this Correspondence Group will be provided on the RAG webpage.</w:t>
      </w:r>
    </w:p>
    <w:p w14:paraId="2974BBC5" w14:textId="77777777" w:rsidR="00E71BBC" w:rsidRDefault="00E71BBC" w:rsidP="00A978B4">
      <w:pPr>
        <w:pStyle w:val="x-scope"/>
      </w:pPr>
    </w:p>
    <w:p w14:paraId="0EA1BFEC" w14:textId="77777777" w:rsidR="00E71BBC" w:rsidRDefault="00E71BBC" w:rsidP="00E71BBC">
      <w:pPr>
        <w:spacing w:before="840"/>
        <w:jc w:val="center"/>
      </w:pPr>
      <w:r>
        <w:t>______________</w:t>
      </w:r>
    </w:p>
    <w:p w14:paraId="7EF11FD2" w14:textId="77777777" w:rsidR="00E71BBC" w:rsidRDefault="00E71BBC" w:rsidP="00A978B4">
      <w:pPr>
        <w:pStyle w:val="x-scope"/>
      </w:pPr>
    </w:p>
    <w:p w14:paraId="0DBCAD86" w14:textId="77777777" w:rsidR="00A978B4" w:rsidRDefault="00A978B4" w:rsidP="00A978B4">
      <w:pPr>
        <w:pStyle w:val="x-scope"/>
      </w:pPr>
    </w:p>
    <w:sectPr w:rsidR="00A978B4" w:rsidSect="00646F37">
      <w:headerReference w:type="defaul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D8C85" w14:textId="77777777" w:rsidR="00646F37" w:rsidRDefault="00646F37">
      <w:r>
        <w:separator/>
      </w:r>
    </w:p>
  </w:endnote>
  <w:endnote w:type="continuationSeparator" w:id="0">
    <w:p w14:paraId="0D7AFFCB" w14:textId="77777777" w:rsidR="00646F37" w:rsidRDefault="00646F37">
      <w:r>
        <w:continuationSeparator/>
      </w:r>
    </w:p>
  </w:endnote>
  <w:endnote w:type="continuationNotice" w:id="1">
    <w:p w14:paraId="061D6BA6" w14:textId="77777777" w:rsidR="00646F37" w:rsidRDefault="00646F3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92A93" w14:textId="77777777" w:rsidR="00646F37" w:rsidRDefault="00646F37">
      <w:r>
        <w:t>____________________</w:t>
      </w:r>
    </w:p>
  </w:footnote>
  <w:footnote w:type="continuationSeparator" w:id="0">
    <w:p w14:paraId="6D99F67C" w14:textId="77777777" w:rsidR="00646F37" w:rsidRDefault="00646F37">
      <w:r>
        <w:continuationSeparator/>
      </w:r>
    </w:p>
  </w:footnote>
  <w:footnote w:type="continuationNotice" w:id="1">
    <w:p w14:paraId="633CE8E6" w14:textId="77777777" w:rsidR="00646F37" w:rsidRDefault="00646F3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C4A7" w14:textId="77777777" w:rsidR="00C126C1" w:rsidRDefault="00C126C1" w:rsidP="001E41A0">
    <w:pPr>
      <w:pStyle w:val="Header"/>
      <w:rPr>
        <w:lang w:val="es-ES"/>
      </w:rPr>
    </w:pPr>
    <w:r>
      <w:fldChar w:fldCharType="begin"/>
    </w:r>
    <w:r>
      <w:instrText xml:space="preserve"> PAGE </w:instrText>
    </w:r>
    <w:r>
      <w:fldChar w:fldCharType="separate"/>
    </w:r>
    <w:r w:rsidR="00237E22">
      <w:rPr>
        <w:noProof/>
      </w:rPr>
      <w:t>2</w:t>
    </w:r>
    <w:r>
      <w:rPr>
        <w:noProof/>
      </w:rPr>
      <w:fldChar w:fldCharType="end"/>
    </w:r>
  </w:p>
  <w:p w14:paraId="15341256" w14:textId="0566D01F" w:rsidR="00C126C1" w:rsidRDefault="00C126C1" w:rsidP="00237E22">
    <w:pPr>
      <w:pStyle w:val="Header"/>
      <w:rPr>
        <w:lang w:val="es-ES"/>
      </w:rPr>
    </w:pPr>
    <w:r>
      <w:rPr>
        <w:lang w:val="es-ES"/>
      </w:rPr>
      <w:t>RAG</w:t>
    </w:r>
    <w:r w:rsidR="003D3106">
      <w:rPr>
        <w:lang w:val="es-ES"/>
      </w:rPr>
      <w:t>24</w:t>
    </w:r>
    <w:r>
      <w:rPr>
        <w:lang w:val="es-ES"/>
      </w:rPr>
      <w:t>/</w:t>
    </w:r>
    <w:r w:rsidR="00C3143A">
      <w:rPr>
        <w:lang w:val="es-ES"/>
      </w:rPr>
      <w:t>8</w:t>
    </w:r>
    <w:r>
      <w:rPr>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715034"/>
    <w:multiLevelType w:val="hybridMultilevel"/>
    <w:tmpl w:val="6D969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596373"/>
    <w:multiLevelType w:val="multilevel"/>
    <w:tmpl w:val="6B40D1DC"/>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CCF1416"/>
    <w:multiLevelType w:val="hybridMultilevel"/>
    <w:tmpl w:val="26481E4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3" w15:restartNumberingAfterBreak="0">
    <w:nsid w:val="4C5A5C59"/>
    <w:multiLevelType w:val="multilevel"/>
    <w:tmpl w:val="12721A2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7037DB"/>
    <w:multiLevelType w:val="hybridMultilevel"/>
    <w:tmpl w:val="311C673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9833B9C"/>
    <w:multiLevelType w:val="multilevel"/>
    <w:tmpl w:val="12E6422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72496718">
    <w:abstractNumId w:val="9"/>
  </w:num>
  <w:num w:numId="2" w16cid:durableId="1192842725">
    <w:abstractNumId w:val="7"/>
  </w:num>
  <w:num w:numId="3" w16cid:durableId="164442668">
    <w:abstractNumId w:val="6"/>
  </w:num>
  <w:num w:numId="4" w16cid:durableId="1426534101">
    <w:abstractNumId w:val="5"/>
  </w:num>
  <w:num w:numId="5" w16cid:durableId="1918859445">
    <w:abstractNumId w:val="4"/>
  </w:num>
  <w:num w:numId="6" w16cid:durableId="388967704">
    <w:abstractNumId w:val="8"/>
  </w:num>
  <w:num w:numId="7" w16cid:durableId="67386588">
    <w:abstractNumId w:val="3"/>
  </w:num>
  <w:num w:numId="8" w16cid:durableId="1345132626">
    <w:abstractNumId w:val="2"/>
  </w:num>
  <w:num w:numId="9" w16cid:durableId="70466111">
    <w:abstractNumId w:val="1"/>
  </w:num>
  <w:num w:numId="10" w16cid:durableId="606810165">
    <w:abstractNumId w:val="0"/>
  </w:num>
  <w:num w:numId="11" w16cid:durableId="26689102">
    <w:abstractNumId w:val="11"/>
  </w:num>
  <w:num w:numId="12" w16cid:durableId="1528372160">
    <w:abstractNumId w:val="10"/>
  </w:num>
  <w:num w:numId="13" w16cid:durableId="1853494774">
    <w:abstractNumId w:val="15"/>
  </w:num>
  <w:num w:numId="14" w16cid:durableId="1887637737">
    <w:abstractNumId w:val="13"/>
  </w:num>
  <w:num w:numId="15" w16cid:durableId="237130084">
    <w:abstractNumId w:val="12"/>
  </w:num>
  <w:num w:numId="16" w16cid:durableId="12305070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10F7D"/>
    <w:rsid w:val="00015362"/>
    <w:rsid w:val="000243E7"/>
    <w:rsid w:val="00032A2A"/>
    <w:rsid w:val="00080FCE"/>
    <w:rsid w:val="00093C73"/>
    <w:rsid w:val="000978DF"/>
    <w:rsid w:val="000A0484"/>
    <w:rsid w:val="000A1E0B"/>
    <w:rsid w:val="000A7169"/>
    <w:rsid w:val="000F2431"/>
    <w:rsid w:val="000F711D"/>
    <w:rsid w:val="001377D6"/>
    <w:rsid w:val="00155FF6"/>
    <w:rsid w:val="001632FD"/>
    <w:rsid w:val="001832EC"/>
    <w:rsid w:val="001A0041"/>
    <w:rsid w:val="001C00B6"/>
    <w:rsid w:val="001E41A0"/>
    <w:rsid w:val="00200DCF"/>
    <w:rsid w:val="00233EAD"/>
    <w:rsid w:val="00237E22"/>
    <w:rsid w:val="002549C3"/>
    <w:rsid w:val="00277183"/>
    <w:rsid w:val="002774E4"/>
    <w:rsid w:val="0028467E"/>
    <w:rsid w:val="002A53AB"/>
    <w:rsid w:val="002E2958"/>
    <w:rsid w:val="002F4DA3"/>
    <w:rsid w:val="00376FFA"/>
    <w:rsid w:val="0038134A"/>
    <w:rsid w:val="003B6460"/>
    <w:rsid w:val="003D068D"/>
    <w:rsid w:val="003D3106"/>
    <w:rsid w:val="003E0976"/>
    <w:rsid w:val="003E2CE2"/>
    <w:rsid w:val="003E38D3"/>
    <w:rsid w:val="00403D5C"/>
    <w:rsid w:val="00420F57"/>
    <w:rsid w:val="0042630E"/>
    <w:rsid w:val="00463F1B"/>
    <w:rsid w:val="004730A3"/>
    <w:rsid w:val="00481551"/>
    <w:rsid w:val="00484421"/>
    <w:rsid w:val="004A2F15"/>
    <w:rsid w:val="004D07F1"/>
    <w:rsid w:val="004D2D7D"/>
    <w:rsid w:val="004F0848"/>
    <w:rsid w:val="00506335"/>
    <w:rsid w:val="00507DA3"/>
    <w:rsid w:val="005131BD"/>
    <w:rsid w:val="0051782D"/>
    <w:rsid w:val="00520B77"/>
    <w:rsid w:val="00534920"/>
    <w:rsid w:val="00597657"/>
    <w:rsid w:val="005A1E78"/>
    <w:rsid w:val="005A6BAB"/>
    <w:rsid w:val="005B2C58"/>
    <w:rsid w:val="005C0C25"/>
    <w:rsid w:val="00601CB8"/>
    <w:rsid w:val="00645917"/>
    <w:rsid w:val="00646F37"/>
    <w:rsid w:val="00656189"/>
    <w:rsid w:val="00682B73"/>
    <w:rsid w:val="00685A88"/>
    <w:rsid w:val="006B4CFB"/>
    <w:rsid w:val="006D64D2"/>
    <w:rsid w:val="006F1CEA"/>
    <w:rsid w:val="006F3BF4"/>
    <w:rsid w:val="00746923"/>
    <w:rsid w:val="00762E45"/>
    <w:rsid w:val="007934C9"/>
    <w:rsid w:val="007A026E"/>
    <w:rsid w:val="007A7B53"/>
    <w:rsid w:val="007C33EE"/>
    <w:rsid w:val="007D73C4"/>
    <w:rsid w:val="007F55BA"/>
    <w:rsid w:val="00806E63"/>
    <w:rsid w:val="0081028D"/>
    <w:rsid w:val="00812C40"/>
    <w:rsid w:val="00822F98"/>
    <w:rsid w:val="008902E5"/>
    <w:rsid w:val="008A004A"/>
    <w:rsid w:val="008B3F50"/>
    <w:rsid w:val="008C0654"/>
    <w:rsid w:val="008C7F9D"/>
    <w:rsid w:val="008F4802"/>
    <w:rsid w:val="00902E9F"/>
    <w:rsid w:val="00906598"/>
    <w:rsid w:val="0091282D"/>
    <w:rsid w:val="00932CFF"/>
    <w:rsid w:val="0094088E"/>
    <w:rsid w:val="00947A40"/>
    <w:rsid w:val="0095426A"/>
    <w:rsid w:val="00971BF2"/>
    <w:rsid w:val="009D1880"/>
    <w:rsid w:val="009D27EC"/>
    <w:rsid w:val="009F3C57"/>
    <w:rsid w:val="00A106EB"/>
    <w:rsid w:val="00A10D1F"/>
    <w:rsid w:val="00A16CB2"/>
    <w:rsid w:val="00A217AB"/>
    <w:rsid w:val="00A24C85"/>
    <w:rsid w:val="00A43F56"/>
    <w:rsid w:val="00A5626E"/>
    <w:rsid w:val="00A835FF"/>
    <w:rsid w:val="00A9420A"/>
    <w:rsid w:val="00A978B4"/>
    <w:rsid w:val="00AA373A"/>
    <w:rsid w:val="00AC21F3"/>
    <w:rsid w:val="00AE6899"/>
    <w:rsid w:val="00AF7CE7"/>
    <w:rsid w:val="00B16F08"/>
    <w:rsid w:val="00B249A3"/>
    <w:rsid w:val="00B35BE4"/>
    <w:rsid w:val="00B409FB"/>
    <w:rsid w:val="00B472D7"/>
    <w:rsid w:val="00B47401"/>
    <w:rsid w:val="00B52992"/>
    <w:rsid w:val="00B70E14"/>
    <w:rsid w:val="00B76E34"/>
    <w:rsid w:val="00BB5C43"/>
    <w:rsid w:val="00BE2677"/>
    <w:rsid w:val="00C126C1"/>
    <w:rsid w:val="00C2188B"/>
    <w:rsid w:val="00C24444"/>
    <w:rsid w:val="00C3143A"/>
    <w:rsid w:val="00C322C4"/>
    <w:rsid w:val="00C71B4A"/>
    <w:rsid w:val="00CC1D49"/>
    <w:rsid w:val="00CD4D80"/>
    <w:rsid w:val="00CE366B"/>
    <w:rsid w:val="00CF7532"/>
    <w:rsid w:val="00D03E43"/>
    <w:rsid w:val="00D211BC"/>
    <w:rsid w:val="00DC3B29"/>
    <w:rsid w:val="00DD3BF8"/>
    <w:rsid w:val="00E22FA1"/>
    <w:rsid w:val="00E41455"/>
    <w:rsid w:val="00E47D04"/>
    <w:rsid w:val="00E6036A"/>
    <w:rsid w:val="00E71BBC"/>
    <w:rsid w:val="00E77D2F"/>
    <w:rsid w:val="00EC0BE3"/>
    <w:rsid w:val="00EC4588"/>
    <w:rsid w:val="00F176DA"/>
    <w:rsid w:val="00F334C8"/>
    <w:rsid w:val="00F612DC"/>
    <w:rsid w:val="00F749FF"/>
    <w:rsid w:val="00F7588A"/>
    <w:rsid w:val="00FA7789"/>
    <w:rsid w:val="00FC037E"/>
    <w:rsid w:val="00FC1E29"/>
    <w:rsid w:val="00FD34C6"/>
    <w:rsid w:val="00FE56BC"/>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AB457"/>
  <w15:docId w15:val="{586B3DE5-824E-40F5-BF07-E1FE2DD1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styleId="ListParagraph">
    <w:name w:val="List Paragraph"/>
    <w:aliases w:val="Recommendation,List Paragraph11,O5,Para_sk,Resume Title,- Bullets"/>
    <w:basedOn w:val="Normal"/>
    <w:link w:val="ListParagraphChar"/>
    <w:uiPriority w:val="34"/>
    <w:qFormat/>
    <w:rsid w:val="00E6036A"/>
    <w:pPr>
      <w:tabs>
        <w:tab w:val="clear" w:pos="794"/>
        <w:tab w:val="clear" w:pos="1191"/>
        <w:tab w:val="clear" w:pos="1588"/>
        <w:tab w:val="clear" w:pos="1985"/>
        <w:tab w:val="left" w:pos="1134"/>
        <w:tab w:val="left" w:pos="1871"/>
        <w:tab w:val="left" w:pos="2268"/>
      </w:tabs>
      <w:ind w:left="720"/>
      <w:contextualSpacing/>
    </w:pPr>
    <w:rPr>
      <w:rFonts w:asciiTheme="minorHAnsi" w:hAnsiTheme="minorHAnsi"/>
    </w:rPr>
  </w:style>
  <w:style w:type="character" w:styleId="Hyperlink">
    <w:name w:val="Hyperlink"/>
    <w:aliases w:val="CEO_Hyperlink,超级链接,Style 58,超?级链,超????,하이퍼링크2,超链接1,超?级链?,Style?,S"/>
    <w:uiPriority w:val="99"/>
    <w:qFormat/>
    <w:rsid w:val="00E6036A"/>
    <w:rPr>
      <w:color w:val="0000FF"/>
      <w:u w:val="single"/>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rsid w:val="00E6036A"/>
    <w:rPr>
      <w:rFonts w:asciiTheme="minorHAnsi" w:hAnsiTheme="minorHAnsi"/>
      <w:sz w:val="24"/>
      <w:lang w:val="en-GB" w:eastAsia="en-US"/>
    </w:rPr>
  </w:style>
  <w:style w:type="paragraph" w:customStyle="1" w:styleId="default-style">
    <w:name w:val="default-style"/>
    <w:basedOn w:val="Normal"/>
    <w:rsid w:val="00E6036A"/>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403D5C"/>
    <w:rPr>
      <w:color w:val="605E5C"/>
      <w:shd w:val="clear" w:color="auto" w:fill="E1DFDD"/>
    </w:rPr>
  </w:style>
  <w:style w:type="character" w:customStyle="1" w:styleId="SourceChar">
    <w:name w:val="Source Char"/>
    <w:link w:val="Source"/>
    <w:locked/>
    <w:rsid w:val="007A7B53"/>
    <w:rPr>
      <w:rFonts w:ascii="Times New Roman" w:hAnsi="Times New Roman"/>
      <w:b/>
      <w:sz w:val="28"/>
      <w:lang w:val="en-GB" w:eastAsia="en-US"/>
    </w:rPr>
  </w:style>
  <w:style w:type="character" w:customStyle="1" w:styleId="Title1Char">
    <w:name w:val="Title 1 Char"/>
    <w:link w:val="Title1"/>
    <w:qFormat/>
    <w:locked/>
    <w:rsid w:val="007A7B53"/>
    <w:rPr>
      <w:rFonts w:ascii="Times New Roman" w:hAnsi="Times New Roman"/>
      <w:caps/>
      <w:sz w:val="28"/>
      <w:lang w:val="en-GB" w:eastAsia="en-US"/>
    </w:rPr>
  </w:style>
  <w:style w:type="character" w:customStyle="1" w:styleId="Heading1Char">
    <w:name w:val="Heading 1 Char"/>
    <w:basedOn w:val="DefaultParagraphFont"/>
    <w:link w:val="Heading1"/>
    <w:rsid w:val="007A7B53"/>
    <w:rPr>
      <w:rFonts w:ascii="Times New Roman" w:hAnsi="Times New Roman"/>
      <w:b/>
      <w:sz w:val="24"/>
      <w:lang w:val="en-GB" w:eastAsia="en-US"/>
    </w:rPr>
  </w:style>
  <w:style w:type="character" w:styleId="FollowedHyperlink">
    <w:name w:val="FollowedHyperlink"/>
    <w:basedOn w:val="DefaultParagraphFont"/>
    <w:semiHidden/>
    <w:unhideWhenUsed/>
    <w:rsid w:val="003D3106"/>
    <w:rPr>
      <w:color w:val="800080" w:themeColor="followedHyperlink"/>
      <w:u w:val="single"/>
    </w:rPr>
  </w:style>
  <w:style w:type="paragraph" w:styleId="Revision">
    <w:name w:val="Revision"/>
    <w:hidden/>
    <w:uiPriority w:val="99"/>
    <w:semiHidden/>
    <w:rsid w:val="003D3106"/>
    <w:rPr>
      <w:rFonts w:ascii="Times New Roman" w:hAnsi="Times New Roman"/>
      <w:sz w:val="24"/>
      <w:lang w:val="en-GB" w:eastAsia="en-US"/>
    </w:rPr>
  </w:style>
  <w:style w:type="paragraph" w:customStyle="1" w:styleId="qowt-stl-artno">
    <w:name w:val="qowt-stl-artno"/>
    <w:basedOn w:val="Normal"/>
    <w:rsid w:val="00A978B4"/>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paragraph" w:customStyle="1" w:styleId="qowt-stl-appendixnotitle">
    <w:name w:val="qowt-stl-appendixnotitle"/>
    <w:basedOn w:val="Normal"/>
    <w:rsid w:val="00A978B4"/>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paragraph" w:customStyle="1" w:styleId="qowt-stl-heading1">
    <w:name w:val="qowt-stl-heading1"/>
    <w:basedOn w:val="Normal"/>
    <w:rsid w:val="00A978B4"/>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paragraph" w:customStyle="1" w:styleId="x-scope">
    <w:name w:val="x-scope"/>
    <w:basedOn w:val="Normal"/>
    <w:rsid w:val="00A978B4"/>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33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exandre.vassiliev@ma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dms_ties/itu-r/md/23/ra23/c/R23-RA23-C-0102!!MSW-E.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36e020b8d31cad381b798e47a6cf4ea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84aa0a7b1d621276db037f8c250184a6"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F909F-E883-4758-915A-B96CF17AB70D}">
  <ds:schemaRefs>
    <ds:schemaRef ds:uri="http://schemas.microsoft.com/office/2006/metadata/properties"/>
    <ds:schemaRef ds:uri="http://schemas.microsoft.com/office/infopath/2007/PartnerControls"/>
    <ds:schemaRef ds:uri="b793da9a-8d8a-4824-945d-2346bcf27de4"/>
    <ds:schemaRef ds:uri="ad0d4407-0c86-4168-aef5-7e5ed32f9eb2"/>
  </ds:schemaRefs>
</ds:datastoreItem>
</file>

<file path=customXml/itemProps2.xml><?xml version="1.0" encoding="utf-8"?>
<ds:datastoreItem xmlns:ds="http://schemas.openxmlformats.org/officeDocument/2006/customXml" ds:itemID="{06A77AB8-0E99-414C-A080-9BC81B48E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2A166-9F9D-4ED7-864A-8E7F8A736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English.dotm</Template>
  <TotalTime>12</TotalTime>
  <Pages>2</Pages>
  <Words>644</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4221</CharactersWithSpaces>
  <SharedDoc>false</SharedDoc>
  <HLinks>
    <vt:vector size="132" baseType="variant">
      <vt:variant>
        <vt:i4>3080245</vt:i4>
      </vt:variant>
      <vt:variant>
        <vt:i4>63</vt:i4>
      </vt:variant>
      <vt:variant>
        <vt:i4>0</vt:i4>
      </vt:variant>
      <vt:variant>
        <vt:i4>5</vt:i4>
      </vt:variant>
      <vt:variant>
        <vt:lpwstr>https://www.itu.int/en/general-secretariat/Pages/ISCG/default.aspx</vt:lpwstr>
      </vt:variant>
      <vt:variant>
        <vt:lpwstr/>
      </vt:variant>
      <vt:variant>
        <vt:i4>3670064</vt:i4>
      </vt:variant>
      <vt:variant>
        <vt:i4>60</vt:i4>
      </vt:variant>
      <vt:variant>
        <vt:i4>0</vt:i4>
      </vt:variant>
      <vt:variant>
        <vt:i4>5</vt:i4>
      </vt:variant>
      <vt:variant>
        <vt:lpwstr>https://www.itu.int/en/general-secretariat/ties/ISCGDocumentLibrary/1st Meeting 2024/ISCG-24-1-04-Mapping Table 3.docx</vt:lpwstr>
      </vt:variant>
      <vt:variant>
        <vt:lpwstr/>
      </vt:variant>
      <vt:variant>
        <vt:i4>3276847</vt:i4>
      </vt:variant>
      <vt:variant>
        <vt:i4>57</vt:i4>
      </vt:variant>
      <vt:variant>
        <vt:i4>0</vt:i4>
      </vt:variant>
      <vt:variant>
        <vt:i4>5</vt:i4>
      </vt:variant>
      <vt:variant>
        <vt:lpwstr>https://www.itu.int/en/general-secretariat/ties/ISCGDocumentLibrary/1st Meeting 2023/Mapping-of-resolutions-Updated Oct2022.pdf</vt:lpwstr>
      </vt:variant>
      <vt:variant>
        <vt:lpwstr/>
      </vt:variant>
      <vt:variant>
        <vt:i4>720924</vt:i4>
      </vt:variant>
      <vt:variant>
        <vt:i4>54</vt:i4>
      </vt:variant>
      <vt:variant>
        <vt:i4>0</vt:i4>
      </vt:variant>
      <vt:variant>
        <vt:i4>5</vt:i4>
      </vt:variant>
      <vt:variant>
        <vt:lpwstr>https://www.itu.int/en/general-secretariat/ties/ISCGDocumentLibrary/1st Meeting 2024/ITUWebsite.docx</vt:lpwstr>
      </vt:variant>
      <vt:variant>
        <vt:lpwstr/>
      </vt:variant>
      <vt:variant>
        <vt:i4>2228328</vt:i4>
      </vt:variant>
      <vt:variant>
        <vt:i4>51</vt:i4>
      </vt:variant>
      <vt:variant>
        <vt:i4>0</vt:i4>
      </vt:variant>
      <vt:variant>
        <vt:i4>5</vt:i4>
      </vt:variant>
      <vt:variant>
        <vt:lpwstr>https://www.itu.int/md/S24-CWGFHR17-INF-0004/en</vt:lpwstr>
      </vt:variant>
      <vt:variant>
        <vt:lpwstr/>
      </vt:variant>
      <vt:variant>
        <vt:i4>3211374</vt:i4>
      </vt:variant>
      <vt:variant>
        <vt:i4>48</vt:i4>
      </vt:variant>
      <vt:variant>
        <vt:i4>0</vt:i4>
      </vt:variant>
      <vt:variant>
        <vt:i4>5</vt:i4>
      </vt:variant>
      <vt:variant>
        <vt:lpwstr>https://www.itu.int/pub/R-REP-BT/publications.aspx?lang=en&amp;parent=R-REP-BT.2524</vt:lpwstr>
      </vt:variant>
      <vt:variant>
        <vt:lpwstr/>
      </vt:variant>
      <vt:variant>
        <vt:i4>3211374</vt:i4>
      </vt:variant>
      <vt:variant>
        <vt:i4>45</vt:i4>
      </vt:variant>
      <vt:variant>
        <vt:i4>0</vt:i4>
      </vt:variant>
      <vt:variant>
        <vt:i4>5</vt:i4>
      </vt:variant>
      <vt:variant>
        <vt:lpwstr>https://www.itu.int/pub/R-REP-BT/publications.aspx?lang=en&amp;parent=R-REP-BT.2522</vt:lpwstr>
      </vt:variant>
      <vt:variant>
        <vt:lpwstr/>
      </vt:variant>
      <vt:variant>
        <vt:i4>983109</vt:i4>
      </vt:variant>
      <vt:variant>
        <vt:i4>42</vt:i4>
      </vt:variant>
      <vt:variant>
        <vt:i4>0</vt:i4>
      </vt:variant>
      <vt:variant>
        <vt:i4>5</vt:i4>
      </vt:variant>
      <vt:variant>
        <vt:lpwstr>https://www.itu.int/en/general-secretariat/ties/ISCGDocumentLibrary/1st Meeting 2024/ISCG-24-1-08-ITU-R Focal Point-Contribution.docx</vt:lpwstr>
      </vt:variant>
      <vt:variant>
        <vt:lpwstr/>
      </vt:variant>
      <vt:variant>
        <vt:i4>327686</vt:i4>
      </vt:variant>
      <vt:variant>
        <vt:i4>39</vt:i4>
      </vt:variant>
      <vt:variant>
        <vt:i4>0</vt:i4>
      </vt:variant>
      <vt:variant>
        <vt:i4>5</vt:i4>
      </vt:variant>
      <vt:variant>
        <vt:lpwstr>https://www.itu.int/en/general-secretariat/ties/ISCGDocumentLibrary/1st Meeting 2024/ISCG-24-1-07-Report Climate change Coordinator.docx</vt:lpwstr>
      </vt:variant>
      <vt:variant>
        <vt:lpwstr/>
      </vt:variant>
      <vt:variant>
        <vt:i4>8257570</vt:i4>
      </vt:variant>
      <vt:variant>
        <vt:i4>36</vt:i4>
      </vt:variant>
      <vt:variant>
        <vt:i4>0</vt:i4>
      </vt:variant>
      <vt:variant>
        <vt:i4>5</vt:i4>
      </vt:variant>
      <vt:variant>
        <vt:lpwstr>https://www.itu.int/en/general-secretariat/ties/ISCGDocumentLibrary/1st Meeting 2024/Green Digital Action at COP 28.pdf</vt:lpwstr>
      </vt:variant>
      <vt:variant>
        <vt:lpwstr/>
      </vt:variant>
      <vt:variant>
        <vt:i4>6094958</vt:i4>
      </vt:variant>
      <vt:variant>
        <vt:i4>33</vt:i4>
      </vt:variant>
      <vt:variant>
        <vt:i4>0</vt:i4>
      </vt:variant>
      <vt:variant>
        <vt:i4>5</vt:i4>
      </vt:variant>
      <vt:variant>
        <vt:lpwstr>https://www.itu.int/dms_pub/itu-t/opb/tut/T-TUT-FSTP-2015-ACC-PDF-E.pdf</vt:lpwstr>
      </vt:variant>
      <vt:variant>
        <vt:lpwstr/>
      </vt:variant>
      <vt:variant>
        <vt:i4>1572896</vt:i4>
      </vt:variant>
      <vt:variant>
        <vt:i4>30</vt:i4>
      </vt:variant>
      <vt:variant>
        <vt:i4>0</vt:i4>
      </vt:variant>
      <vt:variant>
        <vt:i4>5</vt:i4>
      </vt:variant>
      <vt:variant>
        <vt:lpwstr>https://www.itu.int/dms_pub/itu-t/opb/tut/T-TUT-FSTP-2015-AM-PDF-E.pdf</vt:lpwstr>
      </vt:variant>
      <vt:variant>
        <vt:lpwstr/>
      </vt:variant>
      <vt:variant>
        <vt:i4>7536766</vt:i4>
      </vt:variant>
      <vt:variant>
        <vt:i4>27</vt:i4>
      </vt:variant>
      <vt:variant>
        <vt:i4>0</vt:i4>
      </vt:variant>
      <vt:variant>
        <vt:i4>5</vt:i4>
      </vt:variant>
      <vt:variant>
        <vt:lpwstr>https://www.itu.int/en/general-secretariat/ties/ISCGDocumentLibrary/1st Meeting 2024/TDAG-LS004-Governance and management of virtual meetings.docx</vt:lpwstr>
      </vt:variant>
      <vt:variant>
        <vt:lpwstr/>
      </vt:variant>
      <vt:variant>
        <vt:i4>983070</vt:i4>
      </vt:variant>
      <vt:variant>
        <vt:i4>24</vt:i4>
      </vt:variant>
      <vt:variant>
        <vt:i4>0</vt:i4>
      </vt:variant>
      <vt:variant>
        <vt:i4>5</vt:i4>
      </vt:variant>
      <vt:variant>
        <vt:lpwstr>https://www.itu.int/en/general-secretariat/ties/ISCGDocumentLibrary/1st Meeting 2024/TDAG-LS002-Machine translation.docx</vt:lpwstr>
      </vt:variant>
      <vt:variant>
        <vt:lpwstr/>
      </vt:variant>
      <vt:variant>
        <vt:i4>5570645</vt:i4>
      </vt:variant>
      <vt:variant>
        <vt:i4>21</vt:i4>
      </vt:variant>
      <vt:variant>
        <vt:i4>0</vt:i4>
      </vt:variant>
      <vt:variant>
        <vt:i4>5</vt:i4>
      </vt:variant>
      <vt:variant>
        <vt:lpwstr>https://www.itu.int/en/general-secretariat/ties/ISCGDocumentLibrary/1st Meeting 2024/TDAG-LS001-Access to documents on intersectoral activities.docx</vt:lpwstr>
      </vt:variant>
      <vt:variant>
        <vt:lpwstr/>
      </vt:variant>
      <vt:variant>
        <vt:i4>655388</vt:i4>
      </vt:variant>
      <vt:variant>
        <vt:i4>18</vt:i4>
      </vt:variant>
      <vt:variant>
        <vt:i4>0</vt:i4>
      </vt:variant>
      <vt:variant>
        <vt:i4>5</vt:i4>
      </vt:variant>
      <vt:variant>
        <vt:lpwstr>https://www.itu.int/en/general-secretariat/ties/ISCGDocumentLibrary/1st Meeting 2024/TSAG-LS00020-Inclusive language.docx</vt:lpwstr>
      </vt:variant>
      <vt:variant>
        <vt:lpwstr/>
      </vt:variant>
      <vt:variant>
        <vt:i4>3080245</vt:i4>
      </vt:variant>
      <vt:variant>
        <vt:i4>15</vt:i4>
      </vt:variant>
      <vt:variant>
        <vt:i4>0</vt:i4>
      </vt:variant>
      <vt:variant>
        <vt:i4>5</vt:i4>
      </vt:variant>
      <vt:variant>
        <vt:lpwstr>https://www.itu.int/en/general-secretariat/Pages/ISCG/default.aspx</vt:lpwstr>
      </vt:variant>
      <vt:variant>
        <vt:lpwstr/>
      </vt:variant>
      <vt:variant>
        <vt:i4>6750241</vt:i4>
      </vt:variant>
      <vt:variant>
        <vt:i4>12</vt:i4>
      </vt:variant>
      <vt:variant>
        <vt:i4>0</vt:i4>
      </vt:variant>
      <vt:variant>
        <vt:i4>5</vt:i4>
      </vt:variant>
      <vt:variant>
        <vt:lpwstr>https://www.itu.int/en/general-secretariat/ties/ISCGDocumentLibrary/Liaisons Statements on Inter-Sectoral Coordination Activities/ISCM-List of Focal Points.pdf</vt:lpwstr>
      </vt:variant>
      <vt:variant>
        <vt:lpwstr/>
      </vt:variant>
      <vt:variant>
        <vt:i4>983109</vt:i4>
      </vt:variant>
      <vt:variant>
        <vt:i4>9</vt:i4>
      </vt:variant>
      <vt:variant>
        <vt:i4>0</vt:i4>
      </vt:variant>
      <vt:variant>
        <vt:i4>5</vt:i4>
      </vt:variant>
      <vt:variant>
        <vt:lpwstr>https://www.itu.int/en/general-secretariat/ties/ISCGDocumentLibrary/1st Meeting 2024/ISCM-Res 191-R1.pptx</vt:lpwstr>
      </vt:variant>
      <vt:variant>
        <vt:lpwstr/>
      </vt:variant>
      <vt:variant>
        <vt:i4>3080245</vt:i4>
      </vt:variant>
      <vt:variant>
        <vt:i4>6</vt:i4>
      </vt:variant>
      <vt:variant>
        <vt:i4>0</vt:i4>
      </vt:variant>
      <vt:variant>
        <vt:i4>5</vt:i4>
      </vt:variant>
      <vt:variant>
        <vt:lpwstr>https://www.itu.int/en/general-secretariat/Pages/ISCG/default.aspx</vt:lpwstr>
      </vt:variant>
      <vt:variant>
        <vt:lpwstr/>
      </vt:variant>
      <vt:variant>
        <vt:i4>5308509</vt:i4>
      </vt:variant>
      <vt:variant>
        <vt:i4>3</vt:i4>
      </vt:variant>
      <vt:variant>
        <vt:i4>0</vt:i4>
      </vt:variant>
      <vt:variant>
        <vt:i4>5</vt:i4>
      </vt:variant>
      <vt:variant>
        <vt:lpwstr>https://www.itu.int/en/general-secretariat/ties/ISCGDocumentLibrary/1st Meeting 2024/ISCG-24-1-02-1st Meeting 2023-Final Report.docx</vt:lpwstr>
      </vt:variant>
      <vt:variant>
        <vt:lpwstr/>
      </vt:variant>
      <vt:variant>
        <vt:i4>3407924</vt:i4>
      </vt:variant>
      <vt:variant>
        <vt:i4>0</vt:i4>
      </vt:variant>
      <vt:variant>
        <vt:i4>0</vt:i4>
      </vt:variant>
      <vt:variant>
        <vt:i4>5</vt:i4>
      </vt:variant>
      <vt:variant>
        <vt:lpwstr>https://www.itu.int/en/general-secretariat/ties/ISCGDocumentLibrary/1st Meeting 2024/ISCG-24-1-01-E-R3-Agenda.docx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Faure</dc:creator>
  <cp:keywords/>
  <dc:description>RAG21</dc:description>
  <cp:lastModifiedBy>Arnould, Carine</cp:lastModifiedBy>
  <cp:revision>11</cp:revision>
  <cp:lastPrinted>1999-09-30T15:03:00Z</cp:lastPrinted>
  <dcterms:created xsi:type="dcterms:W3CDTF">2024-03-05T08:34:00Z</dcterms:created>
  <dcterms:modified xsi:type="dcterms:W3CDTF">2024-03-05T10:48:00Z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MediaServiceImageTags">
    <vt:lpwstr/>
  </property>
  <property fmtid="{D5CDD505-2E9C-101B-9397-08002B2CF9AE}" pid="7" name="ContentTypeId">
    <vt:lpwstr>0x010100FD4F6660A0379C4F9667852F9D86F5EE</vt:lpwstr>
  </property>
</Properties>
</file>