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5BD1310" w14:textId="77777777" w:rsidTr="0057336B">
        <w:trPr>
          <w:cantSplit/>
        </w:trPr>
        <w:tc>
          <w:tcPr>
            <w:tcW w:w="6775" w:type="dxa"/>
            <w:vAlign w:val="center"/>
          </w:tcPr>
          <w:p w14:paraId="397C1A2E"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4" w:type="dxa"/>
            <w:vAlign w:val="center"/>
          </w:tcPr>
          <w:p w14:paraId="6905272F" w14:textId="77777777" w:rsidR="0057336B" w:rsidRDefault="00AB4BAD" w:rsidP="00A7663C">
            <w:pPr>
              <w:shd w:val="solid" w:color="FFFFFF" w:fill="FFFFFF"/>
              <w:spacing w:before="0"/>
            </w:pPr>
            <w:r w:rsidRPr="00C126C1">
              <w:rPr>
                <w:noProof/>
                <w:lang w:val="en-US" w:eastAsia="zh-CN"/>
              </w:rPr>
              <w:drawing>
                <wp:inline distT="0" distB="0" distL="0" distR="0" wp14:anchorId="567A2F07" wp14:editId="286AFEC7">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7B083B0" w14:textId="77777777" w:rsidTr="008F0106">
        <w:trPr>
          <w:cantSplit/>
        </w:trPr>
        <w:tc>
          <w:tcPr>
            <w:tcW w:w="6771" w:type="dxa"/>
            <w:tcBorders>
              <w:bottom w:val="single" w:sz="12" w:space="0" w:color="auto"/>
            </w:tcBorders>
          </w:tcPr>
          <w:p w14:paraId="41911040"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75292D01"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22BE105E" w14:textId="77777777" w:rsidTr="008F0106">
        <w:trPr>
          <w:cantSplit/>
        </w:trPr>
        <w:tc>
          <w:tcPr>
            <w:tcW w:w="6771" w:type="dxa"/>
            <w:tcBorders>
              <w:top w:val="single" w:sz="12" w:space="0" w:color="auto"/>
            </w:tcBorders>
          </w:tcPr>
          <w:p w14:paraId="59B8C862"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0EC4274"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684C1BC9" w14:textId="77777777" w:rsidTr="008F0106">
        <w:trPr>
          <w:cantSplit/>
        </w:trPr>
        <w:tc>
          <w:tcPr>
            <w:tcW w:w="6771" w:type="dxa"/>
            <w:vMerge w:val="restart"/>
          </w:tcPr>
          <w:p w14:paraId="7086B0C6" w14:textId="77777777" w:rsidR="006E291F" w:rsidRDefault="006E291F" w:rsidP="00CB7A43">
            <w:pPr>
              <w:shd w:val="solid" w:color="FFFFFF" w:fill="FFFFFF"/>
              <w:spacing w:after="240"/>
              <w:rPr>
                <w:sz w:val="20"/>
              </w:rPr>
            </w:pPr>
            <w:bookmarkStart w:id="0" w:name="dnum" w:colFirst="1" w:colLast="1"/>
          </w:p>
        </w:tc>
        <w:tc>
          <w:tcPr>
            <w:tcW w:w="3118" w:type="dxa"/>
          </w:tcPr>
          <w:p w14:paraId="7A3898D5" w14:textId="2EB47A1C" w:rsidR="006E291F" w:rsidRPr="00487485" w:rsidRDefault="005577CF" w:rsidP="00586BA6">
            <w:pPr>
              <w:shd w:val="solid" w:color="FFFFFF" w:fill="FFFFFF"/>
              <w:spacing w:before="0" w:line="240" w:lineRule="atLeast"/>
              <w:rPr>
                <w:rFonts w:ascii="Verdana" w:hAnsi="Verdana"/>
                <w:sz w:val="20"/>
              </w:rPr>
            </w:pPr>
            <w:r>
              <w:rPr>
                <w:rFonts w:ascii="Verdana" w:hAnsi="Verdana"/>
                <w:b/>
                <w:sz w:val="20"/>
              </w:rPr>
              <w:t>Revisión 1 al</w:t>
            </w:r>
            <w:r w:rsidR="00586BA6">
              <w:rPr>
                <w:rFonts w:ascii="Verdana" w:hAnsi="Verdana"/>
                <w:b/>
                <w:sz w:val="20"/>
              </w:rPr>
              <w:br/>
            </w:r>
            <w:r w:rsidR="00487485">
              <w:rPr>
                <w:rFonts w:ascii="Verdana" w:hAnsi="Verdana"/>
                <w:b/>
                <w:sz w:val="20"/>
              </w:rPr>
              <w:t>Documento RAG/1-S</w:t>
            </w:r>
          </w:p>
        </w:tc>
      </w:tr>
      <w:tr w:rsidR="006E291F" w:rsidRPr="002A127E" w14:paraId="428B2A50" w14:textId="77777777" w:rsidTr="008F0106">
        <w:trPr>
          <w:cantSplit/>
        </w:trPr>
        <w:tc>
          <w:tcPr>
            <w:tcW w:w="6771" w:type="dxa"/>
            <w:vMerge/>
          </w:tcPr>
          <w:p w14:paraId="4AD2EA53" w14:textId="77777777" w:rsidR="006E291F" w:rsidRDefault="006E291F" w:rsidP="00CB7A43">
            <w:pPr>
              <w:spacing w:before="60"/>
              <w:jc w:val="center"/>
              <w:rPr>
                <w:b/>
                <w:smallCaps/>
                <w:sz w:val="32"/>
              </w:rPr>
            </w:pPr>
            <w:bookmarkStart w:id="1" w:name="ddate" w:colFirst="1" w:colLast="1"/>
            <w:bookmarkEnd w:id="0"/>
          </w:p>
        </w:tc>
        <w:tc>
          <w:tcPr>
            <w:tcW w:w="3118" w:type="dxa"/>
          </w:tcPr>
          <w:p w14:paraId="1874591B" w14:textId="5CBD4356" w:rsidR="006E291F" w:rsidRPr="00487485" w:rsidRDefault="005577CF" w:rsidP="00487485">
            <w:pPr>
              <w:shd w:val="solid" w:color="FFFFFF" w:fill="FFFFFF"/>
              <w:spacing w:before="0" w:line="240" w:lineRule="atLeast"/>
              <w:rPr>
                <w:rFonts w:ascii="Verdana" w:hAnsi="Verdana"/>
                <w:sz w:val="20"/>
              </w:rPr>
            </w:pPr>
            <w:r>
              <w:rPr>
                <w:rFonts w:ascii="Verdana" w:hAnsi="Verdana"/>
                <w:b/>
                <w:sz w:val="20"/>
              </w:rPr>
              <w:t>29</w:t>
            </w:r>
            <w:r w:rsidR="00487485">
              <w:rPr>
                <w:rFonts w:ascii="Verdana" w:hAnsi="Verdana"/>
                <w:b/>
                <w:sz w:val="20"/>
              </w:rPr>
              <w:t xml:space="preserve"> de febrero de 2024</w:t>
            </w:r>
          </w:p>
        </w:tc>
      </w:tr>
      <w:tr w:rsidR="006E291F" w:rsidRPr="002A127E" w14:paraId="388CC4B7" w14:textId="77777777" w:rsidTr="008F0106">
        <w:trPr>
          <w:cantSplit/>
        </w:trPr>
        <w:tc>
          <w:tcPr>
            <w:tcW w:w="6771" w:type="dxa"/>
            <w:vMerge/>
          </w:tcPr>
          <w:p w14:paraId="6FE3202B" w14:textId="77777777" w:rsidR="006E291F" w:rsidRDefault="006E291F" w:rsidP="00CB7A43">
            <w:pPr>
              <w:spacing w:before="60"/>
              <w:jc w:val="center"/>
              <w:rPr>
                <w:b/>
                <w:smallCaps/>
                <w:sz w:val="32"/>
              </w:rPr>
            </w:pPr>
            <w:bookmarkStart w:id="2" w:name="dorlang" w:colFirst="1" w:colLast="1"/>
            <w:bookmarkEnd w:id="1"/>
          </w:p>
        </w:tc>
        <w:tc>
          <w:tcPr>
            <w:tcW w:w="3118" w:type="dxa"/>
          </w:tcPr>
          <w:p w14:paraId="7755FB0B" w14:textId="17EDFF6B" w:rsidR="006E291F" w:rsidRPr="00487485" w:rsidRDefault="00487485" w:rsidP="00487485">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015B78D9" w14:textId="77777777" w:rsidTr="008F0106">
        <w:trPr>
          <w:cantSplit/>
        </w:trPr>
        <w:tc>
          <w:tcPr>
            <w:tcW w:w="9889" w:type="dxa"/>
            <w:gridSpan w:val="2"/>
          </w:tcPr>
          <w:p w14:paraId="0B6373BB" w14:textId="170CBC68" w:rsidR="006E291F" w:rsidRDefault="00487485" w:rsidP="00CB7A43">
            <w:pPr>
              <w:pStyle w:val="Source"/>
            </w:pPr>
            <w:bookmarkStart w:id="3" w:name="dsource" w:colFirst="0" w:colLast="0"/>
            <w:bookmarkEnd w:id="2"/>
            <w:r w:rsidRPr="00487485">
              <w:t>Director de la Oficina de Radiocomunicaciones</w:t>
            </w:r>
          </w:p>
        </w:tc>
      </w:tr>
      <w:tr w:rsidR="006E291F" w14:paraId="4E091D5C" w14:textId="77777777" w:rsidTr="008F0106">
        <w:trPr>
          <w:cantSplit/>
        </w:trPr>
        <w:tc>
          <w:tcPr>
            <w:tcW w:w="9889" w:type="dxa"/>
            <w:gridSpan w:val="2"/>
          </w:tcPr>
          <w:p w14:paraId="2D37BAE1" w14:textId="484A5357" w:rsidR="006E291F" w:rsidRPr="00487485" w:rsidRDefault="00487485" w:rsidP="008B39A0">
            <w:pPr>
              <w:pStyle w:val="Title1"/>
              <w:rPr>
                <w:lang w:val="es-ES"/>
              </w:rPr>
            </w:pPr>
            <w:bookmarkStart w:id="4" w:name="dtitle1" w:colFirst="0" w:colLast="0"/>
            <w:bookmarkEnd w:id="3"/>
            <w:r w:rsidRPr="00487485">
              <w:rPr>
                <w:lang w:val="es-ES"/>
              </w:rPr>
              <w:t xml:space="preserve">INFORME A LA TRIGÉSIMA PRIMERA REUNIÓN </w:t>
            </w:r>
            <w:r w:rsidR="00421D75">
              <w:rPr>
                <w:lang w:val="es-ES"/>
              </w:rPr>
              <w:br/>
            </w:r>
            <w:r w:rsidRPr="00487485">
              <w:rPr>
                <w:lang w:val="es-ES"/>
              </w:rPr>
              <w:t>DEL GRUPO ASESOR DE RADIOCOMUNICACIONES</w:t>
            </w:r>
          </w:p>
        </w:tc>
      </w:tr>
    </w:tbl>
    <w:bookmarkEnd w:id="4"/>
    <w:p w14:paraId="71543FDA" w14:textId="5FA720EB" w:rsidR="00487485" w:rsidRPr="00487485" w:rsidRDefault="008B39A0" w:rsidP="008B39A0">
      <w:pPr>
        <w:pStyle w:val="Heading1"/>
        <w:rPr>
          <w:lang w:val="es-ES"/>
        </w:rPr>
      </w:pPr>
      <w:r>
        <w:rPr>
          <w:lang w:val="es-ES"/>
        </w:rPr>
        <w:t>1</w:t>
      </w:r>
      <w:r>
        <w:rPr>
          <w:lang w:val="es-ES"/>
        </w:rPr>
        <w:tab/>
      </w:r>
      <w:r w:rsidR="00487485" w:rsidRPr="00487485">
        <w:rPr>
          <w:lang w:val="es-ES"/>
        </w:rPr>
        <w:t>Introducción</w:t>
      </w:r>
    </w:p>
    <w:p w14:paraId="482283C2" w14:textId="32D407F7" w:rsidR="00487485" w:rsidRPr="00487485" w:rsidRDefault="00487485" w:rsidP="00487485">
      <w:pPr>
        <w:rPr>
          <w:lang w:val="es-ES"/>
        </w:rPr>
      </w:pPr>
      <w:r w:rsidRPr="00487485">
        <w:rPr>
          <w:lang w:val="es-ES"/>
        </w:rPr>
        <w:t xml:space="preserve">El presente Informe tiene por objeto rendir cuenta de la marcha de los trabajos y proporcionar información sobre algunos de los temas que figuran en el proyecto de orden del día de la 31ª reunión del GAR (véase la Circular Administrativa </w:t>
      </w:r>
      <w:hyperlink r:id="rId9">
        <w:r w:rsidRPr="00487485">
          <w:rPr>
            <w:rStyle w:val="Hyperlink"/>
            <w:lang w:val="es-ES"/>
          </w:rPr>
          <w:t>CA/271</w:t>
        </w:r>
      </w:hyperlink>
      <w:r w:rsidRPr="00487485">
        <w:rPr>
          <w:lang w:val="es-ES"/>
        </w:rPr>
        <w:t>), con el fin de ayudar a los participantes en la reunión a examinar los correspondientes puntos del orden del día.</w:t>
      </w:r>
    </w:p>
    <w:p w14:paraId="6F25832A" w14:textId="77777777" w:rsidR="00487485" w:rsidRPr="00487485" w:rsidRDefault="00487485" w:rsidP="00487485">
      <w:pPr>
        <w:rPr>
          <w:lang w:val="es-ES"/>
        </w:rPr>
      </w:pPr>
      <w:r w:rsidRPr="00487485">
        <w:rPr>
          <w:lang w:val="es-ES"/>
        </w:rPr>
        <w:t>Se presentarán informes independientes para ciertos puntos del orden del día.</w:t>
      </w:r>
    </w:p>
    <w:p w14:paraId="0D25CC5C" w14:textId="77777777" w:rsidR="00487485" w:rsidRPr="00487485" w:rsidRDefault="00487485" w:rsidP="008B39A0">
      <w:pPr>
        <w:pStyle w:val="Heading1"/>
        <w:rPr>
          <w:lang w:val="es-ES"/>
        </w:rPr>
      </w:pPr>
      <w:bookmarkStart w:id="5" w:name="_Toc446060752"/>
      <w:r w:rsidRPr="00487485">
        <w:rPr>
          <w:lang w:val="es-ES"/>
        </w:rPr>
        <w:t>2</w:t>
      </w:r>
      <w:r w:rsidRPr="00487485">
        <w:rPr>
          <w:lang w:val="es-ES"/>
        </w:rPr>
        <w:tab/>
        <w:t>Gobernanza del UIT-R</w:t>
      </w:r>
    </w:p>
    <w:p w14:paraId="7E1DA0B0" w14:textId="77777777" w:rsidR="00487485" w:rsidRPr="00487485" w:rsidRDefault="00487485" w:rsidP="008B39A0">
      <w:pPr>
        <w:pStyle w:val="Heading2"/>
        <w:rPr>
          <w:lang w:val="es-ES"/>
        </w:rPr>
      </w:pPr>
      <w:r w:rsidRPr="00487485">
        <w:rPr>
          <w:lang w:val="es-ES"/>
        </w:rPr>
        <w:t>2.1</w:t>
      </w:r>
      <w:r w:rsidRPr="00487485">
        <w:rPr>
          <w:lang w:val="es-ES"/>
        </w:rPr>
        <w:tab/>
      </w:r>
      <w:bookmarkEnd w:id="5"/>
      <w:r w:rsidRPr="00487485">
        <w:rPr>
          <w:lang w:val="es-ES"/>
        </w:rPr>
        <w:t>Asuntos relativos al Consejo</w:t>
      </w:r>
    </w:p>
    <w:p w14:paraId="51AA73C7" w14:textId="41EA9F68" w:rsidR="00487485" w:rsidRPr="00487485" w:rsidRDefault="00487485" w:rsidP="00487485">
      <w:pPr>
        <w:rPr>
          <w:lang w:val="es-ES"/>
        </w:rPr>
      </w:pPr>
      <w:bookmarkStart w:id="6" w:name="_Toc446060753"/>
      <w:r w:rsidRPr="00487485">
        <w:rPr>
          <w:lang w:val="es-ES"/>
        </w:rPr>
        <w:t>En este apartado se abordan los asuntos tratados por el Consejo en sus reuniones de 2023, celebradas del 11 al 21 de julio de 2023 y del 19 al 20 de octubre de 2023 (véanse:</w:t>
      </w:r>
      <w:r w:rsidRPr="00487485">
        <w:rPr>
          <w:u w:val="single"/>
          <w:lang w:val="es-ES"/>
        </w:rPr>
        <w:t xml:space="preserve"> </w:t>
      </w:r>
      <w:hyperlink r:id="rId10" w:history="1">
        <w:r w:rsidRPr="00487485">
          <w:rPr>
            <w:rStyle w:val="Hyperlink"/>
            <w:lang w:val="es-ES"/>
          </w:rPr>
          <w:t>https://council.itu.i</w:t>
        </w:r>
        <w:r w:rsidRPr="00487485">
          <w:rPr>
            <w:rStyle w:val="Hyperlink"/>
            <w:lang w:val="es-ES"/>
          </w:rPr>
          <w:t>n</w:t>
        </w:r>
        <w:r w:rsidRPr="00487485">
          <w:rPr>
            <w:rStyle w:val="Hyperlink"/>
            <w:lang w:val="es-ES"/>
          </w:rPr>
          <w:t>t/2023/en/</w:t>
        </w:r>
      </w:hyperlink>
      <w:r w:rsidRPr="00487485">
        <w:rPr>
          <w:lang w:val="es-ES"/>
        </w:rPr>
        <w:t xml:space="preserve"> y</w:t>
      </w:r>
      <w:r w:rsidRPr="00487485">
        <w:rPr>
          <w:u w:val="single"/>
          <w:lang w:val="es-ES"/>
        </w:rPr>
        <w:t xml:space="preserve"> </w:t>
      </w:r>
      <w:hyperlink r:id="rId11" w:history="1">
        <w:r w:rsidRPr="00487485">
          <w:rPr>
            <w:rStyle w:val="Hyperlink"/>
            <w:lang w:val="es-ES"/>
          </w:rPr>
          <w:t>https://council.itu.int/2023-additional/en/</w:t>
        </w:r>
      </w:hyperlink>
      <w:r w:rsidRPr="00487485">
        <w:rPr>
          <w:lang w:val="es-ES"/>
        </w:rPr>
        <w:t>, respectivamente).</w:t>
      </w:r>
    </w:p>
    <w:p w14:paraId="13286C3E" w14:textId="77777777" w:rsidR="00487485" w:rsidRPr="00487485" w:rsidRDefault="00487485" w:rsidP="008B39A0">
      <w:pPr>
        <w:pStyle w:val="Heading3"/>
        <w:rPr>
          <w:lang w:val="es-ES"/>
        </w:rPr>
      </w:pPr>
      <w:r w:rsidRPr="00487485">
        <w:rPr>
          <w:lang w:val="es-ES"/>
        </w:rPr>
        <w:t>2.2.1</w:t>
      </w:r>
      <w:r w:rsidRPr="00487485">
        <w:rPr>
          <w:lang w:val="es-ES"/>
        </w:rPr>
        <w:tab/>
      </w:r>
      <w:bookmarkEnd w:id="6"/>
      <w:r w:rsidRPr="00487485">
        <w:rPr>
          <w:lang w:val="es-ES"/>
        </w:rPr>
        <w:t>Acceso gratuito en línea a las publicaciones del UIT-R</w:t>
      </w:r>
    </w:p>
    <w:p w14:paraId="10CD3CED" w14:textId="6A87F92F" w:rsidR="00487485" w:rsidRPr="00487485" w:rsidRDefault="00487485" w:rsidP="00487485">
      <w:pPr>
        <w:rPr>
          <w:lang w:val="es-ES"/>
        </w:rPr>
      </w:pPr>
      <w:r w:rsidRPr="00487485">
        <w:rPr>
          <w:lang w:val="es-ES"/>
        </w:rPr>
        <w:t>La UIT sigue editando diversas publicaciones, entre ellas las emblemáticas, tanto en versión impresa como digital/electrónica. En virtud de su Decisión</w:t>
      </w:r>
      <w:r w:rsidR="00326D9B">
        <w:rPr>
          <w:lang w:val="es-ES"/>
        </w:rPr>
        <w:t> </w:t>
      </w:r>
      <w:r w:rsidRPr="00487485">
        <w:rPr>
          <w:lang w:val="es-ES"/>
        </w:rPr>
        <w:t>12 (Guadalajara, 2010), la Conferencia de Plenipotenciarios de 2010 (PP-10) adoptó una política de acceso gratuito en línea a Recomendaciones e Informes del UIT-R, entre otros documentos. En su reunión de 2012, el Consejo amplió esta política en virtud del Acuerdo</w:t>
      </w:r>
      <w:r w:rsidR="00326D9B">
        <w:rPr>
          <w:lang w:val="es-ES"/>
        </w:rPr>
        <w:t> </w:t>
      </w:r>
      <w:r w:rsidRPr="00487485">
        <w:rPr>
          <w:lang w:val="es-ES"/>
        </w:rPr>
        <w:t>571, revisado en 2013 y 2014, y confirmado por la revisión a la Decisión</w:t>
      </w:r>
      <w:r w:rsidR="00326D9B">
        <w:rPr>
          <w:lang w:val="es-ES"/>
        </w:rPr>
        <w:t> </w:t>
      </w:r>
      <w:r w:rsidRPr="00487485">
        <w:rPr>
          <w:lang w:val="es-ES"/>
        </w:rPr>
        <w:t>12 que realizó la PP-14 y que proporciona acceso gratuito en línea al público en general con carácter permanente. A continuación, se facilitó acceso gratuito en línea a muchas más publicaciones, para divulgar la correspondiente información y llegar a un público más amplio. Entre ellas figuran publicaciones importantes como el Reglamento de Radiocomunicaciones, las Reglas de Procedimiento, las Recomendaciones, los Textos Fundamentales de la Unión, las Actas Finales de la CMTI, las Resoluciones y los Acuerdos del Consejo y los Manuales de la UIT, razón por la cual sólo quedan a la venta las Publicaciones del Servicio Marítimo y algunos otros títulos.</w:t>
      </w:r>
    </w:p>
    <w:p w14:paraId="2CA6FEA1" w14:textId="77777777" w:rsidR="00487485" w:rsidRPr="00487485" w:rsidRDefault="00487485" w:rsidP="00487485">
      <w:pPr>
        <w:rPr>
          <w:lang w:val="es-ES"/>
        </w:rPr>
      </w:pPr>
      <w:r w:rsidRPr="00487485">
        <w:rPr>
          <w:lang w:val="es-ES"/>
        </w:rPr>
        <w:lastRenderedPageBreak/>
        <w:t>Además, en respuesta a solicitudes de diversos Estados Miembros, en particular países en desarrollo, en enero de 2017 el Director de la BR amplió la política de acceso gratuito a todos los Manuales del UIT-R.</w:t>
      </w:r>
    </w:p>
    <w:p w14:paraId="1D83389D" w14:textId="66E4A593" w:rsidR="00487485" w:rsidRPr="00487485" w:rsidRDefault="00487485" w:rsidP="00487485">
      <w:pPr>
        <w:rPr>
          <w:lang w:val="es-ES"/>
        </w:rPr>
      </w:pPr>
      <w:r w:rsidRPr="00487485">
        <w:rPr>
          <w:lang w:val="es-ES"/>
        </w:rPr>
        <w:t>El elevado número de descargas que registran estas publicaciones evidencia la repercusión de las decisiones antes mencionadas, como se indica en la sección</w:t>
      </w:r>
      <w:r w:rsidR="00B172F1">
        <w:rPr>
          <w:lang w:val="es-ES"/>
        </w:rPr>
        <w:t> </w:t>
      </w:r>
      <w:r w:rsidRPr="00487485">
        <w:rPr>
          <w:lang w:val="es-ES"/>
        </w:rPr>
        <w:t>8.1.4.</w:t>
      </w:r>
    </w:p>
    <w:p w14:paraId="4E1F9582" w14:textId="77777777" w:rsidR="00487485" w:rsidRPr="00487485" w:rsidRDefault="00487485" w:rsidP="008B39A0">
      <w:pPr>
        <w:pStyle w:val="Heading3"/>
        <w:rPr>
          <w:lang w:val="es-ES"/>
        </w:rPr>
      </w:pPr>
      <w:bookmarkStart w:id="7" w:name="_Toc446060754"/>
      <w:r w:rsidRPr="00487485">
        <w:rPr>
          <w:lang w:val="es-ES"/>
        </w:rPr>
        <w:t>2.2.2</w:t>
      </w:r>
      <w:r w:rsidRPr="00487485">
        <w:rPr>
          <w:lang w:val="es-ES"/>
        </w:rPr>
        <w:tab/>
      </w:r>
      <w:bookmarkEnd w:id="7"/>
      <w:r w:rsidRPr="00487485">
        <w:rPr>
          <w:lang w:val="es-ES"/>
        </w:rPr>
        <w:t>Recuperación de costes aplicable a las notificaciones de redes de satélites</w:t>
      </w:r>
    </w:p>
    <w:p w14:paraId="2CB77817" w14:textId="417E215E" w:rsidR="00487485" w:rsidRPr="00487485" w:rsidRDefault="00487485" w:rsidP="00487485">
      <w:pPr>
        <w:rPr>
          <w:lang w:val="es-ES"/>
        </w:rPr>
      </w:pPr>
      <w:r w:rsidRPr="00487485">
        <w:rPr>
          <w:lang w:val="es-ES"/>
        </w:rPr>
        <w:t>En su primera reunión de 2023, el Consejo tomó nota del Informe anual sobre la aplicación del Acuerdo</w:t>
      </w:r>
      <w:r w:rsidR="00B172F1">
        <w:rPr>
          <w:lang w:val="es-ES"/>
        </w:rPr>
        <w:t> </w:t>
      </w:r>
      <w:r w:rsidRPr="00487485">
        <w:rPr>
          <w:lang w:val="es-ES"/>
        </w:rPr>
        <w:t>482 (véase el</w:t>
      </w:r>
      <w:r w:rsidR="00B172F1">
        <w:rPr>
          <w:lang w:val="es-ES"/>
        </w:rPr>
        <w:t xml:space="preserve"> Documento </w:t>
      </w:r>
      <w:hyperlink r:id="rId12" w:history="1">
        <w:r w:rsidR="00B172F1">
          <w:rPr>
            <w:rStyle w:val="Hyperlink"/>
            <w:lang w:val="es-ES"/>
          </w:rPr>
          <w:t>C23/16</w:t>
        </w:r>
      </w:hyperlink>
      <w:r w:rsidRPr="00487485">
        <w:rPr>
          <w:lang w:val="es-ES"/>
        </w:rPr>
        <w:t>).</w:t>
      </w:r>
    </w:p>
    <w:p w14:paraId="1586D85C" w14:textId="3520E8F0" w:rsidR="00487485" w:rsidRPr="00487485" w:rsidRDefault="00487485" w:rsidP="00326D9B">
      <w:pPr>
        <w:rPr>
          <w:lang w:val="es-ES"/>
        </w:rPr>
      </w:pPr>
      <w:r w:rsidRPr="00487485">
        <w:rPr>
          <w:lang w:val="es-ES"/>
        </w:rPr>
        <w:t>El Consejo examinó el estudio presentado por la Oficina sobre la adecuación del Acuerdo</w:t>
      </w:r>
      <w:r w:rsidR="00326D9B">
        <w:rPr>
          <w:lang w:val="es-ES"/>
        </w:rPr>
        <w:t> </w:t>
      </w:r>
      <w:r w:rsidRPr="00487485">
        <w:rPr>
          <w:lang w:val="es-ES"/>
        </w:rPr>
        <w:t>482 del Consejo (C01, última modificación C20) para recuperar los costes asociados a la tramitación de notificaciones de redes de satélites (véase el Documento</w:t>
      </w:r>
      <w:r w:rsidR="008B39A0">
        <w:rPr>
          <w:lang w:val="es-ES"/>
        </w:rPr>
        <w:t> </w:t>
      </w:r>
      <w:hyperlink r:id="rId13" w:history="1">
        <w:r w:rsidRPr="00487485">
          <w:rPr>
            <w:rStyle w:val="Hyperlink"/>
            <w:lang w:val="es-ES"/>
          </w:rPr>
          <w:t>C23/19</w:t>
        </w:r>
      </w:hyperlink>
      <w:r w:rsidRPr="00487485">
        <w:rPr>
          <w:lang w:val="es-ES"/>
        </w:rPr>
        <w:t>). En él se abordaban varios temas:</w:t>
      </w:r>
    </w:p>
    <w:p w14:paraId="7F0F4767" w14:textId="1F5B7ABF" w:rsidR="00487485" w:rsidRPr="00487485" w:rsidRDefault="008B39A0" w:rsidP="008B39A0">
      <w:pPr>
        <w:pStyle w:val="enumlev1"/>
        <w:rPr>
          <w:lang w:val="es-ES"/>
        </w:rPr>
      </w:pPr>
      <w:r w:rsidRPr="008B39A0">
        <w:rPr>
          <w:lang w:val="es-ES"/>
        </w:rPr>
        <w:t>•</w:t>
      </w:r>
      <w:r>
        <w:rPr>
          <w:lang w:val="es-ES"/>
        </w:rPr>
        <w:tab/>
      </w:r>
      <w:r w:rsidR="00B172F1">
        <w:rPr>
          <w:lang w:val="es-ES"/>
        </w:rPr>
        <w:t>c</w:t>
      </w:r>
      <w:r w:rsidR="00487485" w:rsidRPr="00487485">
        <w:rPr>
          <w:lang w:val="es-ES"/>
        </w:rPr>
        <w:t>oste total de la tramitación de notificaciones de redes de satélites;</w:t>
      </w:r>
    </w:p>
    <w:p w14:paraId="0833409E" w14:textId="497261C2" w:rsidR="00487485" w:rsidRPr="00487485" w:rsidRDefault="008B39A0" w:rsidP="008B39A0">
      <w:pPr>
        <w:pStyle w:val="enumlev1"/>
        <w:rPr>
          <w:lang w:val="es-ES"/>
        </w:rPr>
      </w:pPr>
      <w:r w:rsidRPr="008B39A0">
        <w:rPr>
          <w:lang w:val="es-ES"/>
        </w:rPr>
        <w:t>•</w:t>
      </w:r>
      <w:r>
        <w:rPr>
          <w:lang w:val="es-ES"/>
        </w:rPr>
        <w:tab/>
      </w:r>
      <w:r w:rsidR="00B172F1">
        <w:rPr>
          <w:lang w:val="es-ES"/>
        </w:rPr>
        <w:t>a</w:t>
      </w:r>
      <w:r w:rsidR="00487485" w:rsidRPr="00487485">
        <w:rPr>
          <w:lang w:val="es-ES"/>
        </w:rPr>
        <w:t>ctividades relacionadas con la tramitación de notificaciones de redes de satélites no contempladas en el Acuerdo</w:t>
      </w:r>
      <w:r w:rsidR="005212C0">
        <w:rPr>
          <w:lang w:val="es-ES"/>
        </w:rPr>
        <w:t> </w:t>
      </w:r>
      <w:r w:rsidR="00487485" w:rsidRPr="00487485">
        <w:rPr>
          <w:lang w:val="es-ES"/>
        </w:rPr>
        <w:t>482;</w:t>
      </w:r>
    </w:p>
    <w:p w14:paraId="3142AD2A" w14:textId="2EB56F5D" w:rsidR="00487485" w:rsidRPr="00487485" w:rsidRDefault="008B39A0" w:rsidP="008B39A0">
      <w:pPr>
        <w:pStyle w:val="enumlev1"/>
        <w:rPr>
          <w:lang w:val="es-ES"/>
        </w:rPr>
      </w:pPr>
      <w:r w:rsidRPr="008B39A0">
        <w:rPr>
          <w:lang w:val="es-ES"/>
        </w:rPr>
        <w:t>•</w:t>
      </w:r>
      <w:r>
        <w:rPr>
          <w:lang w:val="es-ES"/>
        </w:rPr>
        <w:tab/>
      </w:r>
      <w:r w:rsidR="00B172F1">
        <w:rPr>
          <w:lang w:val="es-ES"/>
        </w:rPr>
        <w:t>a</w:t>
      </w:r>
      <w:r w:rsidR="00487485" w:rsidRPr="00487485">
        <w:rPr>
          <w:lang w:val="es-ES"/>
        </w:rPr>
        <w:t>ctividades relacionadas con la tramitación gratuita de notificaciones de redes de satélites en virtud del Acuerdo</w:t>
      </w:r>
      <w:r w:rsidR="005212C0">
        <w:rPr>
          <w:lang w:val="es-ES"/>
        </w:rPr>
        <w:t> </w:t>
      </w:r>
      <w:r w:rsidR="00487485" w:rsidRPr="00487485">
        <w:rPr>
          <w:lang w:val="es-ES"/>
        </w:rPr>
        <w:t>482;</w:t>
      </w:r>
    </w:p>
    <w:p w14:paraId="65F9EDD6" w14:textId="5E875303" w:rsidR="00487485" w:rsidRPr="00487485" w:rsidRDefault="008B39A0" w:rsidP="008B39A0">
      <w:pPr>
        <w:pStyle w:val="enumlev1"/>
        <w:rPr>
          <w:lang w:val="es-ES"/>
        </w:rPr>
      </w:pPr>
      <w:r w:rsidRPr="008B39A0">
        <w:rPr>
          <w:lang w:val="es-ES"/>
        </w:rPr>
        <w:t>•</w:t>
      </w:r>
      <w:r>
        <w:rPr>
          <w:lang w:val="es-ES"/>
        </w:rPr>
        <w:tab/>
      </w:r>
      <w:r w:rsidR="00B172F1">
        <w:rPr>
          <w:lang w:val="es-ES"/>
        </w:rPr>
        <w:t>v</w:t>
      </w:r>
      <w:r w:rsidR="00487485" w:rsidRPr="00487485">
        <w:rPr>
          <w:lang w:val="es-ES"/>
        </w:rPr>
        <w:t>alor financiero de las tasas consignadas en el Anexo al Acuerdo</w:t>
      </w:r>
      <w:r w:rsidR="005212C0">
        <w:rPr>
          <w:lang w:val="es-ES"/>
        </w:rPr>
        <w:t> </w:t>
      </w:r>
      <w:r w:rsidR="00487485" w:rsidRPr="00487485">
        <w:rPr>
          <w:lang w:val="es-ES"/>
        </w:rPr>
        <w:t>482;</w:t>
      </w:r>
    </w:p>
    <w:p w14:paraId="402612D1" w14:textId="75E86DB0" w:rsidR="00487485" w:rsidRPr="00487485" w:rsidRDefault="008B39A0" w:rsidP="008B39A0">
      <w:pPr>
        <w:pStyle w:val="enumlev1"/>
        <w:rPr>
          <w:lang w:val="es-ES"/>
        </w:rPr>
      </w:pPr>
      <w:r w:rsidRPr="008B39A0">
        <w:rPr>
          <w:lang w:val="es-ES"/>
        </w:rPr>
        <w:t>•</w:t>
      </w:r>
      <w:r>
        <w:rPr>
          <w:lang w:val="es-ES"/>
        </w:rPr>
        <w:tab/>
      </w:r>
      <w:r w:rsidR="00B172F1">
        <w:rPr>
          <w:lang w:val="es-ES"/>
        </w:rPr>
        <w:t>m</w:t>
      </w:r>
      <w:r w:rsidR="00487485" w:rsidRPr="00487485">
        <w:rPr>
          <w:lang w:val="es-ES"/>
        </w:rPr>
        <w:t>ecanismos reglamentarios incluidos en el Acuerdo</w:t>
      </w:r>
      <w:r w:rsidR="005212C0">
        <w:rPr>
          <w:lang w:val="es-ES"/>
        </w:rPr>
        <w:t> </w:t>
      </w:r>
      <w:r w:rsidR="00487485" w:rsidRPr="00487485">
        <w:rPr>
          <w:lang w:val="es-ES"/>
        </w:rPr>
        <w:t>482 que han cambiado sustancialmente desde 2005;</w:t>
      </w:r>
    </w:p>
    <w:p w14:paraId="0FACC13B" w14:textId="4FBEEA04" w:rsidR="00487485" w:rsidRPr="00487485" w:rsidRDefault="008B39A0" w:rsidP="008B39A0">
      <w:pPr>
        <w:pStyle w:val="enumlev1"/>
        <w:rPr>
          <w:lang w:val="es-ES"/>
        </w:rPr>
      </w:pPr>
      <w:r w:rsidRPr="008B39A0">
        <w:rPr>
          <w:lang w:val="es-ES"/>
        </w:rPr>
        <w:t>•</w:t>
      </w:r>
      <w:r>
        <w:rPr>
          <w:lang w:val="es-ES"/>
        </w:rPr>
        <w:tab/>
      </w:r>
      <w:r w:rsidR="00B172F1">
        <w:rPr>
          <w:lang w:val="es-ES"/>
        </w:rPr>
        <w:t>c</w:t>
      </w:r>
      <w:r w:rsidR="00487485" w:rsidRPr="00487485">
        <w:rPr>
          <w:lang w:val="es-ES"/>
        </w:rPr>
        <w:t>ategorías de tasas por revisar;</w:t>
      </w:r>
    </w:p>
    <w:p w14:paraId="717DBE16" w14:textId="11CBE5E8" w:rsidR="00487485" w:rsidRPr="00487485" w:rsidRDefault="008B39A0" w:rsidP="008B39A0">
      <w:pPr>
        <w:pStyle w:val="enumlev1"/>
        <w:rPr>
          <w:lang w:val="es-ES"/>
        </w:rPr>
      </w:pPr>
      <w:r w:rsidRPr="008B39A0">
        <w:rPr>
          <w:lang w:val="es-ES"/>
        </w:rPr>
        <w:t>•</w:t>
      </w:r>
      <w:r>
        <w:rPr>
          <w:lang w:val="es-ES"/>
        </w:rPr>
        <w:tab/>
      </w:r>
      <w:r w:rsidR="00B172F1">
        <w:rPr>
          <w:lang w:val="es-ES"/>
        </w:rPr>
        <w:t>e</w:t>
      </w:r>
      <w:r w:rsidR="00487485" w:rsidRPr="00487485">
        <w:rPr>
          <w:lang w:val="es-ES"/>
        </w:rPr>
        <w:t>lementos del Acuerdo</w:t>
      </w:r>
      <w:r w:rsidR="005212C0">
        <w:rPr>
          <w:lang w:val="es-ES"/>
        </w:rPr>
        <w:t> </w:t>
      </w:r>
      <w:r w:rsidR="00487485" w:rsidRPr="00487485">
        <w:rPr>
          <w:lang w:val="es-ES"/>
        </w:rPr>
        <w:t>482 que funcionan y no se deben modificar;</w:t>
      </w:r>
    </w:p>
    <w:p w14:paraId="7FF24108" w14:textId="64A9DB98" w:rsidR="00487485" w:rsidRPr="00487485" w:rsidRDefault="008B39A0" w:rsidP="008B39A0">
      <w:pPr>
        <w:pStyle w:val="enumlev1"/>
        <w:rPr>
          <w:lang w:val="es-ES"/>
        </w:rPr>
      </w:pPr>
      <w:r w:rsidRPr="008B39A0">
        <w:rPr>
          <w:lang w:val="es-ES"/>
        </w:rPr>
        <w:t>•</w:t>
      </w:r>
      <w:r>
        <w:rPr>
          <w:lang w:val="es-ES"/>
        </w:rPr>
        <w:tab/>
      </w:r>
      <w:r w:rsidR="00B172F1">
        <w:rPr>
          <w:lang w:val="es-ES"/>
        </w:rPr>
        <w:t>a</w:t>
      </w:r>
      <w:r w:rsidR="00487485" w:rsidRPr="00487485">
        <w:rPr>
          <w:lang w:val="es-ES"/>
        </w:rPr>
        <w:t>sistencia y actividades de capacitación en relación con las notificaciones de redes de satélites;</w:t>
      </w:r>
    </w:p>
    <w:p w14:paraId="0BB5D79B" w14:textId="17513159" w:rsidR="00487485" w:rsidRPr="00487485" w:rsidRDefault="008B39A0" w:rsidP="008B39A0">
      <w:pPr>
        <w:pStyle w:val="enumlev1"/>
        <w:rPr>
          <w:lang w:val="es-ES"/>
        </w:rPr>
      </w:pPr>
      <w:r w:rsidRPr="008B39A0">
        <w:rPr>
          <w:lang w:val="es-ES"/>
        </w:rPr>
        <w:t>•</w:t>
      </w:r>
      <w:r>
        <w:rPr>
          <w:lang w:val="es-ES"/>
        </w:rPr>
        <w:tab/>
      </w:r>
      <w:r w:rsidR="00B172F1">
        <w:rPr>
          <w:lang w:val="es-ES"/>
        </w:rPr>
        <w:t>f</w:t>
      </w:r>
      <w:r w:rsidR="00487485" w:rsidRPr="00487485">
        <w:rPr>
          <w:lang w:val="es-ES"/>
        </w:rPr>
        <w:t xml:space="preserve">alta de recursos ex profeso para la modernización del </w:t>
      </w:r>
      <w:r w:rsidR="00487485" w:rsidRPr="008B39A0">
        <w:rPr>
          <w:i/>
          <w:iCs/>
        </w:rPr>
        <w:t>software</w:t>
      </w:r>
      <w:r w:rsidR="00487485" w:rsidRPr="00487485">
        <w:rPr>
          <w:lang w:val="es-ES"/>
        </w:rPr>
        <w:t xml:space="preserve"> de la Oficina.</w:t>
      </w:r>
    </w:p>
    <w:p w14:paraId="26A1DBCC" w14:textId="3DF345CB" w:rsidR="00487485" w:rsidRPr="00487485" w:rsidRDefault="00487485" w:rsidP="00510D13">
      <w:pPr>
        <w:rPr>
          <w:lang w:val="es-ES"/>
        </w:rPr>
      </w:pPr>
      <w:r w:rsidRPr="00487485">
        <w:rPr>
          <w:lang w:val="es-ES"/>
        </w:rPr>
        <w:t xml:space="preserve">El Consejo 2023 también tuvo en cuenta las conclusiones de la reunión de 2023 del Grupo Asesor de Radiocomunicaciones (GAR), que había </w:t>
      </w:r>
      <w:r w:rsidR="008B39A0">
        <w:rPr>
          <w:lang w:val="es-ES"/>
        </w:rPr>
        <w:t>«</w:t>
      </w:r>
      <w:r w:rsidRPr="00487485">
        <w:rPr>
          <w:i/>
          <w:iCs/>
          <w:lang w:val="es-ES"/>
        </w:rPr>
        <w:t>aconsejado al Director que solicitara al Consejo de</w:t>
      </w:r>
      <w:r w:rsidR="00510D13">
        <w:rPr>
          <w:i/>
          <w:iCs/>
          <w:lang w:val="es-ES"/>
        </w:rPr>
        <w:t> </w:t>
      </w:r>
      <w:r w:rsidRPr="00487485">
        <w:rPr>
          <w:i/>
          <w:iCs/>
          <w:lang w:val="es-ES"/>
        </w:rPr>
        <w:t>2023 la reactivación del Grupo de Expertos encargado del Acuerdo</w:t>
      </w:r>
      <w:r w:rsidR="00510D13">
        <w:rPr>
          <w:i/>
          <w:iCs/>
          <w:lang w:val="es-ES"/>
        </w:rPr>
        <w:t> </w:t>
      </w:r>
      <w:r w:rsidRPr="00487485">
        <w:rPr>
          <w:i/>
          <w:iCs/>
          <w:lang w:val="es-ES"/>
        </w:rPr>
        <w:t>482 del Consejo (modificado en 202</w:t>
      </w:r>
      <w:r w:rsidR="00510D13">
        <w:rPr>
          <w:i/>
          <w:iCs/>
          <w:lang w:val="es-ES"/>
        </w:rPr>
        <w:t>0</w:t>
      </w:r>
      <w:r w:rsidRPr="00487485">
        <w:rPr>
          <w:i/>
          <w:iCs/>
          <w:lang w:val="es-ES"/>
        </w:rPr>
        <w:t>) a fin de poder comenzar a trabajar en una recomendación para el Consejo de</w:t>
      </w:r>
      <w:r w:rsidR="00510D13">
        <w:rPr>
          <w:i/>
          <w:iCs/>
          <w:lang w:val="es-ES"/>
        </w:rPr>
        <w:t> </w:t>
      </w:r>
      <w:r w:rsidRPr="00487485">
        <w:rPr>
          <w:i/>
          <w:iCs/>
          <w:lang w:val="es-ES"/>
        </w:rPr>
        <w:t xml:space="preserve">2024 sobre el aumento de los costos en los que incurre la BR cuando las notificaciones presentan un tamaño o una complejidad </w:t>
      </w:r>
      <w:r w:rsidR="00510D13" w:rsidRPr="00510D13">
        <w:rPr>
          <w:i/>
          <w:iCs/>
          <w:lang w:val="es-ES"/>
        </w:rPr>
        <w:t>−</w:t>
      </w:r>
      <w:r w:rsidRPr="00487485">
        <w:rPr>
          <w:i/>
          <w:iCs/>
          <w:lang w:val="es-ES"/>
        </w:rPr>
        <w:t>así como la nueva presentación del mismo sistema</w:t>
      </w:r>
      <w:r w:rsidR="00510D13" w:rsidRPr="00510D13">
        <w:rPr>
          <w:i/>
          <w:iCs/>
          <w:lang w:val="es-ES"/>
        </w:rPr>
        <w:t>−</w:t>
      </w:r>
      <w:r w:rsidRPr="00487485">
        <w:rPr>
          <w:i/>
          <w:iCs/>
          <w:lang w:val="es-ES"/>
        </w:rPr>
        <w:t xml:space="preserve"> tan elevados que la metodología actual no permite registrar sus costos con precisión</w:t>
      </w:r>
      <w:r w:rsidR="008B39A0">
        <w:rPr>
          <w:lang w:val="es-ES"/>
        </w:rPr>
        <w:t>».</w:t>
      </w:r>
    </w:p>
    <w:p w14:paraId="2A79EA51" w14:textId="29FBBCF0" w:rsidR="00487485" w:rsidRPr="00487485" w:rsidRDefault="00487485" w:rsidP="00487485">
      <w:pPr>
        <w:rPr>
          <w:lang w:val="es-ES"/>
        </w:rPr>
      </w:pPr>
      <w:r w:rsidRPr="00487485">
        <w:rPr>
          <w:lang w:val="es-ES"/>
        </w:rPr>
        <w:t>Tras examinar en profundidad los materiales y las opiniones presentados, el Consejo adoptó el Acuerdo</w:t>
      </w:r>
      <w:r w:rsidR="00510D13">
        <w:rPr>
          <w:lang w:val="es-ES"/>
        </w:rPr>
        <w:t> </w:t>
      </w:r>
      <w:r w:rsidRPr="00487485">
        <w:rPr>
          <w:lang w:val="es-ES"/>
        </w:rPr>
        <w:t>632, por el que se creó un Grupo de Expertos encargado del Acuerdo</w:t>
      </w:r>
      <w:r w:rsidR="00510D13">
        <w:rPr>
          <w:lang w:val="es-ES"/>
        </w:rPr>
        <w:t> </w:t>
      </w:r>
      <w:r w:rsidRPr="00487485">
        <w:rPr>
          <w:lang w:val="es-ES"/>
        </w:rPr>
        <w:t>482 (EG-DEC482), con el mandato siguiente:</w:t>
      </w:r>
    </w:p>
    <w:p w14:paraId="221EEAA9" w14:textId="77777777" w:rsidR="00487485" w:rsidRPr="00487485" w:rsidRDefault="00487485" w:rsidP="00487485">
      <w:pPr>
        <w:rPr>
          <w:lang w:val="es-ES"/>
        </w:rPr>
      </w:pPr>
      <w:r w:rsidRPr="00487485">
        <w:rPr>
          <w:lang w:val="es-ES"/>
        </w:rPr>
        <w:br w:type="page"/>
      </w:r>
    </w:p>
    <w:tbl>
      <w:tblPr>
        <w:tblStyle w:val="TableGrid"/>
        <w:tblW w:w="5000" w:type="pct"/>
        <w:jc w:val="center"/>
        <w:tblLook w:val="04A0" w:firstRow="1" w:lastRow="0" w:firstColumn="1" w:lastColumn="0" w:noHBand="0" w:noVBand="1"/>
      </w:tblPr>
      <w:tblGrid>
        <w:gridCol w:w="9629"/>
      </w:tblGrid>
      <w:tr w:rsidR="00487485" w:rsidRPr="00487485" w14:paraId="770D9E56" w14:textId="77777777" w:rsidTr="00DA5B4C">
        <w:trPr>
          <w:jc w:val="center"/>
        </w:trPr>
        <w:tc>
          <w:tcPr>
            <w:tcW w:w="9629" w:type="dxa"/>
          </w:tcPr>
          <w:p w14:paraId="171D28F1" w14:textId="77777777" w:rsidR="00487485" w:rsidRPr="00CE6F49" w:rsidRDefault="00487485" w:rsidP="00487485">
            <w:pPr>
              <w:rPr>
                <w:b/>
                <w:bCs/>
                <w:lang w:val="es-ES"/>
              </w:rPr>
            </w:pPr>
            <w:r w:rsidRPr="00CE6F49">
              <w:rPr>
                <w:b/>
                <w:bCs/>
                <w:lang w:val="es-ES"/>
              </w:rPr>
              <w:lastRenderedPageBreak/>
              <w:t>Mandato del Grupo de Expertos del Consejo sobre el Acuerdo 482</w:t>
            </w:r>
          </w:p>
          <w:p w14:paraId="54B86D55" w14:textId="77777777" w:rsidR="00487485" w:rsidRPr="00487485" w:rsidRDefault="00487485" w:rsidP="00487485">
            <w:pPr>
              <w:rPr>
                <w:lang w:val="es-ES"/>
              </w:rPr>
            </w:pPr>
            <w:r w:rsidRPr="00487485">
              <w:rPr>
                <w:lang w:val="es-ES"/>
              </w:rPr>
              <w:t>El mandato del Grupo de Expertos del Consejo sobre el Acuerdo 482 es el siguiente:</w:t>
            </w:r>
          </w:p>
          <w:p w14:paraId="4247302B" w14:textId="748EA653" w:rsidR="00487485" w:rsidRPr="00487485" w:rsidRDefault="00487485" w:rsidP="00487485">
            <w:pPr>
              <w:rPr>
                <w:lang w:val="es-ES"/>
              </w:rPr>
            </w:pPr>
            <w:r w:rsidRPr="00487485">
              <w:rPr>
                <w:lang w:val="es-ES"/>
              </w:rPr>
              <w:t>1</w:t>
            </w:r>
            <w:r w:rsidRPr="00487485">
              <w:rPr>
                <w:lang w:val="es-ES"/>
              </w:rPr>
              <w:tab/>
              <w:t>El Grupo de Expertos del Consejo sobre el Acuerdo 482 examinará, sobre la base de los principios y las directrices que figuran en la Resolución</w:t>
            </w:r>
            <w:r w:rsidR="00DA5B4C">
              <w:rPr>
                <w:lang w:val="es-ES"/>
              </w:rPr>
              <w:t> </w:t>
            </w:r>
            <w:r w:rsidRPr="00487485">
              <w:rPr>
                <w:lang w:val="es-ES"/>
              </w:rPr>
              <w:t xml:space="preserve">91 (Rev. Guadalajara, 2010), en particular en el </w:t>
            </w:r>
            <w:r w:rsidRPr="00487485">
              <w:rPr>
                <w:i/>
                <w:iCs/>
                <w:lang w:val="es-ES"/>
              </w:rPr>
              <w:t>resuelve</w:t>
            </w:r>
            <w:r w:rsidR="00DA5B4C">
              <w:rPr>
                <w:lang w:val="es-ES"/>
              </w:rPr>
              <w:t> </w:t>
            </w:r>
            <w:r w:rsidRPr="00487485">
              <w:rPr>
                <w:iCs/>
                <w:lang w:val="es-ES"/>
              </w:rPr>
              <w:t>4 vi),</w:t>
            </w:r>
            <w:r w:rsidRPr="00487485">
              <w:rPr>
                <w:lang w:val="es-ES"/>
              </w:rPr>
              <w:t xml:space="preserve"> la conveniencia de los diversos temas enumerados a continuación (del Anexo</w:t>
            </w:r>
            <w:r w:rsidR="00DA5B4C">
              <w:rPr>
                <w:lang w:val="es-ES"/>
              </w:rPr>
              <w:t> </w:t>
            </w:r>
            <w:r w:rsidRPr="00487485">
              <w:rPr>
                <w:lang w:val="es-ES"/>
              </w:rPr>
              <w:t>1 al Documento</w:t>
            </w:r>
            <w:r w:rsidR="00DA5B4C">
              <w:rPr>
                <w:lang w:val="es-ES"/>
              </w:rPr>
              <w:t> </w:t>
            </w:r>
            <w:hyperlink r:id="rId14" w:history="1">
              <w:r w:rsidRPr="00487485">
                <w:rPr>
                  <w:rStyle w:val="Hyperlink"/>
                  <w:lang w:val="es-ES"/>
                </w:rPr>
                <w:t>C23/19</w:t>
              </w:r>
            </w:hyperlink>
            <w:r w:rsidRPr="00487485">
              <w:rPr>
                <w:lang w:val="es-ES"/>
              </w:rPr>
              <w:t>), habida cuenta de la información proporcionada por la Oficina de Radiocomunicaciones, si así se solicita, y las contribuciones que se presenten a sus reuniones.</w:t>
            </w:r>
          </w:p>
          <w:p w14:paraId="400FB6BD" w14:textId="77777777" w:rsidR="00487485" w:rsidRPr="00487485" w:rsidRDefault="00487485" w:rsidP="008B39A0">
            <w:pPr>
              <w:pStyle w:val="enumlev1"/>
              <w:rPr>
                <w:lang w:val="es-ES"/>
              </w:rPr>
            </w:pPr>
            <w:r w:rsidRPr="00487485">
              <w:rPr>
                <w:lang w:val="es-ES"/>
              </w:rPr>
              <w:t>a)</w:t>
            </w:r>
            <w:r w:rsidRPr="00487485">
              <w:rPr>
                <w:lang w:val="es-ES"/>
              </w:rPr>
              <w:tab/>
              <w:t>En el caso de notificaciones no admisibles, la conveniencia de facturar, en estos casos, una parte del importe correspondiente a una notificación admisible equivalente, con arreglo a las necesidades de los países en desarrollo.</w:t>
            </w:r>
          </w:p>
          <w:p w14:paraId="35E257B0" w14:textId="77777777" w:rsidR="00487485" w:rsidRPr="00487485" w:rsidRDefault="00487485" w:rsidP="008B39A0">
            <w:pPr>
              <w:pStyle w:val="enumlev1"/>
              <w:rPr>
                <w:lang w:val="es-ES"/>
              </w:rPr>
            </w:pPr>
            <w:r w:rsidRPr="00487485">
              <w:rPr>
                <w:lang w:val="es-ES"/>
              </w:rPr>
              <w:t>b)</w:t>
            </w:r>
            <w:r w:rsidRPr="00487485">
              <w:rPr>
                <w:lang w:val="es-ES"/>
              </w:rPr>
              <w:tab/>
              <w:t>La existencia de categorías de notificaciones de sistemas de satélites no OSG que, por su complejidad, no deben tener derecho a tramitación a título gratuito.</w:t>
            </w:r>
          </w:p>
          <w:p w14:paraId="474ACB69" w14:textId="645EEAA7" w:rsidR="00487485" w:rsidRPr="00487485" w:rsidRDefault="00487485" w:rsidP="008B39A0">
            <w:pPr>
              <w:pStyle w:val="enumlev1"/>
              <w:rPr>
                <w:lang w:val="es-ES"/>
              </w:rPr>
            </w:pPr>
            <w:r w:rsidRPr="00487485">
              <w:rPr>
                <w:lang w:val="es-ES"/>
              </w:rPr>
              <w:t>c)</w:t>
            </w:r>
            <w:r w:rsidRPr="00487485">
              <w:rPr>
                <w:lang w:val="es-ES"/>
              </w:rPr>
              <w:tab/>
            </w:r>
            <w:r w:rsidR="00DA5B4C" w:rsidRPr="00487485">
              <w:rPr>
                <w:lang w:val="es-ES"/>
              </w:rPr>
              <w:t xml:space="preserve">La </w:t>
            </w:r>
            <w:r w:rsidRPr="00487485">
              <w:rPr>
                <w:lang w:val="es-ES"/>
              </w:rPr>
              <w:t>necesidad de abonar tasas específicas por la tramitación de notificaciones relacionadas con estaciones terrenas en movimiento, al tiempo que se evita doble facturación.</w:t>
            </w:r>
          </w:p>
          <w:p w14:paraId="1B6A5822" w14:textId="77777777" w:rsidR="00487485" w:rsidRPr="00487485" w:rsidRDefault="00487485" w:rsidP="008B39A0">
            <w:pPr>
              <w:pStyle w:val="enumlev1"/>
              <w:rPr>
                <w:lang w:val="es-ES"/>
              </w:rPr>
            </w:pPr>
            <w:r w:rsidRPr="00487485">
              <w:rPr>
                <w:lang w:val="es-ES"/>
              </w:rPr>
              <w:t>d)</w:t>
            </w:r>
            <w:r w:rsidRPr="00487485">
              <w:rPr>
                <w:lang w:val="es-ES"/>
              </w:rPr>
              <w:tab/>
              <w:t>El coste de la tramitación de las notificaciones que se vuelven a presentar.</w:t>
            </w:r>
          </w:p>
          <w:p w14:paraId="59C3D3C9" w14:textId="13AE8A3F" w:rsidR="00487485" w:rsidRPr="00487485" w:rsidRDefault="00487485" w:rsidP="008B39A0">
            <w:pPr>
              <w:pStyle w:val="enumlev1"/>
              <w:rPr>
                <w:lang w:val="es-ES"/>
              </w:rPr>
            </w:pPr>
            <w:r w:rsidRPr="00487485">
              <w:rPr>
                <w:lang w:val="es-ES"/>
              </w:rPr>
              <w:t>e)</w:t>
            </w:r>
            <w:r w:rsidRPr="00487485">
              <w:rPr>
                <w:lang w:val="es-ES"/>
              </w:rPr>
              <w:tab/>
              <w:t>Los costes derivados de la aplicación por la BR de las disposiciones adicionales: Resoluciones</w:t>
            </w:r>
            <w:r w:rsidR="005212C0">
              <w:rPr>
                <w:lang w:val="es-ES"/>
              </w:rPr>
              <w:t> </w:t>
            </w:r>
            <w:r w:rsidRPr="00487485">
              <w:rPr>
                <w:b/>
                <w:bCs/>
                <w:lang w:val="es-ES"/>
              </w:rPr>
              <w:t>4</w:t>
            </w:r>
            <w:r w:rsidRPr="00487485">
              <w:rPr>
                <w:lang w:val="es-ES"/>
              </w:rPr>
              <w:t xml:space="preserve"> y </w:t>
            </w:r>
            <w:r w:rsidRPr="00487485">
              <w:rPr>
                <w:b/>
                <w:bCs/>
                <w:lang w:val="es-ES"/>
              </w:rPr>
              <w:t>49</w:t>
            </w:r>
            <w:r w:rsidRPr="00487485">
              <w:rPr>
                <w:lang w:val="es-ES"/>
              </w:rPr>
              <w:t>, números</w:t>
            </w:r>
            <w:r w:rsidR="005212C0">
              <w:rPr>
                <w:lang w:val="es-ES"/>
              </w:rPr>
              <w:t> </w:t>
            </w:r>
            <w:r w:rsidRPr="00487485">
              <w:rPr>
                <w:b/>
                <w:bCs/>
                <w:lang w:val="es-ES"/>
              </w:rPr>
              <w:t>11.32A</w:t>
            </w:r>
            <w:r w:rsidRPr="00487485">
              <w:rPr>
                <w:lang w:val="es-ES"/>
              </w:rPr>
              <w:t xml:space="preserve"> (véase nota a pie de página a), </w:t>
            </w:r>
            <w:r w:rsidRPr="00487485">
              <w:rPr>
                <w:b/>
                <w:bCs/>
                <w:lang w:val="es-ES"/>
              </w:rPr>
              <w:t>11.41</w:t>
            </w:r>
            <w:r w:rsidRPr="00487485">
              <w:rPr>
                <w:lang w:val="es-ES"/>
              </w:rPr>
              <w:t xml:space="preserve">, </w:t>
            </w:r>
            <w:r w:rsidRPr="00487485">
              <w:rPr>
                <w:b/>
                <w:bCs/>
                <w:lang w:val="es-ES"/>
              </w:rPr>
              <w:t>11.47</w:t>
            </w:r>
            <w:r w:rsidRPr="00487485">
              <w:rPr>
                <w:lang w:val="es-ES"/>
              </w:rPr>
              <w:t xml:space="preserve">, </w:t>
            </w:r>
            <w:r w:rsidRPr="00487485">
              <w:rPr>
                <w:b/>
                <w:bCs/>
                <w:lang w:val="es-ES"/>
              </w:rPr>
              <w:t>11.49</w:t>
            </w:r>
            <w:r w:rsidRPr="00487485">
              <w:rPr>
                <w:lang w:val="es-ES"/>
              </w:rPr>
              <w:t>, subsección IID del Artículo</w:t>
            </w:r>
            <w:r w:rsidR="005212C0">
              <w:rPr>
                <w:lang w:val="es-ES"/>
              </w:rPr>
              <w:t> </w:t>
            </w:r>
            <w:r w:rsidRPr="00487485">
              <w:rPr>
                <w:b/>
                <w:bCs/>
                <w:lang w:val="es-ES"/>
              </w:rPr>
              <w:t>9</w:t>
            </w:r>
            <w:r w:rsidRPr="00487485">
              <w:rPr>
                <w:lang w:val="es-ES"/>
              </w:rPr>
              <w:t>, secciones</w:t>
            </w:r>
            <w:r w:rsidR="00DA5B4C">
              <w:rPr>
                <w:lang w:val="es-ES"/>
              </w:rPr>
              <w:t> </w:t>
            </w:r>
            <w:r w:rsidRPr="00487485">
              <w:rPr>
                <w:lang w:val="es-ES"/>
              </w:rPr>
              <w:t>1 y 2 del Artículo </w:t>
            </w:r>
            <w:r w:rsidRPr="00487485">
              <w:rPr>
                <w:b/>
                <w:bCs/>
                <w:lang w:val="es-ES"/>
              </w:rPr>
              <w:t>13</w:t>
            </w:r>
            <w:r w:rsidRPr="00487485">
              <w:rPr>
                <w:lang w:val="es-ES"/>
              </w:rPr>
              <w:t>, Artículo </w:t>
            </w:r>
            <w:r w:rsidRPr="00487485">
              <w:rPr>
                <w:b/>
                <w:bCs/>
                <w:lang w:val="es-ES"/>
              </w:rPr>
              <w:t>14</w:t>
            </w:r>
            <w:r w:rsidRPr="00487485">
              <w:rPr>
                <w:lang w:val="es-ES"/>
              </w:rPr>
              <w:t>. Se invita a la Oficina a proporcionar información sobre los casos ya presentados.</w:t>
            </w:r>
          </w:p>
          <w:p w14:paraId="48A0B224" w14:textId="04E8273E" w:rsidR="00487485" w:rsidRPr="00487485" w:rsidRDefault="00487485" w:rsidP="008B39A0">
            <w:pPr>
              <w:pStyle w:val="enumlev1"/>
              <w:rPr>
                <w:lang w:val="es-ES"/>
              </w:rPr>
            </w:pPr>
            <w:r w:rsidRPr="00487485">
              <w:rPr>
                <w:lang w:val="es-ES"/>
              </w:rPr>
              <w:t>f)</w:t>
            </w:r>
            <w:r w:rsidRPr="00487485">
              <w:rPr>
                <w:lang w:val="es-ES"/>
              </w:rPr>
              <w:tab/>
              <w:t>Los costes de tramitación de las notificaciones no OSG que posean más de 75</w:t>
            </w:r>
            <w:r w:rsidR="005212C0">
              <w:rPr>
                <w:lang w:val="es-ES"/>
              </w:rPr>
              <w:t> </w:t>
            </w:r>
            <w:r w:rsidRPr="00487485">
              <w:rPr>
                <w:lang w:val="es-ES"/>
              </w:rPr>
              <w:t>000</w:t>
            </w:r>
            <w:r w:rsidR="005212C0">
              <w:rPr>
                <w:lang w:val="es-ES"/>
              </w:rPr>
              <w:t> </w:t>
            </w:r>
            <w:r w:rsidRPr="00487485">
              <w:rPr>
                <w:lang w:val="es-ES"/>
              </w:rPr>
              <w:t>unidades, o si en la modalidad de cálculo de las unidades de dichos sistemas de satélites no</w:t>
            </w:r>
            <w:r w:rsidR="00DA5B4C">
              <w:rPr>
                <w:lang w:val="es-ES"/>
              </w:rPr>
              <w:t> </w:t>
            </w:r>
            <w:r w:rsidRPr="00487485">
              <w:rPr>
                <w:lang w:val="es-ES"/>
              </w:rPr>
              <w:t>OSG se debe tener en cuenta el efecto del número de altitudes orbitales diferentes, el número de satélites, el número de estaciones terrenas, u otras características que afecten a la carga de trabajo asociada a la tramitación de los sistemas no OSG.</w:t>
            </w:r>
          </w:p>
          <w:p w14:paraId="57DEED09" w14:textId="77777777" w:rsidR="00487485" w:rsidRPr="00487485" w:rsidRDefault="00487485" w:rsidP="008B39A0">
            <w:pPr>
              <w:pStyle w:val="enumlev1"/>
              <w:rPr>
                <w:lang w:val="es-ES"/>
              </w:rPr>
            </w:pPr>
            <w:r w:rsidRPr="00487485">
              <w:rPr>
                <w:lang w:val="es-ES"/>
              </w:rPr>
              <w:t>g)</w:t>
            </w:r>
            <w:r w:rsidRPr="00487485">
              <w:rPr>
                <w:lang w:val="es-ES"/>
              </w:rPr>
              <w:tab/>
              <w:t>Considerar la posibilidad de introducir unidades en las categorías A1 y N4, con una tasa diferente para sistemas más complejos o grandes, dependiendo del número de unidades.</w:t>
            </w:r>
          </w:p>
          <w:p w14:paraId="1E3869EF" w14:textId="77777777" w:rsidR="00487485" w:rsidRPr="00487485" w:rsidRDefault="00487485" w:rsidP="008B39A0">
            <w:pPr>
              <w:pStyle w:val="enumlev1"/>
              <w:rPr>
                <w:lang w:val="es-ES"/>
              </w:rPr>
            </w:pPr>
            <w:r w:rsidRPr="00487485">
              <w:rPr>
                <w:lang w:val="es-ES"/>
              </w:rPr>
              <w:t>h)</w:t>
            </w:r>
            <w:r w:rsidRPr="00487485">
              <w:rPr>
                <w:lang w:val="es-ES"/>
              </w:rPr>
              <w:tab/>
              <w:t>Una tasa adicional para recuperar los costes del examen de la dfpe de las notificaciones y solicitudes de coordinación.</w:t>
            </w:r>
          </w:p>
          <w:p w14:paraId="7544AC5E" w14:textId="272F7EC5" w:rsidR="00487485" w:rsidRPr="00487485" w:rsidRDefault="00487485" w:rsidP="008B39A0">
            <w:pPr>
              <w:pStyle w:val="enumlev1"/>
              <w:rPr>
                <w:lang w:val="es-ES"/>
              </w:rPr>
            </w:pPr>
            <w:r w:rsidRPr="00487485">
              <w:rPr>
                <w:lang w:val="es-ES"/>
              </w:rPr>
              <w:t>i)</w:t>
            </w:r>
            <w:r w:rsidRPr="00487485">
              <w:rPr>
                <w:lang w:val="es-ES"/>
              </w:rPr>
              <w:tab/>
              <w:t>Consecuencias de las modificaciones introducidas en cualquier CMR después de la</w:t>
            </w:r>
            <w:r w:rsidR="00570932">
              <w:rPr>
                <w:lang w:val="es-ES"/>
              </w:rPr>
              <w:t> </w:t>
            </w:r>
            <w:r w:rsidRPr="00487485">
              <w:rPr>
                <w:lang w:val="es-ES"/>
              </w:rPr>
              <w:t>CMR-2000, en su caso, en los reglamentos que rigen los Planes Espaciales.</w:t>
            </w:r>
          </w:p>
          <w:p w14:paraId="147548ED" w14:textId="600C0316" w:rsidR="00487485" w:rsidRPr="00487485" w:rsidRDefault="00487485" w:rsidP="008B39A0">
            <w:pPr>
              <w:pStyle w:val="enumlev1"/>
              <w:rPr>
                <w:lang w:val="es-ES"/>
              </w:rPr>
            </w:pPr>
            <w:r w:rsidRPr="00487485">
              <w:rPr>
                <w:lang w:val="es-ES"/>
              </w:rPr>
              <w:t>j)</w:t>
            </w:r>
            <w:r w:rsidRPr="00487485">
              <w:rPr>
                <w:lang w:val="es-ES"/>
              </w:rPr>
              <w:tab/>
              <w:t>El coste de los recursos específicos necesarios para actualizar y modernizar constantemente las aplicaciones informáticas de la Oficina utilizadas para las notificaciones de redes de satélites. Sin embargo, la recuperación de los costes por tramitación de notificaciones de satélites no debe utilizarse para financiar el desarrollo de herramientas informáticas para la tramitación de notificaciones terrenales.</w:t>
            </w:r>
          </w:p>
          <w:p w14:paraId="727B6A49" w14:textId="77777777" w:rsidR="00487485" w:rsidRPr="00487485" w:rsidRDefault="00487485" w:rsidP="00487485">
            <w:pPr>
              <w:rPr>
                <w:lang w:val="es-ES"/>
              </w:rPr>
            </w:pPr>
            <w:r w:rsidRPr="00487485">
              <w:rPr>
                <w:lang w:val="es-ES"/>
              </w:rPr>
              <w:t>2</w:t>
            </w:r>
            <w:r w:rsidRPr="00487485">
              <w:rPr>
                <w:lang w:val="es-ES"/>
              </w:rPr>
              <w:tab/>
              <w:t>Preparará un Informe provisional con recomendaciones sobre la posible revisión del Acuerdo 482, que presentará al Consejo de la UIT en su reunión de 2024.</w:t>
            </w:r>
          </w:p>
          <w:p w14:paraId="03A96996" w14:textId="77777777" w:rsidR="00487485" w:rsidRPr="00487485" w:rsidRDefault="00487485" w:rsidP="00487485">
            <w:pPr>
              <w:rPr>
                <w:lang w:val="es-ES"/>
              </w:rPr>
            </w:pPr>
            <w:r w:rsidRPr="00487485">
              <w:rPr>
                <w:lang w:val="es-ES"/>
              </w:rPr>
              <w:t>3</w:t>
            </w:r>
            <w:r w:rsidRPr="00487485">
              <w:rPr>
                <w:lang w:val="es-ES"/>
              </w:rPr>
              <w:tab/>
              <w:t>El informe definitivo del grupo se presentará a la reunión de 2025 del Consejo de la UIT para que se tomen las medidas pertinentes y se proceda a una posible revisión del Acuerdo 482.</w:t>
            </w:r>
          </w:p>
          <w:p w14:paraId="154444BC" w14:textId="6CCAEEBB" w:rsidR="00487485" w:rsidRPr="00487485" w:rsidRDefault="00487485" w:rsidP="00487485">
            <w:pPr>
              <w:rPr>
                <w:lang w:val="es-ES"/>
              </w:rPr>
            </w:pPr>
            <w:r w:rsidRPr="00487485">
              <w:rPr>
                <w:lang w:val="es-ES"/>
              </w:rPr>
              <w:t>4</w:t>
            </w:r>
            <w:r w:rsidRPr="00487485">
              <w:rPr>
                <w:lang w:val="es-ES"/>
              </w:rPr>
              <w:tab/>
              <w:t>La participación estará abierta a todos los Estados Miembros y Miembros de Sector de la</w:t>
            </w:r>
            <w:r w:rsidR="005212C0">
              <w:rPr>
                <w:lang w:val="es-ES"/>
              </w:rPr>
              <w:t> </w:t>
            </w:r>
            <w:r w:rsidRPr="00487485">
              <w:rPr>
                <w:lang w:val="es-ES"/>
              </w:rPr>
              <w:t>UIT y el idioma de trabajo será el inglés. En la medida de lo posible celebrará reuniones presenciales con participación a distancia con ocasión de las del Grupo de Trabajo 4A del UIT-R y las de los Grupos de Trabajo del Consejo, u otros eventos pertinentes.</w:t>
            </w:r>
          </w:p>
        </w:tc>
      </w:tr>
    </w:tbl>
    <w:p w14:paraId="6080325D" w14:textId="77777777" w:rsidR="00487485" w:rsidRPr="00487485" w:rsidRDefault="00487485" w:rsidP="008B39A0">
      <w:pPr>
        <w:pStyle w:val="Heading3"/>
        <w:rPr>
          <w:i/>
          <w:iCs/>
          <w:lang w:val="es-ES"/>
        </w:rPr>
      </w:pPr>
      <w:bookmarkStart w:id="8" w:name="_Toc446060757"/>
      <w:r w:rsidRPr="00487485">
        <w:rPr>
          <w:lang w:val="es-ES"/>
        </w:rPr>
        <w:lastRenderedPageBreak/>
        <w:t>2.2.3</w:t>
      </w:r>
      <w:r w:rsidRPr="00487485">
        <w:rPr>
          <w:lang w:val="es-ES"/>
        </w:rPr>
        <w:tab/>
      </w:r>
      <w:r w:rsidRPr="00487485">
        <w:rPr>
          <w:lang w:val="es-ES"/>
        </w:rPr>
        <w:tab/>
        <w:t>Presupuesto para el periodo 2024-2025</w:t>
      </w:r>
      <w:bookmarkEnd w:id="8"/>
    </w:p>
    <w:p w14:paraId="311913FF" w14:textId="4AB9B91F" w:rsidR="00487485" w:rsidRPr="00487485" w:rsidRDefault="00487485" w:rsidP="00487485">
      <w:pPr>
        <w:rPr>
          <w:lang w:val="es-ES"/>
        </w:rPr>
      </w:pPr>
      <w:r w:rsidRPr="00487485">
        <w:rPr>
          <w:lang w:val="es-ES"/>
        </w:rPr>
        <w:t>En su reunión de 2023, el Consejo adoptó el presupuesto del UIT-R siguiente para el periodo</w:t>
      </w:r>
      <w:r w:rsidR="005212C0">
        <w:rPr>
          <w:lang w:val="es-ES"/>
        </w:rPr>
        <w:t> </w:t>
      </w:r>
      <w:r w:rsidRPr="00487485">
        <w:rPr>
          <w:lang w:val="es-ES"/>
        </w:rPr>
        <w:t>2024</w:t>
      </w:r>
      <w:r w:rsidR="005212C0">
        <w:rPr>
          <w:lang w:val="es-ES"/>
        </w:rPr>
        <w:noBreakHyphen/>
      </w:r>
      <w:r w:rsidRPr="00487485">
        <w:rPr>
          <w:lang w:val="es-ES"/>
        </w:rPr>
        <w:t xml:space="preserve">2025 (véase la </w:t>
      </w:r>
      <w:hyperlink r:id="rId15" w:history="1">
        <w:r w:rsidRPr="00487485">
          <w:rPr>
            <w:rStyle w:val="Hyperlink"/>
            <w:lang w:val="es-ES"/>
          </w:rPr>
          <w:t>Resolución</w:t>
        </w:r>
        <w:r w:rsidR="00DA5B4C">
          <w:rPr>
            <w:rStyle w:val="Hyperlink"/>
            <w:lang w:val="es-ES"/>
          </w:rPr>
          <w:t> </w:t>
        </w:r>
        <w:r w:rsidRPr="00487485">
          <w:rPr>
            <w:rStyle w:val="Hyperlink"/>
            <w:lang w:val="es-ES"/>
          </w:rPr>
          <w:t>1417</w:t>
        </w:r>
      </w:hyperlink>
      <w:r w:rsidRPr="00487485">
        <w:rPr>
          <w:lang w:val="es-ES"/>
        </w:rPr>
        <w:t xml:space="preserve"> del Consejo).</w:t>
      </w:r>
    </w:p>
    <w:p w14:paraId="497BA644" w14:textId="77777777" w:rsidR="00487485" w:rsidRPr="00487485" w:rsidRDefault="00487485" w:rsidP="008B39A0">
      <w:pPr>
        <w:pStyle w:val="Figure"/>
        <w:rPr>
          <w:lang w:val="es-ES"/>
        </w:rPr>
      </w:pPr>
      <w:r w:rsidRPr="00487485">
        <w:rPr>
          <w:noProof/>
          <w:lang w:val="es-ES"/>
        </w:rPr>
        <w:drawing>
          <wp:inline distT="0" distB="0" distL="0" distR="0" wp14:anchorId="7E4F8353" wp14:editId="4B6E0B8D">
            <wp:extent cx="6120765" cy="3636332"/>
            <wp:effectExtent l="0" t="0" r="0" b="254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6"/>
                    <a:stretch>
                      <a:fillRect/>
                    </a:stretch>
                  </pic:blipFill>
                  <pic:spPr>
                    <a:xfrm>
                      <a:off x="0" y="0"/>
                      <a:ext cx="6120765" cy="3636332"/>
                    </a:xfrm>
                    <a:prstGeom prst="rect">
                      <a:avLst/>
                    </a:prstGeom>
                  </pic:spPr>
                </pic:pic>
              </a:graphicData>
            </a:graphic>
          </wp:inline>
        </w:drawing>
      </w:r>
    </w:p>
    <w:p w14:paraId="27A65552" w14:textId="77777777" w:rsidR="00487485" w:rsidRPr="00FE4D65" w:rsidRDefault="00487485" w:rsidP="008B39A0">
      <w:pPr>
        <w:pStyle w:val="Normalaftertitle0"/>
        <w:rPr>
          <w:lang w:val="es-ES"/>
        </w:rPr>
      </w:pPr>
      <w:r w:rsidRPr="00FE4D65">
        <w:rPr>
          <w:lang w:val="es-ES"/>
        </w:rPr>
        <w:t>En la fecha de redacción del presente informe, el presupuesto de la UIT para 2024-2025 adoptado por el Consejo de 2023 no satisfará por completo las necesidades financieras de la BR ya que no incluye presupuesto para la ejecución de las decisiones de la Conferencia Mundial de Radiocomunicaciones de 2023.</w:t>
      </w:r>
    </w:p>
    <w:p w14:paraId="332403BB" w14:textId="77777777" w:rsidR="00487485" w:rsidRPr="00487485" w:rsidRDefault="00487485" w:rsidP="008B39A0">
      <w:pPr>
        <w:pStyle w:val="Heading3"/>
        <w:rPr>
          <w:lang w:val="es-ES"/>
        </w:rPr>
      </w:pPr>
      <w:r w:rsidRPr="00487485">
        <w:rPr>
          <w:lang w:val="es-ES"/>
        </w:rPr>
        <w:t>2.2.4</w:t>
      </w:r>
      <w:r w:rsidRPr="00487485">
        <w:rPr>
          <w:lang w:val="es-ES"/>
        </w:rPr>
        <w:tab/>
        <w:t>Utilización de los seis idiomas oficiales de la Unión en igualdad de condiciones</w:t>
      </w:r>
    </w:p>
    <w:p w14:paraId="07AFE7B7" w14:textId="42B19D25" w:rsidR="00487485" w:rsidRPr="00487485" w:rsidRDefault="00487485" w:rsidP="00487485">
      <w:pPr>
        <w:rPr>
          <w:lang w:val="es-ES"/>
        </w:rPr>
      </w:pPr>
      <w:r w:rsidRPr="00487485">
        <w:rPr>
          <w:lang w:val="es-ES"/>
        </w:rPr>
        <w:t>La Conferencia de Plenipotenciarios de la UIT de 2022 (PP-22) adoptó la Resolución 154 (Rev. Bucarest, 2022), relativa a la utilización de los seis idiomas oficiales de la Unión. En esa Resolución se pide a la UIT que siga adoptando todas las medidas necesarias para garantizar la utilización de los seis idiomas oficiales de la Unión en igualdad de condiciones y facilitar la interpretación y la traducción de los documentos de la UIT, si bien para algunas actividades de la UIT (por ejemplo, Grupos de Trabajo o Conferencias Regionales) quizá no se precisen todos los idiomas oficiales.</w:t>
      </w:r>
    </w:p>
    <w:p w14:paraId="0259159A" w14:textId="77777777" w:rsidR="00487485" w:rsidRPr="00487485" w:rsidRDefault="00487485" w:rsidP="00487485">
      <w:pPr>
        <w:rPr>
          <w:lang w:val="es-ES"/>
        </w:rPr>
      </w:pPr>
      <w:r w:rsidRPr="00487485">
        <w:rPr>
          <w:lang w:val="es-ES"/>
        </w:rPr>
        <w:t>En la Resolución 154 (Rev. Bucarest, 2022) se encarga al Secretario General de la UIT, en estrecha colaboración con los Directores de las Oficinas, que presente cada año al Consejo y al Grupo de Trabajo del Consejo sobre los idiomas (GTC-Idiomas) un informe sobre diversas medidas en pro del multilingüismo en la UIT.</w:t>
      </w:r>
    </w:p>
    <w:p w14:paraId="2E9E5850" w14:textId="0AB4B524" w:rsidR="00487485" w:rsidRPr="00487485" w:rsidRDefault="00487485" w:rsidP="00487485">
      <w:pPr>
        <w:rPr>
          <w:lang w:val="es-ES"/>
        </w:rPr>
      </w:pPr>
      <w:r w:rsidRPr="00487485">
        <w:rPr>
          <w:lang w:val="es-ES"/>
        </w:rPr>
        <w:t xml:space="preserve">Durante la reunión del GTC-Idiomas del 23 de enero de 2024 se presentó el </w:t>
      </w:r>
      <w:r w:rsidR="008B39A0" w:rsidRPr="00487485">
        <w:rPr>
          <w:lang w:val="es-ES"/>
        </w:rPr>
        <w:t>Documento</w:t>
      </w:r>
      <w:r w:rsidR="008B39A0">
        <w:rPr>
          <w:lang w:val="es-ES"/>
        </w:rPr>
        <w:t> </w:t>
      </w:r>
      <w:hyperlink r:id="rId17">
        <w:r w:rsidRPr="00487485">
          <w:rPr>
            <w:rStyle w:val="Hyperlink"/>
            <w:lang w:val="es-ES"/>
          </w:rPr>
          <w:t>RCLCWGLANG14-C-0002</w:t>
        </w:r>
      </w:hyperlink>
      <w:r w:rsidRPr="00487485">
        <w:rPr>
          <w:lang w:val="es-ES"/>
        </w:rPr>
        <w:t xml:space="preserve"> para informar sobre los progresos de la UIT en la aplicación de la Resolución</w:t>
      </w:r>
      <w:r w:rsidR="00DA5B4C">
        <w:rPr>
          <w:lang w:val="es-ES"/>
        </w:rPr>
        <w:t> </w:t>
      </w:r>
      <w:r w:rsidRPr="00487485">
        <w:rPr>
          <w:lang w:val="es-ES"/>
        </w:rPr>
        <w:t>1</w:t>
      </w:r>
      <w:r w:rsidR="00DA5B4C">
        <w:rPr>
          <w:lang w:val="es-ES"/>
        </w:rPr>
        <w:t>5</w:t>
      </w:r>
      <w:r w:rsidRPr="00487485">
        <w:rPr>
          <w:lang w:val="es-ES"/>
        </w:rPr>
        <w:t>4. Entre sus disposiciones, la Resolución</w:t>
      </w:r>
      <w:r w:rsidR="00DA5B4C">
        <w:rPr>
          <w:lang w:val="es-ES"/>
        </w:rPr>
        <w:t> </w:t>
      </w:r>
      <w:r w:rsidRPr="00487485">
        <w:rPr>
          <w:lang w:val="es-ES"/>
        </w:rPr>
        <w:t xml:space="preserve">154 pide a la Secretaría de la UIT que publique todas las contribuciones para cualquier evento de la UIT a más tardar tres días laborables después de su recepción y aun antes de su traducción a los demás idiomas oficiales de la </w:t>
      </w:r>
      <w:r w:rsidRPr="00487485">
        <w:rPr>
          <w:lang w:val="es-ES"/>
        </w:rPr>
        <w:lastRenderedPageBreak/>
        <w:t>Unión. Si no se automatizara esta tarea, el cumplimiento de esta obligación conllevaría una carga importante para el personal administrativo encargado de tramitar las contribuciones presentadas para los grandes eventos de la UIT. Dado que no se disponía de tiempo entre la PP-22 y la</w:t>
      </w:r>
      <w:r w:rsidR="005212C0">
        <w:rPr>
          <w:lang w:val="es-ES"/>
        </w:rPr>
        <w:t> </w:t>
      </w:r>
      <w:r w:rsidRPr="00487485">
        <w:rPr>
          <w:lang w:val="es-ES"/>
        </w:rPr>
        <w:t>AR</w:t>
      </w:r>
      <w:r w:rsidR="005212C0">
        <w:rPr>
          <w:lang w:val="es-ES"/>
        </w:rPr>
        <w:noBreakHyphen/>
      </w:r>
      <w:r w:rsidRPr="00487485">
        <w:rPr>
          <w:lang w:val="es-ES"/>
        </w:rPr>
        <w:t xml:space="preserve">12/CMR-23 para desarrollar una solución para toda la Unión, la División de Soportes Lógicos para Aplicaciones Espaciales de la BR desarrolló una aplicación de </w:t>
      </w:r>
      <w:r w:rsidRPr="00487485">
        <w:rPr>
          <w:i/>
          <w:iCs/>
          <w:lang w:val="es-ES"/>
        </w:rPr>
        <w:t>software</w:t>
      </w:r>
      <w:r w:rsidRPr="00487485">
        <w:rPr>
          <w:lang w:val="es-ES"/>
        </w:rPr>
        <w:t xml:space="preserve"> para publicar, </w:t>
      </w:r>
      <w:r w:rsidR="005212C0">
        <w:rPr>
          <w:lang w:val="es-ES"/>
        </w:rPr>
        <w:t>«</w:t>
      </w:r>
      <w:r w:rsidRPr="00487485">
        <w:rPr>
          <w:lang w:val="es-ES"/>
        </w:rPr>
        <w:t>tal y como se reciban</w:t>
      </w:r>
      <w:r w:rsidR="005212C0">
        <w:rPr>
          <w:lang w:val="es-ES"/>
        </w:rPr>
        <w:t>»</w:t>
      </w:r>
      <w:r w:rsidRPr="00487485">
        <w:rPr>
          <w:lang w:val="es-ES"/>
        </w:rPr>
        <w:t>, las contribuciones para las reuniones de las Comisiones de Estudio del</w:t>
      </w:r>
      <w:r w:rsidR="005212C0">
        <w:rPr>
          <w:lang w:val="es-ES"/>
        </w:rPr>
        <w:t> </w:t>
      </w:r>
      <w:r w:rsidRPr="00487485">
        <w:rPr>
          <w:lang w:val="es-ES"/>
        </w:rPr>
        <w:t>UIT-R, la</w:t>
      </w:r>
      <w:r w:rsidR="005212C0">
        <w:rPr>
          <w:lang w:val="es-ES"/>
        </w:rPr>
        <w:t xml:space="preserve"> </w:t>
      </w:r>
      <w:r w:rsidRPr="00487485">
        <w:rPr>
          <w:lang w:val="es-ES"/>
        </w:rPr>
        <w:t>AR</w:t>
      </w:r>
      <w:r w:rsidR="005212C0">
        <w:rPr>
          <w:lang w:val="es-ES"/>
        </w:rPr>
        <w:noBreakHyphen/>
      </w:r>
      <w:r w:rsidRPr="00487485">
        <w:rPr>
          <w:lang w:val="es-ES"/>
        </w:rPr>
        <w:t>23 y la CMR-23. Esta aplicación se utilizó con éxito en la AR-23 y la CMR-23, que pudieron dar respuesta al requisito establecido en virtud de la Resolución</w:t>
      </w:r>
      <w:r w:rsidR="005212C0">
        <w:rPr>
          <w:lang w:val="es-ES"/>
        </w:rPr>
        <w:t> </w:t>
      </w:r>
      <w:r w:rsidRPr="00487485">
        <w:rPr>
          <w:lang w:val="es-ES"/>
        </w:rPr>
        <w:t>154.</w:t>
      </w:r>
    </w:p>
    <w:p w14:paraId="0BAEC4B8" w14:textId="063FF48F" w:rsidR="00487485" w:rsidRPr="00487485" w:rsidRDefault="00487485" w:rsidP="00487485">
      <w:pPr>
        <w:rPr>
          <w:lang w:val="es-ES"/>
        </w:rPr>
      </w:pPr>
      <w:r w:rsidRPr="00487485">
        <w:rPr>
          <w:lang w:val="es-ES"/>
        </w:rPr>
        <w:t>La BR también ha avanzado de forma notable en la transición de sus sitios web de SharePoint a WordPress, que admite la traducción automática de páginas web. Con el inicio de un nuevo periodo de estudios, la BR podrá convertir más páginas a WordPress, que se utilizó para las páginas web tanto de la CMR-23 como de la AR-23, así como para la nueva página web del GAR creada para esta reunión. Véase la sección</w:t>
      </w:r>
      <w:r w:rsidR="005212C0">
        <w:rPr>
          <w:lang w:val="es-ES"/>
        </w:rPr>
        <w:t> </w:t>
      </w:r>
      <w:r w:rsidRPr="00487485">
        <w:rPr>
          <w:lang w:val="es-ES"/>
        </w:rPr>
        <w:t>8.6.1.2 del presente informe para obtener información sobre el estado en que se encuentra la traducción de las páginas web del BR.</w:t>
      </w:r>
    </w:p>
    <w:p w14:paraId="4ABD6E2E" w14:textId="7EA238EA" w:rsidR="00487485" w:rsidRPr="00487485" w:rsidRDefault="00487485" w:rsidP="00487485">
      <w:pPr>
        <w:rPr>
          <w:lang w:val="es-ES"/>
        </w:rPr>
      </w:pPr>
      <w:r w:rsidRPr="00487485">
        <w:rPr>
          <w:lang w:val="es-ES"/>
        </w:rPr>
        <w:t>Se recuerda al GAR que, en la Resolución</w:t>
      </w:r>
      <w:r w:rsidR="00DA5B4C">
        <w:rPr>
          <w:lang w:val="es-ES"/>
        </w:rPr>
        <w:t> </w:t>
      </w:r>
      <w:r w:rsidRPr="00487485">
        <w:rPr>
          <w:lang w:val="es-ES"/>
        </w:rPr>
        <w:t>154 (Rev. Bucarest, 2022), también se encarga a los Grupos Asesores de los Sectores que examinen anualmente la utilización de todos los idiomas oficiales de la Unión en igualdad de condiciones en las publicaciones y sitios web de la UIT.</w:t>
      </w:r>
    </w:p>
    <w:p w14:paraId="6038C269" w14:textId="77777777" w:rsidR="00487485" w:rsidRPr="00487485" w:rsidRDefault="00487485" w:rsidP="008B39A0">
      <w:pPr>
        <w:pStyle w:val="Heading1"/>
        <w:rPr>
          <w:lang w:val="es-ES"/>
        </w:rPr>
      </w:pPr>
      <w:r w:rsidRPr="00487485">
        <w:rPr>
          <w:lang w:val="es-ES"/>
        </w:rPr>
        <w:t>3</w:t>
      </w:r>
      <w:r w:rsidRPr="00487485">
        <w:rPr>
          <w:lang w:val="es-ES"/>
        </w:rPr>
        <w:tab/>
        <w:t>Resultados de la AR-23 y la CMR-23 y medidas consiguientes</w:t>
      </w:r>
    </w:p>
    <w:p w14:paraId="7C871EF7" w14:textId="77777777" w:rsidR="00487485" w:rsidRPr="00487485" w:rsidRDefault="00487485" w:rsidP="008B39A0">
      <w:pPr>
        <w:pStyle w:val="Heading2"/>
        <w:rPr>
          <w:i/>
          <w:iCs/>
          <w:lang w:val="es-ES"/>
        </w:rPr>
      </w:pPr>
      <w:r w:rsidRPr="00487485">
        <w:rPr>
          <w:lang w:val="es-ES"/>
        </w:rPr>
        <w:t>3.1</w:t>
      </w:r>
      <w:r w:rsidRPr="00487485">
        <w:rPr>
          <w:lang w:val="es-ES"/>
        </w:rPr>
        <w:tab/>
        <w:t>AR-23</w:t>
      </w:r>
    </w:p>
    <w:p w14:paraId="66BBEE5A" w14:textId="4569B7CB" w:rsidR="00487485" w:rsidRPr="00487485" w:rsidRDefault="00487485" w:rsidP="003E68C4">
      <w:pPr>
        <w:spacing w:after="120"/>
        <w:rPr>
          <w:lang w:val="es-ES"/>
        </w:rPr>
      </w:pPr>
      <w:r w:rsidRPr="00487485">
        <w:rPr>
          <w:lang w:val="es-ES"/>
        </w:rPr>
        <w:t>De conformidad con la Resolución</w:t>
      </w:r>
      <w:r w:rsidR="00DA5B4C">
        <w:rPr>
          <w:lang w:val="es-ES"/>
        </w:rPr>
        <w:t> </w:t>
      </w:r>
      <w:r w:rsidRPr="00487485">
        <w:rPr>
          <w:lang w:val="es-ES"/>
        </w:rPr>
        <w:t>1399 y el Acuerdo</w:t>
      </w:r>
      <w:r w:rsidR="00DA5B4C">
        <w:rPr>
          <w:lang w:val="es-ES"/>
        </w:rPr>
        <w:t> </w:t>
      </w:r>
      <w:r w:rsidRPr="00487485">
        <w:rPr>
          <w:lang w:val="es-ES"/>
        </w:rPr>
        <w:t>623 del Consejo, la Asamblea de Radiocomunicaciones de 2023 (AR</w:t>
      </w:r>
      <w:r w:rsidRPr="00487485">
        <w:rPr>
          <w:lang w:val="es-ES"/>
        </w:rPr>
        <w:noBreakHyphen/>
        <w:t>23) se celebró en Dubái (Emiratos Árabes Unidos) del 13 al 17 de noviembre de 2023, con 566 participantes en representación de 95</w:t>
      </w:r>
      <w:r w:rsidR="00DA5B4C">
        <w:rPr>
          <w:lang w:val="es-ES"/>
        </w:rPr>
        <w:t> </w:t>
      </w:r>
      <w:r w:rsidRPr="00487485">
        <w:rPr>
          <w:lang w:val="es-ES"/>
        </w:rPr>
        <w:t>Administraciones y 41</w:t>
      </w:r>
      <w:r w:rsidR="00DA5B4C">
        <w:rPr>
          <w:lang w:val="es-ES"/>
        </w:rPr>
        <w:t> </w:t>
      </w:r>
      <w:r w:rsidRPr="00487485">
        <w:rPr>
          <w:lang w:val="es-ES"/>
        </w:rPr>
        <w:t xml:space="preserve">Miembros de Sector, </w:t>
      </w:r>
      <w:r w:rsidR="00056B87">
        <w:rPr>
          <w:lang w:val="es-ES"/>
        </w:rPr>
        <w:t>una</w:t>
      </w:r>
      <w:r w:rsidRPr="00487485">
        <w:rPr>
          <w:lang w:val="es-ES"/>
        </w:rPr>
        <w:t xml:space="preserve"> Institución Académica y </w:t>
      </w:r>
      <w:r w:rsidR="00056B87">
        <w:rPr>
          <w:lang w:val="es-ES"/>
        </w:rPr>
        <w:t>dos</w:t>
      </w:r>
      <w:r w:rsidRPr="00487485">
        <w:rPr>
          <w:lang w:val="es-ES"/>
        </w:rPr>
        <w:t xml:space="preserve"> organismos especializados de la Naciones Unidas.</w:t>
      </w:r>
    </w:p>
    <w:tbl>
      <w:tblPr>
        <w:tblStyle w:val="ListTable1Light-Accent11"/>
        <w:tblW w:w="5000" w:type="pct"/>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547"/>
        <w:gridCol w:w="7082"/>
      </w:tblGrid>
      <w:tr w:rsidR="00487485" w:rsidRPr="00487485" w14:paraId="6E39372D" w14:textId="77777777" w:rsidTr="005533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59A5D3D1" w14:textId="77777777" w:rsidR="00487485" w:rsidRPr="00487485" w:rsidRDefault="00487485" w:rsidP="008B39A0">
            <w:pPr>
              <w:pStyle w:val="Tabletext"/>
              <w:rPr>
                <w:lang w:val="es-ES"/>
              </w:rPr>
            </w:pPr>
            <w:r w:rsidRPr="00487485">
              <w:rPr>
                <w:lang w:val="es-ES"/>
              </w:rPr>
              <w:t xml:space="preserve">Comisión 1 </w:t>
            </w:r>
            <w:r w:rsidRPr="00487485">
              <w:rPr>
                <w:lang w:val="es-ES"/>
              </w:rPr>
              <w:br/>
              <w:t>(Dirección)</w:t>
            </w:r>
          </w:p>
        </w:tc>
        <w:tc>
          <w:tcPr>
            <w:tcW w:w="7082" w:type="dxa"/>
          </w:tcPr>
          <w:p w14:paraId="49BBD503" w14:textId="1BE5FE90" w:rsidR="00487485" w:rsidRPr="00771AC1" w:rsidRDefault="00487485" w:rsidP="00CE6F49">
            <w:pPr>
              <w:pStyle w:val="Tabletext"/>
              <w:tabs>
                <w:tab w:val="clear" w:pos="1134"/>
                <w:tab w:val="clear" w:pos="1418"/>
                <w:tab w:val="clear" w:pos="1701"/>
              </w:tabs>
              <w:cnfStyle w:val="100000000000" w:firstRow="1" w:lastRow="0" w:firstColumn="0" w:lastColumn="0" w:oddVBand="0" w:evenVBand="0" w:oddHBand="0" w:evenHBand="0" w:firstRowFirstColumn="0" w:firstRowLastColumn="0" w:lastRowFirstColumn="0" w:lastRowLastColumn="0"/>
              <w:rPr>
                <w:b w:val="0"/>
                <w:bCs w:val="0"/>
              </w:rPr>
            </w:pPr>
            <w:r w:rsidRPr="00CE6F49">
              <w:t>Presidenta:</w:t>
            </w:r>
            <w:r w:rsidRPr="00CE6F49">
              <w:tab/>
            </w:r>
            <w:r w:rsidRPr="00771AC1">
              <w:rPr>
                <w:b w:val="0"/>
                <w:bCs w:val="0"/>
              </w:rPr>
              <w:t>Sra. Carol WILSON (Australia)</w:t>
            </w:r>
          </w:p>
          <w:p w14:paraId="1039DBA7" w14:textId="2DE65FC6" w:rsidR="00487485" w:rsidRPr="00487485" w:rsidRDefault="00487485" w:rsidP="00CE6F49">
            <w:pPr>
              <w:pStyle w:val="Tabletext"/>
              <w:tabs>
                <w:tab w:val="clear" w:pos="1134"/>
                <w:tab w:val="clear" w:pos="1418"/>
                <w:tab w:val="clear" w:pos="1701"/>
              </w:tabs>
              <w:ind w:left="1985" w:hanging="1985"/>
              <w:cnfStyle w:val="100000000000" w:firstRow="1" w:lastRow="0" w:firstColumn="0" w:lastColumn="0" w:oddVBand="0" w:evenVBand="0" w:oddHBand="0" w:evenHBand="0" w:firstRowFirstColumn="0" w:firstRowLastColumn="0" w:lastRowFirstColumn="0" w:lastRowLastColumn="0"/>
              <w:rPr>
                <w:b w:val="0"/>
                <w:bCs w:val="0"/>
              </w:rPr>
            </w:pPr>
            <w:r w:rsidRPr="00771AC1">
              <w:t>Vicepresidentes:</w:t>
            </w:r>
            <w:r w:rsidRPr="00487485">
              <w:rPr>
                <w:b w:val="0"/>
                <w:bCs w:val="0"/>
              </w:rPr>
              <w:tab/>
              <w:t>Sr. El Hadjar ABDOURAMANE (Camerún)</w:t>
            </w:r>
            <w:r w:rsidR="000C546B">
              <w:rPr>
                <w:b w:val="0"/>
                <w:bCs w:val="0"/>
              </w:rPr>
              <w:br/>
            </w:r>
            <w:r w:rsidRPr="00487485">
              <w:rPr>
                <w:b w:val="0"/>
                <w:bCs w:val="0"/>
              </w:rPr>
              <w:t>Sr. Khalid AL AWADI (Emiratos Árabes Unidos)</w:t>
            </w:r>
            <w:r w:rsidR="005D0E11">
              <w:rPr>
                <w:b w:val="0"/>
                <w:bCs w:val="0"/>
              </w:rPr>
              <w:br/>
            </w:r>
            <w:r w:rsidRPr="00487485">
              <w:rPr>
                <w:b w:val="0"/>
                <w:bCs w:val="0"/>
              </w:rPr>
              <w:t>Sr. Dilmurod DUSMATOV (Uzbekistán)</w:t>
            </w:r>
            <w:r w:rsidR="005D0E11">
              <w:rPr>
                <w:b w:val="0"/>
                <w:bCs w:val="0"/>
              </w:rPr>
              <w:br/>
            </w:r>
            <w:r w:rsidRPr="00487485">
              <w:rPr>
                <w:b w:val="0"/>
                <w:bCs w:val="0"/>
              </w:rPr>
              <w:t>Sr. V</w:t>
            </w:r>
            <w:r w:rsidR="009255B8">
              <w:rPr>
                <w:b w:val="0"/>
                <w:bCs w:val="0"/>
              </w:rPr>
              <w:t>í</w:t>
            </w:r>
            <w:r w:rsidRPr="00487485">
              <w:rPr>
                <w:b w:val="0"/>
                <w:bCs w:val="0"/>
              </w:rPr>
              <w:t>ctor MART</w:t>
            </w:r>
            <w:r w:rsidR="009255B8">
              <w:rPr>
                <w:b w:val="0"/>
                <w:bCs w:val="0"/>
              </w:rPr>
              <w:t>Í</w:t>
            </w:r>
            <w:r w:rsidRPr="00487485">
              <w:rPr>
                <w:b w:val="0"/>
                <w:bCs w:val="0"/>
              </w:rPr>
              <w:t>NEZ VANEGAS (México)</w:t>
            </w:r>
            <w:r w:rsidR="005D0E11">
              <w:rPr>
                <w:b w:val="0"/>
                <w:bCs w:val="0"/>
              </w:rPr>
              <w:br/>
            </w:r>
            <w:r w:rsidRPr="00487485">
              <w:rPr>
                <w:b w:val="0"/>
                <w:bCs w:val="0"/>
              </w:rPr>
              <w:t>Sr. Martin WEBER (Alemania)</w:t>
            </w:r>
          </w:p>
          <w:p w14:paraId="16AC6206" w14:textId="77777777" w:rsidR="00487485" w:rsidRPr="003E68C4" w:rsidRDefault="00487485" w:rsidP="003E68C4">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3E68C4">
              <w:rPr>
                <w:b w:val="0"/>
                <w:bCs w:val="0"/>
              </w:rPr>
              <w:t>Comisión compuesta por el Presidente y los Vicepresidentes de la Asamblea y los Presidentes y Vicepresidentes de las Comisiones.</w:t>
            </w:r>
          </w:p>
        </w:tc>
      </w:tr>
      <w:tr w:rsidR="00487485" w:rsidRPr="00586BA6" w14:paraId="4F9E0716" w14:textId="77777777" w:rsidTr="005533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24069FA0" w14:textId="77777777" w:rsidR="00487485" w:rsidRPr="00487485" w:rsidRDefault="00487485" w:rsidP="003E68C4">
            <w:pPr>
              <w:pStyle w:val="Tabletext"/>
              <w:rPr>
                <w:b w:val="0"/>
                <w:lang w:val="es-ES"/>
              </w:rPr>
            </w:pPr>
            <w:r w:rsidRPr="00487485">
              <w:rPr>
                <w:lang w:val="es-ES"/>
              </w:rPr>
              <w:t>Comisión 2</w:t>
            </w:r>
            <w:r w:rsidRPr="00487485">
              <w:rPr>
                <w:lang w:val="es-ES"/>
              </w:rPr>
              <w:br/>
              <w:t>(Presupuesto)</w:t>
            </w:r>
          </w:p>
        </w:tc>
        <w:tc>
          <w:tcPr>
            <w:tcW w:w="7082" w:type="dxa"/>
            <w:hideMark/>
          </w:tcPr>
          <w:p w14:paraId="2D2694B8" w14:textId="47990790" w:rsidR="00487485" w:rsidRPr="00FE4D65" w:rsidRDefault="00487485" w:rsidP="00CE6F49">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de-DE"/>
              </w:rPr>
            </w:pPr>
            <w:r w:rsidRPr="00771AC1">
              <w:rPr>
                <w:b/>
                <w:bCs/>
                <w:lang w:val="de-DE"/>
              </w:rPr>
              <w:t>Presidente:</w:t>
            </w:r>
            <w:r w:rsidRPr="00FE4D65">
              <w:rPr>
                <w:lang w:val="de-DE"/>
              </w:rPr>
              <w:tab/>
              <w:t>Sr. Daniel OBAM (Kenya)</w:t>
            </w:r>
          </w:p>
          <w:p w14:paraId="3C241748" w14:textId="77777777" w:rsidR="00487485" w:rsidRPr="00FE4D65" w:rsidRDefault="00487485" w:rsidP="00CE6F49">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it-IT"/>
              </w:rPr>
            </w:pPr>
            <w:r w:rsidRPr="00771AC1">
              <w:rPr>
                <w:b/>
                <w:bCs/>
                <w:lang w:val="it-IT"/>
              </w:rPr>
              <w:t>Vicepresidenta:</w:t>
            </w:r>
            <w:r w:rsidRPr="00FE4D65">
              <w:rPr>
                <w:lang w:val="it-IT"/>
              </w:rPr>
              <w:tab/>
              <w:t>Sra. Latifa ALMUHANNA (Kuwait)</w:t>
            </w:r>
          </w:p>
        </w:tc>
      </w:tr>
      <w:tr w:rsidR="00487485" w:rsidRPr="00487485" w14:paraId="74B2228E" w14:textId="77777777" w:rsidTr="0055335B">
        <w:trPr>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7C82C057" w14:textId="77777777" w:rsidR="00487485" w:rsidRPr="00487485" w:rsidRDefault="00487485" w:rsidP="003E68C4">
            <w:pPr>
              <w:pStyle w:val="Tabletext"/>
              <w:rPr>
                <w:b w:val="0"/>
                <w:lang w:val="es-ES"/>
              </w:rPr>
            </w:pPr>
            <w:r w:rsidRPr="00487485">
              <w:rPr>
                <w:lang w:val="es-ES"/>
              </w:rPr>
              <w:t>Comisión 3</w:t>
            </w:r>
            <w:r w:rsidRPr="00487485">
              <w:rPr>
                <w:lang w:val="es-ES"/>
              </w:rPr>
              <w:br/>
              <w:t>(Redacción)</w:t>
            </w:r>
          </w:p>
        </w:tc>
        <w:tc>
          <w:tcPr>
            <w:tcW w:w="7082" w:type="dxa"/>
            <w:hideMark/>
          </w:tcPr>
          <w:p w14:paraId="01585D3F" w14:textId="77777777" w:rsidR="005D0E11" w:rsidRPr="00FE4D65" w:rsidRDefault="00487485" w:rsidP="00CE6F49">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771AC1">
              <w:rPr>
                <w:b/>
                <w:bCs/>
                <w:lang w:val="it-IT"/>
              </w:rPr>
              <w:t>Presidente:</w:t>
            </w:r>
            <w:r w:rsidRPr="00FE4D65">
              <w:rPr>
                <w:lang w:val="it-IT"/>
              </w:rPr>
              <w:tab/>
              <w:t>Sr. Christian RISSONE (Francia)</w:t>
            </w:r>
          </w:p>
          <w:p w14:paraId="66CD7FF1" w14:textId="3D47949D" w:rsidR="00487485" w:rsidRPr="00487485" w:rsidRDefault="00487485" w:rsidP="00CE6F49">
            <w:pPr>
              <w:pStyle w:val="Tabletext"/>
              <w:tabs>
                <w:tab w:val="clear" w:pos="1134"/>
                <w:tab w:val="clear" w:pos="1418"/>
                <w:tab w:val="clear" w:pos="1701"/>
              </w:tabs>
              <w:ind w:left="1985" w:hanging="1985"/>
              <w:cnfStyle w:val="000000000000" w:firstRow="0" w:lastRow="0" w:firstColumn="0" w:lastColumn="0" w:oddVBand="0" w:evenVBand="0" w:oddHBand="0" w:evenHBand="0" w:firstRowFirstColumn="0" w:firstRowLastColumn="0" w:lastRowFirstColumn="0" w:lastRowLastColumn="0"/>
            </w:pPr>
            <w:r w:rsidRPr="00771AC1">
              <w:rPr>
                <w:b/>
                <w:bCs/>
              </w:rPr>
              <w:t>Vicepresidentes:</w:t>
            </w:r>
            <w:r w:rsidRPr="00487485">
              <w:tab/>
              <w:t>Sr. Mohammed AL-HASSANI (Emiratos Árabes Unidos)</w:t>
            </w:r>
            <w:r w:rsidR="000C546B">
              <w:br/>
            </w:r>
            <w:r w:rsidRPr="00487485">
              <w:t>Sr. Dmitry CHERKESOV (Federación de Rusia)</w:t>
            </w:r>
            <w:r w:rsidR="000C546B">
              <w:br/>
            </w:r>
            <w:r w:rsidRPr="00487485">
              <w:t>Sra. Zhang HAIYAN (China (República Popular</w:t>
            </w:r>
            <w:r w:rsidR="00CE6F49">
              <w:t xml:space="preserve"> de</w:t>
            </w:r>
            <w:r w:rsidRPr="00487485">
              <w:t>))</w:t>
            </w:r>
            <w:r w:rsidR="000C546B">
              <w:br/>
            </w:r>
            <w:r w:rsidRPr="00487485">
              <w:t>Sr. Oliver INGS (Reino Unido)</w:t>
            </w:r>
            <w:r w:rsidR="000C546B">
              <w:br/>
            </w:r>
            <w:r w:rsidRPr="00487485">
              <w:t xml:space="preserve">Sr. </w:t>
            </w:r>
            <w:r w:rsidR="00B46EE6">
              <w:t>Á</w:t>
            </w:r>
            <w:r w:rsidRPr="00487485">
              <w:t>ngel LE</w:t>
            </w:r>
            <w:r w:rsidR="00B46EE6">
              <w:t>Ó</w:t>
            </w:r>
            <w:r w:rsidRPr="00487485">
              <w:t>N ALCALDE (España)</w:t>
            </w:r>
          </w:p>
        </w:tc>
      </w:tr>
      <w:tr w:rsidR="00487485" w:rsidRPr="00586BA6" w14:paraId="2D9F1352" w14:textId="77777777" w:rsidTr="005533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70E491E7" w14:textId="77777777" w:rsidR="00487485" w:rsidRPr="00487485" w:rsidRDefault="00487485" w:rsidP="00326D9B">
            <w:pPr>
              <w:pStyle w:val="Tabletext"/>
              <w:keepNext/>
              <w:keepLines/>
              <w:rPr>
                <w:b w:val="0"/>
                <w:lang w:val="es-ES"/>
              </w:rPr>
            </w:pPr>
            <w:r w:rsidRPr="00487485">
              <w:rPr>
                <w:lang w:val="es-ES"/>
              </w:rPr>
              <w:lastRenderedPageBreak/>
              <w:t>Comisión 4</w:t>
            </w:r>
            <w:r w:rsidRPr="00487485">
              <w:rPr>
                <w:lang w:val="es-ES"/>
              </w:rPr>
              <w:br/>
              <w:t>(Estructura y programa de trabajo de las Comisiones de Estudio)</w:t>
            </w:r>
          </w:p>
        </w:tc>
        <w:tc>
          <w:tcPr>
            <w:tcW w:w="7082" w:type="dxa"/>
            <w:hideMark/>
          </w:tcPr>
          <w:p w14:paraId="0BBE2F8D" w14:textId="77777777" w:rsidR="00487485" w:rsidRPr="00487485" w:rsidRDefault="00487485" w:rsidP="00CE6F49">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pPr>
            <w:r w:rsidRPr="00771AC1">
              <w:rPr>
                <w:b/>
                <w:bCs/>
              </w:rPr>
              <w:t>Presidente:</w:t>
            </w:r>
            <w:r w:rsidRPr="00487485">
              <w:tab/>
              <w:t>Sr. Yukihiro NISHIDA (Japón)</w:t>
            </w:r>
          </w:p>
          <w:p w14:paraId="1A32E59A" w14:textId="77777777" w:rsidR="00487485" w:rsidRPr="00FE4D65" w:rsidRDefault="00487485" w:rsidP="00CE6F49">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it-IT"/>
              </w:rPr>
            </w:pPr>
            <w:r w:rsidRPr="00771AC1">
              <w:rPr>
                <w:b/>
                <w:bCs/>
                <w:lang w:val="it-IT"/>
              </w:rPr>
              <w:t>Vicepresidenta:</w:t>
            </w:r>
            <w:r w:rsidRPr="00FE4D65">
              <w:rPr>
                <w:lang w:val="it-IT"/>
              </w:rPr>
              <w:tab/>
              <w:t>Sra. Muneera ALZAYANI (Bahrein)</w:t>
            </w:r>
          </w:p>
        </w:tc>
      </w:tr>
      <w:tr w:rsidR="00487485" w:rsidRPr="00586BA6" w14:paraId="041E9858" w14:textId="77777777" w:rsidTr="0055335B">
        <w:trPr>
          <w:cantSplit/>
          <w:jc w:val="center"/>
        </w:trPr>
        <w:tc>
          <w:tcPr>
            <w:cnfStyle w:val="001000000000" w:firstRow="0" w:lastRow="0" w:firstColumn="1" w:lastColumn="0" w:oddVBand="0" w:evenVBand="0" w:oddHBand="0" w:evenHBand="0" w:firstRowFirstColumn="0" w:firstRowLastColumn="0" w:lastRowFirstColumn="0" w:lastRowLastColumn="0"/>
            <w:tcW w:w="2547" w:type="dxa"/>
          </w:tcPr>
          <w:p w14:paraId="4AB50A7A" w14:textId="239FDB52" w:rsidR="00487485" w:rsidRPr="00487485" w:rsidRDefault="00487485" w:rsidP="0055335B">
            <w:pPr>
              <w:pStyle w:val="Tabletext"/>
              <w:rPr>
                <w:b w:val="0"/>
                <w:lang w:val="es-ES"/>
              </w:rPr>
            </w:pPr>
            <w:r w:rsidRPr="00487485">
              <w:rPr>
                <w:lang w:val="es-ES"/>
              </w:rPr>
              <w:t>Comisión 5</w:t>
            </w:r>
            <w:r w:rsidRPr="00487485">
              <w:rPr>
                <w:lang w:val="es-ES"/>
              </w:rPr>
              <w:br/>
              <w:t>(Métodos de trabajo de la Asamblea de Radiocomunicaciones y de las Comisiones de</w:t>
            </w:r>
            <w:r w:rsidR="0055335B">
              <w:rPr>
                <w:lang w:val="es-ES"/>
              </w:rPr>
              <w:t> </w:t>
            </w:r>
            <w:r w:rsidRPr="00487485">
              <w:rPr>
                <w:lang w:val="es-ES"/>
              </w:rPr>
              <w:t>Estudio)</w:t>
            </w:r>
          </w:p>
        </w:tc>
        <w:tc>
          <w:tcPr>
            <w:tcW w:w="7082" w:type="dxa"/>
          </w:tcPr>
          <w:p w14:paraId="1E5FD46C" w14:textId="77777777" w:rsidR="00487485" w:rsidRPr="00487485" w:rsidRDefault="00487485" w:rsidP="00CE6F49">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es-ES"/>
              </w:rPr>
            </w:pPr>
            <w:r w:rsidRPr="00771AC1">
              <w:rPr>
                <w:b/>
                <w:bCs/>
              </w:rPr>
              <w:t>Presidente</w:t>
            </w:r>
            <w:r w:rsidRPr="00771AC1">
              <w:rPr>
                <w:b/>
                <w:bCs/>
                <w:lang w:val="es-ES"/>
              </w:rPr>
              <w:t>:</w:t>
            </w:r>
            <w:r w:rsidRPr="00487485">
              <w:rPr>
                <w:lang w:val="es-ES"/>
              </w:rPr>
              <w:tab/>
              <w:t>Sr. John ZUZEK (Estados Unidos de América)</w:t>
            </w:r>
          </w:p>
          <w:p w14:paraId="5D64EE80" w14:textId="71CFACDA" w:rsidR="00487485" w:rsidRPr="00487485" w:rsidRDefault="00487485" w:rsidP="00CE6F49">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771AC1">
              <w:rPr>
                <w:b/>
                <w:bCs/>
                <w:lang w:val="it-IT"/>
              </w:rPr>
              <w:t>Vicepresidente:</w:t>
            </w:r>
            <w:r w:rsidRPr="00487485">
              <w:rPr>
                <w:lang w:val="it-IT"/>
              </w:rPr>
              <w:tab/>
              <w:t xml:space="preserve">Sr. </w:t>
            </w:r>
            <w:r w:rsidRPr="00487485">
              <w:rPr>
                <w:iCs/>
                <w:lang w:val="it-IT"/>
              </w:rPr>
              <w:t>Moath ALMANEA (Arabia Saudita)</w:t>
            </w:r>
          </w:p>
        </w:tc>
      </w:tr>
    </w:tbl>
    <w:p w14:paraId="24C71467" w14:textId="77777777" w:rsidR="00487485" w:rsidRPr="0055335B" w:rsidRDefault="00487485" w:rsidP="00A438D6">
      <w:pPr>
        <w:pStyle w:val="Normalaftertitle"/>
        <w:rPr>
          <w:lang w:val="es-ES"/>
        </w:rPr>
      </w:pPr>
      <w:r w:rsidRPr="0055335B">
        <w:rPr>
          <w:lang w:val="es-ES"/>
        </w:rPr>
        <w:t xml:space="preserve">La AR-23 se celebró sin soporte de papel y todas las actividades de redacción pormenorizadas se llevaron a cabo utilizando el sitio web </w:t>
      </w:r>
      <w:r w:rsidRPr="0055335B">
        <w:rPr>
          <w:bCs/>
          <w:lang w:val="es-ES"/>
        </w:rPr>
        <w:t>SharePoint de la Asamblea.</w:t>
      </w:r>
      <w:r w:rsidRPr="0055335B">
        <w:rPr>
          <w:lang w:val="es-ES"/>
        </w:rPr>
        <w:t xml:space="preserve"> </w:t>
      </w:r>
      <w:r w:rsidRPr="0055335B">
        <w:rPr>
          <w:bCs/>
          <w:lang w:val="es-ES"/>
        </w:rPr>
        <w:t>También se puso a disposición y se utilizó una aplicación de sincronización</w:t>
      </w:r>
      <w:r w:rsidRPr="0055335B">
        <w:rPr>
          <w:lang w:val="es-ES"/>
        </w:rPr>
        <w:t>.</w:t>
      </w:r>
    </w:p>
    <w:p w14:paraId="0466823F" w14:textId="1B90653D" w:rsidR="00487485" w:rsidRPr="00487485" w:rsidRDefault="00487485" w:rsidP="00487485">
      <w:pPr>
        <w:rPr>
          <w:lang w:val="es-ES"/>
        </w:rPr>
      </w:pPr>
      <w:r w:rsidRPr="00487485">
        <w:rPr>
          <w:lang w:val="es-ES"/>
        </w:rPr>
        <w:t>Tal y como se decidió durante la plenaria de apertura, y conforme a lo estipulado por la PP-14, se brindó acceso gratuito a todos los documentos de contribución antes de la Asamblea</w:t>
      </w:r>
      <w:r w:rsidRPr="00487485">
        <w:rPr>
          <w:bCs/>
          <w:lang w:val="es-ES"/>
        </w:rPr>
        <w:t xml:space="preserve">, pues ningún Estado Miembro consideró que su divulgación pudiera </w:t>
      </w:r>
      <w:r w:rsidRPr="00487485">
        <w:rPr>
          <w:lang w:val="es-ES"/>
        </w:rPr>
        <w:t>causar daños a intereses legítimos públicos o privados superiores a las ventajas de la accesibilidad.</w:t>
      </w:r>
    </w:p>
    <w:p w14:paraId="6B9F61A8" w14:textId="29C23C4F" w:rsidR="00487485" w:rsidRPr="00487485" w:rsidRDefault="00487485" w:rsidP="00487485">
      <w:pPr>
        <w:rPr>
          <w:lang w:val="es-ES"/>
        </w:rPr>
      </w:pPr>
      <w:r w:rsidRPr="00487485">
        <w:rPr>
          <w:lang w:val="es-ES"/>
        </w:rPr>
        <w:t>Las Resoluciones, Recomendaciones y Cuestiones del UIT-R, así como los resultados principales de la Asamblea, se han puesto a disposición del público. Las Plenarias y las sesiones de las Comisiones se retransmitieron por la web en los seis idiomas oficiales y con subtítulos en inglés, y los archivos correspondientes se publicaron en el sitio web de la AR-</w:t>
      </w:r>
      <w:r w:rsidRPr="00487485">
        <w:rPr>
          <w:bCs/>
          <w:lang w:val="es-ES"/>
        </w:rPr>
        <w:t xml:space="preserve">23. </w:t>
      </w:r>
      <w:r w:rsidRPr="00487485">
        <w:rPr>
          <w:lang w:val="es-ES"/>
        </w:rPr>
        <w:t xml:space="preserve">Toda la información relacionada con la AR-23 puede consultarse en la siguiente dirección: </w:t>
      </w:r>
      <w:hyperlink r:id="rId18" w:history="1">
        <w:r w:rsidR="003E68C4" w:rsidRPr="00487485">
          <w:rPr>
            <w:rStyle w:val="Hyperlink"/>
            <w:lang w:val="es-ES"/>
          </w:rPr>
          <w:t>https://www.itu.int/ra-23/</w:t>
        </w:r>
      </w:hyperlink>
      <w:r w:rsidRPr="00487485">
        <w:rPr>
          <w:lang w:val="es-ES"/>
        </w:rPr>
        <w:t>.</w:t>
      </w:r>
    </w:p>
    <w:p w14:paraId="5C7261C4" w14:textId="01D7F53B" w:rsidR="00487485" w:rsidRPr="00487485" w:rsidRDefault="00487485" w:rsidP="00326D9B">
      <w:pPr>
        <w:rPr>
          <w:u w:val="single"/>
          <w:lang w:val="es-ES"/>
        </w:rPr>
      </w:pPr>
      <w:r w:rsidRPr="00487485">
        <w:rPr>
          <w:lang w:val="es-ES"/>
        </w:rPr>
        <w:t>En total, la AR-19 revisó 26 Resoluciones UIT-R.</w:t>
      </w:r>
    </w:p>
    <w:p w14:paraId="2B1D803C" w14:textId="45F497BE" w:rsidR="00487485" w:rsidRPr="00487485" w:rsidRDefault="00487485" w:rsidP="00487485">
      <w:pPr>
        <w:rPr>
          <w:lang w:val="es-ES"/>
        </w:rPr>
      </w:pPr>
      <w:r w:rsidRPr="00487485">
        <w:rPr>
          <w:lang w:val="es-ES"/>
        </w:rPr>
        <w:t>Se revisó la Resolución UIT-R </w:t>
      </w:r>
      <w:hyperlink r:id="rId19" w:history="1">
        <w:r w:rsidRPr="00487485">
          <w:rPr>
            <w:rStyle w:val="Hyperlink"/>
            <w:lang w:val="es-ES"/>
          </w:rPr>
          <w:t>1</w:t>
        </w:r>
      </w:hyperlink>
      <w:r w:rsidRPr="00487485">
        <w:rPr>
          <w:lang w:val="es-ES"/>
        </w:rPr>
        <w:t xml:space="preserve"> «Métodos de trabajo de la Asamblea de Radiocomunicaciones, de las Comisiones de Estudio de Radiocomunicaciones, del Grupo Asesor de Radiocomunicaciones y de otros grupos del Sector de Radiocomunicaciones». Se aplicaron algunos cambios importantes en esta resolución, entre ellos:</w:t>
      </w:r>
    </w:p>
    <w:p w14:paraId="25CD4415" w14:textId="6E8C771B" w:rsidR="00487485" w:rsidRPr="00487485" w:rsidRDefault="00487485" w:rsidP="003E68C4">
      <w:pPr>
        <w:pStyle w:val="enumlev1"/>
        <w:rPr>
          <w:lang w:val="es-ES"/>
        </w:rPr>
      </w:pPr>
      <w:r w:rsidRPr="00487485">
        <w:rPr>
          <w:lang w:val="es-ES"/>
        </w:rPr>
        <w:t>−</w:t>
      </w:r>
      <w:r w:rsidRPr="00487485">
        <w:rPr>
          <w:lang w:val="es-ES"/>
        </w:rPr>
        <w:tab/>
      </w:r>
      <w:r w:rsidR="009119CD">
        <w:rPr>
          <w:lang w:val="es-ES"/>
        </w:rPr>
        <w:t>m</w:t>
      </w:r>
      <w:r w:rsidRPr="00487485">
        <w:rPr>
          <w:lang w:val="es-ES"/>
        </w:rPr>
        <w:t xml:space="preserve">odificación del plazo límite para la presentación de contribuciones para las reuniones de todas las CE, el Comité de Coordinación de Vocabulario (CCV) y sus grupos subordinados a </w:t>
      </w:r>
      <w:r w:rsidRPr="00487485">
        <w:rPr>
          <w:b/>
          <w:bCs/>
          <w:lang w:val="es-ES"/>
        </w:rPr>
        <w:t>12 días naturales</w:t>
      </w:r>
      <w:r w:rsidRPr="00553BCA">
        <w:rPr>
          <w:lang w:val="es-ES"/>
        </w:rPr>
        <w:t xml:space="preserve"> </w:t>
      </w:r>
      <w:r w:rsidRPr="00487485">
        <w:rPr>
          <w:lang w:val="es-ES"/>
        </w:rPr>
        <w:t>antes del inicio de la reunión;</w:t>
      </w:r>
    </w:p>
    <w:p w14:paraId="4EB99BA4" w14:textId="3F53A50C" w:rsidR="00487485" w:rsidRPr="00487485" w:rsidRDefault="00487485" w:rsidP="003E68C4">
      <w:pPr>
        <w:pStyle w:val="enumlev1"/>
        <w:rPr>
          <w:lang w:val="es-ES"/>
        </w:rPr>
      </w:pPr>
      <w:r w:rsidRPr="00487485">
        <w:rPr>
          <w:lang w:val="es-ES"/>
        </w:rPr>
        <w:t>−</w:t>
      </w:r>
      <w:r w:rsidRPr="00487485">
        <w:rPr>
          <w:lang w:val="es-ES"/>
        </w:rPr>
        <w:tab/>
      </w:r>
      <w:r w:rsidR="009119CD">
        <w:rPr>
          <w:lang w:val="es-ES"/>
        </w:rPr>
        <w:t>i</w:t>
      </w:r>
      <w:r w:rsidRPr="00487485">
        <w:rPr>
          <w:lang w:val="es-ES"/>
        </w:rPr>
        <w:t>nclusión de una disposición sobre la política de becas para las personas procedentes de países en desarrollo, dependiendo de la disposición de fondos;</w:t>
      </w:r>
    </w:p>
    <w:p w14:paraId="4194BD64" w14:textId="2A13B0F9" w:rsidR="00487485" w:rsidRPr="00487485" w:rsidRDefault="00487485" w:rsidP="003E68C4">
      <w:pPr>
        <w:pStyle w:val="enumlev1"/>
        <w:rPr>
          <w:lang w:val="es-ES"/>
        </w:rPr>
      </w:pPr>
      <w:r w:rsidRPr="00487485">
        <w:rPr>
          <w:lang w:val="es-ES"/>
        </w:rPr>
        <w:t>−</w:t>
      </w:r>
      <w:r w:rsidRPr="00487485">
        <w:rPr>
          <w:lang w:val="es-ES"/>
        </w:rPr>
        <w:tab/>
      </w:r>
      <w:r w:rsidR="00282053">
        <w:rPr>
          <w:lang w:val="es-ES"/>
        </w:rPr>
        <w:t>s</w:t>
      </w:r>
      <w:r w:rsidRPr="00487485">
        <w:rPr>
          <w:lang w:val="es-ES"/>
        </w:rPr>
        <w:t>olicitud de informar al GAR sobre la falta de asistencia de los Vicepresidentes;</w:t>
      </w:r>
    </w:p>
    <w:p w14:paraId="023284DE" w14:textId="38006724" w:rsidR="00487485" w:rsidRPr="00487485" w:rsidRDefault="00487485" w:rsidP="003E68C4">
      <w:pPr>
        <w:pStyle w:val="enumlev1"/>
        <w:rPr>
          <w:lang w:val="es-ES"/>
        </w:rPr>
      </w:pPr>
      <w:r w:rsidRPr="00487485">
        <w:rPr>
          <w:lang w:val="es-ES"/>
        </w:rPr>
        <w:t>−</w:t>
      </w:r>
      <w:r w:rsidRPr="00487485">
        <w:rPr>
          <w:lang w:val="es-ES"/>
        </w:rPr>
        <w:tab/>
      </w:r>
      <w:r w:rsidR="00282053">
        <w:rPr>
          <w:lang w:val="es-ES"/>
        </w:rPr>
        <w:t>i</w:t>
      </w:r>
      <w:r w:rsidRPr="00487485">
        <w:rPr>
          <w:lang w:val="es-ES"/>
        </w:rPr>
        <w:t>nclusión de una referencia a una nueva Resolución</w:t>
      </w:r>
      <w:r w:rsidR="00282053">
        <w:rPr>
          <w:lang w:val="es-ES"/>
        </w:rPr>
        <w:t> </w:t>
      </w:r>
      <w:r w:rsidRPr="00487485">
        <w:rPr>
          <w:lang w:val="es-ES"/>
        </w:rPr>
        <w:t>UIT-R 72 sobre la promoción de la igualdad y la equidad de género;</w:t>
      </w:r>
    </w:p>
    <w:p w14:paraId="671FDC76" w14:textId="41BFA0CC" w:rsidR="00487485" w:rsidRPr="00487485" w:rsidRDefault="00487485" w:rsidP="003E68C4">
      <w:pPr>
        <w:pStyle w:val="enumlev1"/>
        <w:rPr>
          <w:lang w:val="es-ES"/>
        </w:rPr>
      </w:pPr>
      <w:r w:rsidRPr="00487485">
        <w:rPr>
          <w:lang w:val="es-ES"/>
        </w:rPr>
        <w:t>−</w:t>
      </w:r>
      <w:r w:rsidRPr="00487485">
        <w:rPr>
          <w:lang w:val="es-ES"/>
        </w:rPr>
        <w:tab/>
      </w:r>
      <w:r w:rsidR="00282053">
        <w:rPr>
          <w:lang w:val="es-ES"/>
        </w:rPr>
        <w:t>a</w:t>
      </w:r>
      <w:r w:rsidRPr="00487485">
        <w:rPr>
          <w:lang w:val="es-ES"/>
        </w:rPr>
        <w:t>dición de una sección nueva en los procedimientos de votación durante la AR;</w:t>
      </w:r>
    </w:p>
    <w:p w14:paraId="4C599454" w14:textId="4D73AE4E" w:rsidR="00487485" w:rsidRPr="00487485" w:rsidRDefault="00487485" w:rsidP="003E68C4">
      <w:pPr>
        <w:pStyle w:val="enumlev1"/>
        <w:rPr>
          <w:lang w:val="es-ES"/>
        </w:rPr>
      </w:pPr>
      <w:r w:rsidRPr="00487485">
        <w:rPr>
          <w:lang w:val="es-ES"/>
        </w:rPr>
        <w:t>−</w:t>
      </w:r>
      <w:r w:rsidRPr="00487485">
        <w:rPr>
          <w:lang w:val="es-ES"/>
        </w:rPr>
        <w:tab/>
      </w:r>
      <w:r w:rsidR="00282053">
        <w:rPr>
          <w:lang w:val="es-ES"/>
        </w:rPr>
        <w:t>e</w:t>
      </w:r>
      <w:r w:rsidRPr="00487485">
        <w:rPr>
          <w:lang w:val="es-ES"/>
        </w:rPr>
        <w:t>stablecimiento de la función y el mandato de los Vicepresidentes de las Comisiones de Estudio y de los Presidentes de los Grupos de Trabajo (GT). Además, definición del número máximo de mandatos de los Presidentes de los GT. En consecuencia, se eliminó la Resolución UIT</w:t>
      </w:r>
      <w:r w:rsidRPr="00487485">
        <w:rPr>
          <w:lang w:val="es-ES"/>
        </w:rPr>
        <w:noBreakHyphen/>
        <w:t>R 15, cuyas disposiciones al respecto se habían incluido la Resolución</w:t>
      </w:r>
      <w:r w:rsidR="003E68C4">
        <w:rPr>
          <w:lang w:val="es-ES"/>
        </w:rPr>
        <w:t> </w:t>
      </w:r>
      <w:r w:rsidRPr="00487485">
        <w:rPr>
          <w:lang w:val="es-ES"/>
        </w:rPr>
        <w:t>UIT-R</w:t>
      </w:r>
      <w:r w:rsidR="003E68C4">
        <w:rPr>
          <w:lang w:val="es-ES"/>
        </w:rPr>
        <w:t> </w:t>
      </w:r>
      <w:hyperlink r:id="rId20" w:history="1">
        <w:r w:rsidRPr="00487485">
          <w:rPr>
            <w:rStyle w:val="Hyperlink"/>
            <w:lang w:val="es-ES"/>
          </w:rPr>
          <w:t>1</w:t>
        </w:r>
      </w:hyperlink>
      <w:r w:rsidRPr="00487485">
        <w:rPr>
          <w:lang w:val="es-ES"/>
        </w:rPr>
        <w:t>. También se revisó la Resolución</w:t>
      </w:r>
      <w:r w:rsidR="003E68C4">
        <w:rPr>
          <w:lang w:val="es-ES"/>
        </w:rPr>
        <w:t> </w:t>
      </w:r>
      <w:r w:rsidRPr="00487485">
        <w:rPr>
          <w:lang w:val="es-ES"/>
        </w:rPr>
        <w:t>UIT-R</w:t>
      </w:r>
      <w:r w:rsidR="003E68C4">
        <w:rPr>
          <w:lang w:val="es-ES"/>
        </w:rPr>
        <w:t> </w:t>
      </w:r>
      <w:hyperlink r:id="rId21" w:history="1">
        <w:r w:rsidRPr="00487485">
          <w:rPr>
            <w:rStyle w:val="Hyperlink"/>
            <w:lang w:val="es-ES"/>
          </w:rPr>
          <w:t>2</w:t>
        </w:r>
      </w:hyperlink>
      <w:r w:rsidRPr="003E68C4">
        <w:t>,</w:t>
      </w:r>
      <w:r w:rsidRPr="00487485">
        <w:rPr>
          <w:lang w:val="es-ES"/>
        </w:rPr>
        <w:t xml:space="preserve"> </w:t>
      </w:r>
      <w:r w:rsidR="00282053">
        <w:rPr>
          <w:lang w:val="es-ES"/>
        </w:rPr>
        <w:t>«</w:t>
      </w:r>
      <w:r w:rsidRPr="00487485">
        <w:rPr>
          <w:lang w:val="es-ES"/>
        </w:rPr>
        <w:t>Reunión Preparatoria de la Conferencia</w:t>
      </w:r>
      <w:r w:rsidR="003E68C4">
        <w:rPr>
          <w:lang w:val="es-ES"/>
        </w:rPr>
        <w:t>»</w:t>
      </w:r>
      <w:r w:rsidRPr="00487485">
        <w:rPr>
          <w:lang w:val="es-ES"/>
        </w:rPr>
        <w:t xml:space="preserve">, para aclarar el </w:t>
      </w:r>
      <w:r w:rsidRPr="003E68C4">
        <w:rPr>
          <w:i/>
          <w:iCs/>
        </w:rPr>
        <w:t>resuelve</w:t>
      </w:r>
      <w:r w:rsidRPr="00487485">
        <w:rPr>
          <w:lang w:val="es-ES"/>
        </w:rPr>
        <w:t xml:space="preserve"> sobre los estudios técnicos y mejorar la directrices para la preparación del Informe de la RPC</w:t>
      </w:r>
      <w:r w:rsidRPr="00487485">
        <w:rPr>
          <w:bCs/>
          <w:lang w:val="es-ES"/>
        </w:rPr>
        <w:t>.</w:t>
      </w:r>
    </w:p>
    <w:p w14:paraId="239C35DB" w14:textId="2A1BF8EC" w:rsidR="00487485" w:rsidRPr="00487485" w:rsidRDefault="00487485" w:rsidP="00282053">
      <w:pPr>
        <w:keepNext/>
        <w:keepLines/>
        <w:rPr>
          <w:u w:val="single"/>
          <w:lang w:val="es-ES"/>
        </w:rPr>
      </w:pPr>
      <w:r w:rsidRPr="00487485">
        <w:rPr>
          <w:lang w:val="es-ES"/>
        </w:rPr>
        <w:lastRenderedPageBreak/>
        <w:t>Se ha mantenido la estructura de las Comisiones de Estudio del UIT-R. Así pues, las seis Comisiones de Estudio de Radiocomunicaciones existentes proseguirán su labor durante el nuevo periodo de estudios (2023-2027) con idénticos ámbitos de actividad. S</w:t>
      </w:r>
      <w:r w:rsidR="002B707C">
        <w:rPr>
          <w:lang w:val="es-ES"/>
        </w:rPr>
        <w:t>ó</w:t>
      </w:r>
      <w:r w:rsidRPr="00487485">
        <w:rPr>
          <w:lang w:val="es-ES"/>
        </w:rPr>
        <w:t>lo se modificó el cometido de la Comisión de Estudio 4 para incluir el uso conexo de enlaces en el servicio entre satélites. La estructura de las Comisiones de Estudio de Radiocomunicaciones, incluidos sus mandatos y Presidentes, figura en la Resolución UIT-R </w:t>
      </w:r>
      <w:hyperlink r:id="rId22" w:history="1">
        <w:r w:rsidRPr="00487485">
          <w:rPr>
            <w:rStyle w:val="Hyperlink"/>
            <w:lang w:val="es-ES"/>
          </w:rPr>
          <w:t>4</w:t>
        </w:r>
      </w:hyperlink>
      <w:r w:rsidRPr="00487485">
        <w:rPr>
          <w:lang w:val="es-ES"/>
        </w:rPr>
        <w:t>. Debido a la falta de acuerdo para el nombramiento de los Vicepresidentes de cada Grupo, la AR-23 delegó en los grupos implicados (CE, CCV, GAR, RPC) la responsabilidad de designar a sus respectivos Vicepresidentes sobre la base del Documento</w:t>
      </w:r>
      <w:r w:rsidR="003E68C4">
        <w:rPr>
          <w:lang w:val="es-ES"/>
        </w:rPr>
        <w:t> </w:t>
      </w:r>
      <w:hyperlink r:id="rId23" w:history="1">
        <w:r w:rsidRPr="00487485">
          <w:rPr>
            <w:rStyle w:val="Hyperlink"/>
            <w:lang w:val="es-ES"/>
          </w:rPr>
          <w:t>RA-23/PLEN/91(Rev.1)</w:t>
        </w:r>
      </w:hyperlink>
      <w:r w:rsidRPr="00487485">
        <w:rPr>
          <w:lang w:val="es-ES"/>
        </w:rPr>
        <w:t>.</w:t>
      </w:r>
    </w:p>
    <w:p w14:paraId="3ACAD625" w14:textId="5219C990" w:rsidR="00487485" w:rsidRPr="00487485" w:rsidRDefault="00487485" w:rsidP="00487485">
      <w:pPr>
        <w:rPr>
          <w:lang w:val="es-ES"/>
        </w:rPr>
      </w:pPr>
      <w:r w:rsidRPr="00487485">
        <w:rPr>
          <w:lang w:val="es-ES"/>
        </w:rPr>
        <w:t>La AR-23 aprobó el programa de trabajo y las Cuestiones de las Comisiones de Estudio de Radiocomunicaciones (véase la Resolución UIT-R </w:t>
      </w:r>
      <w:hyperlink r:id="rId24" w:history="1">
        <w:r w:rsidRPr="00487485">
          <w:rPr>
            <w:rStyle w:val="Hyperlink"/>
            <w:lang w:val="es-ES"/>
          </w:rPr>
          <w:t>5</w:t>
        </w:r>
      </w:hyperlink>
      <w:r w:rsidRPr="00487485">
        <w:rPr>
          <w:lang w:val="es-ES"/>
        </w:rPr>
        <w:t>), así como cuatro Recomendaciones UIT-R.</w:t>
      </w:r>
    </w:p>
    <w:p w14:paraId="12861D24" w14:textId="147CED37" w:rsidR="00487485" w:rsidRPr="00487485" w:rsidRDefault="00487485" w:rsidP="00487485">
      <w:pPr>
        <w:rPr>
          <w:lang w:val="es-ES"/>
        </w:rPr>
      </w:pPr>
      <w:r w:rsidRPr="00487485">
        <w:rPr>
          <w:lang w:val="es-ES"/>
        </w:rPr>
        <w:t>También se realizó una revisión profunda de la Resolución</w:t>
      </w:r>
      <w:r w:rsidR="00326D9B">
        <w:rPr>
          <w:lang w:val="es-ES"/>
        </w:rPr>
        <w:t> </w:t>
      </w:r>
      <w:r w:rsidRPr="00487485">
        <w:rPr>
          <w:lang w:val="es-ES"/>
        </w:rPr>
        <w:t>UIT-R</w:t>
      </w:r>
      <w:r w:rsidR="00326D9B">
        <w:rPr>
          <w:lang w:val="es-ES"/>
        </w:rPr>
        <w:t> </w:t>
      </w:r>
      <w:hyperlink r:id="rId25" w:history="1">
        <w:r w:rsidRPr="00487485">
          <w:rPr>
            <w:rStyle w:val="Hyperlink"/>
            <w:lang w:val="es-ES"/>
          </w:rPr>
          <w:t>56</w:t>
        </w:r>
      </w:hyperlink>
      <w:r w:rsidRPr="00487485">
        <w:rPr>
          <w:lang w:val="es-ES"/>
        </w:rPr>
        <w:t xml:space="preserve"> sobre la «Denominación de las telecomunicaciones móviles internacionales», para incluir el término «IMT-2030» y una referencia a la Recomendación</w:t>
      </w:r>
      <w:r w:rsidR="00282053">
        <w:rPr>
          <w:lang w:val="es-ES"/>
        </w:rPr>
        <w:t> </w:t>
      </w:r>
      <w:r w:rsidRPr="00487485">
        <w:rPr>
          <w:lang w:val="es-ES"/>
        </w:rPr>
        <w:t>UIT</w:t>
      </w:r>
      <w:r w:rsidR="00282053">
        <w:rPr>
          <w:lang w:val="es-ES"/>
        </w:rPr>
        <w:noBreakHyphen/>
      </w:r>
      <w:r w:rsidRPr="00487485">
        <w:rPr>
          <w:lang w:val="es-ES"/>
        </w:rPr>
        <w:t>R</w:t>
      </w:r>
      <w:r w:rsidR="00282053">
        <w:rPr>
          <w:lang w:val="es-ES"/>
        </w:rPr>
        <w:t> </w:t>
      </w:r>
      <w:r w:rsidRPr="00487485">
        <w:rPr>
          <w:lang w:val="es-ES"/>
        </w:rPr>
        <w:t>M.2160 en la que se describe el marco y los objetivos generales para el desarrollo futuro de las «IMT para 2030 y sistemas posteriores». De igual forma, se revisó la Resolución</w:t>
      </w:r>
      <w:r w:rsidR="00282053">
        <w:rPr>
          <w:lang w:val="es-ES"/>
        </w:rPr>
        <w:t> </w:t>
      </w:r>
      <w:r w:rsidRPr="00487485">
        <w:rPr>
          <w:lang w:val="es-ES"/>
        </w:rPr>
        <w:t>UIT-R</w:t>
      </w:r>
      <w:r w:rsidR="00282053">
        <w:rPr>
          <w:lang w:val="es-ES"/>
        </w:rPr>
        <w:t> </w:t>
      </w:r>
      <w:hyperlink r:id="rId26" w:history="1">
        <w:r w:rsidRPr="00487485">
          <w:rPr>
            <w:rStyle w:val="Hyperlink"/>
            <w:lang w:val="es-ES"/>
          </w:rPr>
          <w:t>65</w:t>
        </w:r>
      </w:hyperlink>
      <w:r w:rsidRPr="00487485">
        <w:rPr>
          <w:lang w:val="es-ES"/>
        </w:rPr>
        <w:t xml:space="preserve"> sobre los «Principios para el futuro desarrollo de las IMT-2020 y las IMT-2030» a fin de incorporar los mismos conceptos.</w:t>
      </w:r>
    </w:p>
    <w:p w14:paraId="3E189D6F" w14:textId="77777777" w:rsidR="00487485" w:rsidRPr="00487485" w:rsidRDefault="00487485" w:rsidP="00487485">
      <w:pPr>
        <w:rPr>
          <w:lang w:val="es-ES"/>
        </w:rPr>
      </w:pPr>
      <w:r w:rsidRPr="00487485">
        <w:rPr>
          <w:lang w:val="es-ES"/>
        </w:rPr>
        <w:t>Además, se aprobaron cuatro Resoluciones UIT-R nuevas:</w:t>
      </w:r>
    </w:p>
    <w:p w14:paraId="515C7D5F" w14:textId="3CF87B1D"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27" w:history="1">
        <w:r w:rsidR="00487485" w:rsidRPr="00487485">
          <w:rPr>
            <w:rStyle w:val="Hyperlink"/>
            <w:b/>
            <w:bCs/>
            <w:lang w:val="es-ES"/>
          </w:rPr>
          <w:t>72</w:t>
        </w:r>
      </w:hyperlink>
      <w:r w:rsidR="00487485" w:rsidRPr="00487485">
        <w:rPr>
          <w:lang w:val="es-ES"/>
        </w:rPr>
        <w:t xml:space="preserve"> – Promoción de la igualdad y la equidad de género y reducción de la disparidad en materia de contribución y participación de mujeres y hombres en las actividades del Sector de Radiocomunicaciones de la UIT</w:t>
      </w:r>
    </w:p>
    <w:p w14:paraId="64427B61" w14:textId="159F66B0"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28" w:history="1">
        <w:r w:rsidR="00487485" w:rsidRPr="00487485">
          <w:rPr>
            <w:rStyle w:val="Hyperlink"/>
            <w:b/>
            <w:bCs/>
            <w:lang w:val="es-ES"/>
          </w:rPr>
          <w:t>73</w:t>
        </w:r>
      </w:hyperlink>
      <w:r w:rsidR="00487485" w:rsidRPr="00487485">
        <w:rPr>
          <w:lang w:val="es-ES"/>
        </w:rPr>
        <w:t xml:space="preserve"> – Utilización de las tecnologías de las telecomunicaciones móviles internacionales para la banda ancha inalámbrica fija en las bandas de frecuencias atribuidas al servicio fijo a título primario</w:t>
      </w:r>
    </w:p>
    <w:p w14:paraId="65841838" w14:textId="0761F383"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29" w:history="1">
        <w:r w:rsidR="00487485" w:rsidRPr="00487485">
          <w:rPr>
            <w:rStyle w:val="Hyperlink"/>
            <w:b/>
            <w:bCs/>
            <w:lang w:val="es-ES"/>
          </w:rPr>
          <w:t>74</w:t>
        </w:r>
      </w:hyperlink>
      <w:r w:rsidR="00487485" w:rsidRPr="00487485">
        <w:rPr>
          <w:lang w:val="es-ES"/>
        </w:rPr>
        <w:t xml:space="preserve"> – Actividades relacionadas con la utilización sostenible del espectro de frecuencias radioeléctricas y los recursos de órbita de satélite conexos utilizados por los servicios espaciales</w:t>
      </w:r>
    </w:p>
    <w:p w14:paraId="17A21056" w14:textId="2B480F06"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30" w:history="1">
        <w:r w:rsidR="00487485" w:rsidRPr="00487485">
          <w:rPr>
            <w:rStyle w:val="Hyperlink"/>
            <w:b/>
            <w:bCs/>
            <w:lang w:val="es-ES"/>
          </w:rPr>
          <w:t>75</w:t>
        </w:r>
      </w:hyperlink>
      <w:r w:rsidR="00487485" w:rsidRPr="00487485">
        <w:rPr>
          <w:lang w:val="es-ES"/>
        </w:rPr>
        <w:t xml:space="preserve"> – Fortalecimiento de la coordinación y la cooperación entre los tres Sectores de la UIT en asuntos de interés mutuo</w:t>
      </w:r>
    </w:p>
    <w:p w14:paraId="3F596D9D" w14:textId="35660FF3" w:rsidR="00487485" w:rsidRPr="00487485" w:rsidRDefault="00487485" w:rsidP="00487485">
      <w:pPr>
        <w:rPr>
          <w:lang w:val="es-ES"/>
        </w:rPr>
      </w:pPr>
      <w:r w:rsidRPr="00487485">
        <w:rPr>
          <w:lang w:val="es-ES"/>
        </w:rPr>
        <w:t>En esta nueva Resolución se consolidan los textos de las Resoluciones</w:t>
      </w:r>
      <w:r w:rsidR="00282053">
        <w:rPr>
          <w:lang w:val="es-ES"/>
        </w:rPr>
        <w:t> </w:t>
      </w:r>
      <w:r w:rsidRPr="00487485">
        <w:rPr>
          <w:lang w:val="es-ES"/>
        </w:rPr>
        <w:t>UIT-R 6, UIT-R</w:t>
      </w:r>
      <w:r w:rsidR="00326D9B">
        <w:rPr>
          <w:lang w:val="es-ES"/>
        </w:rPr>
        <w:t> </w:t>
      </w:r>
      <w:r w:rsidRPr="00487485">
        <w:rPr>
          <w:lang w:val="es-ES"/>
        </w:rPr>
        <w:t>7 y UIT</w:t>
      </w:r>
      <w:r w:rsidR="000C546B">
        <w:rPr>
          <w:lang w:val="es-ES"/>
        </w:rPr>
        <w:noBreakHyphen/>
      </w:r>
      <w:r w:rsidRPr="00487485">
        <w:rPr>
          <w:lang w:val="es-ES"/>
        </w:rPr>
        <w:t>R</w:t>
      </w:r>
      <w:r w:rsidR="000C546B">
        <w:rPr>
          <w:lang w:val="es-ES"/>
        </w:rPr>
        <w:t> </w:t>
      </w:r>
      <w:r w:rsidRPr="00487485">
        <w:rPr>
          <w:lang w:val="es-ES"/>
        </w:rPr>
        <w:t>48, que se eliminaron posteriormente.</w:t>
      </w:r>
    </w:p>
    <w:p w14:paraId="64CEE69E" w14:textId="77777777" w:rsidR="00487485" w:rsidRPr="00487485" w:rsidRDefault="00487485" w:rsidP="00487485">
      <w:pPr>
        <w:rPr>
          <w:lang w:val="es-ES"/>
        </w:rPr>
      </w:pPr>
      <w:r w:rsidRPr="00487485">
        <w:rPr>
          <w:lang w:val="es-ES"/>
        </w:rPr>
        <w:t>La Asamblea también decidió eliminar cuatro Resoluciones UIT-R:</w:t>
      </w:r>
    </w:p>
    <w:p w14:paraId="70721948" w14:textId="27A45F9D"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31" w:history="1">
        <w:r w:rsidR="00487485" w:rsidRPr="00487485">
          <w:rPr>
            <w:rStyle w:val="Hyperlink"/>
            <w:b/>
            <w:bCs/>
            <w:lang w:val="es-ES"/>
          </w:rPr>
          <w:t>6</w:t>
        </w:r>
      </w:hyperlink>
      <w:r w:rsidR="00487485" w:rsidRPr="00487485">
        <w:rPr>
          <w:lang w:val="es-ES"/>
        </w:rPr>
        <w:t xml:space="preserve"> – Coordinación y colaboración con el Sector de normalización de las telecomunicaciones de la UIT</w:t>
      </w:r>
    </w:p>
    <w:p w14:paraId="6440CFD9" w14:textId="373EAC69"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32" w:history="1">
        <w:r w:rsidR="00487485" w:rsidRPr="00487485">
          <w:rPr>
            <w:rStyle w:val="Hyperlink"/>
            <w:b/>
            <w:bCs/>
            <w:lang w:val="es-ES"/>
          </w:rPr>
          <w:t>7</w:t>
        </w:r>
      </w:hyperlink>
      <w:r w:rsidR="00487485" w:rsidRPr="00487485">
        <w:rPr>
          <w:lang w:val="es-ES"/>
        </w:rPr>
        <w:t xml:space="preserve"> – Desarrollo de las telecomunicaciones, incluida la coordinación y colaboración con el Sector de desarrollo de las Telecomunicaciones de la UIT</w:t>
      </w:r>
    </w:p>
    <w:p w14:paraId="257298DE" w14:textId="2D48322F"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33" w:history="1">
        <w:r w:rsidR="00487485" w:rsidRPr="00487485">
          <w:rPr>
            <w:rStyle w:val="Hyperlink"/>
            <w:b/>
            <w:bCs/>
            <w:lang w:val="es-ES"/>
          </w:rPr>
          <w:t>15</w:t>
        </w:r>
      </w:hyperlink>
      <w:r w:rsidR="00487485" w:rsidRPr="00487485">
        <w:rPr>
          <w:lang w:val="es-ES"/>
        </w:rPr>
        <w:t xml:space="preserve"> – Nombramiento y periodo máximo de mandato de los Presidentes y Vicepresidentes de las Comisiones de Estudio de Radiocomunicaciones, del Comité de Coordinación de Vocabulario y del Grupo Asesor de Radiocomunicaciones</w:t>
      </w:r>
    </w:p>
    <w:p w14:paraId="385F38BE" w14:textId="0BF80E69" w:rsidR="00487485" w:rsidRPr="00487485" w:rsidRDefault="00282053" w:rsidP="00282053">
      <w:pPr>
        <w:pStyle w:val="enumlev1"/>
        <w:rPr>
          <w:lang w:val="es-ES"/>
        </w:rPr>
      </w:pPr>
      <w:r w:rsidRPr="00282053">
        <w:rPr>
          <w:lang w:val="es-ES"/>
        </w:rPr>
        <w:tab/>
      </w:r>
      <w:r w:rsidR="00487485" w:rsidRPr="00487485">
        <w:rPr>
          <w:b/>
          <w:bCs/>
          <w:lang w:val="es-ES"/>
        </w:rPr>
        <w:t>Resolución</w:t>
      </w:r>
      <w:r>
        <w:rPr>
          <w:b/>
          <w:bCs/>
          <w:lang w:val="es-ES"/>
        </w:rPr>
        <w:t> </w:t>
      </w:r>
      <w:r w:rsidR="00487485" w:rsidRPr="00487485">
        <w:rPr>
          <w:b/>
          <w:bCs/>
          <w:lang w:val="es-ES"/>
        </w:rPr>
        <w:t>UIT-R</w:t>
      </w:r>
      <w:r>
        <w:rPr>
          <w:b/>
          <w:bCs/>
          <w:lang w:val="es-ES"/>
        </w:rPr>
        <w:t> </w:t>
      </w:r>
      <w:hyperlink r:id="rId34" w:history="1">
        <w:r w:rsidR="00487485" w:rsidRPr="00487485">
          <w:rPr>
            <w:rStyle w:val="Hyperlink"/>
            <w:b/>
            <w:bCs/>
            <w:lang w:val="es-ES"/>
          </w:rPr>
          <w:t>48</w:t>
        </w:r>
      </w:hyperlink>
      <w:r w:rsidR="00487485" w:rsidRPr="00487485">
        <w:rPr>
          <w:lang w:val="es-ES"/>
        </w:rPr>
        <w:t xml:space="preserve"> – Fortalecimiento de la presencia regional en los trabajos de las Comisiones de Estudio de Radiocomunicaciones</w:t>
      </w:r>
    </w:p>
    <w:p w14:paraId="38109E6D" w14:textId="4264035A" w:rsidR="00487485" w:rsidRPr="00487485" w:rsidRDefault="00487485" w:rsidP="00487485">
      <w:pPr>
        <w:rPr>
          <w:lang w:val="es-ES"/>
        </w:rPr>
      </w:pPr>
      <w:r w:rsidRPr="00487485">
        <w:rPr>
          <w:lang w:val="es-ES"/>
        </w:rPr>
        <w:t>Las decisiones de la AR-23 que revisten un interés particular para la CMR-23 se recogieron en el Documento</w:t>
      </w:r>
      <w:r w:rsidR="000C546B">
        <w:rPr>
          <w:lang w:val="es-ES"/>
        </w:rPr>
        <w:t> </w:t>
      </w:r>
      <w:hyperlink r:id="rId35" w:history="1">
        <w:r w:rsidRPr="00487485">
          <w:rPr>
            <w:rStyle w:val="Hyperlink"/>
            <w:lang w:val="es-ES"/>
          </w:rPr>
          <w:t>WRC-23/217</w:t>
        </w:r>
      </w:hyperlink>
      <w:r w:rsidRPr="00487485">
        <w:rPr>
          <w:lang w:val="es-ES"/>
        </w:rPr>
        <w:t>.</w:t>
      </w:r>
    </w:p>
    <w:p w14:paraId="709A876C" w14:textId="77777777" w:rsidR="00487485" w:rsidRPr="00487485" w:rsidRDefault="00487485" w:rsidP="000C546B">
      <w:pPr>
        <w:pStyle w:val="Heading3"/>
        <w:rPr>
          <w:lang w:val="es-ES"/>
        </w:rPr>
      </w:pPr>
      <w:r w:rsidRPr="00487485">
        <w:rPr>
          <w:lang w:val="es-ES"/>
        </w:rPr>
        <w:lastRenderedPageBreak/>
        <w:t>3.1.1</w:t>
      </w:r>
      <w:r w:rsidRPr="00487485">
        <w:rPr>
          <w:lang w:val="es-ES"/>
        </w:rPr>
        <w:tab/>
        <w:t>Instrucciones de la AR-23 al GAR</w:t>
      </w:r>
    </w:p>
    <w:p w14:paraId="734A338A" w14:textId="620FADF7" w:rsidR="00487485" w:rsidRPr="00487485" w:rsidRDefault="00487485" w:rsidP="000C546B">
      <w:pPr>
        <w:pStyle w:val="enumlev1"/>
        <w:rPr>
          <w:lang w:val="es-ES"/>
        </w:rPr>
      </w:pPr>
      <w:r w:rsidRPr="00487485">
        <w:rPr>
          <w:lang w:val="es-ES"/>
        </w:rPr>
        <w:t>–</w:t>
      </w:r>
      <w:r w:rsidRPr="00487485">
        <w:rPr>
          <w:lang w:val="es-ES"/>
        </w:rPr>
        <w:tab/>
        <w:t>La AR-23 delegó en el GAR la responsabilidad de nombrar a sus Vicepresidentes basándose en las candidaturas incluidas en el Doc</w:t>
      </w:r>
      <w:r w:rsidR="00EC177F">
        <w:rPr>
          <w:lang w:val="es-ES"/>
        </w:rPr>
        <w:t>umento </w:t>
      </w:r>
      <w:hyperlink r:id="rId36" w:history="1">
        <w:r w:rsidRPr="00487485">
          <w:rPr>
            <w:rStyle w:val="Hyperlink"/>
            <w:lang w:val="es-ES"/>
          </w:rPr>
          <w:t>RA</w:t>
        </w:r>
        <w:r w:rsidRPr="00487485">
          <w:rPr>
            <w:rStyle w:val="Hyperlink"/>
            <w:lang w:val="es-ES"/>
          </w:rPr>
          <w:noBreakHyphen/>
          <w:t>23/PLEN/91(Rev.1)</w:t>
        </w:r>
      </w:hyperlink>
      <w:r w:rsidRPr="00487485">
        <w:rPr>
          <w:lang w:val="es-ES"/>
        </w:rPr>
        <w:t>.</w:t>
      </w:r>
    </w:p>
    <w:p w14:paraId="00A83856" w14:textId="38208359" w:rsidR="00487485" w:rsidRPr="00487485" w:rsidRDefault="00487485" w:rsidP="000C546B">
      <w:pPr>
        <w:pStyle w:val="enumlev1"/>
        <w:rPr>
          <w:lang w:val="es-ES"/>
        </w:rPr>
      </w:pPr>
      <w:r w:rsidRPr="00487485">
        <w:rPr>
          <w:lang w:val="es-ES"/>
        </w:rPr>
        <w:t>–</w:t>
      </w:r>
      <w:r w:rsidRPr="00487485">
        <w:rPr>
          <w:lang w:val="es-ES"/>
        </w:rPr>
        <w:tab/>
        <w:t>Durante la AR-23, se celebró una debate sobre la posibilidad de modificar la Resolución UIT</w:t>
      </w:r>
      <w:r w:rsidRPr="00487485">
        <w:rPr>
          <w:lang w:val="es-ES"/>
        </w:rPr>
        <w:noBreakHyphen/>
        <w:t>R</w:t>
      </w:r>
      <w:r w:rsidR="00EC177F">
        <w:rPr>
          <w:lang w:val="es-ES"/>
        </w:rPr>
        <w:t> </w:t>
      </w:r>
      <w:r w:rsidRPr="00487485">
        <w:rPr>
          <w:lang w:val="es-ES"/>
        </w:rPr>
        <w:t>2 (véase el Documento</w:t>
      </w:r>
      <w:r w:rsidR="00EC177F">
        <w:rPr>
          <w:lang w:val="es-ES"/>
        </w:rPr>
        <w:t> </w:t>
      </w:r>
      <w:hyperlink r:id="rId37" w:history="1">
        <w:r w:rsidRPr="00487485">
          <w:rPr>
            <w:rStyle w:val="Hyperlink"/>
            <w:lang w:val="es-ES"/>
          </w:rPr>
          <w:t>RA-23/PLEN/102</w:t>
        </w:r>
      </w:hyperlink>
      <w:r w:rsidRPr="00487485">
        <w:rPr>
          <w:lang w:val="es-ES"/>
        </w:rPr>
        <w:t>), a fin de verificar la eficacia del proceso de la RPC. Se expusieron varias opiniones y los Estados Miembros formularon propuestas sobre una posible vía de acción. La AR-23 invitó al Director de la BR a realizar consultas para determinar una opción adecuada, incluida una propuesta de crear un Grupo de Correspondencia del GAR encargado de este asunto.</w:t>
      </w:r>
    </w:p>
    <w:p w14:paraId="5085F0D1" w14:textId="203594EE" w:rsidR="00487485" w:rsidRPr="00487485" w:rsidRDefault="00487485" w:rsidP="000C546B">
      <w:pPr>
        <w:pStyle w:val="enumlev1"/>
        <w:rPr>
          <w:lang w:val="es-ES"/>
        </w:rPr>
      </w:pPr>
      <w:r w:rsidRPr="00487485">
        <w:rPr>
          <w:lang w:val="es-ES"/>
        </w:rPr>
        <w:t>–</w:t>
      </w:r>
      <w:r w:rsidRPr="00487485">
        <w:rPr>
          <w:lang w:val="es-ES"/>
        </w:rPr>
        <w:tab/>
        <w:t>En la quinta sesión plenaria de la AR-23, la Presidenta indicó que la Resolución UIT-R 1 presentaba ambigüedad en relación con el mandato de las Asambleas de Radiocomunicaciones, que permite aprobar Recomendaciones UIT-R recibidas como contribución directamente de los Estados Miembros, sin que las haya estudiado primero la Comisión de Estudio del UIT-R competente (véase el Doc</w:t>
      </w:r>
      <w:r w:rsidR="00EC177F">
        <w:rPr>
          <w:lang w:val="es-ES"/>
        </w:rPr>
        <w:t>umento</w:t>
      </w:r>
      <w:r w:rsidR="000C546B">
        <w:rPr>
          <w:lang w:val="es-ES"/>
        </w:rPr>
        <w:t> </w:t>
      </w:r>
      <w:hyperlink r:id="rId38" w:history="1">
        <w:r w:rsidRPr="00487485">
          <w:rPr>
            <w:rStyle w:val="Hyperlink"/>
            <w:lang w:val="es-ES"/>
          </w:rPr>
          <w:t>RA23/PLEN/103</w:t>
        </w:r>
      </w:hyperlink>
      <w:r w:rsidRPr="00487485">
        <w:rPr>
          <w:lang w:val="es-ES"/>
        </w:rPr>
        <w:t>). Este asunto se señala a la atención del GAR para su consideración.</w:t>
      </w:r>
    </w:p>
    <w:p w14:paraId="3D7456E5" w14:textId="77777777" w:rsidR="00487485" w:rsidRPr="00487485" w:rsidRDefault="00487485" w:rsidP="000C546B">
      <w:pPr>
        <w:pStyle w:val="Heading3"/>
        <w:rPr>
          <w:lang w:val="es-ES"/>
        </w:rPr>
      </w:pPr>
      <w:r w:rsidRPr="00487485">
        <w:rPr>
          <w:lang w:val="es-ES"/>
        </w:rPr>
        <w:t>3.1.2</w:t>
      </w:r>
      <w:r w:rsidRPr="00487485">
        <w:rPr>
          <w:lang w:val="es-ES"/>
        </w:rPr>
        <w:tab/>
        <w:t>Instrucciones de la AR-23 a las Comisiones de Estudio</w:t>
      </w:r>
    </w:p>
    <w:p w14:paraId="333673BF" w14:textId="77777777" w:rsidR="00487485" w:rsidRPr="00487485" w:rsidRDefault="00487485" w:rsidP="000C546B">
      <w:pPr>
        <w:pStyle w:val="enumlev1"/>
        <w:rPr>
          <w:lang w:val="es-ES"/>
        </w:rPr>
      </w:pPr>
      <w:r w:rsidRPr="00487485">
        <w:rPr>
          <w:lang w:val="es-ES"/>
        </w:rPr>
        <w:t>–</w:t>
      </w:r>
      <w:r w:rsidRPr="00487485">
        <w:rPr>
          <w:lang w:val="es-ES"/>
        </w:rPr>
        <w:tab/>
        <w:t>La AR-23 delegó en las CE y el CCV la responsabilidad de nombrar a sus Vicepresidentes.</w:t>
      </w:r>
    </w:p>
    <w:p w14:paraId="4B033716" w14:textId="77777777" w:rsidR="00487485" w:rsidRPr="00487485" w:rsidRDefault="00487485" w:rsidP="000C546B">
      <w:pPr>
        <w:pStyle w:val="enumlev1"/>
        <w:rPr>
          <w:lang w:val="es-ES"/>
        </w:rPr>
      </w:pPr>
      <w:r w:rsidRPr="00487485">
        <w:rPr>
          <w:lang w:val="es-ES"/>
        </w:rPr>
        <w:t>–</w:t>
      </w:r>
      <w:r w:rsidRPr="00487485">
        <w:rPr>
          <w:lang w:val="es-ES"/>
        </w:rPr>
        <w:tab/>
        <w:t>En lo que respecta a la presentación de Cuestiones UIT-R nuevas a la AR-23, se invitó a las administraciones a remitir sus contribuciones directamente a las Comisiones de Estudio.</w:t>
      </w:r>
    </w:p>
    <w:p w14:paraId="55651285" w14:textId="0482192F" w:rsidR="00487485" w:rsidRPr="00487485" w:rsidRDefault="00487485" w:rsidP="000C546B">
      <w:pPr>
        <w:pStyle w:val="enumlev1"/>
        <w:rPr>
          <w:lang w:val="es-ES"/>
        </w:rPr>
      </w:pPr>
      <w:r w:rsidRPr="00487485">
        <w:rPr>
          <w:lang w:val="es-ES"/>
        </w:rPr>
        <w:t>–</w:t>
      </w:r>
      <w:r w:rsidRPr="00487485">
        <w:rPr>
          <w:lang w:val="es-ES"/>
        </w:rPr>
        <w:tab/>
        <w:t>La AR-23 encargó a la Comisión de Estudio</w:t>
      </w:r>
      <w:r w:rsidR="00EC177F">
        <w:rPr>
          <w:lang w:val="es-ES"/>
        </w:rPr>
        <w:t> </w:t>
      </w:r>
      <w:r w:rsidRPr="00487485">
        <w:rPr>
          <w:lang w:val="es-ES"/>
        </w:rPr>
        <w:t>7 (CE</w:t>
      </w:r>
      <w:r w:rsidR="00EC177F">
        <w:rPr>
          <w:lang w:val="es-ES"/>
        </w:rPr>
        <w:t> </w:t>
      </w:r>
      <w:r w:rsidRPr="00487485">
        <w:rPr>
          <w:lang w:val="es-ES"/>
        </w:rPr>
        <w:t xml:space="preserve">7) del UIT-R que examinara la manera de facilitar la obtención por el operador de satélites de información pertinente sobre los emplazamientos de radioastronomía, en particular el punto de contacto de la </w:t>
      </w:r>
      <w:r w:rsidR="00EC177F">
        <w:rPr>
          <w:lang w:val="es-ES"/>
        </w:rPr>
        <w:t>a</w:t>
      </w:r>
      <w:r w:rsidRPr="00487485">
        <w:rPr>
          <w:lang w:val="es-ES"/>
        </w:rPr>
        <w:t>dministración en el territorio en que se encuentra el emplazamiento de radioastronomía y/o su posible zona de silencio radioeléctrico, a fin de conocer las condiciones técnicas que se asocian, en su caso, a dicho emplazamiento de radioastronomía que ha de respetarse para la radiocomunicación con las estaciones terrenas en dicho territorio. Por ejemplo, el Grupo de Trabajo pertinente de la CE</w:t>
      </w:r>
      <w:r w:rsidR="00EC177F">
        <w:rPr>
          <w:lang w:val="es-ES"/>
        </w:rPr>
        <w:t> </w:t>
      </w:r>
      <w:r w:rsidRPr="00487485">
        <w:rPr>
          <w:lang w:val="es-ES"/>
        </w:rPr>
        <w:t>7 podría solicitar que el Director de la Oficina de Radiocomunicaciones crease y mantuviese una base de datos en línea de zonas de silencio radioeléctrico, cuya información sería aportada de manera voluntaria por las administraciones. Esto no supondría ningún cambio en el Reglamento de Radiocomunicaciones (RR) y no implicaría ni establecería ninguna protección adicional para el servicio de radioastronomía, más allá de lo que ya existe en el RR o en los marcos normativos nacionales.</w:t>
      </w:r>
    </w:p>
    <w:p w14:paraId="218455C1" w14:textId="77777777" w:rsidR="00487485" w:rsidRPr="00487485" w:rsidRDefault="00487485" w:rsidP="000C546B">
      <w:pPr>
        <w:pStyle w:val="Heading2"/>
        <w:rPr>
          <w:lang w:val="es-ES"/>
        </w:rPr>
      </w:pPr>
      <w:bookmarkStart w:id="9" w:name="_Toc446060760"/>
      <w:r w:rsidRPr="00487485">
        <w:rPr>
          <w:lang w:val="es-ES"/>
        </w:rPr>
        <w:t>3.2</w:t>
      </w:r>
      <w:r w:rsidRPr="00487485">
        <w:rPr>
          <w:lang w:val="es-ES"/>
        </w:rPr>
        <w:tab/>
        <w:t>CMR-</w:t>
      </w:r>
      <w:bookmarkEnd w:id="9"/>
      <w:r w:rsidRPr="00487485">
        <w:rPr>
          <w:lang w:val="es-ES"/>
        </w:rPr>
        <w:t>23</w:t>
      </w:r>
    </w:p>
    <w:p w14:paraId="6CDA93FE" w14:textId="77777777" w:rsidR="00487485" w:rsidRPr="00487485" w:rsidRDefault="00487485" w:rsidP="000C546B">
      <w:pPr>
        <w:pStyle w:val="Heading3"/>
        <w:rPr>
          <w:lang w:val="es-ES"/>
        </w:rPr>
      </w:pPr>
      <w:bookmarkStart w:id="10" w:name="_Toc446060761"/>
      <w:r w:rsidRPr="00487485">
        <w:rPr>
          <w:lang w:val="es-ES"/>
        </w:rPr>
        <w:t>3.2.1</w:t>
      </w:r>
      <w:r w:rsidRPr="00487485">
        <w:rPr>
          <w:lang w:val="es-ES"/>
        </w:rPr>
        <w:tab/>
        <w:t>Preparativos finales para la CMR-23</w:t>
      </w:r>
    </w:p>
    <w:p w14:paraId="186C7109" w14:textId="3E14C75F" w:rsidR="00487485" w:rsidRPr="00487485" w:rsidRDefault="00487485" w:rsidP="00487485">
      <w:pPr>
        <w:rPr>
          <w:lang w:val="es-ES"/>
        </w:rPr>
      </w:pPr>
      <w:r w:rsidRPr="00487485">
        <w:rPr>
          <w:lang w:val="es-ES"/>
        </w:rPr>
        <w:t>Tras la 30ª reunión del GAR en mayo de 2023, continuaron los preparativos para la CMR-23, teniendo en cuenta la Resolución</w:t>
      </w:r>
      <w:r w:rsidR="00EC177F">
        <w:rPr>
          <w:lang w:val="es-ES"/>
        </w:rPr>
        <w:t> </w:t>
      </w:r>
      <w:r w:rsidRPr="00487485">
        <w:rPr>
          <w:lang w:val="es-ES"/>
        </w:rPr>
        <w:t>80 (Rev. Marrakech, 2002) de la PP y la Resolución</w:t>
      </w:r>
      <w:r w:rsidR="000C546B">
        <w:rPr>
          <w:lang w:val="es-ES"/>
        </w:rPr>
        <w:t> </w:t>
      </w:r>
      <w:r w:rsidRPr="00487485">
        <w:rPr>
          <w:b/>
          <w:bCs/>
          <w:lang w:val="es-ES"/>
        </w:rPr>
        <w:t>72 (Rev.CMR-19)</w:t>
      </w:r>
      <w:r w:rsidRPr="00487485">
        <w:rPr>
          <w:lang w:val="es-ES"/>
        </w:rPr>
        <w:t xml:space="preserve">, en particular con la participación activa de la BR en las reuniones preparatorias finales de los grupos regionales, la APT, el ASMG, la UAT, la CEPT, la CITEL y la CRC, siempre que era posible. Además, la BR organizó el </w:t>
      </w:r>
      <w:hyperlink r:id="rId39" w:history="1">
        <w:r w:rsidRPr="00487485">
          <w:rPr>
            <w:rStyle w:val="Hyperlink"/>
            <w:lang w:val="es-ES"/>
          </w:rPr>
          <w:t>3</w:t>
        </w:r>
        <w:r w:rsidRPr="00487485">
          <w:rPr>
            <w:rStyle w:val="Hyperlink"/>
            <w:vertAlign w:val="superscript"/>
            <w:lang w:val="es-ES"/>
          </w:rPr>
          <w:t>er</w:t>
        </w:r>
        <w:r w:rsidR="00EC177F">
          <w:rPr>
            <w:rStyle w:val="Hyperlink"/>
            <w:lang w:val="es-ES"/>
          </w:rPr>
          <w:t> </w:t>
        </w:r>
        <w:r w:rsidRPr="00487485">
          <w:rPr>
            <w:rStyle w:val="Hyperlink"/>
            <w:lang w:val="es-ES"/>
          </w:rPr>
          <w:t xml:space="preserve">Taller </w:t>
        </w:r>
        <w:r w:rsidR="00570932" w:rsidRPr="00487485">
          <w:rPr>
            <w:rStyle w:val="Hyperlink"/>
            <w:lang w:val="es-ES"/>
          </w:rPr>
          <w:t xml:space="preserve">Interregional </w:t>
        </w:r>
        <w:r w:rsidRPr="00487485">
          <w:rPr>
            <w:rStyle w:val="Hyperlink"/>
            <w:lang w:val="es-ES"/>
          </w:rPr>
          <w:t>de la UIT sobre los preparativos de la CMR-23</w:t>
        </w:r>
      </w:hyperlink>
      <w:r w:rsidRPr="00487485">
        <w:rPr>
          <w:lang w:val="es-ES"/>
        </w:rPr>
        <w:t xml:space="preserve"> del 27 al 29 de septiembre de 2023.</w:t>
      </w:r>
    </w:p>
    <w:p w14:paraId="13392031" w14:textId="3EF3FD3B" w:rsidR="00487485" w:rsidRPr="00487485" w:rsidRDefault="00487485" w:rsidP="00487485">
      <w:pPr>
        <w:rPr>
          <w:lang w:val="es-ES"/>
        </w:rPr>
      </w:pPr>
      <w:bookmarkStart w:id="11" w:name="_Toc446060762"/>
      <w:bookmarkEnd w:id="10"/>
      <w:r w:rsidRPr="00487485">
        <w:rPr>
          <w:lang w:val="es-ES"/>
        </w:rPr>
        <w:t xml:space="preserve">Teniendo en cuenta la información, las directrices y las herramientas facilitadas para preparar las contribuciones a la CMR-23 (véase </w:t>
      </w:r>
      <w:hyperlink r:id="rId40">
        <w:r w:rsidRPr="00487485">
          <w:rPr>
            <w:rStyle w:val="Hyperlink"/>
            <w:lang w:val="es-ES"/>
          </w:rPr>
          <w:t>aquí</w:t>
        </w:r>
      </w:hyperlink>
      <w:r w:rsidRPr="00487485">
        <w:rPr>
          <w:lang w:val="es-ES"/>
        </w:rPr>
        <w:t>), se tramitaron a tiempo para su consideración durante la</w:t>
      </w:r>
      <w:r w:rsidR="00326D9B">
        <w:rPr>
          <w:lang w:val="es-ES"/>
        </w:rPr>
        <w:t> </w:t>
      </w:r>
      <w:r w:rsidRPr="00487485">
        <w:rPr>
          <w:lang w:val="es-ES"/>
        </w:rPr>
        <w:t>CMR-23 las 2 851</w:t>
      </w:r>
      <w:r w:rsidR="00EC177F">
        <w:rPr>
          <w:lang w:val="es-ES"/>
        </w:rPr>
        <w:t> </w:t>
      </w:r>
      <w:r w:rsidRPr="00487485">
        <w:rPr>
          <w:lang w:val="es-ES"/>
        </w:rPr>
        <w:t>propuestas presentadas en 580</w:t>
      </w:r>
      <w:r w:rsidR="00EC177F">
        <w:rPr>
          <w:lang w:val="es-ES"/>
        </w:rPr>
        <w:t> </w:t>
      </w:r>
      <w:r w:rsidRPr="00487485">
        <w:rPr>
          <w:lang w:val="es-ES"/>
        </w:rPr>
        <w:t>documentos, sin incluir las revisiones ni los corrigenda.</w:t>
      </w:r>
    </w:p>
    <w:p w14:paraId="1194BAF1" w14:textId="77777777" w:rsidR="00487485" w:rsidRPr="00487485" w:rsidRDefault="00487485" w:rsidP="000C546B">
      <w:pPr>
        <w:pStyle w:val="Heading3"/>
        <w:rPr>
          <w:lang w:val="es-ES"/>
        </w:rPr>
      </w:pPr>
      <w:r w:rsidRPr="00487485">
        <w:rPr>
          <w:lang w:val="es-ES"/>
        </w:rPr>
        <w:lastRenderedPageBreak/>
        <w:t>3.2.2</w:t>
      </w:r>
      <w:r w:rsidRPr="00487485">
        <w:rPr>
          <w:lang w:val="es-ES"/>
        </w:rPr>
        <w:tab/>
        <w:t>Resultados de la CMR-</w:t>
      </w:r>
      <w:bookmarkEnd w:id="11"/>
      <w:r w:rsidRPr="00487485">
        <w:rPr>
          <w:lang w:val="es-ES"/>
        </w:rPr>
        <w:t>23</w:t>
      </w:r>
    </w:p>
    <w:p w14:paraId="11D45970" w14:textId="77777777" w:rsidR="00487485" w:rsidRPr="00487485" w:rsidRDefault="00487485" w:rsidP="000C546B">
      <w:pPr>
        <w:pStyle w:val="Heading4"/>
        <w:rPr>
          <w:lang w:val="es-ES"/>
        </w:rPr>
      </w:pPr>
      <w:r w:rsidRPr="00487485">
        <w:rPr>
          <w:lang w:val="es-ES"/>
        </w:rPr>
        <w:t>3.2.2.1</w:t>
      </w:r>
      <w:r w:rsidRPr="00487485">
        <w:rPr>
          <w:lang w:val="es-ES"/>
        </w:rPr>
        <w:tab/>
        <w:t>Introducción</w:t>
      </w:r>
    </w:p>
    <w:p w14:paraId="1A77E5C5" w14:textId="3E020320" w:rsidR="00487485" w:rsidRPr="00487485" w:rsidRDefault="00487485" w:rsidP="00487485">
      <w:pPr>
        <w:rPr>
          <w:lang w:val="es-ES"/>
        </w:rPr>
      </w:pPr>
      <w:r w:rsidRPr="00487485">
        <w:rPr>
          <w:lang w:val="es-ES"/>
        </w:rPr>
        <w:t>A raíz de la Resolución</w:t>
      </w:r>
      <w:r w:rsidR="00816555">
        <w:rPr>
          <w:lang w:val="es-ES"/>
        </w:rPr>
        <w:t> </w:t>
      </w:r>
      <w:r w:rsidRPr="00487485">
        <w:rPr>
          <w:lang w:val="es-ES"/>
        </w:rPr>
        <w:t>811 (CMR-19) y de conformidad con la Resolución</w:t>
      </w:r>
      <w:r w:rsidR="00816555">
        <w:rPr>
          <w:lang w:val="es-ES"/>
        </w:rPr>
        <w:t> </w:t>
      </w:r>
      <w:r w:rsidRPr="00487485">
        <w:rPr>
          <w:lang w:val="es-ES"/>
        </w:rPr>
        <w:t>1399 (C20) del Consejo y el Acuerdo</w:t>
      </w:r>
      <w:r w:rsidR="00816555">
        <w:rPr>
          <w:lang w:val="es-ES"/>
        </w:rPr>
        <w:t> </w:t>
      </w:r>
      <w:r w:rsidRPr="00487485">
        <w:rPr>
          <w:lang w:val="es-ES"/>
        </w:rPr>
        <w:t>623 (C21) del Consejo, la Conferencia Mundial de Radiocomunicaciones de 2023 (CMR-23) se celebró en Dubái (Emiratos Árabes Unidos) del 20 de noviembre al 15 de diciembre de</w:t>
      </w:r>
      <w:r w:rsidR="00816555">
        <w:rPr>
          <w:lang w:val="es-ES"/>
        </w:rPr>
        <w:t> </w:t>
      </w:r>
      <w:r w:rsidRPr="00487485">
        <w:rPr>
          <w:lang w:val="es-ES"/>
        </w:rPr>
        <w:t>2023.</w:t>
      </w:r>
    </w:p>
    <w:p w14:paraId="04B6865E" w14:textId="007671E2" w:rsidR="00487485" w:rsidRPr="00487485" w:rsidRDefault="00487485" w:rsidP="00487485">
      <w:pPr>
        <w:rPr>
          <w:lang w:val="es-ES"/>
        </w:rPr>
      </w:pPr>
      <w:r w:rsidRPr="00487485">
        <w:rPr>
          <w:lang w:val="es-ES"/>
        </w:rPr>
        <w:t>La CMR-23 contó con 3 982 participantes en total, en representación de 163</w:t>
      </w:r>
      <w:r w:rsidR="00816555">
        <w:rPr>
          <w:lang w:val="es-ES"/>
        </w:rPr>
        <w:t> </w:t>
      </w:r>
      <w:r w:rsidRPr="00487485">
        <w:rPr>
          <w:lang w:val="es-ES"/>
        </w:rPr>
        <w:t>Estados Miembros, la Resolución</w:t>
      </w:r>
      <w:r w:rsidR="00816555">
        <w:rPr>
          <w:lang w:val="es-ES"/>
        </w:rPr>
        <w:t> </w:t>
      </w:r>
      <w:r w:rsidRPr="00487485">
        <w:rPr>
          <w:lang w:val="es-ES"/>
        </w:rPr>
        <w:t>99 y 151</w:t>
      </w:r>
      <w:r w:rsidR="00816555">
        <w:rPr>
          <w:lang w:val="es-ES"/>
        </w:rPr>
        <w:t> </w:t>
      </w:r>
      <w:r w:rsidRPr="00487485">
        <w:rPr>
          <w:lang w:val="es-ES"/>
        </w:rPr>
        <w:t>organizaciones observadoras. En el recuadro siguiente se presenta la demografía de los participantes en la CMR-23:</w:t>
      </w:r>
    </w:p>
    <w:p w14:paraId="694D88C8" w14:textId="77777777" w:rsidR="00487485" w:rsidRPr="00487485" w:rsidRDefault="00487485" w:rsidP="0065622A">
      <w:pPr>
        <w:pStyle w:val="FigureNotitle"/>
        <w:rPr>
          <w:lang w:val="es-ES"/>
        </w:rPr>
      </w:pPr>
      <w:r w:rsidRPr="00487485">
        <w:rPr>
          <w:lang w:val="es-ES"/>
        </w:rPr>
        <w:t>Recuadro 3.2.2.1 – Demografía de los delegados</w:t>
      </w:r>
    </w:p>
    <w:p w14:paraId="5E85492E" w14:textId="77777777" w:rsidR="00487485" w:rsidRPr="00487485" w:rsidRDefault="00487485" w:rsidP="0065622A">
      <w:pPr>
        <w:pStyle w:val="Figure"/>
        <w:rPr>
          <w:lang w:val="es-ES"/>
        </w:rPr>
      </w:pPr>
      <w:r w:rsidRPr="00487485">
        <w:rPr>
          <w:noProof/>
          <w:lang w:val="es-ES"/>
        </w:rPr>
        <w:drawing>
          <wp:inline distT="0" distB="0" distL="0" distR="0" wp14:anchorId="57BDF890" wp14:editId="2DF58C13">
            <wp:extent cx="6120765" cy="2971785"/>
            <wp:effectExtent l="19050" t="19050" r="13335" b="19685"/>
            <wp:docPr id="801110205" name="Picture 80111020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10205" name="Picture 1" descr="A screenshot of a computer&#10;&#10;Description automatically generated"/>
                    <pic:cNvPicPr/>
                  </pic:nvPicPr>
                  <pic:blipFill>
                    <a:blip r:embed="rId41"/>
                    <a:stretch>
                      <a:fillRect/>
                    </a:stretch>
                  </pic:blipFill>
                  <pic:spPr>
                    <a:xfrm>
                      <a:off x="0" y="0"/>
                      <a:ext cx="6120765" cy="2971785"/>
                    </a:xfrm>
                    <a:prstGeom prst="rect">
                      <a:avLst/>
                    </a:prstGeom>
                    <a:ln>
                      <a:solidFill>
                        <a:schemeClr val="bg1">
                          <a:lumMod val="85000"/>
                        </a:schemeClr>
                      </a:solidFill>
                    </a:ln>
                  </pic:spPr>
                </pic:pic>
              </a:graphicData>
            </a:graphic>
          </wp:inline>
        </w:drawing>
      </w:r>
    </w:p>
    <w:p w14:paraId="3A555276" w14:textId="77777777" w:rsidR="00487485" w:rsidRPr="00487485" w:rsidRDefault="00487485" w:rsidP="0065622A">
      <w:pPr>
        <w:pStyle w:val="Figure"/>
        <w:keepNext w:val="0"/>
        <w:keepLines w:val="0"/>
        <w:rPr>
          <w:lang w:val="es-ES"/>
        </w:rPr>
      </w:pPr>
      <w:r w:rsidRPr="00487485">
        <w:rPr>
          <w:noProof/>
          <w:lang w:val="es-ES"/>
        </w:rPr>
        <w:drawing>
          <wp:inline distT="0" distB="0" distL="0" distR="0" wp14:anchorId="400B6DA0" wp14:editId="117959DC">
            <wp:extent cx="6120765" cy="2948822"/>
            <wp:effectExtent l="19050" t="19050" r="13335" b="23495"/>
            <wp:docPr id="285527933" name="Picture 2855279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27933" name="Picture 1" descr="A screenshot of a computer&#10;&#10;Description automatically generated"/>
                    <pic:cNvPicPr/>
                  </pic:nvPicPr>
                  <pic:blipFill>
                    <a:blip r:embed="rId42"/>
                    <a:stretch>
                      <a:fillRect/>
                    </a:stretch>
                  </pic:blipFill>
                  <pic:spPr>
                    <a:xfrm>
                      <a:off x="0" y="0"/>
                      <a:ext cx="6120765" cy="2948822"/>
                    </a:xfrm>
                    <a:prstGeom prst="rect">
                      <a:avLst/>
                    </a:prstGeom>
                    <a:ln>
                      <a:solidFill>
                        <a:schemeClr val="bg1">
                          <a:lumMod val="85000"/>
                        </a:schemeClr>
                      </a:solidFill>
                    </a:ln>
                  </pic:spPr>
                </pic:pic>
              </a:graphicData>
            </a:graphic>
          </wp:inline>
        </w:drawing>
      </w:r>
    </w:p>
    <w:p w14:paraId="7594FFD2" w14:textId="2191834A" w:rsidR="00487485" w:rsidRPr="00487485" w:rsidRDefault="00487485" w:rsidP="00A438D6">
      <w:pPr>
        <w:pStyle w:val="Normalaftertitle"/>
        <w:spacing w:after="120"/>
        <w:rPr>
          <w:lang w:val="es-ES"/>
        </w:rPr>
      </w:pPr>
      <w:r w:rsidRPr="009255B8">
        <w:rPr>
          <w:lang w:val="es-ES"/>
        </w:rPr>
        <w:lastRenderedPageBreak/>
        <w:t>En la primera sesión plenaria, Su Excelencia Mohammad Al Ramsi (EAU) fue elegido Presidente de la CMR-23. Se nombraron seis Vicepresidentes:</w:t>
      </w:r>
    </w:p>
    <w:tbl>
      <w:tblPr>
        <w:tblW w:w="5000" w:type="pct"/>
        <w:tblInd w:w="-62" w:type="dxa"/>
        <w:tblCellMar>
          <w:left w:w="57" w:type="dxa"/>
          <w:right w:w="57" w:type="dxa"/>
        </w:tblCellMar>
        <w:tblLook w:val="04A0" w:firstRow="1" w:lastRow="0" w:firstColumn="1" w:lastColumn="0" w:noHBand="0" w:noVBand="1"/>
      </w:tblPr>
      <w:tblGrid>
        <w:gridCol w:w="5205"/>
        <w:gridCol w:w="4434"/>
      </w:tblGrid>
      <w:tr w:rsidR="00487485" w:rsidRPr="00487485" w14:paraId="7A3DECDD" w14:textId="77777777" w:rsidTr="000C546B">
        <w:tc>
          <w:tcPr>
            <w:tcW w:w="5160" w:type="dxa"/>
          </w:tcPr>
          <w:p w14:paraId="70270DB4" w14:textId="77777777" w:rsidR="00487485" w:rsidRPr="00487485" w:rsidRDefault="00487485" w:rsidP="00487485">
            <w:pPr>
              <w:rPr>
                <w:b/>
                <w:bCs/>
                <w:lang w:val="es-ES"/>
              </w:rPr>
            </w:pPr>
            <w:bookmarkStart w:id="12" w:name="_Toc446060763"/>
            <w:r w:rsidRPr="00487485">
              <w:rPr>
                <w:lang w:val="es-ES"/>
              </w:rPr>
              <w:t>Dr. Kyu Jin Wee (República de Corea)</w:t>
            </w:r>
            <w:r w:rsidRPr="00487485">
              <w:rPr>
                <w:lang w:val="es-ES"/>
              </w:rPr>
              <w:br/>
              <w:t>Sr. Mohammed Alabdulqader (Arabia Saudita)</w:t>
            </w:r>
            <w:r w:rsidRPr="00487485">
              <w:rPr>
                <w:lang w:val="es-ES"/>
              </w:rPr>
              <w:br/>
              <w:t>Sr. Martin Weber (Alemania)</w:t>
            </w:r>
          </w:p>
        </w:tc>
        <w:tc>
          <w:tcPr>
            <w:tcW w:w="4395" w:type="dxa"/>
          </w:tcPr>
          <w:p w14:paraId="25459A51" w14:textId="77777777" w:rsidR="00487485" w:rsidRPr="00487485" w:rsidRDefault="00487485" w:rsidP="00487485">
            <w:pPr>
              <w:rPr>
                <w:lang w:val="es-ES"/>
              </w:rPr>
            </w:pPr>
            <w:r w:rsidRPr="00487485">
              <w:rPr>
                <w:lang w:val="es-ES"/>
              </w:rPr>
              <w:t>Sr. Stephan LANG (Estados Unidos)</w:t>
            </w:r>
            <w:r w:rsidRPr="00487485">
              <w:rPr>
                <w:bCs/>
                <w:lang w:val="es-ES"/>
              </w:rPr>
              <w:br/>
            </w:r>
            <w:r w:rsidRPr="00487485">
              <w:rPr>
                <w:lang w:val="es-ES"/>
              </w:rPr>
              <w:t>Sr. Albert Nalbandian (Armenia)</w:t>
            </w:r>
            <w:r w:rsidRPr="00487485">
              <w:rPr>
                <w:lang w:val="es-ES"/>
              </w:rPr>
              <w:br/>
              <w:t>Sr. Valéry Hilaire Ottou (Camerún)</w:t>
            </w:r>
          </w:p>
        </w:tc>
      </w:tr>
    </w:tbl>
    <w:p w14:paraId="17D7C12F" w14:textId="77777777" w:rsidR="00487485" w:rsidRPr="00487485" w:rsidRDefault="00487485" w:rsidP="000C546B">
      <w:pPr>
        <w:spacing w:after="120"/>
        <w:rPr>
          <w:lang w:val="es-ES"/>
        </w:rPr>
      </w:pPr>
      <w:r w:rsidRPr="00487485">
        <w:rPr>
          <w:lang w:val="es-ES"/>
        </w:rPr>
        <w:t>Se crearon las comisiones siguientes:</w:t>
      </w:r>
    </w:p>
    <w:tbl>
      <w:tblPr>
        <w:tblStyle w:val="ListTable1Light-Accent1"/>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blBorders>
        <w:tblLayout w:type="fixed"/>
        <w:tblLook w:val="04A0" w:firstRow="1" w:lastRow="0" w:firstColumn="1" w:lastColumn="0" w:noHBand="0" w:noVBand="1"/>
      </w:tblPr>
      <w:tblGrid>
        <w:gridCol w:w="2156"/>
        <w:gridCol w:w="7473"/>
      </w:tblGrid>
      <w:tr w:rsidR="00487485" w:rsidRPr="00487485" w14:paraId="17444FAF" w14:textId="77777777" w:rsidTr="000C5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B1AE930" w14:textId="77777777" w:rsidR="00487485" w:rsidRPr="00487485" w:rsidRDefault="00487485" w:rsidP="000C546B">
            <w:pPr>
              <w:pStyle w:val="Tabletext"/>
              <w:rPr>
                <w:lang w:val="es-ES"/>
              </w:rPr>
            </w:pPr>
            <w:r w:rsidRPr="00487485">
              <w:rPr>
                <w:lang w:val="es-ES"/>
              </w:rPr>
              <w:t>Comisión 1</w:t>
            </w:r>
            <w:r w:rsidRPr="00487485">
              <w:rPr>
                <w:lang w:val="es-ES"/>
              </w:rPr>
              <w:br/>
              <w:t>(Dirección)</w:t>
            </w:r>
          </w:p>
        </w:tc>
        <w:tc>
          <w:tcPr>
            <w:tcW w:w="7371" w:type="dxa"/>
          </w:tcPr>
          <w:p w14:paraId="6270AA5B" w14:textId="77777777" w:rsidR="00487485" w:rsidRPr="00487485" w:rsidRDefault="00487485" w:rsidP="000C546B">
            <w:pPr>
              <w:pStyle w:val="Tabletext"/>
              <w:cnfStyle w:val="100000000000" w:firstRow="1" w:lastRow="0" w:firstColumn="0" w:lastColumn="0" w:oddVBand="0" w:evenVBand="0" w:oddHBand="0" w:evenHBand="0" w:firstRowFirstColumn="0" w:firstRowLastColumn="0" w:lastRowFirstColumn="0" w:lastRowLastColumn="0"/>
              <w:rPr>
                <w:lang w:val="es-ES"/>
              </w:rPr>
            </w:pPr>
            <w:r w:rsidRPr="00487485">
              <w:rPr>
                <w:lang w:val="es-ES"/>
              </w:rPr>
              <w:t>(Compuesta por el Presidente y los Vicepresidentes de la Conferencia y los Presidentes y Vicepresidentes de las Comisiones)</w:t>
            </w:r>
          </w:p>
        </w:tc>
      </w:tr>
      <w:tr w:rsidR="00487485" w:rsidRPr="00586BA6" w14:paraId="40D6A520" w14:textId="77777777" w:rsidTr="000C5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32B1B242" w14:textId="77777777" w:rsidR="00487485" w:rsidRPr="00487485" w:rsidRDefault="00487485" w:rsidP="000C546B">
            <w:pPr>
              <w:pStyle w:val="Tabletext"/>
              <w:rPr>
                <w:lang w:val="es-ES"/>
              </w:rPr>
            </w:pPr>
            <w:r w:rsidRPr="00487485">
              <w:rPr>
                <w:lang w:val="es-ES"/>
              </w:rPr>
              <w:t>Comisión 2</w:t>
            </w:r>
            <w:r w:rsidRPr="00487485">
              <w:rPr>
                <w:lang w:val="es-ES"/>
              </w:rPr>
              <w:br/>
              <w:t>(Credenciales)</w:t>
            </w:r>
          </w:p>
        </w:tc>
        <w:tc>
          <w:tcPr>
            <w:tcW w:w="7371" w:type="dxa"/>
            <w:hideMark/>
          </w:tcPr>
          <w:p w14:paraId="661064F7" w14:textId="03735441" w:rsidR="00487485" w:rsidRPr="00487485" w:rsidRDefault="00487485" w:rsidP="00816555">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it-IT"/>
              </w:rPr>
            </w:pPr>
            <w:r w:rsidRPr="00FE4D65">
              <w:rPr>
                <w:b/>
                <w:bCs/>
                <w:lang w:val="it-IT"/>
              </w:rPr>
              <w:t>Presidenta</w:t>
            </w:r>
            <w:r w:rsidRPr="00816555">
              <w:rPr>
                <w:b/>
                <w:bCs/>
                <w:lang w:val="it-IT"/>
              </w:rPr>
              <w:t>:</w:t>
            </w:r>
            <w:r w:rsidR="000C546B">
              <w:rPr>
                <w:lang w:val="it-IT"/>
              </w:rPr>
              <w:tab/>
            </w:r>
            <w:r w:rsidRPr="00487485">
              <w:rPr>
                <w:lang w:val="it-IT"/>
              </w:rPr>
              <w:t>Sra. Basebi Mosinyi (Botswana)</w:t>
            </w:r>
          </w:p>
          <w:p w14:paraId="1DFE5384" w14:textId="659C3FE4" w:rsidR="000C546B" w:rsidRPr="00487485" w:rsidRDefault="00487485" w:rsidP="00816555">
            <w:pPr>
              <w:pStyle w:val="Tabletext"/>
              <w:tabs>
                <w:tab w:val="clear" w:pos="284"/>
                <w:tab w:val="clear" w:pos="567"/>
                <w:tab w:val="clear" w:pos="851"/>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it-IT"/>
              </w:rPr>
            </w:pPr>
            <w:r w:rsidRPr="00816555">
              <w:rPr>
                <w:b/>
                <w:bCs/>
                <w:lang w:val="it-IT"/>
              </w:rPr>
              <w:t>Vicepresidentes:</w:t>
            </w:r>
            <w:r w:rsidRPr="00487485">
              <w:rPr>
                <w:lang w:val="it-IT"/>
              </w:rPr>
              <w:tab/>
              <w:t>Dr. Jaewoo Lim (República de Corea)</w:t>
            </w:r>
            <w:r w:rsidRPr="00487485">
              <w:rPr>
                <w:lang w:val="it-IT"/>
              </w:rPr>
              <w:br/>
            </w:r>
            <w:r w:rsidRPr="00487485">
              <w:rPr>
                <w:lang w:val="it-IT"/>
              </w:rPr>
              <w:tab/>
            </w:r>
            <w:r w:rsidRPr="00816555">
              <w:rPr>
                <w:lang w:val="it-IT"/>
              </w:rPr>
              <w:t>Sra</w:t>
            </w:r>
            <w:r w:rsidRPr="00487485">
              <w:rPr>
                <w:lang w:val="it-IT"/>
              </w:rPr>
              <w:t>. Huda Al Korbi (Qatar)</w:t>
            </w:r>
            <w:r w:rsidRPr="00487485">
              <w:rPr>
                <w:lang w:val="it-IT"/>
              </w:rPr>
              <w:br/>
            </w:r>
            <w:r w:rsidRPr="00487485">
              <w:rPr>
                <w:lang w:val="it-IT"/>
              </w:rPr>
              <w:tab/>
            </w:r>
            <w:r w:rsidRPr="00816555">
              <w:rPr>
                <w:lang w:val="it-IT"/>
              </w:rPr>
              <w:t>Sr</w:t>
            </w:r>
            <w:r w:rsidRPr="00487485">
              <w:rPr>
                <w:lang w:val="it-IT"/>
              </w:rPr>
              <w:t>. Samuel Ritchie (Irlanda)</w:t>
            </w:r>
            <w:r w:rsidRPr="00487485">
              <w:rPr>
                <w:lang w:val="it-IT"/>
              </w:rPr>
              <w:br/>
            </w:r>
            <w:r w:rsidRPr="00487485">
              <w:rPr>
                <w:lang w:val="it-IT"/>
              </w:rPr>
              <w:tab/>
            </w:r>
            <w:r w:rsidRPr="00816555">
              <w:rPr>
                <w:lang w:val="it-IT"/>
              </w:rPr>
              <w:t>Sr</w:t>
            </w:r>
            <w:r w:rsidRPr="00487485">
              <w:rPr>
                <w:lang w:val="it-IT"/>
              </w:rPr>
              <w:t>. H</w:t>
            </w:r>
            <w:r w:rsidR="00816555">
              <w:rPr>
                <w:lang w:val="it-IT"/>
              </w:rPr>
              <w:t>é</w:t>
            </w:r>
            <w:r w:rsidRPr="00487485">
              <w:rPr>
                <w:lang w:val="it-IT"/>
              </w:rPr>
              <w:t>ctor Bud</w:t>
            </w:r>
            <w:r w:rsidR="00604EB5">
              <w:rPr>
                <w:lang w:val="it-IT"/>
              </w:rPr>
              <w:t>é</w:t>
            </w:r>
            <w:r w:rsidRPr="00487485">
              <w:rPr>
                <w:lang w:val="it-IT"/>
              </w:rPr>
              <w:t xml:space="preserve"> (Uruguay)</w:t>
            </w:r>
            <w:r w:rsidRPr="00487485">
              <w:rPr>
                <w:lang w:val="it-IT"/>
              </w:rPr>
              <w:br/>
            </w:r>
            <w:r w:rsidRPr="00487485">
              <w:rPr>
                <w:lang w:val="it-IT"/>
              </w:rPr>
              <w:tab/>
            </w:r>
            <w:r w:rsidRPr="00816555">
              <w:rPr>
                <w:lang w:val="it-IT"/>
              </w:rPr>
              <w:t>Sr</w:t>
            </w:r>
            <w:r w:rsidRPr="00487485">
              <w:rPr>
                <w:lang w:val="it-IT"/>
              </w:rPr>
              <w:t>. Agzam Tajibayev (Kazajstán)</w:t>
            </w:r>
          </w:p>
        </w:tc>
      </w:tr>
      <w:tr w:rsidR="00487485" w:rsidRPr="00487485" w14:paraId="2E4775CA" w14:textId="77777777" w:rsidTr="000C546B">
        <w:tc>
          <w:tcPr>
            <w:cnfStyle w:val="001000000000" w:firstRow="0" w:lastRow="0" w:firstColumn="1" w:lastColumn="0" w:oddVBand="0" w:evenVBand="0" w:oddHBand="0" w:evenHBand="0" w:firstRowFirstColumn="0" w:firstRowLastColumn="0" w:lastRowFirstColumn="0" w:lastRowLastColumn="0"/>
            <w:tcW w:w="2126" w:type="dxa"/>
            <w:hideMark/>
          </w:tcPr>
          <w:p w14:paraId="0589A2FB" w14:textId="77777777" w:rsidR="00487485" w:rsidRPr="00487485" w:rsidRDefault="00487485" w:rsidP="000C546B">
            <w:pPr>
              <w:pStyle w:val="Tabletext"/>
              <w:rPr>
                <w:lang w:val="es-ES"/>
              </w:rPr>
            </w:pPr>
            <w:r w:rsidRPr="00487485">
              <w:rPr>
                <w:lang w:val="es-ES"/>
              </w:rPr>
              <w:t>Comisión 3</w:t>
            </w:r>
            <w:r w:rsidRPr="00487485">
              <w:rPr>
                <w:lang w:val="es-ES"/>
              </w:rPr>
              <w:br/>
              <w:t>(Control del Presupuesto)</w:t>
            </w:r>
          </w:p>
        </w:tc>
        <w:tc>
          <w:tcPr>
            <w:tcW w:w="7371" w:type="dxa"/>
            <w:hideMark/>
          </w:tcPr>
          <w:p w14:paraId="0C3E2F4F" w14:textId="68236A7E" w:rsidR="00487485" w:rsidRPr="00487485" w:rsidRDefault="00487485" w:rsidP="00816555">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es-ES"/>
              </w:rPr>
            </w:pPr>
            <w:r w:rsidRPr="00816555">
              <w:rPr>
                <w:b/>
                <w:bCs/>
              </w:rPr>
              <w:t>Presidenta</w:t>
            </w:r>
            <w:r w:rsidRPr="00816555">
              <w:rPr>
                <w:b/>
                <w:bCs/>
                <w:lang w:val="es-ES"/>
              </w:rPr>
              <w:t>:</w:t>
            </w:r>
            <w:r w:rsidR="005D0E11">
              <w:rPr>
                <w:lang w:val="es-ES"/>
              </w:rPr>
              <w:tab/>
            </w:r>
            <w:r w:rsidRPr="00487485">
              <w:rPr>
                <w:lang w:val="es-ES"/>
              </w:rPr>
              <w:t>Sra. Cindy Cook (Canadá)</w:t>
            </w:r>
          </w:p>
          <w:p w14:paraId="48A99F0C" w14:textId="77777777" w:rsidR="00487485" w:rsidRPr="00487485" w:rsidRDefault="00487485" w:rsidP="00816555">
            <w:pPr>
              <w:pStyle w:val="Tabletext"/>
              <w:tabs>
                <w:tab w:val="clear" w:pos="284"/>
                <w:tab w:val="clear" w:pos="567"/>
                <w:tab w:val="clear" w:pos="851"/>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es-ES"/>
              </w:rPr>
            </w:pPr>
            <w:r w:rsidRPr="00816555">
              <w:rPr>
                <w:b/>
                <w:bCs/>
              </w:rPr>
              <w:t>Vicepresidentes</w:t>
            </w:r>
            <w:r w:rsidRPr="00816555">
              <w:rPr>
                <w:b/>
                <w:bCs/>
                <w:lang w:val="es-ES"/>
              </w:rPr>
              <w:t>:</w:t>
            </w:r>
            <w:r w:rsidRPr="00487485">
              <w:rPr>
                <w:lang w:val="es-ES"/>
              </w:rPr>
              <w:tab/>
              <w:t>Sr. Christopher Hose (Australia)</w:t>
            </w:r>
            <w:r w:rsidRPr="00487485">
              <w:rPr>
                <w:lang w:val="es-ES"/>
              </w:rPr>
              <w:br/>
            </w:r>
            <w:r w:rsidRPr="00487485">
              <w:rPr>
                <w:lang w:val="es-ES"/>
              </w:rPr>
              <w:tab/>
              <w:t>Sr. Fawaz M. Albarjas (Kuwait)</w:t>
            </w:r>
            <w:r w:rsidRPr="00487485">
              <w:rPr>
                <w:lang w:val="es-ES"/>
              </w:rPr>
              <w:br/>
            </w:r>
            <w:r w:rsidRPr="00487485">
              <w:rPr>
                <w:lang w:val="es-ES"/>
              </w:rPr>
              <w:tab/>
              <w:t>Sr. Kenneth Concannon (Irlanda)</w:t>
            </w:r>
            <w:r w:rsidRPr="00487485">
              <w:rPr>
                <w:lang w:val="es-ES"/>
              </w:rPr>
              <w:br/>
            </w:r>
            <w:r w:rsidRPr="00487485">
              <w:rPr>
                <w:lang w:val="es-ES"/>
              </w:rPr>
              <w:tab/>
              <w:t>Sr. Serikbolsyn Myrzakhmet (Kazajstán)</w:t>
            </w:r>
            <w:r w:rsidRPr="00487485">
              <w:rPr>
                <w:lang w:val="es-ES"/>
              </w:rPr>
              <w:br/>
            </w:r>
            <w:r w:rsidRPr="00487485">
              <w:rPr>
                <w:lang w:val="es-ES"/>
              </w:rPr>
              <w:tab/>
              <w:t>Sra. Salwa Suleiman Kamil (Sudán del Sur)</w:t>
            </w:r>
          </w:p>
        </w:tc>
      </w:tr>
      <w:tr w:rsidR="00487485" w:rsidRPr="00487485" w14:paraId="05620C54" w14:textId="77777777" w:rsidTr="000C5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067E857A" w14:textId="77777777" w:rsidR="00487485" w:rsidRPr="00487485" w:rsidRDefault="00487485" w:rsidP="000C546B">
            <w:pPr>
              <w:pStyle w:val="Tabletext"/>
              <w:rPr>
                <w:lang w:val="es-ES"/>
              </w:rPr>
            </w:pPr>
            <w:r w:rsidRPr="00487485">
              <w:rPr>
                <w:lang w:val="es-ES"/>
              </w:rPr>
              <w:t>Comisión 4</w:t>
            </w:r>
            <w:r w:rsidRPr="00487485">
              <w:rPr>
                <w:lang w:val="es-ES"/>
              </w:rPr>
              <w:br/>
              <w:t>(Puntos específicos del orden del día)</w:t>
            </w:r>
          </w:p>
        </w:tc>
        <w:tc>
          <w:tcPr>
            <w:tcW w:w="7371" w:type="dxa"/>
            <w:hideMark/>
          </w:tcPr>
          <w:p w14:paraId="3ED34A8C" w14:textId="2DFB797D" w:rsidR="00487485" w:rsidRPr="000C546B" w:rsidRDefault="00487485" w:rsidP="00816555">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pPr>
            <w:r w:rsidRPr="00816555">
              <w:rPr>
                <w:b/>
                <w:bCs/>
              </w:rPr>
              <w:t>Presidente:</w:t>
            </w:r>
            <w:r w:rsidR="005D0E11">
              <w:tab/>
            </w:r>
            <w:r w:rsidRPr="000C546B">
              <w:t>Dr. Hiroyuki Atarashi (Japón)</w:t>
            </w:r>
          </w:p>
          <w:p w14:paraId="4ADFC3A9" w14:textId="77777777" w:rsidR="00487485" w:rsidRPr="00487485" w:rsidRDefault="00487485" w:rsidP="00816555">
            <w:pPr>
              <w:pStyle w:val="Tabletext"/>
              <w:tabs>
                <w:tab w:val="clear" w:pos="284"/>
                <w:tab w:val="clear" w:pos="567"/>
                <w:tab w:val="clear" w:pos="851"/>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es-ES"/>
              </w:rPr>
            </w:pPr>
            <w:r w:rsidRPr="00816555">
              <w:rPr>
                <w:b/>
                <w:bCs/>
              </w:rPr>
              <w:t>Vicepresidentes:</w:t>
            </w:r>
            <w:r w:rsidRPr="000C546B">
              <w:tab/>
              <w:t>Sr. Bharat Bhatia (India)</w:t>
            </w:r>
            <w:r w:rsidRPr="000C546B">
              <w:br/>
            </w:r>
            <w:r w:rsidRPr="000C546B">
              <w:tab/>
              <w:t>Sr. Mohamed Abdelhaseeb (Egipto)</w:t>
            </w:r>
            <w:r w:rsidRPr="000C546B">
              <w:br/>
            </w:r>
            <w:r w:rsidRPr="000C546B">
              <w:tab/>
              <w:t>Sr. Eric Fournier (Francia)</w:t>
            </w:r>
            <w:r w:rsidRPr="000C546B">
              <w:br/>
            </w:r>
            <w:r w:rsidRPr="000C546B">
              <w:tab/>
              <w:t>Sr. Avaz Khashimkhodjaev (Uzbekistán)</w:t>
            </w:r>
            <w:r w:rsidRPr="000C546B">
              <w:br/>
            </w:r>
            <w:r w:rsidRPr="000C546B">
              <w:tab/>
              <w:t>Sra. Sana Zairi (Marruecos)</w:t>
            </w:r>
            <w:r w:rsidRPr="000C546B">
              <w:br/>
            </w:r>
            <w:r w:rsidRPr="000C546B">
              <w:tab/>
              <w:t>Sra. Maria Myers Hamilton (Jamaica)</w:t>
            </w:r>
          </w:p>
        </w:tc>
      </w:tr>
      <w:tr w:rsidR="00487485" w:rsidRPr="00586BA6" w14:paraId="0668C38A" w14:textId="77777777" w:rsidTr="000C546B">
        <w:tc>
          <w:tcPr>
            <w:cnfStyle w:val="001000000000" w:firstRow="0" w:lastRow="0" w:firstColumn="1" w:lastColumn="0" w:oddVBand="0" w:evenVBand="0" w:oddHBand="0" w:evenHBand="0" w:firstRowFirstColumn="0" w:firstRowLastColumn="0" w:lastRowFirstColumn="0" w:lastRowLastColumn="0"/>
            <w:tcW w:w="2126" w:type="dxa"/>
          </w:tcPr>
          <w:p w14:paraId="1D7FB581" w14:textId="77777777" w:rsidR="00487485" w:rsidRPr="00487485" w:rsidRDefault="00487485" w:rsidP="000C546B">
            <w:pPr>
              <w:pStyle w:val="Tabletext"/>
              <w:rPr>
                <w:lang w:val="es-ES"/>
              </w:rPr>
            </w:pPr>
            <w:r w:rsidRPr="00487485">
              <w:rPr>
                <w:lang w:val="es-ES"/>
              </w:rPr>
              <w:t>Comisión 5</w:t>
            </w:r>
            <w:r w:rsidRPr="00487485">
              <w:rPr>
                <w:lang w:val="es-ES"/>
              </w:rPr>
              <w:br/>
              <w:t>(Puntos específicos del orden del día)</w:t>
            </w:r>
          </w:p>
        </w:tc>
        <w:tc>
          <w:tcPr>
            <w:tcW w:w="7371" w:type="dxa"/>
          </w:tcPr>
          <w:p w14:paraId="4762D82D" w14:textId="35F8389F" w:rsidR="00487485" w:rsidRPr="00FE4D65" w:rsidRDefault="00487485" w:rsidP="00816555">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FE4D65">
              <w:rPr>
                <w:b/>
                <w:bCs/>
                <w:lang w:val="it-IT"/>
              </w:rPr>
              <w:t>Presidenta:</w:t>
            </w:r>
            <w:r w:rsidR="005D0E11" w:rsidRPr="00FE4D65">
              <w:rPr>
                <w:lang w:val="it-IT"/>
              </w:rPr>
              <w:tab/>
            </w:r>
            <w:r w:rsidRPr="00FE4D65">
              <w:rPr>
                <w:lang w:val="it-IT"/>
              </w:rPr>
              <w:t>Sra. Anna Marklund (Suecia)</w:t>
            </w:r>
          </w:p>
          <w:p w14:paraId="360C06AC" w14:textId="1A36EEF5" w:rsidR="00487485" w:rsidRPr="00FE4D65" w:rsidRDefault="00487485" w:rsidP="00816555">
            <w:pPr>
              <w:pStyle w:val="Tabletext"/>
              <w:tabs>
                <w:tab w:val="clear" w:pos="284"/>
                <w:tab w:val="clear" w:pos="567"/>
                <w:tab w:val="clear" w:pos="851"/>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FE4D65">
              <w:rPr>
                <w:b/>
                <w:bCs/>
                <w:lang w:val="it-IT"/>
              </w:rPr>
              <w:t>Vicepresidentes:</w:t>
            </w:r>
            <w:r w:rsidRPr="00FE4D65">
              <w:rPr>
                <w:lang w:val="it-IT"/>
              </w:rPr>
              <w:tab/>
              <w:t>Sr. Phung Nguyen Phuong (Viet</w:t>
            </w:r>
            <w:r w:rsidR="00604EB5" w:rsidRPr="00FE4D65">
              <w:rPr>
                <w:lang w:val="it-IT"/>
              </w:rPr>
              <w:t> </w:t>
            </w:r>
            <w:r w:rsidRPr="00FE4D65">
              <w:rPr>
                <w:lang w:val="it-IT"/>
              </w:rPr>
              <w:t>Nam)</w:t>
            </w:r>
            <w:r w:rsidRPr="00FE4D65">
              <w:rPr>
                <w:lang w:val="it-IT"/>
              </w:rPr>
              <w:br/>
            </w:r>
            <w:r w:rsidRPr="00FE4D65">
              <w:rPr>
                <w:lang w:val="it-IT"/>
              </w:rPr>
              <w:tab/>
              <w:t>Sr. Aws Majeed Al Awadi (Iraq)</w:t>
            </w:r>
            <w:r w:rsidRPr="00FE4D65">
              <w:rPr>
                <w:lang w:val="it-IT"/>
              </w:rPr>
              <w:br/>
            </w:r>
            <w:r w:rsidRPr="00FE4D65">
              <w:rPr>
                <w:lang w:val="it-IT"/>
              </w:rPr>
              <w:tab/>
              <w:t>Sr. Stephen Talbot (Reino Unido)</w:t>
            </w:r>
            <w:r w:rsidRPr="00FE4D65">
              <w:rPr>
                <w:lang w:val="it-IT"/>
              </w:rPr>
              <w:br/>
            </w:r>
            <w:r w:rsidRPr="00FE4D65">
              <w:rPr>
                <w:lang w:val="it-IT"/>
              </w:rPr>
              <w:tab/>
              <w:t>Sr. Rafael Pinto Prata (Brasil)</w:t>
            </w:r>
            <w:r w:rsidRPr="00FE4D65">
              <w:rPr>
                <w:lang w:val="it-IT"/>
              </w:rPr>
              <w:br/>
            </w:r>
            <w:r w:rsidRPr="00FE4D65">
              <w:rPr>
                <w:lang w:val="it-IT"/>
              </w:rPr>
              <w:tab/>
              <w:t>Sr. Gabriel Yao Koffi (Côte d'Ivoire)</w:t>
            </w:r>
            <w:r w:rsidRPr="00FE4D65">
              <w:rPr>
                <w:lang w:val="it-IT"/>
              </w:rPr>
              <w:br/>
            </w:r>
            <w:r w:rsidRPr="00FE4D65">
              <w:rPr>
                <w:lang w:val="it-IT"/>
              </w:rPr>
              <w:tab/>
              <w:t>Sra. Aftab Kalantarli (Azerbaiyán)</w:t>
            </w:r>
          </w:p>
        </w:tc>
      </w:tr>
      <w:tr w:rsidR="00487485" w:rsidRPr="00487485" w14:paraId="0851E033" w14:textId="77777777" w:rsidTr="000C5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C222A72" w14:textId="77777777" w:rsidR="00487485" w:rsidRPr="00487485" w:rsidRDefault="00487485" w:rsidP="000C546B">
            <w:pPr>
              <w:pStyle w:val="Tabletext"/>
              <w:rPr>
                <w:lang w:val="es-ES"/>
              </w:rPr>
            </w:pPr>
            <w:r w:rsidRPr="00487485">
              <w:rPr>
                <w:lang w:val="es-ES"/>
              </w:rPr>
              <w:t xml:space="preserve">Comisión 6 </w:t>
            </w:r>
            <w:r w:rsidRPr="00487485">
              <w:rPr>
                <w:lang w:val="es-ES"/>
              </w:rPr>
              <w:br/>
              <w:t>(Puntos específicos del orden del día)</w:t>
            </w:r>
          </w:p>
        </w:tc>
        <w:tc>
          <w:tcPr>
            <w:tcW w:w="7371" w:type="dxa"/>
          </w:tcPr>
          <w:p w14:paraId="45C342C9" w14:textId="51CB3D57" w:rsidR="00487485" w:rsidRPr="000C546B" w:rsidRDefault="00487485" w:rsidP="00816555">
            <w:pPr>
              <w:pStyle w:val="Tabletext"/>
              <w:tabs>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pPr>
            <w:r w:rsidRPr="00816555">
              <w:rPr>
                <w:b/>
                <w:bCs/>
              </w:rPr>
              <w:t>Presidente:</w:t>
            </w:r>
            <w:r w:rsidR="005D0E11">
              <w:tab/>
            </w:r>
            <w:r w:rsidRPr="000C546B">
              <w:t>Sr. El Hadjar Abdouramane (Camerún)</w:t>
            </w:r>
          </w:p>
          <w:p w14:paraId="6EE5FE18" w14:textId="77777777" w:rsidR="00487485" w:rsidRPr="00487485" w:rsidRDefault="00487485" w:rsidP="00816555">
            <w:pPr>
              <w:pStyle w:val="Tabletext"/>
              <w:tabs>
                <w:tab w:val="clear" w:pos="284"/>
                <w:tab w:val="clear" w:pos="567"/>
                <w:tab w:val="clear" w:pos="851"/>
                <w:tab w:val="clear" w:pos="1134"/>
                <w:tab w:val="clear" w:pos="1418"/>
                <w:tab w:val="clear" w:pos="1701"/>
              </w:tabs>
              <w:cnfStyle w:val="000000100000" w:firstRow="0" w:lastRow="0" w:firstColumn="0" w:lastColumn="0" w:oddVBand="0" w:evenVBand="0" w:oddHBand="1" w:evenHBand="0" w:firstRowFirstColumn="0" w:firstRowLastColumn="0" w:lastRowFirstColumn="0" w:lastRowLastColumn="0"/>
              <w:rPr>
                <w:lang w:val="es-ES"/>
              </w:rPr>
            </w:pPr>
            <w:r w:rsidRPr="00816555">
              <w:rPr>
                <w:b/>
                <w:bCs/>
              </w:rPr>
              <w:t>Vicepresidentes:</w:t>
            </w:r>
            <w:r w:rsidRPr="000C546B">
              <w:tab/>
              <w:t>Dr. Mohammad Taghi Shafiee (Irán)</w:t>
            </w:r>
            <w:r w:rsidRPr="000C546B">
              <w:br/>
            </w:r>
            <w:r w:rsidRPr="000C546B">
              <w:tab/>
              <w:t>Sr. Mustafa Bessi (Marruecos)</w:t>
            </w:r>
            <w:r w:rsidRPr="000C546B">
              <w:br/>
            </w:r>
            <w:r w:rsidRPr="000C546B">
              <w:tab/>
              <w:t>Sr. Alexander Kühn (Alemania)</w:t>
            </w:r>
            <w:r w:rsidRPr="000C546B">
              <w:br/>
            </w:r>
            <w:r w:rsidRPr="000C546B">
              <w:tab/>
              <w:t>Sra. Tania Villa (México)</w:t>
            </w:r>
            <w:r w:rsidRPr="000C546B">
              <w:br/>
            </w:r>
            <w:r w:rsidRPr="000C546B">
              <w:tab/>
              <w:t>Sr. Mohamed Soliman (Egipto)</w:t>
            </w:r>
            <w:r w:rsidRPr="000C546B">
              <w:br/>
            </w:r>
            <w:r w:rsidRPr="000C546B">
              <w:tab/>
              <w:t>Sr. Ulugbek Azimov (Uzbekistán)</w:t>
            </w:r>
          </w:p>
        </w:tc>
      </w:tr>
      <w:tr w:rsidR="00487485" w:rsidRPr="00586BA6" w14:paraId="400A8EA5" w14:textId="77777777" w:rsidTr="000C546B">
        <w:tc>
          <w:tcPr>
            <w:cnfStyle w:val="001000000000" w:firstRow="0" w:lastRow="0" w:firstColumn="1" w:lastColumn="0" w:oddVBand="0" w:evenVBand="0" w:oddHBand="0" w:evenHBand="0" w:firstRowFirstColumn="0" w:firstRowLastColumn="0" w:lastRowFirstColumn="0" w:lastRowLastColumn="0"/>
            <w:tcW w:w="2126" w:type="dxa"/>
          </w:tcPr>
          <w:p w14:paraId="4812B335" w14:textId="77777777" w:rsidR="00487485" w:rsidRPr="00487485" w:rsidRDefault="00487485" w:rsidP="000C546B">
            <w:pPr>
              <w:pStyle w:val="Tabletext"/>
              <w:rPr>
                <w:lang w:val="es-ES"/>
              </w:rPr>
            </w:pPr>
            <w:r w:rsidRPr="00487485">
              <w:rPr>
                <w:lang w:val="es-ES"/>
              </w:rPr>
              <w:t xml:space="preserve">Comisión 7 </w:t>
            </w:r>
            <w:r w:rsidRPr="00487485">
              <w:rPr>
                <w:lang w:val="es-ES"/>
              </w:rPr>
              <w:br/>
              <w:t>(Redacción)</w:t>
            </w:r>
          </w:p>
        </w:tc>
        <w:tc>
          <w:tcPr>
            <w:tcW w:w="7371" w:type="dxa"/>
          </w:tcPr>
          <w:p w14:paraId="1071D851" w14:textId="00416093" w:rsidR="00487485" w:rsidRPr="00FE4D65" w:rsidRDefault="00487485" w:rsidP="00816555">
            <w:pPr>
              <w:pStyle w:val="Tabletext"/>
              <w:tabs>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FE4D65">
              <w:rPr>
                <w:b/>
                <w:bCs/>
                <w:lang w:val="it-IT"/>
              </w:rPr>
              <w:t>Presidente:</w:t>
            </w:r>
            <w:r w:rsidR="005D0E11" w:rsidRPr="00FE4D65">
              <w:rPr>
                <w:lang w:val="it-IT"/>
              </w:rPr>
              <w:tab/>
            </w:r>
            <w:r w:rsidRPr="00FE4D65">
              <w:rPr>
                <w:lang w:val="it-IT"/>
              </w:rPr>
              <w:t>Sr. Christian Rissone (Francia)</w:t>
            </w:r>
          </w:p>
          <w:p w14:paraId="7A8449A7" w14:textId="77777777" w:rsidR="00487485" w:rsidRPr="00487485" w:rsidRDefault="00487485" w:rsidP="00816555">
            <w:pPr>
              <w:pStyle w:val="Tabletext"/>
              <w:tabs>
                <w:tab w:val="clear" w:pos="284"/>
                <w:tab w:val="clear" w:pos="567"/>
                <w:tab w:val="clear" w:pos="851"/>
                <w:tab w:val="clear" w:pos="1134"/>
                <w:tab w:val="clear" w:pos="1418"/>
                <w:tab w:val="clear" w:pos="1701"/>
              </w:tabs>
              <w:cnfStyle w:val="000000000000" w:firstRow="0" w:lastRow="0" w:firstColumn="0" w:lastColumn="0" w:oddVBand="0" w:evenVBand="0" w:oddHBand="0" w:evenHBand="0" w:firstRowFirstColumn="0" w:firstRowLastColumn="0" w:lastRowFirstColumn="0" w:lastRowLastColumn="0"/>
              <w:rPr>
                <w:lang w:val="it-IT"/>
              </w:rPr>
            </w:pPr>
            <w:r w:rsidRPr="00FE4D65">
              <w:rPr>
                <w:b/>
                <w:bCs/>
                <w:lang w:val="it-IT"/>
              </w:rPr>
              <w:t>Vicepresidentes:</w:t>
            </w:r>
            <w:r w:rsidRPr="00FE4D65">
              <w:rPr>
                <w:lang w:val="it-IT"/>
              </w:rPr>
              <w:tab/>
              <w:t>Sra. Sana Souai (Túnez)</w:t>
            </w:r>
            <w:r w:rsidRPr="00FE4D65">
              <w:rPr>
                <w:lang w:val="it-IT"/>
              </w:rPr>
              <w:br/>
            </w:r>
            <w:r w:rsidRPr="00FE4D65">
              <w:rPr>
                <w:lang w:val="it-IT"/>
              </w:rPr>
              <w:tab/>
              <w:t>Sra. Claire Lyons (Reino Unido)</w:t>
            </w:r>
            <w:r w:rsidRPr="00FE4D65">
              <w:rPr>
                <w:lang w:val="it-IT"/>
              </w:rPr>
              <w:br/>
            </w:r>
            <w:r w:rsidRPr="00FE4D65">
              <w:rPr>
                <w:lang w:val="it-IT"/>
              </w:rPr>
              <w:tab/>
              <w:t>Sra. Marta Serrano (España)</w:t>
            </w:r>
            <w:r w:rsidRPr="00FE4D65">
              <w:rPr>
                <w:lang w:val="it-IT"/>
              </w:rPr>
              <w:br/>
            </w:r>
            <w:r w:rsidRPr="00FE4D65">
              <w:rPr>
                <w:lang w:val="it-IT"/>
              </w:rPr>
              <w:tab/>
              <w:t>Sr. Dimitri Cherkesov (Federación de Rusia)</w:t>
            </w:r>
            <w:r w:rsidRPr="00FE4D65">
              <w:rPr>
                <w:lang w:val="it-IT"/>
              </w:rPr>
              <w:br/>
            </w:r>
            <w:r w:rsidRPr="00FE4D65">
              <w:rPr>
                <w:lang w:val="it-IT"/>
              </w:rPr>
              <w:tab/>
              <w:t>Sr. Zhao Zheng (China)</w:t>
            </w:r>
          </w:p>
        </w:tc>
      </w:tr>
    </w:tbl>
    <w:p w14:paraId="0DEE4FEC" w14:textId="27EE248B" w:rsidR="00487485" w:rsidRPr="005212C0" w:rsidRDefault="00487485" w:rsidP="00A438D6">
      <w:pPr>
        <w:pStyle w:val="Normalaftertitle"/>
        <w:rPr>
          <w:lang w:val="es-ES"/>
        </w:rPr>
      </w:pPr>
      <w:r w:rsidRPr="005212C0">
        <w:rPr>
          <w:lang w:val="es-ES"/>
        </w:rPr>
        <w:lastRenderedPageBreak/>
        <w:t>La CMR-23 se celebró sin soporte de papel. Para facilitar la tramitación de las 7 608</w:t>
      </w:r>
      <w:r w:rsidR="009C03BA">
        <w:rPr>
          <w:lang w:val="es-ES"/>
        </w:rPr>
        <w:t> </w:t>
      </w:r>
      <w:r w:rsidRPr="005212C0">
        <w:rPr>
          <w:lang w:val="es-ES"/>
        </w:rPr>
        <w:t>propuestas de la Conferencia, se perfeccionó el Sistema de Gestión de Propuestas que utiliza la Secretaría antes de la CMR-23 y que ya había sido utilizado con éxito en conferencias previas de la UIT.</w:t>
      </w:r>
    </w:p>
    <w:p w14:paraId="0A7CC69D" w14:textId="77777777" w:rsidR="00487485" w:rsidRPr="00487485" w:rsidRDefault="00487485" w:rsidP="00487485">
      <w:pPr>
        <w:rPr>
          <w:lang w:val="es-ES"/>
        </w:rPr>
      </w:pPr>
      <w:r w:rsidRPr="00487485">
        <w:rPr>
          <w:lang w:val="es-ES"/>
        </w:rPr>
        <w:t>La UIT también siguió perfeccionando la interfaz de propuestas para la Conferencia, que numerosos Estados Miembros utilizaron de forma generalizada para crear documentos con propuestas para los trabajos de la Conferencia.</w:t>
      </w:r>
    </w:p>
    <w:p w14:paraId="6FDC1926" w14:textId="77777777" w:rsidR="00487485" w:rsidRPr="00487485" w:rsidRDefault="00487485" w:rsidP="00487485">
      <w:pPr>
        <w:rPr>
          <w:lang w:val="es-ES"/>
        </w:rPr>
      </w:pPr>
      <w:r w:rsidRPr="00487485">
        <w:rPr>
          <w:lang w:val="es-ES"/>
        </w:rPr>
        <w:t>Durante la Conferencia también se utilizaron otras herramientas electrónicas, como el SharePoint de la CMR-23, las aplicaciones para teléfonos inteligentes de la CMR-23 (tanto para iOS como en plataformas Android y Huawei), la herramienta de navegación del Reglamento de Radiocomunicaciones y la aplicación de sincronización.</w:t>
      </w:r>
    </w:p>
    <w:p w14:paraId="69BDB5C5" w14:textId="6BDA6CCF" w:rsidR="00487485" w:rsidRPr="005212C0" w:rsidRDefault="00487485" w:rsidP="005212C0">
      <w:pPr>
        <w:rPr>
          <w:lang w:val="es-ES"/>
        </w:rPr>
      </w:pPr>
      <w:r w:rsidRPr="00487485">
        <w:rPr>
          <w:lang w:val="es-ES"/>
        </w:rPr>
        <w:t>Conforme a lo dispuesto por la PP-14, se brindó acceso gratuito a todas las contribuciones antes de la Conferencia. Las Actas Finales provisionales de la CMR-23 también se pusieron a disposición del público, pues se considera que son el principal resultado de la Conferencia</w:t>
      </w:r>
      <w:r w:rsidRPr="005212C0">
        <w:rPr>
          <w:lang w:val="es-ES"/>
        </w:rPr>
        <w:t xml:space="preserve">. En línea con la Res.154 (Rev.PP-22), todas las contribuciones enviadas a la Secretaría de la CMR se publicaron </w:t>
      </w:r>
      <w:r w:rsidR="005212C0" w:rsidRPr="005212C0">
        <w:rPr>
          <w:lang w:val="es-ES"/>
        </w:rPr>
        <w:t>«</w:t>
      </w:r>
      <w:r w:rsidRPr="005212C0">
        <w:rPr>
          <w:lang w:val="es-ES"/>
        </w:rPr>
        <w:t>tal y como se recibieron</w:t>
      </w:r>
      <w:r w:rsidR="005212C0" w:rsidRPr="005212C0">
        <w:rPr>
          <w:lang w:val="es-ES"/>
        </w:rPr>
        <w:t>»</w:t>
      </w:r>
      <w:r w:rsidRPr="005212C0">
        <w:rPr>
          <w:lang w:val="es-ES"/>
        </w:rPr>
        <w:t xml:space="preserve"> y en su idioma original en un plazo máximo de tres días laborables.</w:t>
      </w:r>
    </w:p>
    <w:p w14:paraId="2DF34738" w14:textId="7894EE91" w:rsidR="00487485" w:rsidRPr="00487485" w:rsidRDefault="00487485" w:rsidP="00487485">
      <w:pPr>
        <w:rPr>
          <w:bCs/>
          <w:lang w:val="es-ES"/>
        </w:rPr>
      </w:pPr>
      <w:r w:rsidRPr="00487485">
        <w:rPr>
          <w:lang w:val="es-ES"/>
        </w:rPr>
        <w:t>Durante la Conferencia, las Plenarias y las sesiones de las Comisiones</w:t>
      </w:r>
      <w:r w:rsidR="009C03BA">
        <w:rPr>
          <w:lang w:val="es-ES"/>
        </w:rPr>
        <w:t> </w:t>
      </w:r>
      <w:r w:rsidRPr="00487485">
        <w:rPr>
          <w:lang w:val="es-ES"/>
        </w:rPr>
        <w:t>4, 5 y 6 se retransmitieron por la web con subtítulos. También se retransmitieron por la web las sesiones de los Grupos de Trabajo de las Comisiones. Los usuarios con cuenta TIES pueden acceder a los archivos correspondientes a través del sitio web de la CMR-23</w:t>
      </w:r>
      <w:r w:rsidRPr="00487485">
        <w:rPr>
          <w:bCs/>
          <w:lang w:val="es-ES"/>
        </w:rPr>
        <w:t>.</w:t>
      </w:r>
    </w:p>
    <w:p w14:paraId="69000476" w14:textId="635AEC1C" w:rsidR="00487485" w:rsidRPr="00487485" w:rsidRDefault="00487485" w:rsidP="00487485">
      <w:pPr>
        <w:rPr>
          <w:u w:val="single"/>
          <w:lang w:val="es-ES"/>
        </w:rPr>
      </w:pPr>
      <w:r w:rsidRPr="00487485">
        <w:rPr>
          <w:lang w:val="es-ES"/>
        </w:rPr>
        <w:t xml:space="preserve">Toda la información sobre la CMR-23, incluidas las Actas Finales provisionales y todos los documentos, fotografías y vídeos, puede consultarse en la dirección: </w:t>
      </w:r>
      <w:hyperlink r:id="rId43" w:history="1">
        <w:r w:rsidRPr="00487485">
          <w:rPr>
            <w:rStyle w:val="Hyperlink"/>
            <w:lang w:val="es-ES"/>
          </w:rPr>
          <w:t>https://www.itu.int/wrc-23/</w:t>
        </w:r>
      </w:hyperlink>
      <w:r w:rsidRPr="00487485">
        <w:rPr>
          <w:lang w:val="es-ES"/>
        </w:rPr>
        <w:t>.</w:t>
      </w:r>
    </w:p>
    <w:p w14:paraId="40B809E5" w14:textId="77777777" w:rsidR="00487485" w:rsidRPr="00487485" w:rsidRDefault="00487485" w:rsidP="005D0E11">
      <w:pPr>
        <w:pStyle w:val="Heading4"/>
        <w:rPr>
          <w:lang w:val="es-ES"/>
        </w:rPr>
      </w:pPr>
      <w:r w:rsidRPr="00487485">
        <w:rPr>
          <w:lang w:val="es-ES"/>
        </w:rPr>
        <w:t>3.2.2.2</w:t>
      </w:r>
      <w:r w:rsidRPr="00487485">
        <w:rPr>
          <w:lang w:val="es-ES"/>
        </w:rPr>
        <w:tab/>
        <w:t>Resultados principales de la CMR-23</w:t>
      </w:r>
    </w:p>
    <w:p w14:paraId="6F6066A9" w14:textId="517A3492" w:rsidR="00487485" w:rsidRPr="00487485" w:rsidRDefault="00487485" w:rsidP="00487485">
      <w:pPr>
        <w:rPr>
          <w:lang w:val="es-ES"/>
        </w:rPr>
      </w:pPr>
      <w:bookmarkStart w:id="13" w:name="lt_pId232"/>
      <w:r w:rsidRPr="00487485">
        <w:rPr>
          <w:lang w:val="es-ES"/>
        </w:rPr>
        <w:t>La CMR-23 abordó más de 30</w:t>
      </w:r>
      <w:r w:rsidR="009C03BA">
        <w:rPr>
          <w:lang w:val="es-ES"/>
        </w:rPr>
        <w:t> </w:t>
      </w:r>
      <w:r w:rsidRPr="00487485">
        <w:rPr>
          <w:lang w:val="es-ES"/>
        </w:rPr>
        <w:t>temas relacionados con la atribución y la compartición de frecuencias para la utilización eficaz del espectro y los recursos orbitales. A continuación, se exponen los resultados principales de la CMR</w:t>
      </w:r>
      <w:bookmarkEnd w:id="13"/>
      <w:r w:rsidRPr="00487485">
        <w:rPr>
          <w:lang w:val="es-ES"/>
        </w:rPr>
        <w:t>-23:</w:t>
      </w:r>
    </w:p>
    <w:p w14:paraId="604F64BE" w14:textId="77777777" w:rsidR="00487485" w:rsidRPr="00487485" w:rsidRDefault="00487485" w:rsidP="005D0E11">
      <w:pPr>
        <w:pStyle w:val="Heading5"/>
        <w:rPr>
          <w:lang w:val="es-ES"/>
        </w:rPr>
      </w:pPr>
      <w:r w:rsidRPr="00487485">
        <w:rPr>
          <w:lang w:val="es-ES"/>
        </w:rPr>
        <w:t>3.2.2.2.1</w:t>
      </w:r>
      <w:r w:rsidRPr="00487485">
        <w:rPr>
          <w:lang w:val="es-ES"/>
        </w:rPr>
        <w:tab/>
        <w:t>Comunicaciones móviles y fijas de banda ancha</w:t>
      </w:r>
    </w:p>
    <w:p w14:paraId="60D8B6E5" w14:textId="09F6C464" w:rsidR="00487485" w:rsidRPr="00487485" w:rsidRDefault="00487485" w:rsidP="00487485">
      <w:pPr>
        <w:rPr>
          <w:lang w:val="es-ES"/>
        </w:rPr>
      </w:pPr>
      <w:r w:rsidRPr="00487485">
        <w:rPr>
          <w:lang w:val="es-ES"/>
        </w:rPr>
        <w:t>Con miras a satisfacer la demanda mundial de espectro de IMT en bandas medias, la CMR-23 identificó un total de 1 300</w:t>
      </w:r>
      <w:r w:rsidR="009C03BA">
        <w:rPr>
          <w:lang w:val="es-ES"/>
        </w:rPr>
        <w:t> </w:t>
      </w:r>
      <w:r w:rsidRPr="00487485">
        <w:rPr>
          <w:lang w:val="es-ES"/>
        </w:rPr>
        <w:t>MHz adicionales para las IMT y la extensión de la identificación de las</w:t>
      </w:r>
      <w:r w:rsidR="005212C0">
        <w:rPr>
          <w:lang w:val="es-ES"/>
        </w:rPr>
        <w:t> </w:t>
      </w:r>
      <w:r w:rsidRPr="00487485">
        <w:rPr>
          <w:lang w:val="es-ES"/>
        </w:rPr>
        <w:t xml:space="preserve">IMT en las gamas de frecuencias </w:t>
      </w:r>
      <w:r w:rsidR="006F2C4D">
        <w:rPr>
          <w:lang w:val="es-ES"/>
        </w:rPr>
        <w:t xml:space="preserve">entre </w:t>
      </w:r>
      <w:r w:rsidRPr="00487485">
        <w:rPr>
          <w:lang w:val="es-ES"/>
        </w:rPr>
        <w:t>3 300 MHz y 10,5 GHz. Las bandas de frecuencias 3 300</w:t>
      </w:r>
      <w:r w:rsidR="005212C0">
        <w:rPr>
          <w:lang w:val="es-ES"/>
        </w:rPr>
        <w:noBreakHyphen/>
      </w:r>
      <w:r w:rsidRPr="00487485">
        <w:rPr>
          <w:lang w:val="es-ES"/>
        </w:rPr>
        <w:t>3 400 MHz, 3 600-3 800 MHz, 6 425-7 125 MHz y 10-10,5</w:t>
      </w:r>
      <w:r w:rsidR="009C03BA">
        <w:rPr>
          <w:lang w:val="es-ES"/>
        </w:rPr>
        <w:t> </w:t>
      </w:r>
      <w:r w:rsidRPr="00487485">
        <w:rPr>
          <w:lang w:val="es-ES"/>
        </w:rPr>
        <w:t>GHz o partes de ellas están identificadas para las IMT en el plano nacional o regional, con condiciones de protección de los servicios existentes como el servicio de radiolocalización o el servicio fijo por satélite. También se mantuvo la flexibilidad de las decisiones nacionales y regionales sobre la designación de la banda de 6 GHz para las RLAN o las IMT.</w:t>
      </w:r>
    </w:p>
    <w:p w14:paraId="74ED6247" w14:textId="5FE0A372" w:rsidR="00487485" w:rsidRPr="00487485" w:rsidRDefault="00487485" w:rsidP="00487485">
      <w:pPr>
        <w:rPr>
          <w:lang w:val="es-ES"/>
        </w:rPr>
      </w:pPr>
      <w:r w:rsidRPr="00487485">
        <w:rPr>
          <w:lang w:val="es-ES"/>
        </w:rPr>
        <w:t>La CMR-23 también realizó una atribución de la banda de frecuencias 470-694</w:t>
      </w:r>
      <w:r w:rsidR="005D0E11">
        <w:rPr>
          <w:lang w:val="es-ES"/>
        </w:rPr>
        <w:t> </w:t>
      </w:r>
      <w:r w:rsidRPr="00487485">
        <w:rPr>
          <w:lang w:val="es-ES"/>
        </w:rPr>
        <w:t>MHz</w:t>
      </w:r>
      <w:r w:rsidR="006A6F4C" w:rsidRPr="006A6F4C">
        <w:rPr>
          <w:lang w:val="es-ES"/>
        </w:rPr>
        <w:t xml:space="preserve"> </w:t>
      </w:r>
      <w:r w:rsidR="006A6F4C">
        <w:rPr>
          <w:lang w:val="es-ES"/>
        </w:rPr>
        <w:t>a título secundario</w:t>
      </w:r>
      <w:r w:rsidRPr="00487485">
        <w:rPr>
          <w:lang w:val="es-ES"/>
        </w:rPr>
        <w:t xml:space="preserve">, </w:t>
      </w:r>
      <w:r w:rsidR="006A6F4C">
        <w:rPr>
          <w:lang w:val="es-ES"/>
        </w:rPr>
        <w:t>así como de</w:t>
      </w:r>
      <w:r w:rsidRPr="00487485">
        <w:rPr>
          <w:lang w:val="es-ES"/>
        </w:rPr>
        <w:t xml:space="preserve"> parte</w:t>
      </w:r>
      <w:r w:rsidR="006A6F4C">
        <w:rPr>
          <w:lang w:val="es-ES"/>
        </w:rPr>
        <w:t>s de la misma a título primario</w:t>
      </w:r>
      <w:r w:rsidRPr="00487485">
        <w:rPr>
          <w:lang w:val="es-ES"/>
        </w:rPr>
        <w:t xml:space="preserve">, al servicio móvil, </w:t>
      </w:r>
      <w:r w:rsidR="006A6F4C">
        <w:rPr>
          <w:lang w:val="es-ES"/>
        </w:rPr>
        <w:t>salvo</w:t>
      </w:r>
      <w:r w:rsidR="006A6F4C" w:rsidRPr="00487485">
        <w:rPr>
          <w:lang w:val="es-ES"/>
        </w:rPr>
        <w:t xml:space="preserve"> </w:t>
      </w:r>
      <w:r w:rsidRPr="00487485">
        <w:rPr>
          <w:lang w:val="es-ES"/>
        </w:rPr>
        <w:t xml:space="preserve">móvil aeronáutico, en </w:t>
      </w:r>
      <w:r w:rsidR="006A6F4C">
        <w:rPr>
          <w:lang w:val="es-ES"/>
        </w:rPr>
        <w:t>ciertos</w:t>
      </w:r>
      <w:r w:rsidR="006A6F4C" w:rsidRPr="00487485">
        <w:rPr>
          <w:lang w:val="es-ES"/>
        </w:rPr>
        <w:t xml:space="preserve"> </w:t>
      </w:r>
      <w:r w:rsidRPr="00487485">
        <w:rPr>
          <w:lang w:val="es-ES"/>
        </w:rPr>
        <w:t>países de la Región</w:t>
      </w:r>
      <w:r w:rsidR="005D0E11">
        <w:rPr>
          <w:lang w:val="es-ES"/>
        </w:rPr>
        <w:t> </w:t>
      </w:r>
      <w:r w:rsidRPr="00487485">
        <w:rPr>
          <w:lang w:val="es-ES"/>
        </w:rPr>
        <w:t>2, con condiciones de protección del servicio de radiodifusión. Esta decisión ayudaría a dar respuesta a las necesidades de espectro futuras del servicio móvil con mayor conectividad, tanto en zonas rurales como urbanas. La banda de frecuencias 614-694 MHz también está identificada para las</w:t>
      </w:r>
      <w:r w:rsidR="005212C0">
        <w:rPr>
          <w:lang w:val="es-ES"/>
        </w:rPr>
        <w:t> </w:t>
      </w:r>
      <w:r w:rsidRPr="00487485">
        <w:rPr>
          <w:lang w:val="es-ES"/>
        </w:rPr>
        <w:t>IMT en algunos países de la Región</w:t>
      </w:r>
      <w:r w:rsidR="009C03BA">
        <w:rPr>
          <w:lang w:val="es-ES"/>
        </w:rPr>
        <w:t> </w:t>
      </w:r>
      <w:r w:rsidRPr="00487485">
        <w:rPr>
          <w:lang w:val="es-ES"/>
        </w:rPr>
        <w:t>1.</w:t>
      </w:r>
    </w:p>
    <w:p w14:paraId="51E03DFF" w14:textId="47EB29ED" w:rsidR="00487485" w:rsidRPr="00487485" w:rsidRDefault="00487485" w:rsidP="00487485">
      <w:pPr>
        <w:rPr>
          <w:lang w:val="es-ES"/>
        </w:rPr>
      </w:pPr>
      <w:r w:rsidRPr="00487485">
        <w:rPr>
          <w:lang w:val="es-ES"/>
        </w:rPr>
        <w:t>La CMR-23 identificó las bandas de frecuencias 1 710-1 980</w:t>
      </w:r>
      <w:r w:rsidR="005D0E11">
        <w:rPr>
          <w:lang w:val="es-ES"/>
        </w:rPr>
        <w:t> </w:t>
      </w:r>
      <w:r w:rsidRPr="00487485">
        <w:rPr>
          <w:lang w:val="es-ES"/>
        </w:rPr>
        <w:t>MHz y 2 110-2160</w:t>
      </w:r>
      <w:r w:rsidR="005D0E11">
        <w:rPr>
          <w:lang w:val="es-ES"/>
        </w:rPr>
        <w:t> </w:t>
      </w:r>
      <w:r w:rsidRPr="00487485">
        <w:rPr>
          <w:lang w:val="es-ES"/>
        </w:rPr>
        <w:t>MHz para las estaciones en plataforma a gran altitud como estaciones base de las Telecomunicaciones Móviles Internacionales (HIBS) en todo el mundo, junto con las bandas 694-960</w:t>
      </w:r>
      <w:r w:rsidR="005D0E11">
        <w:rPr>
          <w:lang w:val="es-ES"/>
        </w:rPr>
        <w:t> </w:t>
      </w:r>
      <w:r w:rsidRPr="00487485">
        <w:rPr>
          <w:lang w:val="es-ES"/>
        </w:rPr>
        <w:t>MHz, 2 010-2 025</w:t>
      </w:r>
      <w:r w:rsidR="005D0E11">
        <w:rPr>
          <w:lang w:val="es-ES"/>
        </w:rPr>
        <w:t> </w:t>
      </w:r>
      <w:r w:rsidRPr="00487485">
        <w:rPr>
          <w:lang w:val="es-ES"/>
        </w:rPr>
        <w:t>MHz, 2 160-2 170</w:t>
      </w:r>
      <w:r w:rsidR="005D0E11">
        <w:rPr>
          <w:lang w:val="es-ES"/>
        </w:rPr>
        <w:t> </w:t>
      </w:r>
      <w:r w:rsidRPr="00487485">
        <w:rPr>
          <w:lang w:val="es-ES"/>
        </w:rPr>
        <w:t>MHz y 2 500-2 690</w:t>
      </w:r>
      <w:r w:rsidR="005D0E11">
        <w:rPr>
          <w:lang w:val="es-ES"/>
        </w:rPr>
        <w:t> </w:t>
      </w:r>
      <w:r w:rsidRPr="00487485">
        <w:rPr>
          <w:lang w:val="es-ES"/>
        </w:rPr>
        <w:t xml:space="preserve">MHz a título regional o nacional, con un espectro total de </w:t>
      </w:r>
      <w:r w:rsidRPr="00487485">
        <w:rPr>
          <w:lang w:val="es-ES"/>
        </w:rPr>
        <w:lastRenderedPageBreak/>
        <w:t>801</w:t>
      </w:r>
      <w:r w:rsidR="005D0E11">
        <w:rPr>
          <w:lang w:val="es-ES"/>
        </w:rPr>
        <w:t> </w:t>
      </w:r>
      <w:r w:rsidRPr="00487485">
        <w:rPr>
          <w:lang w:val="es-ES"/>
        </w:rPr>
        <w:t xml:space="preserve">MHz. Esta medida facilitará el desarrollo y la implementación de las HIBS y permitirá ofrecer una conectividad de banda ancha y unos servicios de telecomunicaciones </w:t>
      </w:r>
      <w:r w:rsidR="006A6F4C">
        <w:rPr>
          <w:lang w:val="es-ES"/>
        </w:rPr>
        <w:t>ampliados</w:t>
      </w:r>
      <w:r w:rsidR="006A6F4C" w:rsidRPr="00487485">
        <w:rPr>
          <w:lang w:val="es-ES"/>
        </w:rPr>
        <w:t xml:space="preserve"> </w:t>
      </w:r>
      <w:r w:rsidRPr="00487485">
        <w:rPr>
          <w:lang w:val="es-ES"/>
        </w:rPr>
        <w:t>tanto a las comunidades que carecen de servicios suficientes como a las zonas rurales y remotas, incluidas las zonas montañosas y desérticas, y conectar así a quienes carecen de conexión. Las HIBS también pueden destinarse a las comunicaciones de recuperación en caso de catástrofe.</w:t>
      </w:r>
    </w:p>
    <w:p w14:paraId="22B73163" w14:textId="77777777" w:rsidR="00487485" w:rsidRPr="00487485" w:rsidRDefault="00487485" w:rsidP="005D0E11">
      <w:pPr>
        <w:pStyle w:val="Heading5"/>
        <w:rPr>
          <w:lang w:val="es-ES"/>
        </w:rPr>
      </w:pPr>
      <w:r w:rsidRPr="00487485">
        <w:rPr>
          <w:lang w:val="es-ES"/>
        </w:rPr>
        <w:t>3.2.2.2.2</w:t>
      </w:r>
      <w:r w:rsidRPr="00487485">
        <w:rPr>
          <w:lang w:val="es-ES"/>
        </w:rPr>
        <w:tab/>
        <w:t>Modernización del SMSSM y proveedor de satélites adicional en el SMSSM</w:t>
      </w:r>
    </w:p>
    <w:p w14:paraId="68EE5CF5" w14:textId="75E0FC3A" w:rsidR="00487485" w:rsidRPr="00487485" w:rsidRDefault="00487485" w:rsidP="00487485">
      <w:pPr>
        <w:rPr>
          <w:lang w:val="es-ES"/>
        </w:rPr>
      </w:pPr>
      <w:r w:rsidRPr="00487485">
        <w:rPr>
          <w:lang w:val="es-ES"/>
        </w:rPr>
        <w:t xml:space="preserve">La CMR-23 incorporó los resultados de la modernización del Sistema </w:t>
      </w:r>
      <w:r w:rsidR="00A86E94" w:rsidRPr="00487485">
        <w:rPr>
          <w:lang w:val="es-ES"/>
        </w:rPr>
        <w:t xml:space="preserve">Mundial </w:t>
      </w:r>
      <w:r w:rsidRPr="00487485">
        <w:rPr>
          <w:lang w:val="es-ES"/>
        </w:rPr>
        <w:t xml:space="preserve">de </w:t>
      </w:r>
      <w:r w:rsidR="00A86E94" w:rsidRPr="00487485">
        <w:rPr>
          <w:lang w:val="es-ES"/>
        </w:rPr>
        <w:t xml:space="preserve">Socorro </w:t>
      </w:r>
      <w:r w:rsidRPr="00487485">
        <w:rPr>
          <w:lang w:val="es-ES"/>
        </w:rPr>
        <w:t xml:space="preserve">y </w:t>
      </w:r>
      <w:r w:rsidR="00A86E94" w:rsidRPr="00487485">
        <w:rPr>
          <w:lang w:val="es-ES"/>
        </w:rPr>
        <w:t xml:space="preserve">Seguridad Marítimos </w:t>
      </w:r>
      <w:r w:rsidRPr="00487485">
        <w:rPr>
          <w:lang w:val="es-ES"/>
        </w:rPr>
        <w:t>(SMSSM) al Reglamento de Radiocomunicaciones, que queda por lo tanto acorde con las decisiones recientes de la OMI e incluye varias tecnologías</w:t>
      </w:r>
      <w:r w:rsidR="006A6F4C">
        <w:rPr>
          <w:lang w:val="es-ES"/>
        </w:rPr>
        <w:t xml:space="preserve"> incipientes</w:t>
      </w:r>
      <w:r w:rsidRPr="00487485">
        <w:rPr>
          <w:lang w:val="es-ES"/>
        </w:rPr>
        <w:t>. El nuevo sistema de conexión automática (ACS) garantizará el acceso fiable de los navegantes a los enlaces radioeléctricos pertinentes. La introducción del sistema digital de datos de navegación (NAVDAT) permitirá emitir alertas meteorológicas y de navegación actualizadas para los barcos. El uso de transmisores de búsqueda y salvamento del sistema de identificación automática (AIS-SART) facilitará la localización de embarcaciones en peligro para su rescate.</w:t>
      </w:r>
    </w:p>
    <w:p w14:paraId="1B711379" w14:textId="77777777" w:rsidR="00487485" w:rsidRPr="00487485" w:rsidRDefault="00487485" w:rsidP="00487485">
      <w:pPr>
        <w:rPr>
          <w:lang w:val="es-ES"/>
        </w:rPr>
      </w:pPr>
      <w:r w:rsidRPr="00487485">
        <w:rPr>
          <w:lang w:val="es-ES"/>
        </w:rPr>
        <w:t>Además, la Conferencia reconoció provisionalmente el uso del Sistema de Servicio de Mensajes BeiDou (BDMSS) para el SMSSM, siempre y cuando se haya completado previamente con éxito la coordinación con las redes existentes y se hayan eliminado las interferencias.</w:t>
      </w:r>
    </w:p>
    <w:p w14:paraId="5C04D515" w14:textId="4CA180F9" w:rsidR="00487485" w:rsidRPr="00487485" w:rsidRDefault="00487485" w:rsidP="005D0E11">
      <w:pPr>
        <w:pStyle w:val="Heading5"/>
        <w:rPr>
          <w:lang w:val="es-ES"/>
        </w:rPr>
      </w:pPr>
      <w:r w:rsidRPr="00487485">
        <w:rPr>
          <w:lang w:val="es-ES"/>
        </w:rPr>
        <w:t>3.2.2.2.3</w:t>
      </w:r>
      <w:r w:rsidRPr="00487485">
        <w:rPr>
          <w:lang w:val="es-ES"/>
        </w:rPr>
        <w:tab/>
        <w:t>Digitalización de las frecuencias aeronáuticas de ondas decamétricas</w:t>
      </w:r>
    </w:p>
    <w:p w14:paraId="406F7573" w14:textId="391BE9D9" w:rsidR="00487485" w:rsidRPr="00487485" w:rsidRDefault="00487485" w:rsidP="00487485">
      <w:pPr>
        <w:rPr>
          <w:lang w:val="es-ES"/>
        </w:rPr>
      </w:pPr>
      <w:r w:rsidRPr="00487485">
        <w:rPr>
          <w:lang w:val="es-ES"/>
        </w:rPr>
        <w:t xml:space="preserve">La CMR-23 </w:t>
      </w:r>
      <w:r w:rsidR="006A6F4C" w:rsidRPr="006A6F4C">
        <w:rPr>
          <w:lang w:val="es-ES"/>
        </w:rPr>
        <w:t>añadió una serie de disposiciones al</w:t>
      </w:r>
      <w:r w:rsidRPr="00487485">
        <w:rPr>
          <w:lang w:val="es-ES"/>
        </w:rPr>
        <w:t xml:space="preserve"> plan de frecuencias aeronáuticas del servicio móvil aeronáutico (en ruta</w:t>
      </w:r>
      <w:r w:rsidR="001254E2">
        <w:rPr>
          <w:lang w:val="es-ES"/>
        </w:rPr>
        <w:t>s</w:t>
      </w:r>
      <w:r w:rsidRPr="00487485">
        <w:rPr>
          <w:lang w:val="es-ES"/>
        </w:rPr>
        <w:t>) en las bandas de ondas decamétricas</w:t>
      </w:r>
      <w:r w:rsidR="001254E2">
        <w:rPr>
          <w:lang w:val="es-ES"/>
        </w:rPr>
        <w:t>, incluidas</w:t>
      </w:r>
      <w:r w:rsidRPr="00487485">
        <w:rPr>
          <w:lang w:val="es-ES"/>
        </w:rPr>
        <w:t xml:space="preserve"> en el Apéndice</w:t>
      </w:r>
      <w:r w:rsidR="005212C0">
        <w:rPr>
          <w:lang w:val="es-ES"/>
        </w:rPr>
        <w:t> </w:t>
      </w:r>
      <w:r w:rsidRPr="00487485">
        <w:rPr>
          <w:b/>
          <w:bCs/>
          <w:lang w:val="es-ES"/>
        </w:rPr>
        <w:t>27</w:t>
      </w:r>
      <w:r w:rsidRPr="00487485">
        <w:rPr>
          <w:lang w:val="es-ES"/>
        </w:rPr>
        <w:t xml:space="preserve"> </w:t>
      </w:r>
      <w:r w:rsidRPr="00487485">
        <w:rPr>
          <w:bCs/>
          <w:lang w:val="es-ES"/>
        </w:rPr>
        <w:t>del RR</w:t>
      </w:r>
      <w:r w:rsidRPr="00487485">
        <w:rPr>
          <w:lang w:val="es-ES"/>
        </w:rPr>
        <w:t xml:space="preserve">, </w:t>
      </w:r>
      <w:r w:rsidR="001254E2">
        <w:rPr>
          <w:lang w:val="es-ES"/>
        </w:rPr>
        <w:t xml:space="preserve">que </w:t>
      </w:r>
      <w:r w:rsidRPr="00487485">
        <w:rPr>
          <w:lang w:val="es-ES"/>
        </w:rPr>
        <w:t>permiten la introducción de nuevos sistemas digitales de ondas decamétricas de banda ancha.</w:t>
      </w:r>
    </w:p>
    <w:p w14:paraId="0EF9890F" w14:textId="77777777" w:rsidR="00487485" w:rsidRPr="00487485" w:rsidRDefault="00487485" w:rsidP="005D0E11">
      <w:pPr>
        <w:pStyle w:val="Heading5"/>
        <w:rPr>
          <w:lang w:val="es-ES"/>
        </w:rPr>
      </w:pPr>
      <w:r w:rsidRPr="00487485">
        <w:rPr>
          <w:lang w:val="es-ES"/>
        </w:rPr>
        <w:t>3.2.2.2.4</w:t>
      </w:r>
      <w:r w:rsidRPr="00487485">
        <w:rPr>
          <w:lang w:val="es-ES"/>
        </w:rPr>
        <w:tab/>
        <w:t>Espectro para las aplicaciones aeronáuticas no relacionadas con la seguridad</w:t>
      </w:r>
    </w:p>
    <w:p w14:paraId="160BB47B" w14:textId="11F10F48" w:rsidR="00487485" w:rsidRPr="00487485" w:rsidRDefault="00487485" w:rsidP="00487485">
      <w:pPr>
        <w:rPr>
          <w:lang w:val="es-ES"/>
        </w:rPr>
      </w:pPr>
      <w:r w:rsidRPr="00487485">
        <w:rPr>
          <w:lang w:val="es-ES"/>
        </w:rPr>
        <w:t>La CMR-23 efectuó una atribución al servicio móvil aeronáutico (OR) en la banda de frecuencias 15,41</w:t>
      </w:r>
      <w:r w:rsidR="002D28A4">
        <w:rPr>
          <w:lang w:val="es-ES"/>
        </w:rPr>
        <w:noBreakHyphen/>
      </w:r>
      <w:r w:rsidRPr="00487485">
        <w:rPr>
          <w:lang w:val="es-ES"/>
        </w:rPr>
        <w:t>15,7</w:t>
      </w:r>
      <w:r w:rsidR="002D28A4">
        <w:rPr>
          <w:lang w:val="es-ES"/>
        </w:rPr>
        <w:t> </w:t>
      </w:r>
      <w:r w:rsidRPr="00487485">
        <w:rPr>
          <w:lang w:val="es-ES"/>
        </w:rPr>
        <w:t>GHz a título secundario y en la banda de frecuencias 22-22,2</w:t>
      </w:r>
      <w:r w:rsidR="002D28A4">
        <w:rPr>
          <w:lang w:val="es-ES"/>
        </w:rPr>
        <w:t> </w:t>
      </w:r>
      <w:r w:rsidRPr="00487485">
        <w:rPr>
          <w:lang w:val="es-ES"/>
        </w:rPr>
        <w:t>GHz a título primario en la Región</w:t>
      </w:r>
      <w:r w:rsidR="002D28A4">
        <w:rPr>
          <w:lang w:val="es-ES"/>
        </w:rPr>
        <w:t> </w:t>
      </w:r>
      <w:r w:rsidRPr="00487485">
        <w:rPr>
          <w:lang w:val="es-ES"/>
        </w:rPr>
        <w:t>1 y en algunos países de la Región</w:t>
      </w:r>
      <w:r w:rsidR="002D28A4">
        <w:rPr>
          <w:lang w:val="es-ES"/>
        </w:rPr>
        <w:t> </w:t>
      </w:r>
      <w:r w:rsidRPr="00487485">
        <w:rPr>
          <w:lang w:val="es-ES"/>
        </w:rPr>
        <w:t>3 a condición de que no causen interferencia a los servicios existentes.</w:t>
      </w:r>
    </w:p>
    <w:p w14:paraId="5A1796B8" w14:textId="09CED939" w:rsidR="00487485" w:rsidRPr="00487485" w:rsidRDefault="00487485" w:rsidP="005D0E11">
      <w:pPr>
        <w:pStyle w:val="Heading5"/>
        <w:rPr>
          <w:lang w:val="es-ES"/>
        </w:rPr>
      </w:pPr>
      <w:r w:rsidRPr="00487485">
        <w:rPr>
          <w:lang w:val="es-ES"/>
        </w:rPr>
        <w:t>3.2.2.2.5</w:t>
      </w:r>
      <w:r w:rsidRPr="00487485">
        <w:rPr>
          <w:lang w:val="es-ES"/>
        </w:rPr>
        <w:tab/>
        <w:t>Servicios por satélite</w:t>
      </w:r>
    </w:p>
    <w:p w14:paraId="55FDE7FC" w14:textId="02EA725C" w:rsidR="00487485" w:rsidRPr="00487485" w:rsidRDefault="00487485" w:rsidP="00487485">
      <w:pPr>
        <w:rPr>
          <w:lang w:val="es-ES"/>
        </w:rPr>
      </w:pPr>
      <w:r w:rsidRPr="00487485">
        <w:rPr>
          <w:lang w:val="es-ES"/>
        </w:rPr>
        <w:t>La CMR-23 adoptó las condiciones reglamentarias, operacionales y técnicas para que las estaciones terrenas en movimiento (ETEM) se comuniquen con estaciones espaciales en órbita geoestacionaria (OSG) del servicio fijo por satélite en la banda de frecuencias 12,75-13,25</w:t>
      </w:r>
      <w:r w:rsidR="002D28A4">
        <w:rPr>
          <w:lang w:val="es-ES"/>
        </w:rPr>
        <w:t> </w:t>
      </w:r>
      <w:r w:rsidRPr="00487485">
        <w:rPr>
          <w:lang w:val="es-ES"/>
        </w:rPr>
        <w:t>GHz o con sistemas de satélites en órbita no geoestacionaria (no</w:t>
      </w:r>
      <w:r w:rsidR="002D28A4">
        <w:rPr>
          <w:lang w:val="es-ES"/>
        </w:rPr>
        <w:t> </w:t>
      </w:r>
      <w:r w:rsidRPr="00487485">
        <w:rPr>
          <w:lang w:val="es-ES"/>
        </w:rPr>
        <w:t>OSG) en la gama de frecuencias 30/20</w:t>
      </w:r>
      <w:r w:rsidR="002D28A4">
        <w:rPr>
          <w:lang w:val="es-ES"/>
        </w:rPr>
        <w:t> </w:t>
      </w:r>
      <w:r w:rsidRPr="00487485">
        <w:rPr>
          <w:lang w:val="es-ES"/>
        </w:rPr>
        <w:t>GHz. Esta decisión proporcionará más ancho de banda para la conectividad en barcos o aeronaves.</w:t>
      </w:r>
    </w:p>
    <w:p w14:paraId="08B991E8" w14:textId="303C94F3" w:rsidR="00487485" w:rsidRPr="00487485" w:rsidRDefault="00487485" w:rsidP="00487485">
      <w:pPr>
        <w:rPr>
          <w:lang w:val="es-ES"/>
        </w:rPr>
      </w:pPr>
      <w:r w:rsidRPr="00487485">
        <w:rPr>
          <w:lang w:val="es-ES"/>
        </w:rPr>
        <w:t>La CMR-23 también ideó un mecanismo nuevo que permite utilizar los enlaces entre satélites en la gama de frecuencias 30/20</w:t>
      </w:r>
      <w:r w:rsidR="002D28A4">
        <w:rPr>
          <w:lang w:val="es-ES"/>
        </w:rPr>
        <w:t> </w:t>
      </w:r>
      <w:r w:rsidRPr="00487485">
        <w:rPr>
          <w:lang w:val="es-ES"/>
        </w:rPr>
        <w:t>GHz, de manera que se podrán transferir a tierra con más rapidez los datos recabados por sensores científicos o experimentales.</w:t>
      </w:r>
    </w:p>
    <w:p w14:paraId="521F1F36" w14:textId="77777777" w:rsidR="00487485" w:rsidRPr="00487485" w:rsidRDefault="00487485" w:rsidP="00487485">
      <w:pPr>
        <w:rPr>
          <w:lang w:val="es-ES"/>
        </w:rPr>
      </w:pPr>
      <w:r w:rsidRPr="00487485">
        <w:rPr>
          <w:lang w:val="es-ES"/>
        </w:rPr>
        <w:t>La CMR-23 perfeccionó el marco normativo para la puesta en servicio y un método por etapas para el despliegue de constelaciones de satélites no OSG en bandas de frecuencias y servicios específicos. En concreto, la CMR-23 adoptó un conjunto de tolerancias orbitales próximas a los valores notificados y acordó un mecanismo posterior a cada objetivo intermedio. Con este enfoque se podrá valorar de forma más adecuada la precisión del Registro Internacional de Frecuencias respecto del despliegue real de sistemas de satélites no OSG. Al tomar estas decisiones, la CMR-23 reforzó el equilibrio establecido por la CMR-19 entre la prevención del acaparamiento de espectro, el adecuado funcionamiento de los mecanismos de coordinación, notificación e inscripción y los requisitos operativos relacionados con el despliegue de sistemas no OSG.</w:t>
      </w:r>
    </w:p>
    <w:p w14:paraId="0EFD41B9" w14:textId="1F2AFBC1" w:rsidR="00487485" w:rsidRPr="00487485" w:rsidRDefault="00487485" w:rsidP="00487485">
      <w:pPr>
        <w:rPr>
          <w:lang w:val="es-ES"/>
        </w:rPr>
      </w:pPr>
      <w:r w:rsidRPr="00487485">
        <w:rPr>
          <w:lang w:val="es-ES"/>
        </w:rPr>
        <w:lastRenderedPageBreak/>
        <w:t>Además, la CMR-23 adoptó varias medidas para reforzar el acceso equitativo a los recursos de órbita/espectro basadas en garantizar la protección a largo plazo de los recursos nacionales previstos de los Planes de SFS, del SRS y de los enlaces de conexión SRS y en facilitar la obtención de recursos en los Apéndices</w:t>
      </w:r>
      <w:r w:rsidR="005212C0">
        <w:rPr>
          <w:lang w:val="es-ES"/>
        </w:rPr>
        <w:t> </w:t>
      </w:r>
      <w:r w:rsidRPr="00487485">
        <w:rPr>
          <w:b/>
          <w:bCs/>
          <w:lang w:val="es-ES"/>
        </w:rPr>
        <w:t>30</w:t>
      </w:r>
      <w:r w:rsidRPr="00487485">
        <w:rPr>
          <w:lang w:val="es-ES"/>
        </w:rPr>
        <w:t xml:space="preserve">, </w:t>
      </w:r>
      <w:r w:rsidRPr="00487485">
        <w:rPr>
          <w:b/>
          <w:bCs/>
          <w:lang w:val="es-ES"/>
        </w:rPr>
        <w:t>30A</w:t>
      </w:r>
      <w:r w:rsidRPr="00487485">
        <w:rPr>
          <w:lang w:val="es-ES"/>
        </w:rPr>
        <w:t xml:space="preserve"> y </w:t>
      </w:r>
      <w:r w:rsidRPr="00487485">
        <w:rPr>
          <w:b/>
          <w:bCs/>
          <w:lang w:val="es-ES"/>
        </w:rPr>
        <w:t>30B</w:t>
      </w:r>
      <w:r w:rsidRPr="00487485">
        <w:rPr>
          <w:lang w:val="es-ES"/>
        </w:rPr>
        <w:t xml:space="preserve"> para nuevos países o para países que todavía no utilizan las Listas. En esa misma línea, la CMR-23 decidió sustituir los recursos del SRS previstos para 41</w:t>
      </w:r>
      <w:r w:rsidR="005212C0">
        <w:rPr>
          <w:lang w:val="es-ES"/>
        </w:rPr>
        <w:t> </w:t>
      </w:r>
      <w:r w:rsidRPr="00487485">
        <w:rPr>
          <w:lang w:val="es-ES"/>
        </w:rPr>
        <w:t>países que habían degradado previamente recursos en los Planes del SRS y de los enlaces de conexión SRS, y acordó incluir adjudicaciones nacionales nuevas en los Planes del SFS para nueve países.</w:t>
      </w:r>
    </w:p>
    <w:p w14:paraId="24CF0749" w14:textId="77777777" w:rsidR="00487485" w:rsidRPr="00487485" w:rsidRDefault="00487485" w:rsidP="005D0E11">
      <w:pPr>
        <w:pStyle w:val="Heading5"/>
        <w:rPr>
          <w:lang w:val="es-ES"/>
        </w:rPr>
      </w:pPr>
      <w:r w:rsidRPr="00487485">
        <w:rPr>
          <w:lang w:val="es-ES"/>
        </w:rPr>
        <w:t>3.2.2.2.6</w:t>
      </w:r>
      <w:r w:rsidRPr="00487485">
        <w:rPr>
          <w:lang w:val="es-ES"/>
        </w:rPr>
        <w:tab/>
        <w:t>Apoyo a servicios científicos</w:t>
      </w:r>
    </w:p>
    <w:p w14:paraId="35575463" w14:textId="3888791F" w:rsidR="00487485" w:rsidRPr="00487485" w:rsidRDefault="00487485" w:rsidP="00487485">
      <w:pPr>
        <w:rPr>
          <w:lang w:val="es-ES"/>
        </w:rPr>
      </w:pPr>
      <w:r w:rsidRPr="00487485">
        <w:rPr>
          <w:lang w:val="es-ES"/>
        </w:rPr>
        <w:t>La CMR-23 atribuyó la banda de frecuencias 40-50</w:t>
      </w:r>
      <w:r w:rsidR="005212C0">
        <w:rPr>
          <w:lang w:val="es-ES"/>
        </w:rPr>
        <w:t> </w:t>
      </w:r>
      <w:r w:rsidRPr="00487485">
        <w:rPr>
          <w:lang w:val="es-ES"/>
        </w:rPr>
        <w:t>MHz a los sensores del SETS (activo)</w:t>
      </w:r>
      <w:r w:rsidR="006A6F4C">
        <w:rPr>
          <w:lang w:val="es-ES"/>
        </w:rPr>
        <w:t>,</w:t>
      </w:r>
      <w:r w:rsidRPr="00487485">
        <w:rPr>
          <w:lang w:val="es-ES"/>
        </w:rPr>
        <w:t xml:space="preserve"> a fin de mejorar las observaciones del grosor del hielo en </w:t>
      </w:r>
      <w:r w:rsidR="006A6F4C">
        <w:rPr>
          <w:lang w:val="es-ES"/>
        </w:rPr>
        <w:t>las</w:t>
      </w:r>
      <w:r w:rsidR="006A6F4C" w:rsidRPr="00487485">
        <w:rPr>
          <w:lang w:val="es-ES"/>
        </w:rPr>
        <w:t xml:space="preserve"> </w:t>
      </w:r>
      <w:r w:rsidRPr="00487485">
        <w:rPr>
          <w:lang w:val="es-ES"/>
        </w:rPr>
        <w:t>zonas</w:t>
      </w:r>
      <w:r w:rsidR="006A6F4C">
        <w:rPr>
          <w:lang w:val="es-ES"/>
        </w:rPr>
        <w:t xml:space="preserve"> polares</w:t>
      </w:r>
      <w:r w:rsidRPr="00487485">
        <w:rPr>
          <w:lang w:val="es-ES"/>
        </w:rPr>
        <w:t>.</w:t>
      </w:r>
    </w:p>
    <w:p w14:paraId="724D1DC6" w14:textId="249BD279" w:rsidR="00487485" w:rsidRPr="00487485" w:rsidRDefault="00487485" w:rsidP="00487485">
      <w:pPr>
        <w:rPr>
          <w:lang w:val="es-ES"/>
        </w:rPr>
      </w:pPr>
      <w:r w:rsidRPr="00487485">
        <w:rPr>
          <w:lang w:val="es-ES"/>
        </w:rPr>
        <w:t>La CMR-23 elevó a título primario la atribución al servicio de investigación espacial en la banda de frecuencias 14,8-15,35</w:t>
      </w:r>
      <w:r w:rsidR="002D28A4">
        <w:rPr>
          <w:lang w:val="es-ES"/>
        </w:rPr>
        <w:t> </w:t>
      </w:r>
      <w:r w:rsidRPr="00487485">
        <w:rPr>
          <w:lang w:val="es-ES"/>
        </w:rPr>
        <w:t>GHz con miras a optimizar la condición reglamentaria de los sistemas de satélites de retransmisión de datos que utilizan esta banda de frecuencias.</w:t>
      </w:r>
    </w:p>
    <w:p w14:paraId="137C1D88" w14:textId="05C87C8B" w:rsidR="00487485" w:rsidRPr="00487485" w:rsidRDefault="00487485" w:rsidP="00487485">
      <w:pPr>
        <w:rPr>
          <w:lang w:val="es-ES"/>
        </w:rPr>
      </w:pPr>
      <w:r w:rsidRPr="00487485">
        <w:rPr>
          <w:lang w:val="es-ES"/>
        </w:rPr>
        <w:t>La CMR-23 reorganizó las atribuciones al SETS (pasivo) en la gama de frecuencias 231,5-252</w:t>
      </w:r>
      <w:r w:rsidR="00A278D4">
        <w:rPr>
          <w:lang w:val="es-ES"/>
        </w:rPr>
        <w:t> </w:t>
      </w:r>
      <w:r w:rsidRPr="00487485">
        <w:rPr>
          <w:lang w:val="es-ES"/>
        </w:rPr>
        <w:t>GHz para garantizar la alineación con los requisitos de observación por detección más actualizados. Esta reorganización requirió que se modificaran las atribuciones a los servicios fijo y móvil.</w:t>
      </w:r>
    </w:p>
    <w:p w14:paraId="1B85B3C3" w14:textId="04569280" w:rsidR="00487485" w:rsidRPr="00487485" w:rsidRDefault="00487485" w:rsidP="00487485">
      <w:pPr>
        <w:rPr>
          <w:lang w:val="es-ES"/>
        </w:rPr>
      </w:pPr>
      <w:r w:rsidRPr="00487485">
        <w:rPr>
          <w:lang w:val="es-ES"/>
        </w:rPr>
        <w:t xml:space="preserve">En lo que respecta a la meteorología espacial, la CMR-23 concluyó que los sensores de meteorología espacial pueden operar en el marco del servicio de ayudas meteorológicas, específicamente, en un subconjunto concreto de atribuciones denominado </w:t>
      </w:r>
      <w:r w:rsidR="00A278D4">
        <w:rPr>
          <w:lang w:val="es-ES"/>
        </w:rPr>
        <w:t>«</w:t>
      </w:r>
      <w:r w:rsidRPr="00487485">
        <w:rPr>
          <w:lang w:val="es-ES"/>
        </w:rPr>
        <w:t>MetAids (meteorología espacial)</w:t>
      </w:r>
      <w:r w:rsidR="00A278D4">
        <w:rPr>
          <w:lang w:val="es-ES"/>
        </w:rPr>
        <w:t>»</w:t>
      </w:r>
      <w:r w:rsidRPr="00487485">
        <w:rPr>
          <w:lang w:val="es-ES"/>
        </w:rPr>
        <w:t>. Se continuarán realizando estudios hasta la CMR-27 para identificar las bandas de frecuencias adecuadas para estas atribuciones.</w:t>
      </w:r>
    </w:p>
    <w:p w14:paraId="734E1302" w14:textId="3ED908F3" w:rsidR="00487485" w:rsidRPr="00487485" w:rsidRDefault="00487485" w:rsidP="00487485">
      <w:pPr>
        <w:rPr>
          <w:lang w:val="es-ES"/>
        </w:rPr>
      </w:pPr>
      <w:r w:rsidRPr="00487485">
        <w:rPr>
          <w:lang w:val="es-ES"/>
        </w:rPr>
        <w:t>Por último, la CMR-23 adoptó un límite de densidad de p.i.r.e. por estación espacial no OSG a fin de proteger los sensores del SETS (pasivo) en la banda de frecuencias 36-37</w:t>
      </w:r>
      <w:r w:rsidR="005212C0">
        <w:rPr>
          <w:lang w:val="es-ES"/>
        </w:rPr>
        <w:t> </w:t>
      </w:r>
      <w:r w:rsidRPr="00487485">
        <w:rPr>
          <w:lang w:val="es-ES"/>
        </w:rPr>
        <w:t>GHz frente a los sistemas del SFS no OSG que operan en la banda 37,5-38</w:t>
      </w:r>
      <w:r w:rsidR="00793842">
        <w:rPr>
          <w:lang w:val="es-ES"/>
        </w:rPr>
        <w:t> </w:t>
      </w:r>
      <w:r w:rsidRPr="00487485">
        <w:rPr>
          <w:lang w:val="es-ES"/>
        </w:rPr>
        <w:t>GHz.</w:t>
      </w:r>
    </w:p>
    <w:p w14:paraId="153C2565" w14:textId="5C0807D9" w:rsidR="00487485" w:rsidRPr="00487485" w:rsidRDefault="00487485" w:rsidP="005D0E11">
      <w:pPr>
        <w:pStyle w:val="Heading5"/>
        <w:rPr>
          <w:lang w:val="es-ES"/>
        </w:rPr>
      </w:pPr>
      <w:r w:rsidRPr="00487485">
        <w:rPr>
          <w:lang w:val="es-ES"/>
        </w:rPr>
        <w:t>3.2.2.2.7</w:t>
      </w:r>
      <w:r w:rsidRPr="00487485">
        <w:rPr>
          <w:lang w:val="es-ES"/>
        </w:rPr>
        <w:tab/>
        <w:t>Palestina</w:t>
      </w:r>
    </w:p>
    <w:p w14:paraId="3F735C4C" w14:textId="3A0D9730" w:rsidR="00487485" w:rsidRPr="00487485" w:rsidRDefault="00487485" w:rsidP="00487485">
      <w:pPr>
        <w:rPr>
          <w:lang w:val="es-ES"/>
        </w:rPr>
      </w:pPr>
      <w:r w:rsidRPr="00487485">
        <w:rPr>
          <w:lang w:val="es-ES"/>
        </w:rPr>
        <w:t>La CMR-23 adoptó la Resolución</w:t>
      </w:r>
      <w:r w:rsidR="005212C0">
        <w:rPr>
          <w:lang w:val="es-ES"/>
        </w:rPr>
        <w:t> </w:t>
      </w:r>
      <w:r w:rsidRPr="00487485">
        <w:rPr>
          <w:b/>
          <w:bCs/>
          <w:lang w:val="es-ES"/>
        </w:rPr>
        <w:t>12 (Rev.CMR-23)</w:t>
      </w:r>
      <w:r w:rsidRPr="00487485">
        <w:rPr>
          <w:lang w:val="es-ES"/>
        </w:rPr>
        <w:t xml:space="preserve"> con medidas para garantizar que se ofrecen asistencia y apoyo continuados a Palestina para gestionar y explotar su espectro radioeléctrico; modernizar sus redes de telecomunicaciones, entre otras cosas mediante el establecimiento y la explotación de redes 4G y 5G; obtener y gestionar las frecuencias necesarias para los enlaces de microondas, que se consideran esenciales para el funcionamiento de los servicios 4G y 5G; extender, instalar, poseer, gestionar y explotar redes de telecomunicaciones de banda ancha de fibra óptica (y enlaces de fibra óptica) entre las gobernaciones y las principales ciudades, para garantizar una transformación digital más sólida; obtener frecuencias de bandas de ondas métricas y decimétricas para los servicios de telecomunicaciones fijo y móvil; y frecuencias FM para el servicio de radiodifusión.</w:t>
      </w:r>
    </w:p>
    <w:p w14:paraId="47A8A9D3" w14:textId="77777777" w:rsidR="00487485" w:rsidRPr="00487485" w:rsidRDefault="00487485" w:rsidP="005D0E11">
      <w:pPr>
        <w:pStyle w:val="Heading5"/>
        <w:rPr>
          <w:lang w:val="es-ES"/>
        </w:rPr>
      </w:pPr>
      <w:r w:rsidRPr="00487485">
        <w:rPr>
          <w:lang w:val="es-ES"/>
        </w:rPr>
        <w:t>3.2.2.2.8</w:t>
      </w:r>
      <w:r w:rsidRPr="00487485">
        <w:rPr>
          <w:lang w:val="es-ES"/>
        </w:rPr>
        <w:tab/>
        <w:t>Orden del día de la CMR-27 y orden del día preliminar de la CMR-31</w:t>
      </w:r>
    </w:p>
    <w:p w14:paraId="2C87D1CE" w14:textId="2D169841" w:rsidR="00487485" w:rsidRPr="00487485" w:rsidRDefault="00487485" w:rsidP="00487485">
      <w:pPr>
        <w:rPr>
          <w:lang w:val="es-ES"/>
        </w:rPr>
      </w:pPr>
      <w:r w:rsidRPr="00487485">
        <w:rPr>
          <w:lang w:val="es-ES"/>
        </w:rPr>
        <w:t>La CMR-23 adoptó nuevas Resoluciones que contienen el orden del día de la CMR-27 y el orden del día preliminar de la CMR-31, así como Resoluciones nuevas o revisadas relacionadas con los puntos del orden del día. El orden del día de la CMR-27 comprende 19</w:t>
      </w:r>
      <w:r w:rsidR="00793842">
        <w:rPr>
          <w:lang w:val="es-ES"/>
        </w:rPr>
        <w:t> </w:t>
      </w:r>
      <w:r w:rsidRPr="00487485">
        <w:rPr>
          <w:lang w:val="es-ES"/>
        </w:rPr>
        <w:t xml:space="preserve">puntos </w:t>
      </w:r>
      <w:r w:rsidR="006A6F4C" w:rsidRPr="006A6F4C">
        <w:rPr>
          <w:lang w:val="es-ES"/>
        </w:rPr>
        <w:t xml:space="preserve">específicamente concebidos para dar cabida a los avances tecnológicos </w:t>
      </w:r>
      <w:r w:rsidR="006A6F4C">
        <w:rPr>
          <w:lang w:val="es-ES"/>
        </w:rPr>
        <w:t xml:space="preserve">incipientes </w:t>
      </w:r>
      <w:r w:rsidRPr="00487485">
        <w:rPr>
          <w:lang w:val="es-ES"/>
        </w:rPr>
        <w:t>y</w:t>
      </w:r>
      <w:r w:rsidR="006A6F4C">
        <w:rPr>
          <w:lang w:val="es-ES"/>
        </w:rPr>
        <w:t xml:space="preserve"> a los</w:t>
      </w:r>
      <w:r w:rsidRPr="00487485">
        <w:rPr>
          <w:lang w:val="es-ES"/>
        </w:rPr>
        <w:t xml:space="preserve"> nuevos requisitos de espectro de los usuarios de los servicios terrenales, aeronáuticos, de radiolocalización, satelitales y científicos</w:t>
      </w:r>
      <w:r w:rsidR="006F684D" w:rsidRPr="006F684D">
        <w:rPr>
          <w:lang w:val="es-ES"/>
        </w:rPr>
        <w:t>, así como a varios temas de carácter reglamentario</w:t>
      </w:r>
      <w:r w:rsidRPr="00487485">
        <w:rPr>
          <w:lang w:val="es-ES"/>
        </w:rPr>
        <w:t>. El orden del día de la CMR-27 también incluye los puntos permanentes habituales y</w:t>
      </w:r>
      <w:r w:rsidR="006F684D" w:rsidRPr="006F684D">
        <w:t xml:space="preserve"> </w:t>
      </w:r>
      <w:r w:rsidR="006F684D" w:rsidRPr="006F684D">
        <w:rPr>
          <w:lang w:val="es-ES"/>
        </w:rPr>
        <w:t xml:space="preserve">la </w:t>
      </w:r>
      <w:r w:rsidR="006F684D">
        <w:rPr>
          <w:lang w:val="es-ES"/>
        </w:rPr>
        <w:t>C</w:t>
      </w:r>
      <w:r w:rsidR="006F684D" w:rsidRPr="006F684D">
        <w:rPr>
          <w:lang w:val="es-ES"/>
        </w:rPr>
        <w:t>onferencia examinará además</w:t>
      </w:r>
      <w:r w:rsidR="006F684D">
        <w:rPr>
          <w:lang w:val="es-ES"/>
        </w:rPr>
        <w:t xml:space="preserve"> </w:t>
      </w:r>
      <w:r w:rsidRPr="00487485">
        <w:rPr>
          <w:lang w:val="es-ES"/>
        </w:rPr>
        <w:t xml:space="preserve">el orden del </w:t>
      </w:r>
      <w:r w:rsidRPr="00487485">
        <w:rPr>
          <w:lang w:val="es-ES"/>
        </w:rPr>
        <w:lastRenderedPageBreak/>
        <w:t>día preliminar de la CMR</w:t>
      </w:r>
      <w:r w:rsidR="00793842">
        <w:rPr>
          <w:lang w:val="es-ES"/>
        </w:rPr>
        <w:noBreakHyphen/>
      </w:r>
      <w:r w:rsidRPr="00487485">
        <w:rPr>
          <w:lang w:val="es-ES"/>
        </w:rPr>
        <w:t xml:space="preserve">31. El orden del día de la CMR-27 se someterá a la reunión de 2024 del Consejo en otro </w:t>
      </w:r>
      <w:bookmarkStart w:id="14" w:name="lt_pId307"/>
      <w:r w:rsidRPr="00487485">
        <w:rPr>
          <w:lang w:val="es-ES"/>
        </w:rPr>
        <w:t>documento.</w:t>
      </w:r>
      <w:bookmarkEnd w:id="14"/>
    </w:p>
    <w:p w14:paraId="7188909E" w14:textId="77777777" w:rsidR="00487485" w:rsidRPr="00487485" w:rsidRDefault="00487485" w:rsidP="005D0E11">
      <w:pPr>
        <w:pStyle w:val="Heading3"/>
        <w:rPr>
          <w:i/>
          <w:iCs/>
          <w:lang w:val="es-ES"/>
        </w:rPr>
      </w:pPr>
      <w:r w:rsidRPr="00487485">
        <w:rPr>
          <w:lang w:val="es-ES"/>
        </w:rPr>
        <w:t>3.2.3</w:t>
      </w:r>
      <w:r w:rsidRPr="00487485">
        <w:rPr>
          <w:lang w:val="es-ES"/>
        </w:rPr>
        <w:tab/>
        <w:t>Repercusiones financieras de las decisiones de la CMR-23</w:t>
      </w:r>
      <w:bookmarkEnd w:id="12"/>
    </w:p>
    <w:p w14:paraId="1F20F3DD" w14:textId="5F1F68B9" w:rsidR="00487485" w:rsidRPr="00487485" w:rsidRDefault="00487485" w:rsidP="00487485">
      <w:pPr>
        <w:rPr>
          <w:lang w:val="es-ES"/>
        </w:rPr>
      </w:pPr>
      <w:r w:rsidRPr="00487485">
        <w:rPr>
          <w:lang w:val="es-ES"/>
        </w:rPr>
        <w:t>La CMR-23 definió áreas de trabajo, estudio y desarrollo adicionales, con miras a la aplicación de las decisiones de la Conferencia. La ejecución de estas nuevas actividades tiene un coste total estimado de 12,6</w:t>
      </w:r>
      <w:r w:rsidR="00793842">
        <w:rPr>
          <w:lang w:val="es-ES"/>
        </w:rPr>
        <w:t> </w:t>
      </w:r>
      <w:r w:rsidRPr="00487485">
        <w:rPr>
          <w:lang w:val="es-ES"/>
        </w:rPr>
        <w:t>millones de francos suizos, incluidos los costes tanto puntuales como recurrentes para el periodo</w:t>
      </w:r>
      <w:r w:rsidR="00793842">
        <w:rPr>
          <w:lang w:val="es-ES"/>
        </w:rPr>
        <w:t> </w:t>
      </w:r>
      <w:r w:rsidRPr="00487485">
        <w:rPr>
          <w:lang w:val="es-ES"/>
        </w:rPr>
        <w:t>2024-2027. En los Cuadros</w:t>
      </w:r>
      <w:r w:rsidR="00793842">
        <w:rPr>
          <w:lang w:val="es-ES"/>
        </w:rPr>
        <w:t> </w:t>
      </w:r>
      <w:r w:rsidRPr="00487485">
        <w:rPr>
          <w:lang w:val="es-ES"/>
        </w:rPr>
        <w:t xml:space="preserve">3.2.3-1 a 3.2.3-4 se presentan las asignaciones estimadas que figuran el </w:t>
      </w:r>
      <w:r w:rsidR="005D0E11" w:rsidRPr="00487485">
        <w:rPr>
          <w:lang w:val="es-ES"/>
        </w:rPr>
        <w:t>Documento</w:t>
      </w:r>
      <w:r w:rsidR="00793842">
        <w:rPr>
          <w:lang w:val="es-ES"/>
        </w:rPr>
        <w:t> </w:t>
      </w:r>
      <w:hyperlink r:id="rId44">
        <w:r w:rsidR="00793842">
          <w:rPr>
            <w:rStyle w:val="Hyperlink"/>
            <w:lang w:val="es-ES"/>
          </w:rPr>
          <w:t>C-460(Rev.1)</w:t>
        </w:r>
      </w:hyperlink>
      <w:r w:rsidRPr="00487485">
        <w:rPr>
          <w:lang w:val="es-ES"/>
        </w:rPr>
        <w:t xml:space="preserve"> de la CMR-23.</w:t>
      </w:r>
    </w:p>
    <w:p w14:paraId="4E381F81" w14:textId="53016443" w:rsidR="00487485" w:rsidRPr="00487485" w:rsidRDefault="00487485" w:rsidP="00487485">
      <w:pPr>
        <w:rPr>
          <w:lang w:val="es-ES"/>
        </w:rPr>
      </w:pPr>
      <w:r w:rsidRPr="00487485">
        <w:rPr>
          <w:lang w:val="es-ES"/>
        </w:rPr>
        <w:t>La CMR-23 solicitó a la Secretaria General que señalara este asunto a la atención del Consejo en su reunión de 2024, a fin de que examinase el método de financiación más eficaz para dichas actividades, que deberían concluirse antes de la próxima Conferencia Mundial de Radiocomunicaciones de 2027.</w:t>
      </w:r>
    </w:p>
    <w:p w14:paraId="5A1D76DF" w14:textId="194399A2" w:rsidR="00487485" w:rsidRPr="00487485" w:rsidRDefault="00487485" w:rsidP="00487485">
      <w:pPr>
        <w:rPr>
          <w:lang w:val="es-ES"/>
        </w:rPr>
      </w:pPr>
      <w:r w:rsidRPr="00487485">
        <w:rPr>
          <w:lang w:val="es-ES"/>
        </w:rPr>
        <w:t>Los participantes en la reunión del Grupo de Trabajo del Consejo sobre Recursos Humanos y Financieros de enero de 2024 examinaron este asunto y acordaron presentar la solicitud correspondiente a la reunión de 2024 del Consejo. Véase más información en el Documento</w:t>
      </w:r>
      <w:r w:rsidR="00793842">
        <w:rPr>
          <w:lang w:val="es-ES"/>
        </w:rPr>
        <w:t> </w:t>
      </w:r>
      <w:r w:rsidRPr="00487485">
        <w:rPr>
          <w:lang w:val="es-ES"/>
        </w:rPr>
        <w:t>12 del</w:t>
      </w:r>
      <w:r w:rsidR="00326D9B">
        <w:rPr>
          <w:lang w:val="es-ES"/>
        </w:rPr>
        <w:t> </w:t>
      </w:r>
      <w:r w:rsidRPr="00487485">
        <w:rPr>
          <w:lang w:val="es-ES"/>
        </w:rPr>
        <w:t>GTC-RHF (</w:t>
      </w:r>
      <w:hyperlink r:id="rId45" w:history="1">
        <w:r w:rsidR="008B2989">
          <w:rPr>
            <w:rStyle w:val="Hyperlink"/>
            <w:lang w:val="es-ES"/>
          </w:rPr>
          <w:t>https://www.itu.int/md/S24-CWGFHR17-C-0012/es</w:t>
        </w:r>
      </w:hyperlink>
      <w:r w:rsidRPr="00487485">
        <w:rPr>
          <w:lang w:val="es-ES"/>
        </w:rPr>
        <w:t>).</w:t>
      </w:r>
    </w:p>
    <w:p w14:paraId="4B602290" w14:textId="77777777" w:rsidR="00E663FD" w:rsidRDefault="00487485" w:rsidP="00E663FD">
      <w:pPr>
        <w:pStyle w:val="TableNoBR"/>
        <w:rPr>
          <w:lang w:val="es-ES"/>
        </w:rPr>
      </w:pPr>
      <w:r w:rsidRPr="00487485">
        <w:rPr>
          <w:lang w:val="es-ES"/>
        </w:rPr>
        <w:t>Cuadro 3.2.3-1</w:t>
      </w:r>
    </w:p>
    <w:p w14:paraId="662B41A8" w14:textId="460510BE" w:rsidR="00487485" w:rsidRDefault="00487485" w:rsidP="00E663FD">
      <w:pPr>
        <w:pStyle w:val="TabletitleBR"/>
        <w:rPr>
          <w:lang w:val="es-ES"/>
        </w:rPr>
      </w:pPr>
      <w:r w:rsidRPr="00487485">
        <w:rPr>
          <w:lang w:val="es-ES"/>
        </w:rPr>
        <w:t>Estimación general de costos</w:t>
      </w:r>
    </w:p>
    <w:p w14:paraId="6799B0BE" w14:textId="787E9B1B" w:rsidR="00A8295D" w:rsidRPr="00A8295D" w:rsidRDefault="00A8295D" w:rsidP="00793842">
      <w:pPr>
        <w:pStyle w:val="Figure"/>
        <w:keepNext w:val="0"/>
        <w:keepLines w:val="0"/>
        <w:rPr>
          <w:lang w:val="es-ES"/>
        </w:rPr>
      </w:pPr>
      <w:r w:rsidRPr="00A8295D">
        <w:rPr>
          <w:noProof/>
        </w:rPr>
        <w:drawing>
          <wp:inline distT="0" distB="0" distL="0" distR="0" wp14:anchorId="3B15552D" wp14:editId="47FD0688">
            <wp:extent cx="6120765" cy="1348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1348740"/>
                    </a:xfrm>
                    <a:prstGeom prst="rect">
                      <a:avLst/>
                    </a:prstGeom>
                    <a:noFill/>
                    <a:ln>
                      <a:noFill/>
                    </a:ln>
                  </pic:spPr>
                </pic:pic>
              </a:graphicData>
            </a:graphic>
          </wp:inline>
        </w:drawing>
      </w:r>
    </w:p>
    <w:p w14:paraId="7540511A" w14:textId="77777777" w:rsidR="00E663FD" w:rsidRDefault="00487485" w:rsidP="00E663FD">
      <w:pPr>
        <w:pStyle w:val="TableNoBR"/>
        <w:rPr>
          <w:lang w:val="es-ES"/>
        </w:rPr>
      </w:pPr>
      <w:r w:rsidRPr="00487485">
        <w:rPr>
          <w:lang w:val="es-ES"/>
        </w:rPr>
        <w:lastRenderedPageBreak/>
        <w:t>Cuadro 3.2.3-2</w:t>
      </w:r>
    </w:p>
    <w:p w14:paraId="34A42B0C" w14:textId="18D66DD5" w:rsidR="00487485" w:rsidRDefault="00487485" w:rsidP="00E663FD">
      <w:pPr>
        <w:pStyle w:val="TabletitleBR"/>
        <w:rPr>
          <w:lang w:val="es-ES"/>
        </w:rPr>
      </w:pPr>
      <w:r w:rsidRPr="00487485">
        <w:rPr>
          <w:lang w:val="es-ES"/>
        </w:rPr>
        <w:t>Estimación de costos de las Comisiones de Estudio</w:t>
      </w:r>
    </w:p>
    <w:p w14:paraId="30253D07" w14:textId="36C2416D" w:rsidR="00A8295D" w:rsidRPr="00487485" w:rsidRDefault="00153878" w:rsidP="00793842">
      <w:pPr>
        <w:pStyle w:val="Figure"/>
        <w:keepNext w:val="0"/>
        <w:keepLines w:val="0"/>
        <w:rPr>
          <w:lang w:val="es-ES"/>
        </w:rPr>
      </w:pPr>
      <w:r w:rsidRPr="00153878">
        <w:rPr>
          <w:noProof/>
        </w:rPr>
        <w:drawing>
          <wp:inline distT="0" distB="0" distL="0" distR="0" wp14:anchorId="2D346406" wp14:editId="68BC15BC">
            <wp:extent cx="6120765" cy="2362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765" cy="2362200"/>
                    </a:xfrm>
                    <a:prstGeom prst="rect">
                      <a:avLst/>
                    </a:prstGeom>
                    <a:noFill/>
                    <a:ln>
                      <a:noFill/>
                    </a:ln>
                  </pic:spPr>
                </pic:pic>
              </a:graphicData>
            </a:graphic>
          </wp:inline>
        </w:drawing>
      </w:r>
    </w:p>
    <w:p w14:paraId="710ADF14" w14:textId="77777777" w:rsidR="00E663FD" w:rsidRDefault="00487485" w:rsidP="00E663FD">
      <w:pPr>
        <w:pStyle w:val="TableNoBR"/>
        <w:rPr>
          <w:lang w:val="es-ES"/>
        </w:rPr>
      </w:pPr>
      <w:r w:rsidRPr="00487485">
        <w:rPr>
          <w:lang w:val="es-ES"/>
        </w:rPr>
        <w:t>Cuadro 3.2.3-3</w:t>
      </w:r>
    </w:p>
    <w:p w14:paraId="4A77CE44" w14:textId="6C937C0D" w:rsidR="00487485" w:rsidRDefault="00487485" w:rsidP="00E663FD">
      <w:pPr>
        <w:pStyle w:val="TabletitleBR"/>
        <w:rPr>
          <w:lang w:val="es-ES"/>
        </w:rPr>
      </w:pPr>
      <w:r w:rsidRPr="00487485">
        <w:rPr>
          <w:lang w:val="es-ES"/>
        </w:rPr>
        <w:t>Estimación de costos de los servicios terrenales</w:t>
      </w:r>
    </w:p>
    <w:p w14:paraId="1060B418" w14:textId="011B3672" w:rsidR="00643E80" w:rsidRPr="00487485" w:rsidRDefault="003B29B6" w:rsidP="00326D9B">
      <w:pPr>
        <w:pStyle w:val="Figure"/>
        <w:keepNext w:val="0"/>
        <w:keepLines w:val="0"/>
        <w:rPr>
          <w:lang w:val="es-ES"/>
        </w:rPr>
      </w:pPr>
      <w:r w:rsidRPr="003B29B6">
        <w:rPr>
          <w:noProof/>
        </w:rPr>
        <w:drawing>
          <wp:inline distT="0" distB="0" distL="0" distR="0" wp14:anchorId="6A445A46" wp14:editId="2D4AC922">
            <wp:extent cx="6120765" cy="1653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765" cy="1653540"/>
                    </a:xfrm>
                    <a:prstGeom prst="rect">
                      <a:avLst/>
                    </a:prstGeom>
                    <a:noFill/>
                    <a:ln>
                      <a:noFill/>
                    </a:ln>
                  </pic:spPr>
                </pic:pic>
              </a:graphicData>
            </a:graphic>
          </wp:inline>
        </w:drawing>
      </w:r>
    </w:p>
    <w:p w14:paraId="3EC2EBB5" w14:textId="77777777" w:rsidR="00E663FD" w:rsidRDefault="00487485" w:rsidP="00E663FD">
      <w:pPr>
        <w:pStyle w:val="TableNoBR"/>
        <w:rPr>
          <w:lang w:val="es-ES"/>
        </w:rPr>
      </w:pPr>
      <w:r w:rsidRPr="00487485">
        <w:rPr>
          <w:lang w:val="es-ES"/>
        </w:rPr>
        <w:lastRenderedPageBreak/>
        <w:t>Cuadro 3.2.3-4</w:t>
      </w:r>
    </w:p>
    <w:p w14:paraId="50FB28A4" w14:textId="769EA23D" w:rsidR="00487485" w:rsidRDefault="00487485" w:rsidP="00E663FD">
      <w:pPr>
        <w:pStyle w:val="TabletitleBR"/>
        <w:rPr>
          <w:lang w:val="es-ES"/>
        </w:rPr>
      </w:pPr>
      <w:r w:rsidRPr="00487485">
        <w:rPr>
          <w:lang w:val="es-ES"/>
        </w:rPr>
        <w:t>Estimación de costos de los servicios espaciales</w:t>
      </w:r>
    </w:p>
    <w:p w14:paraId="4FE0BD6A" w14:textId="21984BC3" w:rsidR="00665E68" w:rsidRPr="00665E68" w:rsidRDefault="00665E68" w:rsidP="007E398C">
      <w:pPr>
        <w:pStyle w:val="Figure"/>
        <w:keepNext w:val="0"/>
        <w:keepLines w:val="0"/>
        <w:rPr>
          <w:lang w:val="es-ES"/>
        </w:rPr>
      </w:pPr>
      <w:r w:rsidRPr="00665E68">
        <w:rPr>
          <w:noProof/>
        </w:rPr>
        <w:drawing>
          <wp:inline distT="0" distB="0" distL="0" distR="0" wp14:anchorId="14FF92BA" wp14:editId="1B916CC2">
            <wp:extent cx="6120765" cy="50247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5024755"/>
                    </a:xfrm>
                    <a:prstGeom prst="rect">
                      <a:avLst/>
                    </a:prstGeom>
                    <a:noFill/>
                    <a:ln>
                      <a:noFill/>
                    </a:ln>
                  </pic:spPr>
                </pic:pic>
              </a:graphicData>
            </a:graphic>
          </wp:inline>
        </w:drawing>
      </w:r>
    </w:p>
    <w:p w14:paraId="4CBC2419" w14:textId="77777777" w:rsidR="00487485" w:rsidRPr="00487485" w:rsidRDefault="00487485" w:rsidP="005D0E11">
      <w:pPr>
        <w:pStyle w:val="Heading3"/>
        <w:rPr>
          <w:lang w:val="es-ES"/>
        </w:rPr>
      </w:pPr>
      <w:r w:rsidRPr="00487485">
        <w:rPr>
          <w:lang w:val="es-ES"/>
        </w:rPr>
        <w:t>3.2.4</w:t>
      </w:r>
      <w:r w:rsidRPr="00487485">
        <w:rPr>
          <w:lang w:val="es-ES"/>
        </w:rPr>
        <w:tab/>
        <w:t xml:space="preserve">Desarrollo de </w:t>
      </w:r>
      <w:r w:rsidRPr="005D0E11">
        <w:rPr>
          <w:i/>
          <w:iCs/>
        </w:rPr>
        <w:t>software</w:t>
      </w:r>
      <w:r w:rsidRPr="00487485">
        <w:rPr>
          <w:lang w:val="es-ES"/>
        </w:rPr>
        <w:t xml:space="preserve"> para la aplicación de las decisiones de la CMR-23</w:t>
      </w:r>
    </w:p>
    <w:p w14:paraId="68C1AB7F" w14:textId="51B2E89C" w:rsidR="00487485" w:rsidRPr="00487485" w:rsidRDefault="00487485" w:rsidP="00487485">
      <w:pPr>
        <w:rPr>
          <w:lang w:val="es-ES"/>
        </w:rPr>
      </w:pPr>
      <w:r w:rsidRPr="00487485">
        <w:rPr>
          <w:lang w:val="es-ES"/>
        </w:rPr>
        <w:t xml:space="preserve">La BR está diseñando y desarrollando </w:t>
      </w:r>
      <w:r w:rsidRPr="00487485">
        <w:rPr>
          <w:i/>
          <w:lang w:val="es-ES"/>
        </w:rPr>
        <w:t>software</w:t>
      </w:r>
      <w:r w:rsidRPr="00487485">
        <w:rPr>
          <w:lang w:val="es-ES"/>
        </w:rPr>
        <w:t xml:space="preserve"> específico para implementar las decisiones de la</w:t>
      </w:r>
      <w:r w:rsidR="00665E68">
        <w:rPr>
          <w:lang w:val="es-ES"/>
        </w:rPr>
        <w:t> </w:t>
      </w:r>
      <w:r w:rsidRPr="00487485">
        <w:rPr>
          <w:lang w:val="es-ES"/>
        </w:rPr>
        <w:t>CMR-23.</w:t>
      </w:r>
    </w:p>
    <w:p w14:paraId="68DD0DDC" w14:textId="416EF06C" w:rsidR="00487485" w:rsidRPr="00487485" w:rsidRDefault="00487485" w:rsidP="00274F14">
      <w:pPr>
        <w:keepNext/>
        <w:keepLines/>
        <w:rPr>
          <w:lang w:val="es-ES"/>
        </w:rPr>
      </w:pPr>
      <w:r w:rsidRPr="00487485">
        <w:rPr>
          <w:lang w:val="es-ES"/>
        </w:rPr>
        <w:t xml:space="preserve">Dado que, en el momento de redactar el presente informe, la BR seguía examinando la proporción de </w:t>
      </w:r>
      <w:r w:rsidRPr="00487485">
        <w:rPr>
          <w:i/>
          <w:lang w:val="es-ES"/>
        </w:rPr>
        <w:t>software</w:t>
      </w:r>
      <w:r w:rsidRPr="00487485">
        <w:rPr>
          <w:lang w:val="es-ES"/>
        </w:rPr>
        <w:t xml:space="preserve"> que era preciso desarrollar a fin de aplicar las decisiones de la CMR-23, podrían identificarse requisitos adicionales en 2024.</w:t>
      </w:r>
      <w:r w:rsidR="000E4D02">
        <w:rPr>
          <w:lang w:val="es-ES"/>
        </w:rPr>
        <w:t xml:space="preserve"> </w:t>
      </w:r>
      <w:r w:rsidRPr="00487485">
        <w:rPr>
          <w:lang w:val="es-ES"/>
        </w:rPr>
        <w:t>A continuación, se resumen las principales tareas definidas hasta el momento.</w:t>
      </w:r>
    </w:p>
    <w:p w14:paraId="0369B241" w14:textId="580A4403" w:rsidR="00487485" w:rsidRPr="00487485" w:rsidRDefault="00487485" w:rsidP="005D0E11">
      <w:pPr>
        <w:pStyle w:val="Heading4"/>
        <w:rPr>
          <w:lang w:val="es-ES"/>
        </w:rPr>
      </w:pPr>
      <w:r w:rsidRPr="00487485">
        <w:rPr>
          <w:lang w:val="es-ES"/>
        </w:rPr>
        <w:t>3.2.4.1</w:t>
      </w:r>
      <w:r w:rsidR="005D0E11">
        <w:rPr>
          <w:lang w:val="es-ES"/>
        </w:rPr>
        <w:tab/>
      </w:r>
      <w:r w:rsidRPr="00487485">
        <w:rPr>
          <w:lang w:val="es-ES"/>
        </w:rPr>
        <w:t>Aplicación de las decisiones de la CMR-23 relativas a los servicios terrenales</w:t>
      </w:r>
    </w:p>
    <w:p w14:paraId="08E8085C" w14:textId="5A53C7D4" w:rsidR="00487485" w:rsidRPr="00487485" w:rsidRDefault="005D0E11" w:rsidP="005D0E11">
      <w:pPr>
        <w:pStyle w:val="enumlev1"/>
        <w:rPr>
          <w:lang w:val="es-ES"/>
        </w:rPr>
      </w:pPr>
      <w:r w:rsidRPr="005D0E11">
        <w:rPr>
          <w:lang w:val="es-ES"/>
        </w:rPr>
        <w:t>•</w:t>
      </w:r>
      <w:r>
        <w:rPr>
          <w:lang w:val="es-ES"/>
        </w:rPr>
        <w:tab/>
      </w:r>
      <w:r w:rsidR="00487485" w:rsidRPr="00487485">
        <w:rPr>
          <w:lang w:val="es-ES"/>
        </w:rPr>
        <w:t xml:space="preserve">Revisión y actualización del </w:t>
      </w:r>
      <w:r w:rsidR="00487485" w:rsidRPr="005D0E11">
        <w:rPr>
          <w:i/>
          <w:iCs/>
        </w:rPr>
        <w:t>software</w:t>
      </w:r>
      <w:r w:rsidR="00487485" w:rsidRPr="00487485">
        <w:rPr>
          <w:lang w:val="es-ES"/>
        </w:rPr>
        <w:t xml:space="preserve"> utilizado para tramitar y publicar notificaciones terrenales, en los planos tanto interno (</w:t>
      </w:r>
      <w:r w:rsidR="00487485" w:rsidRPr="00487485">
        <w:rPr>
          <w:i/>
          <w:iCs/>
          <w:lang w:val="es-ES"/>
        </w:rPr>
        <w:t>TerRaSys</w:t>
      </w:r>
      <w:r w:rsidR="00487485" w:rsidRPr="00487485">
        <w:rPr>
          <w:lang w:val="es-ES"/>
        </w:rPr>
        <w:t>) como externo (BR</w:t>
      </w:r>
      <w:r w:rsidR="000E4D02">
        <w:rPr>
          <w:lang w:val="es-ES"/>
        </w:rPr>
        <w:t> </w:t>
      </w:r>
      <w:r w:rsidR="00487485" w:rsidRPr="00487485">
        <w:rPr>
          <w:lang w:val="es-ES"/>
        </w:rPr>
        <w:t xml:space="preserve">IFIC (Terrenal)), de acuerdo con las decisiones de la CMR-23 y las Reglas de Procedimiento conexas. Ello incluye la modificación de las bases de datos terrenales, el </w:t>
      </w:r>
      <w:r w:rsidR="00487485" w:rsidRPr="005D0E11">
        <w:rPr>
          <w:i/>
          <w:iCs/>
        </w:rPr>
        <w:t>software</w:t>
      </w:r>
      <w:r w:rsidR="00487485" w:rsidRPr="00487485">
        <w:rPr>
          <w:lang w:val="es-ES"/>
        </w:rPr>
        <w:t xml:space="preserve"> de validación y examen y los cuadros de referencia.</w:t>
      </w:r>
    </w:p>
    <w:p w14:paraId="4895735C" w14:textId="0FE6A1A8" w:rsidR="00487485" w:rsidRPr="00487485" w:rsidRDefault="005D0E11" w:rsidP="00326D9B">
      <w:pPr>
        <w:pStyle w:val="enumlev1"/>
        <w:keepNext/>
        <w:keepLines/>
        <w:rPr>
          <w:lang w:val="es-ES"/>
        </w:rPr>
      </w:pPr>
      <w:r w:rsidRPr="005D0E11">
        <w:rPr>
          <w:lang w:val="es-ES"/>
        </w:rPr>
        <w:lastRenderedPageBreak/>
        <w:t>•</w:t>
      </w:r>
      <w:r>
        <w:rPr>
          <w:lang w:val="es-ES"/>
        </w:rPr>
        <w:tab/>
      </w:r>
      <w:r w:rsidR="00487485" w:rsidRPr="00487485">
        <w:rPr>
          <w:lang w:val="es-ES"/>
        </w:rPr>
        <w:t xml:space="preserve">Desarrollo de los módulos de </w:t>
      </w:r>
      <w:r w:rsidR="00487485" w:rsidRPr="00487485">
        <w:rPr>
          <w:i/>
          <w:iCs/>
          <w:lang w:val="es-ES"/>
        </w:rPr>
        <w:t>software</w:t>
      </w:r>
      <w:r w:rsidR="00487485" w:rsidRPr="00487485">
        <w:rPr>
          <w:lang w:val="es-ES"/>
        </w:rPr>
        <w:t xml:space="preserve"> necesarios para tramitar notificaciones de HIBS (herramientas de validación, examen y publicación). Esta tarea comprende asimismo el desarrollo de módulos de cálculo a efectos de la verificación de las condiciones técnicas especificadas en las Resoluciones</w:t>
      </w:r>
      <w:r w:rsidR="000E4D02">
        <w:rPr>
          <w:lang w:val="es-ES"/>
        </w:rPr>
        <w:t> </w:t>
      </w:r>
      <w:r w:rsidR="00487485" w:rsidRPr="00487485">
        <w:rPr>
          <w:b/>
          <w:bCs/>
          <w:lang w:val="es-ES"/>
        </w:rPr>
        <w:t>213 [COM4/3] (CMR-23)</w:t>
      </w:r>
      <w:r w:rsidR="00487485" w:rsidRPr="00487485">
        <w:rPr>
          <w:lang w:val="es-ES"/>
        </w:rPr>
        <w:t xml:space="preserve">, </w:t>
      </w:r>
      <w:r w:rsidR="00487485" w:rsidRPr="00487485">
        <w:rPr>
          <w:b/>
          <w:bCs/>
          <w:lang w:val="es-ES"/>
        </w:rPr>
        <w:t>221 (Rev.CMR-23)</w:t>
      </w:r>
      <w:r w:rsidR="00487485" w:rsidRPr="00487485">
        <w:rPr>
          <w:lang w:val="es-ES"/>
        </w:rPr>
        <w:t xml:space="preserve"> y </w:t>
      </w:r>
      <w:r w:rsidR="00487485" w:rsidRPr="00487485">
        <w:rPr>
          <w:b/>
          <w:bCs/>
          <w:lang w:val="es-ES"/>
        </w:rPr>
        <w:t>218</w:t>
      </w:r>
      <w:r w:rsidR="000E4D02">
        <w:rPr>
          <w:b/>
          <w:bCs/>
          <w:lang w:val="es-ES"/>
        </w:rPr>
        <w:t> </w:t>
      </w:r>
      <w:r w:rsidR="00487485" w:rsidRPr="00487485">
        <w:rPr>
          <w:b/>
          <w:bCs/>
          <w:lang w:val="es-ES"/>
        </w:rPr>
        <w:t>[COM4/4] (CMR-23)</w:t>
      </w:r>
      <w:r w:rsidR="00487485" w:rsidRPr="00487485">
        <w:rPr>
          <w:lang w:val="es-ES"/>
        </w:rPr>
        <w:t>, y la modificación de la base de datos y la estructura de las notificaciones.</w:t>
      </w:r>
    </w:p>
    <w:p w14:paraId="28776445" w14:textId="1DD457BD" w:rsidR="00487485" w:rsidRPr="00487485" w:rsidRDefault="00487485" w:rsidP="005D0E11">
      <w:pPr>
        <w:pStyle w:val="Heading4"/>
        <w:rPr>
          <w:lang w:val="es-ES"/>
        </w:rPr>
      </w:pPr>
      <w:r w:rsidRPr="00487485">
        <w:rPr>
          <w:lang w:val="es-ES"/>
        </w:rPr>
        <w:t>3.2.4.2</w:t>
      </w:r>
      <w:r w:rsidR="005D0E11">
        <w:rPr>
          <w:lang w:val="es-ES"/>
        </w:rPr>
        <w:tab/>
      </w:r>
      <w:r w:rsidRPr="00487485">
        <w:rPr>
          <w:lang w:val="es-ES"/>
        </w:rPr>
        <w:t>Aplicación de las decisiones de la CMR-23 relativas a los servicios espaciales</w:t>
      </w:r>
    </w:p>
    <w:p w14:paraId="074E685D" w14:textId="5639301A" w:rsidR="00487485" w:rsidRPr="00487485" w:rsidRDefault="005D0E11" w:rsidP="005D0E11">
      <w:pPr>
        <w:pStyle w:val="enumlev1"/>
        <w:rPr>
          <w:lang w:val="es-ES"/>
        </w:rPr>
      </w:pPr>
      <w:r w:rsidRPr="005D0E11">
        <w:rPr>
          <w:lang w:val="es-ES"/>
        </w:rPr>
        <w:t>•</w:t>
      </w:r>
      <w:r>
        <w:rPr>
          <w:lang w:val="es-ES"/>
        </w:rPr>
        <w:tab/>
      </w:r>
      <w:r w:rsidR="00487485" w:rsidRPr="00487485">
        <w:rPr>
          <w:lang w:val="es-ES"/>
        </w:rPr>
        <w:t xml:space="preserve">Revisión y actualización del </w:t>
      </w:r>
      <w:r w:rsidR="00487485" w:rsidRPr="00487485">
        <w:rPr>
          <w:i/>
          <w:iCs/>
          <w:lang w:val="es-ES"/>
        </w:rPr>
        <w:t>software</w:t>
      </w:r>
      <w:r w:rsidR="00487485" w:rsidRPr="00487485">
        <w:rPr>
          <w:lang w:val="es-ES"/>
        </w:rPr>
        <w:t xml:space="preserve"> utilizado para tramitar y publicar comunicaciones de redes de satélites, en los planos tanto interno como externo (BR</w:t>
      </w:r>
      <w:r w:rsidR="00920F33">
        <w:rPr>
          <w:lang w:val="es-ES"/>
        </w:rPr>
        <w:t> </w:t>
      </w:r>
      <w:r w:rsidR="00487485" w:rsidRPr="00487485">
        <w:rPr>
          <w:lang w:val="es-ES"/>
        </w:rPr>
        <w:t xml:space="preserve">IFIC (Espacio)). Ello incluye la modificación de la base de datos, los módulos de </w:t>
      </w:r>
      <w:r w:rsidR="00487485" w:rsidRPr="00487485">
        <w:rPr>
          <w:i/>
          <w:iCs/>
          <w:lang w:val="es-ES"/>
        </w:rPr>
        <w:t>software</w:t>
      </w:r>
      <w:r w:rsidR="00487485" w:rsidRPr="00487485">
        <w:rPr>
          <w:lang w:val="es-ES"/>
        </w:rPr>
        <w:t xml:space="preserve"> de validación y examen y los cuadros de referencia, de acuerdo con las decisiones de la CMR-23 y las Reglas de Procedimiento conexas.</w:t>
      </w:r>
    </w:p>
    <w:p w14:paraId="66065B39" w14:textId="3B5C7E19" w:rsidR="00487485" w:rsidRPr="00487485" w:rsidRDefault="005D0E11" w:rsidP="00920F33">
      <w:pPr>
        <w:pStyle w:val="enumlev1"/>
        <w:rPr>
          <w:lang w:val="es-ES"/>
        </w:rPr>
      </w:pPr>
      <w:r w:rsidRPr="005D0E11">
        <w:rPr>
          <w:lang w:val="es-ES"/>
        </w:rPr>
        <w:t>•</w:t>
      </w:r>
      <w:r>
        <w:rPr>
          <w:lang w:val="es-ES"/>
        </w:rPr>
        <w:tab/>
      </w:r>
      <w:r w:rsidR="00487485" w:rsidRPr="00487485">
        <w:rPr>
          <w:lang w:val="es-ES"/>
        </w:rPr>
        <w:t>Habida cuenta de que ciertos cambios adoptados por la CMR-23 satisfacían las condiciones definidas en las Reglas de Procedimiento sobre la fecha efectiva de entrada en vigor de las decisiones de la CMR, se modificó el sistema e-Submission para aceptar elementos AP4 nuevos derivados de las decisiones adoptadas en el marco de los puntos</w:t>
      </w:r>
      <w:r w:rsidR="00920F33">
        <w:rPr>
          <w:lang w:val="es-ES"/>
        </w:rPr>
        <w:t> </w:t>
      </w:r>
      <w:r w:rsidR="00487485" w:rsidRPr="00487485">
        <w:rPr>
          <w:lang w:val="es-ES"/>
        </w:rPr>
        <w:t>1.7, 1.12, 1.13, 1.14, 1.17 y 1.19 del orden del día. La versión actualizada de e-Submission se publicó justo antes de las 24.00</w:t>
      </w:r>
      <w:r w:rsidR="00920F33">
        <w:rPr>
          <w:lang w:val="es-ES"/>
        </w:rPr>
        <w:t> </w:t>
      </w:r>
      <w:r w:rsidR="00487485" w:rsidRPr="00487485">
        <w:rPr>
          <w:lang w:val="es-ES"/>
        </w:rPr>
        <w:t>horas del 15 de diciembre de 2023, hora de Ginebra. Todos los cambios relacionados con la CMR-23 se incluirán en la versión</w:t>
      </w:r>
      <w:r w:rsidR="00920F33">
        <w:rPr>
          <w:lang w:val="es-ES"/>
        </w:rPr>
        <w:t> </w:t>
      </w:r>
      <w:r w:rsidR="00487485" w:rsidRPr="00487485">
        <w:rPr>
          <w:lang w:val="es-ES"/>
        </w:rPr>
        <w:t xml:space="preserve">10 del </w:t>
      </w:r>
      <w:r w:rsidR="00487485" w:rsidRPr="00487485">
        <w:rPr>
          <w:i/>
          <w:iCs/>
          <w:lang w:val="es-ES"/>
        </w:rPr>
        <w:t>software</w:t>
      </w:r>
      <w:r w:rsidR="00487485" w:rsidRPr="00487485">
        <w:rPr>
          <w:lang w:val="es-ES"/>
        </w:rPr>
        <w:t xml:space="preserve"> de la BR, que estará disponible en enero de 2025.</w:t>
      </w:r>
    </w:p>
    <w:p w14:paraId="1CE696B1" w14:textId="665E5B8C" w:rsidR="00487485" w:rsidRPr="00487485" w:rsidRDefault="005D0E11" w:rsidP="005D0E11">
      <w:pPr>
        <w:pStyle w:val="enumlev1"/>
        <w:rPr>
          <w:lang w:val="es-ES"/>
        </w:rPr>
      </w:pPr>
      <w:r w:rsidRPr="005D0E11">
        <w:rPr>
          <w:lang w:val="es-ES"/>
        </w:rPr>
        <w:t>•</w:t>
      </w:r>
      <w:r>
        <w:rPr>
          <w:lang w:val="es-ES"/>
        </w:rPr>
        <w:tab/>
      </w:r>
      <w:r w:rsidR="00487485" w:rsidRPr="00487485">
        <w:rPr>
          <w:lang w:val="es-ES"/>
        </w:rPr>
        <w:t xml:space="preserve">Entre las modificaciones del </w:t>
      </w:r>
      <w:r w:rsidR="00487485" w:rsidRPr="00487485">
        <w:rPr>
          <w:i/>
          <w:iCs/>
          <w:lang w:val="es-ES"/>
        </w:rPr>
        <w:t>software</w:t>
      </w:r>
      <w:r w:rsidR="00487485" w:rsidRPr="00487485">
        <w:rPr>
          <w:lang w:val="es-ES"/>
        </w:rPr>
        <w:t xml:space="preserve"> relacionado con los servicios espaciales figuran:</w:t>
      </w:r>
    </w:p>
    <w:p w14:paraId="552FB6E0" w14:textId="74CAE5D6"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en la Resolución</w:t>
      </w:r>
      <w:r>
        <w:rPr>
          <w:lang w:val="es-ES"/>
        </w:rPr>
        <w:t> </w:t>
      </w:r>
      <w:r w:rsidR="00487485" w:rsidRPr="005D0E11">
        <w:rPr>
          <w:b/>
          <w:bCs/>
          <w:lang w:val="es-ES"/>
        </w:rPr>
        <w:t>406 [COM4/2] (CMR-23)</w:t>
      </w:r>
      <w:r w:rsidR="00487485" w:rsidRPr="00487485">
        <w:rPr>
          <w:lang w:val="es-ES"/>
        </w:rPr>
        <w:t xml:space="preserve"> en relación con el SMA(R) en la banda de frecuencias 117,975-137</w:t>
      </w:r>
      <w:r w:rsidR="00920F33">
        <w:rPr>
          <w:lang w:val="es-ES"/>
        </w:rPr>
        <w:t> </w:t>
      </w:r>
      <w:r w:rsidR="00487485" w:rsidRPr="00487485">
        <w:rPr>
          <w:lang w:val="es-ES"/>
        </w:rPr>
        <w:t>MHz;</w:t>
      </w:r>
    </w:p>
    <w:p w14:paraId="2287A085" w14:textId="21E4E71F" w:rsidR="00487485" w:rsidRPr="00487485" w:rsidRDefault="005D0E11" w:rsidP="005D0E11">
      <w:pPr>
        <w:pStyle w:val="enumlev2"/>
        <w:rPr>
          <w:lang w:val="es-ES"/>
        </w:rPr>
      </w:pPr>
      <w:r w:rsidRPr="005D0E11">
        <w:rPr>
          <w:lang w:val="es-ES"/>
        </w:rPr>
        <w:t>–</w:t>
      </w:r>
      <w:r>
        <w:rPr>
          <w:lang w:val="es-ES"/>
        </w:rPr>
        <w:tab/>
      </w:r>
      <w:r w:rsidR="00920F33" w:rsidRPr="00487485">
        <w:rPr>
          <w:lang w:val="es-ES"/>
        </w:rPr>
        <w:t>m</w:t>
      </w:r>
      <w:r w:rsidR="00487485" w:rsidRPr="00487485">
        <w:rPr>
          <w:lang w:val="es-ES"/>
        </w:rPr>
        <w:t>odificaciones en la Resolución</w:t>
      </w:r>
      <w:r>
        <w:rPr>
          <w:lang w:val="es-ES"/>
        </w:rPr>
        <w:t> </w:t>
      </w:r>
      <w:r w:rsidR="00487485" w:rsidRPr="005D0E11">
        <w:rPr>
          <w:b/>
          <w:bCs/>
          <w:lang w:val="es-ES"/>
        </w:rPr>
        <w:t>678 [COM5/7] (CMR-23)</w:t>
      </w:r>
      <w:r w:rsidR="00487485" w:rsidRPr="00487485">
        <w:rPr>
          <w:lang w:val="es-ES"/>
        </w:rPr>
        <w:t xml:space="preserve"> en relación con el servicio de investigación espacial en la banda de frecuencias 14,8-15,35</w:t>
      </w:r>
      <w:r w:rsidR="00920F33">
        <w:rPr>
          <w:lang w:val="es-ES"/>
        </w:rPr>
        <w:t> </w:t>
      </w:r>
      <w:r w:rsidR="00487485" w:rsidRPr="00487485">
        <w:rPr>
          <w:lang w:val="es-ES"/>
        </w:rPr>
        <w:t>GHz;</w:t>
      </w:r>
    </w:p>
    <w:p w14:paraId="4825CC6F" w14:textId="1E60DD19" w:rsidR="00487485" w:rsidRPr="00487485" w:rsidRDefault="005D0E11" w:rsidP="005D0E11">
      <w:pPr>
        <w:pStyle w:val="enumlev2"/>
        <w:rPr>
          <w:lang w:val="es-ES"/>
        </w:rPr>
      </w:pPr>
      <w:r w:rsidRPr="005D0E11">
        <w:rPr>
          <w:lang w:val="es-ES"/>
        </w:rPr>
        <w:t>–</w:t>
      </w:r>
      <w:r>
        <w:rPr>
          <w:lang w:val="es-ES"/>
        </w:rPr>
        <w:tab/>
      </w:r>
      <w:r w:rsidR="00920F33" w:rsidRPr="00487485">
        <w:rPr>
          <w:lang w:val="es-ES"/>
        </w:rPr>
        <w:t>m</w:t>
      </w:r>
      <w:r w:rsidR="00487485" w:rsidRPr="00487485">
        <w:rPr>
          <w:lang w:val="es-ES"/>
        </w:rPr>
        <w:t>odificaciones en la Resolución</w:t>
      </w:r>
      <w:r>
        <w:rPr>
          <w:lang w:val="es-ES"/>
        </w:rPr>
        <w:t> </w:t>
      </w:r>
      <w:r w:rsidR="00487485" w:rsidRPr="005D0E11">
        <w:rPr>
          <w:b/>
          <w:bCs/>
          <w:lang w:val="es-ES"/>
        </w:rPr>
        <w:t>121 [COM5/2] (CMR-23)</w:t>
      </w:r>
      <w:r w:rsidR="00487485" w:rsidRPr="00487485">
        <w:rPr>
          <w:lang w:val="es-ES"/>
        </w:rPr>
        <w:t xml:space="preserve"> en relación con las ETEM del AP30B;</w:t>
      </w:r>
    </w:p>
    <w:p w14:paraId="6D20880D" w14:textId="6E5A4891"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en la Resolución</w:t>
      </w:r>
      <w:r>
        <w:rPr>
          <w:lang w:val="es-ES"/>
        </w:rPr>
        <w:t> </w:t>
      </w:r>
      <w:r w:rsidR="00487485" w:rsidRPr="005D0E11">
        <w:rPr>
          <w:b/>
          <w:bCs/>
          <w:lang w:val="es-ES"/>
        </w:rPr>
        <w:t>123 [COM5/3] (CMR-23)</w:t>
      </w:r>
      <w:r w:rsidR="00487485" w:rsidRPr="005D0E11">
        <w:rPr>
          <w:lang w:val="es-ES"/>
        </w:rPr>
        <w:t xml:space="preserve"> </w:t>
      </w:r>
      <w:r w:rsidR="00487485" w:rsidRPr="00487485">
        <w:rPr>
          <w:lang w:val="es-ES"/>
        </w:rPr>
        <w:t>en relación con las ETEM no</w:t>
      </w:r>
      <w:r w:rsidR="00920F33">
        <w:rPr>
          <w:lang w:val="es-ES"/>
        </w:rPr>
        <w:t> </w:t>
      </w:r>
      <w:r w:rsidR="00487485" w:rsidRPr="00487485">
        <w:rPr>
          <w:lang w:val="es-ES"/>
        </w:rPr>
        <w:t>OSG;</w:t>
      </w:r>
    </w:p>
    <w:p w14:paraId="141050BD" w14:textId="0F19C50B"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en la Resolución</w:t>
      </w:r>
      <w:r>
        <w:rPr>
          <w:lang w:val="es-ES"/>
        </w:rPr>
        <w:t> </w:t>
      </w:r>
      <w:r w:rsidR="00487485" w:rsidRPr="005D0E11">
        <w:rPr>
          <w:b/>
          <w:bCs/>
          <w:lang w:val="es-ES"/>
        </w:rPr>
        <w:t>679 [COM5/8] (CMR-23)</w:t>
      </w:r>
      <w:r w:rsidR="00487485" w:rsidRPr="00487485">
        <w:rPr>
          <w:lang w:val="es-ES"/>
        </w:rPr>
        <w:t xml:space="preserve"> en relación con los enlaces entre satélites (protección de los servicios espaciales y terrenales);</w:t>
      </w:r>
    </w:p>
    <w:p w14:paraId="50F6196F" w14:textId="2C111C5C"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en la Resolución</w:t>
      </w:r>
      <w:r w:rsidR="00920F33">
        <w:rPr>
          <w:lang w:val="es-ES"/>
        </w:rPr>
        <w:t> </w:t>
      </w:r>
      <w:r w:rsidR="00487485" w:rsidRPr="005D0E11">
        <w:rPr>
          <w:b/>
          <w:bCs/>
          <w:lang w:val="es-ES"/>
        </w:rPr>
        <w:t>8 [COM5/4] (CMR-23)</w:t>
      </w:r>
      <w:r w:rsidR="00487485" w:rsidRPr="00487485">
        <w:rPr>
          <w:lang w:val="es-ES"/>
        </w:rPr>
        <w:t xml:space="preserve"> en relación con las tolerancias de determinadas características orbitales no OSG;</w:t>
      </w:r>
    </w:p>
    <w:p w14:paraId="0C3A88B3" w14:textId="7A5CBAC6"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con fines de protección del SMS OSG en las bandas de frecuencias 7/8</w:t>
      </w:r>
      <w:r w:rsidR="00920F33">
        <w:rPr>
          <w:lang w:val="es-ES"/>
        </w:rPr>
        <w:t> </w:t>
      </w:r>
      <w:r w:rsidR="00487485" w:rsidRPr="00487485">
        <w:rPr>
          <w:lang w:val="es-ES"/>
        </w:rPr>
        <w:t>GHz y 20/30</w:t>
      </w:r>
      <w:r w:rsidR="00920F33">
        <w:rPr>
          <w:lang w:val="es-ES"/>
        </w:rPr>
        <w:t> </w:t>
      </w:r>
      <w:r w:rsidR="00487485" w:rsidRPr="00487485">
        <w:rPr>
          <w:lang w:val="es-ES"/>
        </w:rPr>
        <w:t>GHz;</w:t>
      </w:r>
    </w:p>
    <w:p w14:paraId="3C9AF88B" w14:textId="40571FF4"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con fines de protección del SETS (pasivo) en la banda de frecuencias 36-37</w:t>
      </w:r>
      <w:r w:rsidR="00920F33">
        <w:rPr>
          <w:lang w:val="es-ES"/>
        </w:rPr>
        <w:t> </w:t>
      </w:r>
      <w:r w:rsidR="00487485" w:rsidRPr="00487485">
        <w:rPr>
          <w:lang w:val="es-ES"/>
        </w:rPr>
        <w:t>GHz;</w:t>
      </w:r>
    </w:p>
    <w:p w14:paraId="203DCB35" w14:textId="554BE457"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necesarias para aplicar el número</w:t>
      </w:r>
      <w:r w:rsidR="00920F33">
        <w:rPr>
          <w:lang w:val="es-ES"/>
        </w:rPr>
        <w:t> </w:t>
      </w:r>
      <w:r w:rsidR="00487485" w:rsidRPr="00487485">
        <w:rPr>
          <w:lang w:val="es-ES"/>
        </w:rPr>
        <w:t>9.52.1 del RR (interferencia inaceptable) y el número</w:t>
      </w:r>
      <w:r w:rsidR="00920F33">
        <w:rPr>
          <w:lang w:val="es-ES"/>
        </w:rPr>
        <w:t> </w:t>
      </w:r>
      <w:r w:rsidR="00487485" w:rsidRPr="00487485">
        <w:rPr>
          <w:lang w:val="es-ES"/>
        </w:rPr>
        <w:t>21 del RR (Rev.CMR-23) y mejoras en la tramitación por parte de la BR;</w:t>
      </w:r>
    </w:p>
    <w:p w14:paraId="7DA97A81" w14:textId="6A857B07"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en la Resolución</w:t>
      </w:r>
      <w:r>
        <w:rPr>
          <w:lang w:val="es-ES"/>
        </w:rPr>
        <w:t> </w:t>
      </w:r>
      <w:r w:rsidR="00487485" w:rsidRPr="005D0E11">
        <w:rPr>
          <w:b/>
          <w:bCs/>
          <w:lang w:val="es-ES"/>
        </w:rPr>
        <w:t>677 [COM5/6] (CMR-23)</w:t>
      </w:r>
      <w:r w:rsidR="00487485" w:rsidRPr="00487485">
        <w:rPr>
          <w:lang w:val="es-ES"/>
        </w:rPr>
        <w:t xml:space="preserve"> en relación con el SETS (activo) para las sondas de radar a bordo de vehículos espaciales;</w:t>
      </w:r>
    </w:p>
    <w:p w14:paraId="69CDA74A" w14:textId="760D7E0F" w:rsidR="00487485" w:rsidRPr="00487485" w:rsidRDefault="005D0E11" w:rsidP="005D0E11">
      <w:pPr>
        <w:pStyle w:val="enumlev2"/>
        <w:rPr>
          <w:lang w:val="es-ES"/>
        </w:rPr>
      </w:pPr>
      <w:r w:rsidRPr="005D0E11">
        <w:rPr>
          <w:lang w:val="es-ES"/>
        </w:rPr>
        <w:t>–</w:t>
      </w:r>
      <w:r>
        <w:rPr>
          <w:lang w:val="es-ES"/>
        </w:rPr>
        <w:tab/>
      </w:r>
      <w:r w:rsidR="00920F33">
        <w:rPr>
          <w:lang w:val="es-ES"/>
        </w:rPr>
        <w:t>m</w:t>
      </w:r>
      <w:r w:rsidR="00487485" w:rsidRPr="00487485">
        <w:rPr>
          <w:lang w:val="es-ES"/>
        </w:rPr>
        <w:t>odificaciones del SFS (espacio-Tierra) en la banda de frecuencias 17,3-17,7</w:t>
      </w:r>
      <w:r>
        <w:rPr>
          <w:lang w:val="es-ES"/>
        </w:rPr>
        <w:t> </w:t>
      </w:r>
      <w:r w:rsidR="00487485" w:rsidRPr="00487485">
        <w:rPr>
          <w:lang w:val="es-ES"/>
        </w:rPr>
        <w:t>GHz en la Región</w:t>
      </w:r>
      <w:r>
        <w:rPr>
          <w:lang w:val="es-ES"/>
        </w:rPr>
        <w:t> </w:t>
      </w:r>
      <w:r w:rsidR="00487485" w:rsidRPr="00487485">
        <w:rPr>
          <w:lang w:val="es-ES"/>
        </w:rPr>
        <w:t>2;</w:t>
      </w:r>
    </w:p>
    <w:p w14:paraId="1197A89D" w14:textId="7721B04B" w:rsidR="00487485" w:rsidRPr="00487485" w:rsidRDefault="005D0E11" w:rsidP="005D0E11">
      <w:pPr>
        <w:pStyle w:val="enumlev2"/>
        <w:rPr>
          <w:lang w:val="es-ES"/>
        </w:rPr>
      </w:pPr>
      <w:r w:rsidRPr="005D0E11">
        <w:rPr>
          <w:lang w:val="es-ES"/>
        </w:rPr>
        <w:lastRenderedPageBreak/>
        <w:t>–</w:t>
      </w:r>
      <w:r>
        <w:rPr>
          <w:lang w:val="es-ES"/>
        </w:rPr>
        <w:tab/>
      </w:r>
      <w:r w:rsidR="00920F33">
        <w:rPr>
          <w:lang w:val="es-ES"/>
        </w:rPr>
        <w:t>m</w:t>
      </w:r>
      <w:r w:rsidR="00487485" w:rsidRPr="00487485">
        <w:rPr>
          <w:lang w:val="es-ES"/>
        </w:rPr>
        <w:t>odificaciones en la Resolución</w:t>
      </w:r>
      <w:r>
        <w:rPr>
          <w:lang w:val="es-ES"/>
        </w:rPr>
        <w:t> </w:t>
      </w:r>
      <w:r w:rsidR="00487485" w:rsidRPr="00487485">
        <w:rPr>
          <w:b/>
          <w:bCs/>
          <w:lang w:val="es-ES"/>
        </w:rPr>
        <w:t>35 (Rev.CMR-23)</w:t>
      </w:r>
      <w:r w:rsidR="00487485" w:rsidRPr="00487485">
        <w:rPr>
          <w:lang w:val="es-ES"/>
        </w:rPr>
        <w:t xml:space="preserve"> en relación con el procedimiento de comunicación posterior a cada objetivo intermedio de la puesta en servicio de sistemas no</w:t>
      </w:r>
      <w:r w:rsidR="00920F33">
        <w:rPr>
          <w:lang w:val="es-ES"/>
        </w:rPr>
        <w:t> </w:t>
      </w:r>
      <w:r w:rsidR="00487485" w:rsidRPr="00487485">
        <w:rPr>
          <w:lang w:val="es-ES"/>
        </w:rPr>
        <w:t>OSG</w:t>
      </w:r>
      <w:r>
        <w:rPr>
          <w:lang w:val="es-ES"/>
        </w:rPr>
        <w:t>.</w:t>
      </w:r>
    </w:p>
    <w:p w14:paraId="022C43A4" w14:textId="77777777" w:rsidR="00487485" w:rsidRPr="00487485" w:rsidRDefault="00487485" w:rsidP="005D0E11">
      <w:pPr>
        <w:pStyle w:val="Heading2"/>
        <w:rPr>
          <w:lang w:val="es-ES"/>
        </w:rPr>
      </w:pPr>
      <w:bookmarkStart w:id="15" w:name="_Toc446060764"/>
      <w:r w:rsidRPr="00487485">
        <w:rPr>
          <w:lang w:val="es-ES"/>
        </w:rPr>
        <w:t>3.3</w:t>
      </w:r>
      <w:r w:rsidRPr="00487485">
        <w:rPr>
          <w:lang w:val="es-ES"/>
        </w:rPr>
        <w:tab/>
      </w:r>
      <w:bookmarkEnd w:id="15"/>
      <w:r w:rsidRPr="00487485">
        <w:rPr>
          <w:lang w:val="es-ES"/>
        </w:rPr>
        <w:t xml:space="preserve">Desarrollo de </w:t>
      </w:r>
      <w:r w:rsidRPr="005D0E11">
        <w:rPr>
          <w:i/>
          <w:iCs/>
        </w:rPr>
        <w:t>software</w:t>
      </w:r>
      <w:r w:rsidRPr="00487485">
        <w:rPr>
          <w:lang w:val="es-ES"/>
        </w:rPr>
        <w:t xml:space="preserve"> para la aplicación de las decisiones de la CMR-19</w:t>
      </w:r>
    </w:p>
    <w:p w14:paraId="772B8B52" w14:textId="248BAD09" w:rsidR="00487485" w:rsidRPr="00487485" w:rsidRDefault="00487485" w:rsidP="00487485">
      <w:pPr>
        <w:rPr>
          <w:lang w:val="es-ES"/>
        </w:rPr>
      </w:pPr>
      <w:r w:rsidRPr="00487485">
        <w:rPr>
          <w:lang w:val="es-ES"/>
        </w:rPr>
        <w:t xml:space="preserve">La BR está ultimando el diseño y desarrollo de </w:t>
      </w:r>
      <w:r w:rsidRPr="00487485">
        <w:rPr>
          <w:i/>
          <w:iCs/>
          <w:lang w:val="es-ES"/>
        </w:rPr>
        <w:t>software</w:t>
      </w:r>
      <w:r w:rsidRPr="00487485">
        <w:rPr>
          <w:lang w:val="es-ES"/>
        </w:rPr>
        <w:t xml:space="preserve"> específico para implementar las decisiones de la CMR-19.</w:t>
      </w:r>
    </w:p>
    <w:p w14:paraId="5C8CB117" w14:textId="77777777" w:rsidR="00487485" w:rsidRPr="00487485" w:rsidRDefault="00487485" w:rsidP="00487485">
      <w:pPr>
        <w:rPr>
          <w:lang w:val="es-ES"/>
        </w:rPr>
      </w:pPr>
      <w:r w:rsidRPr="00487485">
        <w:rPr>
          <w:lang w:val="es-ES"/>
        </w:rPr>
        <w:t>A continuación, se resumen las principales tareas finalizadas desde el último informe o que están pendientes de finalizar.</w:t>
      </w:r>
    </w:p>
    <w:p w14:paraId="1C72AA48" w14:textId="1D79EB71" w:rsidR="00487485" w:rsidRPr="00487485" w:rsidRDefault="00487485" w:rsidP="005D0E11">
      <w:pPr>
        <w:pStyle w:val="Heading3"/>
        <w:rPr>
          <w:lang w:val="es-ES"/>
        </w:rPr>
      </w:pPr>
      <w:r w:rsidRPr="00487485">
        <w:rPr>
          <w:lang w:val="es-ES"/>
        </w:rPr>
        <w:t>3.3.1</w:t>
      </w:r>
      <w:r w:rsidRPr="00487485">
        <w:rPr>
          <w:lang w:val="es-ES"/>
        </w:rPr>
        <w:tab/>
        <w:t>Aplicación de las decisiones de la CMR-19 relativas a los servicios terrenales</w:t>
      </w:r>
    </w:p>
    <w:p w14:paraId="75FB4759" w14:textId="3368A8AD" w:rsidR="00487485" w:rsidRPr="00487485" w:rsidRDefault="00487485" w:rsidP="00487485">
      <w:pPr>
        <w:rPr>
          <w:lang w:val="es-ES"/>
        </w:rPr>
      </w:pPr>
      <w:r w:rsidRPr="00487485">
        <w:rPr>
          <w:lang w:val="es-ES"/>
        </w:rPr>
        <w:t>Se continúa desarrollando el módulo de examen para tramitar notificaciones en virtud del número</w:t>
      </w:r>
      <w:r w:rsidR="00167D10">
        <w:rPr>
          <w:lang w:val="es-ES"/>
        </w:rPr>
        <w:t> </w:t>
      </w:r>
      <w:r w:rsidRPr="00487485">
        <w:rPr>
          <w:b/>
          <w:bCs/>
          <w:lang w:val="es-ES"/>
        </w:rPr>
        <w:t>9.21</w:t>
      </w:r>
      <w:r w:rsidRPr="00487485">
        <w:rPr>
          <w:lang w:val="es-ES"/>
        </w:rPr>
        <w:t xml:space="preserve"> en las bandas identificadas para las IMT en la CMR-19</w:t>
      </w:r>
      <w:r w:rsidR="00167D10">
        <w:rPr>
          <w:lang w:val="es-ES"/>
        </w:rPr>
        <w:t>.</w:t>
      </w:r>
    </w:p>
    <w:p w14:paraId="43ED0E34" w14:textId="31CC9382" w:rsidR="00487485" w:rsidRPr="00487485" w:rsidRDefault="00487485" w:rsidP="00487485">
      <w:pPr>
        <w:rPr>
          <w:lang w:val="es-ES"/>
        </w:rPr>
      </w:pPr>
      <w:r w:rsidRPr="00487485">
        <w:rPr>
          <w:lang w:val="es-ES"/>
        </w:rPr>
        <w:t xml:space="preserve">Ha finalizado el desarrollo de los módulos de </w:t>
      </w:r>
      <w:r w:rsidRPr="00487485">
        <w:rPr>
          <w:i/>
          <w:iCs/>
          <w:lang w:val="es-ES"/>
        </w:rPr>
        <w:t>software</w:t>
      </w:r>
      <w:r w:rsidRPr="00487485">
        <w:rPr>
          <w:lang w:val="es-ES"/>
        </w:rPr>
        <w:t xml:space="preserve"> para tramitar notificaciones HAPS (herramientas de validación y publicación). Se continúan desarrollando los módulos de cálculo a efectos de verificar las condiciones técnicas especificadas en las Resoluciones</w:t>
      </w:r>
      <w:r w:rsidR="00167D10">
        <w:rPr>
          <w:lang w:val="es-ES"/>
        </w:rPr>
        <w:t> </w:t>
      </w:r>
      <w:r w:rsidRPr="00487485">
        <w:rPr>
          <w:b/>
          <w:bCs/>
          <w:lang w:val="es-ES"/>
        </w:rPr>
        <w:t>122 (Rev.CMR-19)</w:t>
      </w:r>
      <w:r w:rsidRPr="00487485">
        <w:rPr>
          <w:lang w:val="es-ES"/>
        </w:rPr>
        <w:t xml:space="preserve">, </w:t>
      </w:r>
      <w:r w:rsidRPr="00487485">
        <w:rPr>
          <w:b/>
          <w:bCs/>
          <w:lang w:val="es-ES"/>
        </w:rPr>
        <w:t>145 (Rev.CMR-19)</w:t>
      </w:r>
      <w:r w:rsidRPr="00487485">
        <w:rPr>
          <w:lang w:val="es-ES"/>
        </w:rPr>
        <w:t xml:space="preserve">, </w:t>
      </w:r>
      <w:r w:rsidRPr="00487485">
        <w:rPr>
          <w:b/>
          <w:bCs/>
          <w:lang w:val="es-ES"/>
        </w:rPr>
        <w:t>165 (CMR-19)</w:t>
      </w:r>
      <w:r w:rsidRPr="00487485">
        <w:rPr>
          <w:lang w:val="es-ES"/>
        </w:rPr>
        <w:t xml:space="preserve">, </w:t>
      </w:r>
      <w:r w:rsidRPr="00487485">
        <w:rPr>
          <w:b/>
          <w:bCs/>
          <w:lang w:val="es-ES"/>
        </w:rPr>
        <w:t>166 (CMR-19)</w:t>
      </w:r>
      <w:r w:rsidRPr="00487485">
        <w:rPr>
          <w:lang w:val="es-ES"/>
        </w:rPr>
        <w:t xml:space="preserve">, </w:t>
      </w:r>
      <w:r w:rsidRPr="00487485">
        <w:rPr>
          <w:b/>
          <w:bCs/>
          <w:lang w:val="es-ES"/>
        </w:rPr>
        <w:t>167 (CMR-19)</w:t>
      </w:r>
      <w:r w:rsidRPr="00487485">
        <w:rPr>
          <w:lang w:val="es-ES"/>
        </w:rPr>
        <w:t xml:space="preserve"> y </w:t>
      </w:r>
      <w:r w:rsidRPr="00487485">
        <w:rPr>
          <w:b/>
          <w:bCs/>
          <w:lang w:val="es-ES"/>
        </w:rPr>
        <w:t>168 (CMR-19)</w:t>
      </w:r>
      <w:r w:rsidRPr="00487485">
        <w:rPr>
          <w:lang w:val="es-ES"/>
        </w:rPr>
        <w:t>.</w:t>
      </w:r>
    </w:p>
    <w:p w14:paraId="7846B7E1" w14:textId="77777777" w:rsidR="00487485" w:rsidRPr="00487485" w:rsidRDefault="00487485" w:rsidP="005D0E11">
      <w:pPr>
        <w:pStyle w:val="Heading1"/>
        <w:rPr>
          <w:lang w:val="es-ES"/>
        </w:rPr>
      </w:pPr>
      <w:bookmarkStart w:id="16" w:name="_Toc446060766"/>
      <w:r w:rsidRPr="00487485">
        <w:rPr>
          <w:lang w:val="es-ES"/>
        </w:rPr>
        <w:t>4</w:t>
      </w:r>
      <w:r w:rsidRPr="00487485">
        <w:rPr>
          <w:lang w:val="es-ES"/>
        </w:rPr>
        <w:tab/>
      </w:r>
      <w:bookmarkEnd w:id="16"/>
      <w:r w:rsidRPr="00487485">
        <w:rPr>
          <w:lang w:val="es-ES"/>
        </w:rPr>
        <w:t>Actividades de las Comisiones de Estudio</w:t>
      </w:r>
    </w:p>
    <w:p w14:paraId="4C092E85" w14:textId="10D4F263" w:rsidR="00487485" w:rsidRPr="00487485" w:rsidRDefault="00487485" w:rsidP="00487485">
      <w:pPr>
        <w:rPr>
          <w:lang w:val="es-ES"/>
        </w:rPr>
      </w:pPr>
      <w:bookmarkStart w:id="17" w:name="_Hlk158734394"/>
      <w:r w:rsidRPr="00487485">
        <w:rPr>
          <w:lang w:val="es-ES"/>
        </w:rPr>
        <w:t>Este tema se aborda en el Addéndum</w:t>
      </w:r>
      <w:r w:rsidR="00167D10">
        <w:rPr>
          <w:lang w:val="es-ES"/>
        </w:rPr>
        <w:t> </w:t>
      </w:r>
      <w:r w:rsidRPr="00487485">
        <w:rPr>
          <w:lang w:val="es-ES"/>
        </w:rPr>
        <w:t>1 al presente documento.</w:t>
      </w:r>
    </w:p>
    <w:p w14:paraId="174A80DB" w14:textId="77777777" w:rsidR="00487485" w:rsidRPr="00487485" w:rsidRDefault="00487485" w:rsidP="005D0E11">
      <w:pPr>
        <w:pStyle w:val="Heading1"/>
        <w:rPr>
          <w:lang w:val="es-ES"/>
        </w:rPr>
      </w:pPr>
      <w:bookmarkStart w:id="18" w:name="_Toc446060768"/>
      <w:bookmarkEnd w:id="17"/>
      <w:r w:rsidRPr="00487485">
        <w:rPr>
          <w:lang w:val="es-ES"/>
        </w:rPr>
        <w:t>5</w:t>
      </w:r>
      <w:r w:rsidRPr="00487485">
        <w:rPr>
          <w:lang w:val="es-ES"/>
        </w:rPr>
        <w:tab/>
        <w:t>Preparativos para la CMR-27</w:t>
      </w:r>
    </w:p>
    <w:p w14:paraId="203E118D" w14:textId="0FAEF0E7" w:rsidR="00487485" w:rsidRPr="00487485" w:rsidRDefault="00487485" w:rsidP="00487485">
      <w:pPr>
        <w:rPr>
          <w:lang w:val="es-ES"/>
        </w:rPr>
      </w:pPr>
      <w:r w:rsidRPr="00487485">
        <w:rPr>
          <w:lang w:val="es-ES"/>
        </w:rPr>
        <w:t>El orden del día de la CMR-27, consignado en la Resolución</w:t>
      </w:r>
      <w:r w:rsidR="005D0E11">
        <w:rPr>
          <w:lang w:val="es-ES"/>
        </w:rPr>
        <w:t> </w:t>
      </w:r>
      <w:r w:rsidRPr="00487485">
        <w:rPr>
          <w:b/>
          <w:bCs/>
          <w:lang w:val="es-ES"/>
        </w:rPr>
        <w:t>813 (CMR-23)</w:t>
      </w:r>
      <w:r w:rsidRPr="00487485">
        <w:rPr>
          <w:lang w:val="es-ES"/>
        </w:rPr>
        <w:t>, se examinará en la reunión de 2024 del Consejo, al que se invitará a adoptar una Resolución que contenga dicho orden del día, así como el lugar y las fechas exactas de la CMR-27 y la AR-27.</w:t>
      </w:r>
    </w:p>
    <w:p w14:paraId="08340659" w14:textId="77777777" w:rsidR="00487485" w:rsidRPr="00487485" w:rsidRDefault="00487485" w:rsidP="00487485">
      <w:pPr>
        <w:rPr>
          <w:lang w:val="es-ES"/>
        </w:rPr>
      </w:pPr>
      <w:r w:rsidRPr="00487485">
        <w:rPr>
          <w:lang w:val="es-ES"/>
        </w:rPr>
        <w:t>La primera sesión de la Reunión Preparatoria de la Conferencia para la CMR-27 (RPCM27-1) se celebró del 18 al 19 de diciembre de 2023 en Dubái (Emiratos Árabes Unidos), a fin de organizar los estudios preparatorios de la CMR-27.</w:t>
      </w:r>
    </w:p>
    <w:p w14:paraId="4EE439AE" w14:textId="5CA8C814" w:rsidR="00487485" w:rsidRPr="00487485" w:rsidRDefault="00487485" w:rsidP="00326D9B">
      <w:pPr>
        <w:rPr>
          <w:lang w:val="es-ES"/>
        </w:rPr>
      </w:pPr>
      <w:r w:rsidRPr="00487485">
        <w:rPr>
          <w:lang w:val="es-ES"/>
        </w:rPr>
        <w:t>Habida cuenta del orden del día de la CMR-27, el orden del día preliminar de la CMR-31, las Resoluciones nuevas o revisadas conexas de la CMR-23 y las decisiones pertinentes de la CMR-23, la RPC27-1 preparó la estructura y definió los procedimientos de trabajo para la elaboración del proyecto de Informe de la RPC a la CMR-27. La RPC27-1 determinó los grupos de trabajo del</w:t>
      </w:r>
      <w:r w:rsidR="00167D10">
        <w:rPr>
          <w:lang w:val="es-ES"/>
        </w:rPr>
        <w:t> </w:t>
      </w:r>
      <w:r w:rsidRPr="00487485">
        <w:rPr>
          <w:lang w:val="es-ES"/>
        </w:rPr>
        <w:t>UIT</w:t>
      </w:r>
      <w:r w:rsidR="00167D10">
        <w:rPr>
          <w:lang w:val="es-ES"/>
        </w:rPr>
        <w:noBreakHyphen/>
      </w:r>
      <w:r w:rsidRPr="00487485">
        <w:rPr>
          <w:lang w:val="es-ES"/>
        </w:rPr>
        <w:t>R encargados de gestionar y aportar contribuciones a los distintos puntos del orden del día de la CMR-27. También identificó a los grupos de trabajo del UIT-R encargados de gestionar y aportar contribuciones a los distintos puntos del orden del día preliminar de la CMR-31; sin embargo, habida cuenta del carácter provisional del orden del día de la CMR-31, s</w:t>
      </w:r>
      <w:r w:rsidR="002B707C">
        <w:rPr>
          <w:lang w:val="es-ES"/>
        </w:rPr>
        <w:t>ó</w:t>
      </w:r>
      <w:r w:rsidRPr="00487485">
        <w:rPr>
          <w:lang w:val="es-ES"/>
        </w:rPr>
        <w:t>lo se definieron grupos de trabajo contribuyentes para el punto</w:t>
      </w:r>
      <w:r w:rsidR="00167D10">
        <w:rPr>
          <w:lang w:val="es-ES"/>
        </w:rPr>
        <w:t> </w:t>
      </w:r>
      <w:r w:rsidRPr="00487485">
        <w:rPr>
          <w:lang w:val="es-ES"/>
        </w:rPr>
        <w:t>2.14. La RPC27-1 nombró a los Vicepresidentes de la RPC-27 y a los Relatores o Correlatores de los cinco Capítulos del proyecto de Informe de la</w:t>
      </w:r>
      <w:r w:rsidR="00167D10">
        <w:rPr>
          <w:lang w:val="es-ES"/>
        </w:rPr>
        <w:t> </w:t>
      </w:r>
      <w:r w:rsidRPr="00487485">
        <w:rPr>
          <w:lang w:val="es-ES"/>
        </w:rPr>
        <w:t>RPC, encargados de ayudar a la Presidencia a gestionar el flujo de contribuciones y la elaboración de los proyectos de textos de la RPC, en consonancia con los métodos de trabajo de la</w:t>
      </w:r>
      <w:r w:rsidR="00167D10">
        <w:rPr>
          <w:lang w:val="es-ES"/>
        </w:rPr>
        <w:t> </w:t>
      </w:r>
      <w:r w:rsidRPr="00487485">
        <w:rPr>
          <w:lang w:val="es-ES"/>
        </w:rPr>
        <w:t>RPC y las directrices para la elaboración de dichos textos que figuran en los Anexos</w:t>
      </w:r>
      <w:r w:rsidR="00167D10">
        <w:rPr>
          <w:lang w:val="es-ES"/>
        </w:rPr>
        <w:t> </w:t>
      </w:r>
      <w:r w:rsidRPr="00487485">
        <w:rPr>
          <w:lang w:val="es-ES"/>
        </w:rPr>
        <w:t>1 y 2 a la Resolución UIT-R 2-9. La RPC27-1 también acordó establecer un plazo límite general a finales de</w:t>
      </w:r>
      <w:r w:rsidR="00FF3DC1">
        <w:rPr>
          <w:lang w:val="es-ES"/>
        </w:rPr>
        <w:t> </w:t>
      </w:r>
      <w:r w:rsidRPr="00487485">
        <w:rPr>
          <w:lang w:val="es-ES"/>
        </w:rPr>
        <w:t>2024 para los criterios, las características y las metodologías aplicables a los estudios de preparación del UIT-R para la CMR-27. La Carta Circular</w:t>
      </w:r>
      <w:r w:rsidR="00FF3DC1">
        <w:rPr>
          <w:lang w:val="es-ES"/>
        </w:rPr>
        <w:t> </w:t>
      </w:r>
      <w:hyperlink r:id="rId50" w:history="1">
        <w:r w:rsidRPr="00487485">
          <w:rPr>
            <w:rStyle w:val="Hyperlink"/>
            <w:bCs/>
            <w:lang w:val="es-ES"/>
          </w:rPr>
          <w:t>CA/270</w:t>
        </w:r>
      </w:hyperlink>
      <w:r w:rsidRPr="00487485">
        <w:rPr>
          <w:lang w:val="es-ES"/>
        </w:rPr>
        <w:t xml:space="preserve"> de 26 de enero de 2024 contiene los resultados de la RPC27</w:t>
      </w:r>
      <w:r w:rsidRPr="00487485">
        <w:rPr>
          <w:lang w:val="es-ES"/>
        </w:rPr>
        <w:noBreakHyphen/>
        <w:t>1.</w:t>
      </w:r>
    </w:p>
    <w:p w14:paraId="2485AEA4" w14:textId="475CBD6C" w:rsidR="00487485" w:rsidRPr="00487485" w:rsidRDefault="00487485" w:rsidP="00487485">
      <w:pPr>
        <w:rPr>
          <w:lang w:val="es-ES"/>
        </w:rPr>
      </w:pPr>
      <w:r w:rsidRPr="00487485">
        <w:rPr>
          <w:lang w:val="es-ES"/>
        </w:rPr>
        <w:lastRenderedPageBreak/>
        <w:t xml:space="preserve">Tan pronto como el Consejo de la UIT decida las fechas exactas de la CMR-27, la Comisión de Dirección de la RPC-27, en consulta con los Presidentes de las Comisiones de Estudio del UIT-R y los Grupos de Trabajo competentes, propondrá fechas para la segunda sesión de la RPC-27 y fijará la fecha límite para la finalización de los proyectos de textos de la RPC por los grupos responsables. Esta información se transmitirá a los </w:t>
      </w:r>
      <w:r w:rsidR="00FF3DC1">
        <w:rPr>
          <w:lang w:val="es-ES"/>
        </w:rPr>
        <w:t>m</w:t>
      </w:r>
      <w:r w:rsidRPr="00487485">
        <w:rPr>
          <w:lang w:val="es-ES"/>
        </w:rPr>
        <w:t>iembros en consecuencia.</w:t>
      </w:r>
    </w:p>
    <w:p w14:paraId="378988AB" w14:textId="77777777" w:rsidR="00487485" w:rsidRPr="00487485" w:rsidRDefault="00487485" w:rsidP="002F3373">
      <w:pPr>
        <w:pStyle w:val="Heading1"/>
        <w:rPr>
          <w:lang w:val="es-ES"/>
        </w:rPr>
      </w:pPr>
      <w:r w:rsidRPr="00487485">
        <w:rPr>
          <w:lang w:val="es-ES"/>
        </w:rPr>
        <w:t>6</w:t>
      </w:r>
      <w:r w:rsidRPr="00487485">
        <w:rPr>
          <w:lang w:val="es-ES"/>
        </w:rPr>
        <w:tab/>
      </w:r>
      <w:bookmarkEnd w:id="18"/>
      <w:r w:rsidRPr="00487485">
        <w:rPr>
          <w:lang w:val="es-ES"/>
        </w:rPr>
        <w:t>Plan Operacional</w:t>
      </w:r>
    </w:p>
    <w:p w14:paraId="324CDFB7" w14:textId="22A7A504" w:rsidR="00487485" w:rsidRPr="00487485" w:rsidRDefault="00487485" w:rsidP="00487485">
      <w:pPr>
        <w:rPr>
          <w:lang w:val="es-ES"/>
        </w:rPr>
      </w:pPr>
      <w:r w:rsidRPr="00487485">
        <w:rPr>
          <w:lang w:val="es-ES"/>
        </w:rPr>
        <w:t xml:space="preserve">En virtud de su </w:t>
      </w:r>
      <w:hyperlink r:id="rId51" w:history="1">
        <w:r w:rsidRPr="00487485">
          <w:rPr>
            <w:rStyle w:val="Hyperlink"/>
            <w:lang w:val="es-ES"/>
          </w:rPr>
          <w:t>Resolución</w:t>
        </w:r>
        <w:r w:rsidR="00A8630C">
          <w:rPr>
            <w:rStyle w:val="Hyperlink"/>
            <w:lang w:val="es-ES"/>
          </w:rPr>
          <w:t> </w:t>
        </w:r>
        <w:r w:rsidRPr="00487485">
          <w:rPr>
            <w:rStyle w:val="Hyperlink"/>
            <w:lang w:val="es-ES"/>
          </w:rPr>
          <w:t>1415</w:t>
        </w:r>
      </w:hyperlink>
      <w:r w:rsidRPr="00487485">
        <w:rPr>
          <w:lang w:val="es-ES"/>
        </w:rPr>
        <w:t>, el Consejo de 2023 adoptó el Plan Operacional de la Unión para</w:t>
      </w:r>
      <w:r w:rsidR="00A8630C">
        <w:rPr>
          <w:lang w:val="es-ES"/>
        </w:rPr>
        <w:t> </w:t>
      </w:r>
      <w:r w:rsidRPr="00487485">
        <w:rPr>
          <w:lang w:val="es-ES"/>
        </w:rPr>
        <w:t>2024-2027 (</w:t>
      </w:r>
      <w:hyperlink r:id="rId52" w:history="1">
        <w:r w:rsidRPr="00487485">
          <w:rPr>
            <w:rStyle w:val="Hyperlink"/>
            <w:lang w:val="es-ES"/>
          </w:rPr>
          <w:t>aquí</w:t>
        </w:r>
      </w:hyperlink>
      <w:r w:rsidRPr="00487485">
        <w:rPr>
          <w:lang w:val="es-ES"/>
        </w:rPr>
        <w:t>), que está estructurado de conformidad con el concepto basado en resultados a fin de garantizar su vinculación completa con el presupuesto y otras herramientas financieras de la Unión, y es acorde con los límites financieros definidos por la Conferencia de Plenipotenciarios de</w:t>
      </w:r>
      <w:r w:rsidR="00A8630C">
        <w:rPr>
          <w:lang w:val="es-ES"/>
        </w:rPr>
        <w:t> </w:t>
      </w:r>
      <w:r w:rsidRPr="00487485">
        <w:rPr>
          <w:lang w:val="es-ES"/>
        </w:rPr>
        <w:t>2022 en el plan financiero para 2024-2027.</w:t>
      </w:r>
    </w:p>
    <w:p w14:paraId="4A2F2FEB" w14:textId="19F70682" w:rsidR="00487485" w:rsidRPr="00487485" w:rsidRDefault="00487485" w:rsidP="00487485">
      <w:pPr>
        <w:rPr>
          <w:lang w:val="es-ES"/>
        </w:rPr>
      </w:pPr>
      <w:r w:rsidRPr="00487485">
        <w:rPr>
          <w:lang w:val="es-ES"/>
        </w:rPr>
        <w:t>En el Plan Operacional de la UIT (UIT-R) para el periodo 2024-2027 se exponen detalladamente las cinco prioridades temáticas y los 43 productos de la Unión, establecidos en el Plan Estratégico de la</w:t>
      </w:r>
      <w:r w:rsidR="00A8630C">
        <w:rPr>
          <w:lang w:val="es-ES"/>
        </w:rPr>
        <w:t> </w:t>
      </w:r>
      <w:r w:rsidRPr="00487485">
        <w:rPr>
          <w:lang w:val="es-ES"/>
        </w:rPr>
        <w:t>UIT adoptado por la PP-22. Dado que se ha estructurado de conformidad con los objetivos temáticos transectoriales, no contiene secciones específicas para cada Sector/Oficina de la UIT y la Secretaría General. En su reunión de 2023, el GAR compartió su preocupación por el hecho de que esta presentación no facilitaba la revisión por parte del GAR del Plan Operacional del Sector/la Oficina del UIT-R y le impedía ejecutar su mandato con arreglo al Artículo</w:t>
      </w:r>
      <w:r w:rsidR="00A8630C">
        <w:rPr>
          <w:lang w:val="es-ES"/>
        </w:rPr>
        <w:t> </w:t>
      </w:r>
      <w:r w:rsidRPr="00487485">
        <w:rPr>
          <w:lang w:val="es-ES"/>
        </w:rPr>
        <w:t>160CA, consistente en revisar la aplicación del Plan Operacional y asesorar al Director en relación con las medidas correctivas necesarias. Se informó al Consejo de que el GAR consideraba que, en caso de que dificultades con la presentación o aplicación del Plan Operacional, los Estados Miembros podrían querer revisar la estructura de la Resolución</w:t>
      </w:r>
      <w:r w:rsidR="00A8630C">
        <w:rPr>
          <w:lang w:val="es-ES"/>
        </w:rPr>
        <w:t> </w:t>
      </w:r>
      <w:r w:rsidRPr="00487485">
        <w:rPr>
          <w:lang w:val="es-ES"/>
        </w:rPr>
        <w:t>71 en la próxima PP.</w:t>
      </w:r>
    </w:p>
    <w:p w14:paraId="0F4E2C4E" w14:textId="22E45477" w:rsidR="00487485" w:rsidRPr="00487485" w:rsidRDefault="00487485" w:rsidP="00487485">
      <w:pPr>
        <w:rPr>
          <w:lang w:val="es-ES"/>
        </w:rPr>
      </w:pPr>
      <w:r w:rsidRPr="00487485">
        <w:rPr>
          <w:lang w:val="es-ES"/>
        </w:rPr>
        <w:t xml:space="preserve">El GAR también solicitó que se le presentara un documento independiente durante la reunión en curso con una explicación de los aspectos del Sector/la Oficina del UIT-R del </w:t>
      </w:r>
      <w:r w:rsidR="00F35B44" w:rsidRPr="00487485">
        <w:rPr>
          <w:lang w:val="es-ES"/>
        </w:rPr>
        <w:t xml:space="preserve">Plan Operacional </w:t>
      </w:r>
      <w:r w:rsidRPr="00487485">
        <w:rPr>
          <w:lang w:val="es-ES"/>
        </w:rPr>
        <w:t xml:space="preserve">combinado. La presentación alternativa del Plan Operacional del UIT-R para 2024-2027 se remite a la presente reunión en el </w:t>
      </w:r>
      <w:r w:rsidR="002F3373" w:rsidRPr="00487485">
        <w:rPr>
          <w:lang w:val="es-ES"/>
        </w:rPr>
        <w:t>Documento</w:t>
      </w:r>
      <w:r w:rsidR="00A8630C">
        <w:rPr>
          <w:lang w:val="es-ES"/>
        </w:rPr>
        <w:t> </w:t>
      </w:r>
      <w:hyperlink r:id="rId53" w:history="1">
        <w:r w:rsidRPr="00487485">
          <w:rPr>
            <w:rStyle w:val="Hyperlink"/>
            <w:lang w:val="es-ES"/>
          </w:rPr>
          <w:t>RAG/C-005</w:t>
        </w:r>
      </w:hyperlink>
      <w:r w:rsidRPr="00487485">
        <w:rPr>
          <w:lang w:val="es-ES"/>
        </w:rPr>
        <w:t>.</w:t>
      </w:r>
    </w:p>
    <w:p w14:paraId="45066F52" w14:textId="77777777" w:rsidR="00487485" w:rsidRPr="00487485" w:rsidRDefault="00487485" w:rsidP="002F3373">
      <w:pPr>
        <w:pStyle w:val="Heading1"/>
        <w:rPr>
          <w:lang w:val="es-ES"/>
        </w:rPr>
      </w:pPr>
      <w:bookmarkStart w:id="19" w:name="_Toc446060769"/>
      <w:r w:rsidRPr="00487485">
        <w:rPr>
          <w:lang w:val="es-ES"/>
        </w:rPr>
        <w:t>7</w:t>
      </w:r>
      <w:r w:rsidRPr="00487485">
        <w:rPr>
          <w:lang w:val="es-ES"/>
        </w:rPr>
        <w:tab/>
      </w:r>
      <w:bookmarkEnd w:id="19"/>
      <w:r w:rsidRPr="00487485">
        <w:rPr>
          <w:lang w:val="es-ES"/>
        </w:rPr>
        <w:t>Sistema de información de la BR</w:t>
      </w:r>
    </w:p>
    <w:p w14:paraId="22E98577" w14:textId="139084CA" w:rsidR="00487485" w:rsidRPr="00487485" w:rsidRDefault="00487485" w:rsidP="002F3373">
      <w:pPr>
        <w:pStyle w:val="Heading2"/>
        <w:rPr>
          <w:lang w:val="es-ES"/>
        </w:rPr>
      </w:pPr>
      <w:r w:rsidRPr="00487485">
        <w:rPr>
          <w:lang w:val="es-ES"/>
        </w:rPr>
        <w:t>7.1</w:t>
      </w:r>
      <w:r w:rsidRPr="00487485">
        <w:rPr>
          <w:lang w:val="es-ES"/>
        </w:rPr>
        <w:tab/>
      </w:r>
      <w:r w:rsidRPr="002F3373">
        <w:rPr>
          <w:i/>
          <w:iCs/>
          <w:lang w:val="es-ES"/>
        </w:rPr>
        <w:t>Software</w:t>
      </w:r>
      <w:r w:rsidRPr="00487485">
        <w:rPr>
          <w:lang w:val="es-ES"/>
        </w:rPr>
        <w:t xml:space="preserve"> y herramientas terrenales</w:t>
      </w:r>
    </w:p>
    <w:p w14:paraId="73B1F68D" w14:textId="226E39C5" w:rsidR="00487485" w:rsidRPr="00487485" w:rsidRDefault="00487485" w:rsidP="002F3373">
      <w:pPr>
        <w:pStyle w:val="Heading3"/>
        <w:rPr>
          <w:lang w:val="es-ES"/>
        </w:rPr>
      </w:pPr>
      <w:r w:rsidRPr="00487485">
        <w:rPr>
          <w:lang w:val="es-ES"/>
        </w:rPr>
        <w:t>7.1.1</w:t>
      </w:r>
      <w:r w:rsidRPr="00487485">
        <w:rPr>
          <w:lang w:val="es-ES"/>
        </w:rPr>
        <w:tab/>
        <w:t>Tramitación de solicitudes de coordinación con arreglo al número</w:t>
      </w:r>
      <w:r w:rsidR="00F35B44">
        <w:rPr>
          <w:lang w:val="es-ES"/>
        </w:rPr>
        <w:t> </w:t>
      </w:r>
      <w:r w:rsidRPr="00487485">
        <w:rPr>
          <w:lang w:val="es-ES"/>
        </w:rPr>
        <w:t>9.21 del RR</w:t>
      </w:r>
    </w:p>
    <w:p w14:paraId="0D4C74A4" w14:textId="524F5E59" w:rsidR="00487485" w:rsidRPr="00487485" w:rsidRDefault="00487485" w:rsidP="00487485">
      <w:pPr>
        <w:rPr>
          <w:lang w:val="es-ES"/>
        </w:rPr>
      </w:pPr>
      <w:r w:rsidRPr="00487485">
        <w:rPr>
          <w:lang w:val="es-ES"/>
        </w:rPr>
        <w:t xml:space="preserve">Los módulos de </w:t>
      </w:r>
      <w:r w:rsidRPr="00487485">
        <w:rPr>
          <w:i/>
          <w:iCs/>
          <w:lang w:val="es-ES"/>
        </w:rPr>
        <w:t>software</w:t>
      </w:r>
      <w:r w:rsidRPr="00487485">
        <w:rPr>
          <w:lang w:val="es-ES"/>
        </w:rPr>
        <w:t xml:space="preserve"> y las herramientas conexas para la tramitación de solicitudes de coordinación con arreglo al número</w:t>
      </w:r>
      <w:r w:rsidR="00F35B44">
        <w:rPr>
          <w:lang w:val="es-ES"/>
        </w:rPr>
        <w:t> </w:t>
      </w:r>
      <w:r w:rsidRPr="00487485">
        <w:rPr>
          <w:b/>
          <w:bCs/>
          <w:lang w:val="es-ES"/>
        </w:rPr>
        <w:t>9.21</w:t>
      </w:r>
      <w:r w:rsidRPr="00487485">
        <w:rPr>
          <w:lang w:val="es-ES"/>
        </w:rPr>
        <w:t xml:space="preserve"> del RR siguieron desarrollándose durante el periodo que abarca el informe. Se ha previsto ultimar el </w:t>
      </w:r>
      <w:r w:rsidRPr="00487485">
        <w:rPr>
          <w:i/>
          <w:iCs/>
          <w:lang w:val="es-ES"/>
        </w:rPr>
        <w:t>software</w:t>
      </w:r>
      <w:r w:rsidRPr="00487485">
        <w:rPr>
          <w:lang w:val="es-ES"/>
        </w:rPr>
        <w:t xml:space="preserve"> de comprobación de las correspondientes asignaciones (conforme al número</w:t>
      </w:r>
      <w:r w:rsidR="00F35B44">
        <w:rPr>
          <w:lang w:val="es-ES"/>
        </w:rPr>
        <w:t> </w:t>
      </w:r>
      <w:r w:rsidRPr="00487485">
        <w:rPr>
          <w:b/>
          <w:bCs/>
          <w:lang w:val="es-ES"/>
        </w:rPr>
        <w:t>9.21</w:t>
      </w:r>
      <w:r w:rsidRPr="00487485">
        <w:rPr>
          <w:lang w:val="es-ES"/>
        </w:rPr>
        <w:t>) notificadas en virtud del Artículo</w:t>
      </w:r>
      <w:r w:rsidR="002F3373">
        <w:rPr>
          <w:lang w:val="es-ES"/>
        </w:rPr>
        <w:t> </w:t>
      </w:r>
      <w:r w:rsidRPr="00487485">
        <w:rPr>
          <w:b/>
          <w:bCs/>
          <w:lang w:val="es-ES"/>
        </w:rPr>
        <w:t>11</w:t>
      </w:r>
      <w:r w:rsidRPr="00487485">
        <w:rPr>
          <w:lang w:val="es-ES"/>
        </w:rPr>
        <w:t xml:space="preserve"> del RR para el Registro Internacional de Frecuencias y su integración en TerRaSys a lo largo de 2024 en el contexto de la migración general del sistema.</w:t>
      </w:r>
    </w:p>
    <w:p w14:paraId="49235CF8" w14:textId="77777777" w:rsidR="00487485" w:rsidRPr="00487485" w:rsidRDefault="00487485" w:rsidP="002F3373">
      <w:pPr>
        <w:pStyle w:val="Heading3"/>
        <w:rPr>
          <w:lang w:val="es-ES"/>
        </w:rPr>
      </w:pPr>
      <w:r w:rsidRPr="00487485">
        <w:rPr>
          <w:lang w:val="es-ES"/>
        </w:rPr>
        <w:t>7.1.2</w:t>
      </w:r>
      <w:r w:rsidRPr="00487485">
        <w:rPr>
          <w:lang w:val="es-ES"/>
        </w:rPr>
        <w:tab/>
      </w:r>
      <w:bookmarkStart w:id="20" w:name="lt_pId423"/>
      <w:r w:rsidRPr="00487485">
        <w:rPr>
          <w:lang w:val="es-ES"/>
        </w:rPr>
        <w:t xml:space="preserve">Reingeniería del </w:t>
      </w:r>
      <w:r w:rsidRPr="00487485">
        <w:rPr>
          <w:i/>
          <w:iCs/>
          <w:lang w:val="es-ES"/>
        </w:rPr>
        <w:t>software</w:t>
      </w:r>
      <w:r w:rsidRPr="00487485">
        <w:rPr>
          <w:lang w:val="es-ES"/>
        </w:rPr>
        <w:t xml:space="preserve"> del horario de radiodifusión por ondas decamétricas</w:t>
      </w:r>
      <w:bookmarkEnd w:id="20"/>
    </w:p>
    <w:p w14:paraId="6CB26212" w14:textId="66081B0E" w:rsidR="00487485" w:rsidRPr="00487485" w:rsidRDefault="00487485" w:rsidP="00487485">
      <w:pPr>
        <w:rPr>
          <w:lang w:val="es-ES"/>
        </w:rPr>
      </w:pPr>
      <w:r w:rsidRPr="00487485">
        <w:rPr>
          <w:lang w:val="es-ES"/>
        </w:rPr>
        <w:t>De conformidad con lo dispuesto en el Artículo 12 del Reglamento de Radiocomunicaciones (RR), la Oficina de Radiocomunicaciones (BR) prepara y publica el horario estacional de radiodifusión por ondas decamétricas, junto con los resultados de los análisis de compatibilidad. Los horarios están disponibles en el sitio web de la BR</w:t>
      </w:r>
      <w:r w:rsidR="002F3373">
        <w:rPr>
          <w:lang w:val="es-ES"/>
        </w:rPr>
        <w:t>.</w:t>
      </w:r>
    </w:p>
    <w:p w14:paraId="12692D6D" w14:textId="6002D4CE" w:rsidR="00487485" w:rsidRPr="00487485" w:rsidRDefault="00487485" w:rsidP="007B7BFD">
      <w:pPr>
        <w:keepNext/>
        <w:keepLines/>
        <w:rPr>
          <w:lang w:val="es-ES"/>
        </w:rPr>
      </w:pPr>
      <w:r w:rsidRPr="00487485">
        <w:rPr>
          <w:lang w:val="es-ES"/>
        </w:rPr>
        <w:lastRenderedPageBreak/>
        <w:t xml:space="preserve">El anterior </w:t>
      </w:r>
      <w:r w:rsidRPr="00487485">
        <w:rPr>
          <w:i/>
          <w:iCs/>
          <w:lang w:val="es-ES"/>
        </w:rPr>
        <w:t>software</w:t>
      </w:r>
      <w:r w:rsidRPr="00487485">
        <w:rPr>
          <w:lang w:val="es-ES"/>
        </w:rPr>
        <w:t xml:space="preserve"> HFBC estaba formado por una serie de aplicaciones de escritorio independientes desarrolladas en Visual Basic. Los sistemas operativos que utilizan los sistemas informáticos de la BR ya no pueden mantener esas aplicaciones, que tienen que volver a desarrollarse con tecnologías más modernas.</w:t>
      </w:r>
    </w:p>
    <w:p w14:paraId="68005CD4" w14:textId="78208A2C" w:rsidR="00487485" w:rsidRPr="00487485" w:rsidRDefault="00487485" w:rsidP="00487485">
      <w:pPr>
        <w:rPr>
          <w:lang w:val="es-ES"/>
        </w:rPr>
      </w:pPr>
      <w:r w:rsidRPr="00487485">
        <w:rPr>
          <w:lang w:val="es-ES"/>
        </w:rPr>
        <w:t xml:space="preserve">En aras de la coherencia con otros </w:t>
      </w:r>
      <w:r w:rsidRPr="00487485">
        <w:rPr>
          <w:i/>
          <w:iCs/>
          <w:lang w:val="es-ES"/>
        </w:rPr>
        <w:t>software</w:t>
      </w:r>
      <w:r w:rsidRPr="00487485">
        <w:rPr>
          <w:lang w:val="es-ES"/>
        </w:rPr>
        <w:t xml:space="preserve"> y aplicaciones terrenales, se ha procedido a la reingeniería del </w:t>
      </w:r>
      <w:r w:rsidRPr="00487485">
        <w:rPr>
          <w:i/>
          <w:iCs/>
          <w:lang w:val="es-ES"/>
        </w:rPr>
        <w:t>software</w:t>
      </w:r>
      <w:r w:rsidRPr="00487485">
        <w:rPr>
          <w:lang w:val="es-ES"/>
        </w:rPr>
        <w:t xml:space="preserve"> HFBC en una única aplicación en línea utilizando el marco .</w:t>
      </w:r>
      <w:r w:rsidR="00056B87" w:rsidRPr="00487485">
        <w:rPr>
          <w:lang w:val="es-ES"/>
        </w:rPr>
        <w:t xml:space="preserve">NET </w:t>
      </w:r>
      <w:r w:rsidRPr="00487485">
        <w:rPr>
          <w:lang w:val="es-ES"/>
        </w:rPr>
        <w:t>en C#.</w:t>
      </w:r>
    </w:p>
    <w:p w14:paraId="70F60DA0" w14:textId="71449406" w:rsidR="00487485" w:rsidRPr="00487485" w:rsidRDefault="00487485" w:rsidP="007B7BFD">
      <w:pPr>
        <w:rPr>
          <w:lang w:val="es-ES"/>
        </w:rPr>
      </w:pPr>
      <w:r w:rsidRPr="00487485">
        <w:rPr>
          <w:lang w:val="es-ES"/>
        </w:rPr>
        <w:t xml:space="preserve">Se ha completado la nueva aplicación HFBC y se ha procedido a integrarla en la plataforma en línea para servicios terrenales eTerrestrial/eBroadcasting. La primera publicación oficial en </w:t>
      </w:r>
      <w:proofErr w:type="spellStart"/>
      <w:r w:rsidRPr="00487485">
        <w:rPr>
          <w:lang w:val="es-ES"/>
        </w:rPr>
        <w:t>eHFBC</w:t>
      </w:r>
      <w:proofErr w:type="spellEnd"/>
      <w:r w:rsidRPr="00487485">
        <w:rPr>
          <w:lang w:val="es-ES"/>
        </w:rPr>
        <w:t xml:space="preserve"> fue el Horario</w:t>
      </w:r>
      <w:r w:rsidR="007B7BFD">
        <w:rPr>
          <w:lang w:val="es-ES"/>
        </w:rPr>
        <w:t> </w:t>
      </w:r>
      <w:r w:rsidRPr="00487485">
        <w:rPr>
          <w:lang w:val="es-ES"/>
        </w:rPr>
        <w:t>B23-S1 en octubre de 2023. Actualmente, eHFBC se encuentra en una fase activa de desarrollo progresivo, centrada en introducir una serie de características nuevas y mejoras a lo largo del tiempo.</w:t>
      </w:r>
    </w:p>
    <w:p w14:paraId="2A75A072" w14:textId="77777777" w:rsidR="00487485" w:rsidRPr="00487485" w:rsidRDefault="00487485" w:rsidP="002F3373">
      <w:pPr>
        <w:pStyle w:val="Heading3"/>
        <w:rPr>
          <w:lang w:val="es-ES"/>
        </w:rPr>
      </w:pPr>
      <w:r w:rsidRPr="00487485">
        <w:rPr>
          <w:lang w:val="es-ES"/>
        </w:rPr>
        <w:t>7.1.3</w:t>
      </w:r>
      <w:r w:rsidRPr="00487485">
        <w:rPr>
          <w:lang w:val="es-ES"/>
        </w:rPr>
        <w:tab/>
        <w:t>Migración de Ingres a SQL Server</w:t>
      </w:r>
    </w:p>
    <w:p w14:paraId="7D990FD9" w14:textId="77777777" w:rsidR="00487485" w:rsidRPr="00487485" w:rsidRDefault="00487485" w:rsidP="00487485">
      <w:pPr>
        <w:rPr>
          <w:lang w:val="es-ES"/>
        </w:rPr>
      </w:pPr>
      <w:r w:rsidRPr="00487485">
        <w:rPr>
          <w:lang w:val="es-ES"/>
        </w:rPr>
        <w:t>En 2023 se ha continuado trabajando en la migración del sistema TerRaSys, tanto para la migración de la base de datos como para la reescritura y mejora de los módulos del sistema utilizando nuevas técnicas de codificación. Esto incluye (entre otras cosas) lo siguiente:</w:t>
      </w:r>
    </w:p>
    <w:p w14:paraId="7402013F" w14:textId="47272CA6" w:rsidR="00487485" w:rsidRPr="00487485" w:rsidRDefault="002F3373" w:rsidP="002F3373">
      <w:pPr>
        <w:pStyle w:val="enumlev1"/>
        <w:rPr>
          <w:lang w:val="es-ES"/>
        </w:rPr>
      </w:pPr>
      <w:r w:rsidRPr="002F3373">
        <w:rPr>
          <w:lang w:val="es-ES"/>
        </w:rPr>
        <w:t>•</w:t>
      </w:r>
      <w:r>
        <w:rPr>
          <w:lang w:val="es-ES"/>
        </w:rPr>
        <w:tab/>
      </w:r>
      <w:r w:rsidR="00487485" w:rsidRPr="00487485">
        <w:rPr>
          <w:lang w:val="es-ES"/>
        </w:rPr>
        <w:t>Se ha completado el diseño de la base de datos terrenal, incluidas las nuevas estructuras de bases de datos necesarias para permitir la tramitación de las HAPS, conforme a las decisiones de la CMR-19.</w:t>
      </w:r>
    </w:p>
    <w:p w14:paraId="0BF6D330" w14:textId="5C3B6251" w:rsidR="00487485" w:rsidRPr="00487485" w:rsidRDefault="002F3373" w:rsidP="002F3373">
      <w:pPr>
        <w:pStyle w:val="enumlev1"/>
        <w:rPr>
          <w:lang w:val="es-ES"/>
        </w:rPr>
      </w:pPr>
      <w:r w:rsidRPr="002F3373">
        <w:rPr>
          <w:lang w:val="es-ES"/>
        </w:rPr>
        <w:t>•</w:t>
      </w:r>
      <w:r>
        <w:rPr>
          <w:lang w:val="es-ES"/>
        </w:rPr>
        <w:tab/>
      </w:r>
      <w:r w:rsidR="00487485" w:rsidRPr="00487485">
        <w:rPr>
          <w:lang w:val="es-ES"/>
        </w:rPr>
        <w:t xml:space="preserve">El rediseño continuo de diversos componentes del </w:t>
      </w:r>
      <w:r w:rsidR="00487485" w:rsidRPr="00487485">
        <w:rPr>
          <w:i/>
          <w:iCs/>
          <w:lang w:val="es-ES"/>
        </w:rPr>
        <w:t>software</w:t>
      </w:r>
      <w:r w:rsidR="00487485" w:rsidRPr="00487485">
        <w:rPr>
          <w:lang w:val="es-ES"/>
        </w:rPr>
        <w:t xml:space="preserve"> y aplicaciones TerRaSys utilizados para acceder a la base de datos, con miras a aprovechar las ventajas de la tecnología moderna que ofrecen el nuevo sistema de gestión de bases de datos (SGBD) y utilizar las aplicaciones web y las técnicas modernas de desarrollo de </w:t>
      </w:r>
      <w:r w:rsidR="00487485" w:rsidRPr="00487485">
        <w:rPr>
          <w:i/>
          <w:iCs/>
          <w:lang w:val="es-ES"/>
        </w:rPr>
        <w:t>software</w:t>
      </w:r>
      <w:r w:rsidR="00487485" w:rsidRPr="00487485">
        <w:rPr>
          <w:lang w:val="es-ES"/>
        </w:rPr>
        <w:t>.</w:t>
      </w:r>
    </w:p>
    <w:p w14:paraId="17109150" w14:textId="77777777" w:rsidR="00487485" w:rsidRPr="00487485" w:rsidRDefault="00487485" w:rsidP="00487485">
      <w:pPr>
        <w:rPr>
          <w:lang w:val="es-ES"/>
        </w:rPr>
      </w:pPr>
      <w:r w:rsidRPr="00487485">
        <w:rPr>
          <w:lang w:val="es-ES"/>
        </w:rPr>
        <w:t xml:space="preserve">Se ha terminado de preparar el nuevo formato de notificación electrónica de asignaciones de frecuencias terrenales, que es conforme a las normas XML y se utiliza además del formato SGML existente. Se han ultimado el nuevo sistema de base de datos y los módulos de </w:t>
      </w:r>
      <w:r w:rsidRPr="00487485">
        <w:rPr>
          <w:i/>
          <w:iCs/>
          <w:lang w:val="es-ES"/>
        </w:rPr>
        <w:t>software</w:t>
      </w:r>
      <w:r w:rsidRPr="00487485">
        <w:rPr>
          <w:lang w:val="es-ES"/>
        </w:rPr>
        <w:t xml:space="preserve"> para la tramitación y la validación de las notificaciones terrenales electrónicas, incluidas las HAPS. Se ha completado la migración de los módulos de </w:t>
      </w:r>
      <w:r w:rsidRPr="00487485">
        <w:rPr>
          <w:i/>
          <w:iCs/>
          <w:lang w:val="es-ES"/>
        </w:rPr>
        <w:t>software</w:t>
      </w:r>
      <w:r w:rsidRPr="00487485">
        <w:rPr>
          <w:lang w:val="es-ES"/>
        </w:rPr>
        <w:t xml:space="preserve"> existentes utilizados para los exámenes técnicos. Se está trabajando en módulos de examen técnico específicos para HAPS. También se han finalizado los módulos de visualización de resultados de los exámenes. La labor sobre la publicación y preparación de los nuevos paquetes de la BR IFIC ha concluido. Se han diseñado e implementado varias aplicaciones web, cuyas pruebas y desarrollo se efectúan de manera constante, para permitir el acceso en línea a las consultas de la base de datos y otras herramientas de </w:t>
      </w:r>
      <w:r w:rsidRPr="00487485">
        <w:rPr>
          <w:i/>
          <w:iCs/>
          <w:lang w:val="es-ES"/>
        </w:rPr>
        <w:t>software</w:t>
      </w:r>
      <w:r w:rsidRPr="00487485">
        <w:rPr>
          <w:lang w:val="es-ES"/>
        </w:rPr>
        <w:t>, incluida la validación en línea de las notificaciones terrestres de asignaciones de frecuencias.</w:t>
      </w:r>
    </w:p>
    <w:p w14:paraId="71A3585E" w14:textId="6BFBE89C" w:rsidR="00487485" w:rsidRPr="00487485" w:rsidRDefault="00487485" w:rsidP="00487485">
      <w:pPr>
        <w:rPr>
          <w:lang w:val="es-ES"/>
        </w:rPr>
      </w:pPr>
      <w:bookmarkStart w:id="21" w:name="lt_pId430"/>
      <w:r w:rsidRPr="00487485">
        <w:rPr>
          <w:lang w:val="es-ES"/>
        </w:rPr>
        <w:t>Ya se dispone de copias de la base de datos de servicios terrenales existente en la nueva plataforma del SGBD, que diversas aplicaciones de la BR están utilizando a través de la web para mostrar, validar y procesar las notificaciones de frecuencias terrenales.</w:t>
      </w:r>
      <w:bookmarkEnd w:id="21"/>
      <w:r w:rsidRPr="00487485">
        <w:rPr>
          <w:lang w:val="es-ES"/>
        </w:rPr>
        <w:t xml:space="preserve"> También se han diseñado copias particulares que ya están disponibles y contienen la imagen de datos de la última BR</w:t>
      </w:r>
      <w:r w:rsidR="00F35B44">
        <w:rPr>
          <w:lang w:val="es-ES"/>
        </w:rPr>
        <w:t> </w:t>
      </w:r>
      <w:r w:rsidRPr="00487485">
        <w:rPr>
          <w:lang w:val="es-ES"/>
        </w:rPr>
        <w:t>IFIC terrenal publicada accesible en línea, incluido el acceso a las BR</w:t>
      </w:r>
      <w:r w:rsidR="00F35B44">
        <w:rPr>
          <w:lang w:val="es-ES"/>
        </w:rPr>
        <w:t> </w:t>
      </w:r>
      <w:r w:rsidRPr="00487485">
        <w:rPr>
          <w:lang w:val="es-ES"/>
        </w:rPr>
        <w:t>IFIC terrenales previas publicadas durante el año en curso. Se ha ultimado la migración y la reestructuración completas del sistema actual. Se está preparando una carta circular que describe la estructura de la base de datos de servicios terrenales nueva y modificada, así como las herramientas relacionadas con la</w:t>
      </w:r>
      <w:r w:rsidR="00F35B44">
        <w:rPr>
          <w:lang w:val="es-ES"/>
        </w:rPr>
        <w:t xml:space="preserve"> </w:t>
      </w:r>
      <w:r w:rsidRPr="00487485">
        <w:rPr>
          <w:lang w:val="es-ES"/>
        </w:rPr>
        <w:t>BR</w:t>
      </w:r>
      <w:r w:rsidR="00F35B44">
        <w:rPr>
          <w:lang w:val="es-ES"/>
        </w:rPr>
        <w:t> </w:t>
      </w:r>
      <w:r w:rsidRPr="00487485">
        <w:rPr>
          <w:lang w:val="es-ES"/>
        </w:rPr>
        <w:t>IFIC y una descripción del nuevo formato de notificación XML, que se enviará a los Estados Miembros, las administraciones y a otros usuarios.</w:t>
      </w:r>
    </w:p>
    <w:p w14:paraId="2281F1BB" w14:textId="02B19A46" w:rsidR="00487485" w:rsidRPr="00487485" w:rsidRDefault="00487485" w:rsidP="007B7BFD">
      <w:pPr>
        <w:keepNext/>
        <w:keepLines/>
        <w:rPr>
          <w:lang w:val="es-ES"/>
        </w:rPr>
      </w:pPr>
      <w:r w:rsidRPr="00487485">
        <w:rPr>
          <w:lang w:val="es-ES"/>
        </w:rPr>
        <w:lastRenderedPageBreak/>
        <w:t xml:space="preserve">Desde el punto de vista de los Estados Miembros y los usuarios externos, se ha previsto un periodo de transición antes de la supresión del sistema existente, que se especificará en la Carta Circular mencionada, a fin de permitir la oportuna adaptación y ajuste al </w:t>
      </w:r>
      <w:r w:rsidRPr="00487485">
        <w:rPr>
          <w:i/>
          <w:iCs/>
          <w:lang w:val="es-ES"/>
        </w:rPr>
        <w:t>software</w:t>
      </w:r>
      <w:r w:rsidRPr="00487485">
        <w:rPr>
          <w:lang w:val="es-ES"/>
        </w:rPr>
        <w:t xml:space="preserve"> de terceros. Durante ese periodo la BR</w:t>
      </w:r>
      <w:r w:rsidR="00F35B44">
        <w:rPr>
          <w:lang w:val="es-ES"/>
        </w:rPr>
        <w:t> </w:t>
      </w:r>
      <w:r w:rsidRPr="00487485">
        <w:rPr>
          <w:lang w:val="es-ES"/>
        </w:rPr>
        <w:t>IFIC se distribuirá en su formato actual y en el nuevo formato, garantizando así la continuidad del servicio. Se han desarrollado herramientas de conversión al nuevo formato, que se distribuirán para permitir la conversión del actual formato de base de datos de la BR</w:t>
      </w:r>
      <w:r w:rsidR="00F35B44">
        <w:rPr>
          <w:lang w:val="es-ES"/>
        </w:rPr>
        <w:t> </w:t>
      </w:r>
      <w:r w:rsidRPr="00487485">
        <w:rPr>
          <w:lang w:val="es-ES"/>
        </w:rPr>
        <w:t>IFIC al formato de base de datos del nuevo sistema.</w:t>
      </w:r>
    </w:p>
    <w:p w14:paraId="6E2355D8" w14:textId="77777777" w:rsidR="00487485" w:rsidRPr="00487485" w:rsidRDefault="00487485" w:rsidP="002F3373">
      <w:pPr>
        <w:pStyle w:val="Heading2"/>
        <w:rPr>
          <w:lang w:val="es-ES"/>
        </w:rPr>
      </w:pPr>
      <w:r w:rsidRPr="00487485">
        <w:rPr>
          <w:lang w:val="es-ES"/>
        </w:rPr>
        <w:t>7.2</w:t>
      </w:r>
      <w:r w:rsidRPr="00487485">
        <w:rPr>
          <w:lang w:val="es-ES"/>
        </w:rPr>
        <w:tab/>
      </w:r>
      <w:bookmarkStart w:id="22" w:name="lt_pId439"/>
      <w:r w:rsidRPr="00487485">
        <w:rPr>
          <w:lang w:val="es-ES"/>
        </w:rPr>
        <w:t>Progresos en el cumplimiento de la hoja de ruta de los sistemas de información espacial de la BR (GAR-19, 2012)</w:t>
      </w:r>
      <w:bookmarkEnd w:id="22"/>
    </w:p>
    <w:p w14:paraId="5CA1212C" w14:textId="1B913807" w:rsidR="00487485" w:rsidRPr="00487485" w:rsidRDefault="00487485" w:rsidP="00487485">
      <w:pPr>
        <w:rPr>
          <w:lang w:val="es-ES"/>
        </w:rPr>
      </w:pPr>
      <w:r w:rsidRPr="00487485">
        <w:rPr>
          <w:lang w:val="es-ES"/>
        </w:rPr>
        <w:t>En su 19ª reunión (2012), el GAR aconsejó al Director que aplicase las medidas recomendadas en los plazos propuestos, tal y como se describe en la hoja de ruta, que comprende: la Fase 1 (Aplicación de las decisiones de la CMR</w:t>
      </w:r>
      <w:r w:rsidRPr="00487485">
        <w:rPr>
          <w:lang w:val="es-ES"/>
        </w:rPr>
        <w:noBreakHyphen/>
        <w:t xml:space="preserve">12); la Fase 2 (Reescribir parte del </w:t>
      </w:r>
      <w:r w:rsidRPr="00487485">
        <w:rPr>
          <w:i/>
          <w:iCs/>
          <w:lang w:val="es-ES"/>
        </w:rPr>
        <w:t>software</w:t>
      </w:r>
      <w:r w:rsidRPr="00487485">
        <w:rPr>
          <w:lang w:val="es-ES"/>
        </w:rPr>
        <w:t xml:space="preserve"> existente); y la Fase</w:t>
      </w:r>
      <w:r w:rsidR="002F3373">
        <w:rPr>
          <w:lang w:val="es-ES"/>
        </w:rPr>
        <w:t> </w:t>
      </w:r>
      <w:r w:rsidRPr="00487485">
        <w:rPr>
          <w:lang w:val="es-ES"/>
        </w:rPr>
        <w:t>3 (Crear un equipo de proyecto para implementar un marco común, un sistema de seguridad y una base de datos espacial centralizada). El GAR alentó a los Estados Miembros y a los Miembros de Sector a formular comentarios sobre la Fase</w:t>
      </w:r>
      <w:r w:rsidR="00056B87">
        <w:rPr>
          <w:lang w:val="es-ES"/>
        </w:rPr>
        <w:t> </w:t>
      </w:r>
      <w:r w:rsidRPr="00487485">
        <w:rPr>
          <w:lang w:val="es-ES"/>
        </w:rPr>
        <w:t>3.</w:t>
      </w:r>
    </w:p>
    <w:p w14:paraId="2C828FCB" w14:textId="77777777" w:rsidR="00487485" w:rsidRPr="00487485" w:rsidRDefault="00487485" w:rsidP="00487485">
      <w:pPr>
        <w:rPr>
          <w:lang w:val="es-ES"/>
        </w:rPr>
      </w:pPr>
      <w:r w:rsidRPr="00487485">
        <w:rPr>
          <w:lang w:val="es-ES"/>
        </w:rPr>
        <w:t xml:space="preserve">En 2023, la BR continuó manteniendo el </w:t>
      </w:r>
      <w:r w:rsidRPr="00487485">
        <w:rPr>
          <w:i/>
          <w:iCs/>
          <w:lang w:val="es-ES"/>
        </w:rPr>
        <w:t>software</w:t>
      </w:r>
      <w:r w:rsidRPr="00487485">
        <w:rPr>
          <w:lang w:val="es-ES"/>
        </w:rPr>
        <w:t xml:space="preserve"> existente, al tiempo que trabajaba en la implementación de nuevas versiones de aplicaciones de </w:t>
      </w:r>
      <w:r w:rsidRPr="00487485">
        <w:rPr>
          <w:i/>
          <w:iCs/>
          <w:lang w:val="es-ES"/>
        </w:rPr>
        <w:t>software</w:t>
      </w:r>
      <w:r w:rsidRPr="00487485">
        <w:rPr>
          <w:lang w:val="es-ES"/>
        </w:rPr>
        <w:t xml:space="preserve"> fundamentales. Este esfuerzo paralelo es tanto una necesidad, dadas las exigencias operacionales, como la razón por la que ciertos proyectos de modernización siguen en curso.</w:t>
      </w:r>
    </w:p>
    <w:p w14:paraId="27D32D6C" w14:textId="1DEBFDDA" w:rsidR="00487485" w:rsidRPr="00487485" w:rsidRDefault="00487485" w:rsidP="002F3373">
      <w:pPr>
        <w:pStyle w:val="Heading3"/>
        <w:rPr>
          <w:lang w:val="es-ES"/>
        </w:rPr>
      </w:pPr>
      <w:r w:rsidRPr="00487485">
        <w:rPr>
          <w:lang w:val="es-ES"/>
        </w:rPr>
        <w:t>7.2.1</w:t>
      </w:r>
      <w:r w:rsidRPr="00487485">
        <w:rPr>
          <w:lang w:val="es-ES"/>
        </w:rPr>
        <w:tab/>
        <w:t>Progresos hacia los objetivos de la Fase</w:t>
      </w:r>
      <w:r w:rsidR="00056B87">
        <w:rPr>
          <w:lang w:val="es-ES"/>
        </w:rPr>
        <w:t> </w:t>
      </w:r>
      <w:r w:rsidRPr="00487485">
        <w:rPr>
          <w:lang w:val="es-ES"/>
        </w:rPr>
        <w:t>2 de la hoja de ruta</w:t>
      </w:r>
    </w:p>
    <w:p w14:paraId="6B82576E" w14:textId="5AEB619B" w:rsidR="00487485" w:rsidRPr="00487485" w:rsidRDefault="00487485" w:rsidP="002F3373">
      <w:pPr>
        <w:pStyle w:val="Heading4"/>
        <w:rPr>
          <w:lang w:val="es-ES"/>
        </w:rPr>
      </w:pPr>
      <w:r w:rsidRPr="00487485">
        <w:rPr>
          <w:lang w:val="es-ES"/>
        </w:rPr>
        <w:t>7.2.1.1</w:t>
      </w:r>
      <w:r w:rsidRPr="00487485">
        <w:rPr>
          <w:lang w:val="es-ES"/>
        </w:rPr>
        <w:tab/>
      </w:r>
      <w:bookmarkStart w:id="23" w:name="_Hlk34385380"/>
      <w:r w:rsidRPr="00487485">
        <w:rPr>
          <w:lang w:val="es-ES"/>
        </w:rPr>
        <w:t xml:space="preserve">Reescritura del </w:t>
      </w:r>
      <w:bookmarkEnd w:id="23"/>
      <w:r w:rsidRPr="00487485">
        <w:rPr>
          <w:i/>
          <w:iCs/>
          <w:lang w:val="es-ES"/>
        </w:rPr>
        <w:t>software</w:t>
      </w:r>
      <w:r w:rsidRPr="00487485">
        <w:rPr>
          <w:lang w:val="es-ES"/>
        </w:rPr>
        <w:t xml:space="preserve"> existente para los exámenes técnicos</w:t>
      </w:r>
    </w:p>
    <w:p w14:paraId="026116F1" w14:textId="5256D482" w:rsidR="00487485" w:rsidRPr="00487485" w:rsidRDefault="002F3373" w:rsidP="002F3373">
      <w:pPr>
        <w:pStyle w:val="enumlev1"/>
        <w:rPr>
          <w:lang w:val="es-ES"/>
        </w:rPr>
      </w:pPr>
      <w:r w:rsidRPr="002F3373">
        <w:rPr>
          <w:lang w:val="es-ES"/>
        </w:rPr>
        <w:t>•</w:t>
      </w:r>
      <w:r>
        <w:rPr>
          <w:lang w:val="es-ES"/>
        </w:rPr>
        <w:tab/>
      </w:r>
      <w:r w:rsidR="00487485" w:rsidRPr="00487485">
        <w:rPr>
          <w:lang w:val="es-ES"/>
        </w:rPr>
        <w:t xml:space="preserve">Reescritura del examen de la DFP para la protección de los servicios espaciales: el </w:t>
      </w:r>
      <w:r w:rsidR="00487485" w:rsidRPr="002F3373">
        <w:rPr>
          <w:i/>
          <w:iCs/>
        </w:rPr>
        <w:t>software</w:t>
      </w:r>
      <w:r w:rsidR="00487485" w:rsidRPr="00487485">
        <w:rPr>
          <w:lang w:val="es-ES"/>
        </w:rPr>
        <w:t xml:space="preserve"> PXT modernizado está en pruebas y se completará en 2024.</w:t>
      </w:r>
    </w:p>
    <w:p w14:paraId="61B9D851" w14:textId="5C56FF2C" w:rsidR="00487485" w:rsidRPr="00487485" w:rsidRDefault="002F3373" w:rsidP="002F3373">
      <w:pPr>
        <w:pStyle w:val="enumlev1"/>
        <w:rPr>
          <w:lang w:val="es-ES"/>
        </w:rPr>
      </w:pPr>
      <w:r w:rsidRPr="002F3373">
        <w:rPr>
          <w:lang w:val="es-ES"/>
        </w:rPr>
        <w:t>•</w:t>
      </w:r>
      <w:r>
        <w:rPr>
          <w:lang w:val="es-ES"/>
        </w:rPr>
        <w:tab/>
      </w:r>
      <w:r w:rsidR="00487485" w:rsidRPr="00487485">
        <w:rPr>
          <w:lang w:val="es-ES"/>
        </w:rPr>
        <w:t>Migración de los componentes del Fortran del GIMS: trabajo muy avanzado, se completará en 2024.</w:t>
      </w:r>
    </w:p>
    <w:p w14:paraId="31AC812F" w14:textId="38AEAC21" w:rsidR="00487485" w:rsidRPr="00487485" w:rsidRDefault="002F3373" w:rsidP="002F3373">
      <w:pPr>
        <w:pStyle w:val="enumlev1"/>
        <w:rPr>
          <w:lang w:val="es-ES"/>
        </w:rPr>
      </w:pPr>
      <w:r w:rsidRPr="002F3373">
        <w:rPr>
          <w:lang w:val="es-ES"/>
        </w:rPr>
        <w:t>•</w:t>
      </w:r>
      <w:r>
        <w:rPr>
          <w:lang w:val="es-ES"/>
        </w:rPr>
        <w:tab/>
      </w:r>
      <w:r w:rsidR="00487485" w:rsidRPr="00487485">
        <w:rPr>
          <w:lang w:val="es-ES"/>
        </w:rPr>
        <w:t>Mspace – Migración de los componentes de Visual Basic 6 a .NET: en curso.</w:t>
      </w:r>
    </w:p>
    <w:p w14:paraId="41E4A5D1" w14:textId="2897E4F2" w:rsidR="00487485" w:rsidRPr="00487485" w:rsidRDefault="00487485" w:rsidP="002F3373">
      <w:pPr>
        <w:pStyle w:val="Heading4"/>
        <w:rPr>
          <w:lang w:val="es-ES"/>
        </w:rPr>
      </w:pPr>
      <w:r w:rsidRPr="00487485">
        <w:rPr>
          <w:lang w:val="es-ES"/>
        </w:rPr>
        <w:t>7.2.1.2</w:t>
      </w:r>
      <w:r w:rsidRPr="00487485">
        <w:rPr>
          <w:lang w:val="es-ES"/>
        </w:rPr>
        <w:tab/>
        <w:t>Diseño y desarrollo del sistema de información espacial de la BR (BR</w:t>
      </w:r>
      <w:r w:rsidR="00056B87">
        <w:rPr>
          <w:lang w:val="es-ES"/>
        </w:rPr>
        <w:t> </w:t>
      </w:r>
      <w:r w:rsidRPr="00487485">
        <w:rPr>
          <w:lang w:val="es-ES"/>
        </w:rPr>
        <w:t>SIS)</w:t>
      </w:r>
    </w:p>
    <w:p w14:paraId="7BBA102C" w14:textId="2A1F3EC0" w:rsidR="00487485" w:rsidRPr="00487485" w:rsidRDefault="002F3373" w:rsidP="002F3373">
      <w:pPr>
        <w:pStyle w:val="enumlev1"/>
        <w:rPr>
          <w:lang w:val="es-ES"/>
        </w:rPr>
      </w:pPr>
      <w:r w:rsidRPr="002F3373">
        <w:rPr>
          <w:lang w:val="es-ES"/>
        </w:rPr>
        <w:t>•</w:t>
      </w:r>
      <w:r>
        <w:rPr>
          <w:lang w:val="es-ES"/>
        </w:rPr>
        <w:tab/>
      </w:r>
      <w:r w:rsidR="00487485" w:rsidRPr="00487485">
        <w:rPr>
          <w:lang w:val="es-ES"/>
        </w:rPr>
        <w:t>Reescritura de la versión de SpaceCap en Visual Basic 6: en curso. En 2023, se continuó con los trabajos fundamentales en relación con el marco de la nueva aplicación BRSIS</w:t>
      </w:r>
      <w:r w:rsidR="00056B87">
        <w:rPr>
          <w:lang w:val="es-ES"/>
        </w:rPr>
        <w:noBreakHyphen/>
      </w:r>
      <w:r w:rsidR="00487485" w:rsidRPr="00487485">
        <w:rPr>
          <w:lang w:val="es-ES"/>
        </w:rPr>
        <w:t>Capture, con el objetivo de aplicar parcialmente las decisiones de la CMR-23 en BRSIS</w:t>
      </w:r>
      <w:r w:rsidR="00056B87">
        <w:rPr>
          <w:lang w:val="es-ES"/>
        </w:rPr>
        <w:noBreakHyphen/>
      </w:r>
      <w:r w:rsidR="00487485" w:rsidRPr="00487485">
        <w:rPr>
          <w:lang w:val="es-ES"/>
        </w:rPr>
        <w:t xml:space="preserve">Capture v10.5 (una versión intermedia del </w:t>
      </w:r>
      <w:r w:rsidR="00487485" w:rsidRPr="002F3373">
        <w:rPr>
          <w:i/>
          <w:iCs/>
        </w:rPr>
        <w:t>software</w:t>
      </w:r>
      <w:r w:rsidR="00487485" w:rsidRPr="00487485">
        <w:rPr>
          <w:lang w:val="es-ES"/>
        </w:rPr>
        <w:t xml:space="preserve"> espacial de la BR centrada en la modernización de las bases de datos, como se explica en </w:t>
      </w:r>
      <w:hyperlink w:anchor="_7.2.2_Progresos_hacia">
        <w:r w:rsidR="00487485" w:rsidRPr="00487485">
          <w:rPr>
            <w:rStyle w:val="Hyperlink"/>
            <w:lang w:val="es-ES"/>
          </w:rPr>
          <w:t>7.2.2</w:t>
        </w:r>
      </w:hyperlink>
      <w:r w:rsidR="00487485" w:rsidRPr="00487485">
        <w:rPr>
          <w:lang w:val="es-ES"/>
        </w:rPr>
        <w:t xml:space="preserve"> </w:t>
      </w:r>
      <w:r w:rsidR="00487485" w:rsidRPr="002F3373">
        <w:rPr>
          <w:i/>
          <w:iCs/>
        </w:rPr>
        <w:t>infra</w:t>
      </w:r>
      <w:r w:rsidR="00487485" w:rsidRPr="00487485">
        <w:rPr>
          <w:lang w:val="es-ES"/>
        </w:rPr>
        <w:t>).</w:t>
      </w:r>
    </w:p>
    <w:p w14:paraId="2C0B729A" w14:textId="1476FEBD" w:rsidR="00487485" w:rsidRPr="00487485" w:rsidRDefault="002F3373" w:rsidP="002F3373">
      <w:pPr>
        <w:pStyle w:val="enumlev1"/>
        <w:rPr>
          <w:lang w:val="es-ES"/>
        </w:rPr>
      </w:pPr>
      <w:r w:rsidRPr="002F3373">
        <w:rPr>
          <w:lang w:val="es-ES"/>
        </w:rPr>
        <w:t>•</w:t>
      </w:r>
      <w:r>
        <w:rPr>
          <w:lang w:val="es-ES"/>
        </w:rPr>
        <w:tab/>
      </w:r>
      <w:r w:rsidR="00487485" w:rsidRPr="00487485">
        <w:rPr>
          <w:lang w:val="es-ES"/>
        </w:rPr>
        <w:t xml:space="preserve">Migración de SRS MDB a tecnologías más modernas: aunque la opción tecnológica que reemplazará a los archivos MDB es evidente, la migración afectará de manera importante a la tramitación interna de los servicios espaciales en la BR. Debido a la existencia de prioridades más urgentes en 2023 y 2024, no se continuará trabajando en este tema hasta que se hayan ejecutado las decisiones de la CMR-23. Se conservará durante un tiempo la compatibilidad retroactiva con el formato MDB, así como las herramientas de conversión, cuando las aplicaciones de </w:t>
      </w:r>
      <w:r w:rsidR="00487485" w:rsidRPr="002F3373">
        <w:rPr>
          <w:i/>
          <w:iCs/>
        </w:rPr>
        <w:t>software</w:t>
      </w:r>
      <w:r w:rsidR="00487485" w:rsidRPr="00487485">
        <w:rPr>
          <w:lang w:val="es-ES"/>
        </w:rPr>
        <w:t xml:space="preserve"> espaciales de la BR se hayan trasladado a SQLite.</w:t>
      </w:r>
    </w:p>
    <w:p w14:paraId="4E385948" w14:textId="0BB70A3E" w:rsidR="00487485" w:rsidRPr="00487485" w:rsidRDefault="002F3373" w:rsidP="007B7BFD">
      <w:pPr>
        <w:pStyle w:val="enumlev1"/>
        <w:rPr>
          <w:lang w:val="es-ES"/>
        </w:rPr>
      </w:pPr>
      <w:r w:rsidRPr="002F3373">
        <w:rPr>
          <w:lang w:val="es-ES"/>
        </w:rPr>
        <w:t>•</w:t>
      </w:r>
      <w:r>
        <w:rPr>
          <w:lang w:val="es-ES"/>
        </w:rPr>
        <w:tab/>
      </w:r>
      <w:r w:rsidR="00487485" w:rsidRPr="00487485">
        <w:rPr>
          <w:lang w:val="es-ES"/>
        </w:rPr>
        <w:t>Migración de la base de datos SNS de Ingres a SQL Server: la migración de las aplicaciones de tramitación interna específicas del entorno Ingres siguió su curso en 2023. Se detectó una necesidad imprevista de cambios internos importantes en la aplicación SpaceCap existente, lo que retrasó las pruebas beta hasta el segundo trimestre de 2024. Se espera que la migración quede completada a finales de 2024.</w:t>
      </w:r>
    </w:p>
    <w:p w14:paraId="62C6091A" w14:textId="00C47EDE" w:rsidR="00487485" w:rsidRPr="00487485" w:rsidRDefault="002F3373" w:rsidP="002F3373">
      <w:pPr>
        <w:pStyle w:val="enumlev1"/>
        <w:rPr>
          <w:lang w:val="es-ES"/>
        </w:rPr>
      </w:pPr>
      <w:r w:rsidRPr="002F3373">
        <w:rPr>
          <w:lang w:val="es-ES"/>
        </w:rPr>
        <w:lastRenderedPageBreak/>
        <w:t>•</w:t>
      </w:r>
      <w:r>
        <w:rPr>
          <w:lang w:val="es-ES"/>
        </w:rPr>
        <w:tab/>
      </w:r>
      <w:r w:rsidR="00487485" w:rsidRPr="00487485">
        <w:rPr>
          <w:lang w:val="es-ES"/>
        </w:rPr>
        <w:t>Examen de SNTrack: en curso. SNTrack se reemplazará gradualmente por un sistema de información de gestión espacial, que complementará la funcionalidad de administración del sistema e-Submissions.</w:t>
      </w:r>
    </w:p>
    <w:p w14:paraId="62582480" w14:textId="03A59158" w:rsidR="00487485" w:rsidRPr="00487485" w:rsidRDefault="002F3373" w:rsidP="002F3373">
      <w:pPr>
        <w:pStyle w:val="enumlev1"/>
        <w:rPr>
          <w:lang w:val="es-ES"/>
        </w:rPr>
      </w:pPr>
      <w:r w:rsidRPr="002F3373">
        <w:rPr>
          <w:lang w:val="es-ES"/>
        </w:rPr>
        <w:t>•</w:t>
      </w:r>
      <w:r>
        <w:rPr>
          <w:lang w:val="es-ES"/>
        </w:rPr>
        <w:tab/>
      </w:r>
      <w:r w:rsidR="00487485" w:rsidRPr="00487485">
        <w:rPr>
          <w:lang w:val="es-ES"/>
        </w:rPr>
        <w:t xml:space="preserve">Examen de la SNS en línea (y fusión con la SNL en línea): en curso. El desarrollo de la aplicación web «ITU Space Explorer», que reemplazará el sistema de minería de datos que se incluía previamente en la SNS en línea y la SNL en línea, forma parte de los productos para responder al </w:t>
      </w:r>
      <w:r w:rsidR="00487485" w:rsidRPr="002F3373">
        <w:rPr>
          <w:i/>
          <w:iCs/>
        </w:rPr>
        <w:t>encarga</w:t>
      </w:r>
      <w:r>
        <w:rPr>
          <w:lang w:val="es-ES"/>
        </w:rPr>
        <w:t> </w:t>
      </w:r>
      <w:r w:rsidR="00487485" w:rsidRPr="00487485">
        <w:rPr>
          <w:lang w:val="es-ES"/>
        </w:rPr>
        <w:t>4 de la Resolución</w:t>
      </w:r>
      <w:r>
        <w:rPr>
          <w:lang w:val="es-ES"/>
        </w:rPr>
        <w:t> </w:t>
      </w:r>
      <w:r w:rsidR="00487485" w:rsidRPr="002F3373">
        <w:rPr>
          <w:b/>
          <w:bCs/>
        </w:rPr>
        <w:t>186 (Rev.PP-22</w:t>
      </w:r>
      <w:r w:rsidR="00056B87">
        <w:rPr>
          <w:b/>
          <w:bCs/>
        </w:rPr>
        <w:t>,</w:t>
      </w:r>
      <w:r w:rsidR="00487485" w:rsidRPr="002F3373">
        <w:rPr>
          <w:b/>
          <w:bCs/>
        </w:rPr>
        <w:t xml:space="preserve"> Bucarest)</w:t>
      </w:r>
      <w:r w:rsidR="00487485" w:rsidRPr="00487485">
        <w:rPr>
          <w:lang w:val="es-ES"/>
        </w:rPr>
        <w:t>. En 2023 progresó la Fase 1 del proyecto y se pudo poner a prueba una funcionalidad nueva a tiempo para la CMR-23, con excelentes valoraciones de los delegados. La entrega completa del producto se espera para el segundo trimestre de 2024.</w:t>
      </w:r>
    </w:p>
    <w:p w14:paraId="6A7D3E94" w14:textId="1406AE4B" w:rsidR="00487485" w:rsidRPr="00487485" w:rsidRDefault="00487485" w:rsidP="002F3373">
      <w:pPr>
        <w:pStyle w:val="Heading3"/>
        <w:rPr>
          <w:lang w:val="es-ES"/>
        </w:rPr>
      </w:pPr>
      <w:bookmarkStart w:id="24" w:name="_7.2.2_Progresos_hacia"/>
      <w:bookmarkEnd w:id="24"/>
      <w:r w:rsidRPr="00487485">
        <w:rPr>
          <w:lang w:val="es-ES"/>
        </w:rPr>
        <w:t>7.2.2</w:t>
      </w:r>
      <w:r w:rsidRPr="00487485">
        <w:rPr>
          <w:lang w:val="es-ES"/>
        </w:rPr>
        <w:tab/>
        <w:t>Progresos hacia los objetivos de la Fase</w:t>
      </w:r>
      <w:r w:rsidR="00056B87">
        <w:rPr>
          <w:lang w:val="es-ES"/>
        </w:rPr>
        <w:t> </w:t>
      </w:r>
      <w:r w:rsidRPr="00487485">
        <w:rPr>
          <w:lang w:val="es-ES"/>
        </w:rPr>
        <w:t>3 de la hoja de ruta</w:t>
      </w:r>
    </w:p>
    <w:p w14:paraId="61D6AC2C" w14:textId="7E1D829D" w:rsidR="00487485" w:rsidRPr="00487485" w:rsidRDefault="00487485" w:rsidP="00487485">
      <w:pPr>
        <w:rPr>
          <w:lang w:val="es-ES"/>
        </w:rPr>
      </w:pPr>
      <w:r w:rsidRPr="00487485">
        <w:rPr>
          <w:lang w:val="es-ES"/>
        </w:rPr>
        <w:t>El trabajo realizado durante las fases anteriores, así como las opciones tecnológicas y de diseño adoptadas, constituyen la base para finalizar de forma satisfactoria la Fase</w:t>
      </w:r>
      <w:r w:rsidR="00056B87">
        <w:rPr>
          <w:lang w:val="es-ES"/>
        </w:rPr>
        <w:t> </w:t>
      </w:r>
      <w:r w:rsidRPr="00487485">
        <w:rPr>
          <w:lang w:val="es-ES"/>
        </w:rPr>
        <w:t>3, que se desarrollará de la forma siguiente:</w:t>
      </w:r>
    </w:p>
    <w:p w14:paraId="03981038" w14:textId="7BE457A8" w:rsidR="00487485" w:rsidRPr="00487485" w:rsidRDefault="002F3373" w:rsidP="002F3373">
      <w:pPr>
        <w:pStyle w:val="enumlev1"/>
        <w:rPr>
          <w:lang w:val="es-ES"/>
        </w:rPr>
      </w:pPr>
      <w:r w:rsidRPr="002F3373">
        <w:rPr>
          <w:lang w:val="es-ES"/>
        </w:rPr>
        <w:t>•</w:t>
      </w:r>
      <w:r>
        <w:rPr>
          <w:lang w:val="es-ES"/>
        </w:rPr>
        <w:tab/>
      </w:r>
      <w:r w:rsidR="00487485" w:rsidRPr="00487485">
        <w:rPr>
          <w:lang w:val="es-ES"/>
        </w:rPr>
        <w:t>El rediseño de la arquitectura, conservando la equivalencia de los datos, a fin de eliminar ciertas redundancias se entregará como v10.5 a principios de 2027, en el punto intermedio entre la implementación de las decisiones de la CRM-23 y la CMR-27, a fin de no modificar la arquitectura de la base de datos con excesiva frecuencia.</w:t>
      </w:r>
    </w:p>
    <w:p w14:paraId="7BB2EDF6" w14:textId="0203B9AA" w:rsidR="00487485" w:rsidRPr="00487485" w:rsidRDefault="002F3373" w:rsidP="002F3373">
      <w:pPr>
        <w:pStyle w:val="enumlev1"/>
        <w:rPr>
          <w:lang w:val="es-ES"/>
        </w:rPr>
      </w:pPr>
      <w:r w:rsidRPr="002F3373">
        <w:rPr>
          <w:lang w:val="es-ES"/>
        </w:rPr>
        <w:t>•</w:t>
      </w:r>
      <w:r>
        <w:rPr>
          <w:lang w:val="es-ES"/>
        </w:rPr>
        <w:tab/>
      </w:r>
      <w:r w:rsidR="00487485" w:rsidRPr="00487485">
        <w:rPr>
          <w:lang w:val="es-ES"/>
        </w:rPr>
        <w:t>Las actividades relacionadas con la centralización y racionalización de la gestión de riesgos, la recuperación y la seguridad están en curso.</w:t>
      </w:r>
    </w:p>
    <w:p w14:paraId="1047A165" w14:textId="77777777" w:rsidR="00FE4D65" w:rsidRPr="00FE4D65" w:rsidRDefault="00FE4D65" w:rsidP="00FE4D65">
      <w:pPr>
        <w:pStyle w:val="Heading2"/>
        <w:rPr>
          <w:lang w:val="es-ES"/>
        </w:rPr>
      </w:pPr>
      <w:r w:rsidRPr="00FE4D65">
        <w:rPr>
          <w:lang w:val="es-ES"/>
        </w:rPr>
        <w:t>7.3</w:t>
      </w:r>
      <w:r w:rsidRPr="00FE4D65">
        <w:rPr>
          <w:lang w:val="es-ES"/>
        </w:rPr>
        <w:tab/>
        <w:t xml:space="preserve">Desarrollos de </w:t>
      </w:r>
      <w:r w:rsidRPr="00FE4D65">
        <w:rPr>
          <w:i/>
          <w:iCs/>
          <w:lang w:val="es-ES"/>
        </w:rPr>
        <w:t>software</w:t>
      </w:r>
      <w:r w:rsidRPr="00FE4D65">
        <w:rPr>
          <w:lang w:val="es-ES"/>
        </w:rPr>
        <w:t xml:space="preserve"> relacionados con los servicios espaciales</w:t>
      </w:r>
      <w:bookmarkStart w:id="25" w:name="lt_pId506"/>
      <w:bookmarkEnd w:id="25"/>
    </w:p>
    <w:p w14:paraId="2707539E" w14:textId="01DA1C4F" w:rsidR="00FE4D65" w:rsidRPr="00FE4D65" w:rsidRDefault="00FE4D65" w:rsidP="00FE4D65">
      <w:pPr>
        <w:pStyle w:val="Heading3"/>
        <w:rPr>
          <w:lang w:val="es-ES"/>
        </w:rPr>
      </w:pPr>
      <w:r w:rsidRPr="00FE4D65">
        <w:rPr>
          <w:lang w:val="es-ES"/>
        </w:rPr>
        <w:t>7.3.1</w:t>
      </w:r>
      <w:r w:rsidRPr="00FE4D65">
        <w:rPr>
          <w:lang w:val="es-ES"/>
        </w:rPr>
        <w:tab/>
        <w:t>Aplicación de la Resolución</w:t>
      </w:r>
      <w:r w:rsidR="007B67C9">
        <w:rPr>
          <w:lang w:val="es-ES"/>
        </w:rPr>
        <w:t> </w:t>
      </w:r>
      <w:r w:rsidRPr="00FE4D65">
        <w:rPr>
          <w:lang w:val="es-ES"/>
        </w:rPr>
        <w:t>907 (Rev.CMR-15): Utilización de medios electrónicos modernos de comunicación para la correspondencia administrativa relativa a las redes de satélites</w:t>
      </w:r>
      <w:bookmarkStart w:id="26" w:name="lt_pId508"/>
      <w:bookmarkEnd w:id="26"/>
    </w:p>
    <w:p w14:paraId="5F1FA984" w14:textId="7585EFFD" w:rsidR="00FE4D65" w:rsidRPr="00FE4D65" w:rsidRDefault="00FE4D65" w:rsidP="00FE4D65">
      <w:pPr>
        <w:rPr>
          <w:lang w:val="es-ES"/>
        </w:rPr>
      </w:pPr>
      <w:bookmarkStart w:id="27" w:name="lt_pId509"/>
      <w:r w:rsidRPr="00FE4D65">
        <w:rPr>
          <w:lang w:val="es-ES"/>
        </w:rPr>
        <w:t xml:space="preserve">En 2023 prosiguieron los trabajos para la mejora y el mantenimiento del sistema en línea de comunicaciones electrónicas («e-Communications») que responde a la Resolución </w:t>
      </w:r>
      <w:r w:rsidRPr="00FE4D65">
        <w:rPr>
          <w:b/>
          <w:bCs/>
          <w:lang w:val="es-ES"/>
        </w:rPr>
        <w:t>907 (Rev.CMR</w:t>
      </w:r>
      <w:r>
        <w:rPr>
          <w:b/>
          <w:bCs/>
          <w:lang w:val="es-ES"/>
        </w:rPr>
        <w:noBreakHyphen/>
      </w:r>
      <w:r w:rsidRPr="00FE4D65">
        <w:rPr>
          <w:b/>
          <w:bCs/>
          <w:lang w:val="es-ES"/>
        </w:rPr>
        <w:t>15)</w:t>
      </w:r>
      <w:r w:rsidRPr="00FE4D65">
        <w:rPr>
          <w:lang w:val="es-ES"/>
        </w:rPr>
        <w:t>. El número de administraciones registradas es ya de 147, de las cuales, a 8 de febrero de 2024, 127 han enviado correspondencia por el sistema. Se está desarrollando la nueva función que se ha de integrar en el sistema de presentación electrónica y que facilitará el seguimiento de la correspondencia entre la Oficina y la administración notificante en relación con la correspondencia relativa a la admisibilidad, y cuya introducción está prevista para el primer semestre de 2024.</w:t>
      </w:r>
      <w:bookmarkStart w:id="28" w:name="lt_pId510"/>
      <w:bookmarkStart w:id="29" w:name="lt_pId511"/>
      <w:bookmarkEnd w:id="27"/>
      <w:bookmarkEnd w:id="28"/>
      <w:bookmarkEnd w:id="29"/>
    </w:p>
    <w:p w14:paraId="5CB713FA" w14:textId="68A30555" w:rsidR="00FE4D65" w:rsidRPr="00FE4D65" w:rsidRDefault="00FE4D65" w:rsidP="00FE4D65">
      <w:pPr>
        <w:pStyle w:val="Heading3"/>
        <w:rPr>
          <w:lang w:val="es-ES"/>
        </w:rPr>
      </w:pPr>
      <w:r w:rsidRPr="00FE4D65">
        <w:rPr>
          <w:lang w:val="es-ES"/>
        </w:rPr>
        <w:t>7.3.2</w:t>
      </w:r>
      <w:r w:rsidRPr="00FE4D65">
        <w:rPr>
          <w:lang w:val="es-ES"/>
        </w:rPr>
        <w:tab/>
        <w:t>Aplicación de la Resolución</w:t>
      </w:r>
      <w:r w:rsidR="007B67C9">
        <w:rPr>
          <w:lang w:val="es-ES"/>
        </w:rPr>
        <w:t> </w:t>
      </w:r>
      <w:r w:rsidRPr="00FE4D65">
        <w:rPr>
          <w:lang w:val="es-ES"/>
        </w:rPr>
        <w:t>908 (Rev.CMR-15): Presentación en formato electrónico de las notificaciones de redes de satélite</w:t>
      </w:r>
      <w:bookmarkStart w:id="30" w:name="lt_pId513"/>
      <w:bookmarkEnd w:id="30"/>
    </w:p>
    <w:p w14:paraId="768654A7" w14:textId="77777777" w:rsidR="00FE4D65" w:rsidRPr="00FE4D65" w:rsidRDefault="00FE4D65" w:rsidP="007B7BFD">
      <w:pPr>
        <w:rPr>
          <w:lang w:val="es-ES"/>
        </w:rPr>
      </w:pPr>
      <w:bookmarkStart w:id="31" w:name="lt_pId514"/>
      <w:r w:rsidRPr="00FE4D65">
        <w:rPr>
          <w:lang w:val="es-ES"/>
        </w:rPr>
        <w:t>El sistema de presentación electrónica de notificaciones («e-Submission») ha estado funcionando las 24 horas del día a lo largo de 2023 para que las administraciones y empresas de explotación pudieran notificar sus redes de satélites. El número de administraciones registradas asciende a 154 a 8 de febrero de 2024.</w:t>
      </w:r>
      <w:bookmarkStart w:id="32" w:name="lt_pId515"/>
      <w:bookmarkEnd w:id="31"/>
      <w:bookmarkEnd w:id="32"/>
    </w:p>
    <w:p w14:paraId="1A6A8E05" w14:textId="77777777" w:rsidR="00FE4D65" w:rsidRPr="00FE4D65" w:rsidRDefault="00FE4D65" w:rsidP="00FE4D65">
      <w:pPr>
        <w:rPr>
          <w:lang w:val="es-ES"/>
        </w:rPr>
      </w:pPr>
      <w:bookmarkStart w:id="33" w:name="lt_pId516"/>
      <w:r w:rsidRPr="00FE4D65">
        <w:rPr>
          <w:lang w:val="es-ES"/>
        </w:rPr>
        <w:t>En 2023 se aportaron al sistema e-Submission cuatro grandes actualizaciones. De conformidad con la Carta Circular CR/493, de 16 de enero de 2023, el sistema de presentación electrónica sólo acepta cargar notificaciones en formato SNS 9.1.</w:t>
      </w:r>
      <w:bookmarkStart w:id="34" w:name="lt_pId517"/>
      <w:bookmarkEnd w:id="33"/>
      <w:bookmarkEnd w:id="34"/>
    </w:p>
    <w:p w14:paraId="04D71955" w14:textId="0ADC1921" w:rsidR="00FE4D65" w:rsidRPr="00FE4D65" w:rsidRDefault="00FE4D65" w:rsidP="00FE4D65">
      <w:pPr>
        <w:rPr>
          <w:lang w:val="es-ES"/>
        </w:rPr>
      </w:pPr>
      <w:bookmarkStart w:id="35" w:name="lt_pId518"/>
      <w:r w:rsidRPr="00FE4D65">
        <w:rPr>
          <w:lang w:val="es-ES"/>
        </w:rPr>
        <w:t>Además, el 17 de septiembre de 2023 se introdujo en e-Submission el nuevo estado «Published in BR</w:t>
      </w:r>
      <w:r w:rsidR="007B67C9">
        <w:rPr>
          <w:lang w:val="es-ES"/>
        </w:rPr>
        <w:t> </w:t>
      </w:r>
      <w:r w:rsidRPr="00FE4D65">
        <w:rPr>
          <w:lang w:val="es-ES"/>
        </w:rPr>
        <w:t xml:space="preserve">IFIC» (publicada en la BR IFIC). Cuando, de conformidad con el Reglamento de Radiocomunicaciones, se publica una notificación en una Sección Especial o en la Parte I-S de la </w:t>
      </w:r>
      <w:r w:rsidRPr="00FE4D65">
        <w:rPr>
          <w:lang w:val="es-ES"/>
        </w:rPr>
        <w:lastRenderedPageBreak/>
        <w:t>BR IFIC (Servicios espaciales), el estado de la notificación en e-Submission pasa de «Published As</w:t>
      </w:r>
      <w:r w:rsidR="007B67C9">
        <w:rPr>
          <w:lang w:val="es-ES"/>
        </w:rPr>
        <w:noBreakHyphen/>
      </w:r>
      <w:r w:rsidRPr="00FE4D65">
        <w:rPr>
          <w:lang w:val="es-ES"/>
        </w:rPr>
        <w:t>Received» (publicada tal y como se recibió) a «Published in BR</w:t>
      </w:r>
      <w:r w:rsidR="007B67C9">
        <w:rPr>
          <w:lang w:val="es-ES"/>
        </w:rPr>
        <w:t> </w:t>
      </w:r>
      <w:r w:rsidRPr="00FE4D65">
        <w:rPr>
          <w:lang w:val="es-ES"/>
        </w:rPr>
        <w:t>IFIC» (publicada en la BR</w:t>
      </w:r>
      <w:r w:rsidR="007B67C9">
        <w:rPr>
          <w:lang w:val="es-ES"/>
        </w:rPr>
        <w:t> </w:t>
      </w:r>
      <w:r w:rsidRPr="00FE4D65">
        <w:rPr>
          <w:lang w:val="es-ES"/>
        </w:rPr>
        <w:t>IFIC).</w:t>
      </w:r>
      <w:bookmarkStart w:id="36" w:name="lt_pId519"/>
      <w:bookmarkEnd w:id="35"/>
      <w:bookmarkEnd w:id="36"/>
    </w:p>
    <w:p w14:paraId="4AF3783E" w14:textId="3DD3DBAD" w:rsidR="00FE4D65" w:rsidRPr="00FE4D65" w:rsidRDefault="00FE4D65" w:rsidP="00FE4D65">
      <w:pPr>
        <w:rPr>
          <w:lang w:val="es-ES"/>
        </w:rPr>
      </w:pPr>
      <w:bookmarkStart w:id="37" w:name="lt_pId520"/>
      <w:r w:rsidRPr="00FE4D65">
        <w:rPr>
          <w:lang w:val="es-ES"/>
        </w:rPr>
        <w:t>Además, el 1 de octubre de 2023, se puso en marcha la nueva herramienta de examen en línea, «e</w:t>
      </w:r>
      <w:r w:rsidR="007B67C9">
        <w:rPr>
          <w:lang w:val="es-ES"/>
        </w:rPr>
        <w:noBreakHyphen/>
      </w:r>
      <w:r w:rsidRPr="00FE4D65">
        <w:rPr>
          <w:lang w:val="es-ES"/>
        </w:rPr>
        <w:t>Examination», en el marco del sistema e-Submission. La herramienta e-Examination ayuda a las administraciones a verificar el cumplimiento de los límites de dfp y p.i.r.e. especificados en el Reglamento de Radiocomunicaciones a la hora de presentar sus notificaciones de redes de satélites a la Oficina o a otras administraciones. Esta función se proporciona con fines informativos y para facilitar la tarea de la administración/operador notificante y no afecta a la situación reglamentaria de la notificación en términos de admisibilidad o conclusiones.</w:t>
      </w:r>
      <w:bookmarkStart w:id="38" w:name="lt_pId521"/>
      <w:bookmarkStart w:id="39" w:name="lt_pId522"/>
      <w:bookmarkEnd w:id="37"/>
      <w:bookmarkEnd w:id="38"/>
      <w:bookmarkEnd w:id="39"/>
    </w:p>
    <w:p w14:paraId="7958BC5C" w14:textId="77777777" w:rsidR="00FE4D65" w:rsidRPr="00FE4D65" w:rsidRDefault="00FE4D65" w:rsidP="00FE4D65">
      <w:pPr>
        <w:rPr>
          <w:lang w:val="es-ES"/>
        </w:rPr>
      </w:pPr>
      <w:bookmarkStart w:id="40" w:name="lt_pId523"/>
      <w:r w:rsidRPr="00FE4D65">
        <w:rPr>
          <w:lang w:val="es-ES"/>
        </w:rPr>
        <w:t>Para satisfacer las necesidades inmediatas relativas a las nuevas notificaciones derivadas de las decisiones de la CMR-23, la Oficina implementó el 16 de diciembre de 2023 una nueva función para capturar y presentar datos adicionales en la interfaz e-Submission.</w:t>
      </w:r>
      <w:bookmarkEnd w:id="40"/>
    </w:p>
    <w:p w14:paraId="5C3F0D75" w14:textId="10FDA5C1" w:rsidR="00FE4D65" w:rsidRPr="00FE4D65" w:rsidRDefault="00FE4D65" w:rsidP="00FE4D65">
      <w:pPr>
        <w:rPr>
          <w:lang w:val="es-ES"/>
        </w:rPr>
      </w:pPr>
      <w:bookmarkStart w:id="41" w:name="lt_pId524"/>
      <w:r w:rsidRPr="00FE4D65">
        <w:rPr>
          <w:lang w:val="es-ES"/>
        </w:rPr>
        <w:t>Se está trabajando para ofrecer otras funciones, como la integración con el sistema e</w:t>
      </w:r>
      <w:r w:rsidR="007B67C9">
        <w:rPr>
          <w:lang w:val="es-ES"/>
        </w:rPr>
        <w:noBreakHyphen/>
      </w:r>
      <w:r w:rsidRPr="00FE4D65">
        <w:rPr>
          <w:lang w:val="es-ES"/>
        </w:rPr>
        <w:t>Communications, cuya introducción está prevista para el primer trimestre de 2024. La Oficina también desarrollará el sistema de presentación de observaciones en línea, aunque esta tarea puede depender de la disponibilidad de recursos adicionales.</w:t>
      </w:r>
      <w:bookmarkStart w:id="42" w:name="lt_pId525"/>
      <w:bookmarkEnd w:id="41"/>
      <w:bookmarkEnd w:id="42"/>
    </w:p>
    <w:p w14:paraId="79F41B0A" w14:textId="75497553" w:rsidR="00FE4D65" w:rsidRPr="00FE4D65" w:rsidRDefault="00FE4D65" w:rsidP="00FE4D65">
      <w:pPr>
        <w:rPr>
          <w:lang w:val="es-ES"/>
        </w:rPr>
      </w:pPr>
      <w:bookmarkStart w:id="43" w:name="lt_pId526"/>
      <w:r w:rsidRPr="00FE4D65">
        <w:rPr>
          <w:lang w:val="es-ES"/>
        </w:rPr>
        <w:t>Cabe señalar que la CMR-23 fusionó las Resoluciones</w:t>
      </w:r>
      <w:r w:rsidR="007B67C9">
        <w:rPr>
          <w:lang w:val="es-ES"/>
        </w:rPr>
        <w:t> </w:t>
      </w:r>
      <w:r w:rsidRPr="00FE4D65">
        <w:rPr>
          <w:b/>
          <w:bCs/>
          <w:lang w:val="es-ES"/>
        </w:rPr>
        <w:t>907</w:t>
      </w:r>
      <w:r w:rsidRPr="00FE4D65">
        <w:rPr>
          <w:lang w:val="es-ES"/>
        </w:rPr>
        <w:t xml:space="preserve"> y </w:t>
      </w:r>
      <w:r w:rsidRPr="00FE4D65">
        <w:rPr>
          <w:b/>
          <w:bCs/>
          <w:lang w:val="es-ES"/>
        </w:rPr>
        <w:t>908</w:t>
      </w:r>
      <w:r w:rsidRPr="00FE4D65">
        <w:rPr>
          <w:lang w:val="es-ES"/>
        </w:rPr>
        <w:t xml:space="preserve"> en la Resolución</w:t>
      </w:r>
      <w:r w:rsidR="007B67C9">
        <w:rPr>
          <w:lang w:val="es-ES"/>
        </w:rPr>
        <w:t> </w:t>
      </w:r>
      <w:r w:rsidRPr="00FE4D65">
        <w:rPr>
          <w:b/>
          <w:bCs/>
          <w:lang w:val="es-ES"/>
        </w:rPr>
        <w:t>55 (Rev.CMR</w:t>
      </w:r>
      <w:r>
        <w:rPr>
          <w:b/>
          <w:bCs/>
          <w:lang w:val="es-ES"/>
        </w:rPr>
        <w:noBreakHyphen/>
      </w:r>
      <w:r w:rsidRPr="00FE4D65">
        <w:rPr>
          <w:b/>
          <w:bCs/>
          <w:lang w:val="es-ES"/>
        </w:rPr>
        <w:t>23)</w:t>
      </w:r>
      <w:r w:rsidRPr="00FE4D65">
        <w:rPr>
          <w:lang w:val="es-ES"/>
        </w:rPr>
        <w:t>, por lo que todos los desarrollos futuros de los sistemas e-Submission y e</w:t>
      </w:r>
      <w:r w:rsidR="007B67C9">
        <w:rPr>
          <w:lang w:val="es-ES"/>
        </w:rPr>
        <w:noBreakHyphen/>
      </w:r>
      <w:r w:rsidRPr="00FE4D65">
        <w:rPr>
          <w:lang w:val="es-ES"/>
        </w:rPr>
        <w:t>Communications se realizarán con arreglo a la Resolución</w:t>
      </w:r>
      <w:r w:rsidR="007B67C9">
        <w:rPr>
          <w:lang w:val="es-ES"/>
        </w:rPr>
        <w:t> </w:t>
      </w:r>
      <w:r w:rsidRPr="00FE4D65">
        <w:rPr>
          <w:b/>
          <w:bCs/>
          <w:lang w:val="es-ES"/>
        </w:rPr>
        <w:t>55 (Rev.CMR-23)</w:t>
      </w:r>
      <w:r w:rsidRPr="00FE4D65">
        <w:rPr>
          <w:lang w:val="es-ES"/>
        </w:rPr>
        <w:t>.</w:t>
      </w:r>
      <w:bookmarkEnd w:id="43"/>
    </w:p>
    <w:p w14:paraId="24BE5129" w14:textId="77777777" w:rsidR="00FE4D65" w:rsidRPr="00FE4D65" w:rsidRDefault="00FE4D65" w:rsidP="00FE4D65">
      <w:pPr>
        <w:rPr>
          <w:lang w:val="es-ES"/>
        </w:rPr>
      </w:pPr>
      <w:bookmarkStart w:id="44" w:name="lt_pId527"/>
      <w:r w:rsidRPr="00FE4D65">
        <w:rPr>
          <w:lang w:val="es-ES"/>
        </w:rPr>
        <w:t>Con miras a facilitar el desarrollo y las pruebas de esta herramienta, la Administración de Japón ha realizado una contribución financiera y ha puesto a disposición un experto en cuestiones técnicas y normativas de los servicios espaciales en la Sede de la UIT. La Oficina de Radiocomunicaciones reitera su agradecimiento a la Administración de Japón por su constante apoyo y por la asistencia prestada en el desarrollo de este proyecto.</w:t>
      </w:r>
      <w:bookmarkStart w:id="45" w:name="lt_pId528"/>
      <w:bookmarkEnd w:id="44"/>
      <w:bookmarkEnd w:id="45"/>
    </w:p>
    <w:p w14:paraId="343C558E" w14:textId="192C7E24" w:rsidR="00FE4D65" w:rsidRPr="00FE4D65" w:rsidRDefault="00FE4D65" w:rsidP="00FE4D65">
      <w:pPr>
        <w:pStyle w:val="Heading3"/>
        <w:rPr>
          <w:lang w:val="es-ES"/>
        </w:rPr>
      </w:pPr>
      <w:r w:rsidRPr="00FE4D65">
        <w:rPr>
          <w:lang w:val="es-ES"/>
        </w:rPr>
        <w:t>7.3.3</w:t>
      </w:r>
      <w:r w:rsidRPr="00FE4D65">
        <w:rPr>
          <w:lang w:val="es-ES"/>
        </w:rPr>
        <w:tab/>
        <w:t>Migración de la BR IFIC (Servicios espaciales) de un formato DVD a un mecanismo en línea</w:t>
      </w:r>
      <w:bookmarkStart w:id="46" w:name="lt_pId530"/>
      <w:bookmarkEnd w:id="46"/>
    </w:p>
    <w:p w14:paraId="09AB0341" w14:textId="4DE21891" w:rsidR="00FE4D65" w:rsidRPr="00FE4D65" w:rsidRDefault="00FE4D65" w:rsidP="00FE4D65">
      <w:pPr>
        <w:rPr>
          <w:lang w:val="es-ES"/>
        </w:rPr>
      </w:pPr>
      <w:bookmarkStart w:id="47" w:name="lt_pId531"/>
      <w:r w:rsidRPr="00FE4D65">
        <w:rPr>
          <w:lang w:val="es-ES"/>
        </w:rPr>
        <w:t xml:space="preserve">Tras la obsolescencia de las tecnologías de </w:t>
      </w:r>
      <w:r w:rsidRPr="00FE4D65">
        <w:rPr>
          <w:i/>
          <w:iCs/>
          <w:lang w:val="es-ES"/>
        </w:rPr>
        <w:t>software</w:t>
      </w:r>
      <w:r w:rsidRPr="00FE4D65">
        <w:rPr>
          <w:lang w:val="es-ES"/>
        </w:rPr>
        <w:t xml:space="preserve"> utilizadas en la creación del DVD-ROM de la BR</w:t>
      </w:r>
      <w:r w:rsidR="002F4844">
        <w:rPr>
          <w:lang w:val="es-ES"/>
        </w:rPr>
        <w:t> </w:t>
      </w:r>
      <w:r w:rsidRPr="00FE4D65">
        <w:rPr>
          <w:lang w:val="es-ES"/>
        </w:rPr>
        <w:t>IFIC (Servicios espaciales), la Oficina ha estado trabajando en un proyecto para migrar la BR</w:t>
      </w:r>
      <w:r w:rsidR="002F4844">
        <w:rPr>
          <w:lang w:val="es-ES"/>
        </w:rPr>
        <w:t> </w:t>
      </w:r>
      <w:r w:rsidRPr="00FE4D65">
        <w:rPr>
          <w:lang w:val="es-ES"/>
        </w:rPr>
        <w:t>IFIC (Servicios espaciales) del formato DVD a un mecanismo de entrega en línea. Tras la publicación en versión beta en marzo de 2023 para que los abonados a la BR IFIC pudieran dar su opinión al respecto, el 23 de enero de 2024 se puso en marcha oficialmente la aplicación web BR</w:t>
      </w:r>
      <w:r w:rsidR="002F4844">
        <w:rPr>
          <w:lang w:val="es-ES"/>
        </w:rPr>
        <w:t> </w:t>
      </w:r>
      <w:r w:rsidRPr="00FE4D65">
        <w:rPr>
          <w:lang w:val="es-ES"/>
        </w:rPr>
        <w:t xml:space="preserve">IFIC (Servicios espaciales) en línea, en un servidor seguro al que se puede acceder las 24 horas al día, los </w:t>
      </w:r>
      <w:r w:rsidR="007B67C9">
        <w:rPr>
          <w:lang w:val="es-ES"/>
        </w:rPr>
        <w:t>siete</w:t>
      </w:r>
      <w:r w:rsidRPr="00FE4D65">
        <w:rPr>
          <w:lang w:val="es-ES"/>
        </w:rPr>
        <w:t xml:space="preserve"> días de la semana. Esta interfaz en línea permite a los usuarios navegar en línea por el contenido de la BR</w:t>
      </w:r>
      <w:r w:rsidR="007B67C9">
        <w:rPr>
          <w:lang w:val="es-ES"/>
        </w:rPr>
        <w:t> </w:t>
      </w:r>
      <w:r w:rsidRPr="00FE4D65">
        <w:rPr>
          <w:lang w:val="es-ES"/>
        </w:rPr>
        <w:t>IFIC (Servicios espaciales) y descargar la información pertinente (publicaciones y bases de datos) de la BR</w:t>
      </w:r>
      <w:r w:rsidR="007B67C9">
        <w:rPr>
          <w:lang w:val="es-ES"/>
        </w:rPr>
        <w:t> </w:t>
      </w:r>
      <w:r w:rsidRPr="00FE4D65">
        <w:rPr>
          <w:lang w:val="es-ES"/>
        </w:rPr>
        <w:t>IFIC</w:t>
      </w:r>
      <w:r w:rsidR="007B67C9">
        <w:rPr>
          <w:lang w:val="es-ES"/>
        </w:rPr>
        <w:t> </w:t>
      </w:r>
      <w:r w:rsidRPr="00FE4D65">
        <w:rPr>
          <w:lang w:val="es-ES"/>
        </w:rPr>
        <w:t>2987 de 10 de enero de 2023. Se ha concedido acceso pleno a la BR</w:t>
      </w:r>
      <w:r w:rsidR="002F4844">
        <w:rPr>
          <w:lang w:val="es-ES"/>
        </w:rPr>
        <w:t> </w:t>
      </w:r>
      <w:r w:rsidRPr="00FE4D65">
        <w:rPr>
          <w:lang w:val="es-ES"/>
        </w:rPr>
        <w:t>IFIC (Servicios espaciales) en línea a todos los usuarios inscritos para la distribución de la BR</w:t>
      </w:r>
      <w:r w:rsidR="002F4844">
        <w:rPr>
          <w:lang w:val="es-ES"/>
        </w:rPr>
        <w:t> </w:t>
      </w:r>
      <w:r w:rsidRPr="00FE4D65">
        <w:rPr>
          <w:lang w:val="es-ES"/>
        </w:rPr>
        <w:t>IFIC (Servicios espaciales) a través de Internet.</w:t>
      </w:r>
      <w:bookmarkStart w:id="48" w:name="lt_pId532"/>
      <w:bookmarkStart w:id="49" w:name="lt_pId533"/>
      <w:bookmarkStart w:id="50" w:name="lt_pId534"/>
      <w:bookmarkEnd w:id="47"/>
      <w:bookmarkEnd w:id="48"/>
      <w:bookmarkEnd w:id="49"/>
      <w:bookmarkEnd w:id="50"/>
    </w:p>
    <w:p w14:paraId="00A87FDA" w14:textId="16D3F5DB" w:rsidR="00FE4D65" w:rsidRPr="00FE4D65" w:rsidRDefault="00FE4D65" w:rsidP="00FE4D65">
      <w:pPr>
        <w:rPr>
          <w:lang w:val="es-ES"/>
        </w:rPr>
      </w:pPr>
      <w:bookmarkStart w:id="51" w:name="lt_pId535"/>
      <w:r w:rsidRPr="00FE4D65">
        <w:rPr>
          <w:lang w:val="es-ES"/>
        </w:rPr>
        <w:t>La nueva aplicación también se ha desplegado para el DVD-ROM de la BR</w:t>
      </w:r>
      <w:r w:rsidR="007B67C9">
        <w:rPr>
          <w:lang w:val="es-ES"/>
        </w:rPr>
        <w:t> </w:t>
      </w:r>
      <w:r w:rsidRPr="00FE4D65">
        <w:rPr>
          <w:lang w:val="es-ES"/>
        </w:rPr>
        <w:t>IFIC y el formato ISO. Así pues, todas las formas de distribución de la BR IFIC (Servicios espaciales) (interfaz web, formato ISO y DVD-ROM) se basan en la nueva aplicación, con una interfaz de usuario renovada. Esta nueva interfaz facilita la recuperación de la información de todos los archivos de datos y publicaciones correspondientes a esa red de satélites. En particular, los archivos técnicos (resultados de exámenes, datos de dfpe</w:t>
      </w:r>
      <w:r w:rsidR="007B67C9" w:rsidRPr="007B67C9">
        <w:rPr>
          <w:lang w:val="es-ES"/>
        </w:rPr>
        <w:t>…</w:t>
      </w:r>
      <w:r w:rsidRPr="00FE4D65">
        <w:rPr>
          <w:lang w:val="es-ES"/>
        </w:rPr>
        <w:t>) están ahora vinculados a las publicaciones reglamentarias (Secciones Especiales y Partes), lo que permite visualizar todos los documentos publicados para una determinada red de satélites.</w:t>
      </w:r>
      <w:bookmarkStart w:id="52" w:name="lt_pId536"/>
      <w:bookmarkStart w:id="53" w:name="lt_pId537"/>
      <w:bookmarkStart w:id="54" w:name="lt_pId538"/>
      <w:bookmarkEnd w:id="51"/>
      <w:bookmarkEnd w:id="52"/>
      <w:bookmarkEnd w:id="53"/>
      <w:bookmarkEnd w:id="54"/>
    </w:p>
    <w:p w14:paraId="5B3D7A40" w14:textId="19AFD36C" w:rsidR="00FE4D65" w:rsidRPr="00FE4D65" w:rsidRDefault="00FE4D65" w:rsidP="00FE4D65">
      <w:pPr>
        <w:rPr>
          <w:lang w:val="es-ES"/>
        </w:rPr>
      </w:pPr>
      <w:bookmarkStart w:id="55" w:name="lt_pId539"/>
      <w:r w:rsidRPr="00FE4D65">
        <w:rPr>
          <w:lang w:val="es-ES"/>
        </w:rPr>
        <w:lastRenderedPageBreak/>
        <w:t>Además, se ha añadido una nueva función, denominada «Advanced queries» (Consultas avanzadas), a la aplicación BR</w:t>
      </w:r>
      <w:r w:rsidR="002F4844">
        <w:rPr>
          <w:lang w:val="es-ES"/>
        </w:rPr>
        <w:t> </w:t>
      </w:r>
      <w:r w:rsidRPr="00FE4D65">
        <w:rPr>
          <w:lang w:val="es-ES"/>
        </w:rPr>
        <w:t>IFIC en línea, que permite a los usuarios realizar consultas sobre los datos SNS publicados en una BR</w:t>
      </w:r>
      <w:r w:rsidR="002F4844">
        <w:rPr>
          <w:lang w:val="es-ES"/>
        </w:rPr>
        <w:t> </w:t>
      </w:r>
      <w:r w:rsidRPr="00FE4D65">
        <w:rPr>
          <w:lang w:val="es-ES"/>
        </w:rPr>
        <w:t>IFIC determinada. Por el momento se han habilitado tres consultas avanzadas: la lista de administraciones afectadas por una solicitud de coordinación, la lista de redes afectadas por una solicitud de coordinación y la lista de redes que pueden interferir con redes de una administración específica. En el futuro se desarrollarán más consultas avanzadas.</w:t>
      </w:r>
      <w:bookmarkStart w:id="56" w:name="lt_pId540"/>
      <w:bookmarkStart w:id="57" w:name="lt_pId541"/>
      <w:bookmarkEnd w:id="55"/>
      <w:bookmarkEnd w:id="56"/>
      <w:bookmarkEnd w:id="57"/>
    </w:p>
    <w:p w14:paraId="6087E1F5" w14:textId="0ED843DB" w:rsidR="00FE4D65" w:rsidRPr="00FE4D65" w:rsidRDefault="00FE4D65" w:rsidP="00FE4D65">
      <w:pPr>
        <w:rPr>
          <w:lang w:val="es-ES"/>
        </w:rPr>
      </w:pPr>
      <w:bookmarkStart w:id="58" w:name="lt_pId542"/>
      <w:r w:rsidRPr="00FE4D65">
        <w:rPr>
          <w:lang w:val="es-ES"/>
        </w:rPr>
        <w:t>Se está trabajando para poner a disposición de los abonados a la BR</w:t>
      </w:r>
      <w:r w:rsidR="007B67C9">
        <w:rPr>
          <w:lang w:val="es-ES"/>
        </w:rPr>
        <w:t> </w:t>
      </w:r>
      <w:r w:rsidRPr="00FE4D65">
        <w:rPr>
          <w:lang w:val="es-ES"/>
        </w:rPr>
        <w:t>IFIC todas las publicaciones anteriores incluidas en ediciones pasadas de la BR WIC y la BR</w:t>
      </w:r>
      <w:r w:rsidR="007B67C9">
        <w:rPr>
          <w:lang w:val="es-ES"/>
        </w:rPr>
        <w:t> </w:t>
      </w:r>
      <w:r w:rsidRPr="00FE4D65">
        <w:rPr>
          <w:lang w:val="es-ES"/>
        </w:rPr>
        <w:t>IFIC.</w:t>
      </w:r>
      <w:bookmarkEnd w:id="58"/>
    </w:p>
    <w:p w14:paraId="57F47135" w14:textId="24706384" w:rsidR="00FE4D65" w:rsidRPr="00FE4D65" w:rsidRDefault="00FE4D65" w:rsidP="00FE4D65">
      <w:pPr>
        <w:rPr>
          <w:lang w:val="es-ES"/>
        </w:rPr>
      </w:pPr>
      <w:bookmarkStart w:id="59" w:name="lt_pId543"/>
      <w:r w:rsidRPr="00FE4D65">
        <w:rPr>
          <w:lang w:val="es-ES"/>
        </w:rPr>
        <w:t>Por último, la Oficina está estudiando la posibilidad de proporcionar una interfaz de programación de aplicaciones (API) que permita a los usuarios de la BR</w:t>
      </w:r>
      <w:r w:rsidR="007B67C9">
        <w:rPr>
          <w:lang w:val="es-ES"/>
        </w:rPr>
        <w:t> </w:t>
      </w:r>
      <w:r w:rsidRPr="00FE4D65">
        <w:rPr>
          <w:lang w:val="es-ES"/>
        </w:rPr>
        <w:t>IFIC consultar directamente la base de datos BR</w:t>
      </w:r>
      <w:r w:rsidR="002F4844">
        <w:rPr>
          <w:lang w:val="es-ES"/>
        </w:rPr>
        <w:t> </w:t>
      </w:r>
      <w:r w:rsidRPr="00FE4D65">
        <w:rPr>
          <w:lang w:val="es-ES"/>
        </w:rPr>
        <w:t>IFIC.</w:t>
      </w:r>
      <w:bookmarkEnd w:id="59"/>
    </w:p>
    <w:p w14:paraId="57A7EC19" w14:textId="77777777" w:rsidR="00FE4D65" w:rsidRPr="00FE4D65" w:rsidRDefault="00FE4D65" w:rsidP="00FE4D65">
      <w:pPr>
        <w:pStyle w:val="Heading2"/>
        <w:rPr>
          <w:lang w:val="es-ES"/>
        </w:rPr>
      </w:pPr>
      <w:r w:rsidRPr="00FE4D65">
        <w:rPr>
          <w:lang w:val="es-ES"/>
        </w:rPr>
        <w:t>7.4</w:t>
      </w:r>
      <w:r w:rsidRPr="00FE4D65">
        <w:rPr>
          <w:lang w:val="es-ES"/>
        </w:rPr>
        <w:tab/>
        <w:t xml:space="preserve">Desarrollos de </w:t>
      </w:r>
      <w:r w:rsidRPr="00FE4D65">
        <w:rPr>
          <w:i/>
          <w:iCs/>
          <w:lang w:val="es-ES"/>
        </w:rPr>
        <w:t>software</w:t>
      </w:r>
      <w:r w:rsidRPr="00FE4D65">
        <w:rPr>
          <w:lang w:val="es-ES"/>
        </w:rPr>
        <w:t xml:space="preserve"> relacionados con los servicios terrenales y otros </w:t>
      </w:r>
      <w:r w:rsidRPr="00FE4D65">
        <w:rPr>
          <w:i/>
          <w:iCs/>
          <w:lang w:val="es-ES"/>
        </w:rPr>
        <w:t>software</w:t>
      </w:r>
      <w:r w:rsidRPr="00FE4D65">
        <w:rPr>
          <w:lang w:val="es-ES"/>
        </w:rPr>
        <w:t xml:space="preserve"> y herramientas de la BR</w:t>
      </w:r>
      <w:bookmarkStart w:id="60" w:name="lt_pId545"/>
      <w:bookmarkEnd w:id="60"/>
    </w:p>
    <w:p w14:paraId="60195FDC" w14:textId="77777777" w:rsidR="00FE4D65" w:rsidRPr="00FE4D65" w:rsidRDefault="00FE4D65" w:rsidP="00FE4D65">
      <w:pPr>
        <w:pStyle w:val="Heading3"/>
        <w:rPr>
          <w:lang w:val="es-ES"/>
        </w:rPr>
      </w:pPr>
      <w:r w:rsidRPr="00FE4D65">
        <w:rPr>
          <w:lang w:val="es-ES"/>
        </w:rPr>
        <w:t>7.4.1</w:t>
      </w:r>
      <w:r w:rsidRPr="00FE4D65">
        <w:rPr>
          <w:lang w:val="es-ES"/>
        </w:rPr>
        <w:tab/>
        <w:t>Herramientas relativas al Reglamento de Radiocomunicaciones</w:t>
      </w:r>
      <w:bookmarkStart w:id="61" w:name="lt_pId547"/>
      <w:bookmarkEnd w:id="61"/>
    </w:p>
    <w:p w14:paraId="487F6086" w14:textId="77777777" w:rsidR="00FE4D65" w:rsidRPr="00FE4D65" w:rsidRDefault="00FE4D65" w:rsidP="00FE4D65">
      <w:pPr>
        <w:rPr>
          <w:lang w:val="es-ES"/>
        </w:rPr>
      </w:pPr>
      <w:bookmarkStart w:id="62" w:name="lt_pId548"/>
      <w:r w:rsidRPr="00FE4D65">
        <w:rPr>
          <w:lang w:val="es-ES"/>
        </w:rPr>
        <w:t xml:space="preserve">La Oficina sigue actualizando y manteniendo herramientas de </w:t>
      </w:r>
      <w:r w:rsidRPr="00FE4D65">
        <w:rPr>
          <w:i/>
          <w:iCs/>
          <w:lang w:val="es-ES"/>
        </w:rPr>
        <w:t>software</w:t>
      </w:r>
      <w:r w:rsidRPr="00FE4D65">
        <w:rPr>
          <w:lang w:val="es-ES"/>
        </w:rPr>
        <w:t xml:space="preserve"> para facilitar la utilización y el análisis del Reglamento de Radiocomunicaciones (RR), en concreto:</w:t>
      </w:r>
      <w:bookmarkEnd w:id="62"/>
    </w:p>
    <w:p w14:paraId="59A6DA35" w14:textId="028FB69E" w:rsidR="00FE4D65" w:rsidRPr="00FE4D65" w:rsidRDefault="00FE4D65" w:rsidP="00FE4D65">
      <w:pPr>
        <w:pStyle w:val="enumlev1"/>
        <w:rPr>
          <w:lang w:val="es-ES"/>
        </w:rPr>
      </w:pPr>
      <w:bookmarkStart w:id="63" w:name="lt_pId549"/>
      <w:r>
        <w:rPr>
          <w:lang w:val="es-ES"/>
        </w:rPr>
        <w:t>a)</w:t>
      </w:r>
      <w:r>
        <w:rPr>
          <w:lang w:val="es-ES"/>
        </w:rPr>
        <w:tab/>
      </w:r>
      <w:r w:rsidRPr="00FE4D65">
        <w:rPr>
          <w:lang w:val="es-ES"/>
        </w:rPr>
        <w:t>Antes de la AR-23/CMR-23 se puso a disposición de los delegados una versión gratuita de la herramienta de navegación del Reglamento de Radiocomunicaciones, por un tiempo limitado, a fin de apoyar su labor y demostrar la utilidad de la herramienta con miras a futuras compras de licencias. La herramienta se actualizará con la versión de 2024 del Reglamento de Radiocomunicaciones a la mayor brevedad posible tras su publicación.</w:t>
      </w:r>
      <w:bookmarkStart w:id="64" w:name="lt_pId550"/>
      <w:bookmarkEnd w:id="63"/>
      <w:bookmarkEnd w:id="64"/>
    </w:p>
    <w:p w14:paraId="41686B3E" w14:textId="1BB18356" w:rsidR="00FE4D65" w:rsidRPr="00FE4D65" w:rsidRDefault="00FE4D65" w:rsidP="00FE4D65">
      <w:pPr>
        <w:pStyle w:val="enumlev1"/>
        <w:rPr>
          <w:lang w:val="es-ES"/>
        </w:rPr>
      </w:pPr>
      <w:bookmarkStart w:id="65" w:name="lt_pId551"/>
      <w:r>
        <w:rPr>
          <w:lang w:val="es-ES"/>
        </w:rPr>
        <w:t>b)</w:t>
      </w:r>
      <w:r>
        <w:rPr>
          <w:lang w:val="es-ES"/>
        </w:rPr>
        <w:tab/>
      </w:r>
      <w:r w:rsidRPr="00FE4D65">
        <w:rPr>
          <w:lang w:val="es-ES"/>
        </w:rPr>
        <w:t xml:space="preserve">La herramienta de </w:t>
      </w:r>
      <w:r w:rsidRPr="00FE4D65">
        <w:rPr>
          <w:i/>
          <w:iCs/>
          <w:lang w:val="es-ES"/>
        </w:rPr>
        <w:t>software</w:t>
      </w:r>
      <w:r w:rsidRPr="00FE4D65">
        <w:rPr>
          <w:lang w:val="es-ES"/>
        </w:rPr>
        <w:t xml:space="preserve"> para realizar búsquedas y análisis detallados del Cuadro de atribución de bandas de frecuencias del Artículo</w:t>
      </w:r>
      <w:r w:rsidR="007B67C9">
        <w:rPr>
          <w:lang w:val="es-ES"/>
        </w:rPr>
        <w:t> </w:t>
      </w:r>
      <w:r w:rsidRPr="00FE4D65">
        <w:rPr>
          <w:lang w:val="es-ES"/>
        </w:rPr>
        <w:t>5 del Reglamento de Radiocomunicaciones permite filtrar y reconfigurar en función de la gama de frecuencias, el servicio, la categoría de servicio, la nota, el país, etc. La herramienta se ha actualizado de acuerdo con los resultados de la CMR-19 y la edición de 2020 del RR, a fin de incorporar los cambios en las atribuciones de frecuencias, las notas de los países y las referencias conexas a las Resoluciones y Recomendaciones asociadas. El paquete actualizado también incluye vínculos a las Recomendaciones UIT-R pertinentes a las que se remite el Artículo 5 del RR, además de la última versión de las Reglas de Procedimiento aplicables. Además, cuenta con un servicio para extraer el Cuadro nacional de atribución de frecuencias de un país concreto derivado de combinar las diferentes disposiciones del Artículo</w:t>
      </w:r>
      <w:r w:rsidR="007B67C9">
        <w:rPr>
          <w:lang w:val="es-ES"/>
        </w:rPr>
        <w:t> </w:t>
      </w:r>
      <w:r w:rsidRPr="00FE4D65">
        <w:rPr>
          <w:lang w:val="es-ES"/>
        </w:rPr>
        <w:t xml:space="preserve">5 del RR. A lo largo de 2023 se mejoró la herramienta con enlaces a diversas disposiciones de los Artículos del RR. Durante algunos Seminarios Regionales de Radiocomunicaciones se hicieron demostraciones de la herramienta, que puede adquirirse en el sitio web de ventas de la UIT. Todas las actualizaciones del </w:t>
      </w:r>
      <w:r w:rsidRPr="00FE4D65">
        <w:rPr>
          <w:i/>
          <w:iCs/>
          <w:lang w:val="es-ES"/>
        </w:rPr>
        <w:t>software</w:t>
      </w:r>
      <w:r w:rsidRPr="00FE4D65">
        <w:rPr>
          <w:lang w:val="es-ES"/>
        </w:rPr>
        <w:t xml:space="preserve"> y de los datos se proporcionarán de forma </w:t>
      </w:r>
      <w:r w:rsidR="002F4844" w:rsidRPr="00FE4D65">
        <w:rPr>
          <w:lang w:val="es-ES"/>
        </w:rPr>
        <w:t>periódica</w:t>
      </w:r>
      <w:r w:rsidRPr="00FE4D65">
        <w:rPr>
          <w:lang w:val="es-ES"/>
        </w:rPr>
        <w:t xml:space="preserve"> y gratuita a los abonados hasta la publicación de la nueva versión, basada en las decisiones de la CMR-23. Antes de la AR-23/CMR-23 se puso a disposición de los delegados una versión gratuita del Cuadro de atribución de bandas de frecuencias del Artículo</w:t>
      </w:r>
      <w:r w:rsidR="007B67C9">
        <w:rPr>
          <w:lang w:val="es-ES"/>
        </w:rPr>
        <w:t> </w:t>
      </w:r>
      <w:r w:rsidRPr="00FE4D65">
        <w:rPr>
          <w:lang w:val="es-ES"/>
        </w:rPr>
        <w:t>5 del RR, por un tiempo limitado, a fin de apoyar su labor y demostrar la utilidad de la herramienta con miras a futuras compras de licencias. La herramienta se está actualizando tras la CMR-23, y se prevé que la actualización esté disponible en el segundo trimestre de 2024.</w:t>
      </w:r>
      <w:bookmarkStart w:id="66" w:name="lt_pId552"/>
      <w:bookmarkStart w:id="67" w:name="lt_pId553"/>
      <w:bookmarkStart w:id="68" w:name="lt_pId554"/>
      <w:bookmarkStart w:id="69" w:name="lt_pId555"/>
      <w:bookmarkStart w:id="70" w:name="lt_pId556"/>
      <w:bookmarkStart w:id="71" w:name="lt_pId557"/>
      <w:bookmarkStart w:id="72" w:name="lt_pId558"/>
      <w:bookmarkStart w:id="73" w:name="lt_pId559"/>
      <w:bookmarkEnd w:id="65"/>
      <w:bookmarkEnd w:id="66"/>
      <w:bookmarkEnd w:id="67"/>
      <w:bookmarkEnd w:id="68"/>
      <w:bookmarkEnd w:id="69"/>
      <w:bookmarkEnd w:id="70"/>
      <w:bookmarkEnd w:id="71"/>
      <w:bookmarkEnd w:id="72"/>
      <w:bookmarkEnd w:id="73"/>
    </w:p>
    <w:p w14:paraId="5DE70BE7" w14:textId="04084267" w:rsidR="00FE4D65" w:rsidRPr="00FE4D65" w:rsidRDefault="00FE4D65" w:rsidP="00FE4D65">
      <w:pPr>
        <w:pStyle w:val="Heading3"/>
        <w:rPr>
          <w:lang w:val="es-ES"/>
        </w:rPr>
      </w:pPr>
      <w:r w:rsidRPr="00FE4D65">
        <w:rPr>
          <w:lang w:val="es-ES"/>
        </w:rPr>
        <w:lastRenderedPageBreak/>
        <w:t>7.4.2</w:t>
      </w:r>
      <w:r w:rsidRPr="00FE4D65">
        <w:rPr>
          <w:lang w:val="es-ES"/>
        </w:rPr>
        <w:tab/>
        <w:t>Nuevas mejoras de las herramientas web</w:t>
      </w:r>
      <w:bookmarkStart w:id="74" w:name="lt_pId561"/>
      <w:bookmarkEnd w:id="74"/>
    </w:p>
    <w:p w14:paraId="03C089B8" w14:textId="1193159F" w:rsidR="00FE4D65" w:rsidRPr="00FE4D65" w:rsidRDefault="00FE4D65" w:rsidP="00FE4D65">
      <w:pPr>
        <w:rPr>
          <w:lang w:val="es-ES"/>
        </w:rPr>
      </w:pPr>
      <w:bookmarkStart w:id="75" w:name="lt_pId562"/>
      <w:r w:rsidRPr="00FE4D65">
        <w:rPr>
          <w:lang w:val="es-ES"/>
        </w:rPr>
        <w:t>Las herramientas en línea eBroadcasting (antes eBCD2.0) y eMIFR se integraron en el portal eTerrestrial, que cuenta con las tecnologías web más novedosas, y pasaron a producción en diciembre de 2020. La validación en línea (Online Validation, rebautizada eValidation) se integró en el último trimestre de 2021, junto a nuevas funciones, como un Panel de control que permite a la</w:t>
      </w:r>
      <w:r w:rsidR="007B67C9">
        <w:rPr>
          <w:lang w:val="es-ES"/>
        </w:rPr>
        <w:t> </w:t>
      </w:r>
      <w:r w:rsidRPr="00FE4D65">
        <w:rPr>
          <w:lang w:val="es-ES"/>
        </w:rPr>
        <w:t>BR y a los usuarios supervisar sus actividades. Las herramientas de propagación están ahora disponibles en ePropagation con capacidades cartográficas mejoradas.</w:t>
      </w:r>
      <w:bookmarkStart w:id="76" w:name="lt_pId563"/>
      <w:bookmarkStart w:id="77" w:name="lt_pId564"/>
      <w:bookmarkEnd w:id="75"/>
      <w:bookmarkEnd w:id="76"/>
      <w:bookmarkEnd w:id="77"/>
    </w:p>
    <w:p w14:paraId="0C70016F" w14:textId="752E7CF9" w:rsidR="00FE4D65" w:rsidRPr="00FE4D65" w:rsidRDefault="00FE4D65" w:rsidP="00FE4D65">
      <w:pPr>
        <w:rPr>
          <w:lang w:val="es-ES"/>
        </w:rPr>
      </w:pPr>
      <w:bookmarkStart w:id="78" w:name="lt_pId565"/>
      <w:r w:rsidRPr="00FE4D65">
        <w:rPr>
          <w:lang w:val="es-ES"/>
        </w:rPr>
        <w:t>Las herramientas eBroadcasting desarrolladas para apoyar el proceso de optimización del Plan</w:t>
      </w:r>
      <w:r w:rsidR="007B67C9">
        <w:rPr>
          <w:lang w:val="es-ES"/>
        </w:rPr>
        <w:t> </w:t>
      </w:r>
      <w:r w:rsidRPr="00FE4D65">
        <w:rPr>
          <w:lang w:val="es-ES"/>
        </w:rPr>
        <w:t>GE84 han sido decisivas para el éxito de esta actividad. Los mapas se han realizado utilizando la librería de código abierto OpenLayers, que fue seleccionada por el Grupo de Tareas Especiales de la BR (véase la sección</w:t>
      </w:r>
      <w:r w:rsidR="007B67C9">
        <w:rPr>
          <w:lang w:val="es-ES"/>
        </w:rPr>
        <w:t> </w:t>
      </w:r>
      <w:r w:rsidRPr="00FE4D65">
        <w:rPr>
          <w:lang w:val="es-ES"/>
        </w:rPr>
        <w:t>7.4.4). La simulación en eTools del plan en virtud del Artículo</w:t>
      </w:r>
      <w:r w:rsidR="007B67C9">
        <w:rPr>
          <w:lang w:val="es-ES"/>
        </w:rPr>
        <w:t> </w:t>
      </w:r>
      <w:r w:rsidRPr="00FE4D65">
        <w:rPr>
          <w:lang w:val="es-ES"/>
        </w:rPr>
        <w:t>4 del Acuerdo</w:t>
      </w:r>
      <w:r w:rsidR="007B67C9">
        <w:rPr>
          <w:lang w:val="es-ES"/>
        </w:rPr>
        <w:t> </w:t>
      </w:r>
      <w:r w:rsidRPr="00FE4D65">
        <w:rPr>
          <w:lang w:val="es-ES"/>
        </w:rPr>
        <w:t>GE06 utiliza ahora los servicios TerRaSys para realizar los cálculos, aunque mantiene el mismo aspecto y funcionamiento. También se está ultimando la integración en eTools del examen de conformidad en virtud del Artículo</w:t>
      </w:r>
      <w:r w:rsidR="007B67C9">
        <w:rPr>
          <w:lang w:val="es-ES"/>
        </w:rPr>
        <w:t> </w:t>
      </w:r>
      <w:r w:rsidRPr="00FE4D65">
        <w:rPr>
          <w:lang w:val="es-ES"/>
        </w:rPr>
        <w:t>5 del Acuerdo</w:t>
      </w:r>
      <w:r w:rsidR="007B67C9">
        <w:rPr>
          <w:lang w:val="es-ES"/>
        </w:rPr>
        <w:t> </w:t>
      </w:r>
      <w:r w:rsidRPr="00FE4D65">
        <w:rPr>
          <w:lang w:val="es-ES"/>
        </w:rPr>
        <w:t>GE06, lo que permitirá retirar pronto la herramienta disponible actualmente en la herramienta autónoma GE06Calc.</w:t>
      </w:r>
      <w:bookmarkStart w:id="79" w:name="lt_pId566"/>
      <w:bookmarkStart w:id="80" w:name="lt_pId567"/>
      <w:bookmarkStart w:id="81" w:name="lt_pId568"/>
      <w:bookmarkEnd w:id="78"/>
      <w:bookmarkEnd w:id="79"/>
      <w:bookmarkEnd w:id="80"/>
      <w:bookmarkEnd w:id="81"/>
    </w:p>
    <w:p w14:paraId="3FF3AB88" w14:textId="164662AB" w:rsidR="00FE4D65" w:rsidRPr="00FE4D65" w:rsidRDefault="00FE4D65" w:rsidP="00FE4D65">
      <w:pPr>
        <w:rPr>
          <w:lang w:val="es-ES"/>
        </w:rPr>
      </w:pPr>
      <w:bookmarkStart w:id="82" w:name="lt_pId569"/>
      <w:r w:rsidRPr="00FE4D65">
        <w:rPr>
          <w:lang w:val="es-ES"/>
        </w:rPr>
        <w:t>Se han mejorado las simulaciones P1546 en ePropagation con la implementación del cálculo P1546 punto a punto y la integración de la herramienta SRTM1/ASTER v3 para la determinación de la altura efectiva de la antena, lo que permite realizar simulaciones P1546 entre 83</w:t>
      </w:r>
      <w:r w:rsidR="007B67C9">
        <w:rPr>
          <w:lang w:val="es-ES"/>
        </w:rPr>
        <w:t>° </w:t>
      </w:r>
      <w:r w:rsidRPr="00FE4D65">
        <w:rPr>
          <w:lang w:val="es-ES"/>
        </w:rPr>
        <w:t>S y 83°</w:t>
      </w:r>
      <w:r w:rsidR="007B67C9">
        <w:rPr>
          <w:lang w:val="es-ES"/>
        </w:rPr>
        <w:t> </w:t>
      </w:r>
      <w:r w:rsidRPr="00FE4D65">
        <w:rPr>
          <w:lang w:val="es-ES"/>
        </w:rPr>
        <w:t>N.</w:t>
      </w:r>
      <w:bookmarkEnd w:id="82"/>
    </w:p>
    <w:p w14:paraId="020860B1" w14:textId="77777777" w:rsidR="00FE4D65" w:rsidRPr="00FE4D65" w:rsidRDefault="00FE4D65" w:rsidP="00FE4D65">
      <w:pPr>
        <w:rPr>
          <w:lang w:val="es-ES"/>
        </w:rPr>
      </w:pPr>
      <w:bookmarkStart w:id="83" w:name="lt_pId570"/>
      <w:r w:rsidRPr="00FE4D65">
        <w:rPr>
          <w:lang w:val="es-ES"/>
        </w:rPr>
        <w:t>La interfaz web para la presentación de asignaciones/adjudicaciones de frecuencias terrenales a la BR (WISFAT) ha incorporado la opción de validar los archivos de notificación mediante eValidation y se encuentra en fase de producción. Los mapas de navegación se han incluido en otras herramientas (eMIFR, myAdmin y ePub), y la funcionalidad de visualización de mapas se ha incorporado a la herramienta de propagación punto a zona P1812. Se ha mejorado ePropagation con una nueva herramienta punto a punto P1546 y una nueva función que tiene en cuenta las atenuaciones de antena en los cálculos para todas las herramientas.</w:t>
      </w:r>
      <w:bookmarkStart w:id="84" w:name="lt_pId571"/>
      <w:bookmarkStart w:id="85" w:name="lt_pId572"/>
      <w:bookmarkEnd w:id="83"/>
      <w:bookmarkEnd w:id="84"/>
      <w:bookmarkEnd w:id="85"/>
    </w:p>
    <w:p w14:paraId="16722970" w14:textId="4D799F7F" w:rsidR="00FE4D65" w:rsidRPr="00FE4D65" w:rsidRDefault="00FE4D65" w:rsidP="00FE4D65">
      <w:pPr>
        <w:rPr>
          <w:lang w:val="es-ES"/>
        </w:rPr>
      </w:pPr>
      <w:bookmarkStart w:id="86" w:name="lt_pId573"/>
      <w:r w:rsidRPr="00FE4D65">
        <w:rPr>
          <w:lang w:val="es-ES"/>
        </w:rPr>
        <w:t>Se ha desarrollado con la tecnología web más moderna la plataforma en línea para servicios fijos y móviles (eFXM), que se integró en el portal eTerrestrial en 2022. Además de eQueryFXM, también se mejoró ePubFXM para que las administraciones puedan consultar las Secciones Especiales FXM publicadas anexas a la BR</w:t>
      </w:r>
      <w:r w:rsidR="00C75846">
        <w:rPr>
          <w:lang w:val="es-ES"/>
        </w:rPr>
        <w:t> </w:t>
      </w:r>
      <w:r w:rsidRPr="00FE4D65">
        <w:rPr>
          <w:lang w:val="es-ES"/>
        </w:rPr>
        <w:t>IFIC (Servicios terrenales) y la información de coordinación correspondiente. De entre las Secciones Especiales FXM, RR9.21 y GE06L se han desarrollado e integrado en el portal eTerrestrial en 2023.</w:t>
      </w:r>
      <w:bookmarkStart w:id="87" w:name="lt_pId574"/>
      <w:bookmarkStart w:id="88" w:name="lt_pId575"/>
      <w:bookmarkEnd w:id="86"/>
      <w:bookmarkEnd w:id="87"/>
      <w:bookmarkEnd w:id="88"/>
    </w:p>
    <w:p w14:paraId="58683F45" w14:textId="6CE0825F" w:rsidR="00FE4D65" w:rsidRPr="00FE4D65" w:rsidRDefault="00FE4D65" w:rsidP="00FE4D65">
      <w:pPr>
        <w:pStyle w:val="Heading3"/>
        <w:rPr>
          <w:lang w:val="es-ES"/>
        </w:rPr>
      </w:pPr>
      <w:r w:rsidRPr="00FE4D65">
        <w:rPr>
          <w:lang w:val="es-ES"/>
        </w:rPr>
        <w:t>7.4.3</w:t>
      </w:r>
      <w:r w:rsidRPr="00FE4D65">
        <w:rPr>
          <w:lang w:val="es-ES"/>
        </w:rPr>
        <w:tab/>
      </w:r>
      <w:r w:rsidRPr="00FE4D65">
        <w:rPr>
          <w:i/>
          <w:iCs/>
          <w:lang w:val="es-ES"/>
        </w:rPr>
        <w:t>Software</w:t>
      </w:r>
      <w:r w:rsidRPr="00FE4D65">
        <w:rPr>
          <w:lang w:val="es-ES"/>
        </w:rPr>
        <w:t xml:space="preserve"> de análisis de compatibilidad para la radiodifusión sonora en MF</w:t>
      </w:r>
      <w:bookmarkStart w:id="89" w:name="lt_pId577"/>
      <w:bookmarkEnd w:id="89"/>
    </w:p>
    <w:p w14:paraId="3250272A" w14:textId="6EB92E1B" w:rsidR="00FE4D65" w:rsidRPr="00FE4D65" w:rsidRDefault="00FE4D65" w:rsidP="007B7BFD">
      <w:pPr>
        <w:rPr>
          <w:lang w:val="es-ES"/>
        </w:rPr>
      </w:pPr>
      <w:bookmarkStart w:id="90" w:name="lt_pId578"/>
      <w:r w:rsidRPr="00FE4D65">
        <w:rPr>
          <w:lang w:val="es-ES"/>
        </w:rPr>
        <w:t>En 2021, la BR desplegó una herramienta en línea, eBroadcasting, para la optimización del Plan GE84 (radiodifusión en MF) en África en la banda de frecuencias 87,5-108 MHz: la herramienta «GE84 Optimization». Esta herramienta ejecuta cálculos de compatibilidad con arreglo al Acuerdo GE84 y evalúa las incompatibilidades de todas las frecuencias en la banda del GE84. Esta herramienta ha servido de base para la optimización de la banda MF en África y se ha puesto a disposición de todas las administraciones que son partes del Acuerdo</w:t>
      </w:r>
      <w:r w:rsidR="00C75846">
        <w:rPr>
          <w:lang w:val="es-ES"/>
        </w:rPr>
        <w:t> </w:t>
      </w:r>
      <w:r w:rsidRPr="00FE4D65">
        <w:rPr>
          <w:lang w:val="es-ES"/>
        </w:rPr>
        <w:t>GE84.</w:t>
      </w:r>
      <w:bookmarkStart w:id="91" w:name="lt_pId579"/>
      <w:bookmarkStart w:id="92" w:name="lt_pId580"/>
      <w:bookmarkEnd w:id="90"/>
      <w:bookmarkEnd w:id="91"/>
      <w:bookmarkEnd w:id="92"/>
    </w:p>
    <w:p w14:paraId="47FB3BB7" w14:textId="294F2C87" w:rsidR="00FE4D65" w:rsidRPr="00FE4D65" w:rsidRDefault="00FE4D65" w:rsidP="00FE4D65">
      <w:pPr>
        <w:rPr>
          <w:lang w:val="es-ES"/>
        </w:rPr>
      </w:pPr>
      <w:bookmarkStart w:id="93" w:name="lt_pId581"/>
      <w:r w:rsidRPr="00FE4D65">
        <w:rPr>
          <w:lang w:val="es-ES"/>
        </w:rPr>
        <w:t>La herramienta utiliza las curvas de propagación GE84 y el método de predicción de propagación de la Recomendación UIT-R P.1812, además de un mapa topográfico digital (SRTM3) con una resolución de 90m. En 2023 se añadieron modelos topográficos digitales (DEM), a saber, SRTM1 y ASTER, con una resolución de 30m. Contrariamente a los DEM SRTM, que ofrecen información de elevación del terreno entre 56°</w:t>
      </w:r>
      <w:r w:rsidR="00C75846">
        <w:rPr>
          <w:lang w:val="es-ES"/>
        </w:rPr>
        <w:t> </w:t>
      </w:r>
      <w:r w:rsidRPr="00FE4D65">
        <w:rPr>
          <w:lang w:val="es-ES"/>
        </w:rPr>
        <w:t>S y 60</w:t>
      </w:r>
      <w:r w:rsidR="00C75846">
        <w:rPr>
          <w:lang w:val="es-ES"/>
        </w:rPr>
        <w:t>° </w:t>
      </w:r>
      <w:r w:rsidRPr="00FE4D65">
        <w:rPr>
          <w:lang w:val="es-ES"/>
        </w:rPr>
        <w:t>N, ASTER ofrece información de elevación del terreno entre 83°</w:t>
      </w:r>
      <w:r w:rsidR="00C75846">
        <w:rPr>
          <w:lang w:val="es-ES"/>
        </w:rPr>
        <w:t> </w:t>
      </w:r>
      <w:r w:rsidRPr="00FE4D65">
        <w:rPr>
          <w:lang w:val="es-ES"/>
        </w:rPr>
        <w:t>S y 83°</w:t>
      </w:r>
      <w:r w:rsidR="00C75846">
        <w:rPr>
          <w:lang w:val="es-ES"/>
        </w:rPr>
        <w:t> </w:t>
      </w:r>
      <w:r w:rsidRPr="00FE4D65">
        <w:rPr>
          <w:lang w:val="es-ES"/>
        </w:rPr>
        <w:t xml:space="preserve">N, lo que permite efectuar cálculos de la intensidad de campo entre emplazamientos situados por encima de los 60° de latitud Norte. Habida cuenta de que SRTM1 es más preciso que ASTER, los usuarios tienen una opción adicional (AUTO) en la que el </w:t>
      </w:r>
      <w:r w:rsidRPr="00FE4D65">
        <w:rPr>
          <w:i/>
          <w:iCs/>
          <w:lang w:val="es-ES"/>
        </w:rPr>
        <w:t>software</w:t>
      </w:r>
      <w:r w:rsidRPr="00FE4D65">
        <w:rPr>
          <w:lang w:val="es-ES"/>
        </w:rPr>
        <w:t xml:space="preserve"> </w:t>
      </w:r>
      <w:r w:rsidRPr="00FE4D65">
        <w:rPr>
          <w:lang w:val="es-ES"/>
        </w:rPr>
        <w:lastRenderedPageBreak/>
        <w:t>selecciona automáticamente el DEM más conveniente, entre SRTM1 y ASTER, ambos con una resolución de 30m, para evaluar la predicción de la interferencia punto a punto en función del emplazamiento de las estaciones (transmisoras/receptoras) implicadas en el cálculo. Se ha seguido trabajado para mejorar la experiencia de los usuarios y corregir errores.</w:t>
      </w:r>
      <w:bookmarkStart w:id="94" w:name="lt_pId582"/>
      <w:bookmarkStart w:id="95" w:name="lt_pId583"/>
      <w:bookmarkStart w:id="96" w:name="lt_pId584"/>
      <w:bookmarkStart w:id="97" w:name="lt_pId585"/>
      <w:bookmarkEnd w:id="93"/>
      <w:bookmarkEnd w:id="94"/>
      <w:bookmarkEnd w:id="95"/>
      <w:bookmarkEnd w:id="96"/>
      <w:bookmarkEnd w:id="97"/>
    </w:p>
    <w:p w14:paraId="0C2EC3EF" w14:textId="77777777" w:rsidR="00FE4D65" w:rsidRPr="00FE4D65" w:rsidRDefault="00FE4D65" w:rsidP="00FE4D65">
      <w:pPr>
        <w:pStyle w:val="Heading3"/>
        <w:rPr>
          <w:lang w:val="es-ES"/>
        </w:rPr>
      </w:pPr>
      <w:r w:rsidRPr="00FE4D65">
        <w:rPr>
          <w:lang w:val="es-ES"/>
        </w:rPr>
        <w:t>7.4.4</w:t>
      </w:r>
      <w:r w:rsidRPr="00FE4D65">
        <w:rPr>
          <w:lang w:val="es-ES"/>
        </w:rPr>
        <w:tab/>
        <w:t>Sistema de Información Geográfica de la BR</w:t>
      </w:r>
      <w:bookmarkStart w:id="98" w:name="lt_pId587"/>
      <w:bookmarkEnd w:id="98"/>
    </w:p>
    <w:p w14:paraId="791F633D" w14:textId="5C162D15" w:rsidR="00FE4D65" w:rsidRPr="00FE4D65" w:rsidRDefault="00FE4D65" w:rsidP="00FE4D65">
      <w:pPr>
        <w:rPr>
          <w:lang w:val="es-ES"/>
        </w:rPr>
      </w:pPr>
      <w:bookmarkStart w:id="99" w:name="lt_pId588"/>
      <w:r w:rsidRPr="00FE4D65">
        <w:rPr>
          <w:lang w:val="es-ES"/>
        </w:rPr>
        <w:t>El Grupo de Tareas Especiales sobre el Sistema de Información Geográfica (SIG) de la BR, compuesto por personal de todos los departamentos de la Oficina, se creó con el objetivo de armonizar las actividades relacionadas con el SIG en la BR. El Grupo Especial implementó la plataforma del SIG de la BR utilizando GeoServer, la cual está lista para su despliegue. Se ha finalizado la conversión de todos los conjuntos de datos IDWM del formato patentado al formato geoespacial, y se está procediendo al almacenamiento de los datos radiometeorológicos de la CE</w:t>
      </w:r>
      <w:r w:rsidR="00C75846">
        <w:rPr>
          <w:lang w:val="es-ES"/>
        </w:rPr>
        <w:t> </w:t>
      </w:r>
      <w:r w:rsidRPr="00FE4D65">
        <w:rPr>
          <w:lang w:val="es-ES"/>
        </w:rPr>
        <w:t>3 en la plataforma del SIG de la BR. Estos datos se pondrán a disposición de los usuarios a través de servicios web compatibles con el Open Geospatial Consortium (OGC). La BR está implementando las funcionalidades del SIG en sus herramientas web utilizando la biblioteca de código abierto OpenLayers.</w:t>
      </w:r>
      <w:bookmarkStart w:id="100" w:name="lt_pId589"/>
      <w:bookmarkStart w:id="101" w:name="lt_pId590"/>
      <w:bookmarkStart w:id="102" w:name="lt_pId591"/>
      <w:bookmarkStart w:id="103" w:name="lt_pId592"/>
      <w:bookmarkEnd w:id="99"/>
      <w:bookmarkEnd w:id="100"/>
      <w:bookmarkEnd w:id="101"/>
      <w:bookmarkEnd w:id="102"/>
      <w:bookmarkEnd w:id="103"/>
    </w:p>
    <w:p w14:paraId="442F1CF0" w14:textId="59CC6594" w:rsidR="00FE4D65" w:rsidRPr="00FE4D65" w:rsidRDefault="00FE4D65" w:rsidP="00FE4D65">
      <w:pPr>
        <w:rPr>
          <w:lang w:val="es-ES"/>
        </w:rPr>
      </w:pPr>
      <w:bookmarkStart w:id="104" w:name="lt_pId593"/>
      <w:r w:rsidRPr="00FE4D65">
        <w:rPr>
          <w:lang w:val="es-ES"/>
        </w:rPr>
        <w:t>La UIT es miembro de la Red Geoespacial de las Naciones Unidas, una coalición de organismos del sistema de las Naciones Unidas encargada de reforzar la coordinación y la coherencia en materia de gestión de la información geoespacial en el sistema de las Naciones Unidas. La BR participa en el Comité Directivo de esta red y dirige el Grupo Intersectorial de Tareas Especiales de la UIT sobre Gestión de la Información Geoespacial.</w:t>
      </w:r>
      <w:bookmarkStart w:id="105" w:name="lt_pId594"/>
      <w:bookmarkEnd w:id="104"/>
      <w:bookmarkEnd w:id="105"/>
    </w:p>
    <w:p w14:paraId="5E75EDBD" w14:textId="77777777" w:rsidR="00FE4D65" w:rsidRPr="00FE4D65" w:rsidRDefault="00FE4D65" w:rsidP="002F4844">
      <w:pPr>
        <w:pStyle w:val="Heading3"/>
        <w:rPr>
          <w:lang w:val="es-ES"/>
        </w:rPr>
      </w:pPr>
      <w:r w:rsidRPr="00FE4D65">
        <w:rPr>
          <w:lang w:val="es-ES"/>
        </w:rPr>
        <w:t>7.4.5</w:t>
      </w:r>
      <w:r w:rsidRPr="00FE4D65">
        <w:rPr>
          <w:lang w:val="es-ES"/>
        </w:rPr>
        <w:tab/>
        <w:t>Proyecto de publicaciones de servicios marítimos</w:t>
      </w:r>
      <w:bookmarkStart w:id="106" w:name="lt_pId596"/>
      <w:bookmarkEnd w:id="106"/>
    </w:p>
    <w:p w14:paraId="6D2E6198" w14:textId="03C1F7AD" w:rsidR="00FE4D65" w:rsidRPr="00FE4D65" w:rsidRDefault="00FE4D65" w:rsidP="00FE4D65">
      <w:pPr>
        <w:rPr>
          <w:lang w:val="es-ES"/>
        </w:rPr>
      </w:pPr>
      <w:bookmarkStart w:id="107" w:name="lt_pId597"/>
      <w:r w:rsidRPr="00FE4D65">
        <w:rPr>
          <w:lang w:val="es-ES"/>
        </w:rPr>
        <w:t>La BR sigue ejecutando el proyecto de publicaciones de servicios marítimos de la UIT (Lista</w:t>
      </w:r>
      <w:r w:rsidR="00C75846">
        <w:rPr>
          <w:lang w:val="es-ES"/>
        </w:rPr>
        <w:t> </w:t>
      </w:r>
      <w:r w:rsidRPr="00FE4D65">
        <w:rPr>
          <w:lang w:val="es-ES"/>
        </w:rPr>
        <w:t>IV, Lista</w:t>
      </w:r>
      <w:r w:rsidR="00C75846">
        <w:rPr>
          <w:lang w:val="es-ES"/>
        </w:rPr>
        <w:t> </w:t>
      </w:r>
      <w:r w:rsidRPr="00FE4D65">
        <w:rPr>
          <w:lang w:val="es-ES"/>
        </w:rPr>
        <w:t>V y Manual Marítimo). Se han logrado avances considerables en relación con los objetivos establecidos. Se ha completado la creación de la plataforma de venta para la compra y descarga de publicaciones digitales y el desarrollo de la aplicación de escritorio para la Lista</w:t>
      </w:r>
      <w:r w:rsidR="00C75846">
        <w:rPr>
          <w:lang w:val="es-ES"/>
        </w:rPr>
        <w:t> </w:t>
      </w:r>
      <w:r w:rsidRPr="00FE4D65">
        <w:rPr>
          <w:lang w:val="es-ES"/>
        </w:rPr>
        <w:t>V y de la aplicación móvil Inspector. También se está trabajando en la integración de las publicaciones de la Lista</w:t>
      </w:r>
      <w:r w:rsidR="00C75846">
        <w:rPr>
          <w:lang w:val="es-ES"/>
        </w:rPr>
        <w:t> </w:t>
      </w:r>
      <w:r w:rsidRPr="00FE4D65">
        <w:rPr>
          <w:lang w:val="es-ES"/>
        </w:rPr>
        <w:t>IV y del Manual Marítimo en la aplicación de escritorio y en la aplicación móvil de la Lista</w:t>
      </w:r>
      <w:r w:rsidR="00C75846">
        <w:rPr>
          <w:lang w:val="es-ES"/>
        </w:rPr>
        <w:t> </w:t>
      </w:r>
      <w:r w:rsidRPr="00FE4D65">
        <w:rPr>
          <w:lang w:val="es-ES"/>
        </w:rPr>
        <w:t>V.</w:t>
      </w:r>
      <w:bookmarkStart w:id="108" w:name="lt_pId598"/>
      <w:bookmarkStart w:id="109" w:name="lt_pId599"/>
      <w:bookmarkStart w:id="110" w:name="lt_pId600"/>
      <w:bookmarkEnd w:id="107"/>
      <w:bookmarkEnd w:id="108"/>
      <w:bookmarkEnd w:id="109"/>
      <w:bookmarkEnd w:id="110"/>
    </w:p>
    <w:p w14:paraId="276300AD" w14:textId="7041E90B" w:rsidR="00FE4D65" w:rsidRPr="00FE4D65" w:rsidRDefault="00FE4D65" w:rsidP="002F4844">
      <w:pPr>
        <w:pStyle w:val="Heading3"/>
        <w:rPr>
          <w:lang w:val="es-ES"/>
        </w:rPr>
      </w:pPr>
      <w:r w:rsidRPr="00FE4D65">
        <w:rPr>
          <w:lang w:val="es-ES"/>
        </w:rPr>
        <w:t>7.4.6</w:t>
      </w:r>
      <w:r w:rsidRPr="00FE4D65">
        <w:rPr>
          <w:lang w:val="es-ES"/>
        </w:rPr>
        <w:tab/>
        <w:t>HITS (Interferencia perjudicial a servicios terrenales)</w:t>
      </w:r>
      <w:bookmarkStart w:id="111" w:name="lt_pId602"/>
      <w:bookmarkEnd w:id="111"/>
    </w:p>
    <w:p w14:paraId="1C1DBB73" w14:textId="77777777" w:rsidR="00FE4D65" w:rsidRPr="00FE4D65" w:rsidRDefault="00FE4D65" w:rsidP="00C75846">
      <w:pPr>
        <w:keepNext/>
        <w:keepLines/>
        <w:rPr>
          <w:lang w:val="es-ES"/>
        </w:rPr>
      </w:pPr>
      <w:bookmarkStart w:id="112" w:name="lt_pId603"/>
      <w:r w:rsidRPr="00FE4D65">
        <w:rPr>
          <w:lang w:val="es-ES"/>
        </w:rPr>
        <w:t>Ha proseguido el desarrollo de una nueva plataforma en línea para la tramitación de informes de interferencia perjudicial y de infracciones en relación con los servicios terrenales (HITS). Durante este periodo, continuaron los trabajos relativos a la autentificación/autorización, la presentación de informes, la integración de Documentum y las mejoras de la interfaz de usuario. Además, se examinaron las correspondencias entre la BR y las administraciones afectadas. Se sigue trabajando en la interfaz de usuario.</w:t>
      </w:r>
      <w:bookmarkStart w:id="113" w:name="lt_pId604"/>
      <w:bookmarkStart w:id="114" w:name="lt_pId605"/>
      <w:bookmarkStart w:id="115" w:name="lt_pId606"/>
      <w:bookmarkEnd w:id="112"/>
      <w:bookmarkEnd w:id="113"/>
      <w:bookmarkEnd w:id="114"/>
      <w:bookmarkEnd w:id="115"/>
    </w:p>
    <w:p w14:paraId="3BACF302" w14:textId="77777777" w:rsidR="00FE4D65" w:rsidRPr="00FE4D65" w:rsidRDefault="00FE4D65" w:rsidP="002F4844">
      <w:pPr>
        <w:pStyle w:val="Heading2"/>
        <w:rPr>
          <w:lang w:val="es-ES"/>
        </w:rPr>
      </w:pPr>
      <w:r w:rsidRPr="00FE4D65">
        <w:rPr>
          <w:lang w:val="es-ES"/>
        </w:rPr>
        <w:t>7.5</w:t>
      </w:r>
      <w:r w:rsidRPr="00FE4D65">
        <w:rPr>
          <w:lang w:val="es-ES"/>
        </w:rPr>
        <w:tab/>
        <w:t>Continuidad de las actividades y recuperación en caso de catástrofe (servicios espaciales y terrenales)</w:t>
      </w:r>
      <w:bookmarkStart w:id="116" w:name="lt_pId608"/>
      <w:bookmarkEnd w:id="116"/>
    </w:p>
    <w:p w14:paraId="74F37175" w14:textId="43475FAB" w:rsidR="00FE4D65" w:rsidRPr="00FE4D65" w:rsidRDefault="00FE4D65" w:rsidP="00FE4D65">
      <w:pPr>
        <w:rPr>
          <w:lang w:val="es-ES"/>
        </w:rPr>
      </w:pPr>
      <w:bookmarkStart w:id="117" w:name="lt_pId609"/>
      <w:r w:rsidRPr="00FE4D65">
        <w:rPr>
          <w:lang w:val="es-ES"/>
        </w:rPr>
        <w:t>En 2023 se continuó trabajando para fortalecer aún más el marco de gestión de riesgos de la UIT, con la participación plena de la BR en el Grupo Intersectorial de Tareas Especiales sobre Gestión de Riesgos. Además, el personal de la BR que participó en la preparación de la AR</w:t>
      </w:r>
      <w:r w:rsidR="002F4844">
        <w:rPr>
          <w:lang w:val="es-ES"/>
        </w:rPr>
        <w:noBreakHyphen/>
      </w:r>
      <w:r w:rsidRPr="00FE4D65">
        <w:rPr>
          <w:lang w:val="es-ES"/>
        </w:rPr>
        <w:t>23/CMR</w:t>
      </w:r>
      <w:r w:rsidR="002F4844">
        <w:rPr>
          <w:lang w:val="es-ES"/>
        </w:rPr>
        <w:noBreakHyphen/>
      </w:r>
      <w:r w:rsidRPr="00FE4D65">
        <w:rPr>
          <w:lang w:val="es-ES"/>
        </w:rPr>
        <w:t>23/RPC27-1 tomó parte en varios simulacros de resiliencia y sesiones de planificación de la continuidad de las actividades organizados por el coordinador del Sistema de Gestión de la Resiliencia Institucional de la UIT (ORMS).</w:t>
      </w:r>
      <w:bookmarkStart w:id="118" w:name="lt_pId610"/>
      <w:bookmarkEnd w:id="117"/>
      <w:bookmarkEnd w:id="118"/>
    </w:p>
    <w:p w14:paraId="3A549EA0" w14:textId="71F829AD" w:rsidR="00FE4D65" w:rsidRPr="00FE4D65" w:rsidRDefault="00FE4D65" w:rsidP="002F4844">
      <w:pPr>
        <w:pStyle w:val="Heading2"/>
        <w:rPr>
          <w:lang w:val="es-ES"/>
        </w:rPr>
      </w:pPr>
      <w:r w:rsidRPr="00FE4D65">
        <w:rPr>
          <w:lang w:val="es-ES"/>
        </w:rPr>
        <w:lastRenderedPageBreak/>
        <w:t>7.6</w:t>
      </w:r>
      <w:r w:rsidRPr="00FE4D65">
        <w:rPr>
          <w:lang w:val="es-ES"/>
        </w:rPr>
        <w:tab/>
        <w:t>Computación en la nube</w:t>
      </w:r>
      <w:bookmarkStart w:id="119" w:name="lt_pId612"/>
      <w:bookmarkEnd w:id="119"/>
    </w:p>
    <w:p w14:paraId="5B56232F" w14:textId="216319E5" w:rsidR="00FE4D65" w:rsidRPr="00FE4D65" w:rsidRDefault="00FE4D65" w:rsidP="00FE4D65">
      <w:pPr>
        <w:rPr>
          <w:lang w:val="es-ES"/>
        </w:rPr>
      </w:pPr>
      <w:bookmarkStart w:id="120" w:name="lt_pId613"/>
      <w:r w:rsidRPr="00FE4D65">
        <w:rPr>
          <w:lang w:val="es-ES"/>
        </w:rPr>
        <w:t>El Grupo de Tareas Especiales para la migración a la nube de la BR comenzó sus trabajos en marzo de 2023 en estrecha colaboración con el Departamento IS. Para 2024, la prioridad del Grupo de Tareas Especiales es crear un inventario y una clasificación de los repositorios de datos de la BR, con la ayuda de los expertos en la materia del Departamento IS, en consonancia con las políticas vigentes y futuras de la UIT en materia de computación en la nube y datos.</w:t>
      </w:r>
      <w:bookmarkStart w:id="121" w:name="lt_pId614"/>
      <w:bookmarkEnd w:id="120"/>
      <w:bookmarkEnd w:id="121"/>
    </w:p>
    <w:p w14:paraId="1290B1B8" w14:textId="77777777" w:rsidR="00FE4D65" w:rsidRPr="00FE4D65" w:rsidRDefault="00FE4D65" w:rsidP="002F4844">
      <w:pPr>
        <w:pStyle w:val="Heading1"/>
        <w:rPr>
          <w:lang w:val="es-ES"/>
        </w:rPr>
      </w:pPr>
      <w:bookmarkStart w:id="122" w:name="_Toc446060776"/>
      <w:r w:rsidRPr="00FE4D65">
        <w:rPr>
          <w:lang w:val="es-ES"/>
        </w:rPr>
        <w:t>8</w:t>
      </w:r>
      <w:r w:rsidRPr="00FE4D65">
        <w:rPr>
          <w:lang w:val="es-ES"/>
        </w:rPr>
        <w:tab/>
        <w:t>Divulgación</w:t>
      </w:r>
      <w:bookmarkStart w:id="123" w:name="lt_pId616"/>
      <w:bookmarkEnd w:id="122"/>
      <w:bookmarkEnd w:id="123"/>
    </w:p>
    <w:p w14:paraId="53FEAC0C" w14:textId="1FA50DDD" w:rsidR="00FE4D65" w:rsidRPr="00FE4D65" w:rsidRDefault="00FE4D65" w:rsidP="00FE4D65">
      <w:pPr>
        <w:rPr>
          <w:lang w:val="es-ES"/>
        </w:rPr>
      </w:pPr>
      <w:bookmarkStart w:id="124" w:name="lt_pId617"/>
      <w:r w:rsidRPr="00FE4D65">
        <w:rPr>
          <w:lang w:val="es-ES"/>
        </w:rPr>
        <w:t xml:space="preserve">Las actividades de divulgación comprenden la difusión de información y asistencia a los </w:t>
      </w:r>
      <w:r w:rsidR="00C75846">
        <w:rPr>
          <w:lang w:val="es-ES"/>
        </w:rPr>
        <w:t>m</w:t>
      </w:r>
      <w:r w:rsidRPr="00FE4D65">
        <w:rPr>
          <w:lang w:val="es-ES"/>
        </w:rPr>
        <w:t>iembros, la publicación de productos del UIT-R, la organización de seminarios y talleres, además de la participación en los mismos, y la elaboración y mantenimiento de herramientas de comunicación y promoción. El objetivo de estas actividades es garantizar que los productos del UIT-R (Reglamentos, Recomendaciones, Informes y Manuales) se difundan a escala mundial de manera que puedan sentar las bases para la formulación de políticas y decisiones nacionales y regionales a efectos de la utilización del espectro radioeléctrico. Para llevar a cabo estas actividades, la BR coopera estrechamente con las demás Oficinas y Sectores, las Oficinas Regionales y Zonales de la</w:t>
      </w:r>
      <w:r w:rsidR="00C75846">
        <w:rPr>
          <w:lang w:val="es-ES"/>
        </w:rPr>
        <w:t> </w:t>
      </w:r>
      <w:r w:rsidRPr="00FE4D65">
        <w:rPr>
          <w:lang w:val="es-ES"/>
        </w:rPr>
        <w:t>UIT, así como con las organizaciones internacionales y autoridades nacionales pertinentes.</w:t>
      </w:r>
      <w:bookmarkStart w:id="125" w:name="lt_pId618"/>
      <w:bookmarkStart w:id="126" w:name="lt_pId619"/>
      <w:bookmarkEnd w:id="124"/>
      <w:bookmarkEnd w:id="125"/>
      <w:bookmarkEnd w:id="126"/>
    </w:p>
    <w:p w14:paraId="6C1B17C8" w14:textId="77777777" w:rsidR="00FE4D65" w:rsidRPr="00FE4D65" w:rsidRDefault="00FE4D65" w:rsidP="002F4844">
      <w:pPr>
        <w:pStyle w:val="Heading2"/>
        <w:rPr>
          <w:lang w:val="es-ES"/>
        </w:rPr>
      </w:pPr>
      <w:bookmarkStart w:id="127" w:name="_Toc418163376"/>
      <w:bookmarkStart w:id="128" w:name="_Toc418232294"/>
      <w:bookmarkStart w:id="129" w:name="_Toc424047595"/>
      <w:bookmarkStart w:id="130" w:name="_Toc446060777"/>
      <w:r w:rsidRPr="00FE4D65">
        <w:rPr>
          <w:lang w:val="es-ES"/>
        </w:rPr>
        <w:t>8.1</w:t>
      </w:r>
      <w:r w:rsidRPr="00FE4D65">
        <w:rPr>
          <w:lang w:val="es-ES"/>
        </w:rPr>
        <w:tab/>
        <w:t>Publica</w:t>
      </w:r>
      <w:bookmarkStart w:id="131" w:name="lt_pId621"/>
      <w:bookmarkEnd w:id="127"/>
      <w:bookmarkEnd w:id="128"/>
      <w:bookmarkEnd w:id="129"/>
      <w:bookmarkEnd w:id="130"/>
      <w:bookmarkEnd w:id="131"/>
      <w:r w:rsidRPr="00FE4D65">
        <w:rPr>
          <w:lang w:val="es-ES"/>
        </w:rPr>
        <w:t>ciones</w:t>
      </w:r>
    </w:p>
    <w:p w14:paraId="666C422C" w14:textId="77777777" w:rsidR="00FE4D65" w:rsidRPr="00FE4D65" w:rsidRDefault="00FE4D65" w:rsidP="002F4844">
      <w:pPr>
        <w:pStyle w:val="Heading3"/>
        <w:rPr>
          <w:lang w:val="es-ES"/>
        </w:rPr>
      </w:pPr>
      <w:bookmarkStart w:id="132" w:name="_Toc424047596"/>
      <w:bookmarkStart w:id="133" w:name="_Toc446060778"/>
      <w:r w:rsidRPr="00FE4D65">
        <w:rPr>
          <w:lang w:val="es-ES"/>
        </w:rPr>
        <w:t>8.1.1</w:t>
      </w:r>
      <w:r w:rsidRPr="00FE4D65">
        <w:rPr>
          <w:lang w:val="es-ES"/>
        </w:rPr>
        <w:tab/>
        <w:t>Publicaciones reglamentarias</w:t>
      </w:r>
      <w:bookmarkStart w:id="134" w:name="lt_pId623"/>
      <w:bookmarkEnd w:id="132"/>
      <w:bookmarkEnd w:id="133"/>
      <w:bookmarkEnd w:id="134"/>
    </w:p>
    <w:p w14:paraId="62338F30" w14:textId="77777777" w:rsidR="00FE4D65" w:rsidRPr="00FE4D65" w:rsidRDefault="00FE4D65" w:rsidP="002F4844">
      <w:pPr>
        <w:pStyle w:val="Headingi"/>
        <w:rPr>
          <w:lang w:val="es-ES"/>
        </w:rPr>
      </w:pPr>
      <w:bookmarkStart w:id="135" w:name="lt_pId624"/>
      <w:r w:rsidRPr="00FE4D65">
        <w:rPr>
          <w:lang w:val="es-ES"/>
        </w:rPr>
        <w:t>Actas finales y Reglamento de Radiocomunicaciones y Reglas de Procedimiento</w:t>
      </w:r>
      <w:bookmarkEnd w:id="135"/>
    </w:p>
    <w:p w14:paraId="6F091248" w14:textId="1A119D6C" w:rsidR="00FE4D65" w:rsidRPr="00FE4D65" w:rsidRDefault="00FE4D65" w:rsidP="00FE4D65">
      <w:pPr>
        <w:rPr>
          <w:lang w:val="es-ES"/>
        </w:rPr>
      </w:pPr>
      <w:bookmarkStart w:id="136" w:name="lt_pId625"/>
      <w:r w:rsidRPr="00FE4D65">
        <w:rPr>
          <w:lang w:val="es-ES"/>
        </w:rPr>
        <w:t>Tras la Conferencia Mundial de Radiocomunicaciones de 2023, se prevé que la versión definitiva de las Actas Finales se publique en marzo de 2024, seguida de la edición del Reglamento de Radiocomunicaciones en septiembre de 2024.</w:t>
      </w:r>
      <w:bookmarkEnd w:id="136"/>
    </w:p>
    <w:p w14:paraId="4A0F38EF" w14:textId="77777777" w:rsidR="00FE4D65" w:rsidRPr="00FE4D65" w:rsidRDefault="00FE4D65" w:rsidP="00FE4D65">
      <w:pPr>
        <w:rPr>
          <w:lang w:val="es-ES"/>
        </w:rPr>
      </w:pPr>
      <w:bookmarkStart w:id="137" w:name="lt_pId626"/>
      <w:r w:rsidRPr="00FE4D65">
        <w:rPr>
          <w:lang w:val="es-ES"/>
        </w:rPr>
        <w:t>En julio de 2023 se publicó una tercera actualización de la edición de 2021 de las Reglas de Procedimiento.</w:t>
      </w:r>
      <w:bookmarkEnd w:id="137"/>
    </w:p>
    <w:p w14:paraId="45080E80" w14:textId="2081B33D" w:rsidR="00FE4D65" w:rsidRPr="00FE4D65" w:rsidRDefault="00FE4D65" w:rsidP="00FE4D65">
      <w:pPr>
        <w:rPr>
          <w:lang w:val="es-ES"/>
        </w:rPr>
      </w:pPr>
      <w:bookmarkStart w:id="138" w:name="lt_pId627"/>
      <w:r w:rsidRPr="00FE4D65">
        <w:rPr>
          <w:lang w:val="es-ES"/>
        </w:rPr>
        <w:t xml:space="preserve">La BR también publicó </w:t>
      </w:r>
      <w:r w:rsidR="00C75846">
        <w:rPr>
          <w:lang w:val="es-ES"/>
        </w:rPr>
        <w:t>once</w:t>
      </w:r>
      <w:r w:rsidRPr="00FE4D65">
        <w:rPr>
          <w:lang w:val="es-ES"/>
        </w:rPr>
        <w:t xml:space="preserve"> Horarios de la radiodifusión en ondas decamétricas (HFBC) por año, conforme a lo estipulado en el Artículo</w:t>
      </w:r>
      <w:r w:rsidR="002F4844">
        <w:rPr>
          <w:lang w:val="es-ES"/>
        </w:rPr>
        <w:t> </w:t>
      </w:r>
      <w:r w:rsidRPr="00FE4D65">
        <w:rPr>
          <w:b/>
          <w:bCs/>
          <w:lang w:val="es-ES"/>
        </w:rPr>
        <w:t>12</w:t>
      </w:r>
      <w:r w:rsidRPr="00FE4D65">
        <w:rPr>
          <w:lang w:val="es-ES"/>
        </w:rPr>
        <w:t xml:space="preserve"> del RR.</w:t>
      </w:r>
      <w:bookmarkEnd w:id="138"/>
    </w:p>
    <w:p w14:paraId="612130FF" w14:textId="77777777" w:rsidR="00FE4D65" w:rsidRPr="00FE4D65" w:rsidRDefault="00FE4D65" w:rsidP="002F4844">
      <w:pPr>
        <w:pStyle w:val="Heading3"/>
        <w:rPr>
          <w:lang w:val="es-ES"/>
        </w:rPr>
      </w:pPr>
      <w:bookmarkStart w:id="139" w:name="_Toc424047597"/>
      <w:bookmarkStart w:id="140" w:name="_Toc446060779"/>
      <w:r w:rsidRPr="00FE4D65">
        <w:rPr>
          <w:lang w:val="es-ES"/>
        </w:rPr>
        <w:t>8.1.2</w:t>
      </w:r>
      <w:r w:rsidRPr="00FE4D65">
        <w:rPr>
          <w:lang w:val="es-ES"/>
        </w:rPr>
        <w:tab/>
        <w:t>Publicaciones de servicio</w:t>
      </w:r>
      <w:bookmarkStart w:id="141" w:name="lt_pId629"/>
      <w:bookmarkEnd w:id="139"/>
      <w:bookmarkEnd w:id="140"/>
      <w:bookmarkEnd w:id="141"/>
    </w:p>
    <w:p w14:paraId="51618113" w14:textId="77777777" w:rsidR="00FE4D65" w:rsidRPr="00FE4D65" w:rsidRDefault="00FE4D65" w:rsidP="002F4844">
      <w:pPr>
        <w:pStyle w:val="Heading4"/>
        <w:rPr>
          <w:lang w:val="es-ES"/>
        </w:rPr>
      </w:pPr>
      <w:r w:rsidRPr="00FE4D65">
        <w:rPr>
          <w:lang w:val="es-ES"/>
        </w:rPr>
        <w:t>8.1.2.1</w:t>
      </w:r>
      <w:r w:rsidRPr="00FE4D65">
        <w:rPr>
          <w:lang w:val="es-ES"/>
        </w:rPr>
        <w:tab/>
        <w:t>Antecedentes y consideraciones generales</w:t>
      </w:r>
      <w:bookmarkStart w:id="142" w:name="lt_pId631"/>
      <w:bookmarkEnd w:id="142"/>
    </w:p>
    <w:p w14:paraId="24A198F6" w14:textId="05F4CE21" w:rsidR="00FE4D65" w:rsidRPr="00FE4D65" w:rsidRDefault="00FE4D65" w:rsidP="00FE4D65">
      <w:pPr>
        <w:rPr>
          <w:bCs/>
          <w:lang w:val="es-ES"/>
        </w:rPr>
      </w:pPr>
      <w:bookmarkStart w:id="143" w:name="lt_pId632"/>
      <w:r w:rsidRPr="00FE4D65">
        <w:rPr>
          <w:bCs/>
          <w:lang w:val="es-ES"/>
        </w:rPr>
        <w:t>La Oficina elabora y publica los siguientes documentos de servicio, tal como especifica el Artículo</w:t>
      </w:r>
      <w:r w:rsidR="00C75846">
        <w:rPr>
          <w:bCs/>
          <w:lang w:val="es-ES"/>
        </w:rPr>
        <w:t> </w:t>
      </w:r>
      <w:r w:rsidRPr="00FE4D65">
        <w:rPr>
          <w:bCs/>
          <w:lang w:val="es-ES"/>
        </w:rPr>
        <w:t>20 del Reglamento de Radiocomunicaciones:</w:t>
      </w:r>
      <w:bookmarkEnd w:id="143"/>
    </w:p>
    <w:p w14:paraId="6675CDC9" w14:textId="26849AD8" w:rsidR="00FE4D65" w:rsidRPr="00FE4D65" w:rsidRDefault="002F4844" w:rsidP="002F4844">
      <w:pPr>
        <w:pStyle w:val="enumlev1"/>
        <w:rPr>
          <w:lang w:val="es-ES"/>
        </w:rPr>
      </w:pPr>
      <w:bookmarkStart w:id="144" w:name="lt_pId633"/>
      <w:r w:rsidRPr="002F4844">
        <w:rPr>
          <w:lang w:val="es-ES"/>
        </w:rPr>
        <w:t>•</w:t>
      </w:r>
      <w:r>
        <w:rPr>
          <w:lang w:val="es-ES"/>
        </w:rPr>
        <w:tab/>
      </w:r>
      <w:r w:rsidR="00FE4D65" w:rsidRPr="00FE4D65">
        <w:rPr>
          <w:lang w:val="es-ES"/>
        </w:rPr>
        <w:t>BR</w:t>
      </w:r>
      <w:r w:rsidR="00C75846">
        <w:rPr>
          <w:lang w:val="es-ES"/>
        </w:rPr>
        <w:t> </w:t>
      </w:r>
      <w:r w:rsidR="00FE4D65" w:rsidRPr="00FE4D65">
        <w:rPr>
          <w:lang w:val="es-ES"/>
        </w:rPr>
        <w:t>IFIC – Circular Internacional de Información sobre Frecuencias</w:t>
      </w:r>
      <w:bookmarkEnd w:id="144"/>
    </w:p>
    <w:p w14:paraId="50648F9B" w14:textId="6F1CCE1A" w:rsidR="00FE4D65" w:rsidRPr="00FE4D65" w:rsidRDefault="002F4844" w:rsidP="002F4844">
      <w:pPr>
        <w:pStyle w:val="enumlev1"/>
        <w:rPr>
          <w:lang w:val="es-ES"/>
        </w:rPr>
      </w:pPr>
      <w:bookmarkStart w:id="145" w:name="lt_pId634"/>
      <w:r w:rsidRPr="002F4844">
        <w:rPr>
          <w:lang w:val="es-ES"/>
        </w:rPr>
        <w:t>•</w:t>
      </w:r>
      <w:r>
        <w:rPr>
          <w:lang w:val="es-ES"/>
        </w:rPr>
        <w:tab/>
      </w:r>
      <w:r w:rsidR="00FE4D65" w:rsidRPr="00FE4D65">
        <w:rPr>
          <w:lang w:val="es-ES"/>
        </w:rPr>
        <w:t>Lista</w:t>
      </w:r>
      <w:r w:rsidR="00C75846">
        <w:rPr>
          <w:lang w:val="es-ES"/>
        </w:rPr>
        <w:t> </w:t>
      </w:r>
      <w:r w:rsidR="00FE4D65" w:rsidRPr="00FE4D65">
        <w:rPr>
          <w:lang w:val="es-ES"/>
        </w:rPr>
        <w:t>IV − Nomenclátor de las estaciones costeras y de las estaciones que efectúan servicios especiales</w:t>
      </w:r>
      <w:bookmarkEnd w:id="145"/>
    </w:p>
    <w:p w14:paraId="3CE60340" w14:textId="633865A4" w:rsidR="00FE4D65" w:rsidRPr="00FE4D65" w:rsidRDefault="002F4844" w:rsidP="002F4844">
      <w:pPr>
        <w:pStyle w:val="enumlev1"/>
        <w:rPr>
          <w:lang w:val="es-ES"/>
        </w:rPr>
      </w:pPr>
      <w:bookmarkStart w:id="146" w:name="lt_pId635"/>
      <w:r w:rsidRPr="002F4844">
        <w:rPr>
          <w:lang w:val="es-ES"/>
        </w:rPr>
        <w:t>•</w:t>
      </w:r>
      <w:r>
        <w:rPr>
          <w:lang w:val="es-ES"/>
        </w:rPr>
        <w:tab/>
      </w:r>
      <w:r w:rsidR="00FE4D65" w:rsidRPr="00FE4D65">
        <w:rPr>
          <w:lang w:val="es-ES"/>
        </w:rPr>
        <w:t>Lista</w:t>
      </w:r>
      <w:r w:rsidR="00C75846">
        <w:rPr>
          <w:lang w:val="es-ES"/>
        </w:rPr>
        <w:t> </w:t>
      </w:r>
      <w:r w:rsidR="00FE4D65" w:rsidRPr="00FE4D65">
        <w:rPr>
          <w:lang w:val="es-ES"/>
        </w:rPr>
        <w:t>V − Nomenclátor de las estaciones de barco y de las asignaciones a identidades del servicio móvil marítimo</w:t>
      </w:r>
      <w:bookmarkEnd w:id="146"/>
    </w:p>
    <w:p w14:paraId="5F179533" w14:textId="2BDE4D5B" w:rsidR="00FE4D65" w:rsidRPr="00FE4D65" w:rsidRDefault="002F4844" w:rsidP="002F4844">
      <w:pPr>
        <w:pStyle w:val="enumlev1"/>
        <w:rPr>
          <w:lang w:val="es-ES"/>
        </w:rPr>
      </w:pPr>
      <w:bookmarkStart w:id="147" w:name="lt_pId636"/>
      <w:r w:rsidRPr="002F4844">
        <w:rPr>
          <w:lang w:val="es-ES"/>
        </w:rPr>
        <w:t>•</w:t>
      </w:r>
      <w:r>
        <w:rPr>
          <w:lang w:val="es-ES"/>
        </w:rPr>
        <w:tab/>
      </w:r>
      <w:r w:rsidR="00FE4D65" w:rsidRPr="00FE4D65">
        <w:rPr>
          <w:lang w:val="es-ES"/>
        </w:rPr>
        <w:t>Lista</w:t>
      </w:r>
      <w:r w:rsidR="00C75846">
        <w:rPr>
          <w:lang w:val="es-ES"/>
        </w:rPr>
        <w:t> </w:t>
      </w:r>
      <w:r w:rsidR="00FE4D65" w:rsidRPr="00FE4D65">
        <w:rPr>
          <w:lang w:val="es-ES"/>
        </w:rPr>
        <w:t>VIII − Nomenclátor de las estaciones de comprobación técnica internacional de las emisiones</w:t>
      </w:r>
      <w:bookmarkEnd w:id="147"/>
    </w:p>
    <w:p w14:paraId="26C3B566" w14:textId="4AFD5159" w:rsidR="00FE4D65" w:rsidRPr="00FE4D65" w:rsidRDefault="002F4844" w:rsidP="002F4844">
      <w:pPr>
        <w:pStyle w:val="enumlev1"/>
        <w:rPr>
          <w:lang w:val="es-ES"/>
        </w:rPr>
      </w:pPr>
      <w:bookmarkStart w:id="148" w:name="lt_pId637"/>
      <w:r w:rsidRPr="002F4844">
        <w:rPr>
          <w:lang w:val="es-ES"/>
        </w:rPr>
        <w:t>•</w:t>
      </w:r>
      <w:r>
        <w:rPr>
          <w:lang w:val="es-ES"/>
        </w:rPr>
        <w:tab/>
      </w:r>
      <w:r w:rsidR="00FE4D65" w:rsidRPr="00FE4D65">
        <w:rPr>
          <w:lang w:val="es-ES"/>
        </w:rPr>
        <w:t>Manual para uso de los servicios móvil marítimo y móvil marítimo por satélite</w:t>
      </w:r>
      <w:bookmarkEnd w:id="148"/>
    </w:p>
    <w:p w14:paraId="3D12C4CD" w14:textId="77777777" w:rsidR="00FE4D65" w:rsidRPr="00FE4D65" w:rsidRDefault="00FE4D65" w:rsidP="002F4844">
      <w:pPr>
        <w:pStyle w:val="Heading4"/>
        <w:rPr>
          <w:lang w:val="es-ES"/>
        </w:rPr>
      </w:pPr>
      <w:r w:rsidRPr="00FE4D65">
        <w:rPr>
          <w:lang w:val="es-ES"/>
        </w:rPr>
        <w:lastRenderedPageBreak/>
        <w:t>8.1.2.2</w:t>
      </w:r>
      <w:r w:rsidRPr="00FE4D65">
        <w:rPr>
          <w:lang w:val="es-ES"/>
        </w:rPr>
        <w:tab/>
        <w:t>Nomenclátor de las estaciones costeras y de las estaciones que efectúan servicios especiales (Lista IV)</w:t>
      </w:r>
      <w:bookmarkStart w:id="149" w:name="lt_pId639"/>
      <w:bookmarkEnd w:id="149"/>
    </w:p>
    <w:p w14:paraId="1414AF89" w14:textId="48352AD5" w:rsidR="00FE4D65" w:rsidRPr="00FE4D65" w:rsidRDefault="00FE4D65" w:rsidP="00C75846">
      <w:pPr>
        <w:rPr>
          <w:lang w:val="es-ES"/>
        </w:rPr>
      </w:pPr>
      <w:bookmarkStart w:id="150" w:name="lt_pId640"/>
      <w:r w:rsidRPr="00FE4D65">
        <w:rPr>
          <w:lang w:val="es-ES"/>
        </w:rPr>
        <w:t>Este Nomenclátor contiene la información notificada a la UIT (es decir, distintivo de llamada, MMSI, coordenadas geográficas, frecuencias de transmisión y de recepción, etc.) en relación con las estaciones costeras que prestan servicios de vigilancia mediante técnicas de llamada selectiva digital, servicio de correspondencia pública, asesoramiento médico, avisos náuticos y meteorológicos, avisos a los navegantes y señales horarias radioeléctricas, etc.</w:t>
      </w:r>
      <w:bookmarkEnd w:id="150"/>
    </w:p>
    <w:p w14:paraId="789EE40C" w14:textId="30687B85" w:rsidR="00FE4D65" w:rsidRPr="00FE4D65" w:rsidRDefault="00FE4D65" w:rsidP="00C75846">
      <w:pPr>
        <w:rPr>
          <w:lang w:val="es-ES"/>
        </w:rPr>
      </w:pPr>
      <w:bookmarkStart w:id="151" w:name="lt_pId641"/>
      <w:r w:rsidRPr="00FE4D65">
        <w:rPr>
          <w:lang w:val="es-ES"/>
        </w:rPr>
        <w:t>El Nomenclátor de las estaciones costeras y de las estaciones que efectúan servicios especiales (Lista</w:t>
      </w:r>
      <w:r w:rsidR="00C75846">
        <w:rPr>
          <w:lang w:val="es-ES"/>
        </w:rPr>
        <w:t> </w:t>
      </w:r>
      <w:r w:rsidRPr="00FE4D65">
        <w:rPr>
          <w:lang w:val="es-ES"/>
        </w:rPr>
        <w:t>IV) se publica con una periodicidad bienal, en formato CD-ROM. En noviembre de 2023 se publicó una edición de la Lista</w:t>
      </w:r>
      <w:r w:rsidR="00C75846">
        <w:rPr>
          <w:lang w:val="es-ES"/>
        </w:rPr>
        <w:t> </w:t>
      </w:r>
      <w:r w:rsidRPr="00FE4D65">
        <w:rPr>
          <w:lang w:val="es-ES"/>
        </w:rPr>
        <w:t>IV.</w:t>
      </w:r>
      <w:bookmarkStart w:id="152" w:name="lt_pId642"/>
      <w:bookmarkEnd w:id="151"/>
      <w:bookmarkEnd w:id="152"/>
    </w:p>
    <w:p w14:paraId="029F92EE" w14:textId="77777777" w:rsidR="00FE4D65" w:rsidRPr="00FE4D65" w:rsidRDefault="00FE4D65" w:rsidP="00FE4D65">
      <w:pPr>
        <w:rPr>
          <w:lang w:val="es-ES"/>
        </w:rPr>
      </w:pPr>
      <w:bookmarkStart w:id="153" w:name="lt_pId643"/>
      <w:r w:rsidRPr="00FE4D65">
        <w:rPr>
          <w:lang w:val="es-ES"/>
        </w:rPr>
        <w:t>La información relativa a esta Lista puede consultarse a través del sistema de información en línea «Sistema de acceso y extracción en el servicio móvil marítimo» (MARS) de la UIT. Cada seis meses, se publica en la web una recopilación de todos los cambios notificados a la UIT.</w:t>
      </w:r>
      <w:bookmarkStart w:id="154" w:name="lt_pId644"/>
      <w:bookmarkEnd w:id="153"/>
      <w:bookmarkEnd w:id="154"/>
    </w:p>
    <w:p w14:paraId="3ED45D99" w14:textId="3C359A35" w:rsidR="00FE4D65" w:rsidRPr="00FE4D65" w:rsidRDefault="00FE4D65" w:rsidP="002F4844">
      <w:pPr>
        <w:pStyle w:val="Heading4"/>
        <w:rPr>
          <w:lang w:val="es-ES"/>
        </w:rPr>
      </w:pPr>
      <w:r w:rsidRPr="00FE4D65">
        <w:rPr>
          <w:lang w:val="es-ES"/>
        </w:rPr>
        <w:t>8.1.2.3</w:t>
      </w:r>
      <w:r w:rsidRPr="00FE4D65">
        <w:rPr>
          <w:lang w:val="es-ES"/>
        </w:rPr>
        <w:tab/>
        <w:t>Nomenclátor de las estaciones de barco y de las asignaciones a identidades del servicio móvil marítimo (Lista</w:t>
      </w:r>
      <w:r w:rsidR="00C75846">
        <w:rPr>
          <w:lang w:val="es-ES"/>
        </w:rPr>
        <w:t> </w:t>
      </w:r>
      <w:r w:rsidRPr="00FE4D65">
        <w:rPr>
          <w:lang w:val="es-ES"/>
        </w:rPr>
        <w:t>V)</w:t>
      </w:r>
      <w:bookmarkStart w:id="155" w:name="lt_pId646"/>
      <w:bookmarkEnd w:id="155"/>
    </w:p>
    <w:p w14:paraId="741785B5" w14:textId="77777777" w:rsidR="00FE4D65" w:rsidRPr="00FE4D65" w:rsidRDefault="00FE4D65" w:rsidP="00FE4D65">
      <w:pPr>
        <w:rPr>
          <w:lang w:val="es-ES"/>
        </w:rPr>
      </w:pPr>
      <w:bookmarkStart w:id="156" w:name="lt_pId647"/>
      <w:r w:rsidRPr="00FE4D65">
        <w:rPr>
          <w:lang w:val="es-ES"/>
        </w:rPr>
        <w:t>Este Nomenclátor contiene la información notificada a la UIT en relación con las estaciones de barco, costeras y de aeronaves de búsqueda y salvamento (SAR), las estaciones a bordo de aeronaves, los códigos de identificación de la autoridad encargada de la contabilidad (CCA) y la información de contacto de las administraciones notificantes.</w:t>
      </w:r>
      <w:bookmarkEnd w:id="156"/>
    </w:p>
    <w:p w14:paraId="45715A67" w14:textId="428F1963" w:rsidR="00FE4D65" w:rsidRPr="00FE4D65" w:rsidRDefault="00FE4D65" w:rsidP="00FE4D65">
      <w:pPr>
        <w:rPr>
          <w:lang w:val="es-ES"/>
        </w:rPr>
      </w:pPr>
      <w:bookmarkStart w:id="157" w:name="lt_pId648"/>
      <w:r w:rsidRPr="00FE4D65">
        <w:rPr>
          <w:lang w:val="es-ES"/>
        </w:rPr>
        <w:t>El Nomenclátor de las estaciones de barco y de las asignaciones a identidades del servicio móvil marítimo (Lista</w:t>
      </w:r>
      <w:r w:rsidR="00C75846">
        <w:rPr>
          <w:lang w:val="es-ES"/>
        </w:rPr>
        <w:t> </w:t>
      </w:r>
      <w:r w:rsidRPr="00FE4D65">
        <w:rPr>
          <w:lang w:val="es-ES"/>
        </w:rPr>
        <w:t>V) se publica con una periodicidad anual, en formato CD-ROM. En abril de 2023 se publicó una edición de la Lista</w:t>
      </w:r>
      <w:r w:rsidR="00C75846">
        <w:rPr>
          <w:lang w:val="es-ES"/>
        </w:rPr>
        <w:t> </w:t>
      </w:r>
      <w:r w:rsidRPr="00FE4D65">
        <w:rPr>
          <w:lang w:val="es-ES"/>
        </w:rPr>
        <w:t>V.</w:t>
      </w:r>
      <w:bookmarkStart w:id="158" w:name="lt_pId649"/>
      <w:bookmarkEnd w:id="157"/>
      <w:bookmarkEnd w:id="158"/>
    </w:p>
    <w:p w14:paraId="28A5FFC1" w14:textId="77777777" w:rsidR="00FE4D65" w:rsidRPr="00FE4D65" w:rsidRDefault="00FE4D65" w:rsidP="00FE4D65">
      <w:pPr>
        <w:rPr>
          <w:lang w:val="es-ES"/>
        </w:rPr>
      </w:pPr>
      <w:bookmarkStart w:id="159" w:name="lt_pId650"/>
      <w:r w:rsidRPr="00FE4D65">
        <w:rPr>
          <w:lang w:val="es-ES"/>
        </w:rPr>
        <w:t>La información relativa a esta Lista también puede consultarse a través del sistema de información en línea MARS. Cada tres meses, se publica en la web una recopilación de todos los cambios notificados a la UIT.</w:t>
      </w:r>
      <w:bookmarkStart w:id="160" w:name="lt_pId651"/>
      <w:bookmarkEnd w:id="159"/>
      <w:bookmarkEnd w:id="160"/>
    </w:p>
    <w:p w14:paraId="03515CE5" w14:textId="08F25697" w:rsidR="00FE4D65" w:rsidRPr="00FE4D65" w:rsidRDefault="00FE4D65" w:rsidP="002F4844">
      <w:pPr>
        <w:pStyle w:val="Heading4"/>
        <w:rPr>
          <w:lang w:val="es-ES"/>
        </w:rPr>
      </w:pPr>
      <w:r w:rsidRPr="00FE4D65">
        <w:rPr>
          <w:lang w:val="es-ES"/>
        </w:rPr>
        <w:t>8.1.2.4</w:t>
      </w:r>
      <w:r w:rsidRPr="00FE4D65">
        <w:rPr>
          <w:lang w:val="es-ES"/>
        </w:rPr>
        <w:tab/>
        <w:t>Nomenclátor de las estaciones de comprobación técnica internacional de las emisiones (Lista</w:t>
      </w:r>
      <w:r w:rsidR="00C75846">
        <w:rPr>
          <w:lang w:val="es-ES"/>
        </w:rPr>
        <w:t> </w:t>
      </w:r>
      <w:r w:rsidRPr="00FE4D65">
        <w:rPr>
          <w:lang w:val="es-ES"/>
        </w:rPr>
        <w:t>VIII)</w:t>
      </w:r>
      <w:bookmarkStart w:id="161" w:name="lt_pId653"/>
      <w:bookmarkEnd w:id="161"/>
    </w:p>
    <w:p w14:paraId="63655F22" w14:textId="001EA3E1" w:rsidR="00FE4D65" w:rsidRPr="00FE4D65" w:rsidRDefault="00FE4D65" w:rsidP="00C75846">
      <w:pPr>
        <w:keepNext/>
        <w:keepLines/>
        <w:rPr>
          <w:lang w:val="es-ES"/>
        </w:rPr>
      </w:pPr>
      <w:bookmarkStart w:id="162" w:name="lt_pId654"/>
      <w:r w:rsidRPr="00FE4D65">
        <w:rPr>
          <w:lang w:val="es-ES"/>
        </w:rPr>
        <w:t>El Nomenclátor de las estaciones de comprobación técnica internacional de las emisiones (Lista</w:t>
      </w:r>
      <w:r w:rsidR="002F4844">
        <w:rPr>
          <w:lang w:val="es-ES"/>
        </w:rPr>
        <w:t> </w:t>
      </w:r>
      <w:r w:rsidRPr="00FE4D65">
        <w:rPr>
          <w:lang w:val="es-ES"/>
        </w:rPr>
        <w:t>VIII) contiene las direcciones y otros datos pertinentes de las oficinas centralizadoras, incluida información detallada sobre las estaciones de comprobación técnica que miden emisiones terrenales y espaciales. Se ha puesto a disposición un servicio de descarga directa, gratuito y exclusivo con acceso TIES.</w:t>
      </w:r>
      <w:bookmarkStart w:id="163" w:name="lt_pId655"/>
      <w:bookmarkEnd w:id="162"/>
      <w:bookmarkEnd w:id="163"/>
    </w:p>
    <w:p w14:paraId="42FF800F" w14:textId="77777777" w:rsidR="00FE4D65" w:rsidRPr="00FE4D65" w:rsidRDefault="00FE4D65" w:rsidP="00FE4D65">
      <w:pPr>
        <w:rPr>
          <w:lang w:val="es-ES"/>
        </w:rPr>
      </w:pPr>
      <w:bookmarkStart w:id="164" w:name="lt_pId656"/>
      <w:r w:rsidRPr="00FE4D65">
        <w:rPr>
          <w:lang w:val="es-ES"/>
        </w:rPr>
        <w:t>En diciembre de 2022 se publicó una edición de la Lista.</w:t>
      </w:r>
      <w:bookmarkEnd w:id="164"/>
    </w:p>
    <w:p w14:paraId="5EE08EB9" w14:textId="77777777" w:rsidR="00FE4D65" w:rsidRPr="00FE4D65" w:rsidRDefault="00FE4D65" w:rsidP="002F4844">
      <w:pPr>
        <w:pStyle w:val="Heading4"/>
        <w:rPr>
          <w:lang w:val="es-ES"/>
        </w:rPr>
      </w:pPr>
      <w:r w:rsidRPr="00FE4D65">
        <w:rPr>
          <w:lang w:val="es-ES"/>
        </w:rPr>
        <w:t>8.1.2.5</w:t>
      </w:r>
      <w:r w:rsidRPr="00FE4D65">
        <w:rPr>
          <w:lang w:val="es-ES"/>
        </w:rPr>
        <w:tab/>
        <w:t>Lista de documentos de servicio publicados</w:t>
      </w:r>
      <w:bookmarkStart w:id="165" w:name="lt_pId658"/>
      <w:bookmarkEnd w:id="165"/>
    </w:p>
    <w:p w14:paraId="67D02FCA" w14:textId="7FEBEA06" w:rsidR="00FE4D65" w:rsidRPr="00FE4D65" w:rsidRDefault="00FE4D65" w:rsidP="00FE4D65">
      <w:pPr>
        <w:rPr>
          <w:lang w:val="es-ES"/>
        </w:rPr>
      </w:pPr>
      <w:bookmarkStart w:id="166" w:name="lt_pId659"/>
      <w:r w:rsidRPr="00FE4D65">
        <w:rPr>
          <w:lang w:val="es-ES"/>
        </w:rPr>
        <w:t>En el Cuadro</w:t>
      </w:r>
      <w:r w:rsidR="004C180F">
        <w:rPr>
          <w:lang w:val="es-ES"/>
        </w:rPr>
        <w:t> </w:t>
      </w:r>
      <w:r w:rsidRPr="00FE4D65">
        <w:rPr>
          <w:lang w:val="es-ES"/>
        </w:rPr>
        <w:t>8.1.2.5-1 se resumen las diferentes publicaciones del periodo 2020-2023.</w:t>
      </w:r>
      <w:bookmarkEnd w:id="166"/>
    </w:p>
    <w:p w14:paraId="38C63765" w14:textId="1CE4467B" w:rsidR="00FE4D65" w:rsidRPr="00422299" w:rsidRDefault="004C180F" w:rsidP="00422299">
      <w:pPr>
        <w:pStyle w:val="TableNoBR"/>
        <w:rPr>
          <w:lang w:val="es-ES"/>
        </w:rPr>
      </w:pPr>
      <w:bookmarkStart w:id="167" w:name="lt_pId660"/>
      <w:r w:rsidRPr="00FE4D65">
        <w:rPr>
          <w:lang w:val="es-ES"/>
        </w:rPr>
        <w:lastRenderedPageBreak/>
        <w:t xml:space="preserve">CUADRO </w:t>
      </w:r>
      <w:r w:rsidR="00FE4D65" w:rsidRPr="00422299">
        <w:rPr>
          <w:lang w:val="es-ES"/>
        </w:rPr>
        <w:t>8.1.2.5-1</w:t>
      </w:r>
      <w:bookmarkEnd w:id="167"/>
    </w:p>
    <w:tbl>
      <w:tblPr>
        <w:tblStyle w:val="GridTable5Dark-Accent1"/>
        <w:tblW w:w="5000" w:type="pct"/>
        <w:jc w:val="center"/>
        <w:tblLayout w:type="fixed"/>
        <w:tblLook w:val="04A0" w:firstRow="1" w:lastRow="0" w:firstColumn="1" w:lastColumn="0" w:noHBand="0" w:noVBand="1"/>
      </w:tblPr>
      <w:tblGrid>
        <w:gridCol w:w="3918"/>
        <w:gridCol w:w="1493"/>
        <w:gridCol w:w="1356"/>
        <w:gridCol w:w="1356"/>
        <w:gridCol w:w="1506"/>
      </w:tblGrid>
      <w:tr w:rsidR="00FE4D65" w:rsidRPr="00FE4D65" w14:paraId="70310A78" w14:textId="77777777" w:rsidTr="004C18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8" w:type="dxa"/>
          </w:tcPr>
          <w:p w14:paraId="2747DD75" w14:textId="6492991C" w:rsidR="00FE4D65" w:rsidRPr="00C75846" w:rsidRDefault="00FE4D65" w:rsidP="00FB379C">
            <w:pPr>
              <w:pStyle w:val="Tablehead"/>
              <w:rPr>
                <w:sz w:val="20"/>
                <w:lang w:val="en-GB"/>
              </w:rPr>
            </w:pPr>
          </w:p>
        </w:tc>
        <w:tc>
          <w:tcPr>
            <w:tcW w:w="1405" w:type="dxa"/>
          </w:tcPr>
          <w:p w14:paraId="0B079B16" w14:textId="77777777" w:rsidR="00FE4D65" w:rsidRPr="00C75846"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C75846">
              <w:rPr>
                <w:sz w:val="20"/>
                <w:lang w:val="es-ES"/>
              </w:rPr>
              <w:t>2020</w:t>
            </w:r>
          </w:p>
        </w:tc>
        <w:tc>
          <w:tcPr>
            <w:tcW w:w="1276" w:type="dxa"/>
          </w:tcPr>
          <w:p w14:paraId="3DD55CB4" w14:textId="77777777" w:rsidR="00FE4D65" w:rsidRPr="00C75846"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C75846">
              <w:rPr>
                <w:sz w:val="20"/>
                <w:lang w:val="es-ES"/>
              </w:rPr>
              <w:t>2021</w:t>
            </w:r>
          </w:p>
        </w:tc>
        <w:tc>
          <w:tcPr>
            <w:tcW w:w="1276" w:type="dxa"/>
          </w:tcPr>
          <w:p w14:paraId="3D524AB2" w14:textId="77777777" w:rsidR="00FE4D65" w:rsidRPr="00C75846"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C75846">
              <w:rPr>
                <w:sz w:val="20"/>
                <w:lang w:val="es-ES"/>
              </w:rPr>
              <w:t>2022</w:t>
            </w:r>
          </w:p>
        </w:tc>
        <w:tc>
          <w:tcPr>
            <w:tcW w:w="1417" w:type="dxa"/>
          </w:tcPr>
          <w:p w14:paraId="19085852" w14:textId="77777777" w:rsidR="00FE4D65" w:rsidRPr="00C75846"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C75846">
              <w:rPr>
                <w:sz w:val="20"/>
                <w:lang w:val="es-ES"/>
              </w:rPr>
              <w:t>2023</w:t>
            </w:r>
          </w:p>
        </w:tc>
      </w:tr>
      <w:tr w:rsidR="00FE4D65" w:rsidRPr="00FE4D65" w14:paraId="1AC77EF8" w14:textId="77777777" w:rsidTr="004C18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8" w:type="dxa"/>
          </w:tcPr>
          <w:p w14:paraId="246B7EC7" w14:textId="77777777" w:rsidR="00FE4D65" w:rsidRPr="00C75846" w:rsidRDefault="00FE4D65" w:rsidP="007B7BFD">
            <w:pPr>
              <w:pStyle w:val="Tabletext"/>
              <w:keepNext/>
              <w:keepLines/>
              <w:jc w:val="center"/>
              <w:rPr>
                <w:sz w:val="20"/>
                <w:lang w:val="es-ES"/>
              </w:rPr>
            </w:pPr>
            <w:bookmarkStart w:id="168" w:name="lt_pId665"/>
            <w:r w:rsidRPr="00C75846">
              <w:rPr>
                <w:sz w:val="20"/>
                <w:lang w:val="es-ES"/>
              </w:rPr>
              <w:t>BR IFIC (Circular Internacional de Información sobre Frecuencias)</w:t>
            </w:r>
            <w:bookmarkEnd w:id="168"/>
          </w:p>
        </w:tc>
        <w:tc>
          <w:tcPr>
            <w:tcW w:w="1405" w:type="dxa"/>
          </w:tcPr>
          <w:p w14:paraId="4AEB6266" w14:textId="77777777"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C75846">
              <w:rPr>
                <w:sz w:val="20"/>
                <w:lang w:val="es-ES"/>
              </w:rPr>
              <w:t>25</w:t>
            </w:r>
          </w:p>
        </w:tc>
        <w:tc>
          <w:tcPr>
            <w:tcW w:w="1276" w:type="dxa"/>
          </w:tcPr>
          <w:p w14:paraId="432AAF2F" w14:textId="77777777"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C75846">
              <w:rPr>
                <w:sz w:val="20"/>
                <w:lang w:val="es-ES"/>
              </w:rPr>
              <w:t>26</w:t>
            </w:r>
          </w:p>
        </w:tc>
        <w:tc>
          <w:tcPr>
            <w:tcW w:w="1276" w:type="dxa"/>
          </w:tcPr>
          <w:p w14:paraId="578F6687" w14:textId="77777777"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C75846">
              <w:rPr>
                <w:sz w:val="20"/>
                <w:lang w:val="es-ES"/>
              </w:rPr>
              <w:t>25</w:t>
            </w:r>
          </w:p>
        </w:tc>
        <w:tc>
          <w:tcPr>
            <w:tcW w:w="1417" w:type="dxa"/>
          </w:tcPr>
          <w:p w14:paraId="335D3BAF" w14:textId="77777777"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C75846">
              <w:rPr>
                <w:sz w:val="20"/>
                <w:lang w:val="es-ES"/>
              </w:rPr>
              <w:t>25</w:t>
            </w:r>
          </w:p>
        </w:tc>
      </w:tr>
      <w:tr w:rsidR="00FE4D65" w:rsidRPr="00FE4D65" w14:paraId="01E8ADB3" w14:textId="77777777" w:rsidTr="004C180F">
        <w:trPr>
          <w:jc w:val="center"/>
        </w:trPr>
        <w:tc>
          <w:tcPr>
            <w:cnfStyle w:val="001000000000" w:firstRow="0" w:lastRow="0" w:firstColumn="1" w:lastColumn="0" w:oddVBand="0" w:evenVBand="0" w:oddHBand="0" w:evenHBand="0" w:firstRowFirstColumn="0" w:firstRowLastColumn="0" w:lastRowFirstColumn="0" w:lastRowLastColumn="0"/>
            <w:tcW w:w="3688" w:type="dxa"/>
          </w:tcPr>
          <w:p w14:paraId="725EB420" w14:textId="77777777" w:rsidR="00FE4D65" w:rsidRPr="00C75846" w:rsidRDefault="00FE4D65" w:rsidP="00C75846">
            <w:pPr>
              <w:pStyle w:val="Tabletext"/>
              <w:jc w:val="center"/>
              <w:rPr>
                <w:sz w:val="20"/>
                <w:lang w:val="es-ES"/>
              </w:rPr>
            </w:pPr>
            <w:bookmarkStart w:id="169" w:name="lt_pId670"/>
            <w:r w:rsidRPr="00C75846">
              <w:rPr>
                <w:sz w:val="20"/>
                <w:lang w:val="es-ES"/>
              </w:rPr>
              <w:t>Lista IV (Nomenclátor de las estaciones costeras y de las estaciones que efectúan servicios especiales)</w:t>
            </w:r>
            <w:bookmarkEnd w:id="169"/>
          </w:p>
        </w:tc>
        <w:tc>
          <w:tcPr>
            <w:tcW w:w="1405" w:type="dxa"/>
          </w:tcPr>
          <w:p w14:paraId="36312D21" w14:textId="6E4E1569"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s-ES"/>
              </w:rPr>
            </w:pPr>
          </w:p>
        </w:tc>
        <w:tc>
          <w:tcPr>
            <w:tcW w:w="1276" w:type="dxa"/>
          </w:tcPr>
          <w:p w14:paraId="179D2E6C" w14:textId="24548F29"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bookmarkStart w:id="170" w:name="lt_pId671"/>
            <w:r w:rsidRPr="00C75846">
              <w:rPr>
                <w:sz w:val="20"/>
                <w:lang w:val="es-ES"/>
              </w:rPr>
              <w:t>Edición de</w:t>
            </w:r>
            <w:r w:rsidR="00C75846">
              <w:rPr>
                <w:sz w:val="20"/>
                <w:lang w:val="es-ES"/>
              </w:rPr>
              <w:t> </w:t>
            </w:r>
            <w:r w:rsidRPr="00C75846">
              <w:rPr>
                <w:sz w:val="20"/>
                <w:lang w:val="es-ES"/>
              </w:rPr>
              <w:t>2021</w:t>
            </w:r>
            <w:r w:rsidR="00C75846" w:rsidRPr="00C75846">
              <w:rPr>
                <w:sz w:val="20"/>
                <w:lang w:val="es-ES"/>
              </w:rPr>
              <w:br/>
            </w:r>
            <w:r w:rsidRPr="00C75846">
              <w:rPr>
                <w:sz w:val="20"/>
                <w:lang w:val="es-ES"/>
              </w:rPr>
              <w:t>(diciembre)</w:t>
            </w:r>
            <w:bookmarkStart w:id="171" w:name="lt_pId672"/>
            <w:bookmarkEnd w:id="170"/>
            <w:bookmarkEnd w:id="171"/>
          </w:p>
        </w:tc>
        <w:tc>
          <w:tcPr>
            <w:tcW w:w="1276" w:type="dxa"/>
          </w:tcPr>
          <w:p w14:paraId="040A9A23" w14:textId="44984C87"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p>
        </w:tc>
        <w:tc>
          <w:tcPr>
            <w:tcW w:w="1417" w:type="dxa"/>
          </w:tcPr>
          <w:p w14:paraId="25C7ED55" w14:textId="4CB7309F"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bookmarkStart w:id="172" w:name="lt_pId673"/>
            <w:r w:rsidRPr="00C75846">
              <w:rPr>
                <w:sz w:val="20"/>
                <w:lang w:val="es-ES"/>
              </w:rPr>
              <w:t>Edición de</w:t>
            </w:r>
            <w:r w:rsidR="00C75846">
              <w:rPr>
                <w:sz w:val="20"/>
                <w:lang w:val="es-ES"/>
              </w:rPr>
              <w:t> </w:t>
            </w:r>
            <w:r w:rsidRPr="00C75846">
              <w:rPr>
                <w:sz w:val="20"/>
                <w:lang w:val="es-ES"/>
              </w:rPr>
              <w:t>2023</w:t>
            </w:r>
            <w:r w:rsidR="00C75846" w:rsidRPr="00C75846">
              <w:rPr>
                <w:sz w:val="20"/>
                <w:lang w:val="es-ES"/>
              </w:rPr>
              <w:br/>
            </w:r>
            <w:r w:rsidRPr="00C75846">
              <w:rPr>
                <w:sz w:val="20"/>
                <w:lang w:val="es-ES"/>
              </w:rPr>
              <w:t>(noviembre)</w:t>
            </w:r>
            <w:bookmarkStart w:id="173" w:name="lt_pId674"/>
            <w:bookmarkEnd w:id="172"/>
            <w:bookmarkEnd w:id="173"/>
          </w:p>
        </w:tc>
      </w:tr>
      <w:tr w:rsidR="00FE4D65" w:rsidRPr="00FE4D65" w14:paraId="4E3D9B4B" w14:textId="77777777" w:rsidTr="004C18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8" w:type="dxa"/>
          </w:tcPr>
          <w:p w14:paraId="565C5B02" w14:textId="05F3A6AA" w:rsidR="00FE4D65" w:rsidRPr="00C75846" w:rsidRDefault="00FE4D65" w:rsidP="00C75846">
            <w:pPr>
              <w:pStyle w:val="Tabletext"/>
              <w:jc w:val="center"/>
              <w:rPr>
                <w:sz w:val="20"/>
                <w:lang w:val="es-ES"/>
              </w:rPr>
            </w:pPr>
            <w:bookmarkStart w:id="174" w:name="lt_pId675"/>
            <w:r w:rsidRPr="00C75846">
              <w:rPr>
                <w:sz w:val="20"/>
                <w:lang w:val="es-ES"/>
              </w:rPr>
              <w:t>Lista V (Nomenclátor de las estaciones de barco y de las asignaciones a identidades del</w:t>
            </w:r>
            <w:r w:rsidR="00C75846">
              <w:rPr>
                <w:sz w:val="20"/>
                <w:lang w:val="es-ES"/>
              </w:rPr>
              <w:t xml:space="preserve"> </w:t>
            </w:r>
            <w:r w:rsidRPr="00C75846">
              <w:rPr>
                <w:sz w:val="20"/>
                <w:lang w:val="es-ES"/>
              </w:rPr>
              <w:t>servicio móvil marítimo)</w:t>
            </w:r>
            <w:bookmarkEnd w:id="174"/>
          </w:p>
        </w:tc>
        <w:tc>
          <w:tcPr>
            <w:tcW w:w="1405" w:type="dxa"/>
          </w:tcPr>
          <w:p w14:paraId="301C314C" w14:textId="50C4FE94"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175" w:name="lt_pId676"/>
            <w:r w:rsidRPr="00C75846">
              <w:rPr>
                <w:sz w:val="20"/>
                <w:lang w:val="es-ES"/>
              </w:rPr>
              <w:t>Edición de</w:t>
            </w:r>
            <w:r w:rsidR="00C75846">
              <w:rPr>
                <w:sz w:val="20"/>
                <w:lang w:val="es-ES"/>
              </w:rPr>
              <w:t> </w:t>
            </w:r>
            <w:r w:rsidRPr="00C75846">
              <w:rPr>
                <w:sz w:val="20"/>
                <w:lang w:val="es-ES"/>
              </w:rPr>
              <w:t>2020</w:t>
            </w:r>
            <w:r w:rsidR="00C75846" w:rsidRPr="00C75846">
              <w:rPr>
                <w:sz w:val="20"/>
                <w:lang w:val="es-ES"/>
              </w:rPr>
              <w:br/>
            </w:r>
            <w:r w:rsidRPr="00C75846">
              <w:rPr>
                <w:sz w:val="20"/>
                <w:lang w:val="es-ES"/>
              </w:rPr>
              <w:t>(abril)</w:t>
            </w:r>
            <w:bookmarkStart w:id="176" w:name="lt_pId677"/>
            <w:bookmarkEnd w:id="175"/>
            <w:bookmarkEnd w:id="176"/>
          </w:p>
        </w:tc>
        <w:tc>
          <w:tcPr>
            <w:tcW w:w="1276" w:type="dxa"/>
          </w:tcPr>
          <w:p w14:paraId="449C0BB9" w14:textId="6786CD4B"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177" w:name="lt_pId678"/>
            <w:r w:rsidRPr="00C75846">
              <w:rPr>
                <w:sz w:val="20"/>
                <w:lang w:val="es-ES"/>
              </w:rPr>
              <w:t>Edición de</w:t>
            </w:r>
            <w:r w:rsidR="00C75846">
              <w:rPr>
                <w:sz w:val="20"/>
                <w:lang w:val="es-ES"/>
              </w:rPr>
              <w:t> </w:t>
            </w:r>
            <w:r w:rsidRPr="00C75846">
              <w:rPr>
                <w:sz w:val="20"/>
                <w:lang w:val="es-ES"/>
              </w:rPr>
              <w:t>2021</w:t>
            </w:r>
            <w:r w:rsidR="00C75846" w:rsidRPr="00C75846">
              <w:rPr>
                <w:sz w:val="20"/>
                <w:lang w:val="es-ES"/>
              </w:rPr>
              <w:br/>
            </w:r>
            <w:r w:rsidRPr="00C75846">
              <w:rPr>
                <w:sz w:val="20"/>
                <w:lang w:val="es-ES"/>
              </w:rPr>
              <w:t>(abril)</w:t>
            </w:r>
            <w:bookmarkStart w:id="178" w:name="lt_pId679"/>
            <w:bookmarkEnd w:id="177"/>
            <w:bookmarkEnd w:id="178"/>
          </w:p>
        </w:tc>
        <w:tc>
          <w:tcPr>
            <w:tcW w:w="1276" w:type="dxa"/>
          </w:tcPr>
          <w:p w14:paraId="317A8D40" w14:textId="6ECF628E"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179" w:name="lt_pId680"/>
            <w:r w:rsidRPr="00C75846">
              <w:rPr>
                <w:sz w:val="20"/>
                <w:lang w:val="es-ES"/>
              </w:rPr>
              <w:t>Edición de</w:t>
            </w:r>
            <w:r w:rsidR="00C75846">
              <w:rPr>
                <w:sz w:val="20"/>
                <w:lang w:val="es-ES"/>
              </w:rPr>
              <w:t> </w:t>
            </w:r>
            <w:r w:rsidRPr="00C75846">
              <w:rPr>
                <w:sz w:val="20"/>
                <w:lang w:val="es-ES"/>
              </w:rPr>
              <w:t>2022</w:t>
            </w:r>
            <w:r w:rsidR="00C75846" w:rsidRPr="00C75846">
              <w:rPr>
                <w:sz w:val="20"/>
                <w:lang w:val="es-ES"/>
              </w:rPr>
              <w:br/>
            </w:r>
            <w:r w:rsidRPr="00C75846">
              <w:rPr>
                <w:sz w:val="20"/>
                <w:lang w:val="es-ES"/>
              </w:rPr>
              <w:t>(abril)</w:t>
            </w:r>
            <w:bookmarkStart w:id="180" w:name="lt_pId681"/>
            <w:bookmarkEnd w:id="179"/>
            <w:bookmarkEnd w:id="180"/>
          </w:p>
        </w:tc>
        <w:tc>
          <w:tcPr>
            <w:tcW w:w="1417" w:type="dxa"/>
          </w:tcPr>
          <w:p w14:paraId="4589B04F" w14:textId="350D1BBD"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181" w:name="lt_pId682"/>
            <w:r w:rsidRPr="00C75846">
              <w:rPr>
                <w:sz w:val="20"/>
                <w:lang w:val="es-ES"/>
              </w:rPr>
              <w:t>Edición de</w:t>
            </w:r>
            <w:r w:rsidR="00C75846">
              <w:rPr>
                <w:sz w:val="20"/>
                <w:lang w:val="es-ES"/>
              </w:rPr>
              <w:t> </w:t>
            </w:r>
            <w:r w:rsidRPr="00C75846">
              <w:rPr>
                <w:sz w:val="20"/>
                <w:lang w:val="es-ES"/>
              </w:rPr>
              <w:t>2023</w:t>
            </w:r>
            <w:r w:rsidR="00C75846" w:rsidRPr="00C75846">
              <w:rPr>
                <w:sz w:val="20"/>
                <w:lang w:val="es-ES"/>
              </w:rPr>
              <w:br/>
            </w:r>
            <w:r w:rsidRPr="00C75846">
              <w:rPr>
                <w:sz w:val="20"/>
                <w:lang w:val="es-ES"/>
              </w:rPr>
              <w:t>(abril)</w:t>
            </w:r>
            <w:bookmarkStart w:id="182" w:name="lt_pId683"/>
            <w:bookmarkEnd w:id="181"/>
            <w:bookmarkEnd w:id="182"/>
          </w:p>
        </w:tc>
      </w:tr>
      <w:tr w:rsidR="00FE4D65" w:rsidRPr="00FE4D65" w14:paraId="1A4D4AEA" w14:textId="77777777" w:rsidTr="004C180F">
        <w:trPr>
          <w:jc w:val="center"/>
        </w:trPr>
        <w:tc>
          <w:tcPr>
            <w:cnfStyle w:val="001000000000" w:firstRow="0" w:lastRow="0" w:firstColumn="1" w:lastColumn="0" w:oddVBand="0" w:evenVBand="0" w:oddHBand="0" w:evenHBand="0" w:firstRowFirstColumn="0" w:firstRowLastColumn="0" w:lastRowFirstColumn="0" w:lastRowLastColumn="0"/>
            <w:tcW w:w="3688" w:type="dxa"/>
          </w:tcPr>
          <w:p w14:paraId="2C7B68DC" w14:textId="6EFDE1A9" w:rsidR="00FE4D65" w:rsidRPr="00C75846" w:rsidRDefault="00FE4D65" w:rsidP="00C75846">
            <w:pPr>
              <w:pStyle w:val="Tabletext"/>
              <w:jc w:val="center"/>
              <w:rPr>
                <w:sz w:val="20"/>
                <w:lang w:val="es-ES"/>
              </w:rPr>
            </w:pPr>
            <w:bookmarkStart w:id="183" w:name="lt_pId684"/>
            <w:r w:rsidRPr="00C75846">
              <w:rPr>
                <w:sz w:val="20"/>
                <w:lang w:val="es-ES"/>
              </w:rPr>
              <w:t>Lista VIII (Nomenclátor de las estaciones de comprobación técnica internacional de las emisiones)</w:t>
            </w:r>
            <w:bookmarkEnd w:id="183"/>
          </w:p>
        </w:tc>
        <w:tc>
          <w:tcPr>
            <w:tcW w:w="1405" w:type="dxa"/>
          </w:tcPr>
          <w:p w14:paraId="157286E2" w14:textId="21BC9E27"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s-ES"/>
              </w:rPr>
            </w:pPr>
          </w:p>
        </w:tc>
        <w:tc>
          <w:tcPr>
            <w:tcW w:w="1276" w:type="dxa"/>
          </w:tcPr>
          <w:p w14:paraId="65AD401A" w14:textId="5C0C001A"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s-ES"/>
              </w:rPr>
            </w:pPr>
          </w:p>
        </w:tc>
        <w:tc>
          <w:tcPr>
            <w:tcW w:w="1276" w:type="dxa"/>
          </w:tcPr>
          <w:p w14:paraId="42810188" w14:textId="4431F857"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bookmarkStart w:id="184" w:name="lt_pId685"/>
            <w:r w:rsidRPr="00C75846">
              <w:rPr>
                <w:sz w:val="20"/>
                <w:lang w:val="es-ES"/>
              </w:rPr>
              <w:t>Edición de</w:t>
            </w:r>
            <w:r w:rsidR="00C75846">
              <w:rPr>
                <w:sz w:val="20"/>
                <w:lang w:val="es-ES"/>
              </w:rPr>
              <w:t> </w:t>
            </w:r>
            <w:r w:rsidRPr="00C75846">
              <w:rPr>
                <w:sz w:val="20"/>
                <w:lang w:val="es-ES"/>
              </w:rPr>
              <w:t>2022</w:t>
            </w:r>
            <w:r w:rsidR="00C75846" w:rsidRPr="00C75846">
              <w:rPr>
                <w:sz w:val="20"/>
                <w:lang w:val="es-ES"/>
              </w:rPr>
              <w:br/>
            </w:r>
            <w:r w:rsidRPr="00C75846">
              <w:rPr>
                <w:sz w:val="20"/>
                <w:lang w:val="es-ES"/>
              </w:rPr>
              <w:t>(diciembre)</w:t>
            </w:r>
            <w:bookmarkStart w:id="185" w:name="lt_pId686"/>
            <w:bookmarkEnd w:id="184"/>
            <w:bookmarkEnd w:id="185"/>
          </w:p>
        </w:tc>
        <w:tc>
          <w:tcPr>
            <w:tcW w:w="1417" w:type="dxa"/>
          </w:tcPr>
          <w:p w14:paraId="6A24A14F" w14:textId="77777777" w:rsidR="00FE4D65" w:rsidRPr="00C75846"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p>
        </w:tc>
      </w:tr>
      <w:tr w:rsidR="00FE4D65" w:rsidRPr="00FE4D65" w14:paraId="0AD4D746" w14:textId="77777777" w:rsidTr="004C18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8" w:type="dxa"/>
          </w:tcPr>
          <w:p w14:paraId="223FA61C" w14:textId="65826B6D" w:rsidR="00FE4D65" w:rsidRPr="00C75846" w:rsidRDefault="00FE4D65" w:rsidP="00C75846">
            <w:pPr>
              <w:pStyle w:val="Tabletext"/>
              <w:jc w:val="center"/>
              <w:rPr>
                <w:sz w:val="20"/>
                <w:lang w:val="en-GB"/>
              </w:rPr>
            </w:pPr>
            <w:bookmarkStart w:id="186" w:name="lt_pId687"/>
            <w:r w:rsidRPr="00C75846">
              <w:rPr>
                <w:sz w:val="20"/>
                <w:lang w:val="es-ES"/>
              </w:rPr>
              <w:t>Manual Marítimo</w:t>
            </w:r>
            <w:bookmarkEnd w:id="186"/>
          </w:p>
        </w:tc>
        <w:tc>
          <w:tcPr>
            <w:tcW w:w="1405" w:type="dxa"/>
          </w:tcPr>
          <w:p w14:paraId="7ED4555D" w14:textId="43F825A9"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187" w:name="lt_pId688"/>
            <w:r w:rsidRPr="00C75846">
              <w:rPr>
                <w:sz w:val="20"/>
                <w:lang w:val="es-ES"/>
              </w:rPr>
              <w:t>Edición de</w:t>
            </w:r>
            <w:r w:rsidR="00C75846">
              <w:rPr>
                <w:sz w:val="20"/>
                <w:lang w:val="es-ES"/>
              </w:rPr>
              <w:t> </w:t>
            </w:r>
            <w:r w:rsidRPr="00C75846">
              <w:rPr>
                <w:sz w:val="20"/>
                <w:lang w:val="es-ES"/>
              </w:rPr>
              <w:t>2020</w:t>
            </w:r>
            <w:r w:rsidR="00C75846" w:rsidRPr="00C75846">
              <w:rPr>
                <w:sz w:val="20"/>
                <w:lang w:val="es-ES"/>
              </w:rPr>
              <w:br/>
            </w:r>
            <w:r w:rsidRPr="00C75846">
              <w:rPr>
                <w:sz w:val="20"/>
                <w:lang w:val="es-ES"/>
              </w:rPr>
              <w:t>(noviembre)</w:t>
            </w:r>
            <w:bookmarkEnd w:id="187"/>
          </w:p>
        </w:tc>
        <w:tc>
          <w:tcPr>
            <w:tcW w:w="1276" w:type="dxa"/>
          </w:tcPr>
          <w:p w14:paraId="32DBBEC8" w14:textId="36CE3D6F"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p>
        </w:tc>
        <w:tc>
          <w:tcPr>
            <w:tcW w:w="1276" w:type="dxa"/>
          </w:tcPr>
          <w:p w14:paraId="3332CB02" w14:textId="21178D0A"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p>
        </w:tc>
        <w:tc>
          <w:tcPr>
            <w:tcW w:w="1417" w:type="dxa"/>
          </w:tcPr>
          <w:p w14:paraId="3EA2E916" w14:textId="77777777" w:rsidR="00FE4D65" w:rsidRPr="00C75846"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p>
        </w:tc>
      </w:tr>
    </w:tbl>
    <w:p w14:paraId="703AB8F6" w14:textId="343597F2" w:rsidR="00FE4D65" w:rsidRPr="00FE4D65" w:rsidRDefault="00FE4D65" w:rsidP="002F4844">
      <w:pPr>
        <w:pStyle w:val="Heading3"/>
        <w:rPr>
          <w:lang w:val="es-ES"/>
        </w:rPr>
      </w:pPr>
      <w:bookmarkStart w:id="188" w:name="_Toc418163378"/>
      <w:bookmarkStart w:id="189" w:name="_Toc418232296"/>
      <w:bookmarkStart w:id="190" w:name="_Toc424047598"/>
      <w:bookmarkStart w:id="191" w:name="_Toc446060780"/>
      <w:r w:rsidRPr="00FE4D65">
        <w:rPr>
          <w:lang w:val="es-ES"/>
        </w:rPr>
        <w:t>8.1.3</w:t>
      </w:r>
      <w:r w:rsidRPr="00FE4D65">
        <w:rPr>
          <w:lang w:val="es-ES"/>
        </w:rPr>
        <w:tab/>
        <w:t>Publicaciones de las Comisiones de Estudio</w:t>
      </w:r>
      <w:bookmarkStart w:id="192" w:name="lt_pId690"/>
      <w:bookmarkEnd w:id="192"/>
    </w:p>
    <w:p w14:paraId="17D69B6C" w14:textId="0042CFE6" w:rsidR="00FE4D65" w:rsidRPr="00FE4D65" w:rsidRDefault="00FE4D65" w:rsidP="00FE4D65">
      <w:pPr>
        <w:rPr>
          <w:lang w:val="es-ES"/>
        </w:rPr>
      </w:pPr>
      <w:bookmarkStart w:id="193" w:name="lt_pId691"/>
      <w:r w:rsidRPr="00FE4D65">
        <w:rPr>
          <w:lang w:val="es-ES"/>
        </w:rPr>
        <w:t>Desde la reunión de 2023 del GAR, las publicaciones de las Comisiones de Estudio del UIT-R de la</w:t>
      </w:r>
      <w:r w:rsidR="00FB379C">
        <w:rPr>
          <w:lang w:val="es-ES"/>
        </w:rPr>
        <w:t> </w:t>
      </w:r>
      <w:r w:rsidRPr="00FE4D65">
        <w:rPr>
          <w:lang w:val="es-ES"/>
        </w:rPr>
        <w:t>UIT, incluidas las Recomendaciones aprobadas por la AR-23, siguieron elaborándose de conformidad con la Resolución</w:t>
      </w:r>
      <w:r w:rsidR="004C180F">
        <w:rPr>
          <w:lang w:val="es-ES"/>
        </w:rPr>
        <w:t> </w:t>
      </w:r>
      <w:r w:rsidRPr="00FE4D65">
        <w:rPr>
          <w:lang w:val="es-ES"/>
        </w:rPr>
        <w:t>UIT-R</w:t>
      </w:r>
      <w:r w:rsidR="004C180F">
        <w:rPr>
          <w:lang w:val="es-ES"/>
        </w:rPr>
        <w:t> </w:t>
      </w:r>
      <w:r w:rsidRPr="00FE4D65">
        <w:rPr>
          <w:lang w:val="es-ES"/>
        </w:rPr>
        <w:t>1.</w:t>
      </w:r>
      <w:bookmarkEnd w:id="193"/>
    </w:p>
    <w:p w14:paraId="1F1540FF" w14:textId="77777777" w:rsidR="00FE4D65" w:rsidRPr="00FE4D65" w:rsidRDefault="00FE4D65" w:rsidP="00FE4D65">
      <w:pPr>
        <w:rPr>
          <w:lang w:val="es-ES"/>
        </w:rPr>
      </w:pPr>
      <w:bookmarkStart w:id="194" w:name="lt_pId692"/>
      <w:bookmarkStart w:id="195" w:name="_Toc424047599"/>
      <w:bookmarkStart w:id="196" w:name="_Toc446060781"/>
      <w:bookmarkEnd w:id="188"/>
      <w:bookmarkEnd w:id="189"/>
      <w:bookmarkEnd w:id="190"/>
      <w:bookmarkEnd w:id="191"/>
      <w:r w:rsidRPr="00FE4D65">
        <w:rPr>
          <w:lang w:val="es-ES"/>
        </w:rPr>
        <w:t>El Addéndum 1 al presente documento contiene la lista completa de las Cuestiones UIT-R, las Recomendaciones UIT-R y los Informes UIT-R aprobados desde la reunión de 2023 del GAR.</w:t>
      </w:r>
      <w:bookmarkEnd w:id="194"/>
    </w:p>
    <w:p w14:paraId="0D6B4A69" w14:textId="77777777" w:rsidR="00FE4D65" w:rsidRPr="00FE4D65" w:rsidRDefault="00FE4D65" w:rsidP="002F4844">
      <w:pPr>
        <w:pStyle w:val="Heading3"/>
        <w:rPr>
          <w:lang w:val="es-ES"/>
        </w:rPr>
      </w:pPr>
      <w:r w:rsidRPr="00FE4D65">
        <w:rPr>
          <w:lang w:val="es-ES"/>
        </w:rPr>
        <w:t>8.1.4</w:t>
      </w:r>
      <w:r w:rsidRPr="00FE4D65">
        <w:rPr>
          <w:lang w:val="es-ES"/>
        </w:rPr>
        <w:tab/>
        <w:t>Descargas de publicaciones del UIT-R</w:t>
      </w:r>
      <w:bookmarkStart w:id="197" w:name="lt_pId694"/>
      <w:bookmarkEnd w:id="197"/>
      <w:bookmarkEnd w:id="195"/>
      <w:bookmarkEnd w:id="196"/>
    </w:p>
    <w:p w14:paraId="68125477" w14:textId="77777777" w:rsidR="00FE4D65" w:rsidRPr="00FE4D65" w:rsidRDefault="00FE4D65" w:rsidP="002F4844">
      <w:pPr>
        <w:pStyle w:val="Heading4"/>
        <w:rPr>
          <w:lang w:val="es-ES"/>
        </w:rPr>
      </w:pPr>
      <w:bookmarkStart w:id="198" w:name="_Toc424047600"/>
      <w:bookmarkStart w:id="199" w:name="_Toc446060782"/>
      <w:r w:rsidRPr="00FE4D65">
        <w:rPr>
          <w:lang w:val="es-ES"/>
        </w:rPr>
        <w:t>8.1.4.1</w:t>
      </w:r>
      <w:r w:rsidRPr="00FE4D65">
        <w:rPr>
          <w:lang w:val="es-ES"/>
        </w:rPr>
        <w:tab/>
        <w:t xml:space="preserve">Reglamento de Radiocomunicaciones y Reglas de Procedimiento </w:t>
      </w:r>
      <w:bookmarkStart w:id="200" w:name="lt_pId696"/>
      <w:bookmarkEnd w:id="200"/>
    </w:p>
    <w:p w14:paraId="223F4D85" w14:textId="69C88DC6" w:rsidR="00FE4D65" w:rsidRPr="00FE4D65" w:rsidRDefault="00FE4D65" w:rsidP="00FE4D65">
      <w:pPr>
        <w:rPr>
          <w:lang w:val="es-ES"/>
        </w:rPr>
      </w:pPr>
      <w:bookmarkStart w:id="201" w:name="lt_pId697"/>
      <w:r w:rsidRPr="00FE4D65">
        <w:rPr>
          <w:lang w:val="es-ES"/>
        </w:rPr>
        <w:t>En relación con estos documentos reglamentarios, en el Cuadro</w:t>
      </w:r>
      <w:r w:rsidR="004C180F">
        <w:rPr>
          <w:lang w:val="es-ES"/>
        </w:rPr>
        <w:t> </w:t>
      </w:r>
      <w:r w:rsidRPr="00FE4D65">
        <w:rPr>
          <w:lang w:val="es-ES"/>
        </w:rPr>
        <w:t>8.1.4.1-1 se muestra el número de ejemplares distribuidos de la edición de 2016 del RR y de la edición de 2020 del RR. Conforme a la solicitud de la reunión del GAR de 2021, las versiones en formatos pdf y Word de la edición RR</w:t>
      </w:r>
      <w:r w:rsidR="004C180F">
        <w:rPr>
          <w:lang w:val="es-ES"/>
        </w:rPr>
        <w:noBreakHyphen/>
      </w:r>
      <w:r w:rsidRPr="00FE4D65">
        <w:rPr>
          <w:lang w:val="es-ES"/>
        </w:rPr>
        <w:t xml:space="preserve">2020 pueden descargarse gratuitamente desde el sitio web de la UIT </w:t>
      </w:r>
      <w:hyperlink r:id="rId54" w:history="1">
        <w:r w:rsidRPr="00FE4D65">
          <w:rPr>
            <w:rStyle w:val="Hyperlink"/>
            <w:lang w:val="es-ES"/>
          </w:rPr>
          <w:t>aquí</w:t>
        </w:r>
      </w:hyperlink>
      <w:r w:rsidRPr="00FE4D65">
        <w:rPr>
          <w:lang w:val="es-ES"/>
        </w:rPr>
        <w:t xml:space="preserve">, y las versiones en formato Word también están disponibles </w:t>
      </w:r>
      <w:hyperlink r:id="rId55" w:anchor="/es" w:history="1">
        <w:r w:rsidRPr="00FE4D65">
          <w:rPr>
            <w:rStyle w:val="Hyperlink"/>
            <w:lang w:val="es-ES"/>
          </w:rPr>
          <w:t>aquí</w:t>
        </w:r>
      </w:hyperlink>
      <w:r w:rsidRPr="00FE4D65">
        <w:rPr>
          <w:lang w:val="es-ES"/>
        </w:rPr>
        <w:t>. El Cuadro 8.1.4.1-2 muestra el número total de descargas durante el mismo periodo de las Reglas de Procedimiento. La edición más reciente de las Reglas de Procedimiento se publicó en junio de 2021, teniendo en cuenta las decisiones de la</w:t>
      </w:r>
      <w:r w:rsidR="004C180F">
        <w:rPr>
          <w:lang w:val="es-ES"/>
        </w:rPr>
        <w:t> </w:t>
      </w:r>
      <w:r w:rsidRPr="00FE4D65">
        <w:rPr>
          <w:lang w:val="es-ES"/>
        </w:rPr>
        <w:t>CMR</w:t>
      </w:r>
      <w:r w:rsidR="004C180F">
        <w:rPr>
          <w:lang w:val="es-ES"/>
        </w:rPr>
        <w:noBreakHyphen/>
      </w:r>
      <w:r w:rsidRPr="00FE4D65">
        <w:rPr>
          <w:lang w:val="es-ES"/>
        </w:rPr>
        <w:t>19. La edición ha sido posteriormente actualizada tres veces como resultado de las Reglas de Procedimiento nuevas y revisadas aprobadas por la Junta del Reglamento de Radiocomunicaciones.</w:t>
      </w:r>
      <w:bookmarkStart w:id="202" w:name="lt_pId698"/>
      <w:bookmarkStart w:id="203" w:name="lt_pId699"/>
      <w:bookmarkStart w:id="204" w:name="lt_pId700"/>
      <w:bookmarkStart w:id="205" w:name="lt_pId701"/>
      <w:bookmarkEnd w:id="201"/>
      <w:bookmarkEnd w:id="202"/>
      <w:bookmarkEnd w:id="203"/>
      <w:bookmarkEnd w:id="204"/>
      <w:bookmarkEnd w:id="205"/>
    </w:p>
    <w:p w14:paraId="25A42385" w14:textId="77777777" w:rsidR="00422299" w:rsidRDefault="004C180F" w:rsidP="00422299">
      <w:pPr>
        <w:pStyle w:val="TableNoBR"/>
        <w:rPr>
          <w:lang w:val="es-ES"/>
        </w:rPr>
      </w:pPr>
      <w:bookmarkStart w:id="206" w:name="lt_pId702"/>
      <w:r w:rsidRPr="00FE4D65">
        <w:rPr>
          <w:lang w:val="es-ES"/>
        </w:rPr>
        <w:lastRenderedPageBreak/>
        <w:t xml:space="preserve">CUADRO </w:t>
      </w:r>
      <w:r w:rsidR="00FE4D65" w:rsidRPr="00FE4D65">
        <w:rPr>
          <w:lang w:val="es-ES"/>
        </w:rPr>
        <w:t>8.1.4.1-1</w:t>
      </w:r>
      <w:bookmarkStart w:id="207" w:name="lt_pId703"/>
      <w:bookmarkEnd w:id="206"/>
    </w:p>
    <w:p w14:paraId="65ADF369" w14:textId="51A442D1" w:rsidR="00FE4D65" w:rsidRPr="00FE4D65" w:rsidRDefault="00FE4D65" w:rsidP="00422299">
      <w:pPr>
        <w:pStyle w:val="TabletitleBR"/>
        <w:rPr>
          <w:lang w:val="es-ES"/>
        </w:rPr>
      </w:pPr>
      <w:r w:rsidRPr="00FE4D65">
        <w:rPr>
          <w:lang w:val="es-ES"/>
        </w:rPr>
        <w:t>Número de ejemplares distribuidos del Reglamento de Radiocomunicaciones</w:t>
      </w:r>
      <w:bookmarkEnd w:id="207"/>
    </w:p>
    <w:tbl>
      <w:tblPr>
        <w:tblStyle w:val="GridTable5Dark-Accent1"/>
        <w:tblW w:w="5000" w:type="pct"/>
        <w:jc w:val="center"/>
        <w:tblLayout w:type="fixed"/>
        <w:tblLook w:val="04A0" w:firstRow="1" w:lastRow="0" w:firstColumn="1" w:lastColumn="0" w:noHBand="0" w:noVBand="1"/>
      </w:tblPr>
      <w:tblGrid>
        <w:gridCol w:w="1967"/>
        <w:gridCol w:w="2564"/>
        <w:gridCol w:w="1889"/>
        <w:gridCol w:w="1610"/>
        <w:gridCol w:w="1599"/>
      </w:tblGrid>
      <w:tr w:rsidR="00FE4D65" w:rsidRPr="00422299" w14:paraId="63087744" w14:textId="77777777" w:rsidTr="004222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5D5FE2AD" w14:textId="77777777" w:rsidR="00FE4D65" w:rsidRPr="00422299" w:rsidRDefault="00FE4D65" w:rsidP="00FB379C">
            <w:pPr>
              <w:pStyle w:val="Tablehead"/>
              <w:rPr>
                <w:sz w:val="20"/>
                <w:lang w:val="es-ES"/>
              </w:rPr>
            </w:pPr>
          </w:p>
        </w:tc>
        <w:tc>
          <w:tcPr>
            <w:tcW w:w="2564" w:type="dxa"/>
            <w:hideMark/>
          </w:tcPr>
          <w:p w14:paraId="4287F764" w14:textId="77777777" w:rsidR="00FE4D65" w:rsidRPr="00422299"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422299">
              <w:rPr>
                <w:sz w:val="20"/>
                <w:lang w:val="es-ES"/>
              </w:rPr>
              <w:t xml:space="preserve">2020 </w:t>
            </w:r>
            <w:r w:rsidRPr="00422299">
              <w:rPr>
                <w:sz w:val="20"/>
                <w:lang w:val="es-ES"/>
              </w:rPr>
              <w:br/>
              <w:t>(RR-16 y RR-20)</w:t>
            </w:r>
            <w:bookmarkStart w:id="208" w:name="lt_pId705"/>
            <w:bookmarkEnd w:id="208"/>
          </w:p>
        </w:tc>
        <w:tc>
          <w:tcPr>
            <w:tcW w:w="1889" w:type="dxa"/>
          </w:tcPr>
          <w:p w14:paraId="752A8A6C" w14:textId="77777777" w:rsidR="00FE4D65" w:rsidRPr="00422299"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422299">
              <w:rPr>
                <w:sz w:val="20"/>
                <w:lang w:val="es-ES"/>
              </w:rPr>
              <w:t xml:space="preserve">2021 </w:t>
            </w:r>
            <w:r w:rsidRPr="00422299">
              <w:rPr>
                <w:sz w:val="20"/>
                <w:lang w:val="es-ES"/>
              </w:rPr>
              <w:br/>
              <w:t>RR-20</w:t>
            </w:r>
            <w:bookmarkStart w:id="209" w:name="lt_pId707"/>
            <w:bookmarkEnd w:id="209"/>
          </w:p>
        </w:tc>
        <w:tc>
          <w:tcPr>
            <w:tcW w:w="1610" w:type="dxa"/>
          </w:tcPr>
          <w:p w14:paraId="7C0D3BEE" w14:textId="77777777" w:rsidR="00FE4D65" w:rsidRPr="00422299"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422299">
              <w:rPr>
                <w:sz w:val="20"/>
                <w:lang w:val="es-ES"/>
              </w:rPr>
              <w:t xml:space="preserve">2022 </w:t>
            </w:r>
            <w:r w:rsidRPr="00422299">
              <w:rPr>
                <w:sz w:val="20"/>
                <w:lang w:val="es-ES"/>
              </w:rPr>
              <w:br/>
              <w:t>RR-20</w:t>
            </w:r>
            <w:bookmarkStart w:id="210" w:name="lt_pId709"/>
            <w:bookmarkEnd w:id="210"/>
          </w:p>
        </w:tc>
        <w:tc>
          <w:tcPr>
            <w:tcW w:w="1599" w:type="dxa"/>
          </w:tcPr>
          <w:p w14:paraId="22C10C7A" w14:textId="77777777" w:rsidR="00FE4D65" w:rsidRPr="00422299"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n-GB"/>
              </w:rPr>
            </w:pPr>
            <w:r w:rsidRPr="00422299">
              <w:rPr>
                <w:sz w:val="20"/>
                <w:lang w:val="es-ES"/>
              </w:rPr>
              <w:t xml:space="preserve">2023 </w:t>
            </w:r>
            <w:r w:rsidRPr="00422299">
              <w:rPr>
                <w:sz w:val="20"/>
                <w:lang w:val="es-ES"/>
              </w:rPr>
              <w:br/>
              <w:t>RR-20</w:t>
            </w:r>
            <w:bookmarkStart w:id="211" w:name="lt_pId711"/>
            <w:bookmarkEnd w:id="211"/>
          </w:p>
        </w:tc>
      </w:tr>
      <w:tr w:rsidR="00FB379C" w:rsidRPr="00422299" w14:paraId="3A009C0A" w14:textId="77777777" w:rsidTr="00422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56D44877" w14:textId="4A20FCD8" w:rsidR="00FE4D65" w:rsidRPr="00422299" w:rsidRDefault="00FE4D65" w:rsidP="007B7BFD">
            <w:pPr>
              <w:pStyle w:val="Tabletext"/>
              <w:keepNext/>
              <w:keepLines/>
              <w:jc w:val="center"/>
              <w:rPr>
                <w:sz w:val="20"/>
                <w:lang w:val="en-GB"/>
              </w:rPr>
            </w:pPr>
            <w:bookmarkStart w:id="212" w:name="lt_pId712"/>
            <w:r w:rsidRPr="00422299">
              <w:rPr>
                <w:sz w:val="20"/>
                <w:lang w:val="es-ES"/>
              </w:rPr>
              <w:t>Copias impresas vendidas</w:t>
            </w:r>
            <w:bookmarkEnd w:id="212"/>
          </w:p>
        </w:tc>
        <w:tc>
          <w:tcPr>
            <w:tcW w:w="2564" w:type="dxa"/>
            <w:hideMark/>
          </w:tcPr>
          <w:p w14:paraId="28ECD220" w14:textId="4A4CF90D"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s-ES"/>
              </w:rPr>
            </w:pPr>
            <w:bookmarkStart w:id="213" w:name="lt_pId713"/>
            <w:r w:rsidRPr="00422299">
              <w:rPr>
                <w:sz w:val="20"/>
                <w:lang w:val="es-ES"/>
              </w:rPr>
              <w:t xml:space="preserve">Edición de 2016: 59 </w:t>
            </w:r>
            <w:r w:rsidRPr="00422299">
              <w:rPr>
                <w:sz w:val="20"/>
                <w:lang w:val="es-ES"/>
              </w:rPr>
              <w:br/>
              <w:t>Edición de 2020: 1</w:t>
            </w:r>
            <w:r w:rsidR="00422299">
              <w:rPr>
                <w:sz w:val="20"/>
                <w:lang w:val="es-ES"/>
              </w:rPr>
              <w:t> </w:t>
            </w:r>
            <w:r w:rsidRPr="00422299">
              <w:rPr>
                <w:sz w:val="20"/>
                <w:lang w:val="es-ES"/>
              </w:rPr>
              <w:t>170</w:t>
            </w:r>
            <w:bookmarkStart w:id="214" w:name="lt_pId714"/>
            <w:bookmarkEnd w:id="213"/>
            <w:bookmarkEnd w:id="214"/>
          </w:p>
        </w:tc>
        <w:tc>
          <w:tcPr>
            <w:tcW w:w="1889" w:type="dxa"/>
          </w:tcPr>
          <w:p w14:paraId="2045E7C0" w14:textId="77777777"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274</w:t>
            </w:r>
          </w:p>
        </w:tc>
        <w:tc>
          <w:tcPr>
            <w:tcW w:w="1610" w:type="dxa"/>
          </w:tcPr>
          <w:p w14:paraId="34D86739" w14:textId="77777777"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117</w:t>
            </w:r>
          </w:p>
        </w:tc>
        <w:tc>
          <w:tcPr>
            <w:tcW w:w="1599" w:type="dxa"/>
          </w:tcPr>
          <w:p w14:paraId="6CFCD191" w14:textId="658171A1"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w:t>
            </w:r>
            <w:r w:rsidR="00422299">
              <w:rPr>
                <w:sz w:val="20"/>
                <w:lang w:val="es-ES"/>
              </w:rPr>
              <w:t> </w:t>
            </w:r>
            <w:r w:rsidRPr="00422299">
              <w:rPr>
                <w:sz w:val="20"/>
                <w:lang w:val="es-ES"/>
              </w:rPr>
              <w:t>611</w:t>
            </w:r>
          </w:p>
        </w:tc>
      </w:tr>
      <w:tr w:rsidR="00FB379C" w:rsidRPr="00422299" w14:paraId="220D519D" w14:textId="77777777" w:rsidTr="00422299">
        <w:trPr>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446F08EB" w14:textId="700A3EDB" w:rsidR="00FE4D65" w:rsidRPr="00422299" w:rsidRDefault="00FE4D65" w:rsidP="007B7BFD">
            <w:pPr>
              <w:pStyle w:val="Tabletext"/>
              <w:keepNext/>
              <w:keepLines/>
              <w:jc w:val="center"/>
              <w:rPr>
                <w:sz w:val="20"/>
                <w:lang w:val="en-GB"/>
              </w:rPr>
            </w:pPr>
            <w:bookmarkStart w:id="215" w:name="lt_pId718"/>
            <w:r w:rsidRPr="00422299">
              <w:rPr>
                <w:sz w:val="20"/>
                <w:lang w:val="es-ES"/>
              </w:rPr>
              <w:t>DVD vendidos</w:t>
            </w:r>
            <w:bookmarkEnd w:id="215"/>
          </w:p>
        </w:tc>
        <w:tc>
          <w:tcPr>
            <w:tcW w:w="2564" w:type="dxa"/>
            <w:hideMark/>
          </w:tcPr>
          <w:p w14:paraId="72B5FEAD" w14:textId="717ACD09" w:rsidR="00FE4D65" w:rsidRPr="00422299"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bookmarkStart w:id="216" w:name="lt_pId719"/>
            <w:r w:rsidRPr="00422299">
              <w:rPr>
                <w:sz w:val="20"/>
                <w:lang w:val="es-ES"/>
              </w:rPr>
              <w:t>Edición de 2016: 482</w:t>
            </w:r>
            <w:r w:rsidRPr="00422299">
              <w:rPr>
                <w:sz w:val="20"/>
                <w:lang w:val="es-ES"/>
              </w:rPr>
              <w:br/>
              <w:t>Edición de 2020: 5 061</w:t>
            </w:r>
            <w:bookmarkStart w:id="217" w:name="lt_pId720"/>
            <w:bookmarkEnd w:id="216"/>
            <w:bookmarkEnd w:id="217"/>
          </w:p>
        </w:tc>
        <w:tc>
          <w:tcPr>
            <w:tcW w:w="1889" w:type="dxa"/>
          </w:tcPr>
          <w:p w14:paraId="4AF834D9" w14:textId="4FD3A1AE" w:rsidR="00FE4D65" w:rsidRPr="00422299"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r w:rsidRPr="00422299">
              <w:rPr>
                <w:sz w:val="20"/>
                <w:lang w:val="es-ES"/>
              </w:rPr>
              <w:t>3</w:t>
            </w:r>
            <w:r w:rsidR="00422299">
              <w:rPr>
                <w:sz w:val="20"/>
                <w:lang w:val="es-ES"/>
              </w:rPr>
              <w:t> </w:t>
            </w:r>
            <w:r w:rsidRPr="00422299">
              <w:rPr>
                <w:sz w:val="20"/>
                <w:lang w:val="es-ES"/>
              </w:rPr>
              <w:t>855</w:t>
            </w:r>
          </w:p>
        </w:tc>
        <w:tc>
          <w:tcPr>
            <w:tcW w:w="1610" w:type="dxa"/>
          </w:tcPr>
          <w:p w14:paraId="2F10485E" w14:textId="489E0F72" w:rsidR="00FE4D65" w:rsidRPr="00422299"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r w:rsidRPr="00422299">
              <w:rPr>
                <w:sz w:val="20"/>
                <w:lang w:val="es-ES"/>
              </w:rPr>
              <w:t>1</w:t>
            </w:r>
            <w:r w:rsidR="00422299">
              <w:rPr>
                <w:sz w:val="20"/>
                <w:lang w:val="es-ES"/>
              </w:rPr>
              <w:t> </w:t>
            </w:r>
            <w:r w:rsidRPr="00422299">
              <w:rPr>
                <w:sz w:val="20"/>
                <w:lang w:val="es-ES"/>
              </w:rPr>
              <w:t>638</w:t>
            </w:r>
          </w:p>
        </w:tc>
        <w:tc>
          <w:tcPr>
            <w:tcW w:w="1599" w:type="dxa"/>
          </w:tcPr>
          <w:p w14:paraId="1EB50854" w14:textId="70083B42" w:rsidR="00FE4D65" w:rsidRPr="00422299" w:rsidRDefault="00FE4D65" w:rsidP="00FB379C">
            <w:pPr>
              <w:pStyle w:val="Tabletext"/>
              <w:jc w:val="center"/>
              <w:cnfStyle w:val="000000000000" w:firstRow="0" w:lastRow="0" w:firstColumn="0" w:lastColumn="0" w:oddVBand="0" w:evenVBand="0" w:oddHBand="0" w:evenHBand="0" w:firstRowFirstColumn="0" w:firstRowLastColumn="0" w:lastRowFirstColumn="0" w:lastRowLastColumn="0"/>
              <w:rPr>
                <w:sz w:val="20"/>
                <w:lang w:val="en-GB"/>
              </w:rPr>
            </w:pPr>
            <w:r w:rsidRPr="00422299">
              <w:rPr>
                <w:sz w:val="20"/>
                <w:lang w:val="es-ES"/>
              </w:rPr>
              <w:t>11</w:t>
            </w:r>
            <w:r w:rsidR="00422299">
              <w:rPr>
                <w:sz w:val="20"/>
                <w:lang w:val="es-ES"/>
              </w:rPr>
              <w:t> </w:t>
            </w:r>
            <w:r w:rsidRPr="00422299">
              <w:rPr>
                <w:sz w:val="20"/>
                <w:lang w:val="es-ES"/>
              </w:rPr>
              <w:t>700</w:t>
            </w:r>
          </w:p>
        </w:tc>
      </w:tr>
      <w:tr w:rsidR="00FB379C" w:rsidRPr="00422299" w14:paraId="00325B70" w14:textId="77777777" w:rsidTr="00422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hideMark/>
          </w:tcPr>
          <w:p w14:paraId="7400B85E" w14:textId="4AAB329A" w:rsidR="00FE4D65" w:rsidRPr="00422299" w:rsidRDefault="00FE4D65" w:rsidP="00422299">
            <w:pPr>
              <w:pStyle w:val="Tabletext"/>
              <w:jc w:val="center"/>
              <w:rPr>
                <w:sz w:val="20"/>
                <w:lang w:val="en-GB"/>
              </w:rPr>
            </w:pPr>
            <w:bookmarkStart w:id="218" w:name="lt_pId724"/>
            <w:r w:rsidRPr="00422299">
              <w:rPr>
                <w:sz w:val="20"/>
                <w:lang w:val="es-ES"/>
              </w:rPr>
              <w:t>Descargas gratuitas</w:t>
            </w:r>
            <w:bookmarkEnd w:id="218"/>
          </w:p>
        </w:tc>
        <w:tc>
          <w:tcPr>
            <w:tcW w:w="2564" w:type="dxa"/>
          </w:tcPr>
          <w:p w14:paraId="5AADE129" w14:textId="124B8BC8"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bookmarkStart w:id="219" w:name="lt_pId725"/>
            <w:r w:rsidRPr="00422299">
              <w:rPr>
                <w:sz w:val="20"/>
                <w:lang w:val="es-ES"/>
              </w:rPr>
              <w:t>Edición de 2016: 36 416</w:t>
            </w:r>
            <w:r w:rsidRPr="00422299">
              <w:rPr>
                <w:sz w:val="20"/>
                <w:lang w:val="es-ES"/>
              </w:rPr>
              <w:br/>
              <w:t>Edición de 2020: 4 236</w:t>
            </w:r>
            <w:bookmarkStart w:id="220" w:name="lt_pId726"/>
            <w:bookmarkEnd w:id="219"/>
            <w:bookmarkEnd w:id="220"/>
          </w:p>
        </w:tc>
        <w:tc>
          <w:tcPr>
            <w:tcW w:w="1889" w:type="dxa"/>
          </w:tcPr>
          <w:p w14:paraId="5BA3DB34" w14:textId="28B8B5A0"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18</w:t>
            </w:r>
            <w:r w:rsidR="00422299">
              <w:rPr>
                <w:sz w:val="20"/>
                <w:lang w:val="es-ES"/>
              </w:rPr>
              <w:t> </w:t>
            </w:r>
            <w:r w:rsidRPr="00422299">
              <w:rPr>
                <w:sz w:val="20"/>
                <w:lang w:val="es-ES"/>
              </w:rPr>
              <w:t>092</w:t>
            </w:r>
          </w:p>
        </w:tc>
        <w:tc>
          <w:tcPr>
            <w:tcW w:w="1610" w:type="dxa"/>
          </w:tcPr>
          <w:p w14:paraId="381D36A7" w14:textId="4F8887A9"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13</w:t>
            </w:r>
            <w:r w:rsidR="00422299">
              <w:rPr>
                <w:sz w:val="20"/>
                <w:lang w:val="es-ES"/>
              </w:rPr>
              <w:t> </w:t>
            </w:r>
            <w:r w:rsidRPr="00422299">
              <w:rPr>
                <w:sz w:val="20"/>
                <w:lang w:val="es-ES"/>
              </w:rPr>
              <w:t>467</w:t>
            </w:r>
          </w:p>
        </w:tc>
        <w:tc>
          <w:tcPr>
            <w:tcW w:w="1599" w:type="dxa"/>
          </w:tcPr>
          <w:p w14:paraId="53C67990" w14:textId="19DB2355"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42</w:t>
            </w:r>
            <w:r w:rsidR="00422299">
              <w:rPr>
                <w:sz w:val="20"/>
                <w:lang w:val="es-ES"/>
              </w:rPr>
              <w:t> </w:t>
            </w:r>
            <w:r w:rsidRPr="00422299">
              <w:rPr>
                <w:sz w:val="20"/>
                <w:lang w:val="es-ES"/>
              </w:rPr>
              <w:t>439</w:t>
            </w:r>
          </w:p>
        </w:tc>
      </w:tr>
    </w:tbl>
    <w:p w14:paraId="414931BF" w14:textId="5995136D" w:rsidR="00422299" w:rsidRPr="00422299" w:rsidRDefault="004C180F" w:rsidP="00422299">
      <w:pPr>
        <w:pStyle w:val="TableNoBR"/>
        <w:rPr>
          <w:lang w:val="es-ES"/>
        </w:rPr>
      </w:pPr>
      <w:bookmarkStart w:id="221" w:name="lt_pId730"/>
      <w:r w:rsidRPr="00422299">
        <w:rPr>
          <w:lang w:val="es-ES"/>
        </w:rPr>
        <w:t xml:space="preserve">CUADRO </w:t>
      </w:r>
      <w:r w:rsidR="00FE4D65" w:rsidRPr="00FE4D65">
        <w:rPr>
          <w:lang w:val="es-ES"/>
        </w:rPr>
        <w:t>8.1.4.1-2</w:t>
      </w:r>
      <w:bookmarkStart w:id="222" w:name="lt_pId731"/>
      <w:bookmarkEnd w:id="221"/>
    </w:p>
    <w:p w14:paraId="0F5C96C3" w14:textId="30261D92" w:rsidR="00FE4D65" w:rsidRPr="00FE4D65" w:rsidRDefault="00FE4D65" w:rsidP="00422299">
      <w:pPr>
        <w:pStyle w:val="TabletitleBR"/>
        <w:rPr>
          <w:lang w:val="es-ES"/>
        </w:rPr>
      </w:pPr>
      <w:r w:rsidRPr="00FE4D65">
        <w:rPr>
          <w:lang w:val="es-ES"/>
        </w:rPr>
        <w:t>Reglas de Procedimiento (descargas)</w:t>
      </w:r>
      <w:bookmarkEnd w:id="222"/>
    </w:p>
    <w:tbl>
      <w:tblPr>
        <w:tblStyle w:val="GridTable5Dark-Accent1"/>
        <w:tblW w:w="5000" w:type="pct"/>
        <w:tblLayout w:type="fixed"/>
        <w:tblLook w:val="04A0" w:firstRow="1" w:lastRow="0" w:firstColumn="1" w:lastColumn="0" w:noHBand="0" w:noVBand="1"/>
      </w:tblPr>
      <w:tblGrid>
        <w:gridCol w:w="2585"/>
        <w:gridCol w:w="1946"/>
        <w:gridCol w:w="1889"/>
        <w:gridCol w:w="1596"/>
        <w:gridCol w:w="1613"/>
      </w:tblGrid>
      <w:tr w:rsidR="00422299" w:rsidRPr="00FE4D65" w14:paraId="424A808E" w14:textId="77777777" w:rsidTr="00422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E106CDC" w14:textId="77777777" w:rsidR="00FE4D65" w:rsidRPr="00FE4D65" w:rsidRDefault="00FE4D65" w:rsidP="00FB379C">
            <w:pPr>
              <w:pStyle w:val="Tablehead"/>
              <w:rPr>
                <w:sz w:val="20"/>
                <w:lang w:val="es-ES"/>
              </w:rPr>
            </w:pPr>
          </w:p>
        </w:tc>
        <w:tc>
          <w:tcPr>
            <w:tcW w:w="1946" w:type="dxa"/>
          </w:tcPr>
          <w:p w14:paraId="072D32B4"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s-ES"/>
              </w:rPr>
            </w:pPr>
            <w:r w:rsidRPr="00FE4D65">
              <w:rPr>
                <w:sz w:val="20"/>
                <w:lang w:val="es-ES"/>
              </w:rPr>
              <w:t>2020</w:t>
            </w:r>
          </w:p>
        </w:tc>
        <w:tc>
          <w:tcPr>
            <w:tcW w:w="1889" w:type="dxa"/>
          </w:tcPr>
          <w:p w14:paraId="6BFEE3C0"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s-ES"/>
              </w:rPr>
            </w:pPr>
            <w:r w:rsidRPr="00FE4D65">
              <w:rPr>
                <w:sz w:val="20"/>
                <w:lang w:val="es-ES"/>
              </w:rPr>
              <w:t>2021</w:t>
            </w:r>
          </w:p>
        </w:tc>
        <w:tc>
          <w:tcPr>
            <w:tcW w:w="1596" w:type="dxa"/>
          </w:tcPr>
          <w:p w14:paraId="2C743E14"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s-ES"/>
              </w:rPr>
            </w:pPr>
            <w:r w:rsidRPr="00FE4D65">
              <w:rPr>
                <w:sz w:val="20"/>
                <w:lang w:val="es-ES"/>
              </w:rPr>
              <w:t>2022</w:t>
            </w:r>
          </w:p>
        </w:tc>
        <w:tc>
          <w:tcPr>
            <w:tcW w:w="1613" w:type="dxa"/>
          </w:tcPr>
          <w:p w14:paraId="027E4C87"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sz w:val="20"/>
                <w:lang w:val="es-ES"/>
              </w:rPr>
            </w:pPr>
            <w:r w:rsidRPr="00FE4D65">
              <w:rPr>
                <w:sz w:val="20"/>
                <w:lang w:val="es-ES"/>
              </w:rPr>
              <w:t>2023</w:t>
            </w:r>
          </w:p>
        </w:tc>
      </w:tr>
      <w:tr w:rsidR="00422299" w:rsidRPr="00FE4D65" w14:paraId="29DA10F9" w14:textId="77777777" w:rsidTr="00422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F329331" w14:textId="61E81149" w:rsidR="00FE4D65" w:rsidRPr="00422299" w:rsidRDefault="00FE4D65" w:rsidP="00422299">
            <w:pPr>
              <w:pStyle w:val="Tabletext"/>
              <w:jc w:val="center"/>
              <w:rPr>
                <w:sz w:val="20"/>
                <w:lang w:val="en-GB"/>
              </w:rPr>
            </w:pPr>
            <w:bookmarkStart w:id="223" w:name="lt_pId736"/>
            <w:r w:rsidRPr="00422299">
              <w:rPr>
                <w:sz w:val="20"/>
                <w:lang w:val="es-ES"/>
              </w:rPr>
              <w:t xml:space="preserve">RdP </w:t>
            </w:r>
            <w:r w:rsidRPr="00422299">
              <w:rPr>
                <w:sz w:val="20"/>
                <w:lang w:val="es-ES"/>
              </w:rPr>
              <w:br/>
              <w:t>(Reglas de Procedimiento)</w:t>
            </w:r>
            <w:bookmarkStart w:id="224" w:name="lt_pId737"/>
            <w:bookmarkEnd w:id="223"/>
            <w:bookmarkEnd w:id="224"/>
          </w:p>
        </w:tc>
        <w:tc>
          <w:tcPr>
            <w:tcW w:w="1946" w:type="dxa"/>
            <w:hideMark/>
          </w:tcPr>
          <w:p w14:paraId="124593D9" w14:textId="380E8DC5"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10</w:t>
            </w:r>
            <w:r w:rsidR="00422299">
              <w:rPr>
                <w:sz w:val="20"/>
                <w:lang w:val="es-ES"/>
              </w:rPr>
              <w:t> </w:t>
            </w:r>
            <w:r w:rsidRPr="00422299">
              <w:rPr>
                <w:sz w:val="20"/>
                <w:lang w:val="es-ES"/>
              </w:rPr>
              <w:t>882</w:t>
            </w:r>
          </w:p>
        </w:tc>
        <w:tc>
          <w:tcPr>
            <w:tcW w:w="1889" w:type="dxa"/>
          </w:tcPr>
          <w:p w14:paraId="1245A588" w14:textId="3FB79254"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10</w:t>
            </w:r>
            <w:r w:rsidR="00422299">
              <w:rPr>
                <w:sz w:val="20"/>
                <w:lang w:val="es-ES"/>
              </w:rPr>
              <w:t> </w:t>
            </w:r>
            <w:r w:rsidRPr="00422299">
              <w:rPr>
                <w:sz w:val="20"/>
                <w:lang w:val="es-ES"/>
              </w:rPr>
              <w:t>539</w:t>
            </w:r>
          </w:p>
        </w:tc>
        <w:tc>
          <w:tcPr>
            <w:tcW w:w="1596" w:type="dxa"/>
          </w:tcPr>
          <w:p w14:paraId="14EC00A4" w14:textId="3670D08E"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11</w:t>
            </w:r>
            <w:r w:rsidR="00422299">
              <w:rPr>
                <w:sz w:val="20"/>
                <w:lang w:val="es-ES"/>
              </w:rPr>
              <w:t> </w:t>
            </w:r>
            <w:r w:rsidRPr="00422299">
              <w:rPr>
                <w:sz w:val="20"/>
                <w:lang w:val="es-ES"/>
              </w:rPr>
              <w:t>887</w:t>
            </w:r>
          </w:p>
        </w:tc>
        <w:tc>
          <w:tcPr>
            <w:tcW w:w="1613" w:type="dxa"/>
          </w:tcPr>
          <w:p w14:paraId="3CE149D4" w14:textId="0C0855C3" w:rsidR="00FE4D65" w:rsidRPr="00422299" w:rsidRDefault="00FE4D65" w:rsidP="00FB379C">
            <w:pPr>
              <w:pStyle w:val="Tabletext"/>
              <w:jc w:val="center"/>
              <w:cnfStyle w:val="000000100000" w:firstRow="0" w:lastRow="0" w:firstColumn="0" w:lastColumn="0" w:oddVBand="0" w:evenVBand="0" w:oddHBand="1" w:evenHBand="0" w:firstRowFirstColumn="0" w:firstRowLastColumn="0" w:lastRowFirstColumn="0" w:lastRowLastColumn="0"/>
              <w:rPr>
                <w:sz w:val="20"/>
                <w:lang w:val="en-GB"/>
              </w:rPr>
            </w:pPr>
            <w:r w:rsidRPr="00422299">
              <w:rPr>
                <w:sz w:val="20"/>
                <w:lang w:val="es-ES"/>
              </w:rPr>
              <w:t>16</w:t>
            </w:r>
            <w:r w:rsidR="00422299">
              <w:rPr>
                <w:sz w:val="20"/>
                <w:lang w:val="es-ES"/>
              </w:rPr>
              <w:t> </w:t>
            </w:r>
            <w:r w:rsidRPr="00422299">
              <w:rPr>
                <w:sz w:val="20"/>
                <w:lang w:val="es-ES"/>
              </w:rPr>
              <w:t>875</w:t>
            </w:r>
          </w:p>
        </w:tc>
      </w:tr>
    </w:tbl>
    <w:p w14:paraId="38A82660" w14:textId="446F52FC" w:rsidR="00FE4D65" w:rsidRPr="00FE4D65" w:rsidRDefault="00FE4D65" w:rsidP="002F4844">
      <w:pPr>
        <w:pStyle w:val="Heading4"/>
        <w:rPr>
          <w:lang w:val="es-ES"/>
        </w:rPr>
      </w:pPr>
      <w:r w:rsidRPr="00FE4D65">
        <w:rPr>
          <w:lang w:val="es-ES"/>
        </w:rPr>
        <w:t>8.1.4.2</w:t>
      </w:r>
      <w:r w:rsidRPr="00FE4D65">
        <w:rPr>
          <w:lang w:val="es-ES"/>
        </w:rPr>
        <w:tab/>
        <w:t>Recomendaciones UIT-R</w:t>
      </w:r>
      <w:bookmarkStart w:id="225" w:name="lt_pId743"/>
      <w:bookmarkEnd w:id="225"/>
    </w:p>
    <w:p w14:paraId="25D513C8" w14:textId="212F058F" w:rsidR="00FE4D65" w:rsidRPr="00FE4D65" w:rsidRDefault="00FE4D65" w:rsidP="00FE4D65">
      <w:pPr>
        <w:rPr>
          <w:lang w:val="es-ES"/>
        </w:rPr>
      </w:pPr>
      <w:bookmarkStart w:id="226" w:name="lt_pId744"/>
      <w:r w:rsidRPr="00FE4D65">
        <w:rPr>
          <w:lang w:val="es-ES"/>
        </w:rPr>
        <w:t>Como resultado de la política de acceso gratuito en línea, las Recomendaciones UIT-R son accesibles y descargables desde cualquier parte del mundo. De enero de 2020 a diciembre de 2023 se registraron cerca de siete millones de descargas de Recomendaciones UIT-R desde el sitio web de la UIT. En el Cuadro</w:t>
      </w:r>
      <w:r w:rsidR="00422299">
        <w:rPr>
          <w:lang w:val="es-ES"/>
        </w:rPr>
        <w:t> </w:t>
      </w:r>
      <w:r w:rsidRPr="00FE4D65">
        <w:rPr>
          <w:lang w:val="es-ES"/>
        </w:rPr>
        <w:t>8.1.4.2-1 se resume su distribución por año y serie. Actualmente, existen 1</w:t>
      </w:r>
      <w:r w:rsidR="002F4844">
        <w:rPr>
          <w:lang w:val="es-ES"/>
        </w:rPr>
        <w:t> </w:t>
      </w:r>
      <w:r w:rsidRPr="00FE4D65">
        <w:rPr>
          <w:lang w:val="es-ES"/>
        </w:rPr>
        <w:t>190</w:t>
      </w:r>
      <w:r w:rsidR="002F4844">
        <w:rPr>
          <w:lang w:val="es-ES"/>
        </w:rPr>
        <w:t> </w:t>
      </w:r>
      <w:r w:rsidRPr="00FE4D65">
        <w:rPr>
          <w:lang w:val="es-ES"/>
        </w:rPr>
        <w:t>Recomendaciones UIT-R en vigor.</w:t>
      </w:r>
      <w:bookmarkStart w:id="227" w:name="lt_pId745"/>
      <w:bookmarkStart w:id="228" w:name="lt_pId746"/>
      <w:bookmarkStart w:id="229" w:name="lt_pId747"/>
      <w:bookmarkEnd w:id="226"/>
      <w:bookmarkEnd w:id="227"/>
      <w:bookmarkEnd w:id="228"/>
      <w:bookmarkEnd w:id="229"/>
    </w:p>
    <w:p w14:paraId="7A64B080" w14:textId="77777777" w:rsidR="00FE4D65" w:rsidRPr="00FE4D65" w:rsidRDefault="00FE4D65" w:rsidP="00FE4D65">
      <w:pPr>
        <w:rPr>
          <w:lang w:val="es-ES"/>
        </w:rPr>
      </w:pPr>
      <w:r w:rsidRPr="00FE4D65">
        <w:rPr>
          <w:lang w:val="es-ES"/>
        </w:rPr>
        <w:br w:type="page"/>
      </w:r>
    </w:p>
    <w:p w14:paraId="18991947" w14:textId="77777777" w:rsidR="00422299" w:rsidRPr="00422299" w:rsidRDefault="00FE4D65" w:rsidP="00422299">
      <w:pPr>
        <w:pStyle w:val="TableNoBR"/>
        <w:rPr>
          <w:lang w:val="es-ES"/>
        </w:rPr>
      </w:pPr>
      <w:bookmarkStart w:id="230" w:name="lt_pId748"/>
      <w:r w:rsidRPr="00422299">
        <w:rPr>
          <w:lang w:val="es-ES"/>
        </w:rPr>
        <w:lastRenderedPageBreak/>
        <w:t>Cuadro 8.1.4.2-1</w:t>
      </w:r>
      <w:bookmarkStart w:id="231" w:name="lt_pId749"/>
      <w:bookmarkEnd w:id="230"/>
    </w:p>
    <w:p w14:paraId="7B9C51DB" w14:textId="1378B3DE" w:rsidR="00FE4D65" w:rsidRPr="00FE4D65" w:rsidRDefault="00FE4D65" w:rsidP="00422299">
      <w:pPr>
        <w:pStyle w:val="TabletitleBR"/>
        <w:rPr>
          <w:lang w:val="es-ES"/>
        </w:rPr>
      </w:pPr>
      <w:r w:rsidRPr="00FE4D65">
        <w:rPr>
          <w:lang w:val="es-ES"/>
        </w:rPr>
        <w:t>Distribución de Recomendaciones UIT-R (descargas)</w:t>
      </w:r>
      <w:bookmarkEnd w:id="231"/>
    </w:p>
    <w:tbl>
      <w:tblPr>
        <w:tblStyle w:val="GridTable5Dark-Accent1"/>
        <w:tblW w:w="5000" w:type="pct"/>
        <w:jc w:val="center"/>
        <w:tblLayout w:type="fixed"/>
        <w:tblLook w:val="04A0" w:firstRow="1" w:lastRow="0" w:firstColumn="1" w:lastColumn="0" w:noHBand="0" w:noVBand="1"/>
      </w:tblPr>
      <w:tblGrid>
        <w:gridCol w:w="1450"/>
        <w:gridCol w:w="1402"/>
        <w:gridCol w:w="1432"/>
        <w:gridCol w:w="1280"/>
        <w:gridCol w:w="1280"/>
        <w:gridCol w:w="1410"/>
        <w:gridCol w:w="1375"/>
      </w:tblGrid>
      <w:tr w:rsidR="00FE4D65" w:rsidRPr="00FE4D65" w14:paraId="5F435FF7" w14:textId="77777777" w:rsidTr="00FB37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vAlign w:val="center"/>
          </w:tcPr>
          <w:p w14:paraId="36FD3A7E" w14:textId="77777777" w:rsidR="00FE4D65" w:rsidRPr="00FE4D65" w:rsidRDefault="00FE4D65" w:rsidP="00FB379C">
            <w:pPr>
              <w:pStyle w:val="Tablehead"/>
              <w:rPr>
                <w:lang w:val="en-GB"/>
              </w:rPr>
            </w:pPr>
            <w:bookmarkStart w:id="232" w:name="lt_pId750"/>
            <w:r w:rsidRPr="00FE4D65">
              <w:rPr>
                <w:lang w:val="es-ES"/>
              </w:rPr>
              <w:t>SERIE</w:t>
            </w:r>
            <w:bookmarkEnd w:id="232"/>
          </w:p>
        </w:tc>
        <w:tc>
          <w:tcPr>
            <w:tcW w:w="1177" w:type="dxa"/>
            <w:vAlign w:val="center"/>
          </w:tcPr>
          <w:p w14:paraId="2BB9B809"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2020</w:t>
            </w:r>
          </w:p>
        </w:tc>
        <w:tc>
          <w:tcPr>
            <w:tcW w:w="1202" w:type="dxa"/>
            <w:vAlign w:val="center"/>
          </w:tcPr>
          <w:p w14:paraId="0ED5F6F5"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2021</w:t>
            </w:r>
          </w:p>
        </w:tc>
        <w:tc>
          <w:tcPr>
            <w:tcW w:w="1074" w:type="dxa"/>
            <w:vAlign w:val="center"/>
          </w:tcPr>
          <w:p w14:paraId="416FC5A2"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2022</w:t>
            </w:r>
          </w:p>
        </w:tc>
        <w:tc>
          <w:tcPr>
            <w:tcW w:w="1074" w:type="dxa"/>
            <w:vAlign w:val="center"/>
          </w:tcPr>
          <w:p w14:paraId="77FDAD44"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2023</w:t>
            </w:r>
          </w:p>
        </w:tc>
        <w:tc>
          <w:tcPr>
            <w:tcW w:w="1183" w:type="dxa"/>
            <w:vAlign w:val="center"/>
          </w:tcPr>
          <w:p w14:paraId="59ED0C9A"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bookmarkStart w:id="233" w:name="lt_pId755"/>
            <w:r w:rsidRPr="00FE4D65">
              <w:rPr>
                <w:lang w:val="es-ES"/>
              </w:rPr>
              <w:t>TOTAL</w:t>
            </w:r>
            <w:bookmarkEnd w:id="233"/>
          </w:p>
        </w:tc>
        <w:tc>
          <w:tcPr>
            <w:tcW w:w="1154" w:type="dxa"/>
            <w:vAlign w:val="center"/>
          </w:tcPr>
          <w:p w14:paraId="7609565F"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w:t>
            </w:r>
          </w:p>
        </w:tc>
      </w:tr>
      <w:tr w:rsidR="00FE4D65" w:rsidRPr="00FE4D65" w14:paraId="36373D89"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36C55E79" w14:textId="77777777" w:rsidR="00FE4D65" w:rsidRPr="00FE4D65" w:rsidRDefault="00FE4D65" w:rsidP="00FB379C">
            <w:pPr>
              <w:pStyle w:val="Tabletext"/>
              <w:jc w:val="center"/>
              <w:rPr>
                <w:lang w:val="en-GB"/>
              </w:rPr>
            </w:pPr>
            <w:bookmarkStart w:id="234" w:name="lt_pId757"/>
            <w:r w:rsidRPr="00FE4D65">
              <w:rPr>
                <w:lang w:val="es-ES"/>
              </w:rPr>
              <w:t>P</w:t>
            </w:r>
            <w:bookmarkEnd w:id="234"/>
          </w:p>
        </w:tc>
        <w:tc>
          <w:tcPr>
            <w:tcW w:w="1177" w:type="dxa"/>
          </w:tcPr>
          <w:p w14:paraId="4CC61655" w14:textId="3BE6DC21"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385</w:t>
            </w:r>
            <w:r w:rsidR="00422299">
              <w:rPr>
                <w:lang w:val="es-ES"/>
              </w:rPr>
              <w:t> </w:t>
            </w:r>
            <w:r w:rsidRPr="00FE4D65">
              <w:rPr>
                <w:lang w:val="es-ES"/>
              </w:rPr>
              <w:t>614</w:t>
            </w:r>
          </w:p>
        </w:tc>
        <w:tc>
          <w:tcPr>
            <w:tcW w:w="1202" w:type="dxa"/>
          </w:tcPr>
          <w:p w14:paraId="66539491" w14:textId="7FDA2962"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410</w:t>
            </w:r>
            <w:r w:rsidR="00422299">
              <w:rPr>
                <w:lang w:val="es-ES"/>
              </w:rPr>
              <w:t> </w:t>
            </w:r>
            <w:r w:rsidRPr="00FE4D65">
              <w:rPr>
                <w:lang w:val="es-ES"/>
              </w:rPr>
              <w:t>918</w:t>
            </w:r>
          </w:p>
        </w:tc>
        <w:tc>
          <w:tcPr>
            <w:tcW w:w="1074" w:type="dxa"/>
          </w:tcPr>
          <w:p w14:paraId="2F7768C7" w14:textId="1B8C8019"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347</w:t>
            </w:r>
            <w:r w:rsidR="00422299">
              <w:rPr>
                <w:lang w:val="es-ES"/>
              </w:rPr>
              <w:t> </w:t>
            </w:r>
            <w:r w:rsidRPr="00FE4D65">
              <w:rPr>
                <w:lang w:val="es-ES"/>
              </w:rPr>
              <w:t>953</w:t>
            </w:r>
          </w:p>
        </w:tc>
        <w:tc>
          <w:tcPr>
            <w:tcW w:w="1074" w:type="dxa"/>
          </w:tcPr>
          <w:p w14:paraId="12FB5590" w14:textId="6279732D"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401</w:t>
            </w:r>
            <w:r w:rsidR="00422299">
              <w:rPr>
                <w:lang w:val="es-ES"/>
              </w:rPr>
              <w:t> </w:t>
            </w:r>
            <w:r w:rsidRPr="00FE4D65">
              <w:rPr>
                <w:lang w:val="es-ES"/>
              </w:rPr>
              <w:t>927</w:t>
            </w:r>
          </w:p>
        </w:tc>
        <w:tc>
          <w:tcPr>
            <w:tcW w:w="1183" w:type="dxa"/>
          </w:tcPr>
          <w:p w14:paraId="4F0E42CA" w14:textId="504434B3"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546</w:t>
            </w:r>
            <w:r w:rsidR="00422299">
              <w:rPr>
                <w:b/>
                <w:bCs/>
                <w:lang w:val="es-ES"/>
              </w:rPr>
              <w:t> </w:t>
            </w:r>
            <w:r w:rsidRPr="00FE4D65">
              <w:rPr>
                <w:b/>
                <w:bCs/>
                <w:lang w:val="es-ES"/>
              </w:rPr>
              <w:t>412</w:t>
            </w:r>
          </w:p>
        </w:tc>
        <w:tc>
          <w:tcPr>
            <w:tcW w:w="1154" w:type="dxa"/>
          </w:tcPr>
          <w:p w14:paraId="7125122D" w14:textId="01A31DF4"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22,32</w:t>
            </w:r>
          </w:p>
        </w:tc>
      </w:tr>
      <w:tr w:rsidR="00FE4D65" w:rsidRPr="00FE4D65" w14:paraId="7354EFBD"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00408DE9" w14:textId="77777777" w:rsidR="00FE4D65" w:rsidRPr="00FE4D65" w:rsidRDefault="00FE4D65" w:rsidP="00FB379C">
            <w:pPr>
              <w:pStyle w:val="Tabletext"/>
              <w:jc w:val="center"/>
              <w:rPr>
                <w:lang w:val="en-GB"/>
              </w:rPr>
            </w:pPr>
            <w:bookmarkStart w:id="235" w:name="lt_pId764"/>
            <w:r w:rsidRPr="00FE4D65">
              <w:rPr>
                <w:lang w:val="es-ES"/>
              </w:rPr>
              <w:t>M</w:t>
            </w:r>
            <w:bookmarkEnd w:id="235"/>
          </w:p>
        </w:tc>
        <w:tc>
          <w:tcPr>
            <w:tcW w:w="1177" w:type="dxa"/>
          </w:tcPr>
          <w:p w14:paraId="4790CEA7" w14:textId="32ECA0B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327</w:t>
            </w:r>
            <w:r w:rsidR="00422299">
              <w:rPr>
                <w:lang w:val="es-ES"/>
              </w:rPr>
              <w:t> </w:t>
            </w:r>
            <w:r w:rsidRPr="00FE4D65">
              <w:rPr>
                <w:lang w:val="es-ES"/>
              </w:rPr>
              <w:t>720</w:t>
            </w:r>
          </w:p>
        </w:tc>
        <w:tc>
          <w:tcPr>
            <w:tcW w:w="1202" w:type="dxa"/>
          </w:tcPr>
          <w:p w14:paraId="1954C08D" w14:textId="2D5940F1"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365</w:t>
            </w:r>
            <w:r w:rsidR="00422299">
              <w:rPr>
                <w:lang w:val="es-ES"/>
              </w:rPr>
              <w:t> </w:t>
            </w:r>
            <w:r w:rsidRPr="00FE4D65">
              <w:rPr>
                <w:lang w:val="es-ES"/>
              </w:rPr>
              <w:t>675</w:t>
            </w:r>
          </w:p>
        </w:tc>
        <w:tc>
          <w:tcPr>
            <w:tcW w:w="1074" w:type="dxa"/>
          </w:tcPr>
          <w:p w14:paraId="636BA7F4" w14:textId="3E6A9784"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314</w:t>
            </w:r>
            <w:r w:rsidR="00422299">
              <w:rPr>
                <w:lang w:val="es-ES"/>
              </w:rPr>
              <w:t> </w:t>
            </w:r>
            <w:r w:rsidRPr="00FE4D65">
              <w:rPr>
                <w:lang w:val="es-ES"/>
              </w:rPr>
              <w:t>920</w:t>
            </w:r>
          </w:p>
        </w:tc>
        <w:tc>
          <w:tcPr>
            <w:tcW w:w="1074" w:type="dxa"/>
          </w:tcPr>
          <w:p w14:paraId="34172777" w14:textId="2BE6C085"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355</w:t>
            </w:r>
            <w:r w:rsidR="00422299">
              <w:rPr>
                <w:lang w:val="es-ES"/>
              </w:rPr>
              <w:t> </w:t>
            </w:r>
            <w:r w:rsidRPr="00FE4D65">
              <w:rPr>
                <w:lang w:val="es-ES"/>
              </w:rPr>
              <w:t>079</w:t>
            </w:r>
          </w:p>
        </w:tc>
        <w:tc>
          <w:tcPr>
            <w:tcW w:w="1183" w:type="dxa"/>
          </w:tcPr>
          <w:p w14:paraId="7751C250" w14:textId="2E10576C"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363</w:t>
            </w:r>
            <w:r w:rsidR="00422299">
              <w:rPr>
                <w:b/>
                <w:bCs/>
                <w:lang w:val="es-ES"/>
              </w:rPr>
              <w:t> </w:t>
            </w:r>
            <w:r w:rsidRPr="00FE4D65">
              <w:rPr>
                <w:b/>
                <w:bCs/>
                <w:lang w:val="es-ES"/>
              </w:rPr>
              <w:t>394</w:t>
            </w:r>
          </w:p>
        </w:tc>
        <w:tc>
          <w:tcPr>
            <w:tcW w:w="1154" w:type="dxa"/>
          </w:tcPr>
          <w:p w14:paraId="16987F36" w14:textId="69C0D9B4"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19,68</w:t>
            </w:r>
          </w:p>
        </w:tc>
      </w:tr>
      <w:tr w:rsidR="00FE4D65" w:rsidRPr="00FE4D65" w14:paraId="65AC8111"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1C7E1D8C" w14:textId="77777777" w:rsidR="00FE4D65" w:rsidRPr="00FE4D65" w:rsidRDefault="00FE4D65" w:rsidP="00FB379C">
            <w:pPr>
              <w:pStyle w:val="Tabletext"/>
              <w:jc w:val="center"/>
              <w:rPr>
                <w:lang w:val="en-GB"/>
              </w:rPr>
            </w:pPr>
            <w:bookmarkStart w:id="236" w:name="lt_pId771"/>
            <w:r w:rsidRPr="00FE4D65">
              <w:rPr>
                <w:lang w:val="es-ES"/>
              </w:rPr>
              <w:t>BT</w:t>
            </w:r>
            <w:bookmarkEnd w:id="236"/>
          </w:p>
        </w:tc>
        <w:tc>
          <w:tcPr>
            <w:tcW w:w="1177" w:type="dxa"/>
          </w:tcPr>
          <w:p w14:paraId="2D404F50" w14:textId="2E8A7D4E"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226</w:t>
            </w:r>
            <w:r w:rsidR="00422299">
              <w:rPr>
                <w:lang w:val="es-ES"/>
              </w:rPr>
              <w:t> </w:t>
            </w:r>
            <w:r w:rsidRPr="00FE4D65">
              <w:rPr>
                <w:lang w:val="es-ES"/>
              </w:rPr>
              <w:t>737</w:t>
            </w:r>
          </w:p>
        </w:tc>
        <w:tc>
          <w:tcPr>
            <w:tcW w:w="1202" w:type="dxa"/>
          </w:tcPr>
          <w:p w14:paraId="172F8688" w14:textId="2F8EC63D"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231</w:t>
            </w:r>
            <w:r w:rsidR="00422299">
              <w:rPr>
                <w:lang w:val="es-ES"/>
              </w:rPr>
              <w:t> </w:t>
            </w:r>
            <w:r w:rsidRPr="00FE4D65">
              <w:rPr>
                <w:lang w:val="es-ES"/>
              </w:rPr>
              <w:t>981</w:t>
            </w:r>
          </w:p>
        </w:tc>
        <w:tc>
          <w:tcPr>
            <w:tcW w:w="1074" w:type="dxa"/>
          </w:tcPr>
          <w:p w14:paraId="1548DA6A" w14:textId="29D24C86"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218</w:t>
            </w:r>
            <w:r w:rsidR="00422299">
              <w:rPr>
                <w:lang w:val="es-ES"/>
              </w:rPr>
              <w:t> </w:t>
            </w:r>
            <w:r w:rsidRPr="00FE4D65">
              <w:rPr>
                <w:lang w:val="es-ES"/>
              </w:rPr>
              <w:t>403</w:t>
            </w:r>
          </w:p>
        </w:tc>
        <w:tc>
          <w:tcPr>
            <w:tcW w:w="1074" w:type="dxa"/>
          </w:tcPr>
          <w:p w14:paraId="26EFC12B" w14:textId="1A24160C"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240</w:t>
            </w:r>
            <w:r w:rsidR="00422299">
              <w:rPr>
                <w:lang w:val="es-ES"/>
              </w:rPr>
              <w:t> </w:t>
            </w:r>
            <w:r w:rsidRPr="00FE4D65">
              <w:rPr>
                <w:lang w:val="es-ES"/>
              </w:rPr>
              <w:t>031</w:t>
            </w:r>
          </w:p>
        </w:tc>
        <w:tc>
          <w:tcPr>
            <w:tcW w:w="1183" w:type="dxa"/>
          </w:tcPr>
          <w:p w14:paraId="56D24BFC" w14:textId="65102075"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917</w:t>
            </w:r>
            <w:r w:rsidR="00422299">
              <w:rPr>
                <w:b/>
                <w:bCs/>
                <w:lang w:val="es-ES"/>
              </w:rPr>
              <w:t> </w:t>
            </w:r>
            <w:r w:rsidRPr="00FE4D65">
              <w:rPr>
                <w:b/>
                <w:bCs/>
                <w:lang w:val="es-ES"/>
              </w:rPr>
              <w:t>152</w:t>
            </w:r>
          </w:p>
        </w:tc>
        <w:tc>
          <w:tcPr>
            <w:tcW w:w="1154" w:type="dxa"/>
          </w:tcPr>
          <w:p w14:paraId="5CB9F9AE" w14:textId="266CB3D9"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13,24</w:t>
            </w:r>
          </w:p>
        </w:tc>
      </w:tr>
      <w:tr w:rsidR="00FE4D65" w:rsidRPr="00FE4D65" w14:paraId="61F006E7"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25E068DB" w14:textId="77777777" w:rsidR="00FE4D65" w:rsidRPr="00FE4D65" w:rsidRDefault="00FE4D65" w:rsidP="00FB379C">
            <w:pPr>
              <w:pStyle w:val="Tabletext"/>
              <w:jc w:val="center"/>
              <w:rPr>
                <w:lang w:val="en-GB"/>
              </w:rPr>
            </w:pPr>
            <w:bookmarkStart w:id="237" w:name="lt_pId778"/>
            <w:r w:rsidRPr="00FE4D65">
              <w:rPr>
                <w:lang w:val="es-ES"/>
              </w:rPr>
              <w:t>SM</w:t>
            </w:r>
            <w:bookmarkEnd w:id="237"/>
          </w:p>
        </w:tc>
        <w:tc>
          <w:tcPr>
            <w:tcW w:w="1177" w:type="dxa"/>
          </w:tcPr>
          <w:p w14:paraId="2D2360D1" w14:textId="213D1104"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171</w:t>
            </w:r>
            <w:r w:rsidR="00422299">
              <w:rPr>
                <w:lang w:val="es-ES"/>
              </w:rPr>
              <w:t> </w:t>
            </w:r>
            <w:r w:rsidRPr="00FE4D65">
              <w:rPr>
                <w:lang w:val="es-ES"/>
              </w:rPr>
              <w:t>165</w:t>
            </w:r>
          </w:p>
        </w:tc>
        <w:tc>
          <w:tcPr>
            <w:tcW w:w="1202" w:type="dxa"/>
          </w:tcPr>
          <w:p w14:paraId="414601CD" w14:textId="46AE29BA"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196</w:t>
            </w:r>
            <w:r w:rsidR="00422299">
              <w:rPr>
                <w:lang w:val="es-ES"/>
              </w:rPr>
              <w:t> </w:t>
            </w:r>
            <w:r w:rsidRPr="00FE4D65">
              <w:rPr>
                <w:lang w:val="es-ES"/>
              </w:rPr>
              <w:t>660</w:t>
            </w:r>
          </w:p>
        </w:tc>
        <w:tc>
          <w:tcPr>
            <w:tcW w:w="1074" w:type="dxa"/>
          </w:tcPr>
          <w:p w14:paraId="35BFE114" w14:textId="2326BEB3"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169</w:t>
            </w:r>
            <w:r w:rsidR="00422299">
              <w:rPr>
                <w:lang w:val="es-ES"/>
              </w:rPr>
              <w:t> </w:t>
            </w:r>
            <w:r w:rsidRPr="00FE4D65">
              <w:rPr>
                <w:lang w:val="es-ES"/>
              </w:rPr>
              <w:t>755</w:t>
            </w:r>
          </w:p>
        </w:tc>
        <w:tc>
          <w:tcPr>
            <w:tcW w:w="1074" w:type="dxa"/>
          </w:tcPr>
          <w:p w14:paraId="1D2A7A4F" w14:textId="671368F0"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177</w:t>
            </w:r>
            <w:r w:rsidR="00422299">
              <w:rPr>
                <w:lang w:val="es-ES"/>
              </w:rPr>
              <w:t> </w:t>
            </w:r>
            <w:r w:rsidRPr="00FE4D65">
              <w:rPr>
                <w:lang w:val="es-ES"/>
              </w:rPr>
              <w:t>372</w:t>
            </w:r>
          </w:p>
        </w:tc>
        <w:tc>
          <w:tcPr>
            <w:tcW w:w="1183" w:type="dxa"/>
          </w:tcPr>
          <w:p w14:paraId="01A2EB77" w14:textId="19BC32D9"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714</w:t>
            </w:r>
            <w:r w:rsidR="00422299">
              <w:rPr>
                <w:b/>
                <w:bCs/>
                <w:lang w:val="es-ES"/>
              </w:rPr>
              <w:t> </w:t>
            </w:r>
            <w:r w:rsidRPr="00FE4D65">
              <w:rPr>
                <w:b/>
                <w:bCs/>
                <w:lang w:val="es-ES"/>
              </w:rPr>
              <w:t>952</w:t>
            </w:r>
          </w:p>
        </w:tc>
        <w:tc>
          <w:tcPr>
            <w:tcW w:w="1154" w:type="dxa"/>
          </w:tcPr>
          <w:p w14:paraId="622FE1A3" w14:textId="333C4886"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10,32</w:t>
            </w:r>
          </w:p>
        </w:tc>
      </w:tr>
      <w:tr w:rsidR="00FE4D65" w:rsidRPr="00FE4D65" w14:paraId="0CB600AD"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5045A54F" w14:textId="77777777" w:rsidR="00FE4D65" w:rsidRPr="00FE4D65" w:rsidRDefault="00FE4D65" w:rsidP="00FB379C">
            <w:pPr>
              <w:pStyle w:val="Tabletext"/>
              <w:jc w:val="center"/>
              <w:rPr>
                <w:lang w:val="en-GB"/>
              </w:rPr>
            </w:pPr>
            <w:bookmarkStart w:id="238" w:name="lt_pId785"/>
            <w:r w:rsidRPr="00FE4D65">
              <w:rPr>
                <w:lang w:val="es-ES"/>
              </w:rPr>
              <w:t>BS</w:t>
            </w:r>
            <w:bookmarkEnd w:id="238"/>
          </w:p>
        </w:tc>
        <w:tc>
          <w:tcPr>
            <w:tcW w:w="1177" w:type="dxa"/>
          </w:tcPr>
          <w:p w14:paraId="1AE395ED" w14:textId="49222AB9"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142</w:t>
            </w:r>
            <w:r w:rsidR="00422299">
              <w:rPr>
                <w:lang w:val="es-ES"/>
              </w:rPr>
              <w:t> </w:t>
            </w:r>
            <w:r w:rsidRPr="00FE4D65">
              <w:rPr>
                <w:lang w:val="es-ES"/>
              </w:rPr>
              <w:t>699</w:t>
            </w:r>
          </w:p>
        </w:tc>
        <w:tc>
          <w:tcPr>
            <w:tcW w:w="1202" w:type="dxa"/>
          </w:tcPr>
          <w:p w14:paraId="27FB70DA" w14:textId="7989D62F"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166</w:t>
            </w:r>
            <w:r w:rsidR="00422299">
              <w:rPr>
                <w:lang w:val="es-ES"/>
              </w:rPr>
              <w:t> </w:t>
            </w:r>
            <w:r w:rsidRPr="00FE4D65">
              <w:rPr>
                <w:lang w:val="es-ES"/>
              </w:rPr>
              <w:t>563</w:t>
            </w:r>
          </w:p>
        </w:tc>
        <w:tc>
          <w:tcPr>
            <w:tcW w:w="1074" w:type="dxa"/>
          </w:tcPr>
          <w:p w14:paraId="7425272B" w14:textId="50DF4B2F"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143</w:t>
            </w:r>
            <w:r w:rsidR="00422299">
              <w:rPr>
                <w:lang w:val="es-ES"/>
              </w:rPr>
              <w:t> </w:t>
            </w:r>
            <w:r w:rsidRPr="00FE4D65">
              <w:rPr>
                <w:lang w:val="es-ES"/>
              </w:rPr>
              <w:t>107</w:t>
            </w:r>
          </w:p>
        </w:tc>
        <w:tc>
          <w:tcPr>
            <w:tcW w:w="1074" w:type="dxa"/>
          </w:tcPr>
          <w:p w14:paraId="505CA3DE" w14:textId="376BC99C"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158</w:t>
            </w:r>
            <w:r w:rsidR="00422299">
              <w:rPr>
                <w:lang w:val="es-ES"/>
              </w:rPr>
              <w:t> </w:t>
            </w:r>
            <w:r w:rsidRPr="00FE4D65">
              <w:rPr>
                <w:lang w:val="es-ES"/>
              </w:rPr>
              <w:t>493</w:t>
            </w:r>
          </w:p>
        </w:tc>
        <w:tc>
          <w:tcPr>
            <w:tcW w:w="1183" w:type="dxa"/>
          </w:tcPr>
          <w:p w14:paraId="0D07503F" w14:textId="2871551C"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610</w:t>
            </w:r>
            <w:r w:rsidR="00422299">
              <w:rPr>
                <w:b/>
                <w:bCs/>
                <w:lang w:val="es-ES"/>
              </w:rPr>
              <w:t> </w:t>
            </w:r>
            <w:r w:rsidRPr="00FE4D65">
              <w:rPr>
                <w:b/>
                <w:bCs/>
                <w:lang w:val="es-ES"/>
              </w:rPr>
              <w:t>862</w:t>
            </w:r>
          </w:p>
        </w:tc>
        <w:tc>
          <w:tcPr>
            <w:tcW w:w="1154" w:type="dxa"/>
          </w:tcPr>
          <w:p w14:paraId="6C9E3722" w14:textId="2AB71B77"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8,82</w:t>
            </w:r>
          </w:p>
        </w:tc>
      </w:tr>
      <w:tr w:rsidR="00FE4D65" w:rsidRPr="00FE4D65" w14:paraId="5B0E1857"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3D44A0EC" w14:textId="77777777" w:rsidR="00FE4D65" w:rsidRPr="00FE4D65" w:rsidRDefault="00FE4D65" w:rsidP="00FB379C">
            <w:pPr>
              <w:pStyle w:val="Tabletext"/>
              <w:jc w:val="center"/>
              <w:rPr>
                <w:lang w:val="en-GB"/>
              </w:rPr>
            </w:pPr>
            <w:bookmarkStart w:id="239" w:name="lt_pId792"/>
            <w:r w:rsidRPr="00FE4D65">
              <w:rPr>
                <w:lang w:val="es-ES"/>
              </w:rPr>
              <w:t>F</w:t>
            </w:r>
            <w:bookmarkEnd w:id="239"/>
          </w:p>
        </w:tc>
        <w:tc>
          <w:tcPr>
            <w:tcW w:w="1177" w:type="dxa"/>
          </w:tcPr>
          <w:p w14:paraId="0CDE60CB" w14:textId="79EE9978"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154</w:t>
            </w:r>
            <w:r w:rsidR="00422299">
              <w:rPr>
                <w:lang w:val="es-ES"/>
              </w:rPr>
              <w:t> </w:t>
            </w:r>
            <w:r w:rsidRPr="00FE4D65">
              <w:rPr>
                <w:lang w:val="es-ES"/>
              </w:rPr>
              <w:t>672</w:t>
            </w:r>
          </w:p>
        </w:tc>
        <w:tc>
          <w:tcPr>
            <w:tcW w:w="1202" w:type="dxa"/>
          </w:tcPr>
          <w:p w14:paraId="4A34042B" w14:textId="4939E371"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147</w:t>
            </w:r>
            <w:r w:rsidR="00422299">
              <w:rPr>
                <w:lang w:val="es-ES"/>
              </w:rPr>
              <w:t> </w:t>
            </w:r>
            <w:r w:rsidRPr="00FE4D65">
              <w:rPr>
                <w:lang w:val="es-ES"/>
              </w:rPr>
              <w:t>667</w:t>
            </w:r>
          </w:p>
        </w:tc>
        <w:tc>
          <w:tcPr>
            <w:tcW w:w="1074" w:type="dxa"/>
          </w:tcPr>
          <w:p w14:paraId="4890B6D8" w14:textId="3403D8E8"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116</w:t>
            </w:r>
            <w:r w:rsidR="00422299">
              <w:rPr>
                <w:lang w:val="es-ES"/>
              </w:rPr>
              <w:t> </w:t>
            </w:r>
            <w:r w:rsidRPr="00FE4D65">
              <w:rPr>
                <w:lang w:val="es-ES"/>
              </w:rPr>
              <w:t>539</w:t>
            </w:r>
          </w:p>
        </w:tc>
        <w:tc>
          <w:tcPr>
            <w:tcW w:w="1074" w:type="dxa"/>
          </w:tcPr>
          <w:p w14:paraId="72C35269" w14:textId="6FE59604"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139</w:t>
            </w:r>
            <w:r w:rsidR="00422299">
              <w:rPr>
                <w:lang w:val="es-ES"/>
              </w:rPr>
              <w:t> </w:t>
            </w:r>
            <w:r w:rsidRPr="00FE4D65">
              <w:rPr>
                <w:lang w:val="es-ES"/>
              </w:rPr>
              <w:t>580</w:t>
            </w:r>
          </w:p>
        </w:tc>
        <w:tc>
          <w:tcPr>
            <w:tcW w:w="1183" w:type="dxa"/>
          </w:tcPr>
          <w:p w14:paraId="4A3D6D19" w14:textId="4C42861C"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558</w:t>
            </w:r>
            <w:r w:rsidR="00422299">
              <w:rPr>
                <w:b/>
                <w:bCs/>
                <w:lang w:val="es-ES"/>
              </w:rPr>
              <w:t> </w:t>
            </w:r>
            <w:r w:rsidRPr="00FE4D65">
              <w:rPr>
                <w:b/>
                <w:bCs/>
                <w:lang w:val="es-ES"/>
              </w:rPr>
              <w:t>458</w:t>
            </w:r>
          </w:p>
        </w:tc>
        <w:tc>
          <w:tcPr>
            <w:tcW w:w="1154" w:type="dxa"/>
          </w:tcPr>
          <w:p w14:paraId="318F21BD" w14:textId="4DA57574"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8,06</w:t>
            </w:r>
          </w:p>
        </w:tc>
      </w:tr>
      <w:tr w:rsidR="00FE4D65" w:rsidRPr="00FE4D65" w14:paraId="4DF5FA21"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46C8A2CA" w14:textId="77777777" w:rsidR="00FE4D65" w:rsidRPr="00FE4D65" w:rsidRDefault="00FE4D65" w:rsidP="00FB379C">
            <w:pPr>
              <w:pStyle w:val="Tabletext"/>
              <w:jc w:val="center"/>
              <w:rPr>
                <w:lang w:val="en-GB"/>
              </w:rPr>
            </w:pPr>
            <w:bookmarkStart w:id="240" w:name="lt_pId799"/>
            <w:r w:rsidRPr="00FE4D65">
              <w:rPr>
                <w:lang w:val="es-ES"/>
              </w:rPr>
              <w:t>S</w:t>
            </w:r>
            <w:bookmarkEnd w:id="240"/>
          </w:p>
        </w:tc>
        <w:tc>
          <w:tcPr>
            <w:tcW w:w="1177" w:type="dxa"/>
          </w:tcPr>
          <w:p w14:paraId="1A19E96A" w14:textId="15593D8E"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108</w:t>
            </w:r>
            <w:r w:rsidR="00422299">
              <w:rPr>
                <w:lang w:val="es-ES"/>
              </w:rPr>
              <w:t> </w:t>
            </w:r>
            <w:r w:rsidRPr="00FE4D65">
              <w:rPr>
                <w:lang w:val="es-ES"/>
              </w:rPr>
              <w:t>174</w:t>
            </w:r>
          </w:p>
        </w:tc>
        <w:tc>
          <w:tcPr>
            <w:tcW w:w="1202" w:type="dxa"/>
          </w:tcPr>
          <w:p w14:paraId="6F1C4CAA" w14:textId="18B40661"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123</w:t>
            </w:r>
            <w:r w:rsidR="00422299">
              <w:rPr>
                <w:lang w:val="es-ES"/>
              </w:rPr>
              <w:t> </w:t>
            </w:r>
            <w:r w:rsidRPr="00FE4D65">
              <w:rPr>
                <w:lang w:val="es-ES"/>
              </w:rPr>
              <w:t>593</w:t>
            </w:r>
          </w:p>
        </w:tc>
        <w:tc>
          <w:tcPr>
            <w:tcW w:w="1074" w:type="dxa"/>
          </w:tcPr>
          <w:p w14:paraId="2BB608B3" w14:textId="5E88A063"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87</w:t>
            </w:r>
            <w:r w:rsidR="00422299">
              <w:rPr>
                <w:lang w:val="es-ES"/>
              </w:rPr>
              <w:t> </w:t>
            </w:r>
            <w:r w:rsidRPr="00FE4D65">
              <w:rPr>
                <w:lang w:val="es-ES"/>
              </w:rPr>
              <w:t>801</w:t>
            </w:r>
          </w:p>
        </w:tc>
        <w:tc>
          <w:tcPr>
            <w:tcW w:w="1074" w:type="dxa"/>
          </w:tcPr>
          <w:p w14:paraId="01788715" w14:textId="43AF1D44"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105</w:t>
            </w:r>
            <w:r w:rsidR="00422299">
              <w:rPr>
                <w:lang w:val="es-ES"/>
              </w:rPr>
              <w:t> </w:t>
            </w:r>
            <w:r w:rsidRPr="00FE4D65">
              <w:rPr>
                <w:lang w:val="es-ES"/>
              </w:rPr>
              <w:t>480</w:t>
            </w:r>
          </w:p>
        </w:tc>
        <w:tc>
          <w:tcPr>
            <w:tcW w:w="1183" w:type="dxa"/>
          </w:tcPr>
          <w:p w14:paraId="07E2F21F" w14:textId="72157565"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425</w:t>
            </w:r>
            <w:r w:rsidR="00422299">
              <w:rPr>
                <w:b/>
                <w:bCs/>
                <w:lang w:val="es-ES"/>
              </w:rPr>
              <w:t> </w:t>
            </w:r>
            <w:r w:rsidRPr="00FE4D65">
              <w:rPr>
                <w:b/>
                <w:bCs/>
                <w:lang w:val="es-ES"/>
              </w:rPr>
              <w:t>048</w:t>
            </w:r>
          </w:p>
        </w:tc>
        <w:tc>
          <w:tcPr>
            <w:tcW w:w="1154" w:type="dxa"/>
          </w:tcPr>
          <w:p w14:paraId="286F394D" w14:textId="5F97B915"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6,13</w:t>
            </w:r>
          </w:p>
        </w:tc>
      </w:tr>
      <w:tr w:rsidR="00FE4D65" w:rsidRPr="00FE4D65" w14:paraId="3000A91B"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70899A31" w14:textId="77777777" w:rsidR="00FE4D65" w:rsidRPr="00FE4D65" w:rsidRDefault="00FE4D65" w:rsidP="00FB379C">
            <w:pPr>
              <w:pStyle w:val="Tabletext"/>
              <w:jc w:val="center"/>
              <w:rPr>
                <w:lang w:val="en-GB"/>
              </w:rPr>
            </w:pPr>
            <w:bookmarkStart w:id="241" w:name="lt_pId806"/>
            <w:r w:rsidRPr="00FE4D65">
              <w:rPr>
                <w:lang w:val="es-ES"/>
              </w:rPr>
              <w:t>V</w:t>
            </w:r>
            <w:bookmarkEnd w:id="241"/>
          </w:p>
        </w:tc>
        <w:tc>
          <w:tcPr>
            <w:tcW w:w="1177" w:type="dxa"/>
          </w:tcPr>
          <w:p w14:paraId="69ED35FF" w14:textId="2DB43E18"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40</w:t>
            </w:r>
            <w:r w:rsidR="00422299">
              <w:rPr>
                <w:lang w:val="es-ES"/>
              </w:rPr>
              <w:t> </w:t>
            </w:r>
            <w:r w:rsidRPr="00FE4D65">
              <w:rPr>
                <w:lang w:val="es-ES"/>
              </w:rPr>
              <w:t>634</w:t>
            </w:r>
          </w:p>
        </w:tc>
        <w:tc>
          <w:tcPr>
            <w:tcW w:w="1202" w:type="dxa"/>
          </w:tcPr>
          <w:p w14:paraId="4C3D5C91" w14:textId="613DC09E"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47</w:t>
            </w:r>
            <w:r w:rsidR="00422299">
              <w:rPr>
                <w:lang w:val="es-ES"/>
              </w:rPr>
              <w:t> </w:t>
            </w:r>
            <w:r w:rsidRPr="00FE4D65">
              <w:rPr>
                <w:lang w:val="es-ES"/>
              </w:rPr>
              <w:t>032</w:t>
            </w:r>
          </w:p>
        </w:tc>
        <w:tc>
          <w:tcPr>
            <w:tcW w:w="1074" w:type="dxa"/>
          </w:tcPr>
          <w:p w14:paraId="6914F3DA" w14:textId="08129E14"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44</w:t>
            </w:r>
            <w:r w:rsidR="00422299">
              <w:rPr>
                <w:lang w:val="es-ES"/>
              </w:rPr>
              <w:t> </w:t>
            </w:r>
            <w:r w:rsidRPr="00FE4D65">
              <w:rPr>
                <w:lang w:val="es-ES"/>
              </w:rPr>
              <w:t>707</w:t>
            </w:r>
          </w:p>
        </w:tc>
        <w:tc>
          <w:tcPr>
            <w:tcW w:w="1074" w:type="dxa"/>
          </w:tcPr>
          <w:p w14:paraId="63DBCF7B" w14:textId="2174FF87"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39</w:t>
            </w:r>
            <w:r w:rsidR="00422299">
              <w:rPr>
                <w:lang w:val="es-ES"/>
              </w:rPr>
              <w:t> </w:t>
            </w:r>
            <w:r w:rsidRPr="00FE4D65">
              <w:rPr>
                <w:lang w:val="es-ES"/>
              </w:rPr>
              <w:t>508</w:t>
            </w:r>
          </w:p>
        </w:tc>
        <w:tc>
          <w:tcPr>
            <w:tcW w:w="1183" w:type="dxa"/>
          </w:tcPr>
          <w:p w14:paraId="02B380FF" w14:textId="52800A0C"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171</w:t>
            </w:r>
            <w:r w:rsidR="00422299">
              <w:rPr>
                <w:b/>
                <w:bCs/>
                <w:lang w:val="es-ES"/>
              </w:rPr>
              <w:t> </w:t>
            </w:r>
            <w:r w:rsidRPr="00FE4D65">
              <w:rPr>
                <w:b/>
                <w:bCs/>
                <w:lang w:val="es-ES"/>
              </w:rPr>
              <w:t>881</w:t>
            </w:r>
          </w:p>
        </w:tc>
        <w:tc>
          <w:tcPr>
            <w:tcW w:w="1154" w:type="dxa"/>
          </w:tcPr>
          <w:p w14:paraId="3B686BE9" w14:textId="5AA44194"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2,48</w:t>
            </w:r>
          </w:p>
        </w:tc>
      </w:tr>
      <w:tr w:rsidR="00FE4D65" w:rsidRPr="00FE4D65" w14:paraId="2981E7A4"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24644B06" w14:textId="77777777" w:rsidR="00FE4D65" w:rsidRPr="00FE4D65" w:rsidRDefault="00FE4D65" w:rsidP="00FB379C">
            <w:pPr>
              <w:pStyle w:val="Tabletext"/>
              <w:jc w:val="center"/>
              <w:rPr>
                <w:lang w:val="en-GB"/>
              </w:rPr>
            </w:pPr>
            <w:bookmarkStart w:id="242" w:name="lt_pId813"/>
            <w:r w:rsidRPr="00FE4D65">
              <w:rPr>
                <w:lang w:val="es-ES"/>
              </w:rPr>
              <w:t>SA</w:t>
            </w:r>
            <w:bookmarkEnd w:id="242"/>
          </w:p>
        </w:tc>
        <w:tc>
          <w:tcPr>
            <w:tcW w:w="1177" w:type="dxa"/>
          </w:tcPr>
          <w:p w14:paraId="369EF355" w14:textId="13336716"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46</w:t>
            </w:r>
            <w:r w:rsidR="00422299">
              <w:rPr>
                <w:lang w:val="es-ES"/>
              </w:rPr>
              <w:t> </w:t>
            </w:r>
            <w:r w:rsidRPr="00FE4D65">
              <w:rPr>
                <w:lang w:val="es-ES"/>
              </w:rPr>
              <w:t>718</w:t>
            </w:r>
          </w:p>
        </w:tc>
        <w:tc>
          <w:tcPr>
            <w:tcW w:w="1202" w:type="dxa"/>
          </w:tcPr>
          <w:p w14:paraId="0AE9C8AB" w14:textId="27C50828"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43</w:t>
            </w:r>
            <w:r w:rsidR="00422299">
              <w:rPr>
                <w:lang w:val="es-ES"/>
              </w:rPr>
              <w:t> </w:t>
            </w:r>
            <w:r w:rsidRPr="00FE4D65">
              <w:rPr>
                <w:lang w:val="es-ES"/>
              </w:rPr>
              <w:t>137</w:t>
            </w:r>
          </w:p>
        </w:tc>
        <w:tc>
          <w:tcPr>
            <w:tcW w:w="1074" w:type="dxa"/>
          </w:tcPr>
          <w:p w14:paraId="45C3F1DB" w14:textId="3E4A6324"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33</w:t>
            </w:r>
            <w:r w:rsidR="00422299">
              <w:rPr>
                <w:lang w:val="es-ES"/>
              </w:rPr>
              <w:t> </w:t>
            </w:r>
            <w:r w:rsidRPr="00FE4D65">
              <w:rPr>
                <w:lang w:val="es-ES"/>
              </w:rPr>
              <w:t>274</w:t>
            </w:r>
          </w:p>
        </w:tc>
        <w:tc>
          <w:tcPr>
            <w:tcW w:w="1074" w:type="dxa"/>
          </w:tcPr>
          <w:p w14:paraId="09223F12" w14:textId="4328C67A"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46</w:t>
            </w:r>
            <w:r w:rsidR="00422299">
              <w:rPr>
                <w:lang w:val="es-ES"/>
              </w:rPr>
              <w:t> </w:t>
            </w:r>
            <w:r w:rsidRPr="00FE4D65">
              <w:rPr>
                <w:lang w:val="es-ES"/>
              </w:rPr>
              <w:t>373</w:t>
            </w:r>
          </w:p>
        </w:tc>
        <w:tc>
          <w:tcPr>
            <w:tcW w:w="1183" w:type="dxa"/>
          </w:tcPr>
          <w:p w14:paraId="01DA4738" w14:textId="60B53588"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169</w:t>
            </w:r>
            <w:r w:rsidR="00422299">
              <w:rPr>
                <w:b/>
                <w:bCs/>
                <w:lang w:val="es-ES"/>
              </w:rPr>
              <w:t> </w:t>
            </w:r>
            <w:r w:rsidRPr="00FE4D65">
              <w:rPr>
                <w:b/>
                <w:bCs/>
                <w:lang w:val="es-ES"/>
              </w:rPr>
              <w:t>502</w:t>
            </w:r>
          </w:p>
        </w:tc>
        <w:tc>
          <w:tcPr>
            <w:tcW w:w="1154" w:type="dxa"/>
          </w:tcPr>
          <w:p w14:paraId="2DEAF33B" w14:textId="6A74BAA2"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2,45</w:t>
            </w:r>
          </w:p>
        </w:tc>
      </w:tr>
      <w:tr w:rsidR="00FE4D65" w:rsidRPr="00FE4D65" w14:paraId="773B36F0"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77A05AD0" w14:textId="77777777" w:rsidR="00FE4D65" w:rsidRPr="00FE4D65" w:rsidRDefault="00FE4D65" w:rsidP="00FB379C">
            <w:pPr>
              <w:pStyle w:val="Tabletext"/>
              <w:jc w:val="center"/>
              <w:rPr>
                <w:lang w:val="en-GB"/>
              </w:rPr>
            </w:pPr>
            <w:bookmarkStart w:id="243" w:name="lt_pId820"/>
            <w:r w:rsidRPr="00FE4D65">
              <w:rPr>
                <w:lang w:val="es-ES"/>
              </w:rPr>
              <w:t>RS</w:t>
            </w:r>
            <w:bookmarkEnd w:id="243"/>
          </w:p>
        </w:tc>
        <w:tc>
          <w:tcPr>
            <w:tcW w:w="1177" w:type="dxa"/>
          </w:tcPr>
          <w:p w14:paraId="5DC8CE67" w14:textId="3190B3DA"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26</w:t>
            </w:r>
            <w:r w:rsidR="00422299">
              <w:rPr>
                <w:lang w:val="es-ES"/>
              </w:rPr>
              <w:t> </w:t>
            </w:r>
            <w:r w:rsidRPr="00FE4D65">
              <w:rPr>
                <w:lang w:val="es-ES"/>
              </w:rPr>
              <w:t>823</w:t>
            </w:r>
          </w:p>
        </w:tc>
        <w:tc>
          <w:tcPr>
            <w:tcW w:w="1202" w:type="dxa"/>
          </w:tcPr>
          <w:p w14:paraId="7BA33489" w14:textId="063DC97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23</w:t>
            </w:r>
            <w:r w:rsidR="00422299">
              <w:rPr>
                <w:lang w:val="es-ES"/>
              </w:rPr>
              <w:t> </w:t>
            </w:r>
            <w:r w:rsidRPr="00FE4D65">
              <w:rPr>
                <w:lang w:val="es-ES"/>
              </w:rPr>
              <w:t>253</w:t>
            </w:r>
          </w:p>
        </w:tc>
        <w:tc>
          <w:tcPr>
            <w:tcW w:w="1074" w:type="dxa"/>
          </w:tcPr>
          <w:p w14:paraId="3F2353EC" w14:textId="553B98C9"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19</w:t>
            </w:r>
            <w:r w:rsidR="00422299">
              <w:rPr>
                <w:lang w:val="es-ES"/>
              </w:rPr>
              <w:t> </w:t>
            </w:r>
            <w:r w:rsidRPr="00FE4D65">
              <w:rPr>
                <w:lang w:val="es-ES"/>
              </w:rPr>
              <w:t>350</w:t>
            </w:r>
          </w:p>
        </w:tc>
        <w:tc>
          <w:tcPr>
            <w:tcW w:w="1074" w:type="dxa"/>
          </w:tcPr>
          <w:p w14:paraId="49574ACB" w14:textId="42C6323D"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24</w:t>
            </w:r>
            <w:r w:rsidR="00422299">
              <w:rPr>
                <w:lang w:val="es-ES"/>
              </w:rPr>
              <w:t> </w:t>
            </w:r>
            <w:r w:rsidRPr="00FE4D65">
              <w:rPr>
                <w:lang w:val="es-ES"/>
              </w:rPr>
              <w:t>932</w:t>
            </w:r>
          </w:p>
        </w:tc>
        <w:tc>
          <w:tcPr>
            <w:tcW w:w="1183" w:type="dxa"/>
          </w:tcPr>
          <w:p w14:paraId="34DD2138" w14:textId="2ADE7A2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94</w:t>
            </w:r>
            <w:r w:rsidR="00422299">
              <w:rPr>
                <w:b/>
                <w:bCs/>
                <w:lang w:val="es-ES"/>
              </w:rPr>
              <w:t> </w:t>
            </w:r>
            <w:r w:rsidRPr="00FE4D65">
              <w:rPr>
                <w:b/>
                <w:bCs/>
                <w:lang w:val="es-ES"/>
              </w:rPr>
              <w:t>358</w:t>
            </w:r>
          </w:p>
        </w:tc>
        <w:tc>
          <w:tcPr>
            <w:tcW w:w="1154" w:type="dxa"/>
          </w:tcPr>
          <w:p w14:paraId="22502229" w14:textId="1B28B9F6"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1,36</w:t>
            </w:r>
          </w:p>
        </w:tc>
      </w:tr>
      <w:tr w:rsidR="00FE4D65" w:rsidRPr="00FE4D65" w14:paraId="2A041BFE"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35B7904C" w14:textId="77777777" w:rsidR="00FE4D65" w:rsidRPr="00FE4D65" w:rsidRDefault="00FE4D65" w:rsidP="00FB379C">
            <w:pPr>
              <w:pStyle w:val="Tabletext"/>
              <w:jc w:val="center"/>
              <w:rPr>
                <w:lang w:val="en-GB"/>
              </w:rPr>
            </w:pPr>
            <w:bookmarkStart w:id="244" w:name="lt_pId827"/>
            <w:r w:rsidRPr="00FE4D65">
              <w:rPr>
                <w:lang w:val="es-ES"/>
              </w:rPr>
              <w:t>BO</w:t>
            </w:r>
            <w:bookmarkEnd w:id="244"/>
          </w:p>
        </w:tc>
        <w:tc>
          <w:tcPr>
            <w:tcW w:w="1177" w:type="dxa"/>
          </w:tcPr>
          <w:p w14:paraId="5E2777DE" w14:textId="03957AEF"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26</w:t>
            </w:r>
            <w:r w:rsidR="00422299">
              <w:rPr>
                <w:lang w:val="es-ES"/>
              </w:rPr>
              <w:t> </w:t>
            </w:r>
            <w:r w:rsidRPr="00FE4D65">
              <w:rPr>
                <w:lang w:val="es-ES"/>
              </w:rPr>
              <w:t>816</w:t>
            </w:r>
          </w:p>
        </w:tc>
        <w:tc>
          <w:tcPr>
            <w:tcW w:w="1202" w:type="dxa"/>
          </w:tcPr>
          <w:p w14:paraId="2B2E6BB2" w14:textId="55B8B062"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23</w:t>
            </w:r>
            <w:r w:rsidR="00422299">
              <w:rPr>
                <w:lang w:val="es-ES"/>
              </w:rPr>
              <w:t> </w:t>
            </w:r>
            <w:r w:rsidRPr="00FE4D65">
              <w:rPr>
                <w:lang w:val="es-ES"/>
              </w:rPr>
              <w:t>173</w:t>
            </w:r>
          </w:p>
        </w:tc>
        <w:tc>
          <w:tcPr>
            <w:tcW w:w="1074" w:type="dxa"/>
          </w:tcPr>
          <w:p w14:paraId="2EE662A8" w14:textId="2EF52A13"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w:t>
            </w:r>
            <w:r w:rsidR="00422299">
              <w:rPr>
                <w:lang w:val="es-ES"/>
              </w:rPr>
              <w:t> </w:t>
            </w:r>
            <w:r w:rsidRPr="00FE4D65">
              <w:rPr>
                <w:lang w:val="es-ES"/>
              </w:rPr>
              <w:t>489</w:t>
            </w:r>
          </w:p>
        </w:tc>
        <w:tc>
          <w:tcPr>
            <w:tcW w:w="1074" w:type="dxa"/>
          </w:tcPr>
          <w:p w14:paraId="57639C73" w14:textId="2EE1D6D2"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22</w:t>
            </w:r>
            <w:r w:rsidR="00422299">
              <w:rPr>
                <w:lang w:val="es-ES"/>
              </w:rPr>
              <w:t> </w:t>
            </w:r>
            <w:r w:rsidRPr="00FE4D65">
              <w:rPr>
                <w:lang w:val="es-ES"/>
              </w:rPr>
              <w:t>760</w:t>
            </w:r>
          </w:p>
        </w:tc>
        <w:tc>
          <w:tcPr>
            <w:tcW w:w="1183" w:type="dxa"/>
          </w:tcPr>
          <w:p w14:paraId="2375C451" w14:textId="5107C2F3"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89</w:t>
            </w:r>
            <w:r w:rsidR="00422299">
              <w:rPr>
                <w:b/>
                <w:bCs/>
                <w:lang w:val="es-ES"/>
              </w:rPr>
              <w:t> </w:t>
            </w:r>
            <w:r w:rsidRPr="00FE4D65">
              <w:rPr>
                <w:b/>
                <w:bCs/>
                <w:lang w:val="es-ES"/>
              </w:rPr>
              <w:t>238</w:t>
            </w:r>
          </w:p>
        </w:tc>
        <w:tc>
          <w:tcPr>
            <w:tcW w:w="1154" w:type="dxa"/>
          </w:tcPr>
          <w:p w14:paraId="77F91769" w14:textId="0472D56F"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1,29</w:t>
            </w:r>
          </w:p>
        </w:tc>
      </w:tr>
      <w:tr w:rsidR="00FE4D65" w:rsidRPr="00FE4D65" w14:paraId="6B698030"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7AB2BB0F" w14:textId="77777777" w:rsidR="00FE4D65" w:rsidRPr="00FE4D65" w:rsidRDefault="00FE4D65" w:rsidP="00FB379C">
            <w:pPr>
              <w:pStyle w:val="Tabletext"/>
              <w:jc w:val="center"/>
              <w:rPr>
                <w:lang w:val="en-GB"/>
              </w:rPr>
            </w:pPr>
            <w:bookmarkStart w:id="245" w:name="lt_pId834"/>
            <w:r w:rsidRPr="00FE4D65">
              <w:rPr>
                <w:lang w:val="es-ES"/>
              </w:rPr>
              <w:t>TF</w:t>
            </w:r>
            <w:bookmarkEnd w:id="245"/>
          </w:p>
        </w:tc>
        <w:tc>
          <w:tcPr>
            <w:tcW w:w="1177" w:type="dxa"/>
          </w:tcPr>
          <w:p w14:paraId="35BF1BD8" w14:textId="61BC0E43"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24</w:t>
            </w:r>
            <w:r w:rsidR="00422299">
              <w:rPr>
                <w:lang w:val="es-ES"/>
              </w:rPr>
              <w:t> </w:t>
            </w:r>
            <w:r w:rsidRPr="00FE4D65">
              <w:rPr>
                <w:lang w:val="es-ES"/>
              </w:rPr>
              <w:t>077</w:t>
            </w:r>
          </w:p>
        </w:tc>
        <w:tc>
          <w:tcPr>
            <w:tcW w:w="1202" w:type="dxa"/>
          </w:tcPr>
          <w:p w14:paraId="7F9C0ECC" w14:textId="460A42FD"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22</w:t>
            </w:r>
            <w:r w:rsidR="00422299">
              <w:rPr>
                <w:lang w:val="es-ES"/>
              </w:rPr>
              <w:t> </w:t>
            </w:r>
            <w:r w:rsidRPr="00FE4D65">
              <w:rPr>
                <w:lang w:val="es-ES"/>
              </w:rPr>
              <w:t>729</w:t>
            </w:r>
          </w:p>
        </w:tc>
        <w:tc>
          <w:tcPr>
            <w:tcW w:w="1074" w:type="dxa"/>
          </w:tcPr>
          <w:p w14:paraId="20F0A671" w14:textId="7958A83A"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18</w:t>
            </w:r>
            <w:r w:rsidR="00422299">
              <w:rPr>
                <w:lang w:val="es-ES"/>
              </w:rPr>
              <w:t> </w:t>
            </w:r>
            <w:r w:rsidRPr="00FE4D65">
              <w:rPr>
                <w:lang w:val="es-ES"/>
              </w:rPr>
              <w:t>211</w:t>
            </w:r>
          </w:p>
        </w:tc>
        <w:tc>
          <w:tcPr>
            <w:tcW w:w="1074" w:type="dxa"/>
          </w:tcPr>
          <w:p w14:paraId="4B2DFA1E" w14:textId="4894C60D"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20</w:t>
            </w:r>
            <w:r w:rsidR="00422299">
              <w:rPr>
                <w:lang w:val="es-ES"/>
              </w:rPr>
              <w:t> </w:t>
            </w:r>
            <w:r w:rsidRPr="00FE4D65">
              <w:rPr>
                <w:lang w:val="es-ES"/>
              </w:rPr>
              <w:t>903</w:t>
            </w:r>
          </w:p>
        </w:tc>
        <w:tc>
          <w:tcPr>
            <w:tcW w:w="1183" w:type="dxa"/>
          </w:tcPr>
          <w:p w14:paraId="3DE12C29" w14:textId="65FE186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85</w:t>
            </w:r>
            <w:r w:rsidR="00422299">
              <w:rPr>
                <w:b/>
                <w:bCs/>
                <w:lang w:val="es-ES"/>
              </w:rPr>
              <w:t> </w:t>
            </w:r>
            <w:r w:rsidRPr="00FE4D65">
              <w:rPr>
                <w:b/>
                <w:bCs/>
                <w:lang w:val="es-ES"/>
              </w:rPr>
              <w:t>920</w:t>
            </w:r>
          </w:p>
        </w:tc>
        <w:tc>
          <w:tcPr>
            <w:tcW w:w="1154" w:type="dxa"/>
          </w:tcPr>
          <w:p w14:paraId="026803E1" w14:textId="4472A63E"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1,24</w:t>
            </w:r>
          </w:p>
        </w:tc>
      </w:tr>
      <w:tr w:rsidR="00FE4D65" w:rsidRPr="00FE4D65" w14:paraId="7AC59417"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4967AD25" w14:textId="77777777" w:rsidR="00FE4D65" w:rsidRPr="00FE4D65" w:rsidRDefault="00FE4D65" w:rsidP="00FB379C">
            <w:pPr>
              <w:pStyle w:val="Tabletext"/>
              <w:jc w:val="center"/>
              <w:rPr>
                <w:lang w:val="en-GB"/>
              </w:rPr>
            </w:pPr>
            <w:bookmarkStart w:id="246" w:name="lt_pId841"/>
            <w:r w:rsidRPr="00FE4D65">
              <w:rPr>
                <w:lang w:val="es-ES"/>
              </w:rPr>
              <w:t>SF</w:t>
            </w:r>
            <w:bookmarkEnd w:id="246"/>
          </w:p>
        </w:tc>
        <w:tc>
          <w:tcPr>
            <w:tcW w:w="1177" w:type="dxa"/>
          </w:tcPr>
          <w:p w14:paraId="296A5104" w14:textId="604D24F2"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19</w:t>
            </w:r>
            <w:r w:rsidR="00422299">
              <w:rPr>
                <w:lang w:val="es-ES"/>
              </w:rPr>
              <w:t> </w:t>
            </w:r>
            <w:r w:rsidRPr="00FE4D65">
              <w:rPr>
                <w:lang w:val="es-ES"/>
              </w:rPr>
              <w:t>381</w:t>
            </w:r>
          </w:p>
        </w:tc>
        <w:tc>
          <w:tcPr>
            <w:tcW w:w="1202" w:type="dxa"/>
          </w:tcPr>
          <w:p w14:paraId="6EB2C17E" w14:textId="2BB6FB91"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w:t>
            </w:r>
            <w:r w:rsidR="00422299">
              <w:rPr>
                <w:lang w:val="es-ES"/>
              </w:rPr>
              <w:t> </w:t>
            </w:r>
            <w:r w:rsidRPr="00FE4D65">
              <w:rPr>
                <w:lang w:val="es-ES"/>
              </w:rPr>
              <w:t>720</w:t>
            </w:r>
          </w:p>
        </w:tc>
        <w:tc>
          <w:tcPr>
            <w:tcW w:w="1074" w:type="dxa"/>
          </w:tcPr>
          <w:p w14:paraId="5AB60412" w14:textId="3AAF1D86"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13</w:t>
            </w:r>
            <w:r w:rsidR="00422299">
              <w:rPr>
                <w:lang w:val="es-ES"/>
              </w:rPr>
              <w:t> </w:t>
            </w:r>
            <w:r w:rsidRPr="00FE4D65">
              <w:rPr>
                <w:lang w:val="es-ES"/>
              </w:rPr>
              <w:t>102</w:t>
            </w:r>
          </w:p>
        </w:tc>
        <w:tc>
          <w:tcPr>
            <w:tcW w:w="1074" w:type="dxa"/>
          </w:tcPr>
          <w:p w14:paraId="13C705C7" w14:textId="5AE92203"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15</w:t>
            </w:r>
            <w:r w:rsidR="00422299">
              <w:rPr>
                <w:lang w:val="es-ES"/>
              </w:rPr>
              <w:t> </w:t>
            </w:r>
            <w:r w:rsidRPr="00FE4D65">
              <w:rPr>
                <w:lang w:val="es-ES"/>
              </w:rPr>
              <w:t>980</w:t>
            </w:r>
          </w:p>
        </w:tc>
        <w:tc>
          <w:tcPr>
            <w:tcW w:w="1183" w:type="dxa"/>
          </w:tcPr>
          <w:p w14:paraId="55355199" w14:textId="6EED616E"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65</w:t>
            </w:r>
            <w:r w:rsidR="00422299">
              <w:rPr>
                <w:b/>
                <w:bCs/>
                <w:lang w:val="es-ES"/>
              </w:rPr>
              <w:t> </w:t>
            </w:r>
            <w:r w:rsidRPr="00FE4D65">
              <w:rPr>
                <w:b/>
                <w:bCs/>
                <w:lang w:val="es-ES"/>
              </w:rPr>
              <w:t>183</w:t>
            </w:r>
          </w:p>
        </w:tc>
        <w:tc>
          <w:tcPr>
            <w:tcW w:w="1154" w:type="dxa"/>
          </w:tcPr>
          <w:p w14:paraId="79883E29" w14:textId="7D6064B9"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0,94</w:t>
            </w:r>
          </w:p>
        </w:tc>
      </w:tr>
      <w:tr w:rsidR="00FE4D65" w:rsidRPr="00FE4D65" w14:paraId="3316A35F"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08CF3776" w14:textId="77777777" w:rsidR="00FE4D65" w:rsidRPr="00FE4D65" w:rsidRDefault="00FE4D65" w:rsidP="00FB379C">
            <w:pPr>
              <w:pStyle w:val="Tabletext"/>
              <w:jc w:val="center"/>
              <w:rPr>
                <w:lang w:val="en-GB"/>
              </w:rPr>
            </w:pPr>
            <w:bookmarkStart w:id="247" w:name="lt_pId848"/>
            <w:r w:rsidRPr="00FE4D65">
              <w:rPr>
                <w:lang w:val="es-ES"/>
              </w:rPr>
              <w:t>BR</w:t>
            </w:r>
            <w:bookmarkEnd w:id="247"/>
          </w:p>
        </w:tc>
        <w:tc>
          <w:tcPr>
            <w:tcW w:w="1177" w:type="dxa"/>
          </w:tcPr>
          <w:p w14:paraId="108F5C26" w14:textId="35A4E60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17</w:t>
            </w:r>
            <w:r w:rsidR="00422299">
              <w:rPr>
                <w:lang w:val="es-ES"/>
              </w:rPr>
              <w:t> </w:t>
            </w:r>
            <w:r w:rsidRPr="00FE4D65">
              <w:rPr>
                <w:lang w:val="es-ES"/>
              </w:rPr>
              <w:t>101</w:t>
            </w:r>
          </w:p>
        </w:tc>
        <w:tc>
          <w:tcPr>
            <w:tcW w:w="1202" w:type="dxa"/>
          </w:tcPr>
          <w:p w14:paraId="66CECCB5" w14:textId="6819ACA9"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15</w:t>
            </w:r>
            <w:r w:rsidR="00422299">
              <w:rPr>
                <w:lang w:val="es-ES"/>
              </w:rPr>
              <w:t> </w:t>
            </w:r>
            <w:r w:rsidRPr="00FE4D65">
              <w:rPr>
                <w:lang w:val="es-ES"/>
              </w:rPr>
              <w:t>009</w:t>
            </w:r>
          </w:p>
        </w:tc>
        <w:tc>
          <w:tcPr>
            <w:tcW w:w="1074" w:type="dxa"/>
          </w:tcPr>
          <w:p w14:paraId="269030B8" w14:textId="3F33D16C"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w:t>
            </w:r>
            <w:r w:rsidR="00422299">
              <w:rPr>
                <w:lang w:val="es-ES"/>
              </w:rPr>
              <w:t> </w:t>
            </w:r>
            <w:r w:rsidRPr="00FE4D65">
              <w:rPr>
                <w:lang w:val="es-ES"/>
              </w:rPr>
              <w:t>838</w:t>
            </w:r>
          </w:p>
        </w:tc>
        <w:tc>
          <w:tcPr>
            <w:tcW w:w="1074" w:type="dxa"/>
          </w:tcPr>
          <w:p w14:paraId="04A9CB14" w14:textId="7060A30E"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13</w:t>
            </w:r>
            <w:r w:rsidR="00422299">
              <w:rPr>
                <w:lang w:val="es-ES"/>
              </w:rPr>
              <w:t> </w:t>
            </w:r>
            <w:r w:rsidRPr="00FE4D65">
              <w:rPr>
                <w:lang w:val="es-ES"/>
              </w:rPr>
              <w:t>285</w:t>
            </w:r>
          </w:p>
        </w:tc>
        <w:tc>
          <w:tcPr>
            <w:tcW w:w="1183" w:type="dxa"/>
          </w:tcPr>
          <w:p w14:paraId="00E075A4" w14:textId="08D6E3FC"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55</w:t>
            </w:r>
            <w:r w:rsidR="00422299">
              <w:rPr>
                <w:b/>
                <w:bCs/>
                <w:lang w:val="es-ES"/>
              </w:rPr>
              <w:t> </w:t>
            </w:r>
            <w:r w:rsidRPr="00FE4D65">
              <w:rPr>
                <w:b/>
                <w:bCs/>
                <w:lang w:val="es-ES"/>
              </w:rPr>
              <w:t>233</w:t>
            </w:r>
          </w:p>
        </w:tc>
        <w:tc>
          <w:tcPr>
            <w:tcW w:w="1154" w:type="dxa"/>
          </w:tcPr>
          <w:p w14:paraId="3E0DD0F9" w14:textId="760502FE"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0,80</w:t>
            </w:r>
          </w:p>
        </w:tc>
      </w:tr>
      <w:tr w:rsidR="00FE4D65" w:rsidRPr="00FE4D65" w14:paraId="7245B951"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06863A53" w14:textId="77777777" w:rsidR="00FE4D65" w:rsidRPr="00FE4D65" w:rsidRDefault="00FE4D65" w:rsidP="00FB379C">
            <w:pPr>
              <w:pStyle w:val="Tabletext"/>
              <w:jc w:val="center"/>
              <w:rPr>
                <w:lang w:val="en-GB"/>
              </w:rPr>
            </w:pPr>
            <w:bookmarkStart w:id="248" w:name="lt_pId855"/>
            <w:r w:rsidRPr="00FE4D65">
              <w:rPr>
                <w:lang w:val="es-ES"/>
              </w:rPr>
              <w:t>RA</w:t>
            </w:r>
            <w:bookmarkEnd w:id="248"/>
          </w:p>
        </w:tc>
        <w:tc>
          <w:tcPr>
            <w:tcW w:w="1177" w:type="dxa"/>
          </w:tcPr>
          <w:p w14:paraId="66782837" w14:textId="2093F5F5"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12</w:t>
            </w:r>
            <w:r w:rsidR="00422299">
              <w:rPr>
                <w:lang w:val="es-ES"/>
              </w:rPr>
              <w:t> </w:t>
            </w:r>
            <w:r w:rsidRPr="00FE4D65">
              <w:rPr>
                <w:lang w:val="es-ES"/>
              </w:rPr>
              <w:t>315</w:t>
            </w:r>
          </w:p>
        </w:tc>
        <w:tc>
          <w:tcPr>
            <w:tcW w:w="1202" w:type="dxa"/>
          </w:tcPr>
          <w:p w14:paraId="2AABAA50" w14:textId="6C618E59"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w:t>
            </w:r>
            <w:r w:rsidR="00422299">
              <w:rPr>
                <w:lang w:val="es-ES"/>
              </w:rPr>
              <w:t> </w:t>
            </w:r>
            <w:r w:rsidRPr="00FE4D65">
              <w:rPr>
                <w:lang w:val="es-ES"/>
              </w:rPr>
              <w:t>777</w:t>
            </w:r>
          </w:p>
        </w:tc>
        <w:tc>
          <w:tcPr>
            <w:tcW w:w="1074" w:type="dxa"/>
          </w:tcPr>
          <w:p w14:paraId="16B17ADC" w14:textId="13C2EA84"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9</w:t>
            </w:r>
            <w:r w:rsidR="00422299">
              <w:rPr>
                <w:lang w:val="es-ES"/>
              </w:rPr>
              <w:t> </w:t>
            </w:r>
            <w:r w:rsidRPr="00FE4D65">
              <w:rPr>
                <w:lang w:val="es-ES"/>
              </w:rPr>
              <w:t>169</w:t>
            </w:r>
          </w:p>
        </w:tc>
        <w:tc>
          <w:tcPr>
            <w:tcW w:w="1074" w:type="dxa"/>
          </w:tcPr>
          <w:p w14:paraId="31C2FB73" w14:textId="33BA0873"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11</w:t>
            </w:r>
            <w:r w:rsidR="00422299">
              <w:rPr>
                <w:lang w:val="es-ES"/>
              </w:rPr>
              <w:t> </w:t>
            </w:r>
            <w:r w:rsidRPr="00FE4D65">
              <w:rPr>
                <w:lang w:val="es-ES"/>
              </w:rPr>
              <w:t>546</w:t>
            </w:r>
          </w:p>
        </w:tc>
        <w:tc>
          <w:tcPr>
            <w:tcW w:w="1183" w:type="dxa"/>
          </w:tcPr>
          <w:p w14:paraId="20354717" w14:textId="6AD56AF3"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43</w:t>
            </w:r>
            <w:r w:rsidR="00422299">
              <w:rPr>
                <w:b/>
                <w:bCs/>
                <w:lang w:val="es-ES"/>
              </w:rPr>
              <w:t> </w:t>
            </w:r>
            <w:r w:rsidRPr="00FE4D65">
              <w:rPr>
                <w:b/>
                <w:bCs/>
                <w:lang w:val="es-ES"/>
              </w:rPr>
              <w:t>807</w:t>
            </w:r>
          </w:p>
        </w:tc>
        <w:tc>
          <w:tcPr>
            <w:tcW w:w="1154" w:type="dxa"/>
          </w:tcPr>
          <w:p w14:paraId="36F50ECE" w14:textId="3950B8CB"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0,63</w:t>
            </w:r>
          </w:p>
        </w:tc>
      </w:tr>
      <w:tr w:rsidR="00FE4D65" w:rsidRPr="00FE4D65" w14:paraId="11CE4FCC"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77E35960" w14:textId="77777777" w:rsidR="00FE4D65" w:rsidRPr="00FE4D65" w:rsidRDefault="00FE4D65" w:rsidP="00FB379C">
            <w:pPr>
              <w:pStyle w:val="Tabletext"/>
              <w:jc w:val="center"/>
              <w:rPr>
                <w:lang w:val="en-GB"/>
              </w:rPr>
            </w:pPr>
            <w:bookmarkStart w:id="249" w:name="lt_pId862"/>
            <w:r w:rsidRPr="00FE4D65">
              <w:rPr>
                <w:lang w:val="es-ES"/>
              </w:rPr>
              <w:t>SNG</w:t>
            </w:r>
            <w:bookmarkEnd w:id="249"/>
          </w:p>
        </w:tc>
        <w:tc>
          <w:tcPr>
            <w:tcW w:w="1177" w:type="dxa"/>
          </w:tcPr>
          <w:p w14:paraId="67E8A8F1" w14:textId="674F810F"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w:t>
            </w:r>
            <w:r w:rsidR="00422299">
              <w:rPr>
                <w:lang w:val="es-ES"/>
              </w:rPr>
              <w:t> </w:t>
            </w:r>
            <w:r w:rsidRPr="00FE4D65">
              <w:rPr>
                <w:lang w:val="es-ES"/>
              </w:rPr>
              <w:t>319</w:t>
            </w:r>
          </w:p>
        </w:tc>
        <w:tc>
          <w:tcPr>
            <w:tcW w:w="1202" w:type="dxa"/>
          </w:tcPr>
          <w:p w14:paraId="63A60322" w14:textId="389FDD0A"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w:t>
            </w:r>
            <w:r w:rsidR="00422299">
              <w:rPr>
                <w:lang w:val="es-ES"/>
              </w:rPr>
              <w:t> </w:t>
            </w:r>
            <w:r w:rsidRPr="00FE4D65">
              <w:rPr>
                <w:lang w:val="es-ES"/>
              </w:rPr>
              <w:t>548</w:t>
            </w:r>
          </w:p>
        </w:tc>
        <w:tc>
          <w:tcPr>
            <w:tcW w:w="1074" w:type="dxa"/>
          </w:tcPr>
          <w:p w14:paraId="72D32A88" w14:textId="37AB946F"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w:t>
            </w:r>
            <w:r w:rsidR="00422299">
              <w:rPr>
                <w:lang w:val="es-ES"/>
              </w:rPr>
              <w:t> </w:t>
            </w:r>
            <w:r w:rsidRPr="00FE4D65">
              <w:rPr>
                <w:lang w:val="es-ES"/>
              </w:rPr>
              <w:t>987</w:t>
            </w:r>
          </w:p>
        </w:tc>
        <w:tc>
          <w:tcPr>
            <w:tcW w:w="1074" w:type="dxa"/>
          </w:tcPr>
          <w:p w14:paraId="2A1394ED" w14:textId="02E2FE38"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w:t>
            </w:r>
            <w:r w:rsidR="00422299">
              <w:rPr>
                <w:lang w:val="es-ES"/>
              </w:rPr>
              <w:t> </w:t>
            </w:r>
            <w:r w:rsidRPr="00FE4D65">
              <w:rPr>
                <w:lang w:val="es-ES"/>
              </w:rPr>
              <w:t>045</w:t>
            </w:r>
          </w:p>
        </w:tc>
        <w:tc>
          <w:tcPr>
            <w:tcW w:w="1183" w:type="dxa"/>
          </w:tcPr>
          <w:p w14:paraId="4C4502C4" w14:textId="53CA1418"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10</w:t>
            </w:r>
            <w:r w:rsidR="00422299">
              <w:rPr>
                <w:b/>
                <w:bCs/>
                <w:lang w:val="es-ES"/>
              </w:rPr>
              <w:t> </w:t>
            </w:r>
            <w:r w:rsidRPr="00FE4D65">
              <w:rPr>
                <w:b/>
                <w:bCs/>
                <w:lang w:val="es-ES"/>
              </w:rPr>
              <w:t>899</w:t>
            </w:r>
          </w:p>
        </w:tc>
        <w:tc>
          <w:tcPr>
            <w:tcW w:w="1154" w:type="dxa"/>
          </w:tcPr>
          <w:p w14:paraId="0E87FBAA" w14:textId="68CE1A96"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0,16</w:t>
            </w:r>
          </w:p>
        </w:tc>
      </w:tr>
      <w:tr w:rsidR="00FE4D65" w:rsidRPr="00FE4D65" w14:paraId="474463DE"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32D810F0" w14:textId="77777777" w:rsidR="00FE4D65" w:rsidRPr="00FE4D65" w:rsidRDefault="00FE4D65" w:rsidP="00FB379C">
            <w:pPr>
              <w:pStyle w:val="Tabletext"/>
              <w:jc w:val="center"/>
              <w:rPr>
                <w:lang w:val="en-GB"/>
              </w:rPr>
            </w:pPr>
            <w:bookmarkStart w:id="250" w:name="lt_pId869"/>
            <w:r w:rsidRPr="00FE4D65">
              <w:rPr>
                <w:lang w:val="es-ES"/>
              </w:rPr>
              <w:t>IS</w:t>
            </w:r>
            <w:bookmarkEnd w:id="250"/>
          </w:p>
        </w:tc>
        <w:tc>
          <w:tcPr>
            <w:tcW w:w="1177" w:type="dxa"/>
          </w:tcPr>
          <w:p w14:paraId="260E9A23" w14:textId="7016FA1B"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w:t>
            </w:r>
            <w:r w:rsidR="00422299">
              <w:rPr>
                <w:lang w:val="es-ES"/>
              </w:rPr>
              <w:t> </w:t>
            </w:r>
            <w:r w:rsidRPr="00FE4D65">
              <w:rPr>
                <w:lang w:val="es-ES"/>
              </w:rPr>
              <w:t>280</w:t>
            </w:r>
          </w:p>
        </w:tc>
        <w:tc>
          <w:tcPr>
            <w:tcW w:w="1202" w:type="dxa"/>
          </w:tcPr>
          <w:p w14:paraId="193BE71E" w14:textId="48B09062"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w:t>
            </w:r>
            <w:r w:rsidR="00422299">
              <w:rPr>
                <w:lang w:val="es-ES"/>
              </w:rPr>
              <w:t> </w:t>
            </w:r>
            <w:r w:rsidRPr="00FE4D65">
              <w:rPr>
                <w:lang w:val="es-ES"/>
              </w:rPr>
              <w:t>366</w:t>
            </w:r>
          </w:p>
        </w:tc>
        <w:tc>
          <w:tcPr>
            <w:tcW w:w="1074" w:type="dxa"/>
          </w:tcPr>
          <w:p w14:paraId="2A1E186E" w14:textId="4C6A2EEE"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w:t>
            </w:r>
            <w:r w:rsidR="00422299">
              <w:rPr>
                <w:lang w:val="es-ES"/>
              </w:rPr>
              <w:t> </w:t>
            </w:r>
            <w:r w:rsidRPr="00FE4D65">
              <w:rPr>
                <w:lang w:val="es-ES"/>
              </w:rPr>
              <w:t>203</w:t>
            </w:r>
          </w:p>
        </w:tc>
        <w:tc>
          <w:tcPr>
            <w:tcW w:w="1074" w:type="dxa"/>
          </w:tcPr>
          <w:p w14:paraId="5F9C0615" w14:textId="17ECE3D8"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w:t>
            </w:r>
            <w:r w:rsidR="00422299">
              <w:rPr>
                <w:lang w:val="es-ES"/>
              </w:rPr>
              <w:t> </w:t>
            </w:r>
            <w:r w:rsidRPr="00FE4D65">
              <w:rPr>
                <w:lang w:val="es-ES"/>
              </w:rPr>
              <w:t>416</w:t>
            </w:r>
          </w:p>
        </w:tc>
        <w:tc>
          <w:tcPr>
            <w:tcW w:w="1183" w:type="dxa"/>
          </w:tcPr>
          <w:p w14:paraId="7FA23076" w14:textId="0A71C193"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5</w:t>
            </w:r>
            <w:r w:rsidR="00422299">
              <w:rPr>
                <w:b/>
                <w:bCs/>
                <w:lang w:val="es-ES"/>
              </w:rPr>
              <w:t> </w:t>
            </w:r>
            <w:r w:rsidRPr="00FE4D65">
              <w:rPr>
                <w:b/>
                <w:bCs/>
                <w:lang w:val="es-ES"/>
              </w:rPr>
              <w:t>265</w:t>
            </w:r>
          </w:p>
        </w:tc>
        <w:tc>
          <w:tcPr>
            <w:tcW w:w="1154" w:type="dxa"/>
          </w:tcPr>
          <w:p w14:paraId="0C2A2119" w14:textId="45DEDA56"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0,08</w:t>
            </w:r>
          </w:p>
        </w:tc>
      </w:tr>
      <w:tr w:rsidR="00FE4D65" w:rsidRPr="00FE4D65" w14:paraId="1BDD60AE"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217" w:type="dxa"/>
          </w:tcPr>
          <w:p w14:paraId="25B826CC" w14:textId="77777777" w:rsidR="00FE4D65" w:rsidRPr="00FE4D65" w:rsidRDefault="00FE4D65" w:rsidP="00FB379C">
            <w:pPr>
              <w:pStyle w:val="Tabletext"/>
              <w:jc w:val="center"/>
              <w:rPr>
                <w:lang w:val="en-GB"/>
              </w:rPr>
            </w:pPr>
            <w:bookmarkStart w:id="251" w:name="lt_pId876"/>
            <w:r w:rsidRPr="00FE4D65">
              <w:rPr>
                <w:lang w:val="es-ES"/>
              </w:rPr>
              <w:t>PI</w:t>
            </w:r>
            <w:bookmarkEnd w:id="251"/>
          </w:p>
        </w:tc>
        <w:tc>
          <w:tcPr>
            <w:tcW w:w="1177" w:type="dxa"/>
          </w:tcPr>
          <w:p w14:paraId="24B53036" w14:textId="77777777"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372</w:t>
            </w:r>
          </w:p>
        </w:tc>
        <w:tc>
          <w:tcPr>
            <w:tcW w:w="1202" w:type="dxa"/>
          </w:tcPr>
          <w:p w14:paraId="560741C3" w14:textId="77777777"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206</w:t>
            </w:r>
          </w:p>
        </w:tc>
        <w:tc>
          <w:tcPr>
            <w:tcW w:w="1074" w:type="dxa"/>
          </w:tcPr>
          <w:p w14:paraId="6F72ADE1" w14:textId="77777777"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143</w:t>
            </w:r>
          </w:p>
        </w:tc>
        <w:tc>
          <w:tcPr>
            <w:tcW w:w="1074" w:type="dxa"/>
          </w:tcPr>
          <w:p w14:paraId="1D857AFD" w14:textId="77777777" w:rsidR="00FE4D65" w:rsidRPr="00FE4D65" w:rsidRDefault="00FE4D65" w:rsidP="003E0C9F">
            <w:pPr>
              <w:pStyle w:val="Tabletext"/>
              <w:ind w:right="113"/>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288</w:t>
            </w:r>
          </w:p>
        </w:tc>
        <w:tc>
          <w:tcPr>
            <w:tcW w:w="1183" w:type="dxa"/>
          </w:tcPr>
          <w:p w14:paraId="24CC0544" w14:textId="491BEA9C" w:rsidR="00FE4D65" w:rsidRPr="00FE4D65" w:rsidRDefault="00FE4D65" w:rsidP="003E0C9F">
            <w:pPr>
              <w:pStyle w:val="Tabletext"/>
              <w:ind w:right="170"/>
              <w:jc w:val="right"/>
              <w:cnfStyle w:val="000000000000" w:firstRow="0" w:lastRow="0" w:firstColumn="0" w:lastColumn="0" w:oddVBand="0" w:evenVBand="0" w:oddHBand="0"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009</w:t>
            </w:r>
          </w:p>
        </w:tc>
        <w:tc>
          <w:tcPr>
            <w:tcW w:w="1154" w:type="dxa"/>
          </w:tcPr>
          <w:p w14:paraId="41F2D4E0" w14:textId="116AFA06" w:rsidR="00FE4D65" w:rsidRPr="00FE4D65" w:rsidRDefault="00FE4D65" w:rsidP="00422299">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0,01</w:t>
            </w:r>
          </w:p>
        </w:tc>
      </w:tr>
      <w:tr w:rsidR="00FE4D65" w:rsidRPr="00FE4D65" w14:paraId="26DFD91C"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7" w:type="dxa"/>
          </w:tcPr>
          <w:p w14:paraId="16D2BBBF" w14:textId="77777777" w:rsidR="00FE4D65" w:rsidRPr="00FE4D65" w:rsidRDefault="00FE4D65" w:rsidP="00FB379C">
            <w:pPr>
              <w:pStyle w:val="Tabletext"/>
              <w:jc w:val="center"/>
              <w:rPr>
                <w:lang w:val="en-GB"/>
              </w:rPr>
            </w:pPr>
            <w:bookmarkStart w:id="252" w:name="lt_pId883"/>
            <w:r w:rsidRPr="00FE4D65">
              <w:rPr>
                <w:lang w:val="es-ES"/>
              </w:rPr>
              <w:t>TOTAL</w:t>
            </w:r>
            <w:bookmarkEnd w:id="252"/>
          </w:p>
        </w:tc>
        <w:tc>
          <w:tcPr>
            <w:tcW w:w="1177" w:type="dxa"/>
          </w:tcPr>
          <w:p w14:paraId="2D793B45" w14:textId="7EBC78D1"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735</w:t>
            </w:r>
            <w:r w:rsidR="00422299">
              <w:rPr>
                <w:b/>
                <w:bCs/>
                <w:lang w:val="es-ES"/>
              </w:rPr>
              <w:t> </w:t>
            </w:r>
            <w:r w:rsidRPr="00FE4D65">
              <w:rPr>
                <w:b/>
                <w:bCs/>
                <w:lang w:val="es-ES"/>
              </w:rPr>
              <w:t>617</w:t>
            </w:r>
          </w:p>
        </w:tc>
        <w:tc>
          <w:tcPr>
            <w:tcW w:w="1202" w:type="dxa"/>
          </w:tcPr>
          <w:p w14:paraId="1EE39857" w14:textId="14277497"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849</w:t>
            </w:r>
            <w:r w:rsidR="00422299">
              <w:rPr>
                <w:b/>
                <w:bCs/>
                <w:lang w:val="es-ES"/>
              </w:rPr>
              <w:t> </w:t>
            </w:r>
            <w:r w:rsidRPr="00FE4D65">
              <w:rPr>
                <w:b/>
                <w:bCs/>
                <w:lang w:val="es-ES"/>
              </w:rPr>
              <w:t>007</w:t>
            </w:r>
          </w:p>
        </w:tc>
        <w:tc>
          <w:tcPr>
            <w:tcW w:w="1074" w:type="dxa"/>
          </w:tcPr>
          <w:p w14:paraId="1C580604" w14:textId="58A2181E"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565</w:t>
            </w:r>
            <w:r w:rsidR="00422299">
              <w:rPr>
                <w:b/>
                <w:bCs/>
                <w:lang w:val="es-ES"/>
              </w:rPr>
              <w:t> </w:t>
            </w:r>
            <w:r w:rsidRPr="00FE4D65">
              <w:rPr>
                <w:b/>
                <w:bCs/>
                <w:lang w:val="es-ES"/>
              </w:rPr>
              <w:t>951</w:t>
            </w:r>
          </w:p>
        </w:tc>
        <w:tc>
          <w:tcPr>
            <w:tcW w:w="1074" w:type="dxa"/>
          </w:tcPr>
          <w:p w14:paraId="77EB9B12" w14:textId="24241957" w:rsidR="00FE4D65" w:rsidRPr="00FE4D65" w:rsidRDefault="00FE4D65" w:rsidP="003E0C9F">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1</w:t>
            </w:r>
            <w:r w:rsidR="00422299">
              <w:rPr>
                <w:b/>
                <w:bCs/>
                <w:lang w:val="es-ES"/>
              </w:rPr>
              <w:t> </w:t>
            </w:r>
            <w:r w:rsidRPr="00FE4D65">
              <w:rPr>
                <w:b/>
                <w:bCs/>
                <w:lang w:val="es-ES"/>
              </w:rPr>
              <w:t>777</w:t>
            </w:r>
            <w:r w:rsidR="00422299">
              <w:rPr>
                <w:b/>
                <w:bCs/>
                <w:lang w:val="es-ES"/>
              </w:rPr>
              <w:t> </w:t>
            </w:r>
            <w:r w:rsidRPr="00FE4D65">
              <w:rPr>
                <w:b/>
                <w:bCs/>
                <w:lang w:val="es-ES"/>
              </w:rPr>
              <w:t>998</w:t>
            </w:r>
          </w:p>
        </w:tc>
        <w:tc>
          <w:tcPr>
            <w:tcW w:w="1183" w:type="dxa"/>
          </w:tcPr>
          <w:p w14:paraId="24A8F6A7" w14:textId="019D66CB" w:rsidR="00FE4D65" w:rsidRPr="00FE4D65" w:rsidRDefault="00FE4D65" w:rsidP="003E0C9F">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FE4D65">
              <w:rPr>
                <w:b/>
                <w:bCs/>
                <w:lang w:val="es-ES"/>
              </w:rPr>
              <w:t>6</w:t>
            </w:r>
            <w:r w:rsidR="00422299">
              <w:rPr>
                <w:b/>
                <w:bCs/>
                <w:lang w:val="es-ES"/>
              </w:rPr>
              <w:t> </w:t>
            </w:r>
            <w:r w:rsidRPr="00FE4D65">
              <w:rPr>
                <w:b/>
                <w:bCs/>
                <w:lang w:val="es-ES"/>
              </w:rPr>
              <w:t>928</w:t>
            </w:r>
            <w:r w:rsidR="00422299">
              <w:rPr>
                <w:b/>
                <w:bCs/>
                <w:lang w:val="es-ES"/>
              </w:rPr>
              <w:t> </w:t>
            </w:r>
            <w:r w:rsidRPr="00FE4D65">
              <w:rPr>
                <w:b/>
                <w:bCs/>
                <w:lang w:val="es-ES"/>
              </w:rPr>
              <w:t>573</w:t>
            </w:r>
          </w:p>
        </w:tc>
        <w:tc>
          <w:tcPr>
            <w:tcW w:w="1154" w:type="dxa"/>
          </w:tcPr>
          <w:p w14:paraId="010B3AEA" w14:textId="0918F34E" w:rsidR="00FE4D65" w:rsidRPr="00FE4D65" w:rsidRDefault="00FE4D65" w:rsidP="00422299">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100</w:t>
            </w:r>
            <w:r w:rsidR="00D30F81">
              <w:rPr>
                <w:lang w:val="es-ES"/>
              </w:rPr>
              <w:t>%</w:t>
            </w:r>
          </w:p>
        </w:tc>
      </w:tr>
    </w:tbl>
    <w:p w14:paraId="231205E9" w14:textId="78B9C982" w:rsidR="00FE4D65" w:rsidRPr="00FE4D65" w:rsidRDefault="00FE4D65" w:rsidP="002F4844">
      <w:pPr>
        <w:pStyle w:val="Heading4"/>
        <w:rPr>
          <w:lang w:val="es-ES"/>
        </w:rPr>
      </w:pPr>
      <w:r w:rsidRPr="00FE4D65">
        <w:rPr>
          <w:lang w:val="es-ES"/>
        </w:rPr>
        <w:t>8.1.4.3</w:t>
      </w:r>
      <w:r w:rsidRPr="00FE4D65">
        <w:rPr>
          <w:lang w:val="es-ES"/>
        </w:rPr>
        <w:tab/>
        <w:t>Informes UIT-R</w:t>
      </w:r>
      <w:bookmarkStart w:id="253" w:name="lt_pId891"/>
      <w:bookmarkEnd w:id="253"/>
    </w:p>
    <w:p w14:paraId="05797F4F" w14:textId="7EA8C600" w:rsidR="00FE4D65" w:rsidRPr="00FE4D65" w:rsidRDefault="00FE4D65" w:rsidP="00FE4D65">
      <w:pPr>
        <w:rPr>
          <w:lang w:val="es-ES"/>
        </w:rPr>
      </w:pPr>
      <w:bookmarkStart w:id="254" w:name="lt_pId892"/>
      <w:r w:rsidRPr="00FE4D65">
        <w:rPr>
          <w:lang w:val="es-ES"/>
        </w:rPr>
        <w:t>Al igual que en el caso de las Recomendaciones UIT-R, los Informes UIT-R se han difundido a escala mundial, alcanzando a casi todas las audiencias y contribuyendo a las buenas prácticas técnicas en determinados aspectos de las radiocomunicaciones. De enero de 2020 a diciembre de</w:t>
      </w:r>
      <w:r w:rsidR="00FB379C">
        <w:rPr>
          <w:lang w:val="es-ES"/>
        </w:rPr>
        <w:t> </w:t>
      </w:r>
      <w:r w:rsidRPr="00FE4D65">
        <w:rPr>
          <w:lang w:val="es-ES"/>
        </w:rPr>
        <w:t>2023 se registraron más de un millón de descargas de Informes UIT-R desde el sitio web de la</w:t>
      </w:r>
      <w:r w:rsidR="003E0C9F">
        <w:rPr>
          <w:lang w:val="es-ES"/>
        </w:rPr>
        <w:t> </w:t>
      </w:r>
      <w:r w:rsidRPr="00FE4D65">
        <w:rPr>
          <w:lang w:val="es-ES"/>
        </w:rPr>
        <w:t>UIT. En el Cuadro</w:t>
      </w:r>
      <w:r w:rsidR="003E0C9F">
        <w:rPr>
          <w:lang w:val="es-ES"/>
        </w:rPr>
        <w:t> </w:t>
      </w:r>
      <w:r w:rsidRPr="00FE4D65">
        <w:rPr>
          <w:lang w:val="es-ES"/>
        </w:rPr>
        <w:t>8.1.4.3-1 se resume su distribución por año y serie. Actualmente, existen 632</w:t>
      </w:r>
      <w:r w:rsidR="00FB379C">
        <w:rPr>
          <w:lang w:val="es-ES"/>
        </w:rPr>
        <w:t> </w:t>
      </w:r>
      <w:r w:rsidRPr="00FE4D65">
        <w:rPr>
          <w:lang w:val="es-ES"/>
        </w:rPr>
        <w:t>Informes UIT-R en vigor.</w:t>
      </w:r>
      <w:bookmarkStart w:id="255" w:name="lt_pId893"/>
      <w:bookmarkStart w:id="256" w:name="lt_pId894"/>
      <w:bookmarkStart w:id="257" w:name="lt_pId895"/>
      <w:bookmarkEnd w:id="254"/>
      <w:bookmarkEnd w:id="255"/>
      <w:bookmarkEnd w:id="256"/>
      <w:bookmarkEnd w:id="257"/>
    </w:p>
    <w:p w14:paraId="26113847" w14:textId="77777777" w:rsidR="003E0C9F" w:rsidRDefault="00FE4D65" w:rsidP="003E0C9F">
      <w:pPr>
        <w:pStyle w:val="TableNoBR"/>
        <w:rPr>
          <w:lang w:val="es-ES"/>
        </w:rPr>
      </w:pPr>
      <w:bookmarkStart w:id="258" w:name="lt_pId896"/>
      <w:r w:rsidRPr="003E0C9F">
        <w:rPr>
          <w:lang w:val="es-ES"/>
        </w:rPr>
        <w:lastRenderedPageBreak/>
        <w:t>Cuadro 8.1.4.3-1</w:t>
      </w:r>
      <w:bookmarkStart w:id="259" w:name="lt_pId897"/>
      <w:bookmarkEnd w:id="258"/>
    </w:p>
    <w:p w14:paraId="234D4B01" w14:textId="7B452108" w:rsidR="00FE4D65" w:rsidRPr="00FE4D65" w:rsidRDefault="00FE4D65" w:rsidP="003E0C9F">
      <w:pPr>
        <w:pStyle w:val="TabletitleBR"/>
        <w:rPr>
          <w:lang w:val="es-ES"/>
        </w:rPr>
      </w:pPr>
      <w:r w:rsidRPr="00FE4D65">
        <w:rPr>
          <w:lang w:val="es-ES"/>
        </w:rPr>
        <w:t>Distribución de Informes UIT-R (descargas)</w:t>
      </w:r>
      <w:bookmarkEnd w:id="259"/>
    </w:p>
    <w:tbl>
      <w:tblPr>
        <w:tblStyle w:val="GridTable5Dark-Accent1"/>
        <w:tblW w:w="5000" w:type="pct"/>
        <w:jc w:val="center"/>
        <w:tblLayout w:type="fixed"/>
        <w:tblLook w:val="04A0" w:firstRow="1" w:lastRow="0" w:firstColumn="1" w:lastColumn="0" w:noHBand="0" w:noVBand="1"/>
      </w:tblPr>
      <w:tblGrid>
        <w:gridCol w:w="1555"/>
        <w:gridCol w:w="991"/>
        <w:gridCol w:w="1277"/>
        <w:gridCol w:w="1276"/>
        <w:gridCol w:w="1277"/>
        <w:gridCol w:w="1277"/>
        <w:gridCol w:w="1976"/>
      </w:tblGrid>
      <w:tr w:rsidR="00FE4D65" w:rsidRPr="00CB0580" w14:paraId="2ED5DC5D" w14:textId="77777777" w:rsidTr="00FB37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tcPr>
          <w:p w14:paraId="674337B5" w14:textId="77777777" w:rsidR="00FE4D65" w:rsidRPr="00CB0580" w:rsidRDefault="00FE4D65" w:rsidP="00CB0580">
            <w:pPr>
              <w:pStyle w:val="Tablehead"/>
            </w:pPr>
            <w:bookmarkStart w:id="260" w:name="lt_pId898"/>
            <w:r w:rsidRPr="00CB0580">
              <w:t>SERIE</w:t>
            </w:r>
            <w:bookmarkEnd w:id="260"/>
          </w:p>
        </w:tc>
        <w:tc>
          <w:tcPr>
            <w:tcW w:w="992" w:type="dxa"/>
            <w:noWrap/>
            <w:vAlign w:val="bottom"/>
          </w:tcPr>
          <w:p w14:paraId="18BD0C7F"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r w:rsidRPr="00CB0580">
              <w:t>2020</w:t>
            </w:r>
          </w:p>
        </w:tc>
        <w:tc>
          <w:tcPr>
            <w:tcW w:w="1276" w:type="dxa"/>
            <w:noWrap/>
            <w:vAlign w:val="bottom"/>
          </w:tcPr>
          <w:p w14:paraId="279533A3"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r w:rsidRPr="00CB0580">
              <w:t>2021</w:t>
            </w:r>
          </w:p>
        </w:tc>
        <w:tc>
          <w:tcPr>
            <w:tcW w:w="1275" w:type="dxa"/>
            <w:vAlign w:val="bottom"/>
          </w:tcPr>
          <w:p w14:paraId="21EAC357"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r w:rsidRPr="00CB0580">
              <w:t>2022</w:t>
            </w:r>
          </w:p>
        </w:tc>
        <w:tc>
          <w:tcPr>
            <w:tcW w:w="1276" w:type="dxa"/>
            <w:vAlign w:val="bottom"/>
          </w:tcPr>
          <w:p w14:paraId="4654B340"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r w:rsidRPr="00CB0580">
              <w:t>2023</w:t>
            </w:r>
          </w:p>
        </w:tc>
        <w:tc>
          <w:tcPr>
            <w:tcW w:w="1276" w:type="dxa"/>
            <w:noWrap/>
            <w:vAlign w:val="bottom"/>
          </w:tcPr>
          <w:p w14:paraId="3A6D8580"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bookmarkStart w:id="261" w:name="lt_pId903"/>
            <w:r w:rsidRPr="00CB0580">
              <w:t>TOTAL</w:t>
            </w:r>
            <w:bookmarkEnd w:id="261"/>
          </w:p>
        </w:tc>
        <w:tc>
          <w:tcPr>
            <w:tcW w:w="1975" w:type="dxa"/>
            <w:vAlign w:val="bottom"/>
          </w:tcPr>
          <w:p w14:paraId="16A764E1" w14:textId="77777777" w:rsidR="00FE4D65" w:rsidRPr="00CB0580" w:rsidRDefault="00FE4D65" w:rsidP="00CB0580">
            <w:pPr>
              <w:pStyle w:val="Tablehead"/>
              <w:cnfStyle w:val="100000000000" w:firstRow="1" w:lastRow="0" w:firstColumn="0" w:lastColumn="0" w:oddVBand="0" w:evenVBand="0" w:oddHBand="0" w:evenHBand="0" w:firstRowFirstColumn="0" w:firstRowLastColumn="0" w:lastRowFirstColumn="0" w:lastRowLastColumn="0"/>
              <w:rPr>
                <w:rFonts w:eastAsia="Calibri"/>
              </w:rPr>
            </w:pPr>
            <w:r w:rsidRPr="00CB0580">
              <w:t>%</w:t>
            </w:r>
          </w:p>
        </w:tc>
      </w:tr>
      <w:tr w:rsidR="00FE4D65" w:rsidRPr="00FE4D65" w14:paraId="64169D5E"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5D73A058" w14:textId="77777777" w:rsidR="00FE4D65" w:rsidRPr="00CB0580" w:rsidRDefault="00FE4D65" w:rsidP="00CB0580">
            <w:pPr>
              <w:pStyle w:val="Tabletext"/>
              <w:keepNext/>
              <w:keepLines/>
              <w:jc w:val="center"/>
            </w:pPr>
            <w:bookmarkStart w:id="262" w:name="lt_pId905"/>
            <w:r w:rsidRPr="00CB0580">
              <w:t>SM</w:t>
            </w:r>
            <w:bookmarkEnd w:id="262"/>
          </w:p>
        </w:tc>
        <w:tc>
          <w:tcPr>
            <w:tcW w:w="992" w:type="dxa"/>
            <w:noWrap/>
            <w:vAlign w:val="bottom"/>
          </w:tcPr>
          <w:p w14:paraId="37DB3187" w14:textId="14BFD77E"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101</w:t>
            </w:r>
            <w:r w:rsidR="00CB0580">
              <w:rPr>
                <w:lang w:val="es-ES"/>
              </w:rPr>
              <w:t> </w:t>
            </w:r>
            <w:r w:rsidRPr="00FE4D65">
              <w:rPr>
                <w:lang w:val="es-ES"/>
              </w:rPr>
              <w:t>965</w:t>
            </w:r>
          </w:p>
        </w:tc>
        <w:tc>
          <w:tcPr>
            <w:tcW w:w="1276" w:type="dxa"/>
            <w:noWrap/>
            <w:vAlign w:val="bottom"/>
          </w:tcPr>
          <w:p w14:paraId="6F07CE8C" w14:textId="547BF150"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149</w:t>
            </w:r>
            <w:r w:rsidR="00CB0580">
              <w:rPr>
                <w:lang w:val="es-ES"/>
              </w:rPr>
              <w:t> </w:t>
            </w:r>
            <w:r w:rsidRPr="00FE4D65">
              <w:rPr>
                <w:lang w:val="es-ES"/>
              </w:rPr>
              <w:t>392</w:t>
            </w:r>
          </w:p>
        </w:tc>
        <w:tc>
          <w:tcPr>
            <w:tcW w:w="1275" w:type="dxa"/>
            <w:vAlign w:val="bottom"/>
          </w:tcPr>
          <w:p w14:paraId="198BCE24" w14:textId="4C01FAE1"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105</w:t>
            </w:r>
            <w:r w:rsidR="00CB0580">
              <w:rPr>
                <w:lang w:val="es-ES"/>
              </w:rPr>
              <w:t> </w:t>
            </w:r>
            <w:r w:rsidRPr="00FE4D65">
              <w:rPr>
                <w:lang w:val="es-ES"/>
              </w:rPr>
              <w:t>880</w:t>
            </w:r>
          </w:p>
        </w:tc>
        <w:tc>
          <w:tcPr>
            <w:tcW w:w="1276" w:type="dxa"/>
            <w:vAlign w:val="bottom"/>
          </w:tcPr>
          <w:p w14:paraId="23700988" w14:textId="4EAA8F17"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116</w:t>
            </w:r>
            <w:r w:rsidR="00CB0580">
              <w:rPr>
                <w:lang w:val="es-ES"/>
              </w:rPr>
              <w:t> </w:t>
            </w:r>
            <w:r w:rsidRPr="00FE4D65">
              <w:rPr>
                <w:lang w:val="es-ES"/>
              </w:rPr>
              <w:t>282</w:t>
            </w:r>
          </w:p>
        </w:tc>
        <w:tc>
          <w:tcPr>
            <w:tcW w:w="1276" w:type="dxa"/>
            <w:noWrap/>
            <w:vAlign w:val="bottom"/>
          </w:tcPr>
          <w:p w14:paraId="1C2A60B4" w14:textId="3D96DDE3"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473</w:t>
            </w:r>
            <w:r w:rsidR="00CB0580" w:rsidRPr="00CB0580">
              <w:rPr>
                <w:b/>
                <w:bCs/>
                <w:lang w:val="es-ES"/>
              </w:rPr>
              <w:t> </w:t>
            </w:r>
            <w:r w:rsidRPr="00CB0580">
              <w:rPr>
                <w:b/>
                <w:bCs/>
                <w:lang w:val="es-ES"/>
              </w:rPr>
              <w:t>519</w:t>
            </w:r>
          </w:p>
        </w:tc>
        <w:tc>
          <w:tcPr>
            <w:tcW w:w="1975" w:type="dxa"/>
            <w:vAlign w:val="bottom"/>
          </w:tcPr>
          <w:p w14:paraId="20CC9902"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29,08</w:t>
            </w:r>
          </w:p>
        </w:tc>
      </w:tr>
      <w:tr w:rsidR="00FE4D65" w:rsidRPr="00FE4D65" w14:paraId="78C45216"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52A00F77" w14:textId="77777777" w:rsidR="00FE4D65" w:rsidRPr="00CB0580" w:rsidRDefault="00FE4D65" w:rsidP="00CB0580">
            <w:pPr>
              <w:pStyle w:val="Tabletext"/>
              <w:keepNext/>
              <w:keepLines/>
              <w:jc w:val="center"/>
            </w:pPr>
            <w:bookmarkStart w:id="263" w:name="lt_pId912"/>
            <w:r w:rsidRPr="00CB0580">
              <w:t>M</w:t>
            </w:r>
            <w:bookmarkEnd w:id="263"/>
          </w:p>
        </w:tc>
        <w:tc>
          <w:tcPr>
            <w:tcW w:w="992" w:type="dxa"/>
            <w:noWrap/>
            <w:vAlign w:val="bottom"/>
          </w:tcPr>
          <w:p w14:paraId="617E2CC8" w14:textId="7C1F2C60"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105</w:t>
            </w:r>
            <w:r w:rsidR="00CB0580">
              <w:rPr>
                <w:lang w:val="es-ES"/>
              </w:rPr>
              <w:t> </w:t>
            </w:r>
            <w:r w:rsidRPr="00FE4D65">
              <w:rPr>
                <w:lang w:val="es-ES"/>
              </w:rPr>
              <w:t>681</w:t>
            </w:r>
          </w:p>
        </w:tc>
        <w:tc>
          <w:tcPr>
            <w:tcW w:w="1276" w:type="dxa"/>
            <w:noWrap/>
            <w:vAlign w:val="bottom"/>
          </w:tcPr>
          <w:p w14:paraId="4088EBB8" w14:textId="68CD25A2"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118</w:t>
            </w:r>
            <w:r w:rsidR="00CB0580">
              <w:rPr>
                <w:lang w:val="es-ES"/>
              </w:rPr>
              <w:t> </w:t>
            </w:r>
            <w:r w:rsidRPr="00FE4D65">
              <w:rPr>
                <w:lang w:val="es-ES"/>
              </w:rPr>
              <w:t>785</w:t>
            </w:r>
          </w:p>
        </w:tc>
        <w:tc>
          <w:tcPr>
            <w:tcW w:w="1275" w:type="dxa"/>
            <w:vAlign w:val="bottom"/>
          </w:tcPr>
          <w:p w14:paraId="5FC7BD5F" w14:textId="0BDB8BA7"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102</w:t>
            </w:r>
            <w:r w:rsidR="00CB0580">
              <w:rPr>
                <w:lang w:val="es-ES"/>
              </w:rPr>
              <w:t> </w:t>
            </w:r>
            <w:r w:rsidRPr="00FE4D65">
              <w:rPr>
                <w:lang w:val="es-ES"/>
              </w:rPr>
              <w:t>742</w:t>
            </w:r>
          </w:p>
        </w:tc>
        <w:tc>
          <w:tcPr>
            <w:tcW w:w="1276" w:type="dxa"/>
            <w:vAlign w:val="bottom"/>
          </w:tcPr>
          <w:p w14:paraId="0CB8C2F3" w14:textId="150DEB68"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121</w:t>
            </w:r>
            <w:r w:rsidR="00CB0580">
              <w:rPr>
                <w:lang w:val="es-ES"/>
              </w:rPr>
              <w:t> </w:t>
            </w:r>
            <w:r w:rsidRPr="00FE4D65">
              <w:rPr>
                <w:lang w:val="es-ES"/>
              </w:rPr>
              <w:t>622</w:t>
            </w:r>
          </w:p>
        </w:tc>
        <w:tc>
          <w:tcPr>
            <w:tcW w:w="1276" w:type="dxa"/>
            <w:noWrap/>
            <w:vAlign w:val="bottom"/>
          </w:tcPr>
          <w:p w14:paraId="271BAB29" w14:textId="0D4E56D1"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448</w:t>
            </w:r>
            <w:r w:rsidR="00CB0580" w:rsidRPr="00CB0580">
              <w:rPr>
                <w:b/>
                <w:bCs/>
                <w:lang w:val="es-ES"/>
              </w:rPr>
              <w:t> </w:t>
            </w:r>
            <w:r w:rsidRPr="00CB0580">
              <w:rPr>
                <w:b/>
                <w:bCs/>
                <w:lang w:val="es-ES"/>
              </w:rPr>
              <w:t>830</w:t>
            </w:r>
          </w:p>
        </w:tc>
        <w:tc>
          <w:tcPr>
            <w:tcW w:w="1975" w:type="dxa"/>
            <w:vAlign w:val="bottom"/>
          </w:tcPr>
          <w:p w14:paraId="6B82174A"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27,57</w:t>
            </w:r>
          </w:p>
        </w:tc>
      </w:tr>
      <w:tr w:rsidR="00FE4D65" w:rsidRPr="00FE4D65" w14:paraId="4FC86FE9"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1E8E1EE3" w14:textId="77777777" w:rsidR="00FE4D65" w:rsidRPr="00CB0580" w:rsidRDefault="00FE4D65" w:rsidP="00CB0580">
            <w:pPr>
              <w:pStyle w:val="Tabletext"/>
              <w:keepNext/>
              <w:keepLines/>
              <w:jc w:val="center"/>
            </w:pPr>
            <w:bookmarkStart w:id="264" w:name="lt_pId919"/>
            <w:r w:rsidRPr="00CB0580">
              <w:t>BT</w:t>
            </w:r>
            <w:bookmarkEnd w:id="264"/>
          </w:p>
        </w:tc>
        <w:tc>
          <w:tcPr>
            <w:tcW w:w="992" w:type="dxa"/>
            <w:noWrap/>
            <w:vAlign w:val="bottom"/>
          </w:tcPr>
          <w:p w14:paraId="4D43BEE9" w14:textId="4E2F10AB"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59</w:t>
            </w:r>
            <w:r w:rsidR="00CB0580">
              <w:rPr>
                <w:lang w:val="es-ES"/>
              </w:rPr>
              <w:t> </w:t>
            </w:r>
            <w:r w:rsidRPr="00FE4D65">
              <w:rPr>
                <w:lang w:val="es-ES"/>
              </w:rPr>
              <w:t>805</w:t>
            </w:r>
          </w:p>
        </w:tc>
        <w:tc>
          <w:tcPr>
            <w:tcW w:w="1276" w:type="dxa"/>
            <w:noWrap/>
            <w:vAlign w:val="bottom"/>
          </w:tcPr>
          <w:p w14:paraId="3AFFBF52" w14:textId="04A29591"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75</w:t>
            </w:r>
            <w:r w:rsidR="00CB0580">
              <w:rPr>
                <w:lang w:val="es-ES"/>
              </w:rPr>
              <w:t> </w:t>
            </w:r>
            <w:r w:rsidRPr="00FE4D65">
              <w:rPr>
                <w:lang w:val="es-ES"/>
              </w:rPr>
              <w:t>168</w:t>
            </w:r>
          </w:p>
        </w:tc>
        <w:tc>
          <w:tcPr>
            <w:tcW w:w="1275" w:type="dxa"/>
            <w:vAlign w:val="bottom"/>
          </w:tcPr>
          <w:p w14:paraId="005B7BFE" w14:textId="291D833B"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76</w:t>
            </w:r>
            <w:r w:rsidR="00CB0580">
              <w:rPr>
                <w:lang w:val="es-ES"/>
              </w:rPr>
              <w:t> </w:t>
            </w:r>
            <w:r w:rsidRPr="00FE4D65">
              <w:rPr>
                <w:lang w:val="es-ES"/>
              </w:rPr>
              <w:t>421</w:t>
            </w:r>
          </w:p>
        </w:tc>
        <w:tc>
          <w:tcPr>
            <w:tcW w:w="1276" w:type="dxa"/>
            <w:vAlign w:val="bottom"/>
          </w:tcPr>
          <w:p w14:paraId="50B07286" w14:textId="2F769BBE"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83</w:t>
            </w:r>
            <w:r w:rsidR="00CB0580">
              <w:rPr>
                <w:lang w:val="es-ES"/>
              </w:rPr>
              <w:t> </w:t>
            </w:r>
            <w:r w:rsidRPr="00FE4D65">
              <w:rPr>
                <w:lang w:val="es-ES"/>
              </w:rPr>
              <w:t>612</w:t>
            </w:r>
          </w:p>
        </w:tc>
        <w:tc>
          <w:tcPr>
            <w:tcW w:w="1276" w:type="dxa"/>
            <w:noWrap/>
            <w:vAlign w:val="bottom"/>
          </w:tcPr>
          <w:p w14:paraId="1C2661D0" w14:textId="72C0F024"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295</w:t>
            </w:r>
            <w:r w:rsidR="00CB0580" w:rsidRPr="00CB0580">
              <w:rPr>
                <w:b/>
                <w:bCs/>
                <w:lang w:val="es-ES"/>
              </w:rPr>
              <w:t> </w:t>
            </w:r>
            <w:r w:rsidRPr="00CB0580">
              <w:rPr>
                <w:b/>
                <w:bCs/>
                <w:lang w:val="es-ES"/>
              </w:rPr>
              <w:t>006</w:t>
            </w:r>
          </w:p>
        </w:tc>
        <w:tc>
          <w:tcPr>
            <w:tcW w:w="1975" w:type="dxa"/>
            <w:vAlign w:val="bottom"/>
          </w:tcPr>
          <w:p w14:paraId="07833658"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18,12</w:t>
            </w:r>
          </w:p>
        </w:tc>
      </w:tr>
      <w:tr w:rsidR="00FE4D65" w:rsidRPr="00FE4D65" w14:paraId="52145094"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577A2259" w14:textId="77777777" w:rsidR="00FE4D65" w:rsidRPr="00CB0580" w:rsidRDefault="00FE4D65" w:rsidP="00CB0580">
            <w:pPr>
              <w:pStyle w:val="Tabletext"/>
              <w:keepNext/>
              <w:keepLines/>
              <w:jc w:val="center"/>
            </w:pPr>
            <w:bookmarkStart w:id="265" w:name="lt_pId926"/>
            <w:r w:rsidRPr="00CB0580">
              <w:t>BS</w:t>
            </w:r>
            <w:bookmarkEnd w:id="265"/>
          </w:p>
        </w:tc>
        <w:tc>
          <w:tcPr>
            <w:tcW w:w="992" w:type="dxa"/>
            <w:noWrap/>
            <w:vAlign w:val="bottom"/>
          </w:tcPr>
          <w:p w14:paraId="03848EF8" w14:textId="406C4DF6"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28</w:t>
            </w:r>
            <w:r w:rsidR="00CB0580">
              <w:rPr>
                <w:lang w:val="es-ES"/>
              </w:rPr>
              <w:t> </w:t>
            </w:r>
            <w:r w:rsidRPr="00FE4D65">
              <w:rPr>
                <w:lang w:val="es-ES"/>
              </w:rPr>
              <w:t>707</w:t>
            </w:r>
          </w:p>
        </w:tc>
        <w:tc>
          <w:tcPr>
            <w:tcW w:w="1276" w:type="dxa"/>
            <w:noWrap/>
            <w:vAlign w:val="bottom"/>
          </w:tcPr>
          <w:p w14:paraId="0F6D8362" w14:textId="0B196E5F"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35</w:t>
            </w:r>
            <w:r w:rsidR="00CB0580">
              <w:rPr>
                <w:lang w:val="es-ES"/>
              </w:rPr>
              <w:t> </w:t>
            </w:r>
            <w:r w:rsidRPr="00FE4D65">
              <w:rPr>
                <w:lang w:val="es-ES"/>
              </w:rPr>
              <w:t>392</w:t>
            </w:r>
          </w:p>
        </w:tc>
        <w:tc>
          <w:tcPr>
            <w:tcW w:w="1275" w:type="dxa"/>
            <w:vAlign w:val="bottom"/>
          </w:tcPr>
          <w:p w14:paraId="7755FE6C" w14:textId="79703312"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30</w:t>
            </w:r>
            <w:r w:rsidR="00CB0580">
              <w:rPr>
                <w:lang w:val="es-ES"/>
              </w:rPr>
              <w:t> </w:t>
            </w:r>
            <w:r w:rsidRPr="00FE4D65">
              <w:rPr>
                <w:lang w:val="es-ES"/>
              </w:rPr>
              <w:t>002</w:t>
            </w:r>
          </w:p>
        </w:tc>
        <w:tc>
          <w:tcPr>
            <w:tcW w:w="1276" w:type="dxa"/>
            <w:vAlign w:val="bottom"/>
          </w:tcPr>
          <w:p w14:paraId="390E5B70" w14:textId="40CAF70F"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31</w:t>
            </w:r>
            <w:r w:rsidR="00CB0580">
              <w:rPr>
                <w:lang w:val="es-ES"/>
              </w:rPr>
              <w:t> </w:t>
            </w:r>
            <w:r w:rsidRPr="00FE4D65">
              <w:rPr>
                <w:lang w:val="es-ES"/>
              </w:rPr>
              <w:t>013</w:t>
            </w:r>
          </w:p>
        </w:tc>
        <w:tc>
          <w:tcPr>
            <w:tcW w:w="1276" w:type="dxa"/>
            <w:noWrap/>
            <w:vAlign w:val="bottom"/>
          </w:tcPr>
          <w:p w14:paraId="76D6A83B" w14:textId="4642BEF9"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125</w:t>
            </w:r>
            <w:r w:rsidR="00CB0580" w:rsidRPr="00CB0580">
              <w:rPr>
                <w:b/>
                <w:bCs/>
                <w:lang w:val="es-ES"/>
              </w:rPr>
              <w:t> </w:t>
            </w:r>
            <w:r w:rsidRPr="00CB0580">
              <w:rPr>
                <w:b/>
                <w:bCs/>
                <w:lang w:val="es-ES"/>
              </w:rPr>
              <w:t>114</w:t>
            </w:r>
          </w:p>
        </w:tc>
        <w:tc>
          <w:tcPr>
            <w:tcW w:w="1975" w:type="dxa"/>
            <w:vAlign w:val="bottom"/>
          </w:tcPr>
          <w:p w14:paraId="2400E9C1"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7,68</w:t>
            </w:r>
          </w:p>
        </w:tc>
      </w:tr>
      <w:tr w:rsidR="00FE4D65" w:rsidRPr="00FE4D65" w14:paraId="38E49BD7"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706411D5" w14:textId="77777777" w:rsidR="00FE4D65" w:rsidRPr="00CB0580" w:rsidRDefault="00FE4D65" w:rsidP="00CB0580">
            <w:pPr>
              <w:pStyle w:val="Tabletext"/>
              <w:keepNext/>
              <w:keepLines/>
              <w:jc w:val="center"/>
            </w:pPr>
            <w:bookmarkStart w:id="266" w:name="lt_pId933"/>
            <w:r w:rsidRPr="00CB0580">
              <w:t>BO</w:t>
            </w:r>
            <w:bookmarkEnd w:id="266"/>
          </w:p>
        </w:tc>
        <w:tc>
          <w:tcPr>
            <w:tcW w:w="992" w:type="dxa"/>
            <w:noWrap/>
            <w:vAlign w:val="bottom"/>
          </w:tcPr>
          <w:p w14:paraId="4A0D10F0" w14:textId="59D976CE"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14</w:t>
            </w:r>
            <w:r w:rsidR="00CB0580">
              <w:rPr>
                <w:lang w:val="es-ES"/>
              </w:rPr>
              <w:t> </w:t>
            </w:r>
            <w:r w:rsidRPr="00FE4D65">
              <w:rPr>
                <w:lang w:val="es-ES"/>
              </w:rPr>
              <w:t>003</w:t>
            </w:r>
          </w:p>
        </w:tc>
        <w:tc>
          <w:tcPr>
            <w:tcW w:w="1276" w:type="dxa"/>
            <w:noWrap/>
            <w:vAlign w:val="bottom"/>
          </w:tcPr>
          <w:p w14:paraId="724FAB10" w14:textId="3FB9BF5B"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w:t>
            </w:r>
            <w:r w:rsidR="00CB0580">
              <w:rPr>
                <w:lang w:val="es-ES"/>
              </w:rPr>
              <w:t> </w:t>
            </w:r>
            <w:r w:rsidRPr="00FE4D65">
              <w:rPr>
                <w:lang w:val="es-ES"/>
              </w:rPr>
              <w:t>812</w:t>
            </w:r>
          </w:p>
        </w:tc>
        <w:tc>
          <w:tcPr>
            <w:tcW w:w="1275" w:type="dxa"/>
            <w:vAlign w:val="bottom"/>
          </w:tcPr>
          <w:p w14:paraId="756289E2" w14:textId="7CE323FA"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w:t>
            </w:r>
            <w:r w:rsidR="00CB0580">
              <w:rPr>
                <w:lang w:val="es-ES"/>
              </w:rPr>
              <w:t> </w:t>
            </w:r>
            <w:r w:rsidRPr="00FE4D65">
              <w:rPr>
                <w:lang w:val="es-ES"/>
              </w:rPr>
              <w:t>721</w:t>
            </w:r>
          </w:p>
        </w:tc>
        <w:tc>
          <w:tcPr>
            <w:tcW w:w="1276" w:type="dxa"/>
            <w:vAlign w:val="bottom"/>
          </w:tcPr>
          <w:p w14:paraId="605093B8" w14:textId="30F600D8"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w:t>
            </w:r>
            <w:r w:rsidR="00CB0580">
              <w:rPr>
                <w:lang w:val="es-ES"/>
              </w:rPr>
              <w:t> </w:t>
            </w:r>
            <w:r w:rsidRPr="00FE4D65">
              <w:rPr>
                <w:lang w:val="es-ES"/>
              </w:rPr>
              <w:t>993</w:t>
            </w:r>
          </w:p>
        </w:tc>
        <w:tc>
          <w:tcPr>
            <w:tcW w:w="1276" w:type="dxa"/>
            <w:noWrap/>
            <w:vAlign w:val="bottom"/>
          </w:tcPr>
          <w:p w14:paraId="0E3FD3FC" w14:textId="2099AC87"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64</w:t>
            </w:r>
            <w:r w:rsidR="00CB0580" w:rsidRPr="00CB0580">
              <w:rPr>
                <w:b/>
                <w:bCs/>
                <w:lang w:val="es-ES"/>
              </w:rPr>
              <w:t> </w:t>
            </w:r>
            <w:r w:rsidRPr="00CB0580">
              <w:rPr>
                <w:b/>
                <w:bCs/>
                <w:lang w:val="es-ES"/>
              </w:rPr>
              <w:t>529</w:t>
            </w:r>
          </w:p>
        </w:tc>
        <w:tc>
          <w:tcPr>
            <w:tcW w:w="1975" w:type="dxa"/>
            <w:vAlign w:val="bottom"/>
          </w:tcPr>
          <w:p w14:paraId="41B431BB"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3,96</w:t>
            </w:r>
          </w:p>
        </w:tc>
      </w:tr>
      <w:tr w:rsidR="00FE4D65" w:rsidRPr="00FE4D65" w14:paraId="30759EA4"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353B56D5" w14:textId="77777777" w:rsidR="00FE4D65" w:rsidRPr="00CB0580" w:rsidRDefault="00FE4D65" w:rsidP="00CB0580">
            <w:pPr>
              <w:pStyle w:val="Tabletext"/>
              <w:jc w:val="center"/>
            </w:pPr>
            <w:bookmarkStart w:id="267" w:name="lt_pId940"/>
            <w:r w:rsidRPr="00CB0580">
              <w:t>P</w:t>
            </w:r>
            <w:bookmarkEnd w:id="267"/>
          </w:p>
        </w:tc>
        <w:tc>
          <w:tcPr>
            <w:tcW w:w="992" w:type="dxa"/>
            <w:noWrap/>
            <w:vAlign w:val="bottom"/>
          </w:tcPr>
          <w:p w14:paraId="407EE70C" w14:textId="1A6AAE8E"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14</w:t>
            </w:r>
            <w:r w:rsidR="00CB0580">
              <w:rPr>
                <w:lang w:val="es-ES"/>
              </w:rPr>
              <w:t> </w:t>
            </w:r>
            <w:r w:rsidRPr="00FE4D65">
              <w:rPr>
                <w:lang w:val="es-ES"/>
              </w:rPr>
              <w:t>785</w:t>
            </w:r>
          </w:p>
        </w:tc>
        <w:tc>
          <w:tcPr>
            <w:tcW w:w="1276" w:type="dxa"/>
            <w:noWrap/>
            <w:vAlign w:val="bottom"/>
          </w:tcPr>
          <w:p w14:paraId="5F727DA4" w14:textId="1A957755"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18</w:t>
            </w:r>
            <w:r w:rsidR="00CB0580">
              <w:rPr>
                <w:lang w:val="es-ES"/>
              </w:rPr>
              <w:t> </w:t>
            </w:r>
            <w:r w:rsidRPr="00FE4D65">
              <w:rPr>
                <w:lang w:val="es-ES"/>
              </w:rPr>
              <w:t>142</w:t>
            </w:r>
          </w:p>
        </w:tc>
        <w:tc>
          <w:tcPr>
            <w:tcW w:w="1275" w:type="dxa"/>
            <w:vAlign w:val="bottom"/>
          </w:tcPr>
          <w:p w14:paraId="464AE4F4" w14:textId="57A77D93"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15</w:t>
            </w:r>
            <w:r w:rsidR="00CB0580">
              <w:rPr>
                <w:lang w:val="es-ES"/>
              </w:rPr>
              <w:t> </w:t>
            </w:r>
            <w:r w:rsidRPr="00FE4D65">
              <w:rPr>
                <w:lang w:val="es-ES"/>
              </w:rPr>
              <w:t>647</w:t>
            </w:r>
          </w:p>
        </w:tc>
        <w:tc>
          <w:tcPr>
            <w:tcW w:w="1276" w:type="dxa"/>
            <w:vAlign w:val="bottom"/>
          </w:tcPr>
          <w:p w14:paraId="423E3F74" w14:textId="6867C522"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15</w:t>
            </w:r>
            <w:r w:rsidR="00CB0580">
              <w:rPr>
                <w:lang w:val="es-ES"/>
              </w:rPr>
              <w:t> </w:t>
            </w:r>
            <w:r w:rsidRPr="00FE4D65">
              <w:rPr>
                <w:lang w:val="es-ES"/>
              </w:rPr>
              <w:t>536</w:t>
            </w:r>
          </w:p>
        </w:tc>
        <w:tc>
          <w:tcPr>
            <w:tcW w:w="1276" w:type="dxa"/>
            <w:noWrap/>
            <w:vAlign w:val="bottom"/>
          </w:tcPr>
          <w:p w14:paraId="691524AC" w14:textId="3A1501BB"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64</w:t>
            </w:r>
            <w:r w:rsidR="00CB0580" w:rsidRPr="00CB0580">
              <w:rPr>
                <w:b/>
                <w:bCs/>
                <w:lang w:val="es-ES"/>
              </w:rPr>
              <w:t> </w:t>
            </w:r>
            <w:r w:rsidRPr="00CB0580">
              <w:rPr>
                <w:b/>
                <w:bCs/>
                <w:lang w:val="es-ES"/>
              </w:rPr>
              <w:t>110</w:t>
            </w:r>
          </w:p>
        </w:tc>
        <w:tc>
          <w:tcPr>
            <w:tcW w:w="1975" w:type="dxa"/>
            <w:vAlign w:val="bottom"/>
          </w:tcPr>
          <w:p w14:paraId="6B2CCB06"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3,94</w:t>
            </w:r>
          </w:p>
        </w:tc>
      </w:tr>
      <w:tr w:rsidR="00FE4D65" w:rsidRPr="00FE4D65" w14:paraId="430B5A2D"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2B53BDFD" w14:textId="77777777" w:rsidR="00FE4D65" w:rsidRPr="00CB0580" w:rsidRDefault="00FE4D65" w:rsidP="00CB0580">
            <w:pPr>
              <w:pStyle w:val="Tabletext"/>
              <w:jc w:val="center"/>
            </w:pPr>
            <w:bookmarkStart w:id="268" w:name="lt_pId947"/>
            <w:r w:rsidRPr="00CB0580">
              <w:t>F</w:t>
            </w:r>
            <w:bookmarkEnd w:id="268"/>
          </w:p>
        </w:tc>
        <w:tc>
          <w:tcPr>
            <w:tcW w:w="992" w:type="dxa"/>
            <w:noWrap/>
            <w:vAlign w:val="bottom"/>
          </w:tcPr>
          <w:p w14:paraId="46AC6688" w14:textId="561B2AE0"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12</w:t>
            </w:r>
            <w:r w:rsidR="00CB0580">
              <w:rPr>
                <w:lang w:val="es-ES"/>
              </w:rPr>
              <w:t> </w:t>
            </w:r>
            <w:r w:rsidRPr="00FE4D65">
              <w:rPr>
                <w:lang w:val="es-ES"/>
              </w:rPr>
              <w:t>411</w:t>
            </w:r>
          </w:p>
        </w:tc>
        <w:tc>
          <w:tcPr>
            <w:tcW w:w="1276" w:type="dxa"/>
            <w:noWrap/>
            <w:vAlign w:val="bottom"/>
          </w:tcPr>
          <w:p w14:paraId="5EE63E28" w14:textId="2CDF3379"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15</w:t>
            </w:r>
            <w:r w:rsidR="00CB0580">
              <w:rPr>
                <w:lang w:val="es-ES"/>
              </w:rPr>
              <w:t> </w:t>
            </w:r>
            <w:r w:rsidRPr="00FE4D65">
              <w:rPr>
                <w:lang w:val="es-ES"/>
              </w:rPr>
              <w:t>138</w:t>
            </w:r>
          </w:p>
        </w:tc>
        <w:tc>
          <w:tcPr>
            <w:tcW w:w="1275" w:type="dxa"/>
            <w:vAlign w:val="bottom"/>
          </w:tcPr>
          <w:p w14:paraId="41EB5AB3" w14:textId="65056F40"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8</w:t>
            </w:r>
            <w:r w:rsidR="00CB0580">
              <w:rPr>
                <w:lang w:val="es-ES"/>
              </w:rPr>
              <w:t> </w:t>
            </w:r>
            <w:r w:rsidRPr="00FE4D65">
              <w:rPr>
                <w:lang w:val="es-ES"/>
              </w:rPr>
              <w:t>623</w:t>
            </w:r>
          </w:p>
        </w:tc>
        <w:tc>
          <w:tcPr>
            <w:tcW w:w="1276" w:type="dxa"/>
            <w:vAlign w:val="bottom"/>
          </w:tcPr>
          <w:p w14:paraId="7D035A84" w14:textId="27C0F505"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9</w:t>
            </w:r>
            <w:r w:rsidR="00CB0580">
              <w:rPr>
                <w:lang w:val="es-ES"/>
              </w:rPr>
              <w:t> </w:t>
            </w:r>
            <w:r w:rsidRPr="00FE4D65">
              <w:rPr>
                <w:lang w:val="es-ES"/>
              </w:rPr>
              <w:t>397</w:t>
            </w:r>
          </w:p>
        </w:tc>
        <w:tc>
          <w:tcPr>
            <w:tcW w:w="1276" w:type="dxa"/>
            <w:noWrap/>
            <w:vAlign w:val="bottom"/>
          </w:tcPr>
          <w:p w14:paraId="04B483D3" w14:textId="640AD89A"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45</w:t>
            </w:r>
            <w:r w:rsidR="00CB0580" w:rsidRPr="00CB0580">
              <w:rPr>
                <w:b/>
                <w:bCs/>
                <w:lang w:val="es-ES"/>
              </w:rPr>
              <w:t> </w:t>
            </w:r>
            <w:r w:rsidRPr="00CB0580">
              <w:rPr>
                <w:b/>
                <w:bCs/>
                <w:lang w:val="es-ES"/>
              </w:rPr>
              <w:t>569</w:t>
            </w:r>
          </w:p>
        </w:tc>
        <w:tc>
          <w:tcPr>
            <w:tcW w:w="1975" w:type="dxa"/>
            <w:vAlign w:val="bottom"/>
          </w:tcPr>
          <w:p w14:paraId="1C31F186"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2,80</w:t>
            </w:r>
          </w:p>
        </w:tc>
      </w:tr>
      <w:tr w:rsidR="00FE4D65" w:rsidRPr="00FE4D65" w14:paraId="01D5D772"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258F488A" w14:textId="77777777" w:rsidR="00FE4D65" w:rsidRPr="00CB0580" w:rsidRDefault="00FE4D65" w:rsidP="00CB0580">
            <w:pPr>
              <w:pStyle w:val="Tabletext"/>
              <w:jc w:val="center"/>
            </w:pPr>
            <w:bookmarkStart w:id="269" w:name="lt_pId954"/>
            <w:r w:rsidRPr="00CB0580">
              <w:t>S</w:t>
            </w:r>
            <w:bookmarkEnd w:id="269"/>
          </w:p>
        </w:tc>
        <w:tc>
          <w:tcPr>
            <w:tcW w:w="992" w:type="dxa"/>
            <w:noWrap/>
            <w:vAlign w:val="bottom"/>
          </w:tcPr>
          <w:p w14:paraId="04DEA7F5" w14:textId="624BB90F"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10</w:t>
            </w:r>
            <w:r w:rsidR="00CB0580">
              <w:rPr>
                <w:lang w:val="es-ES"/>
              </w:rPr>
              <w:t> </w:t>
            </w:r>
            <w:r w:rsidRPr="00FE4D65">
              <w:rPr>
                <w:lang w:val="es-ES"/>
              </w:rPr>
              <w:t>001</w:t>
            </w:r>
          </w:p>
        </w:tc>
        <w:tc>
          <w:tcPr>
            <w:tcW w:w="1276" w:type="dxa"/>
            <w:noWrap/>
            <w:vAlign w:val="bottom"/>
          </w:tcPr>
          <w:p w14:paraId="6CDE22F7" w14:textId="2F618A61"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w:t>
            </w:r>
            <w:r w:rsidR="00CB0580">
              <w:rPr>
                <w:lang w:val="es-ES"/>
              </w:rPr>
              <w:t> </w:t>
            </w:r>
            <w:r w:rsidRPr="00FE4D65">
              <w:rPr>
                <w:lang w:val="es-ES"/>
              </w:rPr>
              <w:t>918</w:t>
            </w:r>
          </w:p>
        </w:tc>
        <w:tc>
          <w:tcPr>
            <w:tcW w:w="1275" w:type="dxa"/>
            <w:vAlign w:val="bottom"/>
          </w:tcPr>
          <w:p w14:paraId="20F04A14" w14:textId="6C2BD86A"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w:t>
            </w:r>
            <w:r w:rsidR="00CB0580">
              <w:rPr>
                <w:lang w:val="es-ES"/>
              </w:rPr>
              <w:t> </w:t>
            </w:r>
            <w:r w:rsidRPr="00FE4D65">
              <w:rPr>
                <w:lang w:val="es-ES"/>
              </w:rPr>
              <w:t>170</w:t>
            </w:r>
          </w:p>
        </w:tc>
        <w:tc>
          <w:tcPr>
            <w:tcW w:w="1276" w:type="dxa"/>
            <w:vAlign w:val="bottom"/>
          </w:tcPr>
          <w:p w14:paraId="3D56ADEB" w14:textId="3656AD1A"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10</w:t>
            </w:r>
            <w:r w:rsidR="00CB0580">
              <w:rPr>
                <w:lang w:val="es-ES"/>
              </w:rPr>
              <w:t> </w:t>
            </w:r>
            <w:r w:rsidRPr="00FE4D65">
              <w:rPr>
                <w:lang w:val="es-ES"/>
              </w:rPr>
              <w:t>174</w:t>
            </w:r>
          </w:p>
        </w:tc>
        <w:tc>
          <w:tcPr>
            <w:tcW w:w="1276" w:type="dxa"/>
            <w:noWrap/>
            <w:vAlign w:val="bottom"/>
          </w:tcPr>
          <w:p w14:paraId="415AE33E" w14:textId="04F6C3F3"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39</w:t>
            </w:r>
            <w:r w:rsidR="00CB0580" w:rsidRPr="00CB0580">
              <w:rPr>
                <w:b/>
                <w:bCs/>
                <w:lang w:val="es-ES"/>
              </w:rPr>
              <w:t> </w:t>
            </w:r>
            <w:r w:rsidRPr="00CB0580">
              <w:rPr>
                <w:b/>
                <w:bCs/>
                <w:lang w:val="es-ES"/>
              </w:rPr>
              <w:t>263</w:t>
            </w:r>
          </w:p>
        </w:tc>
        <w:tc>
          <w:tcPr>
            <w:tcW w:w="1975" w:type="dxa"/>
            <w:vAlign w:val="bottom"/>
          </w:tcPr>
          <w:p w14:paraId="56CC9751"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2,41</w:t>
            </w:r>
          </w:p>
        </w:tc>
      </w:tr>
      <w:tr w:rsidR="00FE4D65" w:rsidRPr="00FE4D65" w14:paraId="2C6D8E05"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03B6DBCD" w14:textId="77777777" w:rsidR="00FE4D65" w:rsidRPr="00CB0580" w:rsidRDefault="00FE4D65" w:rsidP="00CB0580">
            <w:pPr>
              <w:pStyle w:val="Tabletext"/>
              <w:jc w:val="center"/>
            </w:pPr>
            <w:bookmarkStart w:id="270" w:name="lt_pId961"/>
            <w:r w:rsidRPr="00CB0580">
              <w:t>SA</w:t>
            </w:r>
            <w:bookmarkEnd w:id="270"/>
          </w:p>
        </w:tc>
        <w:tc>
          <w:tcPr>
            <w:tcW w:w="992" w:type="dxa"/>
            <w:noWrap/>
            <w:vAlign w:val="bottom"/>
          </w:tcPr>
          <w:p w14:paraId="191B0179" w14:textId="4BF9A009"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5</w:t>
            </w:r>
            <w:r w:rsidR="00CB0580">
              <w:rPr>
                <w:lang w:val="es-ES"/>
              </w:rPr>
              <w:t> </w:t>
            </w:r>
            <w:r w:rsidRPr="00FE4D65">
              <w:rPr>
                <w:lang w:val="es-ES"/>
              </w:rPr>
              <w:t>547</w:t>
            </w:r>
          </w:p>
        </w:tc>
        <w:tc>
          <w:tcPr>
            <w:tcW w:w="1276" w:type="dxa"/>
            <w:noWrap/>
            <w:vAlign w:val="bottom"/>
          </w:tcPr>
          <w:p w14:paraId="3C1439B1" w14:textId="1AC6C0AC"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9</w:t>
            </w:r>
            <w:r w:rsidR="00CB0580">
              <w:rPr>
                <w:lang w:val="es-ES"/>
              </w:rPr>
              <w:t> </w:t>
            </w:r>
            <w:r w:rsidRPr="00FE4D65">
              <w:rPr>
                <w:lang w:val="es-ES"/>
              </w:rPr>
              <w:t>042</w:t>
            </w:r>
          </w:p>
        </w:tc>
        <w:tc>
          <w:tcPr>
            <w:tcW w:w="1275" w:type="dxa"/>
            <w:vAlign w:val="bottom"/>
          </w:tcPr>
          <w:p w14:paraId="6EF61579" w14:textId="2F201798"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5</w:t>
            </w:r>
            <w:r w:rsidR="00CB0580">
              <w:rPr>
                <w:lang w:val="es-ES"/>
              </w:rPr>
              <w:t> </w:t>
            </w:r>
            <w:r w:rsidRPr="00FE4D65">
              <w:rPr>
                <w:lang w:val="es-ES"/>
              </w:rPr>
              <w:t>346</w:t>
            </w:r>
          </w:p>
        </w:tc>
        <w:tc>
          <w:tcPr>
            <w:tcW w:w="1276" w:type="dxa"/>
            <w:vAlign w:val="bottom"/>
          </w:tcPr>
          <w:p w14:paraId="71A2C721" w14:textId="5228598D"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6</w:t>
            </w:r>
            <w:r w:rsidR="00CB0580">
              <w:rPr>
                <w:lang w:val="es-ES"/>
              </w:rPr>
              <w:t> </w:t>
            </w:r>
            <w:r w:rsidRPr="00FE4D65">
              <w:rPr>
                <w:lang w:val="es-ES"/>
              </w:rPr>
              <w:t>856</w:t>
            </w:r>
          </w:p>
        </w:tc>
        <w:tc>
          <w:tcPr>
            <w:tcW w:w="1276" w:type="dxa"/>
            <w:noWrap/>
            <w:vAlign w:val="bottom"/>
          </w:tcPr>
          <w:p w14:paraId="0CBE26B7" w14:textId="58A34F29"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26</w:t>
            </w:r>
            <w:r w:rsidR="00CB0580" w:rsidRPr="00CB0580">
              <w:rPr>
                <w:b/>
                <w:bCs/>
                <w:lang w:val="es-ES"/>
              </w:rPr>
              <w:t> </w:t>
            </w:r>
            <w:r w:rsidRPr="00CB0580">
              <w:rPr>
                <w:b/>
                <w:bCs/>
                <w:lang w:val="es-ES"/>
              </w:rPr>
              <w:t>791</w:t>
            </w:r>
          </w:p>
        </w:tc>
        <w:tc>
          <w:tcPr>
            <w:tcW w:w="1975" w:type="dxa"/>
            <w:vAlign w:val="bottom"/>
          </w:tcPr>
          <w:p w14:paraId="75DFF958"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1,65</w:t>
            </w:r>
          </w:p>
        </w:tc>
      </w:tr>
      <w:tr w:rsidR="00FE4D65" w:rsidRPr="00FE4D65" w14:paraId="46D555E6"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01EE22C6" w14:textId="77777777" w:rsidR="00FE4D65" w:rsidRPr="00CB0580" w:rsidRDefault="00FE4D65" w:rsidP="00CB0580">
            <w:pPr>
              <w:pStyle w:val="Tabletext"/>
              <w:jc w:val="center"/>
            </w:pPr>
            <w:bookmarkStart w:id="271" w:name="lt_pId968"/>
            <w:r w:rsidRPr="00CB0580">
              <w:t>RS</w:t>
            </w:r>
            <w:bookmarkEnd w:id="271"/>
          </w:p>
        </w:tc>
        <w:tc>
          <w:tcPr>
            <w:tcW w:w="992" w:type="dxa"/>
            <w:noWrap/>
            <w:vAlign w:val="bottom"/>
          </w:tcPr>
          <w:p w14:paraId="27B8A7F3" w14:textId="5AD382E6"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w:t>
            </w:r>
            <w:r w:rsidR="00CB0580">
              <w:rPr>
                <w:lang w:val="es-ES"/>
              </w:rPr>
              <w:t> </w:t>
            </w:r>
            <w:r w:rsidRPr="00FE4D65">
              <w:rPr>
                <w:lang w:val="es-ES"/>
              </w:rPr>
              <w:t>796</w:t>
            </w:r>
          </w:p>
        </w:tc>
        <w:tc>
          <w:tcPr>
            <w:tcW w:w="1276" w:type="dxa"/>
            <w:noWrap/>
            <w:vAlign w:val="bottom"/>
          </w:tcPr>
          <w:p w14:paraId="720FDA96" w14:textId="071031E9"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6</w:t>
            </w:r>
            <w:r w:rsidR="00CB0580">
              <w:rPr>
                <w:lang w:val="es-ES"/>
              </w:rPr>
              <w:t> </w:t>
            </w:r>
            <w:r w:rsidRPr="00FE4D65">
              <w:rPr>
                <w:lang w:val="es-ES"/>
              </w:rPr>
              <w:t>343</w:t>
            </w:r>
          </w:p>
        </w:tc>
        <w:tc>
          <w:tcPr>
            <w:tcW w:w="1275" w:type="dxa"/>
            <w:vAlign w:val="bottom"/>
          </w:tcPr>
          <w:p w14:paraId="65419E02" w14:textId="16E36D5D"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w:t>
            </w:r>
            <w:r w:rsidR="00CB0580">
              <w:rPr>
                <w:lang w:val="es-ES"/>
              </w:rPr>
              <w:t> </w:t>
            </w:r>
            <w:r w:rsidRPr="00FE4D65">
              <w:rPr>
                <w:lang w:val="es-ES"/>
              </w:rPr>
              <w:t>486</w:t>
            </w:r>
          </w:p>
        </w:tc>
        <w:tc>
          <w:tcPr>
            <w:tcW w:w="1276" w:type="dxa"/>
            <w:vAlign w:val="bottom"/>
          </w:tcPr>
          <w:p w14:paraId="215793C3" w14:textId="4BB17FA7"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6</w:t>
            </w:r>
            <w:r w:rsidR="00CB0580">
              <w:rPr>
                <w:lang w:val="es-ES"/>
              </w:rPr>
              <w:t> </w:t>
            </w:r>
            <w:r w:rsidRPr="00FE4D65">
              <w:rPr>
                <w:lang w:val="es-ES"/>
              </w:rPr>
              <w:t>236</w:t>
            </w:r>
          </w:p>
        </w:tc>
        <w:tc>
          <w:tcPr>
            <w:tcW w:w="1276" w:type="dxa"/>
            <w:noWrap/>
            <w:vAlign w:val="bottom"/>
          </w:tcPr>
          <w:p w14:paraId="37CC5BEF" w14:textId="604BE891"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21</w:t>
            </w:r>
            <w:r w:rsidR="00CB0580" w:rsidRPr="00CB0580">
              <w:rPr>
                <w:b/>
                <w:bCs/>
                <w:lang w:val="es-ES"/>
              </w:rPr>
              <w:t> </w:t>
            </w:r>
            <w:r w:rsidRPr="00CB0580">
              <w:rPr>
                <w:b/>
                <w:bCs/>
                <w:lang w:val="es-ES"/>
              </w:rPr>
              <w:t>861</w:t>
            </w:r>
          </w:p>
        </w:tc>
        <w:tc>
          <w:tcPr>
            <w:tcW w:w="1975" w:type="dxa"/>
            <w:vAlign w:val="bottom"/>
          </w:tcPr>
          <w:p w14:paraId="35EFAD3A"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1,34</w:t>
            </w:r>
          </w:p>
        </w:tc>
      </w:tr>
      <w:tr w:rsidR="00FE4D65" w:rsidRPr="00FE4D65" w14:paraId="657B50CE"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014D2B81" w14:textId="77777777" w:rsidR="00FE4D65" w:rsidRPr="00CB0580" w:rsidRDefault="00FE4D65" w:rsidP="00CB0580">
            <w:pPr>
              <w:pStyle w:val="Tabletext"/>
              <w:jc w:val="center"/>
            </w:pPr>
            <w:bookmarkStart w:id="272" w:name="lt_pId975"/>
            <w:r w:rsidRPr="00CB0580">
              <w:t>RA</w:t>
            </w:r>
            <w:bookmarkEnd w:id="272"/>
          </w:p>
        </w:tc>
        <w:tc>
          <w:tcPr>
            <w:tcW w:w="992" w:type="dxa"/>
            <w:noWrap/>
            <w:vAlign w:val="bottom"/>
          </w:tcPr>
          <w:p w14:paraId="088AAA44" w14:textId="762F756E"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w:t>
            </w:r>
            <w:r w:rsidR="00CB0580">
              <w:rPr>
                <w:lang w:val="es-ES"/>
              </w:rPr>
              <w:t> </w:t>
            </w:r>
            <w:r w:rsidRPr="00FE4D65">
              <w:rPr>
                <w:lang w:val="es-ES"/>
              </w:rPr>
              <w:t>222</w:t>
            </w:r>
          </w:p>
        </w:tc>
        <w:tc>
          <w:tcPr>
            <w:tcW w:w="1276" w:type="dxa"/>
            <w:noWrap/>
            <w:vAlign w:val="bottom"/>
          </w:tcPr>
          <w:p w14:paraId="4AB2A13C" w14:textId="18242A0A"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w:t>
            </w:r>
            <w:r w:rsidR="00CB0580">
              <w:rPr>
                <w:lang w:val="es-ES"/>
              </w:rPr>
              <w:t> </w:t>
            </w:r>
            <w:r w:rsidRPr="00FE4D65">
              <w:rPr>
                <w:lang w:val="es-ES"/>
              </w:rPr>
              <w:t>834</w:t>
            </w:r>
          </w:p>
        </w:tc>
        <w:tc>
          <w:tcPr>
            <w:tcW w:w="1275" w:type="dxa"/>
            <w:vAlign w:val="bottom"/>
          </w:tcPr>
          <w:p w14:paraId="41E0586C" w14:textId="1B55E422"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4</w:t>
            </w:r>
            <w:r w:rsidR="00CB0580">
              <w:rPr>
                <w:lang w:val="es-ES"/>
              </w:rPr>
              <w:t> </w:t>
            </w:r>
            <w:r w:rsidRPr="00FE4D65">
              <w:rPr>
                <w:lang w:val="es-ES"/>
              </w:rPr>
              <w:t>840</w:t>
            </w:r>
          </w:p>
        </w:tc>
        <w:tc>
          <w:tcPr>
            <w:tcW w:w="1276" w:type="dxa"/>
            <w:vAlign w:val="bottom"/>
          </w:tcPr>
          <w:p w14:paraId="56ACEC51" w14:textId="21D70F99"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6</w:t>
            </w:r>
            <w:r w:rsidR="00CB0580">
              <w:rPr>
                <w:lang w:val="es-ES"/>
              </w:rPr>
              <w:t> </w:t>
            </w:r>
            <w:r w:rsidRPr="00FE4D65">
              <w:rPr>
                <w:lang w:val="es-ES"/>
              </w:rPr>
              <w:t>463</w:t>
            </w:r>
          </w:p>
        </w:tc>
        <w:tc>
          <w:tcPr>
            <w:tcW w:w="1276" w:type="dxa"/>
            <w:noWrap/>
            <w:vAlign w:val="bottom"/>
          </w:tcPr>
          <w:p w14:paraId="42F2CB66" w14:textId="58EAEA35"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20</w:t>
            </w:r>
            <w:r w:rsidR="00CB0580" w:rsidRPr="00CB0580">
              <w:rPr>
                <w:b/>
                <w:bCs/>
                <w:lang w:val="es-ES"/>
              </w:rPr>
              <w:t> </w:t>
            </w:r>
            <w:r w:rsidRPr="00CB0580">
              <w:rPr>
                <w:b/>
                <w:bCs/>
                <w:lang w:val="es-ES"/>
              </w:rPr>
              <w:t>359</w:t>
            </w:r>
          </w:p>
        </w:tc>
        <w:tc>
          <w:tcPr>
            <w:tcW w:w="1975" w:type="dxa"/>
            <w:vAlign w:val="bottom"/>
          </w:tcPr>
          <w:p w14:paraId="7771D813"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1,25</w:t>
            </w:r>
          </w:p>
        </w:tc>
      </w:tr>
      <w:tr w:rsidR="00FE4D65" w:rsidRPr="00FE4D65" w14:paraId="2E06A423"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46D7CB13" w14:textId="77777777" w:rsidR="00FE4D65" w:rsidRPr="00CB0580" w:rsidRDefault="00FE4D65" w:rsidP="00CB0580">
            <w:pPr>
              <w:pStyle w:val="Tabletext"/>
              <w:jc w:val="center"/>
            </w:pPr>
            <w:bookmarkStart w:id="273" w:name="lt_pId982"/>
            <w:r w:rsidRPr="00CB0580">
              <w:t>TF</w:t>
            </w:r>
            <w:bookmarkEnd w:id="273"/>
          </w:p>
        </w:tc>
        <w:tc>
          <w:tcPr>
            <w:tcW w:w="992" w:type="dxa"/>
            <w:noWrap/>
            <w:vAlign w:val="bottom"/>
          </w:tcPr>
          <w:p w14:paraId="5F966261" w14:textId="46F04098" w:rsidR="00FE4D65" w:rsidRPr="00FE4D65" w:rsidRDefault="00CB0580"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CB0580">
              <w:rPr>
                <w:lang w:val="en-GB"/>
              </w:rPr>
              <w:t>–</w:t>
            </w:r>
          </w:p>
        </w:tc>
        <w:tc>
          <w:tcPr>
            <w:tcW w:w="1276" w:type="dxa"/>
            <w:noWrap/>
            <w:vAlign w:val="bottom"/>
          </w:tcPr>
          <w:p w14:paraId="27491235" w14:textId="77777777"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97</w:t>
            </w:r>
          </w:p>
        </w:tc>
        <w:tc>
          <w:tcPr>
            <w:tcW w:w="1275" w:type="dxa"/>
            <w:vAlign w:val="bottom"/>
          </w:tcPr>
          <w:p w14:paraId="394C5578" w14:textId="77777777"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466</w:t>
            </w:r>
          </w:p>
        </w:tc>
        <w:tc>
          <w:tcPr>
            <w:tcW w:w="1276" w:type="dxa"/>
            <w:vAlign w:val="bottom"/>
          </w:tcPr>
          <w:p w14:paraId="4077AABF" w14:textId="77777777"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948</w:t>
            </w:r>
          </w:p>
        </w:tc>
        <w:tc>
          <w:tcPr>
            <w:tcW w:w="1276" w:type="dxa"/>
            <w:noWrap/>
            <w:vAlign w:val="bottom"/>
          </w:tcPr>
          <w:p w14:paraId="49DE262C" w14:textId="4727D556"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1</w:t>
            </w:r>
            <w:r w:rsidR="00CB0580" w:rsidRPr="00CB0580">
              <w:rPr>
                <w:b/>
                <w:bCs/>
                <w:lang w:val="es-ES"/>
              </w:rPr>
              <w:t> </w:t>
            </w:r>
            <w:r w:rsidRPr="00CB0580">
              <w:rPr>
                <w:b/>
                <w:bCs/>
                <w:lang w:val="es-ES"/>
              </w:rPr>
              <w:t>511</w:t>
            </w:r>
          </w:p>
        </w:tc>
        <w:tc>
          <w:tcPr>
            <w:tcW w:w="1975" w:type="dxa"/>
            <w:vAlign w:val="bottom"/>
          </w:tcPr>
          <w:p w14:paraId="6A6B3615"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0,09</w:t>
            </w:r>
          </w:p>
        </w:tc>
      </w:tr>
      <w:tr w:rsidR="00FE4D65" w:rsidRPr="00FE4D65" w14:paraId="3414FF49"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hideMark/>
          </w:tcPr>
          <w:p w14:paraId="4FD3AAC1" w14:textId="77777777" w:rsidR="00FE4D65" w:rsidRPr="00CB0580" w:rsidRDefault="00FE4D65" w:rsidP="00CB0580">
            <w:pPr>
              <w:pStyle w:val="Tabletext"/>
              <w:jc w:val="center"/>
            </w:pPr>
            <w:bookmarkStart w:id="274" w:name="lt_pId989"/>
            <w:r w:rsidRPr="00CB0580">
              <w:t>SF</w:t>
            </w:r>
            <w:bookmarkEnd w:id="274"/>
          </w:p>
        </w:tc>
        <w:tc>
          <w:tcPr>
            <w:tcW w:w="992" w:type="dxa"/>
            <w:noWrap/>
            <w:vAlign w:val="bottom"/>
          </w:tcPr>
          <w:p w14:paraId="064A985E" w14:textId="77777777" w:rsidR="00FE4D65" w:rsidRPr="00FE4D65"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387</w:t>
            </w:r>
          </w:p>
        </w:tc>
        <w:tc>
          <w:tcPr>
            <w:tcW w:w="1276" w:type="dxa"/>
            <w:noWrap/>
            <w:vAlign w:val="bottom"/>
          </w:tcPr>
          <w:p w14:paraId="76C3F0FD" w14:textId="77777777"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397</w:t>
            </w:r>
          </w:p>
        </w:tc>
        <w:tc>
          <w:tcPr>
            <w:tcW w:w="1275" w:type="dxa"/>
            <w:vAlign w:val="bottom"/>
          </w:tcPr>
          <w:p w14:paraId="56010582" w14:textId="77777777" w:rsidR="00FE4D65" w:rsidRPr="00FE4D65"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326</w:t>
            </w:r>
          </w:p>
        </w:tc>
        <w:tc>
          <w:tcPr>
            <w:tcW w:w="1276" w:type="dxa"/>
            <w:vAlign w:val="bottom"/>
          </w:tcPr>
          <w:p w14:paraId="003D1FC7" w14:textId="77777777" w:rsidR="00FE4D65" w:rsidRPr="00FE4D65"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345</w:t>
            </w:r>
          </w:p>
        </w:tc>
        <w:tc>
          <w:tcPr>
            <w:tcW w:w="1276" w:type="dxa"/>
            <w:noWrap/>
            <w:vAlign w:val="bottom"/>
          </w:tcPr>
          <w:p w14:paraId="43F8B6B6" w14:textId="5E30152A"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1</w:t>
            </w:r>
            <w:r w:rsidR="00CB0580" w:rsidRPr="00CB0580">
              <w:rPr>
                <w:b/>
                <w:bCs/>
                <w:lang w:val="es-ES"/>
              </w:rPr>
              <w:t> </w:t>
            </w:r>
            <w:r w:rsidRPr="00CB0580">
              <w:rPr>
                <w:b/>
                <w:bCs/>
                <w:lang w:val="es-ES"/>
              </w:rPr>
              <w:t>455</w:t>
            </w:r>
          </w:p>
        </w:tc>
        <w:tc>
          <w:tcPr>
            <w:tcW w:w="1975" w:type="dxa"/>
            <w:vAlign w:val="bottom"/>
          </w:tcPr>
          <w:p w14:paraId="37863E68" w14:textId="77777777"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0,09</w:t>
            </w:r>
          </w:p>
        </w:tc>
      </w:tr>
      <w:tr w:rsidR="00FE4D65" w:rsidRPr="00FE4D65" w14:paraId="4A8E3157" w14:textId="77777777" w:rsidTr="00FB379C">
        <w:trPr>
          <w:jc w:val="center"/>
        </w:trPr>
        <w:tc>
          <w:tcPr>
            <w:cnfStyle w:val="001000000000" w:firstRow="0" w:lastRow="0" w:firstColumn="1" w:lastColumn="0" w:oddVBand="0" w:evenVBand="0" w:oddHBand="0" w:evenHBand="0" w:firstRowFirstColumn="0" w:firstRowLastColumn="0" w:lastRowFirstColumn="0" w:lastRowLastColumn="0"/>
            <w:tcW w:w="1555" w:type="dxa"/>
            <w:noWrap/>
            <w:vAlign w:val="bottom"/>
          </w:tcPr>
          <w:p w14:paraId="249275C1" w14:textId="77777777" w:rsidR="00FE4D65" w:rsidRPr="00CB0580" w:rsidRDefault="00FE4D65" w:rsidP="00CB0580">
            <w:pPr>
              <w:pStyle w:val="Tabletext"/>
              <w:jc w:val="center"/>
            </w:pPr>
            <w:bookmarkStart w:id="275" w:name="lt_pId996"/>
            <w:r w:rsidRPr="00CB0580">
              <w:t>BR</w:t>
            </w:r>
            <w:bookmarkEnd w:id="275"/>
          </w:p>
        </w:tc>
        <w:tc>
          <w:tcPr>
            <w:tcW w:w="992" w:type="dxa"/>
            <w:noWrap/>
            <w:vAlign w:val="bottom"/>
          </w:tcPr>
          <w:p w14:paraId="21BC259D" w14:textId="77777777" w:rsidR="00FE4D65" w:rsidRPr="00FE4D65" w:rsidRDefault="00FE4D65" w:rsidP="00CB0580">
            <w:pPr>
              <w:pStyle w:val="Tabletext"/>
              <w:ind w:right="5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72</w:t>
            </w:r>
          </w:p>
        </w:tc>
        <w:tc>
          <w:tcPr>
            <w:tcW w:w="1276" w:type="dxa"/>
            <w:noWrap/>
            <w:vAlign w:val="bottom"/>
          </w:tcPr>
          <w:p w14:paraId="49FBA9DD" w14:textId="77777777"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61</w:t>
            </w:r>
          </w:p>
        </w:tc>
        <w:tc>
          <w:tcPr>
            <w:tcW w:w="1275" w:type="dxa"/>
            <w:vAlign w:val="bottom"/>
          </w:tcPr>
          <w:p w14:paraId="56B0551B" w14:textId="77777777" w:rsidR="00FE4D65" w:rsidRPr="00FE4D65" w:rsidRDefault="00FE4D65" w:rsidP="00CB0580">
            <w:pPr>
              <w:pStyle w:val="Tabletext"/>
              <w:ind w:right="227"/>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88</w:t>
            </w:r>
          </w:p>
        </w:tc>
        <w:tc>
          <w:tcPr>
            <w:tcW w:w="1276" w:type="dxa"/>
            <w:vAlign w:val="bottom"/>
          </w:tcPr>
          <w:p w14:paraId="45BDD422" w14:textId="77777777" w:rsidR="00FE4D65" w:rsidRPr="00FE4D65" w:rsidRDefault="00FE4D65" w:rsidP="00CB0580">
            <w:pPr>
              <w:pStyle w:val="Tabletext"/>
              <w:ind w:right="170"/>
              <w:jc w:val="right"/>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97</w:t>
            </w:r>
          </w:p>
        </w:tc>
        <w:tc>
          <w:tcPr>
            <w:tcW w:w="1276" w:type="dxa"/>
            <w:noWrap/>
            <w:vAlign w:val="bottom"/>
          </w:tcPr>
          <w:p w14:paraId="1E8008B3" w14:textId="77777777" w:rsidR="00FE4D65" w:rsidRPr="00CB0580" w:rsidRDefault="00FE4D65" w:rsidP="00CB0580">
            <w:pPr>
              <w:pStyle w:val="Tabletext"/>
              <w:ind w:right="113"/>
              <w:jc w:val="right"/>
              <w:cnfStyle w:val="000000000000" w:firstRow="0" w:lastRow="0" w:firstColumn="0" w:lastColumn="0" w:oddVBand="0" w:evenVBand="0" w:oddHBand="0" w:evenHBand="0" w:firstRowFirstColumn="0" w:firstRowLastColumn="0" w:lastRowFirstColumn="0" w:lastRowLastColumn="0"/>
              <w:rPr>
                <w:b/>
                <w:bCs/>
                <w:lang w:val="en-GB"/>
              </w:rPr>
            </w:pPr>
            <w:r w:rsidRPr="00CB0580">
              <w:rPr>
                <w:b/>
                <w:bCs/>
                <w:lang w:val="es-ES"/>
              </w:rPr>
              <w:t>318</w:t>
            </w:r>
          </w:p>
        </w:tc>
        <w:tc>
          <w:tcPr>
            <w:tcW w:w="1975" w:type="dxa"/>
            <w:vAlign w:val="bottom"/>
          </w:tcPr>
          <w:p w14:paraId="30DA8788" w14:textId="77777777" w:rsidR="00FE4D65" w:rsidRPr="00FE4D65" w:rsidRDefault="00FE4D65" w:rsidP="003E0C9F">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0,02</w:t>
            </w:r>
          </w:p>
        </w:tc>
      </w:tr>
      <w:tr w:rsidR="00FE4D65" w:rsidRPr="00FE4D65" w14:paraId="5C72A873" w14:textId="77777777" w:rsidTr="00FB37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C07B4A4" w14:textId="77777777" w:rsidR="00FE4D65" w:rsidRPr="00FE4D65" w:rsidRDefault="00FE4D65" w:rsidP="00FB379C">
            <w:pPr>
              <w:pStyle w:val="Tabletext"/>
              <w:rPr>
                <w:lang w:val="en-GB"/>
              </w:rPr>
            </w:pPr>
            <w:bookmarkStart w:id="276" w:name="lt_pId1003"/>
            <w:r w:rsidRPr="00FE4D65">
              <w:rPr>
                <w:lang w:val="es-ES"/>
              </w:rPr>
              <w:t>TOTAL</w:t>
            </w:r>
            <w:bookmarkEnd w:id="276"/>
          </w:p>
        </w:tc>
        <w:tc>
          <w:tcPr>
            <w:tcW w:w="992" w:type="dxa"/>
            <w:noWrap/>
          </w:tcPr>
          <w:p w14:paraId="5EA9CFD8" w14:textId="732B9924" w:rsidR="00FE4D65" w:rsidRPr="00CB0580" w:rsidRDefault="00FE4D65" w:rsidP="00CB0580">
            <w:pPr>
              <w:pStyle w:val="Tabletext"/>
              <w:ind w:right="57"/>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362</w:t>
            </w:r>
            <w:r w:rsidR="00CB0580">
              <w:rPr>
                <w:b/>
                <w:bCs/>
                <w:lang w:val="es-ES"/>
              </w:rPr>
              <w:t> </w:t>
            </w:r>
            <w:r w:rsidRPr="00CB0580">
              <w:rPr>
                <w:b/>
                <w:bCs/>
                <w:lang w:val="es-ES"/>
              </w:rPr>
              <w:t>382</w:t>
            </w:r>
          </w:p>
        </w:tc>
        <w:tc>
          <w:tcPr>
            <w:tcW w:w="1276" w:type="dxa"/>
            <w:noWrap/>
          </w:tcPr>
          <w:p w14:paraId="33976A43" w14:textId="70590973" w:rsidR="00FE4D65" w:rsidRPr="00CB0580"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459</w:t>
            </w:r>
            <w:r w:rsidR="00CB0580">
              <w:rPr>
                <w:b/>
                <w:bCs/>
                <w:lang w:val="es-ES"/>
              </w:rPr>
              <w:t> </w:t>
            </w:r>
            <w:r w:rsidRPr="00CB0580">
              <w:rPr>
                <w:b/>
                <w:bCs/>
                <w:lang w:val="es-ES"/>
              </w:rPr>
              <w:t>521</w:t>
            </w:r>
          </w:p>
        </w:tc>
        <w:tc>
          <w:tcPr>
            <w:tcW w:w="1275" w:type="dxa"/>
          </w:tcPr>
          <w:p w14:paraId="52D4492E" w14:textId="14F026FF" w:rsidR="00FE4D65" w:rsidRPr="00CB0580" w:rsidRDefault="00FE4D65" w:rsidP="00CB0580">
            <w:pPr>
              <w:pStyle w:val="Tabletext"/>
              <w:ind w:right="227"/>
              <w:jc w:val="right"/>
              <w:cnfStyle w:val="000000100000" w:firstRow="0" w:lastRow="0" w:firstColumn="0" w:lastColumn="0" w:oddVBand="0" w:evenVBand="0" w:oddHBand="1" w:evenHBand="0" w:firstRowFirstColumn="0" w:firstRowLastColumn="0" w:lastRowFirstColumn="0" w:lastRowLastColumn="0"/>
              <w:rPr>
                <w:b/>
                <w:bCs/>
                <w:lang w:val="es-ES"/>
              </w:rPr>
            </w:pPr>
            <w:r w:rsidRPr="00CB0580">
              <w:rPr>
                <w:b/>
                <w:bCs/>
                <w:lang w:val="es-ES"/>
              </w:rPr>
              <w:t>380</w:t>
            </w:r>
            <w:r w:rsidR="00CB0580">
              <w:rPr>
                <w:b/>
                <w:bCs/>
                <w:lang w:val="es-ES"/>
              </w:rPr>
              <w:t> </w:t>
            </w:r>
            <w:r w:rsidRPr="00CB0580">
              <w:rPr>
                <w:b/>
                <w:bCs/>
                <w:lang w:val="es-ES"/>
              </w:rPr>
              <w:t>758</w:t>
            </w:r>
          </w:p>
        </w:tc>
        <w:tc>
          <w:tcPr>
            <w:tcW w:w="1276" w:type="dxa"/>
          </w:tcPr>
          <w:p w14:paraId="3508566F" w14:textId="2135CA3A" w:rsidR="00FE4D65" w:rsidRPr="00CB0580" w:rsidRDefault="00FE4D65" w:rsidP="00CB0580">
            <w:pPr>
              <w:pStyle w:val="Tabletext"/>
              <w:ind w:right="170"/>
              <w:jc w:val="right"/>
              <w:cnfStyle w:val="000000100000" w:firstRow="0" w:lastRow="0" w:firstColumn="0" w:lastColumn="0" w:oddVBand="0" w:evenVBand="0" w:oddHBand="1" w:evenHBand="0" w:firstRowFirstColumn="0" w:firstRowLastColumn="0" w:lastRowFirstColumn="0" w:lastRowLastColumn="0"/>
              <w:rPr>
                <w:b/>
                <w:bCs/>
                <w:lang w:val="es-ES"/>
              </w:rPr>
            </w:pPr>
            <w:r w:rsidRPr="00CB0580">
              <w:rPr>
                <w:b/>
                <w:bCs/>
                <w:lang w:val="es-ES"/>
              </w:rPr>
              <w:t>425</w:t>
            </w:r>
            <w:r w:rsidR="00CB0580">
              <w:rPr>
                <w:b/>
                <w:bCs/>
                <w:lang w:val="es-ES"/>
              </w:rPr>
              <w:t> </w:t>
            </w:r>
            <w:r w:rsidRPr="00CB0580">
              <w:rPr>
                <w:b/>
                <w:bCs/>
                <w:lang w:val="es-ES"/>
              </w:rPr>
              <w:t>574</w:t>
            </w:r>
          </w:p>
        </w:tc>
        <w:tc>
          <w:tcPr>
            <w:tcW w:w="1276" w:type="dxa"/>
            <w:noWrap/>
          </w:tcPr>
          <w:p w14:paraId="1BE8A94F" w14:textId="1218F3AD" w:rsidR="00FE4D65" w:rsidRPr="00CB0580" w:rsidRDefault="00FE4D65" w:rsidP="00CB0580">
            <w:pPr>
              <w:pStyle w:val="Tabletext"/>
              <w:ind w:right="113"/>
              <w:jc w:val="right"/>
              <w:cnfStyle w:val="000000100000" w:firstRow="0" w:lastRow="0" w:firstColumn="0" w:lastColumn="0" w:oddVBand="0" w:evenVBand="0" w:oddHBand="1" w:evenHBand="0" w:firstRowFirstColumn="0" w:firstRowLastColumn="0" w:lastRowFirstColumn="0" w:lastRowLastColumn="0"/>
              <w:rPr>
                <w:b/>
                <w:bCs/>
                <w:lang w:val="es-ES"/>
              </w:rPr>
            </w:pPr>
            <w:r w:rsidRPr="00CB0580">
              <w:rPr>
                <w:b/>
                <w:bCs/>
                <w:lang w:val="es-ES"/>
              </w:rPr>
              <w:t>1</w:t>
            </w:r>
            <w:r w:rsidR="00CB0580">
              <w:rPr>
                <w:b/>
                <w:bCs/>
                <w:lang w:val="es-ES"/>
              </w:rPr>
              <w:t> </w:t>
            </w:r>
            <w:r w:rsidRPr="00CB0580">
              <w:rPr>
                <w:b/>
                <w:bCs/>
                <w:lang w:val="es-ES"/>
              </w:rPr>
              <w:t>628</w:t>
            </w:r>
            <w:r w:rsidR="00CB0580">
              <w:rPr>
                <w:b/>
                <w:bCs/>
                <w:lang w:val="es-ES"/>
              </w:rPr>
              <w:t> </w:t>
            </w:r>
            <w:r w:rsidRPr="00CB0580">
              <w:rPr>
                <w:b/>
                <w:bCs/>
                <w:lang w:val="es-ES"/>
              </w:rPr>
              <w:t>235</w:t>
            </w:r>
          </w:p>
        </w:tc>
        <w:tc>
          <w:tcPr>
            <w:tcW w:w="1975" w:type="dxa"/>
          </w:tcPr>
          <w:p w14:paraId="47B3EC07" w14:textId="1D3AA1E6" w:rsidR="00FE4D65" w:rsidRPr="00FE4D65" w:rsidRDefault="00FE4D65" w:rsidP="003E0C9F">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100</w:t>
            </w:r>
            <w:r w:rsidR="00D30F81">
              <w:rPr>
                <w:lang w:val="es-ES"/>
              </w:rPr>
              <w:t>%</w:t>
            </w:r>
          </w:p>
        </w:tc>
      </w:tr>
    </w:tbl>
    <w:p w14:paraId="031DE6F8" w14:textId="1019184E" w:rsidR="00FE4D65" w:rsidRPr="00FE4D65" w:rsidRDefault="00FE4D65" w:rsidP="002F4844">
      <w:pPr>
        <w:pStyle w:val="Heading4"/>
        <w:rPr>
          <w:lang w:val="es-ES"/>
        </w:rPr>
      </w:pPr>
      <w:r w:rsidRPr="00FE4D65">
        <w:rPr>
          <w:lang w:val="es-ES"/>
        </w:rPr>
        <w:t>8.1.4.4</w:t>
      </w:r>
      <w:r w:rsidRPr="00FE4D65">
        <w:rPr>
          <w:lang w:val="es-ES"/>
        </w:rPr>
        <w:tab/>
        <w:t>Manuales</w:t>
      </w:r>
      <w:bookmarkStart w:id="277" w:name="lt_pId1011"/>
      <w:bookmarkEnd w:id="277"/>
    </w:p>
    <w:p w14:paraId="2D3257F1" w14:textId="23D35653" w:rsidR="00FE4D65" w:rsidRPr="00FE4D65" w:rsidRDefault="00FE4D65" w:rsidP="00FE4D65">
      <w:pPr>
        <w:rPr>
          <w:lang w:val="es-ES"/>
        </w:rPr>
      </w:pPr>
      <w:bookmarkStart w:id="278" w:name="lt_pId1012"/>
      <w:r w:rsidRPr="00FE4D65">
        <w:rPr>
          <w:lang w:val="es-ES"/>
        </w:rPr>
        <w:t>A raíz de la decisión adoptada por el Director de la BR en 2017, todos los Manuales del UIT-R pueden descargarse gratuitamente desde el sitio web de la UIT. El crecimiento ha sido constante desde entonces. Se registraron más de 140 000 descargas en 2023. En el Cuadro</w:t>
      </w:r>
      <w:r w:rsidR="00CB0580">
        <w:rPr>
          <w:lang w:val="es-ES"/>
        </w:rPr>
        <w:t> </w:t>
      </w:r>
      <w:r w:rsidRPr="00FE4D65">
        <w:rPr>
          <w:lang w:val="es-ES"/>
        </w:rPr>
        <w:t>8.1.4.4-1 se presenta la distribución de los Manuales del UIT-R de la serie sobre gestión del espectro, así como de otros Manuales a la venta.</w:t>
      </w:r>
      <w:bookmarkStart w:id="279" w:name="lt_pId1013"/>
      <w:bookmarkStart w:id="280" w:name="lt_pId1014"/>
      <w:bookmarkEnd w:id="278"/>
      <w:bookmarkEnd w:id="279"/>
      <w:bookmarkEnd w:id="280"/>
    </w:p>
    <w:p w14:paraId="7F647398" w14:textId="77777777" w:rsidR="00FE4D65" w:rsidRPr="00FE4D65" w:rsidRDefault="00FE4D65" w:rsidP="00FE4D65">
      <w:pPr>
        <w:rPr>
          <w:lang w:val="es-ES"/>
        </w:rPr>
      </w:pPr>
      <w:bookmarkStart w:id="281" w:name="lt_pId1015"/>
      <w:r w:rsidRPr="00FE4D65">
        <w:rPr>
          <w:lang w:val="es-ES"/>
        </w:rPr>
        <w:t>Hasta la fecha, se han publicado 48 Manuales del UIT-R, incluidos los de la serie sobre gestión del espectro.</w:t>
      </w:r>
      <w:bookmarkEnd w:id="281"/>
    </w:p>
    <w:p w14:paraId="4BB38428" w14:textId="77777777" w:rsidR="00FE4D65" w:rsidRPr="00FE4D65" w:rsidRDefault="00FE4D65" w:rsidP="00FE4D65">
      <w:pPr>
        <w:rPr>
          <w:lang w:val="es-ES"/>
        </w:rPr>
      </w:pPr>
      <w:r w:rsidRPr="00FE4D65">
        <w:rPr>
          <w:lang w:val="es-ES"/>
        </w:rPr>
        <w:br w:type="page"/>
      </w:r>
    </w:p>
    <w:p w14:paraId="101DF0D1" w14:textId="77777777" w:rsidR="00CB0580" w:rsidRDefault="00FE4D65" w:rsidP="00CB0580">
      <w:pPr>
        <w:pStyle w:val="TableNoBR"/>
        <w:rPr>
          <w:lang w:val="es-ES"/>
        </w:rPr>
      </w:pPr>
      <w:bookmarkStart w:id="282" w:name="lt_pId1016"/>
      <w:r w:rsidRPr="00CB0580">
        <w:rPr>
          <w:lang w:val="es-ES"/>
        </w:rPr>
        <w:lastRenderedPageBreak/>
        <w:t>Cuadro 8.1.4.4-1</w:t>
      </w:r>
      <w:bookmarkStart w:id="283" w:name="lt_pId1017"/>
      <w:bookmarkEnd w:id="282"/>
    </w:p>
    <w:p w14:paraId="30E03064" w14:textId="019A1B82" w:rsidR="00FE4D65" w:rsidRPr="00FE4D65" w:rsidRDefault="00FE4D65" w:rsidP="00CB0580">
      <w:pPr>
        <w:pStyle w:val="TabletitleBR"/>
        <w:rPr>
          <w:lang w:val="es-ES"/>
        </w:rPr>
      </w:pPr>
      <w:r w:rsidRPr="00FE4D65">
        <w:rPr>
          <w:lang w:val="es-ES"/>
        </w:rPr>
        <w:t>Distribución de Manuales del UIT-R sobre gestión del espectro y otros Manuales</w:t>
      </w:r>
      <w:bookmarkEnd w:id="283"/>
    </w:p>
    <w:tbl>
      <w:tblPr>
        <w:tblStyle w:val="GridTable5Dark-Accent1"/>
        <w:tblW w:w="5000" w:type="pct"/>
        <w:jc w:val="center"/>
        <w:tblLayout w:type="fixed"/>
        <w:tblLook w:val="04A0" w:firstRow="1" w:lastRow="0" w:firstColumn="1" w:lastColumn="0" w:noHBand="0" w:noVBand="1"/>
      </w:tblPr>
      <w:tblGrid>
        <w:gridCol w:w="3970"/>
        <w:gridCol w:w="1495"/>
        <w:gridCol w:w="1388"/>
        <w:gridCol w:w="1388"/>
        <w:gridCol w:w="1388"/>
      </w:tblGrid>
      <w:tr w:rsidR="00FE4D65" w:rsidRPr="00FE4D65" w14:paraId="2E16D5E4" w14:textId="77777777" w:rsidTr="00CB05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9" w:type="dxa"/>
            <w:hideMark/>
          </w:tcPr>
          <w:p w14:paraId="23AD4BB7" w14:textId="77777777" w:rsidR="00FE4D65" w:rsidRPr="00FE4D65" w:rsidRDefault="00FE4D65" w:rsidP="00FB379C">
            <w:pPr>
              <w:pStyle w:val="Tablehead"/>
              <w:rPr>
                <w:lang w:val="en-GB"/>
              </w:rPr>
            </w:pPr>
            <w:bookmarkStart w:id="284" w:name="lt_pId1018"/>
            <w:r w:rsidRPr="00FE4D65">
              <w:rPr>
                <w:lang w:val="es-ES"/>
              </w:rPr>
              <w:t>Manual</w:t>
            </w:r>
            <w:bookmarkEnd w:id="284"/>
          </w:p>
        </w:tc>
        <w:tc>
          <w:tcPr>
            <w:tcW w:w="1461" w:type="dxa"/>
            <w:hideMark/>
          </w:tcPr>
          <w:p w14:paraId="4A3E67B9"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2020</w:t>
            </w:r>
          </w:p>
        </w:tc>
        <w:tc>
          <w:tcPr>
            <w:tcW w:w="1357" w:type="dxa"/>
          </w:tcPr>
          <w:p w14:paraId="571DFF8B"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2021</w:t>
            </w:r>
          </w:p>
        </w:tc>
        <w:tc>
          <w:tcPr>
            <w:tcW w:w="1357" w:type="dxa"/>
          </w:tcPr>
          <w:p w14:paraId="34E16172"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2022</w:t>
            </w:r>
          </w:p>
        </w:tc>
        <w:tc>
          <w:tcPr>
            <w:tcW w:w="1357" w:type="dxa"/>
          </w:tcPr>
          <w:p w14:paraId="4564261C" w14:textId="77777777" w:rsidR="00FE4D65" w:rsidRPr="00FE4D65" w:rsidRDefault="00FE4D65" w:rsidP="00FB379C">
            <w:pPr>
              <w:pStyle w:val="Tablehead"/>
              <w:cnfStyle w:val="100000000000" w:firstRow="1" w:lastRow="0" w:firstColumn="0" w:lastColumn="0" w:oddVBand="0" w:evenVBand="0" w:oddHBand="0" w:evenHBand="0" w:firstRowFirstColumn="0" w:firstRowLastColumn="0" w:lastRowFirstColumn="0" w:lastRowLastColumn="0"/>
              <w:rPr>
                <w:lang w:val="en-GB"/>
              </w:rPr>
            </w:pPr>
            <w:r w:rsidRPr="00FE4D65">
              <w:rPr>
                <w:lang w:val="es-ES"/>
              </w:rPr>
              <w:t>2023</w:t>
            </w:r>
          </w:p>
        </w:tc>
      </w:tr>
      <w:tr w:rsidR="00FE4D65" w:rsidRPr="00FE4D65" w14:paraId="6190E3EF" w14:textId="77777777" w:rsidTr="00C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9" w:type="dxa"/>
            <w:hideMark/>
          </w:tcPr>
          <w:p w14:paraId="3D185DE0" w14:textId="5DA9B07C" w:rsidR="00FE4D65" w:rsidRPr="00FE4D65" w:rsidRDefault="00FE4D65" w:rsidP="00CB0580">
            <w:pPr>
              <w:pStyle w:val="Tabletext"/>
              <w:jc w:val="center"/>
              <w:rPr>
                <w:lang w:val="es-ES"/>
              </w:rPr>
            </w:pPr>
            <w:bookmarkStart w:id="285" w:name="lt_pId1023"/>
            <w:r w:rsidRPr="00FE4D65">
              <w:rPr>
                <w:lang w:val="es-ES"/>
              </w:rPr>
              <w:t xml:space="preserve">Serie sobre gestión del espectro </w:t>
            </w:r>
            <w:r w:rsidR="00CB0580">
              <w:rPr>
                <w:lang w:val="es-ES"/>
              </w:rPr>
              <w:br/>
            </w:r>
            <w:r w:rsidRPr="00FE4D65">
              <w:rPr>
                <w:lang w:val="es-ES"/>
              </w:rPr>
              <w:t>(copias impresas vendidas)</w:t>
            </w:r>
            <w:bookmarkEnd w:id="285"/>
          </w:p>
        </w:tc>
        <w:tc>
          <w:tcPr>
            <w:tcW w:w="1461" w:type="dxa"/>
            <w:vAlign w:val="center"/>
            <w:hideMark/>
          </w:tcPr>
          <w:p w14:paraId="6AD6303E" w14:textId="77777777" w:rsidR="00FE4D65" w:rsidRPr="00FE4D65"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3</w:t>
            </w:r>
          </w:p>
        </w:tc>
        <w:tc>
          <w:tcPr>
            <w:tcW w:w="1357" w:type="dxa"/>
            <w:vAlign w:val="center"/>
          </w:tcPr>
          <w:p w14:paraId="36059A82" w14:textId="77777777" w:rsidR="00FE4D65" w:rsidRPr="00FE4D65"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5</w:t>
            </w:r>
          </w:p>
        </w:tc>
        <w:tc>
          <w:tcPr>
            <w:tcW w:w="1357" w:type="dxa"/>
            <w:vAlign w:val="center"/>
          </w:tcPr>
          <w:p w14:paraId="10053AEE" w14:textId="77777777" w:rsidR="00FE4D65" w:rsidRPr="00FE4D65"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lang w:val="en-GB"/>
              </w:rPr>
            </w:pPr>
            <w:r w:rsidRPr="00FE4D65">
              <w:rPr>
                <w:lang w:val="es-ES"/>
              </w:rPr>
              <w:t>0</w:t>
            </w:r>
          </w:p>
        </w:tc>
        <w:tc>
          <w:tcPr>
            <w:tcW w:w="1357" w:type="dxa"/>
            <w:vAlign w:val="center"/>
          </w:tcPr>
          <w:p w14:paraId="33B27DCD" w14:textId="12876172" w:rsidR="00FE4D65" w:rsidRPr="00FE4D65" w:rsidRDefault="00CB0580" w:rsidP="00CB0580">
            <w:pPr>
              <w:pStyle w:val="Tabletext"/>
              <w:jc w:val="center"/>
              <w:cnfStyle w:val="000000100000" w:firstRow="0" w:lastRow="0" w:firstColumn="0" w:lastColumn="0" w:oddVBand="0" w:evenVBand="0" w:oddHBand="1" w:evenHBand="0" w:firstRowFirstColumn="0" w:firstRowLastColumn="0" w:lastRowFirstColumn="0" w:lastRowLastColumn="0"/>
              <w:rPr>
                <w:lang w:val="en-US"/>
              </w:rPr>
            </w:pPr>
            <w:r w:rsidRPr="00CB0580">
              <w:rPr>
                <w:lang w:val="en-US"/>
              </w:rPr>
              <w:t>–</w:t>
            </w:r>
          </w:p>
        </w:tc>
      </w:tr>
      <w:tr w:rsidR="00FE4D65" w:rsidRPr="00FE4D65" w14:paraId="4E7262DE" w14:textId="77777777" w:rsidTr="00CB0580">
        <w:trPr>
          <w:jc w:val="center"/>
        </w:trPr>
        <w:tc>
          <w:tcPr>
            <w:cnfStyle w:val="001000000000" w:firstRow="0" w:lastRow="0" w:firstColumn="1" w:lastColumn="0" w:oddVBand="0" w:evenVBand="0" w:oddHBand="0" w:evenHBand="0" w:firstRowFirstColumn="0" w:firstRowLastColumn="0" w:lastRowFirstColumn="0" w:lastRowLastColumn="0"/>
            <w:tcW w:w="3879" w:type="dxa"/>
            <w:hideMark/>
          </w:tcPr>
          <w:p w14:paraId="0E852616" w14:textId="51E45AFD" w:rsidR="00FE4D65" w:rsidRPr="00FE4D65" w:rsidRDefault="00FE4D65" w:rsidP="00CB0580">
            <w:pPr>
              <w:pStyle w:val="Tabletext"/>
              <w:jc w:val="center"/>
              <w:rPr>
                <w:lang w:val="es-ES"/>
              </w:rPr>
            </w:pPr>
            <w:bookmarkStart w:id="286" w:name="lt_pId1028"/>
            <w:r w:rsidRPr="00FE4D65">
              <w:rPr>
                <w:lang w:val="es-ES"/>
              </w:rPr>
              <w:t xml:space="preserve">Otros Manuales </w:t>
            </w:r>
            <w:r w:rsidR="00CB0580">
              <w:rPr>
                <w:lang w:val="es-ES"/>
              </w:rPr>
              <w:br/>
            </w:r>
            <w:r w:rsidRPr="00FE4D65">
              <w:rPr>
                <w:lang w:val="es-ES"/>
              </w:rPr>
              <w:t>(copias impresas vendidas)</w:t>
            </w:r>
            <w:bookmarkEnd w:id="286"/>
          </w:p>
        </w:tc>
        <w:tc>
          <w:tcPr>
            <w:tcW w:w="1461" w:type="dxa"/>
            <w:vAlign w:val="center"/>
            <w:hideMark/>
          </w:tcPr>
          <w:p w14:paraId="2512E0CD"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w:t>
            </w:r>
          </w:p>
        </w:tc>
        <w:tc>
          <w:tcPr>
            <w:tcW w:w="1357" w:type="dxa"/>
            <w:vAlign w:val="center"/>
          </w:tcPr>
          <w:p w14:paraId="6046E4E6"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5</w:t>
            </w:r>
          </w:p>
        </w:tc>
        <w:tc>
          <w:tcPr>
            <w:tcW w:w="1357" w:type="dxa"/>
            <w:vAlign w:val="center"/>
          </w:tcPr>
          <w:p w14:paraId="1AC82FE3"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GB"/>
              </w:rPr>
            </w:pPr>
            <w:r w:rsidRPr="00FE4D65">
              <w:rPr>
                <w:lang w:val="es-ES"/>
              </w:rPr>
              <w:t>4</w:t>
            </w:r>
          </w:p>
        </w:tc>
        <w:tc>
          <w:tcPr>
            <w:tcW w:w="1357" w:type="dxa"/>
            <w:vAlign w:val="center"/>
          </w:tcPr>
          <w:p w14:paraId="0CE1D343" w14:textId="3FEBFE3D" w:rsidR="00FE4D65" w:rsidRPr="00FE4D65" w:rsidRDefault="00CB0580"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US"/>
              </w:rPr>
            </w:pPr>
            <w:r w:rsidRPr="00CB0580">
              <w:rPr>
                <w:lang w:val="en-US"/>
              </w:rPr>
              <w:t>–</w:t>
            </w:r>
          </w:p>
        </w:tc>
      </w:tr>
      <w:tr w:rsidR="00CB0580" w:rsidRPr="00FE4D65" w14:paraId="0FEF006D" w14:textId="77777777" w:rsidTr="00C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9" w:type="dxa"/>
            <w:tcBorders>
              <w:bottom w:val="nil"/>
            </w:tcBorders>
            <w:hideMark/>
          </w:tcPr>
          <w:p w14:paraId="1547BAF7" w14:textId="1A40E16B" w:rsidR="00FE4D65" w:rsidRPr="00FE4D65" w:rsidRDefault="00FE4D65" w:rsidP="00CB0580">
            <w:pPr>
              <w:pStyle w:val="Tabletext"/>
              <w:jc w:val="center"/>
              <w:rPr>
                <w:lang w:val="en-GB"/>
              </w:rPr>
            </w:pPr>
            <w:bookmarkStart w:id="287" w:name="lt_pId1033"/>
            <w:r w:rsidRPr="00FE4D65">
              <w:rPr>
                <w:lang w:val="es-ES"/>
              </w:rPr>
              <w:t>TOTAL</w:t>
            </w:r>
            <w:bookmarkEnd w:id="287"/>
          </w:p>
        </w:tc>
        <w:tc>
          <w:tcPr>
            <w:tcW w:w="1461" w:type="dxa"/>
            <w:tcBorders>
              <w:bottom w:val="nil"/>
            </w:tcBorders>
            <w:vAlign w:val="center"/>
            <w:hideMark/>
          </w:tcPr>
          <w:p w14:paraId="7BDC40D0" w14:textId="77777777"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7</w:t>
            </w:r>
          </w:p>
        </w:tc>
        <w:tc>
          <w:tcPr>
            <w:tcW w:w="1357" w:type="dxa"/>
            <w:tcBorders>
              <w:bottom w:val="nil"/>
            </w:tcBorders>
            <w:vAlign w:val="center"/>
          </w:tcPr>
          <w:p w14:paraId="4BAF5669" w14:textId="77777777"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10</w:t>
            </w:r>
          </w:p>
        </w:tc>
        <w:tc>
          <w:tcPr>
            <w:tcW w:w="1357" w:type="dxa"/>
            <w:tcBorders>
              <w:bottom w:val="nil"/>
            </w:tcBorders>
            <w:vAlign w:val="center"/>
          </w:tcPr>
          <w:p w14:paraId="2092D4E3" w14:textId="77777777"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4</w:t>
            </w:r>
          </w:p>
        </w:tc>
        <w:tc>
          <w:tcPr>
            <w:tcW w:w="1357" w:type="dxa"/>
            <w:tcBorders>
              <w:bottom w:val="nil"/>
            </w:tcBorders>
            <w:vAlign w:val="center"/>
          </w:tcPr>
          <w:p w14:paraId="3BFDBAAB" w14:textId="245A70FB" w:rsidR="00FE4D65" w:rsidRPr="00CB0580" w:rsidRDefault="00CB0580"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US"/>
              </w:rPr>
            </w:pPr>
            <w:r w:rsidRPr="00CB0580">
              <w:rPr>
                <w:b/>
                <w:bCs/>
                <w:lang w:val="en-US"/>
              </w:rPr>
              <w:t>–</w:t>
            </w:r>
          </w:p>
        </w:tc>
      </w:tr>
      <w:tr w:rsidR="00CB0580" w:rsidRPr="00FE4D65" w14:paraId="28357B7C" w14:textId="77777777" w:rsidTr="00CB0580">
        <w:trPr>
          <w:jc w:val="center"/>
        </w:trPr>
        <w:tc>
          <w:tcPr>
            <w:cnfStyle w:val="001000000000" w:firstRow="0" w:lastRow="0" w:firstColumn="1" w:lastColumn="0" w:oddVBand="0" w:evenVBand="0" w:oddHBand="0" w:evenHBand="0" w:firstRowFirstColumn="0" w:firstRowLastColumn="0" w:lastRowFirstColumn="0" w:lastRowLastColumn="0"/>
            <w:tcW w:w="3879" w:type="dxa"/>
            <w:tcBorders>
              <w:top w:val="nil"/>
            </w:tcBorders>
          </w:tcPr>
          <w:p w14:paraId="5EF001F4" w14:textId="77777777" w:rsidR="00FE4D65" w:rsidRPr="00FE4D65" w:rsidRDefault="00FE4D65" w:rsidP="00CB0580">
            <w:pPr>
              <w:pStyle w:val="Tabletext"/>
              <w:jc w:val="center"/>
              <w:rPr>
                <w:lang w:val="en-GB"/>
              </w:rPr>
            </w:pPr>
          </w:p>
        </w:tc>
        <w:tc>
          <w:tcPr>
            <w:tcW w:w="1461" w:type="dxa"/>
            <w:tcBorders>
              <w:top w:val="nil"/>
            </w:tcBorders>
            <w:vAlign w:val="center"/>
          </w:tcPr>
          <w:p w14:paraId="3887DBDC"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357" w:type="dxa"/>
            <w:tcBorders>
              <w:top w:val="nil"/>
            </w:tcBorders>
            <w:vAlign w:val="center"/>
          </w:tcPr>
          <w:p w14:paraId="4F0A682E"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357" w:type="dxa"/>
            <w:tcBorders>
              <w:top w:val="nil"/>
            </w:tcBorders>
            <w:vAlign w:val="center"/>
          </w:tcPr>
          <w:p w14:paraId="5D4B7DB5"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US"/>
              </w:rPr>
            </w:pPr>
          </w:p>
        </w:tc>
        <w:tc>
          <w:tcPr>
            <w:tcW w:w="1357" w:type="dxa"/>
            <w:tcBorders>
              <w:top w:val="nil"/>
            </w:tcBorders>
            <w:vAlign w:val="center"/>
          </w:tcPr>
          <w:p w14:paraId="34227028" w14:textId="77777777" w:rsidR="00FE4D65" w:rsidRPr="00FE4D65" w:rsidRDefault="00FE4D65" w:rsidP="00CB0580">
            <w:pPr>
              <w:pStyle w:val="Tabletext"/>
              <w:jc w:val="center"/>
              <w:cnfStyle w:val="000000000000" w:firstRow="0" w:lastRow="0" w:firstColumn="0" w:lastColumn="0" w:oddVBand="0" w:evenVBand="0" w:oddHBand="0" w:evenHBand="0" w:firstRowFirstColumn="0" w:firstRowLastColumn="0" w:lastRowFirstColumn="0" w:lastRowLastColumn="0"/>
              <w:rPr>
                <w:lang w:val="en-US"/>
              </w:rPr>
            </w:pPr>
          </w:p>
        </w:tc>
      </w:tr>
      <w:tr w:rsidR="00FE4D65" w:rsidRPr="00FE4D65" w14:paraId="73446EF4" w14:textId="77777777" w:rsidTr="00C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9" w:type="dxa"/>
          </w:tcPr>
          <w:p w14:paraId="26CF0C6E" w14:textId="430AC6E4" w:rsidR="00FE4D65" w:rsidRPr="00FE4D65" w:rsidRDefault="00FE4D65" w:rsidP="00CB0580">
            <w:pPr>
              <w:pStyle w:val="Tabletext"/>
              <w:jc w:val="center"/>
              <w:rPr>
                <w:lang w:val="en-GB"/>
              </w:rPr>
            </w:pPr>
            <w:bookmarkStart w:id="288" w:name="lt_pId1038"/>
            <w:r w:rsidRPr="00FE4D65">
              <w:rPr>
                <w:lang w:val="es-ES"/>
              </w:rPr>
              <w:t>Descargas gratuitas</w:t>
            </w:r>
            <w:bookmarkEnd w:id="288"/>
          </w:p>
        </w:tc>
        <w:tc>
          <w:tcPr>
            <w:tcW w:w="1461" w:type="dxa"/>
            <w:vAlign w:val="center"/>
          </w:tcPr>
          <w:p w14:paraId="701C9D44" w14:textId="7EFB6FE4"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79</w:t>
            </w:r>
            <w:r w:rsidR="00CB0580">
              <w:rPr>
                <w:b/>
                <w:bCs/>
                <w:lang w:val="es-ES"/>
              </w:rPr>
              <w:t> </w:t>
            </w:r>
            <w:r w:rsidRPr="00CB0580">
              <w:rPr>
                <w:b/>
                <w:bCs/>
                <w:lang w:val="es-ES"/>
              </w:rPr>
              <w:t>961</w:t>
            </w:r>
          </w:p>
        </w:tc>
        <w:tc>
          <w:tcPr>
            <w:tcW w:w="1357" w:type="dxa"/>
            <w:vAlign w:val="center"/>
          </w:tcPr>
          <w:p w14:paraId="14CA3A95" w14:textId="229377C6"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126</w:t>
            </w:r>
            <w:r w:rsidR="00CB0580">
              <w:rPr>
                <w:b/>
                <w:bCs/>
                <w:lang w:val="es-ES"/>
              </w:rPr>
              <w:t> </w:t>
            </w:r>
            <w:r w:rsidRPr="00CB0580">
              <w:rPr>
                <w:b/>
                <w:bCs/>
                <w:lang w:val="es-ES"/>
              </w:rPr>
              <w:t>201</w:t>
            </w:r>
          </w:p>
        </w:tc>
        <w:tc>
          <w:tcPr>
            <w:tcW w:w="1357" w:type="dxa"/>
            <w:vAlign w:val="center"/>
          </w:tcPr>
          <w:p w14:paraId="2D3629CA" w14:textId="140A1941"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134</w:t>
            </w:r>
            <w:r w:rsidR="00CB0580">
              <w:rPr>
                <w:b/>
                <w:bCs/>
                <w:lang w:val="es-ES"/>
              </w:rPr>
              <w:t> </w:t>
            </w:r>
            <w:r w:rsidRPr="00CB0580">
              <w:rPr>
                <w:b/>
                <w:bCs/>
                <w:lang w:val="es-ES"/>
              </w:rPr>
              <w:t>159</w:t>
            </w:r>
          </w:p>
        </w:tc>
        <w:tc>
          <w:tcPr>
            <w:tcW w:w="1357" w:type="dxa"/>
            <w:vAlign w:val="center"/>
          </w:tcPr>
          <w:p w14:paraId="11EE050D" w14:textId="1FC1821F" w:rsidR="00FE4D65" w:rsidRPr="00CB0580" w:rsidRDefault="00FE4D65" w:rsidP="00CB0580">
            <w:pPr>
              <w:pStyle w:val="Tabletext"/>
              <w:jc w:val="center"/>
              <w:cnfStyle w:val="000000100000" w:firstRow="0" w:lastRow="0" w:firstColumn="0" w:lastColumn="0" w:oddVBand="0" w:evenVBand="0" w:oddHBand="1" w:evenHBand="0" w:firstRowFirstColumn="0" w:firstRowLastColumn="0" w:lastRowFirstColumn="0" w:lastRowLastColumn="0"/>
              <w:rPr>
                <w:b/>
                <w:bCs/>
                <w:lang w:val="en-GB"/>
              </w:rPr>
            </w:pPr>
            <w:r w:rsidRPr="00CB0580">
              <w:rPr>
                <w:b/>
                <w:bCs/>
                <w:lang w:val="es-ES"/>
              </w:rPr>
              <w:t>143</w:t>
            </w:r>
            <w:r w:rsidR="00CB0580">
              <w:rPr>
                <w:b/>
                <w:bCs/>
                <w:lang w:val="es-ES"/>
              </w:rPr>
              <w:t> </w:t>
            </w:r>
            <w:r w:rsidRPr="00CB0580">
              <w:rPr>
                <w:b/>
                <w:bCs/>
                <w:lang w:val="es-ES"/>
              </w:rPr>
              <w:t>478</w:t>
            </w:r>
          </w:p>
        </w:tc>
      </w:tr>
    </w:tbl>
    <w:p w14:paraId="23617F6D" w14:textId="49CDE287" w:rsidR="00FE4D65" w:rsidRPr="00FE4D65" w:rsidRDefault="00FE4D65" w:rsidP="002F4844">
      <w:pPr>
        <w:pStyle w:val="Heading2"/>
        <w:rPr>
          <w:lang w:val="es-ES"/>
        </w:rPr>
      </w:pPr>
      <w:bookmarkStart w:id="289" w:name="_Toc424047601"/>
      <w:bookmarkStart w:id="290" w:name="_Toc446060783"/>
      <w:bookmarkEnd w:id="198"/>
      <w:bookmarkEnd w:id="199"/>
      <w:r w:rsidRPr="00FE4D65">
        <w:rPr>
          <w:lang w:val="es-ES"/>
        </w:rPr>
        <w:t>8.2</w:t>
      </w:r>
      <w:r w:rsidRPr="00FE4D65">
        <w:rPr>
          <w:lang w:val="es-ES"/>
        </w:rPr>
        <w:tab/>
        <w:t>Seminarios, talleres y otros eventos</w:t>
      </w:r>
      <w:bookmarkStart w:id="291" w:name="lt_pId1044"/>
      <w:bookmarkEnd w:id="291"/>
      <w:bookmarkEnd w:id="289"/>
      <w:bookmarkEnd w:id="290"/>
    </w:p>
    <w:p w14:paraId="6E624AF1" w14:textId="1EEAB2D0" w:rsidR="00FE4D65" w:rsidRPr="00FE4D65" w:rsidRDefault="00FE4D65" w:rsidP="00FE4D65">
      <w:pPr>
        <w:rPr>
          <w:lang w:val="es-ES"/>
        </w:rPr>
      </w:pPr>
      <w:bookmarkStart w:id="292" w:name="lt_pId1045"/>
      <w:r w:rsidRPr="00FE4D65">
        <w:rPr>
          <w:lang w:val="es-ES"/>
        </w:rPr>
        <w:t xml:space="preserve">Durante el periodo de estudios 2019-2023, se celebraron Seminarios Mundiales y Regionales de Radiocomunicaciones (SMR y SRR), con el objetivo de divulgar a escala mundial las actualizaciones contenidas en la edición de 2020 del Reglamento de Radiocomunicaciones y las Reglas de Procedimiento correspondientes. Durante dicho periodo, la BR organizó dos Seminarios Mundiales de Radiocomunicaciones (SMR) bienales y </w:t>
      </w:r>
      <w:r w:rsidR="004425C6">
        <w:rPr>
          <w:lang w:val="es-ES"/>
        </w:rPr>
        <w:t>diez</w:t>
      </w:r>
      <w:r w:rsidRPr="00FE4D65">
        <w:rPr>
          <w:lang w:val="es-ES"/>
        </w:rPr>
        <w:t xml:space="preserve"> Seminarios Regionales de Radiocomunicaciones (SRS), aplicando el principio de rotación entre las Regiones en la medida de lo posible.</w:t>
      </w:r>
      <w:bookmarkStart w:id="293" w:name="lt_pId1046"/>
      <w:bookmarkEnd w:id="292"/>
      <w:bookmarkEnd w:id="293"/>
    </w:p>
    <w:p w14:paraId="4BE1F14B" w14:textId="77777777" w:rsidR="00FE4D65" w:rsidRPr="00FE4D65" w:rsidRDefault="00FE4D65" w:rsidP="00FE4D65">
      <w:pPr>
        <w:rPr>
          <w:lang w:val="es-ES"/>
        </w:rPr>
      </w:pPr>
      <w:bookmarkStart w:id="294" w:name="lt_pId1047"/>
      <w:r w:rsidRPr="00FE4D65">
        <w:rPr>
          <w:lang w:val="es-ES"/>
        </w:rPr>
        <w:t>Las cifras que figuran a continuación muestran la participación correspondiente al periodo de estudios 2019-2023:</w:t>
      </w:r>
      <w:bookmarkEnd w:id="294"/>
    </w:p>
    <w:p w14:paraId="35F299E5" w14:textId="24A71237" w:rsidR="00FE4D65" w:rsidRPr="00FE4D65" w:rsidRDefault="002F4844" w:rsidP="002F4844">
      <w:pPr>
        <w:pStyle w:val="enumlev1"/>
        <w:rPr>
          <w:lang w:val="es-ES"/>
        </w:rPr>
      </w:pPr>
      <w:bookmarkStart w:id="295" w:name="lt_pId1048"/>
      <w:r w:rsidRPr="002F4844">
        <w:rPr>
          <w:lang w:val="es-ES"/>
        </w:rPr>
        <w:t>•</w:t>
      </w:r>
      <w:r>
        <w:rPr>
          <w:lang w:val="es-ES"/>
        </w:rPr>
        <w:tab/>
      </w:r>
      <w:r w:rsidR="00FE4D65" w:rsidRPr="00FE4D65">
        <w:rPr>
          <w:lang w:val="es-ES"/>
        </w:rPr>
        <w:t>En dos SMR: 1</w:t>
      </w:r>
      <w:r w:rsidR="00F039CA">
        <w:rPr>
          <w:lang w:val="es-ES"/>
        </w:rPr>
        <w:t> </w:t>
      </w:r>
      <w:r w:rsidR="00FE4D65" w:rsidRPr="00FE4D65">
        <w:rPr>
          <w:lang w:val="es-ES"/>
        </w:rPr>
        <w:t>773</w:t>
      </w:r>
      <w:r w:rsidR="00F039CA">
        <w:rPr>
          <w:lang w:val="es-ES"/>
        </w:rPr>
        <w:t> </w:t>
      </w:r>
      <w:r w:rsidR="00FE4D65" w:rsidRPr="00FE4D65">
        <w:rPr>
          <w:lang w:val="es-ES"/>
        </w:rPr>
        <w:t>participantes de más de 156</w:t>
      </w:r>
      <w:r w:rsidR="004425C6">
        <w:rPr>
          <w:lang w:val="es-ES"/>
        </w:rPr>
        <w:t> </w:t>
      </w:r>
      <w:r w:rsidR="00FE4D65" w:rsidRPr="00FE4D65">
        <w:rPr>
          <w:lang w:val="es-ES"/>
        </w:rPr>
        <w:t>países.</w:t>
      </w:r>
      <w:bookmarkEnd w:id="295"/>
    </w:p>
    <w:p w14:paraId="3706C341" w14:textId="1CF0F26B" w:rsidR="00FE4D65" w:rsidRPr="00FE4D65" w:rsidRDefault="002F4844" w:rsidP="002F4844">
      <w:pPr>
        <w:pStyle w:val="enumlev1"/>
        <w:rPr>
          <w:lang w:val="es-ES"/>
        </w:rPr>
      </w:pPr>
      <w:bookmarkStart w:id="296" w:name="lt_pId1049"/>
      <w:r w:rsidRPr="002F4844">
        <w:rPr>
          <w:lang w:val="es-ES"/>
        </w:rPr>
        <w:t>•</w:t>
      </w:r>
      <w:r>
        <w:rPr>
          <w:lang w:val="es-ES"/>
        </w:rPr>
        <w:tab/>
      </w:r>
      <w:r w:rsidR="00FE4D65" w:rsidRPr="00FE4D65">
        <w:rPr>
          <w:lang w:val="es-ES"/>
        </w:rPr>
        <w:t xml:space="preserve">En </w:t>
      </w:r>
      <w:r w:rsidR="004425C6">
        <w:rPr>
          <w:lang w:val="es-ES"/>
        </w:rPr>
        <w:t>diez</w:t>
      </w:r>
      <w:r w:rsidR="00FE4D65" w:rsidRPr="00FE4D65">
        <w:rPr>
          <w:lang w:val="es-ES"/>
        </w:rPr>
        <w:t xml:space="preserve"> SRR: 906</w:t>
      </w:r>
      <w:r w:rsidR="00F039CA">
        <w:rPr>
          <w:lang w:val="es-ES"/>
        </w:rPr>
        <w:t> </w:t>
      </w:r>
      <w:r w:rsidR="00FE4D65" w:rsidRPr="00FE4D65">
        <w:rPr>
          <w:lang w:val="es-ES"/>
        </w:rPr>
        <w:t>participantes de más de 165</w:t>
      </w:r>
      <w:r w:rsidR="004425C6">
        <w:rPr>
          <w:lang w:val="es-ES"/>
        </w:rPr>
        <w:t> </w:t>
      </w:r>
      <w:r w:rsidR="00FE4D65" w:rsidRPr="00FE4D65">
        <w:rPr>
          <w:lang w:val="es-ES"/>
        </w:rPr>
        <w:t>países.</w:t>
      </w:r>
      <w:bookmarkEnd w:id="296"/>
    </w:p>
    <w:p w14:paraId="197D5F05" w14:textId="62C33092" w:rsidR="00FE4D65" w:rsidRPr="00FE4D65" w:rsidRDefault="00FE4D65" w:rsidP="00FE4D65">
      <w:pPr>
        <w:rPr>
          <w:lang w:val="es-ES"/>
        </w:rPr>
      </w:pPr>
      <w:bookmarkStart w:id="297" w:name="lt_pId1050"/>
      <w:r w:rsidRPr="00FE4D65">
        <w:rPr>
          <w:lang w:val="es-ES"/>
        </w:rPr>
        <w:t>Total: 12 seminarios y 3</w:t>
      </w:r>
      <w:r w:rsidR="00F039CA">
        <w:rPr>
          <w:lang w:val="es-ES"/>
        </w:rPr>
        <w:t> </w:t>
      </w:r>
      <w:r w:rsidRPr="00FE4D65">
        <w:rPr>
          <w:lang w:val="es-ES"/>
        </w:rPr>
        <w:t>039</w:t>
      </w:r>
      <w:r w:rsidR="00F039CA">
        <w:rPr>
          <w:lang w:val="es-ES"/>
        </w:rPr>
        <w:t> </w:t>
      </w:r>
      <w:r w:rsidRPr="00FE4D65">
        <w:rPr>
          <w:lang w:val="es-ES"/>
        </w:rPr>
        <w:t>participantes de más de 180</w:t>
      </w:r>
      <w:r w:rsidR="004425C6">
        <w:rPr>
          <w:lang w:val="es-ES"/>
        </w:rPr>
        <w:t> </w:t>
      </w:r>
      <w:r w:rsidRPr="00FE4D65">
        <w:rPr>
          <w:lang w:val="es-ES"/>
        </w:rPr>
        <w:t>países.</w:t>
      </w:r>
      <w:bookmarkEnd w:id="297"/>
    </w:p>
    <w:p w14:paraId="79B30473" w14:textId="0A92184C" w:rsidR="00FE4D65" w:rsidRPr="00FE4D65" w:rsidRDefault="00FE4D65" w:rsidP="00FE4D65">
      <w:pPr>
        <w:rPr>
          <w:lang w:val="es-ES"/>
        </w:rPr>
      </w:pPr>
      <w:bookmarkStart w:id="298" w:name="lt_pId1051"/>
      <w:r w:rsidRPr="00FE4D65">
        <w:rPr>
          <w:lang w:val="es-ES"/>
        </w:rPr>
        <w:t xml:space="preserve">Los SMR y SRR se llevaron a cabo </w:t>
      </w:r>
      <w:r w:rsidRPr="00FE4D65">
        <w:rPr>
          <w:i/>
          <w:iCs/>
          <w:lang w:val="es-ES"/>
        </w:rPr>
        <w:t>sin hacer uso del papel</w:t>
      </w:r>
      <w:r w:rsidRPr="00FE4D65">
        <w:rPr>
          <w:lang w:val="es-ES"/>
        </w:rPr>
        <w:t xml:space="preserve"> y sus actas pueden consultarse en el sitio web de la UIT: </w:t>
      </w:r>
      <w:hyperlink r:id="rId56" w:history="1">
        <w:r w:rsidR="00F039CA" w:rsidRPr="00FE4D65">
          <w:rPr>
            <w:rStyle w:val="Hyperlink"/>
            <w:lang w:val="es-ES"/>
          </w:rPr>
          <w:t>http://www.itu.int/ITU-R/go/seminars</w:t>
        </w:r>
      </w:hyperlink>
      <w:r w:rsidRPr="00FE4D65">
        <w:rPr>
          <w:lang w:val="es-ES"/>
        </w:rPr>
        <w:t>.</w:t>
      </w:r>
      <w:bookmarkEnd w:id="298"/>
    </w:p>
    <w:p w14:paraId="63BEB479" w14:textId="315D4202" w:rsidR="00FE4D65" w:rsidRPr="00FE4D65" w:rsidRDefault="00FE4D65" w:rsidP="00FE4D65">
      <w:pPr>
        <w:rPr>
          <w:lang w:val="es-ES"/>
        </w:rPr>
      </w:pPr>
      <w:bookmarkStart w:id="299" w:name="lt_pId1052"/>
      <w:r w:rsidRPr="00FE4D65">
        <w:rPr>
          <w:lang w:val="es-ES"/>
        </w:rPr>
        <w:t>Durante este periodo, la Oficina otorgó más de 30</w:t>
      </w:r>
      <w:r w:rsidR="004425C6">
        <w:rPr>
          <w:lang w:val="es-ES"/>
        </w:rPr>
        <w:t> </w:t>
      </w:r>
      <w:r w:rsidRPr="00FE4D65">
        <w:rPr>
          <w:lang w:val="es-ES"/>
        </w:rPr>
        <w:t>becas para los SRR en formato presencial y 23 becas para los SMR (una por administración para los países que reunían los requisitos correspondientes).</w:t>
      </w:r>
      <w:bookmarkEnd w:id="299"/>
    </w:p>
    <w:p w14:paraId="261E7A2C" w14:textId="77777777" w:rsidR="00FE4D65" w:rsidRPr="00FE4D65" w:rsidRDefault="00FE4D65" w:rsidP="00FE4D65">
      <w:pPr>
        <w:rPr>
          <w:lang w:val="es-ES"/>
        </w:rPr>
      </w:pPr>
      <w:bookmarkStart w:id="300" w:name="lt_pId1053"/>
      <w:r w:rsidRPr="00FE4D65">
        <w:rPr>
          <w:lang w:val="es-ES"/>
        </w:rPr>
        <w:t>Desde 2024, se ha iniciado el nuevo ciclo de eventos SMR y SRR entre dos CMR: el ciclo de SMR y SRR para el periodo 2024-2027. El objetivo de estos seminarios es la divulgación en todo el mundo de las actualizaciones que contiene la edición de 2024 del Reglamento de Radiocomunicaciones (con las decisiones adoptadas por la CMR-23) y las Reglas de Procedimiento (RdP) correspondientes. En base a la experiencia de los SMR y SRR anteriores, la planificación del ciclo de SMR y SRR para 2024-2027 prevé la celebración de dos Seminarios Mundiales de Radiocomunicaciones (SMR) bienales y de 11 Seminarios Regionales de Radiocomunicaciones (SRR) (cada uno dedicado a una subregión diferente), como se indica a continuación:</w:t>
      </w:r>
      <w:bookmarkStart w:id="301" w:name="lt_pId1054"/>
      <w:bookmarkStart w:id="302" w:name="lt_pId1055"/>
      <w:bookmarkEnd w:id="300"/>
      <w:bookmarkEnd w:id="301"/>
      <w:bookmarkEnd w:id="302"/>
    </w:p>
    <w:p w14:paraId="7A41B941" w14:textId="77777777" w:rsidR="00FE4D65" w:rsidRPr="00FE4D65" w:rsidRDefault="00FE4D65" w:rsidP="00FB379C">
      <w:pPr>
        <w:pStyle w:val="TableNoBR"/>
        <w:rPr>
          <w:lang w:val="en-GB"/>
        </w:rPr>
      </w:pPr>
      <w:bookmarkStart w:id="303" w:name="lt_pId1056"/>
      <w:r w:rsidRPr="00FE4D65">
        <w:rPr>
          <w:lang w:val="es-ES"/>
        </w:rPr>
        <w:lastRenderedPageBreak/>
        <w:t>CUADRO 8.2.2-1</w:t>
      </w:r>
      <w:bookmarkEnd w:id="303"/>
    </w:p>
    <w:tbl>
      <w:tblPr>
        <w:tblStyle w:val="TableGrid"/>
        <w:tblW w:w="5000" w:type="pct"/>
        <w:jc w:val="center"/>
        <w:tblLayout w:type="fixed"/>
        <w:tblLook w:val="04A0" w:firstRow="1" w:lastRow="0" w:firstColumn="1" w:lastColumn="0" w:noHBand="0" w:noVBand="1"/>
      </w:tblPr>
      <w:tblGrid>
        <w:gridCol w:w="2711"/>
        <w:gridCol w:w="1596"/>
        <w:gridCol w:w="1903"/>
        <w:gridCol w:w="1134"/>
        <w:gridCol w:w="1218"/>
        <w:gridCol w:w="1067"/>
      </w:tblGrid>
      <w:tr w:rsidR="004425C6" w:rsidRPr="00FE4D65" w14:paraId="52075F76" w14:textId="77777777" w:rsidTr="004425C6">
        <w:trPr>
          <w:jc w:val="center"/>
        </w:trPr>
        <w:tc>
          <w:tcPr>
            <w:tcW w:w="2711" w:type="dxa"/>
            <w:noWrap/>
            <w:hideMark/>
          </w:tcPr>
          <w:p w14:paraId="466CF98F" w14:textId="77777777" w:rsidR="00FE4D65" w:rsidRPr="00FE4D65" w:rsidRDefault="00FE4D65" w:rsidP="00FB379C">
            <w:pPr>
              <w:pStyle w:val="Tablehead"/>
              <w:rPr>
                <w:lang w:val="en-GB"/>
              </w:rPr>
            </w:pPr>
          </w:p>
        </w:tc>
        <w:tc>
          <w:tcPr>
            <w:tcW w:w="1596" w:type="dxa"/>
            <w:noWrap/>
            <w:hideMark/>
          </w:tcPr>
          <w:p w14:paraId="5DAEC208" w14:textId="77777777" w:rsidR="00FE4D65" w:rsidRPr="00FE4D65" w:rsidRDefault="00FE4D65" w:rsidP="00FB379C">
            <w:pPr>
              <w:pStyle w:val="Tablehead"/>
              <w:rPr>
                <w:bCs/>
                <w:lang w:val="en-GB"/>
              </w:rPr>
            </w:pPr>
            <w:bookmarkStart w:id="304" w:name="lt_pId1057"/>
            <w:r w:rsidRPr="00FE4D65">
              <w:rPr>
                <w:bCs/>
                <w:lang w:val="es-ES"/>
              </w:rPr>
              <w:t>Idioma</w:t>
            </w:r>
            <w:bookmarkEnd w:id="304"/>
          </w:p>
        </w:tc>
        <w:tc>
          <w:tcPr>
            <w:tcW w:w="1903" w:type="dxa"/>
            <w:noWrap/>
            <w:hideMark/>
          </w:tcPr>
          <w:p w14:paraId="14569A01" w14:textId="77777777" w:rsidR="00FE4D65" w:rsidRPr="00FE4D65" w:rsidRDefault="00FE4D65" w:rsidP="00FB379C">
            <w:pPr>
              <w:pStyle w:val="Tablehead"/>
              <w:rPr>
                <w:bCs/>
                <w:lang w:val="en-GB"/>
              </w:rPr>
            </w:pPr>
            <w:r w:rsidRPr="00FE4D65">
              <w:rPr>
                <w:bCs/>
                <w:lang w:val="es-ES"/>
              </w:rPr>
              <w:t>2024</w:t>
            </w:r>
          </w:p>
        </w:tc>
        <w:tc>
          <w:tcPr>
            <w:tcW w:w="1134" w:type="dxa"/>
            <w:noWrap/>
            <w:hideMark/>
          </w:tcPr>
          <w:p w14:paraId="595EDDD2" w14:textId="77777777" w:rsidR="00FE4D65" w:rsidRPr="00FE4D65" w:rsidRDefault="00FE4D65" w:rsidP="00FB379C">
            <w:pPr>
              <w:pStyle w:val="Tablehead"/>
              <w:rPr>
                <w:bCs/>
                <w:lang w:val="en-GB"/>
              </w:rPr>
            </w:pPr>
            <w:r w:rsidRPr="00FE4D65">
              <w:rPr>
                <w:bCs/>
                <w:lang w:val="es-ES"/>
              </w:rPr>
              <w:t>2025</w:t>
            </w:r>
          </w:p>
        </w:tc>
        <w:tc>
          <w:tcPr>
            <w:tcW w:w="1218" w:type="dxa"/>
            <w:noWrap/>
            <w:hideMark/>
          </w:tcPr>
          <w:p w14:paraId="2770A9BE" w14:textId="77777777" w:rsidR="00FE4D65" w:rsidRPr="00FE4D65" w:rsidRDefault="00FE4D65" w:rsidP="00FB379C">
            <w:pPr>
              <w:pStyle w:val="Tablehead"/>
              <w:rPr>
                <w:bCs/>
                <w:lang w:val="en-GB"/>
              </w:rPr>
            </w:pPr>
            <w:r w:rsidRPr="00FE4D65">
              <w:rPr>
                <w:bCs/>
                <w:lang w:val="es-ES"/>
              </w:rPr>
              <w:t>2026</w:t>
            </w:r>
          </w:p>
        </w:tc>
        <w:tc>
          <w:tcPr>
            <w:tcW w:w="1067" w:type="dxa"/>
            <w:noWrap/>
            <w:hideMark/>
          </w:tcPr>
          <w:p w14:paraId="282C9971" w14:textId="77777777" w:rsidR="00FE4D65" w:rsidRPr="00FE4D65" w:rsidRDefault="00FE4D65" w:rsidP="00FB379C">
            <w:pPr>
              <w:pStyle w:val="Tablehead"/>
              <w:rPr>
                <w:bCs/>
                <w:lang w:val="en-GB"/>
              </w:rPr>
            </w:pPr>
            <w:r w:rsidRPr="00FE4D65">
              <w:rPr>
                <w:bCs/>
                <w:lang w:val="es-ES"/>
              </w:rPr>
              <w:t>2027</w:t>
            </w:r>
          </w:p>
        </w:tc>
      </w:tr>
      <w:tr w:rsidR="004425C6" w:rsidRPr="00FE4D65" w14:paraId="3A73D34C" w14:textId="77777777" w:rsidTr="004425C6">
        <w:trPr>
          <w:jc w:val="center"/>
        </w:trPr>
        <w:tc>
          <w:tcPr>
            <w:tcW w:w="2711" w:type="dxa"/>
            <w:shd w:val="clear" w:color="auto" w:fill="DAEEF3" w:themeFill="accent5" w:themeFillTint="33"/>
            <w:noWrap/>
            <w:hideMark/>
          </w:tcPr>
          <w:p w14:paraId="7FE622C8" w14:textId="34A7D1DD" w:rsidR="00FE4D65" w:rsidRPr="00FB379C" w:rsidRDefault="00FE4D65" w:rsidP="00FB379C">
            <w:pPr>
              <w:pStyle w:val="Tabletext"/>
              <w:rPr>
                <w:b/>
                <w:bCs/>
                <w:lang w:val="en-GB"/>
              </w:rPr>
            </w:pPr>
            <w:bookmarkStart w:id="305" w:name="lt_pId1062"/>
            <w:r w:rsidRPr="00FB379C">
              <w:rPr>
                <w:b/>
                <w:bCs/>
                <w:lang w:val="es-ES"/>
              </w:rPr>
              <w:t>SMR (2)</w:t>
            </w:r>
            <w:bookmarkEnd w:id="305"/>
          </w:p>
        </w:tc>
        <w:tc>
          <w:tcPr>
            <w:tcW w:w="1596" w:type="dxa"/>
            <w:noWrap/>
            <w:hideMark/>
          </w:tcPr>
          <w:p w14:paraId="3AD14898" w14:textId="77777777" w:rsidR="00FE4D65" w:rsidRPr="00FE4D65" w:rsidRDefault="00FE4D65" w:rsidP="004425C6">
            <w:pPr>
              <w:pStyle w:val="Tabletext"/>
              <w:jc w:val="center"/>
              <w:rPr>
                <w:lang w:val="en-GB"/>
              </w:rPr>
            </w:pPr>
            <w:bookmarkStart w:id="306" w:name="lt_pId1063"/>
            <w:r w:rsidRPr="00FE4D65">
              <w:rPr>
                <w:lang w:val="es-ES"/>
              </w:rPr>
              <w:t>Naciones Unidas</w:t>
            </w:r>
            <w:bookmarkEnd w:id="306"/>
          </w:p>
        </w:tc>
        <w:tc>
          <w:tcPr>
            <w:tcW w:w="1903" w:type="dxa"/>
            <w:noWrap/>
            <w:hideMark/>
          </w:tcPr>
          <w:p w14:paraId="09DAC577" w14:textId="77777777" w:rsidR="00FE4D65" w:rsidRPr="00FE4D65" w:rsidRDefault="00FE4D65" w:rsidP="004425C6">
            <w:pPr>
              <w:pStyle w:val="Tabletext"/>
              <w:jc w:val="center"/>
              <w:rPr>
                <w:lang w:val="en-GB"/>
              </w:rPr>
            </w:pPr>
            <w:bookmarkStart w:id="307" w:name="lt_pId1064"/>
            <w:r w:rsidRPr="00FE4D65">
              <w:rPr>
                <w:lang w:val="es-ES"/>
              </w:rPr>
              <w:t>2-6 de diciembre</w:t>
            </w:r>
            <w:bookmarkEnd w:id="307"/>
          </w:p>
          <w:p w14:paraId="28D61C55" w14:textId="2CAC22E2" w:rsidR="00FE4D65" w:rsidRPr="00FE4D65" w:rsidRDefault="00FE4D65" w:rsidP="004425C6">
            <w:pPr>
              <w:pStyle w:val="Tabletext"/>
              <w:jc w:val="center"/>
              <w:rPr>
                <w:lang w:val="en-GB"/>
              </w:rPr>
            </w:pPr>
            <w:bookmarkStart w:id="308" w:name="lt_pId1065"/>
            <w:r w:rsidRPr="00FE4D65">
              <w:rPr>
                <w:lang w:val="es-ES"/>
              </w:rPr>
              <w:t>Ginebra</w:t>
            </w:r>
            <w:bookmarkEnd w:id="308"/>
          </w:p>
        </w:tc>
        <w:tc>
          <w:tcPr>
            <w:tcW w:w="1134" w:type="dxa"/>
            <w:noWrap/>
            <w:hideMark/>
          </w:tcPr>
          <w:p w14:paraId="3909A1E6" w14:textId="77777777" w:rsidR="00FE4D65" w:rsidRPr="00FE4D65" w:rsidRDefault="00FE4D65" w:rsidP="004425C6">
            <w:pPr>
              <w:pStyle w:val="Tabletext"/>
              <w:jc w:val="center"/>
              <w:rPr>
                <w:lang w:val="en-GB"/>
              </w:rPr>
            </w:pPr>
            <w:r w:rsidRPr="00FE4D65">
              <w:rPr>
                <w:lang w:val="es-ES"/>
              </w:rPr>
              <w:t>−</w:t>
            </w:r>
          </w:p>
        </w:tc>
        <w:tc>
          <w:tcPr>
            <w:tcW w:w="1218" w:type="dxa"/>
            <w:noWrap/>
            <w:hideMark/>
          </w:tcPr>
          <w:p w14:paraId="4194D729" w14:textId="77777777" w:rsidR="00FE4D65" w:rsidRPr="00FE4D65" w:rsidRDefault="00FE4D65" w:rsidP="004425C6">
            <w:pPr>
              <w:pStyle w:val="Tabletext"/>
              <w:jc w:val="center"/>
              <w:rPr>
                <w:lang w:val="en-GB"/>
              </w:rPr>
            </w:pPr>
            <w:bookmarkStart w:id="309" w:name="lt_pId1067"/>
            <w:r w:rsidRPr="00FE4D65">
              <w:rPr>
                <w:lang w:val="es-ES"/>
              </w:rPr>
              <w:t>Diciembre</w:t>
            </w:r>
            <w:bookmarkEnd w:id="309"/>
          </w:p>
          <w:p w14:paraId="060F1B3C" w14:textId="77777777" w:rsidR="00FE4D65" w:rsidRPr="00FE4D65" w:rsidRDefault="00FE4D65" w:rsidP="004425C6">
            <w:pPr>
              <w:pStyle w:val="Tabletext"/>
              <w:jc w:val="center"/>
              <w:rPr>
                <w:lang w:val="en-GB"/>
              </w:rPr>
            </w:pPr>
            <w:bookmarkStart w:id="310" w:name="lt_pId1068"/>
            <w:r w:rsidRPr="00FE4D65">
              <w:rPr>
                <w:lang w:val="es-ES"/>
              </w:rPr>
              <w:t>Ginebra</w:t>
            </w:r>
            <w:bookmarkEnd w:id="310"/>
          </w:p>
        </w:tc>
        <w:tc>
          <w:tcPr>
            <w:tcW w:w="1067" w:type="dxa"/>
            <w:noWrap/>
            <w:hideMark/>
          </w:tcPr>
          <w:p w14:paraId="0C949063" w14:textId="77777777" w:rsidR="00FE4D65" w:rsidRPr="00FE4D65" w:rsidRDefault="00FE4D65" w:rsidP="004425C6">
            <w:pPr>
              <w:pStyle w:val="Tabletext"/>
              <w:jc w:val="center"/>
              <w:rPr>
                <w:lang w:val="en-GB"/>
              </w:rPr>
            </w:pPr>
            <w:r w:rsidRPr="00FE4D65">
              <w:rPr>
                <w:lang w:val="es-ES"/>
              </w:rPr>
              <w:t>−</w:t>
            </w:r>
          </w:p>
        </w:tc>
      </w:tr>
      <w:tr w:rsidR="00FE4D65" w:rsidRPr="00FE4D65" w14:paraId="6013C88F" w14:textId="77777777" w:rsidTr="004425C6">
        <w:trPr>
          <w:jc w:val="center"/>
        </w:trPr>
        <w:tc>
          <w:tcPr>
            <w:tcW w:w="9629" w:type="dxa"/>
            <w:gridSpan w:val="6"/>
            <w:shd w:val="clear" w:color="auto" w:fill="F2F2F2" w:themeFill="background1" w:themeFillShade="F2"/>
            <w:noWrap/>
            <w:hideMark/>
          </w:tcPr>
          <w:p w14:paraId="087DE055" w14:textId="49B42423" w:rsidR="00FE4D65" w:rsidRPr="00FB379C" w:rsidRDefault="00FE4D65" w:rsidP="00FB379C">
            <w:pPr>
              <w:pStyle w:val="Tabletext"/>
              <w:rPr>
                <w:b/>
                <w:bCs/>
                <w:lang w:val="en-GB"/>
              </w:rPr>
            </w:pPr>
            <w:bookmarkStart w:id="311" w:name="lt_pId1070"/>
            <w:r w:rsidRPr="00FB379C">
              <w:rPr>
                <w:b/>
                <w:bCs/>
                <w:lang w:val="es-ES"/>
              </w:rPr>
              <w:t>SRR (11)</w:t>
            </w:r>
            <w:bookmarkEnd w:id="311"/>
          </w:p>
        </w:tc>
      </w:tr>
      <w:tr w:rsidR="00FE4D65" w:rsidRPr="00FE4D65" w14:paraId="54804EB1" w14:textId="77777777" w:rsidTr="004425C6">
        <w:trPr>
          <w:jc w:val="center"/>
        </w:trPr>
        <w:tc>
          <w:tcPr>
            <w:tcW w:w="9629" w:type="dxa"/>
            <w:gridSpan w:val="6"/>
            <w:shd w:val="clear" w:color="auto" w:fill="F2F2F2" w:themeFill="background1" w:themeFillShade="F2"/>
            <w:hideMark/>
          </w:tcPr>
          <w:p w14:paraId="7202122D" w14:textId="77777777" w:rsidR="00FE4D65" w:rsidRPr="00FB379C" w:rsidRDefault="00FE4D65" w:rsidP="00FB379C">
            <w:pPr>
              <w:pStyle w:val="Tabletext"/>
              <w:rPr>
                <w:b/>
                <w:bCs/>
                <w:i/>
                <w:iCs/>
                <w:lang w:val="en-GB"/>
              </w:rPr>
            </w:pPr>
            <w:bookmarkStart w:id="312" w:name="lt_pId1071"/>
            <w:r w:rsidRPr="00FB379C">
              <w:rPr>
                <w:b/>
                <w:bCs/>
                <w:lang w:val="es-ES"/>
              </w:rPr>
              <w:t>África: AFR (2)</w:t>
            </w:r>
            <w:bookmarkEnd w:id="312"/>
          </w:p>
        </w:tc>
      </w:tr>
      <w:tr w:rsidR="004425C6" w:rsidRPr="00FE4D65" w14:paraId="4076A7B1" w14:textId="77777777" w:rsidTr="004425C6">
        <w:trPr>
          <w:jc w:val="center"/>
        </w:trPr>
        <w:tc>
          <w:tcPr>
            <w:tcW w:w="2711" w:type="dxa"/>
            <w:noWrap/>
            <w:hideMark/>
          </w:tcPr>
          <w:p w14:paraId="5957D05D" w14:textId="1617E178" w:rsidR="00FE4D65" w:rsidRPr="00FE4D65" w:rsidRDefault="00FE4D65" w:rsidP="00FB379C">
            <w:pPr>
              <w:pStyle w:val="Tabletext"/>
              <w:rPr>
                <w:lang w:val="en-GB"/>
              </w:rPr>
            </w:pPr>
            <w:r w:rsidRPr="00FE4D65">
              <w:rPr>
                <w:lang w:val="es-ES"/>
              </w:rPr>
              <w:t>África</w:t>
            </w:r>
            <w:bookmarkStart w:id="313" w:name="lt_pId1072"/>
            <w:bookmarkEnd w:id="313"/>
          </w:p>
        </w:tc>
        <w:tc>
          <w:tcPr>
            <w:tcW w:w="1596" w:type="dxa"/>
            <w:noWrap/>
            <w:hideMark/>
          </w:tcPr>
          <w:p w14:paraId="18E1677D" w14:textId="77777777" w:rsidR="00FE4D65" w:rsidRPr="00FE4D65" w:rsidRDefault="00FE4D65" w:rsidP="004425C6">
            <w:pPr>
              <w:pStyle w:val="Tabletext"/>
              <w:jc w:val="center"/>
              <w:rPr>
                <w:lang w:val="en-GB"/>
              </w:rPr>
            </w:pPr>
            <w:bookmarkStart w:id="314" w:name="lt_pId1073"/>
            <w:r w:rsidRPr="00FE4D65">
              <w:rPr>
                <w:lang w:val="es-ES"/>
              </w:rPr>
              <w:t>Inglés/francés</w:t>
            </w:r>
            <w:bookmarkEnd w:id="314"/>
          </w:p>
        </w:tc>
        <w:tc>
          <w:tcPr>
            <w:tcW w:w="1903" w:type="dxa"/>
            <w:noWrap/>
            <w:hideMark/>
          </w:tcPr>
          <w:p w14:paraId="1A4BE8E0" w14:textId="77777777" w:rsidR="00FE4D65" w:rsidRPr="00FE4D65" w:rsidRDefault="00FE4D65" w:rsidP="004425C6">
            <w:pPr>
              <w:pStyle w:val="Tabletext"/>
              <w:jc w:val="center"/>
              <w:rPr>
                <w:lang w:val="en-GB"/>
              </w:rPr>
            </w:pPr>
            <w:r w:rsidRPr="00FE4D65">
              <w:rPr>
                <w:lang w:val="es-ES"/>
              </w:rPr>
              <w:t>−</w:t>
            </w:r>
          </w:p>
        </w:tc>
        <w:tc>
          <w:tcPr>
            <w:tcW w:w="1134" w:type="dxa"/>
            <w:hideMark/>
          </w:tcPr>
          <w:p w14:paraId="6D319145" w14:textId="77777777" w:rsidR="00FE4D65" w:rsidRPr="00FE4D65" w:rsidRDefault="00FE4D65" w:rsidP="004425C6">
            <w:pPr>
              <w:pStyle w:val="Tabletext"/>
              <w:jc w:val="center"/>
              <w:rPr>
                <w:lang w:val="en-GB"/>
              </w:rPr>
            </w:pPr>
            <w:bookmarkStart w:id="315" w:name="lt_pId1075"/>
            <w:r w:rsidRPr="00FE4D65">
              <w:rPr>
                <w:lang w:val="es-ES"/>
              </w:rPr>
              <w:t>Abril</w:t>
            </w:r>
            <w:bookmarkEnd w:id="315"/>
          </w:p>
        </w:tc>
        <w:tc>
          <w:tcPr>
            <w:tcW w:w="1218" w:type="dxa"/>
            <w:noWrap/>
            <w:hideMark/>
          </w:tcPr>
          <w:p w14:paraId="219EF13D"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69997DA9" w14:textId="77777777" w:rsidR="00FE4D65" w:rsidRPr="00FE4D65" w:rsidRDefault="00FE4D65" w:rsidP="004425C6">
            <w:pPr>
              <w:pStyle w:val="Tabletext"/>
              <w:jc w:val="center"/>
              <w:rPr>
                <w:lang w:val="en-GB"/>
              </w:rPr>
            </w:pPr>
            <w:r w:rsidRPr="00FE4D65">
              <w:rPr>
                <w:lang w:val="es-ES"/>
              </w:rPr>
              <w:t>−</w:t>
            </w:r>
          </w:p>
        </w:tc>
      </w:tr>
      <w:tr w:rsidR="004425C6" w:rsidRPr="00FE4D65" w14:paraId="474B6769" w14:textId="77777777" w:rsidTr="004425C6">
        <w:trPr>
          <w:jc w:val="center"/>
        </w:trPr>
        <w:tc>
          <w:tcPr>
            <w:tcW w:w="2711" w:type="dxa"/>
            <w:noWrap/>
            <w:hideMark/>
          </w:tcPr>
          <w:p w14:paraId="230C0F56" w14:textId="2D31852C" w:rsidR="00FE4D65" w:rsidRPr="00FE4D65" w:rsidRDefault="00FE4D65" w:rsidP="00FB379C">
            <w:pPr>
              <w:pStyle w:val="Tabletext"/>
              <w:rPr>
                <w:lang w:val="en-GB"/>
              </w:rPr>
            </w:pPr>
            <w:r w:rsidRPr="00FE4D65">
              <w:rPr>
                <w:lang w:val="es-ES"/>
              </w:rPr>
              <w:t xml:space="preserve">África </w:t>
            </w:r>
            <w:bookmarkStart w:id="316" w:name="lt_pId1078"/>
            <w:bookmarkEnd w:id="316"/>
          </w:p>
        </w:tc>
        <w:tc>
          <w:tcPr>
            <w:tcW w:w="1596" w:type="dxa"/>
            <w:noWrap/>
            <w:hideMark/>
          </w:tcPr>
          <w:p w14:paraId="20B52E83" w14:textId="77777777" w:rsidR="00FE4D65" w:rsidRPr="00FE4D65" w:rsidRDefault="00FE4D65" w:rsidP="004425C6">
            <w:pPr>
              <w:pStyle w:val="Tabletext"/>
              <w:jc w:val="center"/>
              <w:rPr>
                <w:lang w:val="en-GB"/>
              </w:rPr>
            </w:pPr>
            <w:bookmarkStart w:id="317" w:name="lt_pId1079"/>
            <w:r w:rsidRPr="00FE4D65">
              <w:rPr>
                <w:lang w:val="es-ES"/>
              </w:rPr>
              <w:t>Inglés/francés</w:t>
            </w:r>
            <w:bookmarkEnd w:id="317"/>
          </w:p>
        </w:tc>
        <w:tc>
          <w:tcPr>
            <w:tcW w:w="1903" w:type="dxa"/>
            <w:noWrap/>
            <w:hideMark/>
          </w:tcPr>
          <w:p w14:paraId="61C60A04"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057B1EA9" w14:textId="77777777" w:rsidR="00FE4D65" w:rsidRPr="00FE4D65" w:rsidRDefault="00FE4D65" w:rsidP="004425C6">
            <w:pPr>
              <w:pStyle w:val="Tabletext"/>
              <w:jc w:val="center"/>
              <w:rPr>
                <w:lang w:val="en-GB"/>
              </w:rPr>
            </w:pPr>
            <w:r w:rsidRPr="00FE4D65">
              <w:rPr>
                <w:lang w:val="es-ES"/>
              </w:rPr>
              <w:t>−</w:t>
            </w:r>
          </w:p>
        </w:tc>
        <w:tc>
          <w:tcPr>
            <w:tcW w:w="1218" w:type="dxa"/>
            <w:noWrap/>
            <w:hideMark/>
          </w:tcPr>
          <w:p w14:paraId="5F53FFC0" w14:textId="77777777" w:rsidR="00FE4D65" w:rsidRPr="00FE4D65" w:rsidRDefault="00FE4D65" w:rsidP="004425C6">
            <w:pPr>
              <w:pStyle w:val="Tabletext"/>
              <w:jc w:val="center"/>
              <w:rPr>
                <w:lang w:val="en-GB"/>
              </w:rPr>
            </w:pPr>
            <w:r w:rsidRPr="00FE4D65">
              <w:rPr>
                <w:lang w:val="es-ES"/>
              </w:rPr>
              <w:t>−</w:t>
            </w:r>
          </w:p>
        </w:tc>
        <w:tc>
          <w:tcPr>
            <w:tcW w:w="1067" w:type="dxa"/>
            <w:hideMark/>
          </w:tcPr>
          <w:p w14:paraId="34875818" w14:textId="77777777" w:rsidR="00FE4D65" w:rsidRPr="00FE4D65" w:rsidRDefault="00FE4D65" w:rsidP="004425C6">
            <w:pPr>
              <w:pStyle w:val="Tabletext"/>
              <w:jc w:val="center"/>
              <w:rPr>
                <w:lang w:val="en-GB"/>
              </w:rPr>
            </w:pPr>
            <w:bookmarkStart w:id="318" w:name="lt_pId1083"/>
            <w:r w:rsidRPr="00FE4D65">
              <w:rPr>
                <w:lang w:val="es-ES"/>
              </w:rPr>
              <w:t>Julio</w:t>
            </w:r>
            <w:bookmarkEnd w:id="318"/>
          </w:p>
        </w:tc>
      </w:tr>
      <w:tr w:rsidR="00FE4D65" w:rsidRPr="00FE4D65" w14:paraId="31DA6ABF" w14:textId="77777777" w:rsidTr="004425C6">
        <w:trPr>
          <w:jc w:val="center"/>
        </w:trPr>
        <w:tc>
          <w:tcPr>
            <w:tcW w:w="9629" w:type="dxa"/>
            <w:gridSpan w:val="6"/>
            <w:shd w:val="clear" w:color="auto" w:fill="F2F2F2" w:themeFill="background1" w:themeFillShade="F2"/>
            <w:hideMark/>
          </w:tcPr>
          <w:p w14:paraId="32CB070E" w14:textId="37CE54EB" w:rsidR="00FE4D65" w:rsidRPr="00FB379C" w:rsidRDefault="00FE4D65" w:rsidP="00FB379C">
            <w:pPr>
              <w:pStyle w:val="Tabletext"/>
              <w:rPr>
                <w:b/>
                <w:bCs/>
                <w:lang w:val="en-GB"/>
              </w:rPr>
            </w:pPr>
            <w:bookmarkStart w:id="319" w:name="lt_pId1084"/>
            <w:r w:rsidRPr="00FB379C">
              <w:rPr>
                <w:b/>
                <w:bCs/>
                <w:lang w:val="es-ES"/>
              </w:rPr>
              <w:t>Américas: AMS (3)</w:t>
            </w:r>
            <w:bookmarkEnd w:id="319"/>
          </w:p>
        </w:tc>
      </w:tr>
      <w:tr w:rsidR="004425C6" w:rsidRPr="00FE4D65" w14:paraId="4033223B" w14:textId="77777777" w:rsidTr="004425C6">
        <w:trPr>
          <w:jc w:val="center"/>
        </w:trPr>
        <w:tc>
          <w:tcPr>
            <w:tcW w:w="2711" w:type="dxa"/>
            <w:noWrap/>
          </w:tcPr>
          <w:p w14:paraId="233DDFE1" w14:textId="77777777" w:rsidR="00FE4D65" w:rsidRPr="00FE4D65" w:rsidRDefault="00FE4D65" w:rsidP="00FB379C">
            <w:pPr>
              <w:pStyle w:val="Tabletext"/>
              <w:rPr>
                <w:lang w:val="en-GB"/>
              </w:rPr>
            </w:pPr>
            <w:bookmarkStart w:id="320" w:name="lt_pId1085"/>
            <w:r w:rsidRPr="00FE4D65">
              <w:rPr>
                <w:lang w:val="es-ES"/>
              </w:rPr>
              <w:t>Caribe</w:t>
            </w:r>
            <w:bookmarkEnd w:id="320"/>
          </w:p>
        </w:tc>
        <w:tc>
          <w:tcPr>
            <w:tcW w:w="1596" w:type="dxa"/>
            <w:noWrap/>
          </w:tcPr>
          <w:p w14:paraId="17C280F3" w14:textId="77777777" w:rsidR="00FE4D65" w:rsidRPr="00FE4D65" w:rsidRDefault="00FE4D65" w:rsidP="004425C6">
            <w:pPr>
              <w:pStyle w:val="Tabletext"/>
              <w:jc w:val="center"/>
              <w:rPr>
                <w:lang w:val="en-GB"/>
              </w:rPr>
            </w:pPr>
            <w:bookmarkStart w:id="321" w:name="lt_pId1086"/>
            <w:r w:rsidRPr="00FE4D65">
              <w:rPr>
                <w:lang w:val="es-ES"/>
              </w:rPr>
              <w:t>Inglés</w:t>
            </w:r>
            <w:bookmarkEnd w:id="321"/>
          </w:p>
        </w:tc>
        <w:tc>
          <w:tcPr>
            <w:tcW w:w="1903" w:type="dxa"/>
          </w:tcPr>
          <w:p w14:paraId="1BD9A553" w14:textId="77777777" w:rsidR="00FE4D65" w:rsidRPr="00FE4D65" w:rsidRDefault="00FE4D65" w:rsidP="004425C6">
            <w:pPr>
              <w:pStyle w:val="Tabletext"/>
              <w:jc w:val="center"/>
              <w:rPr>
                <w:lang w:val="es-ES"/>
              </w:rPr>
            </w:pPr>
            <w:bookmarkStart w:id="322" w:name="lt_pId1087"/>
            <w:r w:rsidRPr="00FE4D65">
              <w:rPr>
                <w:lang w:val="es-ES"/>
              </w:rPr>
              <w:t>22-26 de julio</w:t>
            </w:r>
            <w:bookmarkEnd w:id="322"/>
          </w:p>
          <w:p w14:paraId="07A819BA" w14:textId="77777777" w:rsidR="00FE4D65" w:rsidRPr="00FE4D65" w:rsidRDefault="00FE4D65" w:rsidP="004425C6">
            <w:pPr>
              <w:pStyle w:val="Tabletext"/>
              <w:jc w:val="center"/>
              <w:rPr>
                <w:lang w:val="es-ES"/>
              </w:rPr>
            </w:pPr>
            <w:bookmarkStart w:id="323" w:name="lt_pId1088"/>
            <w:r w:rsidRPr="00FE4D65">
              <w:rPr>
                <w:lang w:val="es-ES"/>
              </w:rPr>
              <w:t>Lugar por determinar</w:t>
            </w:r>
            <w:bookmarkEnd w:id="323"/>
          </w:p>
        </w:tc>
        <w:tc>
          <w:tcPr>
            <w:tcW w:w="1134" w:type="dxa"/>
            <w:noWrap/>
          </w:tcPr>
          <w:p w14:paraId="56EFAD5D" w14:textId="77777777" w:rsidR="00FE4D65" w:rsidRPr="00FE4D65" w:rsidRDefault="00FE4D65" w:rsidP="004425C6">
            <w:pPr>
              <w:pStyle w:val="Tabletext"/>
              <w:jc w:val="center"/>
              <w:rPr>
                <w:lang w:val="en-GB"/>
              </w:rPr>
            </w:pPr>
            <w:r w:rsidRPr="00FE4D65">
              <w:rPr>
                <w:lang w:val="es-ES"/>
              </w:rPr>
              <w:t>−</w:t>
            </w:r>
          </w:p>
        </w:tc>
        <w:tc>
          <w:tcPr>
            <w:tcW w:w="1218" w:type="dxa"/>
            <w:noWrap/>
          </w:tcPr>
          <w:p w14:paraId="43DABCD9" w14:textId="77777777" w:rsidR="00FE4D65" w:rsidRPr="00FE4D65" w:rsidRDefault="00FE4D65" w:rsidP="004425C6">
            <w:pPr>
              <w:pStyle w:val="Tabletext"/>
              <w:jc w:val="center"/>
              <w:rPr>
                <w:lang w:val="en-GB"/>
              </w:rPr>
            </w:pPr>
            <w:r w:rsidRPr="00FE4D65">
              <w:rPr>
                <w:lang w:val="es-ES"/>
              </w:rPr>
              <w:t>−</w:t>
            </w:r>
          </w:p>
        </w:tc>
        <w:tc>
          <w:tcPr>
            <w:tcW w:w="1067" w:type="dxa"/>
            <w:noWrap/>
          </w:tcPr>
          <w:p w14:paraId="398BB889" w14:textId="77777777" w:rsidR="00FE4D65" w:rsidRPr="00FE4D65" w:rsidRDefault="00FE4D65" w:rsidP="004425C6">
            <w:pPr>
              <w:pStyle w:val="Tabletext"/>
              <w:jc w:val="center"/>
              <w:rPr>
                <w:lang w:val="en-GB"/>
              </w:rPr>
            </w:pPr>
            <w:r w:rsidRPr="00FE4D65">
              <w:rPr>
                <w:lang w:val="es-ES"/>
              </w:rPr>
              <w:t>−</w:t>
            </w:r>
          </w:p>
        </w:tc>
      </w:tr>
      <w:tr w:rsidR="004425C6" w:rsidRPr="00FE4D65" w14:paraId="3BD04B45" w14:textId="77777777" w:rsidTr="004425C6">
        <w:trPr>
          <w:jc w:val="center"/>
        </w:trPr>
        <w:tc>
          <w:tcPr>
            <w:tcW w:w="2711" w:type="dxa"/>
            <w:noWrap/>
            <w:hideMark/>
          </w:tcPr>
          <w:p w14:paraId="04B50FB3" w14:textId="48D9D2AB" w:rsidR="00FE4D65" w:rsidRPr="00FE4D65" w:rsidRDefault="00FE4D65" w:rsidP="00FB379C">
            <w:pPr>
              <w:pStyle w:val="Tabletext"/>
              <w:rPr>
                <w:lang w:val="en-GB"/>
              </w:rPr>
            </w:pPr>
            <w:bookmarkStart w:id="324" w:name="lt_pId1092"/>
            <w:r w:rsidRPr="00FE4D65">
              <w:rPr>
                <w:lang w:val="es-ES"/>
              </w:rPr>
              <w:t>América del Sur</w:t>
            </w:r>
            <w:bookmarkEnd w:id="324"/>
          </w:p>
        </w:tc>
        <w:tc>
          <w:tcPr>
            <w:tcW w:w="1596" w:type="dxa"/>
            <w:noWrap/>
            <w:hideMark/>
          </w:tcPr>
          <w:p w14:paraId="3127E679" w14:textId="61BA0B36" w:rsidR="00FE4D65" w:rsidRPr="00FE4D65" w:rsidRDefault="00FE4D65" w:rsidP="004425C6">
            <w:pPr>
              <w:pStyle w:val="Tabletext"/>
              <w:jc w:val="center"/>
              <w:rPr>
                <w:lang w:val="en-GB"/>
              </w:rPr>
            </w:pPr>
            <w:bookmarkStart w:id="325" w:name="lt_pId1093"/>
            <w:r w:rsidRPr="00FE4D65">
              <w:rPr>
                <w:lang w:val="es-ES"/>
              </w:rPr>
              <w:t>Español</w:t>
            </w:r>
            <w:bookmarkEnd w:id="325"/>
          </w:p>
        </w:tc>
        <w:tc>
          <w:tcPr>
            <w:tcW w:w="1903" w:type="dxa"/>
            <w:hideMark/>
          </w:tcPr>
          <w:p w14:paraId="62C17C62"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33CD9FEE" w14:textId="604C1AE8" w:rsidR="00FE4D65" w:rsidRPr="00FE4D65" w:rsidRDefault="00FE4D65" w:rsidP="004425C6">
            <w:pPr>
              <w:pStyle w:val="Tabletext"/>
              <w:jc w:val="center"/>
              <w:rPr>
                <w:lang w:val="en-GB"/>
              </w:rPr>
            </w:pPr>
            <w:r w:rsidRPr="00FE4D65">
              <w:rPr>
                <w:lang w:val="es-ES"/>
              </w:rPr>
              <w:t>Julio</w:t>
            </w:r>
            <w:bookmarkStart w:id="326" w:name="lt_pId1095"/>
            <w:bookmarkEnd w:id="326"/>
          </w:p>
        </w:tc>
        <w:tc>
          <w:tcPr>
            <w:tcW w:w="1218" w:type="dxa"/>
            <w:noWrap/>
            <w:hideMark/>
          </w:tcPr>
          <w:p w14:paraId="727D4F9D"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4C64384A" w14:textId="77777777" w:rsidR="00FE4D65" w:rsidRPr="00FE4D65" w:rsidRDefault="00FE4D65" w:rsidP="004425C6">
            <w:pPr>
              <w:pStyle w:val="Tabletext"/>
              <w:jc w:val="center"/>
              <w:rPr>
                <w:lang w:val="en-GB"/>
              </w:rPr>
            </w:pPr>
            <w:r w:rsidRPr="00FE4D65">
              <w:rPr>
                <w:lang w:val="es-ES"/>
              </w:rPr>
              <w:t>−</w:t>
            </w:r>
          </w:p>
        </w:tc>
      </w:tr>
      <w:tr w:rsidR="004425C6" w:rsidRPr="00FE4D65" w14:paraId="7E0C32F7" w14:textId="77777777" w:rsidTr="004425C6">
        <w:trPr>
          <w:jc w:val="center"/>
        </w:trPr>
        <w:tc>
          <w:tcPr>
            <w:tcW w:w="2711" w:type="dxa"/>
            <w:noWrap/>
            <w:hideMark/>
          </w:tcPr>
          <w:p w14:paraId="40E46E7B" w14:textId="75CDD890" w:rsidR="00FE4D65" w:rsidRPr="00FE4D65" w:rsidRDefault="00FE4D65" w:rsidP="00FB379C">
            <w:pPr>
              <w:pStyle w:val="Tabletext"/>
              <w:rPr>
                <w:lang w:val="en-GB"/>
              </w:rPr>
            </w:pPr>
            <w:bookmarkStart w:id="327" w:name="lt_pId1098"/>
            <w:r w:rsidRPr="00FE4D65">
              <w:rPr>
                <w:lang w:val="es-ES"/>
              </w:rPr>
              <w:t>Mesoamérica</w:t>
            </w:r>
            <w:bookmarkEnd w:id="327"/>
          </w:p>
        </w:tc>
        <w:tc>
          <w:tcPr>
            <w:tcW w:w="1596" w:type="dxa"/>
            <w:noWrap/>
            <w:hideMark/>
          </w:tcPr>
          <w:p w14:paraId="166F4B6A" w14:textId="77777777" w:rsidR="00FE4D65" w:rsidRPr="00FE4D65" w:rsidRDefault="00FE4D65" w:rsidP="004425C6">
            <w:pPr>
              <w:pStyle w:val="Tabletext"/>
              <w:jc w:val="center"/>
              <w:rPr>
                <w:lang w:val="en-GB"/>
              </w:rPr>
            </w:pPr>
            <w:bookmarkStart w:id="328" w:name="lt_pId1099"/>
            <w:r w:rsidRPr="00FE4D65">
              <w:rPr>
                <w:lang w:val="es-ES"/>
              </w:rPr>
              <w:t>Español</w:t>
            </w:r>
            <w:bookmarkEnd w:id="328"/>
          </w:p>
        </w:tc>
        <w:tc>
          <w:tcPr>
            <w:tcW w:w="1903" w:type="dxa"/>
            <w:noWrap/>
            <w:hideMark/>
          </w:tcPr>
          <w:p w14:paraId="46ACD61B"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6F9EB747" w14:textId="77777777" w:rsidR="00FE4D65" w:rsidRPr="00FE4D65" w:rsidRDefault="00FE4D65" w:rsidP="004425C6">
            <w:pPr>
              <w:pStyle w:val="Tabletext"/>
              <w:jc w:val="center"/>
              <w:rPr>
                <w:lang w:val="en-GB"/>
              </w:rPr>
            </w:pPr>
            <w:r w:rsidRPr="00FE4D65">
              <w:rPr>
                <w:lang w:val="es-ES"/>
              </w:rPr>
              <w:t>−</w:t>
            </w:r>
          </w:p>
        </w:tc>
        <w:tc>
          <w:tcPr>
            <w:tcW w:w="1218" w:type="dxa"/>
            <w:noWrap/>
            <w:hideMark/>
          </w:tcPr>
          <w:p w14:paraId="36EA0718" w14:textId="77777777" w:rsidR="00FE4D65" w:rsidRPr="00FE4D65" w:rsidRDefault="00FE4D65" w:rsidP="004425C6">
            <w:pPr>
              <w:pStyle w:val="Tabletext"/>
              <w:jc w:val="center"/>
              <w:rPr>
                <w:lang w:val="en-GB"/>
              </w:rPr>
            </w:pPr>
            <w:bookmarkStart w:id="329" w:name="lt_pId1102"/>
            <w:r w:rsidRPr="00FE4D65">
              <w:rPr>
                <w:lang w:val="es-ES"/>
              </w:rPr>
              <w:t>Junio</w:t>
            </w:r>
            <w:bookmarkEnd w:id="329"/>
          </w:p>
        </w:tc>
        <w:tc>
          <w:tcPr>
            <w:tcW w:w="1067" w:type="dxa"/>
            <w:hideMark/>
          </w:tcPr>
          <w:p w14:paraId="4B1EF790" w14:textId="77777777" w:rsidR="00FE4D65" w:rsidRPr="00FE4D65" w:rsidRDefault="00FE4D65" w:rsidP="004425C6">
            <w:pPr>
              <w:pStyle w:val="Tabletext"/>
              <w:jc w:val="center"/>
              <w:rPr>
                <w:lang w:val="en-GB"/>
              </w:rPr>
            </w:pPr>
            <w:r w:rsidRPr="00FE4D65">
              <w:rPr>
                <w:lang w:val="es-ES"/>
              </w:rPr>
              <w:t>−</w:t>
            </w:r>
          </w:p>
        </w:tc>
      </w:tr>
      <w:tr w:rsidR="00FE4D65" w:rsidRPr="00FE4D65" w14:paraId="2CE3D740" w14:textId="77777777" w:rsidTr="004425C6">
        <w:trPr>
          <w:jc w:val="center"/>
        </w:trPr>
        <w:tc>
          <w:tcPr>
            <w:tcW w:w="9629" w:type="dxa"/>
            <w:gridSpan w:val="6"/>
            <w:shd w:val="clear" w:color="auto" w:fill="F2F2F2" w:themeFill="background1" w:themeFillShade="F2"/>
            <w:hideMark/>
          </w:tcPr>
          <w:p w14:paraId="350C1DE6" w14:textId="67EBE3F0" w:rsidR="00FE4D65" w:rsidRPr="00FB379C" w:rsidRDefault="00FE4D65" w:rsidP="00FB379C">
            <w:pPr>
              <w:pStyle w:val="Tabletext"/>
              <w:rPr>
                <w:b/>
                <w:bCs/>
                <w:lang w:val="en-GB"/>
              </w:rPr>
            </w:pPr>
            <w:bookmarkStart w:id="330" w:name="lt_pId1104"/>
            <w:r w:rsidRPr="00FB379C">
              <w:rPr>
                <w:b/>
                <w:bCs/>
                <w:lang w:val="es-ES"/>
              </w:rPr>
              <w:t>Asia-Pacífico: APC (3)</w:t>
            </w:r>
            <w:bookmarkEnd w:id="330"/>
          </w:p>
        </w:tc>
      </w:tr>
      <w:tr w:rsidR="004425C6" w:rsidRPr="00FE4D65" w14:paraId="15C7F2B7" w14:textId="77777777" w:rsidTr="004425C6">
        <w:trPr>
          <w:jc w:val="center"/>
        </w:trPr>
        <w:tc>
          <w:tcPr>
            <w:tcW w:w="2711" w:type="dxa"/>
            <w:noWrap/>
          </w:tcPr>
          <w:p w14:paraId="3BC56BCC" w14:textId="77777777" w:rsidR="00FE4D65" w:rsidRPr="00FE4D65" w:rsidRDefault="00FE4D65" w:rsidP="00FB379C">
            <w:pPr>
              <w:pStyle w:val="Tabletext"/>
              <w:rPr>
                <w:lang w:val="en-GB"/>
              </w:rPr>
            </w:pPr>
            <w:bookmarkStart w:id="331" w:name="lt_pId1105"/>
            <w:r w:rsidRPr="00FE4D65">
              <w:rPr>
                <w:lang w:val="es-ES"/>
              </w:rPr>
              <w:t>Estados insulares del Pacífico</w:t>
            </w:r>
            <w:bookmarkEnd w:id="331"/>
          </w:p>
        </w:tc>
        <w:tc>
          <w:tcPr>
            <w:tcW w:w="1596" w:type="dxa"/>
            <w:noWrap/>
          </w:tcPr>
          <w:p w14:paraId="1FC537C5" w14:textId="77777777" w:rsidR="00FE4D65" w:rsidRPr="00FE4D65" w:rsidRDefault="00FE4D65" w:rsidP="004425C6">
            <w:pPr>
              <w:pStyle w:val="Tabletext"/>
              <w:jc w:val="center"/>
              <w:rPr>
                <w:lang w:val="en-GB"/>
              </w:rPr>
            </w:pPr>
            <w:bookmarkStart w:id="332" w:name="lt_pId1106"/>
            <w:r w:rsidRPr="00FE4D65">
              <w:rPr>
                <w:lang w:val="es-ES"/>
              </w:rPr>
              <w:t>Inglés</w:t>
            </w:r>
            <w:bookmarkEnd w:id="332"/>
          </w:p>
        </w:tc>
        <w:tc>
          <w:tcPr>
            <w:tcW w:w="1903" w:type="dxa"/>
            <w:noWrap/>
            <w:hideMark/>
          </w:tcPr>
          <w:p w14:paraId="6BF93F0E" w14:textId="77777777" w:rsidR="00FE4D65" w:rsidRPr="00FE4D65" w:rsidRDefault="00FE4D65" w:rsidP="004425C6">
            <w:pPr>
              <w:pStyle w:val="Tabletext"/>
              <w:jc w:val="center"/>
              <w:rPr>
                <w:lang w:val="en-GB"/>
              </w:rPr>
            </w:pPr>
            <w:bookmarkStart w:id="333" w:name="lt_pId1107"/>
            <w:r w:rsidRPr="00FE4D65">
              <w:rPr>
                <w:lang w:val="es-ES"/>
              </w:rPr>
              <w:t>23-27 de septiembre</w:t>
            </w:r>
            <w:bookmarkEnd w:id="333"/>
          </w:p>
          <w:p w14:paraId="53F4E8A8" w14:textId="5E6B39A7" w:rsidR="00FE4D65" w:rsidRPr="00FE4D65" w:rsidRDefault="00FE4D65" w:rsidP="004425C6">
            <w:pPr>
              <w:pStyle w:val="Tabletext"/>
              <w:jc w:val="center"/>
              <w:rPr>
                <w:lang w:val="en-GB"/>
              </w:rPr>
            </w:pPr>
            <w:bookmarkStart w:id="334" w:name="lt_pId1108"/>
            <w:r w:rsidRPr="00FE4D65">
              <w:rPr>
                <w:lang w:val="es-ES"/>
              </w:rPr>
              <w:t xml:space="preserve">Apia </w:t>
            </w:r>
            <w:r w:rsidR="00F039CA">
              <w:rPr>
                <w:lang w:val="es-ES"/>
              </w:rPr>
              <w:t>(</w:t>
            </w:r>
            <w:r w:rsidRPr="00FE4D65">
              <w:rPr>
                <w:lang w:val="es-ES"/>
              </w:rPr>
              <w:t>Samoa</w:t>
            </w:r>
            <w:bookmarkEnd w:id="334"/>
            <w:r w:rsidR="00F039CA">
              <w:rPr>
                <w:lang w:val="es-ES"/>
              </w:rPr>
              <w:t>)</w:t>
            </w:r>
          </w:p>
        </w:tc>
        <w:tc>
          <w:tcPr>
            <w:tcW w:w="1134" w:type="dxa"/>
            <w:noWrap/>
            <w:hideMark/>
          </w:tcPr>
          <w:p w14:paraId="758E5683" w14:textId="77777777" w:rsidR="00FE4D65" w:rsidRPr="00FE4D65" w:rsidRDefault="00FE4D65" w:rsidP="004425C6">
            <w:pPr>
              <w:pStyle w:val="Tabletext"/>
              <w:jc w:val="center"/>
              <w:rPr>
                <w:lang w:val="en-GB"/>
              </w:rPr>
            </w:pPr>
            <w:r w:rsidRPr="00FE4D65">
              <w:rPr>
                <w:lang w:val="es-ES"/>
              </w:rPr>
              <w:t>−</w:t>
            </w:r>
          </w:p>
        </w:tc>
        <w:tc>
          <w:tcPr>
            <w:tcW w:w="1218" w:type="dxa"/>
            <w:hideMark/>
          </w:tcPr>
          <w:p w14:paraId="7099C57D"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563A4DCF" w14:textId="77777777" w:rsidR="00FE4D65" w:rsidRPr="00FE4D65" w:rsidRDefault="00FE4D65" w:rsidP="004425C6">
            <w:pPr>
              <w:pStyle w:val="Tabletext"/>
              <w:jc w:val="center"/>
              <w:rPr>
                <w:lang w:val="en-GB"/>
              </w:rPr>
            </w:pPr>
            <w:r w:rsidRPr="00FE4D65">
              <w:rPr>
                <w:lang w:val="es-ES"/>
              </w:rPr>
              <w:t>−</w:t>
            </w:r>
          </w:p>
        </w:tc>
      </w:tr>
      <w:tr w:rsidR="004425C6" w:rsidRPr="00FE4D65" w14:paraId="1E630911" w14:textId="77777777" w:rsidTr="004425C6">
        <w:trPr>
          <w:jc w:val="center"/>
        </w:trPr>
        <w:tc>
          <w:tcPr>
            <w:tcW w:w="2711" w:type="dxa"/>
            <w:noWrap/>
            <w:hideMark/>
          </w:tcPr>
          <w:p w14:paraId="32B71B44" w14:textId="45CAF34B" w:rsidR="00FE4D65" w:rsidRPr="00FE4D65" w:rsidRDefault="00FE4D65" w:rsidP="00FB379C">
            <w:pPr>
              <w:pStyle w:val="Tabletext"/>
              <w:rPr>
                <w:lang w:val="en-GB"/>
              </w:rPr>
            </w:pPr>
            <w:bookmarkStart w:id="335" w:name="lt_pId1112"/>
            <w:r w:rsidRPr="00FE4D65">
              <w:rPr>
                <w:lang w:val="es-ES"/>
              </w:rPr>
              <w:t>Asia Meridional</w:t>
            </w:r>
            <w:bookmarkEnd w:id="335"/>
          </w:p>
        </w:tc>
        <w:tc>
          <w:tcPr>
            <w:tcW w:w="1596" w:type="dxa"/>
            <w:noWrap/>
            <w:hideMark/>
          </w:tcPr>
          <w:p w14:paraId="359DCFCD" w14:textId="77777777" w:rsidR="00FE4D65" w:rsidRPr="00FE4D65" w:rsidRDefault="00FE4D65" w:rsidP="004425C6">
            <w:pPr>
              <w:pStyle w:val="Tabletext"/>
              <w:jc w:val="center"/>
              <w:rPr>
                <w:lang w:val="en-GB"/>
              </w:rPr>
            </w:pPr>
            <w:bookmarkStart w:id="336" w:name="lt_pId1113"/>
            <w:r w:rsidRPr="00FE4D65">
              <w:rPr>
                <w:lang w:val="es-ES"/>
              </w:rPr>
              <w:t>Inglés</w:t>
            </w:r>
            <w:bookmarkEnd w:id="336"/>
          </w:p>
        </w:tc>
        <w:tc>
          <w:tcPr>
            <w:tcW w:w="1903" w:type="dxa"/>
            <w:hideMark/>
          </w:tcPr>
          <w:p w14:paraId="0239CBFC"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590758F5" w14:textId="6D61AE9F" w:rsidR="00FE4D65" w:rsidRPr="00FE4D65" w:rsidRDefault="00FE4D65" w:rsidP="00D30F81">
            <w:pPr>
              <w:pStyle w:val="Tabletext"/>
              <w:jc w:val="center"/>
              <w:rPr>
                <w:lang w:val="en-GB"/>
              </w:rPr>
            </w:pPr>
            <w:bookmarkStart w:id="337" w:name="lt_pId1115"/>
            <w:r w:rsidRPr="00FE4D65">
              <w:rPr>
                <w:lang w:val="es-ES"/>
              </w:rPr>
              <w:t>Octubre</w:t>
            </w:r>
            <w:bookmarkEnd w:id="337"/>
          </w:p>
        </w:tc>
        <w:tc>
          <w:tcPr>
            <w:tcW w:w="1218" w:type="dxa"/>
            <w:noWrap/>
            <w:hideMark/>
          </w:tcPr>
          <w:p w14:paraId="09EC8F4A"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5341CD05" w14:textId="77777777" w:rsidR="00FE4D65" w:rsidRPr="00FE4D65" w:rsidRDefault="00FE4D65" w:rsidP="004425C6">
            <w:pPr>
              <w:pStyle w:val="Tabletext"/>
              <w:jc w:val="center"/>
              <w:rPr>
                <w:lang w:val="en-GB"/>
              </w:rPr>
            </w:pPr>
            <w:r w:rsidRPr="00FE4D65">
              <w:rPr>
                <w:lang w:val="es-ES"/>
              </w:rPr>
              <w:t>−</w:t>
            </w:r>
          </w:p>
        </w:tc>
      </w:tr>
      <w:tr w:rsidR="004425C6" w:rsidRPr="00FE4D65" w14:paraId="0D4280ED" w14:textId="77777777" w:rsidTr="004425C6">
        <w:trPr>
          <w:jc w:val="center"/>
        </w:trPr>
        <w:tc>
          <w:tcPr>
            <w:tcW w:w="2711" w:type="dxa"/>
            <w:noWrap/>
          </w:tcPr>
          <w:p w14:paraId="585F9941" w14:textId="6C9B53FC" w:rsidR="00FE4D65" w:rsidRPr="00FE4D65" w:rsidRDefault="00FE4D65" w:rsidP="00FB379C">
            <w:pPr>
              <w:pStyle w:val="Tabletext"/>
              <w:rPr>
                <w:lang w:val="en-GB"/>
              </w:rPr>
            </w:pPr>
            <w:bookmarkStart w:id="338" w:name="lt_pId1118"/>
            <w:r w:rsidRPr="00FE4D65">
              <w:rPr>
                <w:lang w:val="es-ES"/>
              </w:rPr>
              <w:t>Asia Central</w:t>
            </w:r>
            <w:bookmarkEnd w:id="338"/>
          </w:p>
        </w:tc>
        <w:tc>
          <w:tcPr>
            <w:tcW w:w="1596" w:type="dxa"/>
            <w:noWrap/>
          </w:tcPr>
          <w:p w14:paraId="668748C6" w14:textId="77777777" w:rsidR="00FE4D65" w:rsidRPr="00FE4D65" w:rsidRDefault="00FE4D65" w:rsidP="004425C6">
            <w:pPr>
              <w:pStyle w:val="Tabletext"/>
              <w:jc w:val="center"/>
              <w:rPr>
                <w:lang w:val="en-GB"/>
              </w:rPr>
            </w:pPr>
            <w:bookmarkStart w:id="339" w:name="lt_pId1119"/>
            <w:r w:rsidRPr="00FE4D65">
              <w:rPr>
                <w:lang w:val="es-ES"/>
              </w:rPr>
              <w:t>Inglés</w:t>
            </w:r>
            <w:bookmarkEnd w:id="339"/>
          </w:p>
        </w:tc>
        <w:tc>
          <w:tcPr>
            <w:tcW w:w="1903" w:type="dxa"/>
            <w:noWrap/>
          </w:tcPr>
          <w:p w14:paraId="6EFFBEED" w14:textId="77777777" w:rsidR="00FE4D65" w:rsidRPr="00FE4D65" w:rsidRDefault="00FE4D65" w:rsidP="004425C6">
            <w:pPr>
              <w:pStyle w:val="Tabletext"/>
              <w:jc w:val="center"/>
              <w:rPr>
                <w:lang w:val="en-GB"/>
              </w:rPr>
            </w:pPr>
            <w:r w:rsidRPr="00FE4D65">
              <w:rPr>
                <w:lang w:val="es-ES"/>
              </w:rPr>
              <w:t>−</w:t>
            </w:r>
          </w:p>
        </w:tc>
        <w:tc>
          <w:tcPr>
            <w:tcW w:w="1134" w:type="dxa"/>
          </w:tcPr>
          <w:p w14:paraId="644C729F" w14:textId="77777777" w:rsidR="00FE4D65" w:rsidRPr="00FE4D65" w:rsidRDefault="00FE4D65" w:rsidP="004425C6">
            <w:pPr>
              <w:pStyle w:val="Tabletext"/>
              <w:jc w:val="center"/>
              <w:rPr>
                <w:lang w:val="en-GB"/>
              </w:rPr>
            </w:pPr>
            <w:r w:rsidRPr="00FE4D65">
              <w:rPr>
                <w:lang w:val="es-ES"/>
              </w:rPr>
              <w:t>−</w:t>
            </w:r>
          </w:p>
        </w:tc>
        <w:tc>
          <w:tcPr>
            <w:tcW w:w="1218" w:type="dxa"/>
            <w:noWrap/>
          </w:tcPr>
          <w:p w14:paraId="63D62696" w14:textId="77777777" w:rsidR="00FE4D65" w:rsidRPr="00FE4D65" w:rsidRDefault="00FE4D65" w:rsidP="004425C6">
            <w:pPr>
              <w:pStyle w:val="Tabletext"/>
              <w:jc w:val="center"/>
              <w:rPr>
                <w:lang w:val="en-GB"/>
              </w:rPr>
            </w:pPr>
            <w:bookmarkStart w:id="340" w:name="lt_pId1122"/>
            <w:r w:rsidRPr="00FE4D65">
              <w:rPr>
                <w:lang w:val="es-ES"/>
              </w:rPr>
              <w:t>Septiembre</w:t>
            </w:r>
            <w:bookmarkEnd w:id="340"/>
          </w:p>
        </w:tc>
        <w:tc>
          <w:tcPr>
            <w:tcW w:w="1067" w:type="dxa"/>
            <w:noWrap/>
          </w:tcPr>
          <w:p w14:paraId="299326C1" w14:textId="77777777" w:rsidR="00FE4D65" w:rsidRPr="00FE4D65" w:rsidRDefault="00FE4D65" w:rsidP="004425C6">
            <w:pPr>
              <w:pStyle w:val="Tabletext"/>
              <w:jc w:val="center"/>
              <w:rPr>
                <w:lang w:val="en-GB"/>
              </w:rPr>
            </w:pPr>
            <w:r w:rsidRPr="00FE4D65">
              <w:rPr>
                <w:lang w:val="es-ES"/>
              </w:rPr>
              <w:t>−</w:t>
            </w:r>
          </w:p>
        </w:tc>
      </w:tr>
      <w:tr w:rsidR="004425C6" w:rsidRPr="00FE4D65" w14:paraId="108120F6" w14:textId="77777777" w:rsidTr="004425C6">
        <w:trPr>
          <w:jc w:val="center"/>
        </w:trPr>
        <w:tc>
          <w:tcPr>
            <w:tcW w:w="2711" w:type="dxa"/>
            <w:shd w:val="clear" w:color="auto" w:fill="F2F2F2" w:themeFill="background1" w:themeFillShade="F2"/>
            <w:hideMark/>
          </w:tcPr>
          <w:p w14:paraId="4B58AA29" w14:textId="33F28572" w:rsidR="00FE4D65" w:rsidRPr="00FB379C" w:rsidRDefault="00FE4D65" w:rsidP="00FB379C">
            <w:pPr>
              <w:pStyle w:val="Tabletext"/>
              <w:rPr>
                <w:b/>
                <w:bCs/>
                <w:lang w:val="en-GB"/>
              </w:rPr>
            </w:pPr>
            <w:bookmarkStart w:id="341" w:name="lt_pId1124"/>
            <w:r w:rsidRPr="00FB379C">
              <w:rPr>
                <w:b/>
                <w:bCs/>
                <w:lang w:val="es-ES"/>
              </w:rPr>
              <w:t>Estados Árabes: ARB (1)</w:t>
            </w:r>
            <w:bookmarkEnd w:id="341"/>
          </w:p>
        </w:tc>
        <w:tc>
          <w:tcPr>
            <w:tcW w:w="1596" w:type="dxa"/>
            <w:hideMark/>
          </w:tcPr>
          <w:p w14:paraId="2384CB3A" w14:textId="77777777" w:rsidR="00FE4D65" w:rsidRPr="00FE4D65" w:rsidRDefault="00FE4D65" w:rsidP="004425C6">
            <w:pPr>
              <w:pStyle w:val="Tabletext"/>
              <w:jc w:val="center"/>
              <w:rPr>
                <w:lang w:val="en-GB"/>
              </w:rPr>
            </w:pPr>
            <w:bookmarkStart w:id="342" w:name="lt_pId1125"/>
            <w:r w:rsidRPr="00FE4D65">
              <w:rPr>
                <w:lang w:val="es-ES"/>
              </w:rPr>
              <w:t>Árabe/inglés</w:t>
            </w:r>
            <w:bookmarkEnd w:id="342"/>
          </w:p>
        </w:tc>
        <w:tc>
          <w:tcPr>
            <w:tcW w:w="1903" w:type="dxa"/>
            <w:noWrap/>
          </w:tcPr>
          <w:p w14:paraId="38752BDD"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0220952E" w14:textId="77777777" w:rsidR="00FE4D65" w:rsidRPr="00FE4D65" w:rsidRDefault="00FE4D65" w:rsidP="004425C6">
            <w:pPr>
              <w:pStyle w:val="Tabletext"/>
              <w:jc w:val="center"/>
              <w:rPr>
                <w:lang w:val="en-GB"/>
              </w:rPr>
            </w:pPr>
            <w:r w:rsidRPr="00FE4D65">
              <w:rPr>
                <w:lang w:val="es-ES"/>
              </w:rPr>
              <w:t>−</w:t>
            </w:r>
          </w:p>
        </w:tc>
        <w:tc>
          <w:tcPr>
            <w:tcW w:w="1218" w:type="dxa"/>
            <w:noWrap/>
            <w:hideMark/>
          </w:tcPr>
          <w:p w14:paraId="3707BBA9"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3EB713D8" w14:textId="77777777" w:rsidR="00FE4D65" w:rsidRPr="00FE4D65" w:rsidRDefault="00FE4D65" w:rsidP="004425C6">
            <w:pPr>
              <w:pStyle w:val="Tabletext"/>
              <w:jc w:val="center"/>
              <w:rPr>
                <w:lang w:val="en-GB"/>
              </w:rPr>
            </w:pPr>
            <w:bookmarkStart w:id="343" w:name="lt_pId1129"/>
            <w:r w:rsidRPr="00FE4D65">
              <w:rPr>
                <w:lang w:val="es-ES"/>
              </w:rPr>
              <w:t>Febrero</w:t>
            </w:r>
            <w:bookmarkEnd w:id="343"/>
          </w:p>
        </w:tc>
      </w:tr>
      <w:tr w:rsidR="004425C6" w:rsidRPr="00FE4D65" w14:paraId="465903BE" w14:textId="77777777" w:rsidTr="004425C6">
        <w:trPr>
          <w:jc w:val="center"/>
        </w:trPr>
        <w:tc>
          <w:tcPr>
            <w:tcW w:w="2711" w:type="dxa"/>
            <w:shd w:val="clear" w:color="auto" w:fill="F2F2F2" w:themeFill="background1" w:themeFillShade="F2"/>
            <w:hideMark/>
          </w:tcPr>
          <w:p w14:paraId="44DA2887" w14:textId="49C50D87" w:rsidR="00FE4D65" w:rsidRPr="00FB379C" w:rsidRDefault="00FE4D65" w:rsidP="00FB379C">
            <w:pPr>
              <w:pStyle w:val="Tabletext"/>
              <w:rPr>
                <w:b/>
                <w:bCs/>
                <w:lang w:val="en-GB"/>
              </w:rPr>
            </w:pPr>
            <w:bookmarkStart w:id="344" w:name="lt_pId1130"/>
            <w:r w:rsidRPr="00FB379C">
              <w:rPr>
                <w:b/>
                <w:bCs/>
                <w:lang w:val="es-ES"/>
              </w:rPr>
              <w:t xml:space="preserve">CEI </w:t>
            </w:r>
            <w:r w:rsidR="004425C6">
              <w:rPr>
                <w:b/>
                <w:bCs/>
                <w:lang w:val="es-ES"/>
              </w:rPr>
              <w:t>y</w:t>
            </w:r>
            <w:r w:rsidRPr="00FB379C">
              <w:rPr>
                <w:b/>
                <w:bCs/>
                <w:lang w:val="es-ES"/>
              </w:rPr>
              <w:t xml:space="preserve"> Europa Oriental (1)</w:t>
            </w:r>
            <w:bookmarkEnd w:id="344"/>
          </w:p>
        </w:tc>
        <w:tc>
          <w:tcPr>
            <w:tcW w:w="1596" w:type="dxa"/>
            <w:hideMark/>
          </w:tcPr>
          <w:p w14:paraId="00518E80" w14:textId="199EAFFD" w:rsidR="00FE4D65" w:rsidRPr="00FE4D65" w:rsidRDefault="00FE4D65" w:rsidP="004425C6">
            <w:pPr>
              <w:pStyle w:val="Tabletext"/>
              <w:jc w:val="center"/>
              <w:rPr>
                <w:lang w:val="en-GB"/>
              </w:rPr>
            </w:pPr>
            <w:bookmarkStart w:id="345" w:name="lt_pId1131"/>
            <w:r w:rsidRPr="00FE4D65">
              <w:rPr>
                <w:lang w:val="es-ES"/>
              </w:rPr>
              <w:t>Ruso</w:t>
            </w:r>
            <w:bookmarkEnd w:id="345"/>
          </w:p>
        </w:tc>
        <w:tc>
          <w:tcPr>
            <w:tcW w:w="1903" w:type="dxa"/>
            <w:noWrap/>
            <w:hideMark/>
          </w:tcPr>
          <w:p w14:paraId="53D4749A" w14:textId="77777777" w:rsidR="00FE4D65" w:rsidRPr="00FE4D65" w:rsidRDefault="00FE4D65" w:rsidP="004425C6">
            <w:pPr>
              <w:pStyle w:val="Tabletext"/>
              <w:jc w:val="center"/>
              <w:rPr>
                <w:lang w:val="en-GB"/>
              </w:rPr>
            </w:pPr>
            <w:bookmarkStart w:id="346" w:name="lt_pId1132"/>
            <w:r w:rsidRPr="00FE4D65">
              <w:rPr>
                <w:lang w:val="es-ES"/>
              </w:rPr>
              <w:t>15-19 de abril</w:t>
            </w:r>
            <w:bookmarkEnd w:id="346"/>
          </w:p>
          <w:p w14:paraId="188A2951" w14:textId="34293A3E" w:rsidR="00FE4D65" w:rsidRPr="00FE4D65" w:rsidRDefault="00FE4D65" w:rsidP="004425C6">
            <w:pPr>
              <w:pStyle w:val="Tabletext"/>
              <w:jc w:val="center"/>
              <w:rPr>
                <w:lang w:val="en-GB"/>
              </w:rPr>
            </w:pPr>
            <w:bookmarkStart w:id="347" w:name="lt_pId1133"/>
            <w:r w:rsidRPr="00FE4D65">
              <w:rPr>
                <w:lang w:val="es-ES"/>
              </w:rPr>
              <w:t xml:space="preserve">Astaná </w:t>
            </w:r>
            <w:r w:rsidR="00F039CA">
              <w:rPr>
                <w:lang w:val="es-ES"/>
              </w:rPr>
              <w:t>(</w:t>
            </w:r>
            <w:r w:rsidRPr="00FE4D65">
              <w:rPr>
                <w:lang w:val="es-ES"/>
              </w:rPr>
              <w:t>Kazajstán</w:t>
            </w:r>
            <w:bookmarkEnd w:id="347"/>
            <w:r w:rsidR="00F039CA">
              <w:rPr>
                <w:lang w:val="es-ES"/>
              </w:rPr>
              <w:t>)</w:t>
            </w:r>
          </w:p>
        </w:tc>
        <w:tc>
          <w:tcPr>
            <w:tcW w:w="1134" w:type="dxa"/>
            <w:noWrap/>
            <w:hideMark/>
          </w:tcPr>
          <w:p w14:paraId="075FC379" w14:textId="77777777" w:rsidR="00FE4D65" w:rsidRPr="00FE4D65" w:rsidRDefault="00FE4D65" w:rsidP="004425C6">
            <w:pPr>
              <w:pStyle w:val="Tabletext"/>
              <w:jc w:val="center"/>
              <w:rPr>
                <w:lang w:val="en-GB"/>
              </w:rPr>
            </w:pPr>
            <w:r w:rsidRPr="00FE4D65">
              <w:rPr>
                <w:lang w:val="es-ES"/>
              </w:rPr>
              <w:t>−</w:t>
            </w:r>
          </w:p>
        </w:tc>
        <w:tc>
          <w:tcPr>
            <w:tcW w:w="1218" w:type="dxa"/>
            <w:hideMark/>
          </w:tcPr>
          <w:p w14:paraId="7FDAB186" w14:textId="77777777" w:rsidR="00FE4D65" w:rsidRPr="00FE4D65" w:rsidRDefault="00FE4D65" w:rsidP="004425C6">
            <w:pPr>
              <w:pStyle w:val="Tabletext"/>
              <w:jc w:val="center"/>
              <w:rPr>
                <w:lang w:val="en-GB"/>
              </w:rPr>
            </w:pPr>
            <w:r w:rsidRPr="00FE4D65">
              <w:rPr>
                <w:lang w:val="es-ES"/>
              </w:rPr>
              <w:t>−</w:t>
            </w:r>
          </w:p>
        </w:tc>
        <w:tc>
          <w:tcPr>
            <w:tcW w:w="1067" w:type="dxa"/>
            <w:noWrap/>
            <w:hideMark/>
          </w:tcPr>
          <w:p w14:paraId="03D96735" w14:textId="77777777" w:rsidR="00FE4D65" w:rsidRPr="00FE4D65" w:rsidRDefault="00FE4D65" w:rsidP="004425C6">
            <w:pPr>
              <w:pStyle w:val="Tabletext"/>
              <w:jc w:val="center"/>
              <w:rPr>
                <w:lang w:val="en-GB"/>
              </w:rPr>
            </w:pPr>
            <w:r w:rsidRPr="00FE4D65">
              <w:rPr>
                <w:lang w:val="es-ES"/>
              </w:rPr>
              <w:t>−</w:t>
            </w:r>
          </w:p>
        </w:tc>
      </w:tr>
      <w:tr w:rsidR="004425C6" w:rsidRPr="00FE4D65" w14:paraId="701382F0" w14:textId="77777777" w:rsidTr="004425C6">
        <w:trPr>
          <w:jc w:val="center"/>
        </w:trPr>
        <w:tc>
          <w:tcPr>
            <w:tcW w:w="2711" w:type="dxa"/>
            <w:shd w:val="clear" w:color="auto" w:fill="F2F2F2" w:themeFill="background1" w:themeFillShade="F2"/>
            <w:hideMark/>
          </w:tcPr>
          <w:p w14:paraId="5FF15F4C" w14:textId="6FFBB7B3" w:rsidR="00FE4D65" w:rsidRPr="00FB379C" w:rsidRDefault="00FE4D65" w:rsidP="00FB379C">
            <w:pPr>
              <w:pStyle w:val="Tabletext"/>
              <w:rPr>
                <w:b/>
                <w:bCs/>
                <w:lang w:val="en-GB"/>
              </w:rPr>
            </w:pPr>
            <w:bookmarkStart w:id="348" w:name="lt_pId1137"/>
            <w:r w:rsidRPr="00FB379C">
              <w:rPr>
                <w:b/>
                <w:bCs/>
                <w:lang w:val="es-ES"/>
              </w:rPr>
              <w:t>Europa (1)</w:t>
            </w:r>
            <w:bookmarkEnd w:id="348"/>
          </w:p>
        </w:tc>
        <w:tc>
          <w:tcPr>
            <w:tcW w:w="1596" w:type="dxa"/>
            <w:hideMark/>
          </w:tcPr>
          <w:p w14:paraId="49E1C731" w14:textId="77777777" w:rsidR="00FE4D65" w:rsidRPr="00FE4D65" w:rsidRDefault="00FE4D65" w:rsidP="004425C6">
            <w:pPr>
              <w:pStyle w:val="Tabletext"/>
              <w:jc w:val="center"/>
              <w:rPr>
                <w:lang w:val="en-GB"/>
              </w:rPr>
            </w:pPr>
            <w:bookmarkStart w:id="349" w:name="lt_pId1138"/>
            <w:r w:rsidRPr="00FE4D65">
              <w:rPr>
                <w:lang w:val="es-ES"/>
              </w:rPr>
              <w:t>Inglés</w:t>
            </w:r>
            <w:bookmarkEnd w:id="349"/>
          </w:p>
        </w:tc>
        <w:tc>
          <w:tcPr>
            <w:tcW w:w="1903" w:type="dxa"/>
            <w:noWrap/>
            <w:hideMark/>
          </w:tcPr>
          <w:p w14:paraId="75A381CF" w14:textId="77777777" w:rsidR="00FE4D65" w:rsidRPr="00FE4D65" w:rsidRDefault="00FE4D65" w:rsidP="004425C6">
            <w:pPr>
              <w:pStyle w:val="Tabletext"/>
              <w:jc w:val="center"/>
              <w:rPr>
                <w:lang w:val="en-GB"/>
              </w:rPr>
            </w:pPr>
            <w:r w:rsidRPr="00FE4D65">
              <w:rPr>
                <w:lang w:val="es-ES"/>
              </w:rPr>
              <w:t>−</w:t>
            </w:r>
          </w:p>
        </w:tc>
        <w:tc>
          <w:tcPr>
            <w:tcW w:w="1134" w:type="dxa"/>
            <w:noWrap/>
            <w:hideMark/>
          </w:tcPr>
          <w:p w14:paraId="1CB7C854" w14:textId="77777777" w:rsidR="00FE4D65" w:rsidRPr="00FE4D65" w:rsidRDefault="00FE4D65" w:rsidP="004425C6">
            <w:pPr>
              <w:pStyle w:val="Tabletext"/>
              <w:jc w:val="center"/>
              <w:rPr>
                <w:lang w:val="en-GB"/>
              </w:rPr>
            </w:pPr>
            <w:r w:rsidRPr="00FE4D65">
              <w:rPr>
                <w:lang w:val="es-ES"/>
              </w:rPr>
              <w:t>−</w:t>
            </w:r>
          </w:p>
        </w:tc>
        <w:tc>
          <w:tcPr>
            <w:tcW w:w="1218" w:type="dxa"/>
            <w:noWrap/>
            <w:hideMark/>
          </w:tcPr>
          <w:p w14:paraId="518D082B" w14:textId="77777777" w:rsidR="00FE4D65" w:rsidRPr="00FE4D65" w:rsidRDefault="00FE4D65" w:rsidP="004425C6">
            <w:pPr>
              <w:pStyle w:val="Tabletext"/>
              <w:jc w:val="center"/>
              <w:rPr>
                <w:lang w:val="en-GB"/>
              </w:rPr>
            </w:pPr>
            <w:r w:rsidRPr="00FE4D65">
              <w:rPr>
                <w:lang w:val="es-ES"/>
              </w:rPr>
              <w:t>−</w:t>
            </w:r>
          </w:p>
        </w:tc>
        <w:tc>
          <w:tcPr>
            <w:tcW w:w="1067" w:type="dxa"/>
            <w:hideMark/>
          </w:tcPr>
          <w:p w14:paraId="2A7F48AB" w14:textId="77777777" w:rsidR="00FE4D65" w:rsidRPr="00FE4D65" w:rsidRDefault="00FE4D65" w:rsidP="004425C6">
            <w:pPr>
              <w:pStyle w:val="Tabletext"/>
              <w:jc w:val="center"/>
              <w:rPr>
                <w:lang w:val="en-GB"/>
              </w:rPr>
            </w:pPr>
            <w:bookmarkStart w:id="350" w:name="lt_pId1142"/>
            <w:r w:rsidRPr="00FE4D65">
              <w:rPr>
                <w:lang w:val="es-ES"/>
              </w:rPr>
              <w:t>Abril</w:t>
            </w:r>
            <w:bookmarkEnd w:id="350"/>
          </w:p>
        </w:tc>
      </w:tr>
    </w:tbl>
    <w:p w14:paraId="227C164A" w14:textId="23F0AB7B" w:rsidR="00FE4D65" w:rsidRPr="00FE4D65" w:rsidRDefault="00FE4D65" w:rsidP="004D5B3E">
      <w:pPr>
        <w:pStyle w:val="Normalaftertitle"/>
      </w:pPr>
      <w:bookmarkStart w:id="351" w:name="lt_pId1143"/>
      <w:r w:rsidRPr="00FE4D65">
        <w:t>Como en los ciclos anteriores y para optimizar los recursos necesarios, esta planificación responde a los siguientes principios:</w:t>
      </w:r>
      <w:bookmarkEnd w:id="351"/>
    </w:p>
    <w:p w14:paraId="0D6FE177" w14:textId="7D80279D" w:rsidR="00FE4D65" w:rsidRPr="00FE4D65" w:rsidRDefault="00FB379C" w:rsidP="00FB379C">
      <w:pPr>
        <w:pStyle w:val="enumlev1"/>
        <w:rPr>
          <w:lang w:val="es-ES"/>
        </w:rPr>
      </w:pPr>
      <w:bookmarkStart w:id="352" w:name="lt_pId1144"/>
      <w:r w:rsidRPr="00FB379C">
        <w:rPr>
          <w:lang w:val="es-ES"/>
        </w:rPr>
        <w:t>•</w:t>
      </w:r>
      <w:r>
        <w:rPr>
          <w:lang w:val="es-ES"/>
        </w:rPr>
        <w:tab/>
      </w:r>
      <w:r w:rsidR="00FE4D65" w:rsidRPr="00FE4D65">
        <w:rPr>
          <w:lang w:val="es-ES"/>
        </w:rPr>
        <w:t>primer trimestre de 2024: no se celebran SMR y SRR, actualización del RR y de las correspondientes herramientas informáticas;</w:t>
      </w:r>
      <w:bookmarkEnd w:id="352"/>
    </w:p>
    <w:p w14:paraId="182937C6" w14:textId="0141A8C6" w:rsidR="00FE4D65" w:rsidRPr="00FE4D65" w:rsidRDefault="00FB379C" w:rsidP="00FB379C">
      <w:pPr>
        <w:pStyle w:val="enumlev1"/>
        <w:rPr>
          <w:lang w:val="es-ES"/>
        </w:rPr>
      </w:pPr>
      <w:bookmarkStart w:id="353" w:name="lt_pId1145"/>
      <w:r w:rsidRPr="00FB379C">
        <w:rPr>
          <w:lang w:val="es-ES"/>
        </w:rPr>
        <w:t>•</w:t>
      </w:r>
      <w:r>
        <w:rPr>
          <w:lang w:val="es-ES"/>
        </w:rPr>
        <w:tab/>
      </w:r>
      <w:r w:rsidR="00FE4D65" w:rsidRPr="00FE4D65">
        <w:rPr>
          <w:lang w:val="es-ES"/>
        </w:rPr>
        <w:t>segundo semestre de 2027: no se celebran SMR y SRR, preparación de la CMR-27;</w:t>
      </w:r>
      <w:bookmarkEnd w:id="353"/>
    </w:p>
    <w:p w14:paraId="004D5A7C" w14:textId="4EF46442" w:rsidR="00FE4D65" w:rsidRPr="00FE4D65" w:rsidRDefault="00FB379C" w:rsidP="00FB379C">
      <w:pPr>
        <w:pStyle w:val="enumlev1"/>
        <w:rPr>
          <w:lang w:val="es-ES"/>
        </w:rPr>
      </w:pPr>
      <w:bookmarkStart w:id="354" w:name="lt_pId1146"/>
      <w:r w:rsidRPr="00FB379C">
        <w:rPr>
          <w:lang w:val="es-ES"/>
        </w:rPr>
        <w:t>•</w:t>
      </w:r>
      <w:r>
        <w:rPr>
          <w:lang w:val="es-ES"/>
        </w:rPr>
        <w:tab/>
      </w:r>
      <w:r w:rsidR="00FE4D65" w:rsidRPr="00FE4D65">
        <w:rPr>
          <w:lang w:val="es-ES"/>
        </w:rPr>
        <w:t>se celebrarán dos SMR por ciclo (cada dos años): SMR-24 y SMR-26;</w:t>
      </w:r>
      <w:bookmarkEnd w:id="354"/>
    </w:p>
    <w:p w14:paraId="3294F953" w14:textId="10B717E4" w:rsidR="00FE4D65" w:rsidRPr="00FE4D65" w:rsidRDefault="00FB379C" w:rsidP="00FB379C">
      <w:pPr>
        <w:pStyle w:val="enumlev1"/>
        <w:rPr>
          <w:lang w:val="es-ES"/>
        </w:rPr>
      </w:pPr>
      <w:bookmarkStart w:id="355" w:name="lt_pId1147"/>
      <w:r w:rsidRPr="00FB379C">
        <w:rPr>
          <w:lang w:val="es-ES"/>
        </w:rPr>
        <w:t>•</w:t>
      </w:r>
      <w:r>
        <w:rPr>
          <w:lang w:val="es-ES"/>
        </w:rPr>
        <w:tab/>
      </w:r>
      <w:r w:rsidR="00FE4D65" w:rsidRPr="00FE4D65">
        <w:rPr>
          <w:lang w:val="es-ES"/>
        </w:rPr>
        <w:t>el primer SMR después de la CMR (SMR-24) comprenderá una reunión específica dedicada a explicar en detalle las modificaciones del RR introducidas por la CMR;</w:t>
      </w:r>
      <w:bookmarkEnd w:id="355"/>
    </w:p>
    <w:p w14:paraId="182DBA6D" w14:textId="5B1C3196" w:rsidR="00FE4D65" w:rsidRPr="00FE4D65" w:rsidRDefault="00FB379C" w:rsidP="00FB379C">
      <w:pPr>
        <w:pStyle w:val="enumlev1"/>
        <w:rPr>
          <w:lang w:val="es-ES"/>
        </w:rPr>
      </w:pPr>
      <w:bookmarkStart w:id="356" w:name="lt_pId1148"/>
      <w:r w:rsidRPr="00FB379C">
        <w:rPr>
          <w:lang w:val="es-ES"/>
        </w:rPr>
        <w:t>•</w:t>
      </w:r>
      <w:r>
        <w:rPr>
          <w:lang w:val="es-ES"/>
        </w:rPr>
        <w:tab/>
      </w:r>
      <w:r w:rsidR="00FE4D65" w:rsidRPr="00FE4D65">
        <w:rPr>
          <w:lang w:val="es-ES"/>
        </w:rPr>
        <w:t>los dos SRR de África no tendrán lugar el mismo año que los SMR, dado que la participación en los SRR de África es casi el doble que en los demás SRR y que es preciso distribuir equitativamente el presupuesto para becas;</w:t>
      </w:r>
      <w:bookmarkEnd w:id="356"/>
    </w:p>
    <w:p w14:paraId="2D559E39" w14:textId="63A72454" w:rsidR="00FE4D65" w:rsidRPr="00FE4D65" w:rsidRDefault="00FB379C" w:rsidP="00FB379C">
      <w:pPr>
        <w:pStyle w:val="enumlev1"/>
        <w:rPr>
          <w:lang w:val="es-ES"/>
        </w:rPr>
      </w:pPr>
      <w:bookmarkStart w:id="357" w:name="lt_pId1149"/>
      <w:r w:rsidRPr="00FB379C">
        <w:rPr>
          <w:lang w:val="es-ES"/>
        </w:rPr>
        <w:t>•</w:t>
      </w:r>
      <w:r>
        <w:rPr>
          <w:lang w:val="es-ES"/>
        </w:rPr>
        <w:tab/>
      </w:r>
      <w:r w:rsidR="00FE4D65" w:rsidRPr="00FE4D65">
        <w:rPr>
          <w:lang w:val="es-ES"/>
        </w:rPr>
        <w:t>los SRR se celebrarán en el idioma predominante de la región, con el fin de reducir los costos de interpretación y facilitar el intercambio de información durante el evento;</w:t>
      </w:r>
      <w:bookmarkEnd w:id="357"/>
    </w:p>
    <w:p w14:paraId="48A3B424" w14:textId="1E298661" w:rsidR="00FE4D65" w:rsidRPr="00FE4D65" w:rsidRDefault="00FB379C" w:rsidP="00FB379C">
      <w:pPr>
        <w:pStyle w:val="enumlev1"/>
        <w:rPr>
          <w:lang w:val="es-ES"/>
        </w:rPr>
      </w:pPr>
      <w:bookmarkStart w:id="358" w:name="lt_pId1150"/>
      <w:r w:rsidRPr="00FB379C">
        <w:rPr>
          <w:lang w:val="es-ES"/>
        </w:rPr>
        <w:t>•</w:t>
      </w:r>
      <w:r>
        <w:rPr>
          <w:lang w:val="es-ES"/>
        </w:rPr>
        <w:tab/>
      </w:r>
      <w:r w:rsidR="00FE4D65" w:rsidRPr="00FE4D65">
        <w:rPr>
          <w:lang w:val="es-ES"/>
        </w:rPr>
        <w:t>los programas de los SRR se ajustarán a las necesidades específicas de la región en cuestión;</w:t>
      </w:r>
      <w:bookmarkEnd w:id="358"/>
    </w:p>
    <w:p w14:paraId="4B42B533" w14:textId="3A15053D" w:rsidR="00FE4D65" w:rsidRPr="00FE4D65" w:rsidRDefault="00FB379C" w:rsidP="00FB379C">
      <w:pPr>
        <w:pStyle w:val="enumlev1"/>
        <w:rPr>
          <w:lang w:val="es-ES"/>
        </w:rPr>
      </w:pPr>
      <w:bookmarkStart w:id="359" w:name="lt_pId1151"/>
      <w:r w:rsidRPr="00FB379C">
        <w:rPr>
          <w:lang w:val="es-ES"/>
        </w:rPr>
        <w:lastRenderedPageBreak/>
        <w:t>•</w:t>
      </w:r>
      <w:r>
        <w:rPr>
          <w:lang w:val="es-ES"/>
        </w:rPr>
        <w:tab/>
      </w:r>
      <w:r w:rsidR="00FE4D65" w:rsidRPr="00FE4D65">
        <w:rPr>
          <w:lang w:val="es-ES"/>
        </w:rPr>
        <w:t>el último día o los últimos días de cada SRR se dedicarán a una sesión de tipo foro, a la que podrá invitarse a oradores de otras regiones para ampliar el alcance de los debates (esos días podría requerirse la prestación de servicios de interpretación desde o hacia el inglés).</w:t>
      </w:r>
      <w:bookmarkEnd w:id="359"/>
    </w:p>
    <w:p w14:paraId="592E437C" w14:textId="77777777" w:rsidR="00FE4D65" w:rsidRPr="00FE4D65" w:rsidRDefault="00FE4D65" w:rsidP="00FE4D65">
      <w:pPr>
        <w:rPr>
          <w:lang w:val="es-ES"/>
        </w:rPr>
      </w:pPr>
      <w:bookmarkStart w:id="360" w:name="lt_pId1152"/>
      <w:r w:rsidRPr="00FE4D65">
        <w:rPr>
          <w:lang w:val="es-ES"/>
        </w:rPr>
        <w:t>La planificación anterior deberá coordinarse y ajustarse debidamente con las Oficinas Regionales (OR) de la UIT y los grupos regionales pertinentes, teniendo en cuenta los problemas que plantea la pandemia actual y los consiguientes cambios de formato (eventos en línea), así como las implicaciones que tienen para el personal de la UIT involucrado (BR, OR).</w:t>
      </w:r>
      <w:bookmarkEnd w:id="360"/>
    </w:p>
    <w:p w14:paraId="5EDFE3B5" w14:textId="63CAD819" w:rsidR="00FE4D65" w:rsidRPr="00FE4D65" w:rsidRDefault="00FE4D65" w:rsidP="00FB379C">
      <w:pPr>
        <w:pStyle w:val="Heading3"/>
        <w:rPr>
          <w:lang w:val="es-ES"/>
        </w:rPr>
      </w:pPr>
      <w:r w:rsidRPr="00FE4D65">
        <w:rPr>
          <w:lang w:val="es-ES"/>
        </w:rPr>
        <w:t>8.2.1</w:t>
      </w:r>
      <w:r w:rsidRPr="00FE4D65">
        <w:rPr>
          <w:lang w:val="es-ES"/>
        </w:rPr>
        <w:tab/>
        <w:t>Seminarios Mundiales de Radiocomunicaciones (SMR)</w:t>
      </w:r>
      <w:bookmarkStart w:id="361" w:name="lt_pId1154"/>
      <w:bookmarkEnd w:id="361"/>
    </w:p>
    <w:p w14:paraId="4E2F73AA" w14:textId="59E93CB5" w:rsidR="00FE4D65" w:rsidRPr="00FE4D65" w:rsidRDefault="00FB379C" w:rsidP="00FB379C">
      <w:pPr>
        <w:pStyle w:val="enumlev1"/>
        <w:rPr>
          <w:lang w:val="es-ES"/>
        </w:rPr>
      </w:pPr>
      <w:bookmarkStart w:id="362" w:name="lt_pId1155"/>
      <w:r w:rsidRPr="00FB379C">
        <w:rPr>
          <w:lang w:val="es-ES"/>
        </w:rPr>
        <w:t>•</w:t>
      </w:r>
      <w:r>
        <w:rPr>
          <w:lang w:val="es-ES"/>
        </w:rPr>
        <w:tab/>
      </w:r>
      <w:r w:rsidR="00FE4D65" w:rsidRPr="00FE4D65">
        <w:rPr>
          <w:lang w:val="es-ES"/>
        </w:rPr>
        <w:t>SMR-20, del 30 de noviembre al 11 de diciembre de 2020, con 2</w:t>
      </w:r>
      <w:r w:rsidR="00F039CA">
        <w:rPr>
          <w:lang w:val="es-ES"/>
        </w:rPr>
        <w:t> </w:t>
      </w:r>
      <w:r w:rsidR="00FE4D65" w:rsidRPr="00FE4D65">
        <w:rPr>
          <w:lang w:val="es-ES"/>
        </w:rPr>
        <w:t>183</w:t>
      </w:r>
      <w:r w:rsidR="00F039CA">
        <w:rPr>
          <w:lang w:val="es-ES"/>
        </w:rPr>
        <w:t> </w:t>
      </w:r>
      <w:r w:rsidR="00FE4D65" w:rsidRPr="00FE4D65">
        <w:rPr>
          <w:lang w:val="es-ES"/>
        </w:rPr>
        <w:t>participantes de 159</w:t>
      </w:r>
      <w:r w:rsidR="00F039CA">
        <w:rPr>
          <w:lang w:val="es-ES"/>
        </w:rPr>
        <w:t> </w:t>
      </w:r>
      <w:r w:rsidR="00FE4D65" w:rsidRPr="00FE4D65">
        <w:rPr>
          <w:lang w:val="es-ES"/>
        </w:rPr>
        <w:t>países;</w:t>
      </w:r>
      <w:bookmarkEnd w:id="362"/>
    </w:p>
    <w:p w14:paraId="0D752397" w14:textId="6E9DB661" w:rsidR="00FE4D65" w:rsidRPr="00FE4D65" w:rsidRDefault="00FB379C" w:rsidP="00FB379C">
      <w:pPr>
        <w:pStyle w:val="enumlev1"/>
        <w:rPr>
          <w:lang w:val="es-ES"/>
        </w:rPr>
      </w:pPr>
      <w:bookmarkStart w:id="363" w:name="lt_pId1156"/>
      <w:r w:rsidRPr="00FB379C">
        <w:rPr>
          <w:lang w:val="es-ES"/>
        </w:rPr>
        <w:t>•</w:t>
      </w:r>
      <w:r>
        <w:rPr>
          <w:lang w:val="es-ES"/>
        </w:rPr>
        <w:tab/>
      </w:r>
      <w:r w:rsidR="00FE4D65" w:rsidRPr="00FE4D65">
        <w:rPr>
          <w:lang w:val="es-ES"/>
        </w:rPr>
        <w:t>SMR-22, del 24 al 28 de octubre de 2022, con 540</w:t>
      </w:r>
      <w:r w:rsidR="004425C6">
        <w:rPr>
          <w:lang w:val="es-ES"/>
        </w:rPr>
        <w:t> </w:t>
      </w:r>
      <w:r w:rsidR="00FE4D65" w:rsidRPr="00FE4D65">
        <w:rPr>
          <w:lang w:val="es-ES"/>
        </w:rPr>
        <w:t>participantes de 123</w:t>
      </w:r>
      <w:r w:rsidR="004425C6">
        <w:rPr>
          <w:lang w:val="es-ES"/>
        </w:rPr>
        <w:t> </w:t>
      </w:r>
      <w:r w:rsidR="00FE4D65" w:rsidRPr="00FE4D65">
        <w:rPr>
          <w:lang w:val="es-ES"/>
        </w:rPr>
        <w:t>países.</w:t>
      </w:r>
      <w:bookmarkEnd w:id="363"/>
    </w:p>
    <w:p w14:paraId="61E321BC" w14:textId="77777777" w:rsidR="00FE4D65" w:rsidRPr="00FE4D65" w:rsidRDefault="00FE4D65" w:rsidP="00FE4D65">
      <w:pPr>
        <w:rPr>
          <w:lang w:val="es-ES"/>
        </w:rPr>
      </w:pPr>
      <w:bookmarkStart w:id="364" w:name="lt_pId1157"/>
      <w:r w:rsidRPr="00FE4D65">
        <w:rPr>
          <w:lang w:val="es-ES"/>
        </w:rPr>
        <w:t xml:space="preserve">Inicialmente previsto en Ginebra para la primera semana de diciembre de 2020, debido a las restricciones de viaje relacionadas con la pandemia de COVID-19, el </w:t>
      </w:r>
      <w:r w:rsidRPr="00FE4D65">
        <w:rPr>
          <w:b/>
          <w:bCs/>
          <w:lang w:val="es-ES"/>
        </w:rPr>
        <w:t>SMR-20</w:t>
      </w:r>
      <w:r w:rsidRPr="00FE4D65">
        <w:rPr>
          <w:lang w:val="es-ES"/>
        </w:rPr>
        <w:t xml:space="preserve"> pasó a celebrarse en formato virtual, con los siguientes cambios:</w:t>
      </w:r>
      <w:bookmarkEnd w:id="364"/>
    </w:p>
    <w:p w14:paraId="619206E1" w14:textId="416FCCA9" w:rsidR="00FE4D65" w:rsidRPr="00FE4D65" w:rsidRDefault="00FB379C" w:rsidP="00FB379C">
      <w:pPr>
        <w:pStyle w:val="enumlev1"/>
        <w:rPr>
          <w:lang w:val="es-ES"/>
        </w:rPr>
      </w:pPr>
      <w:bookmarkStart w:id="365" w:name="lt_pId1158"/>
      <w:r w:rsidRPr="00FB379C">
        <w:rPr>
          <w:lang w:val="es-ES"/>
        </w:rPr>
        <w:t>•</w:t>
      </w:r>
      <w:r>
        <w:rPr>
          <w:lang w:val="es-ES"/>
        </w:rPr>
        <w:tab/>
      </w:r>
      <w:r w:rsidR="004425C6">
        <w:rPr>
          <w:lang w:val="es-ES"/>
        </w:rPr>
        <w:t>E</w:t>
      </w:r>
      <w:r w:rsidR="00FE4D65" w:rsidRPr="00FE4D65">
        <w:rPr>
          <w:lang w:val="es-ES"/>
        </w:rPr>
        <w:t xml:space="preserve">l SMR-20 se celebró durante dos semanas, del 30 de noviembre al 11 de diciembre, con sesiones diarias de </w:t>
      </w:r>
      <w:r w:rsidR="004425C6">
        <w:rPr>
          <w:lang w:val="es-ES"/>
        </w:rPr>
        <w:t>tres</w:t>
      </w:r>
      <w:r w:rsidR="00FE4D65" w:rsidRPr="00FE4D65">
        <w:rPr>
          <w:lang w:val="es-ES"/>
        </w:rPr>
        <w:t xml:space="preserve"> horas</w:t>
      </w:r>
      <w:bookmarkEnd w:id="365"/>
      <w:r w:rsidR="004425C6">
        <w:rPr>
          <w:lang w:val="es-ES"/>
        </w:rPr>
        <w:t>.</w:t>
      </w:r>
    </w:p>
    <w:p w14:paraId="3A1EE0EC" w14:textId="39D1A933" w:rsidR="00FE4D65" w:rsidRPr="00FE4D65" w:rsidRDefault="00FB379C" w:rsidP="00FB379C">
      <w:pPr>
        <w:pStyle w:val="enumlev1"/>
        <w:rPr>
          <w:lang w:val="es-ES"/>
        </w:rPr>
      </w:pPr>
      <w:bookmarkStart w:id="366" w:name="lt_pId1159"/>
      <w:r w:rsidRPr="00FB379C">
        <w:rPr>
          <w:lang w:val="es-ES"/>
        </w:rPr>
        <w:t>•</w:t>
      </w:r>
      <w:r>
        <w:rPr>
          <w:lang w:val="es-ES"/>
        </w:rPr>
        <w:tab/>
      </w:r>
      <w:r w:rsidR="004425C6">
        <w:rPr>
          <w:lang w:val="es-ES"/>
        </w:rPr>
        <w:t>P</w:t>
      </w:r>
      <w:r w:rsidR="00FE4D65" w:rsidRPr="00FE4D65">
        <w:rPr>
          <w:lang w:val="es-ES"/>
        </w:rPr>
        <w:t>ara adaptarse a los participantes de los diferentes husos horarios de todo el mundo, las sesiones del SMR-20 se presentaron dos veces al día:</w:t>
      </w:r>
      <w:bookmarkEnd w:id="366"/>
    </w:p>
    <w:p w14:paraId="4DA788E3" w14:textId="3E0B96BE" w:rsidR="00FE4D65" w:rsidRPr="00FE4D65" w:rsidRDefault="004425C6" w:rsidP="004425C6">
      <w:pPr>
        <w:pStyle w:val="enumlev2"/>
        <w:rPr>
          <w:lang w:val="es-ES"/>
        </w:rPr>
      </w:pPr>
      <w:r w:rsidRPr="004425C6">
        <w:rPr>
          <w:lang w:val="es-ES"/>
        </w:rPr>
        <w:t>–</w:t>
      </w:r>
      <w:r w:rsidR="00FE4D65" w:rsidRPr="00FE4D65">
        <w:rPr>
          <w:lang w:val="es-ES"/>
        </w:rPr>
        <w:tab/>
      </w:r>
      <w:r>
        <w:rPr>
          <w:lang w:val="es-ES"/>
        </w:rPr>
        <w:t>s</w:t>
      </w:r>
      <w:r w:rsidR="00FE4D65" w:rsidRPr="00FE4D65">
        <w:rPr>
          <w:lang w:val="es-ES"/>
        </w:rPr>
        <w:t>esiones de mañana (horario de Ginebra) para los participantes de las regiones de Asia</w:t>
      </w:r>
      <w:r>
        <w:rPr>
          <w:lang w:val="es-ES"/>
        </w:rPr>
        <w:noBreakHyphen/>
      </w:r>
      <w:r w:rsidR="00FE4D65" w:rsidRPr="00FE4D65">
        <w:rPr>
          <w:lang w:val="es-ES"/>
        </w:rPr>
        <w:t>Pacífico, y África Meridional y Oriental</w:t>
      </w:r>
      <w:bookmarkStart w:id="367" w:name="lt_pId1161"/>
      <w:bookmarkEnd w:id="367"/>
      <w:r>
        <w:rPr>
          <w:lang w:val="es-ES"/>
        </w:rPr>
        <w:t>;</w:t>
      </w:r>
    </w:p>
    <w:p w14:paraId="2F3B4D6C" w14:textId="63682538" w:rsidR="00FE4D65" w:rsidRPr="00FE4D65" w:rsidRDefault="004425C6" w:rsidP="004425C6">
      <w:pPr>
        <w:pStyle w:val="enumlev2"/>
        <w:rPr>
          <w:lang w:val="es-ES"/>
        </w:rPr>
      </w:pPr>
      <w:r w:rsidRPr="004425C6">
        <w:rPr>
          <w:lang w:val="es-ES"/>
        </w:rPr>
        <w:t>–</w:t>
      </w:r>
      <w:r w:rsidR="00FE4D65" w:rsidRPr="00FE4D65">
        <w:rPr>
          <w:lang w:val="es-ES"/>
        </w:rPr>
        <w:tab/>
      </w:r>
      <w:r>
        <w:rPr>
          <w:lang w:val="es-ES"/>
        </w:rPr>
        <w:t>s</w:t>
      </w:r>
      <w:r w:rsidR="00FE4D65" w:rsidRPr="00FE4D65">
        <w:rPr>
          <w:lang w:val="es-ES"/>
        </w:rPr>
        <w:t>esiones de tarde (horario de Ginebra) para los participantes de las regiones de Américas, Europa, CEI, Estados Árabes y África Occidental.</w:t>
      </w:r>
      <w:bookmarkStart w:id="368" w:name="lt_pId1163"/>
      <w:bookmarkEnd w:id="368"/>
    </w:p>
    <w:p w14:paraId="111603BA" w14:textId="014F7CE6" w:rsidR="00FE4D65" w:rsidRPr="00FE4D65" w:rsidRDefault="00FB379C" w:rsidP="00FB379C">
      <w:pPr>
        <w:pStyle w:val="enumlev1"/>
        <w:rPr>
          <w:lang w:val="es-ES"/>
        </w:rPr>
      </w:pPr>
      <w:bookmarkStart w:id="369" w:name="lt_pId1164"/>
      <w:r w:rsidRPr="00FB379C">
        <w:rPr>
          <w:lang w:val="es-ES"/>
        </w:rPr>
        <w:t>•</w:t>
      </w:r>
      <w:r>
        <w:rPr>
          <w:lang w:val="es-ES"/>
        </w:rPr>
        <w:tab/>
      </w:r>
      <w:r w:rsidR="00FE4D65" w:rsidRPr="00FE4D65">
        <w:rPr>
          <w:lang w:val="es-ES"/>
        </w:rPr>
        <w:t>También se facilitó el acceso a las grabaciones de las sesiones de los seminarios en el sitio web del evento.</w:t>
      </w:r>
      <w:bookmarkEnd w:id="369"/>
    </w:p>
    <w:p w14:paraId="1499A1BB" w14:textId="7449B5C9" w:rsidR="00FE4D65" w:rsidRPr="00FE4D65" w:rsidRDefault="00FB379C" w:rsidP="00FB379C">
      <w:pPr>
        <w:pStyle w:val="enumlev1"/>
        <w:rPr>
          <w:lang w:val="es-ES"/>
        </w:rPr>
      </w:pPr>
      <w:bookmarkStart w:id="370" w:name="lt_pId1165"/>
      <w:r w:rsidRPr="00FB379C">
        <w:rPr>
          <w:lang w:val="es-ES"/>
        </w:rPr>
        <w:t>•</w:t>
      </w:r>
      <w:r>
        <w:rPr>
          <w:lang w:val="es-ES"/>
        </w:rPr>
        <w:tab/>
      </w:r>
      <w:r w:rsidR="00FE4D65" w:rsidRPr="00FE4D65">
        <w:rPr>
          <w:lang w:val="es-ES"/>
        </w:rPr>
        <w:t>En la segunda semana, limitada únicamente a los Miembros de la UIT, se impartieron talleres de formación básica sobre la utilización de las herramientas desarrolladas por la</w:t>
      </w:r>
      <w:r w:rsidR="004425C6">
        <w:rPr>
          <w:lang w:val="es-ES"/>
        </w:rPr>
        <w:t> </w:t>
      </w:r>
      <w:r w:rsidR="00FE4D65" w:rsidRPr="00FE4D65">
        <w:rPr>
          <w:lang w:val="es-ES"/>
        </w:rPr>
        <w:t>UIT para las notificaciones de frecuencias y los exámenes técnicos.</w:t>
      </w:r>
      <w:bookmarkEnd w:id="370"/>
    </w:p>
    <w:p w14:paraId="64DE4E62" w14:textId="37614A3E" w:rsidR="00FE4D65" w:rsidRPr="00FE4D65" w:rsidRDefault="00FB379C" w:rsidP="00FB379C">
      <w:pPr>
        <w:pStyle w:val="enumlev1"/>
        <w:rPr>
          <w:lang w:val="es-ES"/>
        </w:rPr>
      </w:pPr>
      <w:bookmarkStart w:id="371" w:name="lt_pId1166"/>
      <w:r w:rsidRPr="00FB379C">
        <w:rPr>
          <w:lang w:val="es-ES"/>
        </w:rPr>
        <w:t>•</w:t>
      </w:r>
      <w:r>
        <w:rPr>
          <w:lang w:val="es-ES"/>
        </w:rPr>
        <w:tab/>
      </w:r>
      <w:r w:rsidR="00FE4D65" w:rsidRPr="00FE4D65">
        <w:rPr>
          <w:lang w:val="es-ES"/>
        </w:rPr>
        <w:t xml:space="preserve">Los ejercicios del cursillo web permitieron a los participantes de los talleres formarse tanto en los procedimientos como en el </w:t>
      </w:r>
      <w:r w:rsidR="00FE4D65" w:rsidRPr="00FE4D65">
        <w:rPr>
          <w:i/>
          <w:iCs/>
          <w:lang w:val="es-ES"/>
        </w:rPr>
        <w:t>software</w:t>
      </w:r>
      <w:r w:rsidR="00FE4D65" w:rsidRPr="00FE4D65">
        <w:rPr>
          <w:lang w:val="es-ES"/>
        </w:rPr>
        <w:t xml:space="preserve"> que el Sector de Radiocomunicaciones (UIT-R) utiliza para la tramitación de las notificaciones. Los participantes pudieron alternar entre servicios espaciales y terrenales.</w:t>
      </w:r>
      <w:bookmarkStart w:id="372" w:name="lt_pId1167"/>
      <w:bookmarkEnd w:id="371"/>
      <w:bookmarkEnd w:id="372"/>
    </w:p>
    <w:p w14:paraId="3F72026F" w14:textId="06FD023D" w:rsidR="00FE4D65" w:rsidRPr="00FE4D65" w:rsidRDefault="00FE4D65" w:rsidP="00FE4D65">
      <w:pPr>
        <w:rPr>
          <w:lang w:val="es-ES"/>
        </w:rPr>
      </w:pPr>
      <w:bookmarkStart w:id="373" w:name="lt_pId1168"/>
      <w:r w:rsidRPr="00FE4D65">
        <w:rPr>
          <w:lang w:val="es-ES"/>
        </w:rPr>
        <w:t xml:space="preserve">La </w:t>
      </w:r>
      <w:r w:rsidRPr="00FE4D65">
        <w:rPr>
          <w:b/>
          <w:bCs/>
          <w:lang w:val="es-ES"/>
        </w:rPr>
        <w:t>Plenaria del SMR-22</w:t>
      </w:r>
      <w:r w:rsidRPr="00FE4D65">
        <w:rPr>
          <w:lang w:val="es-ES"/>
        </w:rPr>
        <w:t xml:space="preserve"> se celebró en formato presencial con participación a distancia.</w:t>
      </w:r>
      <w:bookmarkEnd w:id="373"/>
    </w:p>
    <w:p w14:paraId="13D42755" w14:textId="257DD530" w:rsidR="00FE4D65" w:rsidRPr="00FE4D65" w:rsidRDefault="00FE4D65" w:rsidP="00FE4D65">
      <w:pPr>
        <w:rPr>
          <w:lang w:val="es-ES"/>
        </w:rPr>
      </w:pPr>
      <w:bookmarkStart w:id="374" w:name="lt_pId1169"/>
      <w:r w:rsidRPr="00FE4D65">
        <w:rPr>
          <w:lang w:val="es-ES"/>
        </w:rPr>
        <w:t xml:space="preserve">Los </w:t>
      </w:r>
      <w:r w:rsidRPr="00FE4D65">
        <w:rPr>
          <w:b/>
          <w:bCs/>
          <w:lang w:val="es-ES"/>
        </w:rPr>
        <w:t>Talleres terrenales y espaciales del SMR-22</w:t>
      </w:r>
      <w:r w:rsidRPr="00FE4D65">
        <w:rPr>
          <w:lang w:val="es-ES"/>
        </w:rPr>
        <w:t xml:space="preserve"> se celebraron en paralelo y en formato exclusivamente presencial abierto sólo a los Miembros del UIT-R. Durante los cuatros días de talleres espaciales y terrenales del SMR-22, los participantes tuvieron la oportunidad de llevar a cabo experiencias prácticas con los procedimientos de notificación de la UIT, así como con los programas informáticos, las bases de datos y las publicaciones electrónicas que la Oficina de Radiocomunicaciones pone a disposición de los Miembros de la UIT. También se organizaron sesiones específicas para usuarios principiantes y avanzados de las herramientas informáticas de la</w:t>
      </w:r>
      <w:r w:rsidR="00D229DF">
        <w:rPr>
          <w:lang w:val="es-ES"/>
        </w:rPr>
        <w:t> </w:t>
      </w:r>
      <w:r w:rsidRPr="00FE4D65">
        <w:rPr>
          <w:lang w:val="es-ES"/>
        </w:rPr>
        <w:t>BR. Estas sesiones se celebraron principalmente en inglés y francés. La BR concedió 23</w:t>
      </w:r>
      <w:r w:rsidR="00D229DF">
        <w:rPr>
          <w:lang w:val="es-ES"/>
        </w:rPr>
        <w:t> </w:t>
      </w:r>
      <w:r w:rsidRPr="00FE4D65">
        <w:rPr>
          <w:lang w:val="es-ES"/>
        </w:rPr>
        <w:t>becas para el SMR-22.</w:t>
      </w:r>
      <w:bookmarkStart w:id="375" w:name="lt_pId1170"/>
      <w:bookmarkStart w:id="376" w:name="lt_pId1171"/>
      <w:bookmarkStart w:id="377" w:name="lt_pId1172"/>
      <w:bookmarkStart w:id="378" w:name="lt_pId1173"/>
      <w:bookmarkEnd w:id="374"/>
      <w:bookmarkEnd w:id="375"/>
      <w:bookmarkEnd w:id="376"/>
      <w:bookmarkEnd w:id="377"/>
      <w:bookmarkEnd w:id="378"/>
    </w:p>
    <w:p w14:paraId="4CF59489" w14:textId="77777777" w:rsidR="00FE4D65" w:rsidRPr="00FE4D65" w:rsidRDefault="00FE4D65" w:rsidP="00D229DF">
      <w:pPr>
        <w:keepNext/>
        <w:keepLines/>
        <w:rPr>
          <w:lang w:val="es-ES"/>
        </w:rPr>
      </w:pPr>
      <w:bookmarkStart w:id="379" w:name="lt_pId1174"/>
      <w:r w:rsidRPr="00FE4D65">
        <w:rPr>
          <w:lang w:val="es-ES"/>
        </w:rPr>
        <w:lastRenderedPageBreak/>
        <w:t>Además, habida cuenta de que cada vez son más las personas que utilizan y despliegan sistemas de radiocomunicaciones, y considerando que la BR tiene la función de informar a las personas y las organizaciones de todo el mundo sobre el Reglamento de Radiocomunicaciones y su aplicación, por primera vez, en ambos eventos las sesiones plenarias del SMR estuvieron abiertas a todos, con independencia de que fueran o no Miembro de la UIT.</w:t>
      </w:r>
      <w:bookmarkEnd w:id="379"/>
    </w:p>
    <w:p w14:paraId="04502F81" w14:textId="183DF131" w:rsidR="00FE4D65" w:rsidRPr="00FE4D65" w:rsidRDefault="00FE4D65" w:rsidP="00FB379C">
      <w:pPr>
        <w:pStyle w:val="Heading3"/>
        <w:rPr>
          <w:lang w:val="es-ES"/>
        </w:rPr>
      </w:pPr>
      <w:r w:rsidRPr="00FE4D65">
        <w:rPr>
          <w:lang w:val="es-ES"/>
        </w:rPr>
        <w:t>8.2.2</w:t>
      </w:r>
      <w:r w:rsidRPr="00FE4D65">
        <w:rPr>
          <w:lang w:val="es-ES"/>
        </w:rPr>
        <w:tab/>
        <w:t>Seminarios Regionales de Radiocomunicaciones (SRR)</w:t>
      </w:r>
      <w:bookmarkStart w:id="380" w:name="lt_pId1176"/>
      <w:bookmarkEnd w:id="380"/>
    </w:p>
    <w:p w14:paraId="133B1247" w14:textId="7C90D8F9" w:rsidR="00FE4D65" w:rsidRPr="00FE4D65" w:rsidRDefault="00FE4D65" w:rsidP="00FE4D65">
      <w:pPr>
        <w:rPr>
          <w:lang w:val="es-ES"/>
        </w:rPr>
      </w:pPr>
      <w:bookmarkStart w:id="381" w:name="lt_pId1177"/>
      <w:r w:rsidRPr="00FE4D65">
        <w:rPr>
          <w:lang w:val="es-ES"/>
        </w:rPr>
        <w:t>A fin de complementar los Seminarios Mundiales de Radiocomunicaciones de carácter bienal, la</w:t>
      </w:r>
      <w:r w:rsidR="00D229DF">
        <w:rPr>
          <w:lang w:val="es-ES"/>
        </w:rPr>
        <w:t> </w:t>
      </w:r>
      <w:r w:rsidRPr="00FE4D65">
        <w:rPr>
          <w:lang w:val="es-ES"/>
        </w:rPr>
        <w:t>BR mantuvo su estrategia de divulgación regional mediante la organización de Seminarios Regionales de Radiocomunicaciones (SRR), con el objetivo de visitar todas las regiones en desarrollo del mundo e impulsar la creación de capacidad en materia de utilización del espectro de radiofrecuencias y las órbitas de los satélites y, en particular, de aplicación de las disposiciones del Reglamento de Radiocomunicaciones de la UIT.</w:t>
      </w:r>
      <w:bookmarkEnd w:id="381"/>
    </w:p>
    <w:p w14:paraId="5C38D9ED" w14:textId="5BE0B759" w:rsidR="00FE4D65" w:rsidRPr="00FE4D65" w:rsidRDefault="00FE4D65" w:rsidP="00FE4D65">
      <w:pPr>
        <w:rPr>
          <w:lang w:val="es-ES"/>
        </w:rPr>
      </w:pPr>
      <w:bookmarkStart w:id="382" w:name="lt_pId1178"/>
      <w:r w:rsidRPr="00FE4D65">
        <w:rPr>
          <w:lang w:val="es-ES"/>
        </w:rPr>
        <w:t>Los SRR se organizan conjuntamente con las autoridades de gestión del espectro de los países anfitriones, en estrecha colaboración con las organizaciones regionales pertinentes y las Oficinas Regionales/Zonales de la UIT. Su orden del día incluye dos días de sesiones teóricas y uno o dos días de talleres sobre servicios terrenales y espaciales. Se complementan con un foro de un día dedicado a asuntos sobre el espectro que sean de especial interés para la región.</w:t>
      </w:r>
      <w:bookmarkStart w:id="383" w:name="lt_pId1179"/>
      <w:bookmarkStart w:id="384" w:name="lt_pId1180"/>
      <w:bookmarkEnd w:id="382"/>
      <w:bookmarkEnd w:id="383"/>
      <w:bookmarkEnd w:id="384"/>
    </w:p>
    <w:p w14:paraId="0C0D326A" w14:textId="6F0451D2" w:rsidR="00FE4D65" w:rsidRPr="00FE4D65" w:rsidRDefault="00FE4D65" w:rsidP="00FE4D65">
      <w:pPr>
        <w:rPr>
          <w:lang w:val="es-ES"/>
        </w:rPr>
      </w:pPr>
      <w:bookmarkStart w:id="385" w:name="lt_pId1181"/>
      <w:r w:rsidRPr="00FE4D65">
        <w:rPr>
          <w:lang w:val="es-ES"/>
        </w:rPr>
        <w:t>En el Cuadro</w:t>
      </w:r>
      <w:r w:rsidR="00D229DF">
        <w:rPr>
          <w:lang w:val="es-ES"/>
        </w:rPr>
        <w:t> </w:t>
      </w:r>
      <w:r w:rsidRPr="00FE4D65">
        <w:rPr>
          <w:lang w:val="es-ES"/>
        </w:rPr>
        <w:t>8.2.2-2 se muestra un resumen de los SRR celebrados desde la CMR-19. Por lo general estos seminarios se celebraron en línea durante la pandemia de COVID-19 y posteriormente fueron las administraciones, las autoridades de reglamentación o las autoridades de gestión del espectro de cada país quienes acogieron la organización de estos seminarios, en colaboración con las organizaciones regionales pertinentes y las Oficinas Regionales/Zonales de la UIT.</w:t>
      </w:r>
      <w:bookmarkEnd w:id="385"/>
    </w:p>
    <w:p w14:paraId="2863D181" w14:textId="77777777" w:rsidR="00FB379C" w:rsidRPr="00FE4D65" w:rsidRDefault="00FB379C" w:rsidP="00FE4D65">
      <w:pPr>
        <w:rPr>
          <w:lang w:val="es-ES"/>
        </w:rPr>
      </w:pPr>
    </w:p>
    <w:p w14:paraId="37EFD614" w14:textId="77777777" w:rsidR="00FE4D65" w:rsidRPr="00FE4D65" w:rsidRDefault="00FE4D65" w:rsidP="00FE4D65">
      <w:pPr>
        <w:rPr>
          <w:lang w:val="es-ES"/>
        </w:rPr>
        <w:sectPr w:rsidR="00FE4D65" w:rsidRPr="00FE4D65" w:rsidSect="00CE6F49">
          <w:headerReference w:type="default" r:id="rId57"/>
          <w:footerReference w:type="default" r:id="rId58"/>
          <w:footerReference w:type="first" r:id="rId59"/>
          <w:pgSz w:w="11907" w:h="16834"/>
          <w:pgMar w:top="1418" w:right="1134" w:bottom="1701" w:left="1134" w:header="720" w:footer="720" w:gutter="0"/>
          <w:paperSrc w:first="15" w:other="15"/>
          <w:cols w:space="720"/>
          <w:titlePg/>
          <w:docGrid w:linePitch="326"/>
        </w:sectPr>
      </w:pPr>
    </w:p>
    <w:p w14:paraId="06F48906" w14:textId="77777777" w:rsidR="00FE4D65" w:rsidRPr="00FE4D65" w:rsidRDefault="00FE4D65" w:rsidP="00824C17">
      <w:pPr>
        <w:pStyle w:val="TableNoBR"/>
        <w:rPr>
          <w:lang w:val="es-ES"/>
        </w:rPr>
      </w:pPr>
      <w:bookmarkStart w:id="386" w:name="lt_pId1184"/>
      <w:r w:rsidRPr="00FE4D65">
        <w:rPr>
          <w:lang w:val="es-ES"/>
        </w:rPr>
        <w:lastRenderedPageBreak/>
        <w:t>Cuadro 8.2.2-2</w:t>
      </w:r>
      <w:bookmarkEnd w:id="386"/>
    </w:p>
    <w:p w14:paraId="6E3950CB" w14:textId="77777777" w:rsidR="00FE4D65" w:rsidRPr="00FE4D65" w:rsidRDefault="00FE4D65" w:rsidP="00824C17">
      <w:pPr>
        <w:pStyle w:val="TabletitleBR"/>
        <w:rPr>
          <w:lang w:val="es-ES"/>
        </w:rPr>
      </w:pPr>
      <w:bookmarkStart w:id="387" w:name="lt_pId1185"/>
      <w:r w:rsidRPr="00FE4D65">
        <w:rPr>
          <w:lang w:val="es-ES"/>
        </w:rPr>
        <w:t>Seminarios Regionales de Radiocomunicaciones de la UIT (2020-2023)</w:t>
      </w:r>
      <w:bookmarkEnd w:id="387"/>
    </w:p>
    <w:tbl>
      <w:tblPr>
        <w:tblStyle w:val="TableGrid"/>
        <w:tblW w:w="5000" w:type="pct"/>
        <w:jc w:val="center"/>
        <w:tblLayout w:type="fixed"/>
        <w:tblLook w:val="04A0" w:firstRow="1" w:lastRow="0" w:firstColumn="1" w:lastColumn="0" w:noHBand="0" w:noVBand="1"/>
      </w:tblPr>
      <w:tblGrid>
        <w:gridCol w:w="1394"/>
        <w:gridCol w:w="1904"/>
        <w:gridCol w:w="1177"/>
        <w:gridCol w:w="1439"/>
        <w:gridCol w:w="2633"/>
        <w:gridCol w:w="2321"/>
        <w:gridCol w:w="909"/>
        <w:gridCol w:w="1555"/>
        <w:gridCol w:w="1229"/>
      </w:tblGrid>
      <w:tr w:rsidR="00D229DF" w:rsidRPr="00CC37EB" w14:paraId="17062968" w14:textId="77777777" w:rsidTr="00D229DF">
        <w:trPr>
          <w:tblHeader/>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27DD5CA1" w14:textId="77777777" w:rsidR="00FE4D65" w:rsidRPr="00CC37EB" w:rsidRDefault="00FE4D65" w:rsidP="00824C17">
            <w:pPr>
              <w:pStyle w:val="Tablehead"/>
              <w:rPr>
                <w:sz w:val="18"/>
                <w:szCs w:val="18"/>
                <w:lang w:val="en-GB"/>
              </w:rPr>
            </w:pPr>
            <w:bookmarkStart w:id="388" w:name="lt_pId1186"/>
            <w:r w:rsidRPr="00CC37EB">
              <w:rPr>
                <w:sz w:val="18"/>
                <w:szCs w:val="18"/>
                <w:lang w:val="es-ES"/>
              </w:rPr>
              <w:t>Fecha</w:t>
            </w:r>
            <w:bookmarkEnd w:id="388"/>
          </w:p>
        </w:tc>
        <w:tc>
          <w:tcPr>
            <w:tcW w:w="654" w:type="pct"/>
            <w:tcBorders>
              <w:top w:val="single" w:sz="4" w:space="0" w:color="auto"/>
              <w:left w:val="single" w:sz="4" w:space="0" w:color="auto"/>
              <w:bottom w:val="single" w:sz="4" w:space="0" w:color="auto"/>
              <w:right w:val="single" w:sz="4" w:space="0" w:color="auto"/>
            </w:tcBorders>
            <w:vAlign w:val="center"/>
            <w:hideMark/>
          </w:tcPr>
          <w:p w14:paraId="72376114" w14:textId="77777777" w:rsidR="00FE4D65" w:rsidRPr="00CC37EB" w:rsidRDefault="00FE4D65" w:rsidP="00824C17">
            <w:pPr>
              <w:pStyle w:val="Tablehead"/>
              <w:rPr>
                <w:sz w:val="18"/>
                <w:szCs w:val="18"/>
                <w:lang w:val="en-GB"/>
              </w:rPr>
            </w:pPr>
            <w:bookmarkStart w:id="389" w:name="lt_pId1187"/>
            <w:r w:rsidRPr="00CC37EB">
              <w:rPr>
                <w:sz w:val="18"/>
                <w:szCs w:val="18"/>
                <w:lang w:val="es-ES"/>
              </w:rPr>
              <w:t>SRR</w:t>
            </w:r>
            <w:bookmarkEnd w:id="389"/>
          </w:p>
        </w:tc>
        <w:tc>
          <w:tcPr>
            <w:tcW w:w="404" w:type="pct"/>
            <w:tcBorders>
              <w:top w:val="single" w:sz="4" w:space="0" w:color="auto"/>
              <w:left w:val="single" w:sz="4" w:space="0" w:color="auto"/>
              <w:bottom w:val="single" w:sz="4" w:space="0" w:color="auto"/>
              <w:right w:val="single" w:sz="4" w:space="0" w:color="auto"/>
            </w:tcBorders>
            <w:vAlign w:val="center"/>
            <w:hideMark/>
          </w:tcPr>
          <w:p w14:paraId="51943F3D" w14:textId="77777777" w:rsidR="00FE4D65" w:rsidRPr="00CC37EB" w:rsidRDefault="00FE4D65" w:rsidP="00824C17">
            <w:pPr>
              <w:pStyle w:val="Tablehead"/>
              <w:rPr>
                <w:sz w:val="18"/>
                <w:szCs w:val="18"/>
                <w:lang w:val="en-GB"/>
              </w:rPr>
            </w:pPr>
            <w:bookmarkStart w:id="390" w:name="lt_pId1188"/>
            <w:r w:rsidRPr="00CC37EB">
              <w:rPr>
                <w:sz w:val="18"/>
                <w:szCs w:val="18"/>
                <w:lang w:val="es-ES"/>
              </w:rPr>
              <w:t>Lugar</w:t>
            </w:r>
            <w:bookmarkEnd w:id="390"/>
          </w:p>
        </w:tc>
        <w:tc>
          <w:tcPr>
            <w:tcW w:w="494" w:type="pct"/>
            <w:tcBorders>
              <w:top w:val="single" w:sz="4" w:space="0" w:color="auto"/>
              <w:left w:val="single" w:sz="4" w:space="0" w:color="auto"/>
              <w:bottom w:val="single" w:sz="4" w:space="0" w:color="auto"/>
              <w:right w:val="single" w:sz="4" w:space="0" w:color="auto"/>
            </w:tcBorders>
            <w:vAlign w:val="center"/>
            <w:hideMark/>
          </w:tcPr>
          <w:p w14:paraId="3F4AF47B" w14:textId="77777777" w:rsidR="00FE4D65" w:rsidRPr="00CC37EB" w:rsidRDefault="00FE4D65" w:rsidP="00824C17">
            <w:pPr>
              <w:pStyle w:val="Tablehead"/>
              <w:rPr>
                <w:sz w:val="18"/>
                <w:szCs w:val="18"/>
                <w:lang w:val="en-GB"/>
              </w:rPr>
            </w:pPr>
            <w:bookmarkStart w:id="391" w:name="lt_pId1189"/>
            <w:r w:rsidRPr="00CC37EB">
              <w:rPr>
                <w:sz w:val="18"/>
                <w:szCs w:val="18"/>
                <w:lang w:val="es-ES"/>
              </w:rPr>
              <w:t>Organizador</w:t>
            </w:r>
            <w:bookmarkEnd w:id="391"/>
          </w:p>
        </w:tc>
        <w:tc>
          <w:tcPr>
            <w:tcW w:w="904" w:type="pct"/>
            <w:tcBorders>
              <w:top w:val="single" w:sz="4" w:space="0" w:color="auto"/>
              <w:left w:val="single" w:sz="4" w:space="0" w:color="auto"/>
              <w:bottom w:val="single" w:sz="4" w:space="0" w:color="auto"/>
              <w:right w:val="single" w:sz="4" w:space="0" w:color="auto"/>
            </w:tcBorders>
            <w:vAlign w:val="center"/>
            <w:hideMark/>
          </w:tcPr>
          <w:p w14:paraId="3991ED0C" w14:textId="77777777" w:rsidR="00FE4D65" w:rsidRPr="00CC37EB" w:rsidRDefault="00FE4D65" w:rsidP="00824C17">
            <w:pPr>
              <w:pStyle w:val="Tablehead"/>
              <w:rPr>
                <w:sz w:val="18"/>
                <w:szCs w:val="18"/>
                <w:lang w:val="en-GB"/>
              </w:rPr>
            </w:pPr>
            <w:bookmarkStart w:id="392" w:name="lt_pId1190"/>
            <w:r w:rsidRPr="00CC37EB">
              <w:rPr>
                <w:sz w:val="18"/>
                <w:szCs w:val="18"/>
                <w:lang w:val="es-ES"/>
              </w:rPr>
              <w:t>Cooperación</w:t>
            </w:r>
            <w:bookmarkEnd w:id="392"/>
          </w:p>
        </w:tc>
        <w:tc>
          <w:tcPr>
            <w:tcW w:w="797" w:type="pct"/>
            <w:tcBorders>
              <w:top w:val="single" w:sz="4" w:space="0" w:color="auto"/>
              <w:left w:val="single" w:sz="4" w:space="0" w:color="auto"/>
              <w:bottom w:val="single" w:sz="4" w:space="0" w:color="auto"/>
              <w:right w:val="single" w:sz="4" w:space="0" w:color="auto"/>
            </w:tcBorders>
            <w:vAlign w:val="center"/>
            <w:hideMark/>
          </w:tcPr>
          <w:p w14:paraId="2E3FC173" w14:textId="77777777" w:rsidR="00FE4D65" w:rsidRPr="00CC37EB" w:rsidRDefault="00FE4D65" w:rsidP="00824C17">
            <w:pPr>
              <w:pStyle w:val="Tablehead"/>
              <w:rPr>
                <w:sz w:val="18"/>
                <w:szCs w:val="18"/>
                <w:lang w:val="en-GB"/>
              </w:rPr>
            </w:pPr>
            <w:bookmarkStart w:id="393" w:name="lt_pId1191"/>
            <w:r w:rsidRPr="00CC37EB">
              <w:rPr>
                <w:sz w:val="18"/>
                <w:szCs w:val="18"/>
                <w:lang w:val="es-ES"/>
              </w:rPr>
              <w:t>Temas del Foro</w:t>
            </w:r>
            <w:bookmarkEnd w:id="393"/>
          </w:p>
        </w:tc>
        <w:tc>
          <w:tcPr>
            <w:tcW w:w="312" w:type="pct"/>
            <w:tcBorders>
              <w:top w:val="single" w:sz="4" w:space="0" w:color="auto"/>
              <w:left w:val="single" w:sz="4" w:space="0" w:color="auto"/>
              <w:bottom w:val="single" w:sz="4" w:space="0" w:color="auto"/>
              <w:right w:val="single" w:sz="4" w:space="0" w:color="auto"/>
            </w:tcBorders>
            <w:vAlign w:val="center"/>
            <w:hideMark/>
          </w:tcPr>
          <w:p w14:paraId="5EED1551" w14:textId="77777777" w:rsidR="00FE4D65" w:rsidRPr="00CC37EB" w:rsidRDefault="00FE4D65" w:rsidP="00824C17">
            <w:pPr>
              <w:pStyle w:val="Tablehead"/>
              <w:rPr>
                <w:sz w:val="18"/>
                <w:szCs w:val="18"/>
                <w:lang w:val="en-GB"/>
              </w:rPr>
            </w:pPr>
            <w:bookmarkStart w:id="394" w:name="lt_pId1192"/>
            <w:r w:rsidRPr="00CC37EB">
              <w:rPr>
                <w:sz w:val="18"/>
                <w:szCs w:val="18"/>
                <w:lang w:val="es-ES"/>
              </w:rPr>
              <w:t>Idiomas</w:t>
            </w:r>
            <w:bookmarkEnd w:id="394"/>
          </w:p>
        </w:tc>
        <w:tc>
          <w:tcPr>
            <w:tcW w:w="534" w:type="pct"/>
            <w:tcBorders>
              <w:top w:val="single" w:sz="4" w:space="0" w:color="auto"/>
              <w:left w:val="single" w:sz="4" w:space="0" w:color="auto"/>
              <w:bottom w:val="single" w:sz="4" w:space="0" w:color="auto"/>
              <w:right w:val="single" w:sz="4" w:space="0" w:color="auto"/>
            </w:tcBorders>
            <w:vAlign w:val="center"/>
            <w:hideMark/>
          </w:tcPr>
          <w:p w14:paraId="4857BBA3" w14:textId="210016BD" w:rsidR="00FE4D65" w:rsidRPr="00CC37EB" w:rsidRDefault="00FE4D65" w:rsidP="00824C17">
            <w:pPr>
              <w:pStyle w:val="Tablehead"/>
              <w:rPr>
                <w:sz w:val="18"/>
                <w:szCs w:val="18"/>
                <w:lang w:val="en-GB"/>
              </w:rPr>
            </w:pPr>
            <w:bookmarkStart w:id="395" w:name="lt_pId1193"/>
            <w:r w:rsidRPr="00CC37EB">
              <w:rPr>
                <w:sz w:val="18"/>
                <w:szCs w:val="18"/>
                <w:lang w:val="es-ES"/>
              </w:rPr>
              <w:t>Participantes/</w:t>
            </w:r>
            <w:r w:rsidR="00CC37EB">
              <w:rPr>
                <w:sz w:val="18"/>
                <w:szCs w:val="18"/>
                <w:lang w:val="es-ES"/>
              </w:rPr>
              <w:br/>
            </w:r>
            <w:r w:rsidRPr="00CC37EB">
              <w:rPr>
                <w:sz w:val="18"/>
                <w:szCs w:val="18"/>
                <w:lang w:val="es-ES"/>
              </w:rPr>
              <w:t>administraciones</w:t>
            </w:r>
            <w:bookmarkStart w:id="396" w:name="lt_pId1194"/>
            <w:bookmarkEnd w:id="395"/>
            <w:bookmarkEnd w:id="396"/>
          </w:p>
        </w:tc>
        <w:tc>
          <w:tcPr>
            <w:tcW w:w="422" w:type="pct"/>
            <w:tcBorders>
              <w:top w:val="single" w:sz="4" w:space="0" w:color="auto"/>
              <w:left w:val="single" w:sz="4" w:space="0" w:color="auto"/>
              <w:bottom w:val="single" w:sz="4" w:space="0" w:color="auto"/>
              <w:right w:val="single" w:sz="4" w:space="0" w:color="auto"/>
            </w:tcBorders>
          </w:tcPr>
          <w:p w14:paraId="68C635AD" w14:textId="77777777" w:rsidR="00FE4D65" w:rsidRPr="00CC37EB" w:rsidRDefault="00FE4D65" w:rsidP="00824C17">
            <w:pPr>
              <w:pStyle w:val="Tablehead"/>
              <w:rPr>
                <w:sz w:val="18"/>
                <w:szCs w:val="18"/>
                <w:lang w:val="en-GB"/>
              </w:rPr>
            </w:pPr>
            <w:bookmarkStart w:id="397" w:name="lt_pId1195"/>
            <w:r w:rsidRPr="00CC37EB">
              <w:rPr>
                <w:sz w:val="18"/>
                <w:szCs w:val="18"/>
                <w:lang w:val="es-ES"/>
              </w:rPr>
              <w:t>Becas</w:t>
            </w:r>
            <w:bookmarkEnd w:id="397"/>
          </w:p>
        </w:tc>
      </w:tr>
      <w:tr w:rsidR="00FE4D65" w:rsidRPr="00CC37EB" w14:paraId="6153A8DC" w14:textId="77777777" w:rsidTr="00FE0ECA">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6F4269" w14:textId="77777777" w:rsidR="00FE4D65" w:rsidRPr="00CC37EB" w:rsidRDefault="00FE4D65" w:rsidP="00CC37EB">
            <w:pPr>
              <w:pStyle w:val="Tabletext"/>
              <w:jc w:val="center"/>
              <w:rPr>
                <w:b/>
                <w:bCs/>
                <w:sz w:val="18"/>
                <w:szCs w:val="18"/>
                <w:lang w:val="en-GB"/>
              </w:rPr>
            </w:pPr>
            <w:r w:rsidRPr="00CC37EB">
              <w:rPr>
                <w:b/>
                <w:bCs/>
                <w:sz w:val="18"/>
                <w:szCs w:val="18"/>
                <w:lang w:val="es-ES"/>
              </w:rPr>
              <w:t>2020</w:t>
            </w:r>
          </w:p>
        </w:tc>
      </w:tr>
      <w:tr w:rsidR="00D229DF" w:rsidRPr="00FE4D65" w14:paraId="11CCFB3D"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181DD48" w14:textId="02A65262" w:rsidR="00FE4D65" w:rsidRPr="00CC37EB" w:rsidRDefault="00FE4D65" w:rsidP="00824C17">
            <w:pPr>
              <w:pStyle w:val="Tabletext"/>
              <w:rPr>
                <w:sz w:val="18"/>
                <w:szCs w:val="18"/>
                <w:lang w:val="en-GB"/>
              </w:rPr>
            </w:pPr>
            <w:bookmarkStart w:id="398" w:name="lt_pId1197"/>
            <w:r w:rsidRPr="00CC37EB">
              <w:rPr>
                <w:sz w:val="18"/>
                <w:szCs w:val="18"/>
                <w:lang w:val="es-ES"/>
              </w:rPr>
              <w:t>13-24 de julio de</w:t>
            </w:r>
            <w:r w:rsidR="00CC37EB">
              <w:rPr>
                <w:sz w:val="18"/>
                <w:szCs w:val="18"/>
                <w:lang w:val="es-ES"/>
              </w:rPr>
              <w:t> </w:t>
            </w:r>
            <w:r w:rsidRPr="00CC37EB">
              <w:rPr>
                <w:sz w:val="18"/>
                <w:szCs w:val="18"/>
                <w:lang w:val="es-ES"/>
              </w:rPr>
              <w:t>2020</w:t>
            </w:r>
            <w:bookmarkEnd w:id="398"/>
          </w:p>
        </w:tc>
        <w:tc>
          <w:tcPr>
            <w:tcW w:w="654" w:type="pct"/>
            <w:tcBorders>
              <w:top w:val="single" w:sz="4" w:space="0" w:color="auto"/>
              <w:left w:val="single" w:sz="4" w:space="0" w:color="auto"/>
              <w:bottom w:val="single" w:sz="4" w:space="0" w:color="auto"/>
              <w:right w:val="single" w:sz="4" w:space="0" w:color="auto"/>
            </w:tcBorders>
            <w:vAlign w:val="center"/>
            <w:hideMark/>
          </w:tcPr>
          <w:p w14:paraId="4E12F96F" w14:textId="77777777" w:rsidR="00FE4D65" w:rsidRPr="00CC37EB" w:rsidRDefault="00FE4D65" w:rsidP="00824C17">
            <w:pPr>
              <w:pStyle w:val="Tabletext"/>
              <w:rPr>
                <w:b/>
                <w:bCs/>
                <w:sz w:val="18"/>
                <w:szCs w:val="18"/>
                <w:lang w:val="en-GB"/>
              </w:rPr>
            </w:pPr>
            <w:bookmarkStart w:id="399" w:name="lt_pId1198"/>
            <w:r w:rsidRPr="00CC37EB">
              <w:rPr>
                <w:b/>
                <w:bCs/>
                <w:sz w:val="18"/>
                <w:szCs w:val="18"/>
                <w:lang w:val="es-ES"/>
              </w:rPr>
              <w:t>SRR-20-Américas</w:t>
            </w:r>
            <w:bookmarkEnd w:id="399"/>
          </w:p>
        </w:tc>
        <w:tc>
          <w:tcPr>
            <w:tcW w:w="404" w:type="pct"/>
            <w:tcBorders>
              <w:top w:val="single" w:sz="4" w:space="0" w:color="auto"/>
              <w:left w:val="single" w:sz="4" w:space="0" w:color="auto"/>
              <w:bottom w:val="single" w:sz="4" w:space="0" w:color="auto"/>
              <w:right w:val="single" w:sz="4" w:space="0" w:color="auto"/>
            </w:tcBorders>
            <w:vAlign w:val="center"/>
            <w:hideMark/>
          </w:tcPr>
          <w:p w14:paraId="48F7EED7" w14:textId="77777777" w:rsidR="00FE4D65" w:rsidRPr="00CC37EB" w:rsidRDefault="00FE4D65" w:rsidP="00CC37EB">
            <w:pPr>
              <w:pStyle w:val="Tabletext"/>
              <w:jc w:val="center"/>
              <w:rPr>
                <w:bCs/>
                <w:sz w:val="18"/>
                <w:szCs w:val="18"/>
                <w:lang w:val="en-GB"/>
              </w:rPr>
            </w:pPr>
            <w:bookmarkStart w:id="400" w:name="lt_pId1199"/>
            <w:r w:rsidRPr="00CC37EB">
              <w:rPr>
                <w:sz w:val="18"/>
                <w:szCs w:val="18"/>
                <w:lang w:val="es-ES"/>
              </w:rPr>
              <w:t>Reunión electrónica</w:t>
            </w:r>
            <w:bookmarkEnd w:id="400"/>
          </w:p>
        </w:tc>
        <w:tc>
          <w:tcPr>
            <w:tcW w:w="494" w:type="pct"/>
            <w:tcBorders>
              <w:top w:val="single" w:sz="4" w:space="0" w:color="auto"/>
              <w:left w:val="single" w:sz="4" w:space="0" w:color="auto"/>
              <w:bottom w:val="single" w:sz="4" w:space="0" w:color="auto"/>
              <w:right w:val="single" w:sz="4" w:space="0" w:color="auto"/>
            </w:tcBorders>
            <w:vAlign w:val="center"/>
            <w:hideMark/>
          </w:tcPr>
          <w:p w14:paraId="6A928DF0" w14:textId="77777777" w:rsidR="00FE4D65" w:rsidRPr="00CC37EB" w:rsidRDefault="00FE4D65" w:rsidP="00CC37EB">
            <w:pPr>
              <w:pStyle w:val="Tabletext"/>
              <w:jc w:val="center"/>
              <w:rPr>
                <w:sz w:val="18"/>
                <w:szCs w:val="18"/>
                <w:lang w:val="en-GB"/>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745941D5" w14:textId="77777777" w:rsidR="00D229DF" w:rsidRDefault="00FE4D65" w:rsidP="00CC37EB">
            <w:pPr>
              <w:pStyle w:val="Tabletext"/>
              <w:jc w:val="center"/>
              <w:rPr>
                <w:sz w:val="18"/>
                <w:szCs w:val="18"/>
                <w:lang w:val="es-ES"/>
              </w:rPr>
            </w:pPr>
            <w:bookmarkStart w:id="401" w:name="lt_pId1201"/>
            <w:r w:rsidRPr="00CC37EB">
              <w:rPr>
                <w:sz w:val="18"/>
                <w:szCs w:val="18"/>
                <w:lang w:val="es-ES"/>
              </w:rPr>
              <w:t>Unión de Telecomunicaciones del Caribe (CTU)</w:t>
            </w:r>
          </w:p>
          <w:p w14:paraId="135C163E" w14:textId="4D669B1B" w:rsidR="00FE4D65" w:rsidRPr="00CC37EB" w:rsidRDefault="00FE4D65" w:rsidP="00CC37EB">
            <w:pPr>
              <w:pStyle w:val="Tabletext"/>
              <w:jc w:val="center"/>
              <w:rPr>
                <w:sz w:val="18"/>
                <w:szCs w:val="18"/>
                <w:lang w:val="es-ES"/>
              </w:rPr>
            </w:pPr>
            <w:r w:rsidRPr="00CC37EB">
              <w:rPr>
                <w:sz w:val="18"/>
                <w:szCs w:val="18"/>
                <w:lang w:val="es-ES"/>
              </w:rPr>
              <w:t>Oficina de la UIT para las Américas</w:t>
            </w:r>
            <w:bookmarkEnd w:id="401"/>
          </w:p>
        </w:tc>
        <w:tc>
          <w:tcPr>
            <w:tcW w:w="797" w:type="pct"/>
            <w:tcBorders>
              <w:top w:val="single" w:sz="4" w:space="0" w:color="auto"/>
              <w:left w:val="single" w:sz="4" w:space="0" w:color="auto"/>
              <w:bottom w:val="single" w:sz="4" w:space="0" w:color="auto"/>
              <w:right w:val="single" w:sz="4" w:space="0" w:color="auto"/>
            </w:tcBorders>
            <w:vAlign w:val="center"/>
            <w:hideMark/>
          </w:tcPr>
          <w:p w14:paraId="4ECE0B22" w14:textId="77777777" w:rsidR="00FE4D65" w:rsidRPr="00CC37EB" w:rsidRDefault="00FE4D65" w:rsidP="00CC37EB">
            <w:pPr>
              <w:pStyle w:val="Tabletext"/>
              <w:jc w:val="center"/>
              <w:rPr>
                <w:sz w:val="18"/>
                <w:szCs w:val="18"/>
                <w:lang w:val="es-ES"/>
              </w:rPr>
            </w:pPr>
            <w:bookmarkStart w:id="402" w:name="lt_pId1202"/>
            <w:r w:rsidRPr="00CC37EB">
              <w:rPr>
                <w:sz w:val="18"/>
                <w:szCs w:val="18"/>
                <w:lang w:val="es-ES"/>
              </w:rPr>
              <w:t>Resultados de la CMR-19: Retos y oportunidades para la Región</w:t>
            </w:r>
            <w:bookmarkEnd w:id="402"/>
          </w:p>
        </w:tc>
        <w:tc>
          <w:tcPr>
            <w:tcW w:w="312" w:type="pct"/>
            <w:tcBorders>
              <w:top w:val="single" w:sz="4" w:space="0" w:color="auto"/>
              <w:left w:val="single" w:sz="4" w:space="0" w:color="auto"/>
              <w:bottom w:val="single" w:sz="4" w:space="0" w:color="auto"/>
              <w:right w:val="single" w:sz="4" w:space="0" w:color="auto"/>
            </w:tcBorders>
            <w:vAlign w:val="center"/>
            <w:hideMark/>
          </w:tcPr>
          <w:p w14:paraId="518E038C" w14:textId="77777777" w:rsidR="00FE4D65" w:rsidRPr="00CC37EB" w:rsidRDefault="00FE4D65" w:rsidP="00CC37EB">
            <w:pPr>
              <w:pStyle w:val="Tabletext"/>
              <w:jc w:val="center"/>
              <w:rPr>
                <w:sz w:val="18"/>
                <w:szCs w:val="18"/>
                <w:lang w:val="en-GB"/>
              </w:rPr>
            </w:pPr>
            <w:bookmarkStart w:id="403" w:name="lt_pId1203"/>
            <w:r w:rsidRPr="00CC37EB">
              <w:rPr>
                <w:sz w:val="18"/>
                <w:szCs w:val="18"/>
                <w:lang w:val="es-ES"/>
              </w:rPr>
              <w:t>E</w:t>
            </w:r>
            <w:bookmarkEnd w:id="403"/>
          </w:p>
        </w:tc>
        <w:tc>
          <w:tcPr>
            <w:tcW w:w="534" w:type="pct"/>
            <w:tcBorders>
              <w:top w:val="single" w:sz="4" w:space="0" w:color="auto"/>
              <w:left w:val="single" w:sz="4" w:space="0" w:color="auto"/>
              <w:bottom w:val="single" w:sz="4" w:space="0" w:color="auto"/>
              <w:right w:val="single" w:sz="4" w:space="0" w:color="auto"/>
            </w:tcBorders>
            <w:vAlign w:val="center"/>
            <w:hideMark/>
          </w:tcPr>
          <w:p w14:paraId="502AF6CA" w14:textId="77777777" w:rsidR="00FE4D65" w:rsidRPr="00CC37EB" w:rsidRDefault="00FE4D65" w:rsidP="00CC37EB">
            <w:pPr>
              <w:pStyle w:val="Tabletext"/>
              <w:jc w:val="center"/>
              <w:rPr>
                <w:sz w:val="18"/>
                <w:szCs w:val="18"/>
                <w:lang w:val="en-GB"/>
              </w:rPr>
            </w:pPr>
            <w:r w:rsidRPr="00CC37EB">
              <w:rPr>
                <w:sz w:val="18"/>
                <w:szCs w:val="18"/>
                <w:lang w:val="es-ES"/>
              </w:rPr>
              <w:t>350/38</w:t>
            </w:r>
          </w:p>
        </w:tc>
        <w:tc>
          <w:tcPr>
            <w:tcW w:w="422" w:type="pct"/>
            <w:tcBorders>
              <w:top w:val="single" w:sz="4" w:space="0" w:color="auto"/>
              <w:left w:val="single" w:sz="4" w:space="0" w:color="auto"/>
              <w:bottom w:val="single" w:sz="4" w:space="0" w:color="auto"/>
              <w:right w:val="single" w:sz="4" w:space="0" w:color="auto"/>
            </w:tcBorders>
            <w:vAlign w:val="center"/>
          </w:tcPr>
          <w:p w14:paraId="1B4A7090" w14:textId="77777777" w:rsidR="00FE4D65" w:rsidRPr="00CC37EB" w:rsidRDefault="00FE4D65" w:rsidP="00CC37EB">
            <w:pPr>
              <w:pStyle w:val="Tabletext"/>
              <w:jc w:val="center"/>
              <w:rPr>
                <w:sz w:val="18"/>
                <w:szCs w:val="18"/>
                <w:lang w:val="en-GB"/>
              </w:rPr>
            </w:pPr>
            <w:bookmarkStart w:id="404" w:name="lt_pId1205"/>
            <w:r w:rsidRPr="00CC37EB">
              <w:rPr>
                <w:sz w:val="18"/>
                <w:szCs w:val="18"/>
                <w:lang w:val="es-ES"/>
              </w:rPr>
              <w:t>N/D</w:t>
            </w:r>
            <w:bookmarkEnd w:id="404"/>
          </w:p>
        </w:tc>
      </w:tr>
      <w:tr w:rsidR="00D229DF" w:rsidRPr="00FE4D65" w14:paraId="07A303F1"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FCF0C1A" w14:textId="557EA54E" w:rsidR="00FE4D65" w:rsidRPr="00CC37EB" w:rsidRDefault="00FE4D65" w:rsidP="00824C17">
            <w:pPr>
              <w:pStyle w:val="Tabletext"/>
              <w:rPr>
                <w:sz w:val="18"/>
                <w:szCs w:val="18"/>
                <w:lang w:val="en-GB"/>
              </w:rPr>
            </w:pPr>
            <w:bookmarkStart w:id="405" w:name="lt_pId1206"/>
            <w:r w:rsidRPr="00CC37EB">
              <w:rPr>
                <w:sz w:val="18"/>
                <w:szCs w:val="18"/>
                <w:lang w:val="es-ES"/>
              </w:rPr>
              <w:t>19-30 de octubre de</w:t>
            </w:r>
            <w:r w:rsidR="00CC37EB">
              <w:rPr>
                <w:sz w:val="18"/>
                <w:szCs w:val="18"/>
                <w:lang w:val="es-ES"/>
              </w:rPr>
              <w:t> </w:t>
            </w:r>
            <w:r w:rsidRPr="00CC37EB">
              <w:rPr>
                <w:sz w:val="18"/>
                <w:szCs w:val="18"/>
                <w:lang w:val="es-ES"/>
              </w:rPr>
              <w:t>2020</w:t>
            </w:r>
            <w:bookmarkEnd w:id="405"/>
          </w:p>
        </w:tc>
        <w:tc>
          <w:tcPr>
            <w:tcW w:w="654" w:type="pct"/>
            <w:tcBorders>
              <w:top w:val="single" w:sz="4" w:space="0" w:color="auto"/>
              <w:left w:val="single" w:sz="4" w:space="0" w:color="auto"/>
              <w:bottom w:val="single" w:sz="4" w:space="0" w:color="auto"/>
              <w:right w:val="single" w:sz="4" w:space="0" w:color="auto"/>
            </w:tcBorders>
            <w:vAlign w:val="center"/>
            <w:hideMark/>
          </w:tcPr>
          <w:p w14:paraId="45104372" w14:textId="77777777" w:rsidR="00FE4D65" w:rsidRPr="00CC37EB" w:rsidRDefault="00FE4D65" w:rsidP="00824C17">
            <w:pPr>
              <w:pStyle w:val="Tabletext"/>
              <w:rPr>
                <w:b/>
                <w:bCs/>
                <w:sz w:val="18"/>
                <w:szCs w:val="18"/>
                <w:lang w:val="en-GB"/>
              </w:rPr>
            </w:pPr>
            <w:bookmarkStart w:id="406" w:name="lt_pId1207"/>
            <w:r w:rsidRPr="00CC37EB">
              <w:rPr>
                <w:b/>
                <w:bCs/>
                <w:sz w:val="18"/>
                <w:szCs w:val="18"/>
                <w:lang w:val="es-ES"/>
              </w:rPr>
              <w:t>SRR-20-Asia-Pacífico</w:t>
            </w:r>
            <w:bookmarkEnd w:id="406"/>
          </w:p>
        </w:tc>
        <w:tc>
          <w:tcPr>
            <w:tcW w:w="404" w:type="pct"/>
            <w:tcBorders>
              <w:top w:val="single" w:sz="4" w:space="0" w:color="auto"/>
              <w:left w:val="single" w:sz="4" w:space="0" w:color="auto"/>
              <w:bottom w:val="single" w:sz="4" w:space="0" w:color="auto"/>
              <w:right w:val="single" w:sz="4" w:space="0" w:color="auto"/>
            </w:tcBorders>
            <w:vAlign w:val="center"/>
            <w:hideMark/>
          </w:tcPr>
          <w:p w14:paraId="1BF84BF3" w14:textId="77777777" w:rsidR="00FE4D65" w:rsidRPr="00CC37EB" w:rsidRDefault="00FE4D65" w:rsidP="00CC37EB">
            <w:pPr>
              <w:pStyle w:val="Tabletext"/>
              <w:jc w:val="center"/>
              <w:rPr>
                <w:sz w:val="18"/>
                <w:szCs w:val="18"/>
                <w:lang w:val="en-GB"/>
              </w:rPr>
            </w:pPr>
            <w:bookmarkStart w:id="407" w:name="lt_pId1208"/>
            <w:r w:rsidRPr="00CC37EB">
              <w:rPr>
                <w:sz w:val="18"/>
                <w:szCs w:val="18"/>
                <w:lang w:val="es-ES"/>
              </w:rPr>
              <w:t>Reunión electrónica</w:t>
            </w:r>
            <w:bookmarkEnd w:id="407"/>
          </w:p>
        </w:tc>
        <w:tc>
          <w:tcPr>
            <w:tcW w:w="494" w:type="pct"/>
            <w:tcBorders>
              <w:top w:val="single" w:sz="4" w:space="0" w:color="auto"/>
              <w:left w:val="single" w:sz="4" w:space="0" w:color="auto"/>
              <w:bottom w:val="single" w:sz="4" w:space="0" w:color="auto"/>
              <w:right w:val="single" w:sz="4" w:space="0" w:color="auto"/>
            </w:tcBorders>
            <w:vAlign w:val="center"/>
            <w:hideMark/>
          </w:tcPr>
          <w:p w14:paraId="1F867375" w14:textId="77777777" w:rsidR="00FE4D65" w:rsidRPr="00CC37EB" w:rsidRDefault="00FE4D65" w:rsidP="00CC37EB">
            <w:pPr>
              <w:pStyle w:val="Tabletext"/>
              <w:jc w:val="center"/>
              <w:rPr>
                <w:sz w:val="18"/>
                <w:szCs w:val="18"/>
                <w:lang w:val="en-GB"/>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0408229A" w14:textId="77777777" w:rsidR="00FE4D65" w:rsidRPr="00CC37EB" w:rsidRDefault="00FE4D65" w:rsidP="00CC37EB">
            <w:pPr>
              <w:pStyle w:val="Tabletext"/>
              <w:jc w:val="center"/>
              <w:rPr>
                <w:sz w:val="18"/>
                <w:szCs w:val="18"/>
                <w:lang w:val="es-ES"/>
              </w:rPr>
            </w:pPr>
            <w:bookmarkStart w:id="408" w:name="lt_pId1210"/>
            <w:r w:rsidRPr="00CC37EB">
              <w:rPr>
                <w:sz w:val="18"/>
                <w:szCs w:val="18"/>
                <w:lang w:val="es-ES"/>
              </w:rPr>
              <w:t>Telecomunidad de Asia y el Pacífico (APT)</w:t>
            </w:r>
            <w:bookmarkEnd w:id="408"/>
          </w:p>
          <w:p w14:paraId="47243248" w14:textId="77777777" w:rsidR="00FE4D65" w:rsidRPr="00CC37EB" w:rsidRDefault="00FE4D65" w:rsidP="00CC37EB">
            <w:pPr>
              <w:pStyle w:val="Tabletext"/>
              <w:jc w:val="center"/>
              <w:rPr>
                <w:sz w:val="18"/>
                <w:szCs w:val="18"/>
                <w:lang w:val="es-ES"/>
              </w:rPr>
            </w:pPr>
            <w:bookmarkStart w:id="409" w:name="lt_pId1211"/>
            <w:r w:rsidRPr="00CC37EB">
              <w:rPr>
                <w:sz w:val="18"/>
                <w:szCs w:val="18"/>
                <w:lang w:val="es-ES"/>
              </w:rPr>
              <w:t>Oficina de la UIT para Asia y el Pacífico</w:t>
            </w:r>
            <w:bookmarkEnd w:id="409"/>
          </w:p>
        </w:tc>
        <w:tc>
          <w:tcPr>
            <w:tcW w:w="797" w:type="pct"/>
            <w:tcBorders>
              <w:top w:val="single" w:sz="4" w:space="0" w:color="auto"/>
              <w:left w:val="single" w:sz="4" w:space="0" w:color="auto"/>
              <w:bottom w:val="single" w:sz="4" w:space="0" w:color="auto"/>
              <w:right w:val="single" w:sz="4" w:space="0" w:color="auto"/>
            </w:tcBorders>
            <w:vAlign w:val="center"/>
            <w:hideMark/>
          </w:tcPr>
          <w:p w14:paraId="52A9C0CF" w14:textId="77777777" w:rsidR="00FE4D65" w:rsidRPr="00CC37EB" w:rsidRDefault="00FE4D65" w:rsidP="00CC37EB">
            <w:pPr>
              <w:pStyle w:val="Tabletext"/>
              <w:jc w:val="center"/>
              <w:rPr>
                <w:sz w:val="18"/>
                <w:szCs w:val="18"/>
                <w:lang w:val="es-ES"/>
              </w:rPr>
            </w:pPr>
            <w:bookmarkStart w:id="410" w:name="lt_pId1212"/>
            <w:r w:rsidRPr="00CC37EB">
              <w:rPr>
                <w:sz w:val="18"/>
                <w:szCs w:val="18"/>
                <w:lang w:val="es-ES"/>
              </w:rPr>
              <w:t>Resultados de la CMR-19: Retos y oportunidades para la Región</w:t>
            </w:r>
            <w:bookmarkEnd w:id="410"/>
          </w:p>
        </w:tc>
        <w:tc>
          <w:tcPr>
            <w:tcW w:w="312" w:type="pct"/>
            <w:tcBorders>
              <w:top w:val="single" w:sz="4" w:space="0" w:color="auto"/>
              <w:left w:val="single" w:sz="4" w:space="0" w:color="auto"/>
              <w:bottom w:val="single" w:sz="4" w:space="0" w:color="auto"/>
              <w:right w:val="single" w:sz="4" w:space="0" w:color="auto"/>
            </w:tcBorders>
            <w:vAlign w:val="center"/>
            <w:hideMark/>
          </w:tcPr>
          <w:p w14:paraId="55569812" w14:textId="77777777" w:rsidR="00FE4D65" w:rsidRPr="00CC37EB" w:rsidRDefault="00FE4D65" w:rsidP="00CC37EB">
            <w:pPr>
              <w:pStyle w:val="Tabletext"/>
              <w:jc w:val="center"/>
              <w:rPr>
                <w:sz w:val="18"/>
                <w:szCs w:val="18"/>
                <w:lang w:val="en-GB"/>
              </w:rPr>
            </w:pPr>
            <w:bookmarkStart w:id="411" w:name="lt_pId1213"/>
            <w:r w:rsidRPr="00CC37EB">
              <w:rPr>
                <w:sz w:val="18"/>
                <w:szCs w:val="18"/>
                <w:lang w:val="es-ES"/>
              </w:rPr>
              <w:t>E</w:t>
            </w:r>
            <w:bookmarkEnd w:id="411"/>
          </w:p>
        </w:tc>
        <w:tc>
          <w:tcPr>
            <w:tcW w:w="534" w:type="pct"/>
            <w:tcBorders>
              <w:top w:val="single" w:sz="4" w:space="0" w:color="auto"/>
              <w:left w:val="single" w:sz="4" w:space="0" w:color="auto"/>
              <w:bottom w:val="single" w:sz="4" w:space="0" w:color="auto"/>
              <w:right w:val="single" w:sz="4" w:space="0" w:color="auto"/>
            </w:tcBorders>
            <w:vAlign w:val="center"/>
            <w:hideMark/>
          </w:tcPr>
          <w:p w14:paraId="7614C054" w14:textId="77777777" w:rsidR="00FE4D65" w:rsidRPr="00CC37EB" w:rsidRDefault="00FE4D65" w:rsidP="00CC37EB">
            <w:pPr>
              <w:pStyle w:val="Tabletext"/>
              <w:jc w:val="center"/>
              <w:rPr>
                <w:sz w:val="18"/>
                <w:szCs w:val="18"/>
                <w:lang w:val="en-GB"/>
              </w:rPr>
            </w:pPr>
            <w:r w:rsidRPr="00CC37EB">
              <w:rPr>
                <w:sz w:val="18"/>
                <w:szCs w:val="18"/>
                <w:lang w:val="es-ES"/>
              </w:rPr>
              <w:t>300/30</w:t>
            </w:r>
          </w:p>
        </w:tc>
        <w:tc>
          <w:tcPr>
            <w:tcW w:w="422" w:type="pct"/>
            <w:tcBorders>
              <w:top w:val="single" w:sz="4" w:space="0" w:color="auto"/>
              <w:left w:val="single" w:sz="4" w:space="0" w:color="auto"/>
              <w:bottom w:val="single" w:sz="4" w:space="0" w:color="auto"/>
              <w:right w:val="single" w:sz="4" w:space="0" w:color="auto"/>
            </w:tcBorders>
            <w:vAlign w:val="center"/>
          </w:tcPr>
          <w:p w14:paraId="152355E6" w14:textId="77777777" w:rsidR="00FE4D65" w:rsidRPr="00CC37EB" w:rsidRDefault="00FE4D65" w:rsidP="00CC37EB">
            <w:pPr>
              <w:pStyle w:val="Tabletext"/>
              <w:jc w:val="center"/>
              <w:rPr>
                <w:sz w:val="18"/>
                <w:szCs w:val="18"/>
                <w:lang w:val="en-GB"/>
              </w:rPr>
            </w:pPr>
            <w:bookmarkStart w:id="412" w:name="lt_pId1215"/>
            <w:r w:rsidRPr="00CC37EB">
              <w:rPr>
                <w:sz w:val="18"/>
                <w:szCs w:val="18"/>
                <w:lang w:val="es-ES"/>
              </w:rPr>
              <w:t>N/D</w:t>
            </w:r>
            <w:bookmarkEnd w:id="412"/>
          </w:p>
        </w:tc>
      </w:tr>
      <w:tr w:rsidR="00FE4D65" w:rsidRPr="00FE4D65" w14:paraId="50FE3AF6" w14:textId="77777777" w:rsidTr="00FE0ECA">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DAEE8C" w14:textId="77777777" w:rsidR="00FE4D65" w:rsidRPr="00CC37EB" w:rsidRDefault="00FE4D65" w:rsidP="00CC37EB">
            <w:pPr>
              <w:pStyle w:val="Tabletext"/>
              <w:jc w:val="center"/>
              <w:rPr>
                <w:b/>
                <w:bCs/>
                <w:sz w:val="18"/>
                <w:szCs w:val="18"/>
                <w:lang w:val="es-ES"/>
              </w:rPr>
            </w:pPr>
            <w:r w:rsidRPr="00CC37EB">
              <w:rPr>
                <w:b/>
                <w:bCs/>
                <w:sz w:val="18"/>
                <w:szCs w:val="18"/>
                <w:lang w:val="es-ES"/>
              </w:rPr>
              <w:t>2021</w:t>
            </w:r>
          </w:p>
        </w:tc>
      </w:tr>
      <w:tr w:rsidR="00D229DF" w:rsidRPr="00FE4D65" w14:paraId="2A7556E5"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428E1DC" w14:textId="2E265EFF" w:rsidR="00FE4D65" w:rsidRPr="00CC37EB" w:rsidRDefault="00FE4D65" w:rsidP="00CC37EB">
            <w:pPr>
              <w:pStyle w:val="Tabletext"/>
              <w:rPr>
                <w:sz w:val="18"/>
                <w:szCs w:val="18"/>
                <w:lang w:val="es-ES"/>
              </w:rPr>
            </w:pPr>
            <w:r w:rsidRPr="00CC37EB">
              <w:rPr>
                <w:sz w:val="18"/>
                <w:szCs w:val="18"/>
                <w:lang w:val="es-ES"/>
              </w:rPr>
              <w:t>26 de abril a 7</w:t>
            </w:r>
            <w:r w:rsidR="00CC37EB">
              <w:rPr>
                <w:sz w:val="18"/>
                <w:szCs w:val="18"/>
                <w:lang w:val="es-ES"/>
              </w:rPr>
              <w:t> </w:t>
            </w:r>
            <w:r w:rsidRPr="00CC37EB">
              <w:rPr>
                <w:sz w:val="18"/>
                <w:szCs w:val="18"/>
                <w:lang w:val="es-ES"/>
              </w:rPr>
              <w:t>de mayo de</w:t>
            </w:r>
            <w:r w:rsidR="00CC37EB">
              <w:rPr>
                <w:sz w:val="18"/>
                <w:szCs w:val="18"/>
                <w:lang w:val="es-ES"/>
              </w:rPr>
              <w:t> </w:t>
            </w:r>
            <w:r w:rsidRPr="00CC37EB">
              <w:rPr>
                <w:sz w:val="18"/>
                <w:szCs w:val="18"/>
                <w:lang w:val="es-ES"/>
              </w:rPr>
              <w:t>2021</w:t>
            </w:r>
            <w:bookmarkStart w:id="413" w:name="lt_pId1218"/>
            <w:bookmarkEnd w:id="413"/>
          </w:p>
        </w:tc>
        <w:tc>
          <w:tcPr>
            <w:tcW w:w="654" w:type="pct"/>
            <w:tcBorders>
              <w:top w:val="single" w:sz="4" w:space="0" w:color="auto"/>
              <w:left w:val="single" w:sz="4" w:space="0" w:color="auto"/>
              <w:bottom w:val="single" w:sz="4" w:space="0" w:color="auto"/>
              <w:right w:val="single" w:sz="4" w:space="0" w:color="auto"/>
            </w:tcBorders>
            <w:vAlign w:val="center"/>
            <w:hideMark/>
          </w:tcPr>
          <w:p w14:paraId="6F6D7D60" w14:textId="77777777" w:rsidR="00FE4D65" w:rsidRPr="00D229DF" w:rsidRDefault="00FE4D65" w:rsidP="00CC37EB">
            <w:pPr>
              <w:pStyle w:val="Tabletext"/>
              <w:jc w:val="center"/>
              <w:rPr>
                <w:b/>
                <w:bCs/>
                <w:sz w:val="18"/>
                <w:szCs w:val="18"/>
                <w:lang w:val="es-ES"/>
              </w:rPr>
            </w:pPr>
            <w:bookmarkStart w:id="414" w:name="lt_pId1219"/>
            <w:r w:rsidRPr="00D229DF">
              <w:rPr>
                <w:b/>
                <w:bCs/>
                <w:sz w:val="18"/>
                <w:szCs w:val="18"/>
                <w:lang w:val="es-ES"/>
              </w:rPr>
              <w:t>SRR-21-Américas</w:t>
            </w:r>
            <w:bookmarkEnd w:id="414"/>
          </w:p>
        </w:tc>
        <w:tc>
          <w:tcPr>
            <w:tcW w:w="404" w:type="pct"/>
            <w:tcBorders>
              <w:top w:val="single" w:sz="4" w:space="0" w:color="auto"/>
              <w:left w:val="single" w:sz="4" w:space="0" w:color="auto"/>
              <w:bottom w:val="single" w:sz="4" w:space="0" w:color="auto"/>
              <w:right w:val="single" w:sz="4" w:space="0" w:color="auto"/>
            </w:tcBorders>
            <w:vAlign w:val="center"/>
            <w:hideMark/>
          </w:tcPr>
          <w:p w14:paraId="566FBE84" w14:textId="6955E121" w:rsidR="00FE4D65" w:rsidRPr="00CC37EB" w:rsidRDefault="00FE4D65" w:rsidP="00CC37EB">
            <w:pPr>
              <w:pStyle w:val="Tabletext"/>
              <w:jc w:val="center"/>
              <w:rPr>
                <w:sz w:val="18"/>
                <w:szCs w:val="18"/>
                <w:lang w:val="es-ES"/>
              </w:rPr>
            </w:pPr>
            <w:r w:rsidRPr="00CC37EB">
              <w:rPr>
                <w:sz w:val="18"/>
                <w:szCs w:val="18"/>
                <w:lang w:val="es-ES"/>
              </w:rPr>
              <w:t>Reunión electrónica</w:t>
            </w:r>
            <w:bookmarkStart w:id="415" w:name="lt_pId1220"/>
            <w:bookmarkEnd w:id="415"/>
          </w:p>
        </w:tc>
        <w:tc>
          <w:tcPr>
            <w:tcW w:w="494" w:type="pct"/>
            <w:tcBorders>
              <w:top w:val="single" w:sz="4" w:space="0" w:color="auto"/>
              <w:left w:val="single" w:sz="4" w:space="0" w:color="auto"/>
              <w:bottom w:val="single" w:sz="4" w:space="0" w:color="auto"/>
              <w:right w:val="single" w:sz="4" w:space="0" w:color="auto"/>
            </w:tcBorders>
            <w:vAlign w:val="center"/>
            <w:hideMark/>
          </w:tcPr>
          <w:p w14:paraId="17ECA480" w14:textId="77777777" w:rsidR="00FE4D65" w:rsidRPr="00CC37EB" w:rsidRDefault="00FE4D65" w:rsidP="00CC37EB">
            <w:pPr>
              <w:pStyle w:val="Tabletext"/>
              <w:jc w:val="center"/>
              <w:rPr>
                <w:sz w:val="18"/>
                <w:szCs w:val="18"/>
                <w:lang w:val="es-ES"/>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C6F6E1B" w14:textId="1F3F7F38" w:rsidR="00FE4D65" w:rsidRPr="00CC37EB" w:rsidRDefault="00FE4D65" w:rsidP="00CC37EB">
            <w:pPr>
              <w:pStyle w:val="Tabletext"/>
              <w:jc w:val="center"/>
              <w:rPr>
                <w:sz w:val="18"/>
                <w:szCs w:val="18"/>
                <w:lang w:val="es-ES"/>
              </w:rPr>
            </w:pPr>
            <w:r w:rsidRPr="00CC37EB">
              <w:rPr>
                <w:sz w:val="18"/>
                <w:szCs w:val="18"/>
                <w:lang w:val="es-ES"/>
              </w:rPr>
              <w:t>Comisión Interamericana de Telecomunicaciones (CITEL)</w:t>
            </w:r>
            <w:bookmarkStart w:id="416" w:name="lt_pId1222"/>
            <w:bookmarkEnd w:id="416"/>
          </w:p>
          <w:p w14:paraId="09DFF713" w14:textId="7570A94A" w:rsidR="00FE4D65" w:rsidRPr="00CC37EB" w:rsidRDefault="00FE4D65" w:rsidP="00CC37EB">
            <w:pPr>
              <w:pStyle w:val="Tabletext"/>
              <w:jc w:val="center"/>
              <w:rPr>
                <w:sz w:val="18"/>
                <w:szCs w:val="18"/>
                <w:lang w:val="es-ES"/>
              </w:rPr>
            </w:pPr>
            <w:r w:rsidRPr="00CC37EB">
              <w:rPr>
                <w:sz w:val="18"/>
                <w:szCs w:val="18"/>
                <w:lang w:val="es-ES"/>
              </w:rPr>
              <w:t>Agencia Nacional del Espectro de Colombia (ANE)</w:t>
            </w:r>
            <w:bookmarkStart w:id="417" w:name="lt_pId1223"/>
            <w:bookmarkEnd w:id="417"/>
          </w:p>
          <w:p w14:paraId="701651B7" w14:textId="77777777" w:rsidR="00FE4D65" w:rsidRPr="00CC37EB" w:rsidRDefault="00FE4D65" w:rsidP="00CC37EB">
            <w:pPr>
              <w:pStyle w:val="Tabletext"/>
              <w:jc w:val="center"/>
              <w:rPr>
                <w:sz w:val="18"/>
                <w:szCs w:val="18"/>
                <w:lang w:val="es-ES"/>
              </w:rPr>
            </w:pPr>
            <w:bookmarkStart w:id="418" w:name="lt_pId1224"/>
            <w:r w:rsidRPr="00CC37EB">
              <w:rPr>
                <w:sz w:val="18"/>
                <w:szCs w:val="18"/>
                <w:lang w:val="es-ES"/>
              </w:rPr>
              <w:t>Oficina de la UIT para las Américas</w:t>
            </w:r>
            <w:bookmarkEnd w:id="418"/>
          </w:p>
        </w:tc>
        <w:tc>
          <w:tcPr>
            <w:tcW w:w="797" w:type="pct"/>
            <w:tcBorders>
              <w:top w:val="single" w:sz="4" w:space="0" w:color="auto"/>
              <w:left w:val="single" w:sz="4" w:space="0" w:color="auto"/>
              <w:bottom w:val="single" w:sz="4" w:space="0" w:color="auto"/>
              <w:right w:val="single" w:sz="4" w:space="0" w:color="auto"/>
            </w:tcBorders>
            <w:vAlign w:val="center"/>
            <w:hideMark/>
          </w:tcPr>
          <w:p w14:paraId="2349D411" w14:textId="77777777" w:rsidR="00FE4D65" w:rsidRPr="00CC37EB" w:rsidRDefault="00FE4D65" w:rsidP="00CC37EB">
            <w:pPr>
              <w:pStyle w:val="Tabletext"/>
              <w:jc w:val="center"/>
              <w:rPr>
                <w:sz w:val="18"/>
                <w:szCs w:val="18"/>
                <w:lang w:val="es-ES"/>
              </w:rPr>
            </w:pPr>
            <w:bookmarkStart w:id="419" w:name="lt_pId1225"/>
            <w:r w:rsidRPr="00CC37EB">
              <w:rPr>
                <w:sz w:val="18"/>
                <w:szCs w:val="18"/>
                <w:lang w:val="es-ES"/>
              </w:rPr>
              <w:t>Gestión del espectro moderna en la Región</w:t>
            </w:r>
            <w:bookmarkEnd w:id="419"/>
          </w:p>
        </w:tc>
        <w:tc>
          <w:tcPr>
            <w:tcW w:w="312" w:type="pct"/>
            <w:tcBorders>
              <w:top w:val="single" w:sz="4" w:space="0" w:color="auto"/>
              <w:left w:val="single" w:sz="4" w:space="0" w:color="auto"/>
              <w:bottom w:val="single" w:sz="4" w:space="0" w:color="auto"/>
              <w:right w:val="single" w:sz="4" w:space="0" w:color="auto"/>
            </w:tcBorders>
            <w:vAlign w:val="center"/>
            <w:hideMark/>
          </w:tcPr>
          <w:p w14:paraId="625949F2" w14:textId="77777777" w:rsidR="00FE4D65" w:rsidRPr="00CC37EB" w:rsidRDefault="00FE4D65" w:rsidP="00CC37EB">
            <w:pPr>
              <w:pStyle w:val="Tabletext"/>
              <w:jc w:val="center"/>
              <w:rPr>
                <w:sz w:val="18"/>
                <w:szCs w:val="18"/>
                <w:lang w:val="es-ES"/>
              </w:rPr>
            </w:pPr>
            <w:bookmarkStart w:id="420" w:name="lt_pId1226"/>
            <w:r w:rsidRPr="00CC37EB">
              <w:rPr>
                <w:sz w:val="18"/>
                <w:szCs w:val="18"/>
                <w:lang w:val="es-ES"/>
              </w:rPr>
              <w:t>S</w:t>
            </w:r>
            <w:bookmarkEnd w:id="420"/>
          </w:p>
        </w:tc>
        <w:tc>
          <w:tcPr>
            <w:tcW w:w="534" w:type="pct"/>
            <w:tcBorders>
              <w:top w:val="single" w:sz="4" w:space="0" w:color="auto"/>
              <w:left w:val="single" w:sz="4" w:space="0" w:color="auto"/>
              <w:bottom w:val="single" w:sz="4" w:space="0" w:color="auto"/>
              <w:right w:val="single" w:sz="4" w:space="0" w:color="auto"/>
            </w:tcBorders>
            <w:vAlign w:val="center"/>
            <w:hideMark/>
          </w:tcPr>
          <w:p w14:paraId="1676A47B" w14:textId="77777777" w:rsidR="00FE4D65" w:rsidRPr="00CC37EB" w:rsidRDefault="00FE4D65" w:rsidP="00CC37EB">
            <w:pPr>
              <w:pStyle w:val="Tabletext"/>
              <w:jc w:val="center"/>
              <w:rPr>
                <w:sz w:val="18"/>
                <w:szCs w:val="18"/>
                <w:lang w:val="es-ES"/>
              </w:rPr>
            </w:pPr>
            <w:r w:rsidRPr="00CC37EB">
              <w:rPr>
                <w:sz w:val="18"/>
                <w:szCs w:val="18"/>
                <w:lang w:val="es-ES"/>
              </w:rPr>
              <w:t>238/49</w:t>
            </w:r>
          </w:p>
        </w:tc>
        <w:tc>
          <w:tcPr>
            <w:tcW w:w="422" w:type="pct"/>
            <w:tcBorders>
              <w:top w:val="single" w:sz="4" w:space="0" w:color="auto"/>
              <w:left w:val="single" w:sz="4" w:space="0" w:color="auto"/>
              <w:bottom w:val="single" w:sz="4" w:space="0" w:color="auto"/>
              <w:right w:val="single" w:sz="4" w:space="0" w:color="auto"/>
            </w:tcBorders>
            <w:vAlign w:val="center"/>
          </w:tcPr>
          <w:p w14:paraId="6090B4CF" w14:textId="77777777" w:rsidR="00FE4D65" w:rsidRPr="00CC37EB" w:rsidRDefault="00FE4D65" w:rsidP="00CC37EB">
            <w:pPr>
              <w:pStyle w:val="Tabletext"/>
              <w:jc w:val="center"/>
              <w:rPr>
                <w:sz w:val="18"/>
                <w:szCs w:val="18"/>
                <w:lang w:val="es-ES"/>
              </w:rPr>
            </w:pPr>
            <w:bookmarkStart w:id="421" w:name="lt_pId1228"/>
            <w:r w:rsidRPr="00CC37EB">
              <w:rPr>
                <w:sz w:val="18"/>
                <w:szCs w:val="18"/>
                <w:lang w:val="es-ES"/>
              </w:rPr>
              <w:t>N/D</w:t>
            </w:r>
            <w:bookmarkEnd w:id="421"/>
          </w:p>
        </w:tc>
      </w:tr>
      <w:tr w:rsidR="00D229DF" w:rsidRPr="00FE4D65" w14:paraId="45AD0945"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2936608" w14:textId="25ECA649" w:rsidR="00FE4D65" w:rsidRPr="00CC37EB" w:rsidRDefault="00FE4D65" w:rsidP="00CC37EB">
            <w:pPr>
              <w:pStyle w:val="Tabletext"/>
              <w:rPr>
                <w:sz w:val="18"/>
                <w:szCs w:val="18"/>
                <w:lang w:val="es-ES"/>
              </w:rPr>
            </w:pPr>
            <w:bookmarkStart w:id="422" w:name="lt_pId1229"/>
            <w:r w:rsidRPr="00CC37EB">
              <w:rPr>
                <w:sz w:val="18"/>
                <w:szCs w:val="18"/>
                <w:lang w:val="es-ES"/>
              </w:rPr>
              <w:t>5-16 de julio de</w:t>
            </w:r>
            <w:r w:rsidR="00CC37EB">
              <w:rPr>
                <w:sz w:val="18"/>
                <w:szCs w:val="18"/>
                <w:lang w:val="es-ES"/>
              </w:rPr>
              <w:t> </w:t>
            </w:r>
            <w:r w:rsidRPr="00CC37EB">
              <w:rPr>
                <w:sz w:val="18"/>
                <w:szCs w:val="18"/>
                <w:lang w:val="es-ES"/>
              </w:rPr>
              <w:t>2021</w:t>
            </w:r>
            <w:bookmarkEnd w:id="422"/>
          </w:p>
        </w:tc>
        <w:tc>
          <w:tcPr>
            <w:tcW w:w="654" w:type="pct"/>
            <w:tcBorders>
              <w:top w:val="single" w:sz="4" w:space="0" w:color="auto"/>
              <w:left w:val="single" w:sz="4" w:space="0" w:color="auto"/>
              <w:bottom w:val="single" w:sz="4" w:space="0" w:color="auto"/>
              <w:right w:val="single" w:sz="4" w:space="0" w:color="auto"/>
            </w:tcBorders>
            <w:vAlign w:val="center"/>
            <w:hideMark/>
          </w:tcPr>
          <w:p w14:paraId="1BBE2EC1" w14:textId="77777777" w:rsidR="00FE4D65" w:rsidRPr="00D229DF" w:rsidRDefault="00FE4D65" w:rsidP="00CC37EB">
            <w:pPr>
              <w:pStyle w:val="Tabletext"/>
              <w:jc w:val="center"/>
              <w:rPr>
                <w:b/>
                <w:bCs/>
                <w:sz w:val="18"/>
                <w:szCs w:val="18"/>
                <w:lang w:val="es-ES"/>
              </w:rPr>
            </w:pPr>
            <w:bookmarkStart w:id="423" w:name="lt_pId1230"/>
            <w:r w:rsidRPr="00D229DF">
              <w:rPr>
                <w:b/>
                <w:bCs/>
                <w:sz w:val="18"/>
                <w:szCs w:val="18"/>
                <w:lang w:val="es-ES"/>
              </w:rPr>
              <w:t>SRR-21-África</w:t>
            </w:r>
            <w:bookmarkEnd w:id="423"/>
          </w:p>
        </w:tc>
        <w:tc>
          <w:tcPr>
            <w:tcW w:w="404" w:type="pct"/>
            <w:tcBorders>
              <w:top w:val="single" w:sz="4" w:space="0" w:color="auto"/>
              <w:left w:val="single" w:sz="4" w:space="0" w:color="auto"/>
              <w:bottom w:val="single" w:sz="4" w:space="0" w:color="auto"/>
              <w:right w:val="single" w:sz="4" w:space="0" w:color="auto"/>
            </w:tcBorders>
            <w:vAlign w:val="center"/>
            <w:hideMark/>
          </w:tcPr>
          <w:p w14:paraId="6A1460AD" w14:textId="77777777" w:rsidR="00FE4D65" w:rsidRPr="00CC37EB" w:rsidRDefault="00FE4D65" w:rsidP="00CC37EB">
            <w:pPr>
              <w:pStyle w:val="Tabletext"/>
              <w:jc w:val="center"/>
              <w:rPr>
                <w:sz w:val="18"/>
                <w:szCs w:val="18"/>
                <w:lang w:val="es-ES"/>
              </w:rPr>
            </w:pPr>
            <w:bookmarkStart w:id="424" w:name="lt_pId1231"/>
            <w:r w:rsidRPr="00CC37EB">
              <w:rPr>
                <w:sz w:val="18"/>
                <w:szCs w:val="18"/>
                <w:lang w:val="es-ES"/>
              </w:rPr>
              <w:t>Reunión electrónica</w:t>
            </w:r>
            <w:bookmarkEnd w:id="424"/>
          </w:p>
        </w:tc>
        <w:tc>
          <w:tcPr>
            <w:tcW w:w="494" w:type="pct"/>
            <w:tcBorders>
              <w:top w:val="single" w:sz="4" w:space="0" w:color="auto"/>
              <w:left w:val="single" w:sz="4" w:space="0" w:color="auto"/>
              <w:bottom w:val="single" w:sz="4" w:space="0" w:color="auto"/>
              <w:right w:val="single" w:sz="4" w:space="0" w:color="auto"/>
            </w:tcBorders>
            <w:vAlign w:val="center"/>
            <w:hideMark/>
          </w:tcPr>
          <w:p w14:paraId="2ACDC064" w14:textId="77777777" w:rsidR="00FE4D65" w:rsidRPr="00CC37EB" w:rsidRDefault="00FE4D65" w:rsidP="00CC37EB">
            <w:pPr>
              <w:pStyle w:val="Tabletext"/>
              <w:jc w:val="center"/>
              <w:rPr>
                <w:sz w:val="18"/>
                <w:szCs w:val="18"/>
                <w:lang w:val="es-ES"/>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325A7340" w14:textId="62003E1D" w:rsidR="00FE4D65" w:rsidRPr="00CC37EB" w:rsidRDefault="00FE4D65" w:rsidP="00CC37EB">
            <w:pPr>
              <w:pStyle w:val="Tabletext"/>
              <w:jc w:val="center"/>
              <w:rPr>
                <w:sz w:val="18"/>
                <w:szCs w:val="18"/>
                <w:lang w:val="es-ES"/>
              </w:rPr>
            </w:pPr>
            <w:r w:rsidRPr="00CC37EB">
              <w:rPr>
                <w:sz w:val="18"/>
                <w:szCs w:val="18"/>
                <w:lang w:val="es-ES"/>
              </w:rPr>
              <w:t>Unión Africana de Telecomunicaciones (UAT)</w:t>
            </w:r>
            <w:bookmarkStart w:id="425" w:name="lt_pId1233"/>
            <w:bookmarkEnd w:id="425"/>
          </w:p>
          <w:p w14:paraId="64BA7296" w14:textId="77777777" w:rsidR="00FE4D65" w:rsidRPr="00CC37EB" w:rsidRDefault="00FE4D65" w:rsidP="00CC37EB">
            <w:pPr>
              <w:pStyle w:val="Tabletext"/>
              <w:jc w:val="center"/>
              <w:rPr>
                <w:sz w:val="18"/>
                <w:szCs w:val="18"/>
                <w:lang w:val="es-ES"/>
              </w:rPr>
            </w:pPr>
            <w:bookmarkStart w:id="426" w:name="lt_pId1234"/>
            <w:r w:rsidRPr="00CC37EB">
              <w:rPr>
                <w:sz w:val="18"/>
                <w:szCs w:val="18"/>
                <w:lang w:val="es-ES"/>
              </w:rPr>
              <w:t>Oficina de la UIT para África</w:t>
            </w:r>
            <w:bookmarkEnd w:id="426"/>
          </w:p>
        </w:tc>
        <w:tc>
          <w:tcPr>
            <w:tcW w:w="797" w:type="pct"/>
            <w:tcBorders>
              <w:top w:val="single" w:sz="4" w:space="0" w:color="auto"/>
              <w:left w:val="single" w:sz="4" w:space="0" w:color="auto"/>
              <w:bottom w:val="single" w:sz="4" w:space="0" w:color="auto"/>
              <w:right w:val="single" w:sz="4" w:space="0" w:color="auto"/>
            </w:tcBorders>
            <w:vAlign w:val="center"/>
            <w:hideMark/>
          </w:tcPr>
          <w:p w14:paraId="5FCAC3F3" w14:textId="6437F8F2" w:rsidR="00FE4D65" w:rsidRPr="00CC37EB" w:rsidRDefault="00FE4D65" w:rsidP="00CC37EB">
            <w:pPr>
              <w:pStyle w:val="Tabletext"/>
              <w:jc w:val="center"/>
              <w:rPr>
                <w:sz w:val="18"/>
                <w:szCs w:val="18"/>
                <w:lang w:val="es-ES"/>
              </w:rPr>
            </w:pPr>
            <w:bookmarkStart w:id="427" w:name="lt_pId1235"/>
            <w:r w:rsidRPr="00CC37EB">
              <w:rPr>
                <w:sz w:val="18"/>
                <w:szCs w:val="18"/>
                <w:lang w:val="es-ES"/>
              </w:rPr>
              <w:t xml:space="preserve">Tendencias de las radiocomunicaciones: </w:t>
            </w:r>
            <w:r w:rsidR="00D229DF" w:rsidRPr="00CC37EB">
              <w:rPr>
                <w:sz w:val="18"/>
                <w:szCs w:val="18"/>
                <w:lang w:val="es-ES"/>
              </w:rPr>
              <w:t xml:space="preserve">Oportunidades </w:t>
            </w:r>
            <w:r w:rsidRPr="00CC37EB">
              <w:rPr>
                <w:sz w:val="18"/>
                <w:szCs w:val="18"/>
                <w:lang w:val="es-ES"/>
              </w:rPr>
              <w:t>y retos para la Región</w:t>
            </w:r>
            <w:bookmarkEnd w:id="427"/>
          </w:p>
        </w:tc>
        <w:tc>
          <w:tcPr>
            <w:tcW w:w="312" w:type="pct"/>
            <w:tcBorders>
              <w:top w:val="single" w:sz="4" w:space="0" w:color="auto"/>
              <w:left w:val="single" w:sz="4" w:space="0" w:color="auto"/>
              <w:bottom w:val="single" w:sz="4" w:space="0" w:color="auto"/>
              <w:right w:val="single" w:sz="4" w:space="0" w:color="auto"/>
            </w:tcBorders>
            <w:vAlign w:val="center"/>
            <w:hideMark/>
          </w:tcPr>
          <w:p w14:paraId="00CC2ADB" w14:textId="77777777" w:rsidR="00FE4D65" w:rsidRPr="00CC37EB" w:rsidRDefault="00FE4D65" w:rsidP="00CC37EB">
            <w:pPr>
              <w:pStyle w:val="Tabletext"/>
              <w:jc w:val="center"/>
              <w:rPr>
                <w:sz w:val="18"/>
                <w:szCs w:val="18"/>
                <w:lang w:val="es-ES"/>
              </w:rPr>
            </w:pPr>
            <w:bookmarkStart w:id="428" w:name="lt_pId1236"/>
            <w:r w:rsidRPr="00CC37EB">
              <w:rPr>
                <w:sz w:val="18"/>
                <w:szCs w:val="18"/>
                <w:lang w:val="es-ES"/>
              </w:rPr>
              <w:t>E y F</w:t>
            </w:r>
            <w:bookmarkEnd w:id="428"/>
          </w:p>
        </w:tc>
        <w:tc>
          <w:tcPr>
            <w:tcW w:w="534" w:type="pct"/>
            <w:tcBorders>
              <w:top w:val="single" w:sz="4" w:space="0" w:color="auto"/>
              <w:left w:val="single" w:sz="4" w:space="0" w:color="auto"/>
              <w:bottom w:val="single" w:sz="4" w:space="0" w:color="auto"/>
              <w:right w:val="single" w:sz="4" w:space="0" w:color="auto"/>
            </w:tcBorders>
            <w:vAlign w:val="center"/>
            <w:hideMark/>
          </w:tcPr>
          <w:p w14:paraId="3394C46A" w14:textId="77777777" w:rsidR="00FE4D65" w:rsidRPr="00CC37EB" w:rsidRDefault="00FE4D65" w:rsidP="00CC37EB">
            <w:pPr>
              <w:pStyle w:val="Tabletext"/>
              <w:jc w:val="center"/>
              <w:rPr>
                <w:sz w:val="18"/>
                <w:szCs w:val="18"/>
                <w:lang w:val="es-ES"/>
              </w:rPr>
            </w:pPr>
            <w:r w:rsidRPr="00CC37EB">
              <w:rPr>
                <w:sz w:val="18"/>
                <w:szCs w:val="18"/>
                <w:lang w:val="es-ES"/>
              </w:rPr>
              <w:t>217/68</w:t>
            </w:r>
          </w:p>
        </w:tc>
        <w:tc>
          <w:tcPr>
            <w:tcW w:w="422" w:type="pct"/>
            <w:tcBorders>
              <w:top w:val="single" w:sz="4" w:space="0" w:color="auto"/>
              <w:left w:val="single" w:sz="4" w:space="0" w:color="auto"/>
              <w:bottom w:val="single" w:sz="4" w:space="0" w:color="auto"/>
              <w:right w:val="single" w:sz="4" w:space="0" w:color="auto"/>
            </w:tcBorders>
            <w:vAlign w:val="center"/>
          </w:tcPr>
          <w:p w14:paraId="6D3FDA77" w14:textId="77777777" w:rsidR="00FE4D65" w:rsidRPr="00CC37EB" w:rsidRDefault="00FE4D65" w:rsidP="00CC37EB">
            <w:pPr>
              <w:pStyle w:val="Tabletext"/>
              <w:jc w:val="center"/>
              <w:rPr>
                <w:sz w:val="18"/>
                <w:szCs w:val="18"/>
                <w:lang w:val="es-ES"/>
              </w:rPr>
            </w:pPr>
            <w:bookmarkStart w:id="429" w:name="lt_pId1238"/>
            <w:r w:rsidRPr="00CC37EB">
              <w:rPr>
                <w:sz w:val="18"/>
                <w:szCs w:val="18"/>
                <w:lang w:val="es-ES"/>
              </w:rPr>
              <w:t>N/D</w:t>
            </w:r>
            <w:bookmarkEnd w:id="429"/>
          </w:p>
        </w:tc>
      </w:tr>
      <w:tr w:rsidR="00D229DF" w:rsidRPr="00FE4D65" w14:paraId="2AB8C87B"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A496BDE" w14:textId="75B725CC" w:rsidR="00FE4D65" w:rsidRPr="00CC37EB" w:rsidRDefault="00FE4D65" w:rsidP="00CC37EB">
            <w:pPr>
              <w:pStyle w:val="Tabletext"/>
              <w:rPr>
                <w:sz w:val="18"/>
                <w:szCs w:val="18"/>
                <w:lang w:val="es-ES"/>
              </w:rPr>
            </w:pPr>
            <w:bookmarkStart w:id="430" w:name="lt_pId1239"/>
            <w:r w:rsidRPr="00CC37EB">
              <w:rPr>
                <w:sz w:val="18"/>
                <w:szCs w:val="18"/>
                <w:lang w:val="es-ES"/>
              </w:rPr>
              <w:t>11-22 de octubre de 2021</w:t>
            </w:r>
            <w:bookmarkEnd w:id="430"/>
          </w:p>
        </w:tc>
        <w:tc>
          <w:tcPr>
            <w:tcW w:w="654" w:type="pct"/>
            <w:tcBorders>
              <w:top w:val="single" w:sz="4" w:space="0" w:color="auto"/>
              <w:left w:val="single" w:sz="4" w:space="0" w:color="auto"/>
              <w:bottom w:val="single" w:sz="4" w:space="0" w:color="auto"/>
              <w:right w:val="single" w:sz="4" w:space="0" w:color="auto"/>
            </w:tcBorders>
            <w:vAlign w:val="center"/>
            <w:hideMark/>
          </w:tcPr>
          <w:p w14:paraId="0DBBE849" w14:textId="77777777" w:rsidR="00FE4D65" w:rsidRPr="00D229DF" w:rsidRDefault="00FE4D65" w:rsidP="00CC37EB">
            <w:pPr>
              <w:pStyle w:val="Tabletext"/>
              <w:jc w:val="center"/>
              <w:rPr>
                <w:b/>
                <w:bCs/>
                <w:sz w:val="18"/>
                <w:szCs w:val="18"/>
                <w:lang w:val="es-ES"/>
              </w:rPr>
            </w:pPr>
            <w:bookmarkStart w:id="431" w:name="lt_pId1240"/>
            <w:r w:rsidRPr="00D229DF">
              <w:rPr>
                <w:b/>
                <w:bCs/>
                <w:sz w:val="18"/>
                <w:szCs w:val="18"/>
                <w:lang w:val="es-ES"/>
              </w:rPr>
              <w:t>SRR-21-Asia-Pacífico</w:t>
            </w:r>
            <w:bookmarkEnd w:id="431"/>
          </w:p>
        </w:tc>
        <w:tc>
          <w:tcPr>
            <w:tcW w:w="404" w:type="pct"/>
            <w:tcBorders>
              <w:top w:val="single" w:sz="4" w:space="0" w:color="auto"/>
              <w:left w:val="single" w:sz="4" w:space="0" w:color="auto"/>
              <w:bottom w:val="single" w:sz="4" w:space="0" w:color="auto"/>
              <w:right w:val="single" w:sz="4" w:space="0" w:color="auto"/>
            </w:tcBorders>
            <w:vAlign w:val="center"/>
            <w:hideMark/>
          </w:tcPr>
          <w:p w14:paraId="7CCAFAAE" w14:textId="77777777" w:rsidR="00FE4D65" w:rsidRPr="00CC37EB" w:rsidRDefault="00FE4D65" w:rsidP="00CC37EB">
            <w:pPr>
              <w:pStyle w:val="Tabletext"/>
              <w:jc w:val="center"/>
              <w:rPr>
                <w:sz w:val="18"/>
                <w:szCs w:val="18"/>
                <w:lang w:val="es-ES"/>
              </w:rPr>
            </w:pPr>
            <w:bookmarkStart w:id="432" w:name="lt_pId1241"/>
            <w:r w:rsidRPr="00CC37EB">
              <w:rPr>
                <w:sz w:val="18"/>
                <w:szCs w:val="18"/>
                <w:lang w:val="es-ES"/>
              </w:rPr>
              <w:t>Reunión electrónica</w:t>
            </w:r>
            <w:bookmarkEnd w:id="432"/>
          </w:p>
        </w:tc>
        <w:tc>
          <w:tcPr>
            <w:tcW w:w="494" w:type="pct"/>
            <w:tcBorders>
              <w:top w:val="single" w:sz="4" w:space="0" w:color="auto"/>
              <w:left w:val="single" w:sz="4" w:space="0" w:color="auto"/>
              <w:bottom w:val="single" w:sz="4" w:space="0" w:color="auto"/>
              <w:right w:val="single" w:sz="4" w:space="0" w:color="auto"/>
            </w:tcBorders>
            <w:vAlign w:val="center"/>
            <w:hideMark/>
          </w:tcPr>
          <w:p w14:paraId="11FFCDF7" w14:textId="77777777" w:rsidR="00FE4D65" w:rsidRPr="00CC37EB" w:rsidRDefault="00FE4D65" w:rsidP="00CC37EB">
            <w:pPr>
              <w:pStyle w:val="Tabletext"/>
              <w:jc w:val="center"/>
              <w:rPr>
                <w:sz w:val="18"/>
                <w:szCs w:val="18"/>
                <w:lang w:val="es-ES"/>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D8D2DD0" w14:textId="77777777" w:rsidR="00FE4D65" w:rsidRPr="00CC37EB" w:rsidRDefault="00FE4D65" w:rsidP="00CC37EB">
            <w:pPr>
              <w:pStyle w:val="Tabletext"/>
              <w:jc w:val="center"/>
              <w:rPr>
                <w:sz w:val="18"/>
                <w:szCs w:val="18"/>
                <w:lang w:val="es-ES"/>
              </w:rPr>
            </w:pPr>
            <w:bookmarkStart w:id="433" w:name="lt_pId1243"/>
            <w:r w:rsidRPr="00CC37EB">
              <w:rPr>
                <w:sz w:val="18"/>
                <w:szCs w:val="18"/>
                <w:lang w:val="es-ES"/>
              </w:rPr>
              <w:t>Telecomunidad de Asia y el Pacífico (APT)</w:t>
            </w:r>
            <w:bookmarkEnd w:id="433"/>
          </w:p>
          <w:p w14:paraId="4C233710" w14:textId="77777777" w:rsidR="00FE4D65" w:rsidRPr="00CC37EB" w:rsidRDefault="00FE4D65" w:rsidP="00CC37EB">
            <w:pPr>
              <w:pStyle w:val="Tabletext"/>
              <w:jc w:val="center"/>
              <w:rPr>
                <w:sz w:val="18"/>
                <w:szCs w:val="18"/>
                <w:lang w:val="es-ES"/>
              </w:rPr>
            </w:pPr>
            <w:bookmarkStart w:id="434" w:name="lt_pId1244"/>
            <w:r w:rsidRPr="00CC37EB">
              <w:rPr>
                <w:sz w:val="18"/>
                <w:szCs w:val="18"/>
                <w:lang w:val="es-ES"/>
              </w:rPr>
              <w:t>Oficina de la UIT para Asia y el Pacífico</w:t>
            </w:r>
            <w:bookmarkEnd w:id="434"/>
          </w:p>
        </w:tc>
        <w:tc>
          <w:tcPr>
            <w:tcW w:w="797" w:type="pct"/>
            <w:tcBorders>
              <w:top w:val="single" w:sz="4" w:space="0" w:color="auto"/>
              <w:left w:val="single" w:sz="4" w:space="0" w:color="auto"/>
              <w:bottom w:val="single" w:sz="4" w:space="0" w:color="auto"/>
              <w:right w:val="single" w:sz="4" w:space="0" w:color="auto"/>
            </w:tcBorders>
            <w:vAlign w:val="center"/>
            <w:hideMark/>
          </w:tcPr>
          <w:p w14:paraId="7E044AFC" w14:textId="5113D661" w:rsidR="00FE4D65" w:rsidRPr="00CC37EB" w:rsidRDefault="00FE4D65" w:rsidP="00CC37EB">
            <w:pPr>
              <w:pStyle w:val="Tabletext"/>
              <w:jc w:val="center"/>
              <w:rPr>
                <w:sz w:val="18"/>
                <w:szCs w:val="18"/>
                <w:lang w:val="es-ES"/>
              </w:rPr>
            </w:pPr>
            <w:r w:rsidRPr="00CC37EB">
              <w:rPr>
                <w:sz w:val="18"/>
                <w:szCs w:val="18"/>
                <w:lang w:val="es-ES"/>
              </w:rPr>
              <w:t xml:space="preserve">Tendencias de las radiocomunicaciones: </w:t>
            </w:r>
            <w:r w:rsidR="00D229DF" w:rsidRPr="00CC37EB">
              <w:rPr>
                <w:sz w:val="18"/>
                <w:szCs w:val="18"/>
                <w:lang w:val="es-ES"/>
              </w:rPr>
              <w:t xml:space="preserve">Oportunidades </w:t>
            </w:r>
            <w:r w:rsidRPr="00CC37EB">
              <w:rPr>
                <w:sz w:val="18"/>
                <w:szCs w:val="18"/>
                <w:lang w:val="es-ES"/>
              </w:rPr>
              <w:t>y retos para la Región</w:t>
            </w:r>
            <w:bookmarkStart w:id="435" w:name="lt_pId1245"/>
            <w:bookmarkEnd w:id="435"/>
          </w:p>
        </w:tc>
        <w:tc>
          <w:tcPr>
            <w:tcW w:w="312" w:type="pct"/>
            <w:tcBorders>
              <w:top w:val="single" w:sz="4" w:space="0" w:color="auto"/>
              <w:left w:val="single" w:sz="4" w:space="0" w:color="auto"/>
              <w:bottom w:val="single" w:sz="4" w:space="0" w:color="auto"/>
              <w:right w:val="single" w:sz="4" w:space="0" w:color="auto"/>
            </w:tcBorders>
            <w:vAlign w:val="center"/>
            <w:hideMark/>
          </w:tcPr>
          <w:p w14:paraId="05BD8E27" w14:textId="77777777" w:rsidR="00FE4D65" w:rsidRPr="00CC37EB" w:rsidRDefault="00FE4D65" w:rsidP="00CC37EB">
            <w:pPr>
              <w:pStyle w:val="Tabletext"/>
              <w:jc w:val="center"/>
              <w:rPr>
                <w:sz w:val="18"/>
                <w:szCs w:val="18"/>
                <w:lang w:val="es-ES"/>
              </w:rPr>
            </w:pPr>
            <w:bookmarkStart w:id="436" w:name="lt_pId1246"/>
            <w:r w:rsidRPr="00CC37EB">
              <w:rPr>
                <w:sz w:val="18"/>
                <w:szCs w:val="18"/>
                <w:lang w:val="es-ES"/>
              </w:rPr>
              <w:t>E</w:t>
            </w:r>
            <w:bookmarkEnd w:id="436"/>
          </w:p>
        </w:tc>
        <w:tc>
          <w:tcPr>
            <w:tcW w:w="534" w:type="pct"/>
            <w:tcBorders>
              <w:top w:val="single" w:sz="4" w:space="0" w:color="auto"/>
              <w:left w:val="single" w:sz="4" w:space="0" w:color="auto"/>
              <w:bottom w:val="single" w:sz="4" w:space="0" w:color="auto"/>
              <w:right w:val="single" w:sz="4" w:space="0" w:color="auto"/>
            </w:tcBorders>
            <w:vAlign w:val="center"/>
            <w:hideMark/>
          </w:tcPr>
          <w:p w14:paraId="54031129" w14:textId="77777777" w:rsidR="00FE4D65" w:rsidRPr="00CC37EB" w:rsidRDefault="00FE4D65" w:rsidP="00CC37EB">
            <w:pPr>
              <w:pStyle w:val="Tabletext"/>
              <w:jc w:val="center"/>
              <w:rPr>
                <w:sz w:val="18"/>
                <w:szCs w:val="18"/>
                <w:lang w:val="es-ES"/>
              </w:rPr>
            </w:pPr>
            <w:r w:rsidRPr="00CC37EB">
              <w:rPr>
                <w:sz w:val="18"/>
                <w:szCs w:val="18"/>
                <w:lang w:val="es-ES"/>
              </w:rPr>
              <w:t>287/58</w:t>
            </w:r>
          </w:p>
        </w:tc>
        <w:tc>
          <w:tcPr>
            <w:tcW w:w="422" w:type="pct"/>
            <w:tcBorders>
              <w:top w:val="single" w:sz="4" w:space="0" w:color="auto"/>
              <w:left w:val="single" w:sz="4" w:space="0" w:color="auto"/>
              <w:bottom w:val="single" w:sz="4" w:space="0" w:color="auto"/>
              <w:right w:val="single" w:sz="4" w:space="0" w:color="auto"/>
            </w:tcBorders>
            <w:vAlign w:val="center"/>
          </w:tcPr>
          <w:p w14:paraId="14B62511" w14:textId="77777777" w:rsidR="00FE4D65" w:rsidRPr="00CC37EB" w:rsidRDefault="00FE4D65" w:rsidP="00CC37EB">
            <w:pPr>
              <w:pStyle w:val="Tabletext"/>
              <w:jc w:val="center"/>
              <w:rPr>
                <w:sz w:val="18"/>
                <w:szCs w:val="18"/>
                <w:lang w:val="es-ES"/>
              </w:rPr>
            </w:pPr>
            <w:bookmarkStart w:id="437" w:name="lt_pId1248"/>
            <w:r w:rsidRPr="00CC37EB">
              <w:rPr>
                <w:sz w:val="18"/>
                <w:szCs w:val="18"/>
                <w:lang w:val="es-ES"/>
              </w:rPr>
              <w:t>N/D</w:t>
            </w:r>
            <w:bookmarkEnd w:id="437"/>
          </w:p>
        </w:tc>
      </w:tr>
      <w:tr w:rsidR="00FE4D65" w:rsidRPr="00FE4D65" w14:paraId="4653143A" w14:textId="77777777" w:rsidTr="00FE0ECA">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DEFDF38" w14:textId="77777777" w:rsidR="00FE4D65" w:rsidRPr="00CC37EB" w:rsidRDefault="00FE4D65" w:rsidP="00611A48">
            <w:pPr>
              <w:pStyle w:val="Tabletext"/>
              <w:keepNext/>
              <w:keepLines/>
              <w:jc w:val="center"/>
              <w:rPr>
                <w:b/>
                <w:bCs/>
                <w:sz w:val="18"/>
                <w:szCs w:val="18"/>
                <w:lang w:val="es-ES"/>
              </w:rPr>
            </w:pPr>
            <w:r w:rsidRPr="00CC37EB">
              <w:rPr>
                <w:b/>
                <w:bCs/>
                <w:sz w:val="18"/>
                <w:szCs w:val="18"/>
                <w:lang w:val="es-ES"/>
              </w:rPr>
              <w:lastRenderedPageBreak/>
              <w:t>2022</w:t>
            </w:r>
          </w:p>
        </w:tc>
      </w:tr>
      <w:tr w:rsidR="00D229DF" w:rsidRPr="00FE4D65" w14:paraId="2107FB74" w14:textId="77777777" w:rsidTr="00611A48">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C3BC757" w14:textId="77777777" w:rsidR="00FE4D65" w:rsidRPr="00CC37EB" w:rsidRDefault="00FE4D65" w:rsidP="00611A48">
            <w:pPr>
              <w:pStyle w:val="Tabletext"/>
              <w:keepNext/>
              <w:keepLines/>
              <w:rPr>
                <w:sz w:val="18"/>
                <w:szCs w:val="18"/>
                <w:lang w:val="es-ES"/>
              </w:rPr>
            </w:pPr>
            <w:bookmarkStart w:id="438" w:name="lt_pId1250"/>
            <w:r w:rsidRPr="00CC37EB">
              <w:rPr>
                <w:sz w:val="18"/>
                <w:szCs w:val="18"/>
                <w:lang w:val="es-ES"/>
              </w:rPr>
              <w:t>13-24 de marzo de 2022</w:t>
            </w:r>
            <w:bookmarkEnd w:id="438"/>
          </w:p>
        </w:tc>
        <w:tc>
          <w:tcPr>
            <w:tcW w:w="654" w:type="pct"/>
            <w:tcBorders>
              <w:top w:val="single" w:sz="4" w:space="0" w:color="auto"/>
              <w:left w:val="single" w:sz="4" w:space="0" w:color="auto"/>
              <w:bottom w:val="single" w:sz="4" w:space="0" w:color="auto"/>
              <w:right w:val="single" w:sz="4" w:space="0" w:color="auto"/>
            </w:tcBorders>
            <w:vAlign w:val="center"/>
            <w:hideMark/>
          </w:tcPr>
          <w:p w14:paraId="1C5B3F61" w14:textId="77777777" w:rsidR="00FE4D65" w:rsidRPr="00D229DF" w:rsidRDefault="00FE4D65" w:rsidP="00CC37EB">
            <w:pPr>
              <w:pStyle w:val="Tabletext"/>
              <w:jc w:val="center"/>
              <w:rPr>
                <w:b/>
                <w:bCs/>
                <w:sz w:val="18"/>
                <w:szCs w:val="18"/>
                <w:lang w:val="es-ES"/>
              </w:rPr>
            </w:pPr>
            <w:bookmarkStart w:id="439" w:name="lt_pId1251"/>
            <w:r w:rsidRPr="00D229DF">
              <w:rPr>
                <w:b/>
                <w:bCs/>
                <w:sz w:val="18"/>
                <w:szCs w:val="18"/>
                <w:lang w:val="es-ES"/>
              </w:rPr>
              <w:t>SRR-22-Estados Árabes</w:t>
            </w:r>
            <w:bookmarkEnd w:id="439"/>
          </w:p>
        </w:tc>
        <w:tc>
          <w:tcPr>
            <w:tcW w:w="404" w:type="pct"/>
            <w:tcBorders>
              <w:top w:val="single" w:sz="4" w:space="0" w:color="auto"/>
              <w:left w:val="single" w:sz="4" w:space="0" w:color="auto"/>
              <w:bottom w:val="single" w:sz="4" w:space="0" w:color="auto"/>
              <w:right w:val="single" w:sz="4" w:space="0" w:color="auto"/>
            </w:tcBorders>
            <w:vAlign w:val="center"/>
            <w:hideMark/>
          </w:tcPr>
          <w:p w14:paraId="739B3FEE" w14:textId="77777777" w:rsidR="00FE4D65" w:rsidRPr="00CC37EB" w:rsidRDefault="00FE4D65" w:rsidP="00CC37EB">
            <w:pPr>
              <w:pStyle w:val="Tabletext"/>
              <w:jc w:val="center"/>
              <w:rPr>
                <w:sz w:val="18"/>
                <w:szCs w:val="18"/>
                <w:lang w:val="es-ES"/>
              </w:rPr>
            </w:pPr>
            <w:bookmarkStart w:id="440" w:name="lt_pId1252"/>
            <w:r w:rsidRPr="00CC37EB">
              <w:rPr>
                <w:sz w:val="18"/>
                <w:szCs w:val="18"/>
                <w:lang w:val="es-ES"/>
              </w:rPr>
              <w:t>Reunión electrónica</w:t>
            </w:r>
            <w:bookmarkEnd w:id="440"/>
          </w:p>
        </w:tc>
        <w:tc>
          <w:tcPr>
            <w:tcW w:w="494" w:type="pct"/>
            <w:tcBorders>
              <w:top w:val="single" w:sz="4" w:space="0" w:color="auto"/>
              <w:left w:val="single" w:sz="4" w:space="0" w:color="auto"/>
              <w:bottom w:val="single" w:sz="4" w:space="0" w:color="auto"/>
              <w:right w:val="single" w:sz="4" w:space="0" w:color="auto"/>
            </w:tcBorders>
            <w:vAlign w:val="center"/>
            <w:hideMark/>
          </w:tcPr>
          <w:p w14:paraId="25F0898B" w14:textId="77777777" w:rsidR="00FE4D65" w:rsidRPr="00CC37EB" w:rsidRDefault="00FE4D65" w:rsidP="00CC37EB">
            <w:pPr>
              <w:pStyle w:val="Tabletext"/>
              <w:jc w:val="center"/>
              <w:rPr>
                <w:sz w:val="18"/>
                <w:szCs w:val="18"/>
                <w:lang w:val="es-ES"/>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7D96B8C" w14:textId="77777777" w:rsidR="00FE4D65" w:rsidRPr="00CC37EB" w:rsidRDefault="00FE4D65" w:rsidP="00CC37EB">
            <w:pPr>
              <w:pStyle w:val="Tabletext"/>
              <w:jc w:val="center"/>
              <w:rPr>
                <w:sz w:val="18"/>
                <w:szCs w:val="18"/>
                <w:lang w:val="es-ES"/>
              </w:rPr>
            </w:pPr>
            <w:bookmarkStart w:id="441" w:name="lt_pId1254"/>
            <w:r w:rsidRPr="00CC37EB">
              <w:rPr>
                <w:sz w:val="18"/>
                <w:szCs w:val="18"/>
                <w:lang w:val="es-ES"/>
              </w:rPr>
              <w:t>Grupo Árabe de Gestión del Espectro (ASMG)</w:t>
            </w:r>
            <w:bookmarkEnd w:id="441"/>
          </w:p>
          <w:p w14:paraId="0AFF895E" w14:textId="77777777" w:rsidR="00FE4D65" w:rsidRPr="00CC37EB" w:rsidRDefault="00FE4D65" w:rsidP="00CC37EB">
            <w:pPr>
              <w:pStyle w:val="Tabletext"/>
              <w:jc w:val="center"/>
              <w:rPr>
                <w:sz w:val="18"/>
                <w:szCs w:val="18"/>
                <w:lang w:val="es-ES"/>
              </w:rPr>
            </w:pPr>
            <w:bookmarkStart w:id="442" w:name="lt_pId1255"/>
            <w:r w:rsidRPr="00CC37EB">
              <w:rPr>
                <w:sz w:val="18"/>
                <w:szCs w:val="18"/>
                <w:lang w:val="es-ES"/>
              </w:rPr>
              <w:t>Oficina Regional de la UIT para los Estados Árabes</w:t>
            </w:r>
            <w:bookmarkEnd w:id="442"/>
          </w:p>
        </w:tc>
        <w:tc>
          <w:tcPr>
            <w:tcW w:w="797" w:type="pct"/>
            <w:tcBorders>
              <w:top w:val="single" w:sz="4" w:space="0" w:color="auto"/>
              <w:left w:val="single" w:sz="4" w:space="0" w:color="auto"/>
              <w:bottom w:val="single" w:sz="4" w:space="0" w:color="auto"/>
              <w:right w:val="single" w:sz="4" w:space="0" w:color="auto"/>
            </w:tcBorders>
            <w:vAlign w:val="center"/>
            <w:hideMark/>
          </w:tcPr>
          <w:p w14:paraId="084594C6" w14:textId="7C4E6D8C" w:rsidR="00FE4D65" w:rsidRPr="00CC37EB" w:rsidRDefault="00FE4D65" w:rsidP="00CC37EB">
            <w:pPr>
              <w:pStyle w:val="Tabletext"/>
              <w:jc w:val="center"/>
              <w:rPr>
                <w:sz w:val="18"/>
                <w:szCs w:val="18"/>
                <w:lang w:val="es-ES"/>
              </w:rPr>
            </w:pPr>
            <w:r w:rsidRPr="00CC37EB">
              <w:rPr>
                <w:sz w:val="18"/>
                <w:szCs w:val="18"/>
                <w:lang w:val="es-ES"/>
              </w:rPr>
              <w:t xml:space="preserve">Tendencias de las radiocomunicaciones: </w:t>
            </w:r>
            <w:r w:rsidR="00D229DF" w:rsidRPr="00CC37EB">
              <w:rPr>
                <w:sz w:val="18"/>
                <w:szCs w:val="18"/>
                <w:lang w:val="es-ES"/>
              </w:rPr>
              <w:t xml:space="preserve">Oportunidades </w:t>
            </w:r>
            <w:r w:rsidRPr="00CC37EB">
              <w:rPr>
                <w:sz w:val="18"/>
                <w:szCs w:val="18"/>
                <w:lang w:val="es-ES"/>
              </w:rPr>
              <w:t>y retos para la Región</w:t>
            </w:r>
            <w:bookmarkStart w:id="443" w:name="lt_pId1256"/>
            <w:bookmarkEnd w:id="443"/>
          </w:p>
        </w:tc>
        <w:tc>
          <w:tcPr>
            <w:tcW w:w="312" w:type="pct"/>
            <w:tcBorders>
              <w:top w:val="single" w:sz="4" w:space="0" w:color="auto"/>
              <w:left w:val="single" w:sz="4" w:space="0" w:color="auto"/>
              <w:bottom w:val="single" w:sz="4" w:space="0" w:color="auto"/>
              <w:right w:val="single" w:sz="4" w:space="0" w:color="auto"/>
            </w:tcBorders>
            <w:vAlign w:val="center"/>
            <w:hideMark/>
          </w:tcPr>
          <w:p w14:paraId="70691731" w14:textId="77777777" w:rsidR="00FE4D65" w:rsidRPr="00CC37EB" w:rsidRDefault="00FE4D65" w:rsidP="00CC37EB">
            <w:pPr>
              <w:pStyle w:val="Tabletext"/>
              <w:jc w:val="center"/>
              <w:rPr>
                <w:sz w:val="18"/>
                <w:szCs w:val="18"/>
                <w:lang w:val="es-ES"/>
              </w:rPr>
            </w:pPr>
            <w:bookmarkStart w:id="444" w:name="lt_pId1257"/>
            <w:r w:rsidRPr="00CC37EB">
              <w:rPr>
                <w:sz w:val="18"/>
                <w:szCs w:val="18"/>
                <w:lang w:val="es-ES"/>
              </w:rPr>
              <w:t>A y E</w:t>
            </w:r>
            <w:bookmarkEnd w:id="444"/>
          </w:p>
        </w:tc>
        <w:tc>
          <w:tcPr>
            <w:tcW w:w="534" w:type="pct"/>
            <w:tcBorders>
              <w:top w:val="single" w:sz="4" w:space="0" w:color="auto"/>
              <w:left w:val="single" w:sz="4" w:space="0" w:color="auto"/>
              <w:bottom w:val="single" w:sz="4" w:space="0" w:color="auto"/>
              <w:right w:val="single" w:sz="4" w:space="0" w:color="auto"/>
            </w:tcBorders>
            <w:vAlign w:val="center"/>
            <w:hideMark/>
          </w:tcPr>
          <w:p w14:paraId="0AAB9389" w14:textId="77777777" w:rsidR="00FE4D65" w:rsidRPr="00CC37EB" w:rsidRDefault="00FE4D65" w:rsidP="00CC37EB">
            <w:pPr>
              <w:pStyle w:val="Tabletext"/>
              <w:jc w:val="center"/>
              <w:rPr>
                <w:sz w:val="18"/>
                <w:szCs w:val="18"/>
                <w:lang w:val="es-ES"/>
              </w:rPr>
            </w:pPr>
            <w:r w:rsidRPr="00CC37EB">
              <w:rPr>
                <w:sz w:val="18"/>
                <w:szCs w:val="18"/>
                <w:lang w:val="es-ES"/>
              </w:rPr>
              <w:t>185/51</w:t>
            </w:r>
          </w:p>
        </w:tc>
        <w:tc>
          <w:tcPr>
            <w:tcW w:w="422" w:type="pct"/>
            <w:tcBorders>
              <w:top w:val="single" w:sz="4" w:space="0" w:color="auto"/>
              <w:left w:val="single" w:sz="4" w:space="0" w:color="auto"/>
              <w:bottom w:val="single" w:sz="4" w:space="0" w:color="auto"/>
              <w:right w:val="single" w:sz="4" w:space="0" w:color="auto"/>
            </w:tcBorders>
            <w:vAlign w:val="center"/>
          </w:tcPr>
          <w:p w14:paraId="7347B56D" w14:textId="77777777" w:rsidR="00FE4D65" w:rsidRPr="00CC37EB" w:rsidRDefault="00FE4D65" w:rsidP="00CC37EB">
            <w:pPr>
              <w:pStyle w:val="Tabletext"/>
              <w:jc w:val="center"/>
              <w:rPr>
                <w:sz w:val="18"/>
                <w:szCs w:val="18"/>
                <w:lang w:val="es-ES"/>
              </w:rPr>
            </w:pPr>
            <w:bookmarkStart w:id="445" w:name="lt_pId1259"/>
            <w:r w:rsidRPr="00CC37EB">
              <w:rPr>
                <w:sz w:val="18"/>
                <w:szCs w:val="18"/>
                <w:lang w:val="es-ES"/>
              </w:rPr>
              <w:t>N/D</w:t>
            </w:r>
            <w:bookmarkEnd w:id="445"/>
          </w:p>
        </w:tc>
      </w:tr>
      <w:tr w:rsidR="00D229DF" w:rsidRPr="00FE4D65" w14:paraId="0ED2EDA2" w14:textId="77777777" w:rsidTr="00611A48">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A46577F" w14:textId="42275CC7" w:rsidR="00FE4D65" w:rsidRPr="00CC37EB" w:rsidRDefault="00FE4D65" w:rsidP="00611A48">
            <w:pPr>
              <w:pStyle w:val="Tabletext"/>
              <w:rPr>
                <w:sz w:val="18"/>
                <w:szCs w:val="18"/>
                <w:lang w:val="es-ES"/>
              </w:rPr>
            </w:pPr>
            <w:r w:rsidRPr="00CC37EB">
              <w:rPr>
                <w:sz w:val="18"/>
                <w:szCs w:val="18"/>
                <w:lang w:val="es-ES"/>
              </w:rPr>
              <w:t>30 de agosto a 8</w:t>
            </w:r>
            <w:r w:rsidR="00CC37EB">
              <w:rPr>
                <w:sz w:val="18"/>
                <w:szCs w:val="18"/>
                <w:lang w:val="es-ES"/>
              </w:rPr>
              <w:t> </w:t>
            </w:r>
            <w:r w:rsidRPr="00CC37EB">
              <w:rPr>
                <w:sz w:val="18"/>
                <w:szCs w:val="18"/>
                <w:lang w:val="es-ES"/>
              </w:rPr>
              <w:t>de septiembre de</w:t>
            </w:r>
            <w:r w:rsidR="00CC37EB">
              <w:rPr>
                <w:sz w:val="18"/>
                <w:szCs w:val="18"/>
                <w:lang w:val="es-ES"/>
              </w:rPr>
              <w:t> </w:t>
            </w:r>
            <w:r w:rsidRPr="00CC37EB">
              <w:rPr>
                <w:sz w:val="18"/>
                <w:szCs w:val="18"/>
                <w:lang w:val="es-ES"/>
              </w:rPr>
              <w:t>2022</w:t>
            </w:r>
            <w:bookmarkStart w:id="446" w:name="lt_pId1261"/>
            <w:bookmarkEnd w:id="446"/>
          </w:p>
        </w:tc>
        <w:tc>
          <w:tcPr>
            <w:tcW w:w="654" w:type="pct"/>
            <w:tcBorders>
              <w:top w:val="single" w:sz="4" w:space="0" w:color="auto"/>
              <w:left w:val="single" w:sz="4" w:space="0" w:color="auto"/>
              <w:bottom w:val="single" w:sz="4" w:space="0" w:color="auto"/>
              <w:right w:val="single" w:sz="4" w:space="0" w:color="auto"/>
            </w:tcBorders>
            <w:vAlign w:val="center"/>
            <w:hideMark/>
          </w:tcPr>
          <w:p w14:paraId="0797927C" w14:textId="77777777" w:rsidR="00FE4D65" w:rsidRPr="00D229DF" w:rsidRDefault="00FE4D65" w:rsidP="00CC37EB">
            <w:pPr>
              <w:pStyle w:val="Tabletext"/>
              <w:jc w:val="center"/>
              <w:rPr>
                <w:b/>
                <w:bCs/>
                <w:sz w:val="18"/>
                <w:szCs w:val="18"/>
                <w:lang w:val="es-ES"/>
              </w:rPr>
            </w:pPr>
            <w:bookmarkStart w:id="447" w:name="lt_pId1262"/>
            <w:r w:rsidRPr="00D229DF">
              <w:rPr>
                <w:b/>
                <w:bCs/>
                <w:sz w:val="18"/>
                <w:szCs w:val="18"/>
                <w:lang w:val="es-ES"/>
              </w:rPr>
              <w:t>SRR-22-Europa</w:t>
            </w:r>
            <w:bookmarkEnd w:id="447"/>
          </w:p>
        </w:tc>
        <w:tc>
          <w:tcPr>
            <w:tcW w:w="404" w:type="pct"/>
            <w:tcBorders>
              <w:top w:val="single" w:sz="4" w:space="0" w:color="auto"/>
              <w:left w:val="single" w:sz="4" w:space="0" w:color="auto"/>
              <w:bottom w:val="single" w:sz="4" w:space="0" w:color="auto"/>
              <w:right w:val="single" w:sz="4" w:space="0" w:color="auto"/>
            </w:tcBorders>
            <w:vAlign w:val="center"/>
            <w:hideMark/>
          </w:tcPr>
          <w:p w14:paraId="5CDB4F60" w14:textId="77777777" w:rsidR="00FE4D65" w:rsidRPr="00CC37EB" w:rsidRDefault="00FE4D65" w:rsidP="00CC37EB">
            <w:pPr>
              <w:pStyle w:val="Tabletext"/>
              <w:jc w:val="center"/>
              <w:rPr>
                <w:sz w:val="18"/>
                <w:szCs w:val="18"/>
                <w:lang w:val="es-ES"/>
              </w:rPr>
            </w:pPr>
            <w:bookmarkStart w:id="448" w:name="lt_pId1263"/>
            <w:r w:rsidRPr="00CC37EB">
              <w:rPr>
                <w:sz w:val="18"/>
                <w:szCs w:val="18"/>
                <w:lang w:val="es-ES"/>
              </w:rPr>
              <w:t>Reunión electrónica</w:t>
            </w:r>
            <w:bookmarkEnd w:id="448"/>
          </w:p>
        </w:tc>
        <w:tc>
          <w:tcPr>
            <w:tcW w:w="494" w:type="pct"/>
            <w:tcBorders>
              <w:top w:val="single" w:sz="4" w:space="0" w:color="auto"/>
              <w:left w:val="single" w:sz="4" w:space="0" w:color="auto"/>
              <w:bottom w:val="single" w:sz="4" w:space="0" w:color="auto"/>
              <w:right w:val="single" w:sz="4" w:space="0" w:color="auto"/>
            </w:tcBorders>
            <w:vAlign w:val="center"/>
            <w:hideMark/>
          </w:tcPr>
          <w:p w14:paraId="6480F5C8" w14:textId="77777777" w:rsidR="00FE4D65" w:rsidRPr="00CC37EB" w:rsidRDefault="00FE4D65" w:rsidP="00CC37EB">
            <w:pPr>
              <w:pStyle w:val="Tabletext"/>
              <w:jc w:val="center"/>
              <w:rPr>
                <w:sz w:val="18"/>
                <w:szCs w:val="18"/>
                <w:lang w:val="es-ES"/>
              </w:rPr>
            </w:pPr>
            <w:r w:rsidRPr="00CC37EB">
              <w:rPr>
                <w:sz w:val="18"/>
                <w:szCs w:val="18"/>
                <w:lang w:val="es-E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4261E6AD" w14:textId="77777777" w:rsidR="00FE4D65" w:rsidRPr="00CC37EB" w:rsidRDefault="00FE4D65" w:rsidP="00CC37EB">
            <w:pPr>
              <w:pStyle w:val="Tabletext"/>
              <w:jc w:val="center"/>
              <w:rPr>
                <w:sz w:val="18"/>
                <w:szCs w:val="18"/>
                <w:lang w:val="es-ES"/>
              </w:rPr>
            </w:pPr>
            <w:bookmarkStart w:id="449" w:name="lt_pId1265"/>
            <w:r w:rsidRPr="00CC37EB">
              <w:rPr>
                <w:sz w:val="18"/>
                <w:szCs w:val="18"/>
                <w:lang w:val="es-ES"/>
              </w:rPr>
              <w:t>Oficina Regional de la UIT para Europa</w:t>
            </w:r>
            <w:bookmarkEnd w:id="449"/>
          </w:p>
        </w:tc>
        <w:tc>
          <w:tcPr>
            <w:tcW w:w="797" w:type="pct"/>
            <w:tcBorders>
              <w:top w:val="single" w:sz="4" w:space="0" w:color="auto"/>
              <w:left w:val="single" w:sz="4" w:space="0" w:color="auto"/>
              <w:bottom w:val="single" w:sz="4" w:space="0" w:color="auto"/>
              <w:right w:val="single" w:sz="4" w:space="0" w:color="auto"/>
            </w:tcBorders>
            <w:vAlign w:val="center"/>
            <w:hideMark/>
          </w:tcPr>
          <w:p w14:paraId="40DB5FB4" w14:textId="77777777" w:rsidR="00FE4D65" w:rsidRPr="00CC37EB" w:rsidRDefault="00FE4D65" w:rsidP="00CC37EB">
            <w:pPr>
              <w:pStyle w:val="Tabletext"/>
              <w:jc w:val="center"/>
              <w:rPr>
                <w:sz w:val="18"/>
                <w:szCs w:val="18"/>
                <w:lang w:val="es-ES"/>
              </w:rPr>
            </w:pPr>
            <w:bookmarkStart w:id="450" w:name="lt_pId1266"/>
            <w:r w:rsidRPr="00CC37EB">
              <w:rPr>
                <w:sz w:val="18"/>
                <w:szCs w:val="18"/>
                <w:lang w:val="es-ES"/>
              </w:rPr>
              <w:t>Gestión del espectro</w:t>
            </w:r>
            <w:bookmarkEnd w:id="450"/>
          </w:p>
        </w:tc>
        <w:tc>
          <w:tcPr>
            <w:tcW w:w="312" w:type="pct"/>
            <w:tcBorders>
              <w:top w:val="single" w:sz="4" w:space="0" w:color="auto"/>
              <w:left w:val="single" w:sz="4" w:space="0" w:color="auto"/>
              <w:bottom w:val="single" w:sz="4" w:space="0" w:color="auto"/>
              <w:right w:val="single" w:sz="4" w:space="0" w:color="auto"/>
            </w:tcBorders>
            <w:vAlign w:val="center"/>
            <w:hideMark/>
          </w:tcPr>
          <w:p w14:paraId="3AF34299" w14:textId="77777777" w:rsidR="00FE4D65" w:rsidRPr="00CC37EB" w:rsidRDefault="00FE4D65" w:rsidP="00CC37EB">
            <w:pPr>
              <w:pStyle w:val="Tabletext"/>
              <w:jc w:val="center"/>
              <w:rPr>
                <w:sz w:val="18"/>
                <w:szCs w:val="18"/>
                <w:lang w:val="es-ES"/>
              </w:rPr>
            </w:pPr>
            <w:bookmarkStart w:id="451" w:name="lt_pId1267"/>
            <w:r w:rsidRPr="00CC37EB">
              <w:rPr>
                <w:sz w:val="18"/>
                <w:szCs w:val="18"/>
                <w:lang w:val="es-ES"/>
              </w:rPr>
              <w:t>E</w:t>
            </w:r>
            <w:bookmarkEnd w:id="451"/>
          </w:p>
        </w:tc>
        <w:tc>
          <w:tcPr>
            <w:tcW w:w="534" w:type="pct"/>
            <w:tcBorders>
              <w:top w:val="single" w:sz="4" w:space="0" w:color="auto"/>
              <w:left w:val="single" w:sz="4" w:space="0" w:color="auto"/>
              <w:bottom w:val="single" w:sz="4" w:space="0" w:color="auto"/>
              <w:right w:val="single" w:sz="4" w:space="0" w:color="auto"/>
            </w:tcBorders>
            <w:vAlign w:val="center"/>
            <w:hideMark/>
          </w:tcPr>
          <w:p w14:paraId="214EC8FE" w14:textId="77777777" w:rsidR="00FE4D65" w:rsidRPr="00CC37EB" w:rsidRDefault="00FE4D65" w:rsidP="00CC37EB">
            <w:pPr>
              <w:pStyle w:val="Tabletext"/>
              <w:jc w:val="center"/>
              <w:rPr>
                <w:sz w:val="18"/>
                <w:szCs w:val="18"/>
                <w:lang w:val="es-ES"/>
              </w:rPr>
            </w:pPr>
            <w:r w:rsidRPr="00CC37EB">
              <w:rPr>
                <w:sz w:val="18"/>
                <w:szCs w:val="18"/>
                <w:lang w:val="es-ES"/>
              </w:rPr>
              <w:t>286/83</w:t>
            </w:r>
          </w:p>
        </w:tc>
        <w:tc>
          <w:tcPr>
            <w:tcW w:w="422" w:type="pct"/>
            <w:tcBorders>
              <w:top w:val="single" w:sz="4" w:space="0" w:color="auto"/>
              <w:left w:val="single" w:sz="4" w:space="0" w:color="auto"/>
              <w:bottom w:val="single" w:sz="4" w:space="0" w:color="auto"/>
              <w:right w:val="single" w:sz="4" w:space="0" w:color="auto"/>
            </w:tcBorders>
            <w:vAlign w:val="center"/>
          </w:tcPr>
          <w:p w14:paraId="668170D8" w14:textId="77777777" w:rsidR="00FE4D65" w:rsidRPr="00CC37EB" w:rsidRDefault="00FE4D65" w:rsidP="00CC37EB">
            <w:pPr>
              <w:pStyle w:val="Tabletext"/>
              <w:jc w:val="center"/>
              <w:rPr>
                <w:sz w:val="18"/>
                <w:szCs w:val="18"/>
                <w:lang w:val="es-ES"/>
              </w:rPr>
            </w:pPr>
            <w:bookmarkStart w:id="452" w:name="lt_pId1269"/>
            <w:r w:rsidRPr="00CC37EB">
              <w:rPr>
                <w:sz w:val="18"/>
                <w:szCs w:val="18"/>
                <w:lang w:val="es-ES"/>
              </w:rPr>
              <w:t>N/D</w:t>
            </w:r>
            <w:bookmarkEnd w:id="452"/>
          </w:p>
        </w:tc>
      </w:tr>
      <w:tr w:rsidR="00D229DF" w:rsidRPr="00FE4D65" w14:paraId="250D2518" w14:textId="77777777" w:rsidTr="00611A48">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CF30730" w14:textId="17B3C63E" w:rsidR="00FE4D65" w:rsidRPr="00CC37EB" w:rsidRDefault="00FE4D65" w:rsidP="00611A48">
            <w:pPr>
              <w:pStyle w:val="Tabletext"/>
              <w:rPr>
                <w:sz w:val="18"/>
                <w:szCs w:val="18"/>
                <w:lang w:val="es-ES"/>
              </w:rPr>
            </w:pPr>
            <w:bookmarkStart w:id="453" w:name="lt_pId1270"/>
            <w:r w:rsidRPr="00CC37EB">
              <w:rPr>
                <w:sz w:val="18"/>
                <w:szCs w:val="18"/>
                <w:lang w:val="es-ES"/>
              </w:rPr>
              <w:t>15-20 de diciembre de</w:t>
            </w:r>
            <w:r w:rsidR="00CC37EB">
              <w:rPr>
                <w:sz w:val="18"/>
                <w:szCs w:val="18"/>
                <w:lang w:val="es-ES"/>
              </w:rPr>
              <w:t> </w:t>
            </w:r>
            <w:r w:rsidRPr="00CC37EB">
              <w:rPr>
                <w:sz w:val="18"/>
                <w:szCs w:val="18"/>
                <w:lang w:val="es-ES"/>
              </w:rPr>
              <w:t>2022</w:t>
            </w:r>
            <w:bookmarkEnd w:id="453"/>
          </w:p>
        </w:tc>
        <w:tc>
          <w:tcPr>
            <w:tcW w:w="654" w:type="pct"/>
            <w:tcBorders>
              <w:top w:val="single" w:sz="4" w:space="0" w:color="auto"/>
              <w:left w:val="single" w:sz="4" w:space="0" w:color="auto"/>
              <w:bottom w:val="single" w:sz="4" w:space="0" w:color="auto"/>
              <w:right w:val="single" w:sz="4" w:space="0" w:color="auto"/>
            </w:tcBorders>
            <w:vAlign w:val="center"/>
          </w:tcPr>
          <w:p w14:paraId="2267A424" w14:textId="77777777" w:rsidR="00FE4D65" w:rsidRPr="00D229DF" w:rsidRDefault="00FE4D65" w:rsidP="00611A48">
            <w:pPr>
              <w:pStyle w:val="Tabletext"/>
              <w:jc w:val="center"/>
              <w:rPr>
                <w:b/>
                <w:bCs/>
                <w:sz w:val="18"/>
                <w:szCs w:val="18"/>
                <w:lang w:val="es-ES"/>
              </w:rPr>
            </w:pPr>
            <w:bookmarkStart w:id="454" w:name="lt_pId1271"/>
            <w:r w:rsidRPr="00D229DF">
              <w:rPr>
                <w:b/>
                <w:bCs/>
                <w:sz w:val="18"/>
                <w:szCs w:val="18"/>
                <w:lang w:val="es-ES"/>
              </w:rPr>
              <w:t>SRR-22-Asia-Pacífico</w:t>
            </w:r>
            <w:bookmarkEnd w:id="454"/>
          </w:p>
        </w:tc>
        <w:tc>
          <w:tcPr>
            <w:tcW w:w="404" w:type="pct"/>
            <w:tcBorders>
              <w:top w:val="single" w:sz="4" w:space="0" w:color="auto"/>
              <w:left w:val="single" w:sz="4" w:space="0" w:color="auto"/>
              <w:bottom w:val="single" w:sz="4" w:space="0" w:color="auto"/>
              <w:right w:val="single" w:sz="4" w:space="0" w:color="auto"/>
            </w:tcBorders>
            <w:vAlign w:val="center"/>
          </w:tcPr>
          <w:p w14:paraId="7D10BB89" w14:textId="3D2F8E38" w:rsidR="00FE4D65" w:rsidRPr="00CC37EB" w:rsidRDefault="00FE4D65" w:rsidP="00611A48">
            <w:pPr>
              <w:pStyle w:val="Tabletext"/>
              <w:jc w:val="center"/>
              <w:rPr>
                <w:sz w:val="18"/>
                <w:szCs w:val="18"/>
                <w:lang w:val="es-ES"/>
              </w:rPr>
            </w:pPr>
            <w:bookmarkStart w:id="455" w:name="lt_pId1272"/>
            <w:r w:rsidRPr="00CC37EB">
              <w:rPr>
                <w:sz w:val="18"/>
                <w:szCs w:val="18"/>
                <w:lang w:val="es-ES"/>
              </w:rPr>
              <w:t xml:space="preserve">Nadi </w:t>
            </w:r>
            <w:r w:rsidR="00D229DF">
              <w:rPr>
                <w:sz w:val="18"/>
                <w:szCs w:val="18"/>
                <w:lang w:val="es-ES"/>
              </w:rPr>
              <w:t>(</w:t>
            </w:r>
            <w:r w:rsidRPr="00CC37EB">
              <w:rPr>
                <w:sz w:val="18"/>
                <w:szCs w:val="18"/>
                <w:lang w:val="es-ES"/>
              </w:rPr>
              <w:t>Fiji</w:t>
            </w:r>
            <w:bookmarkEnd w:id="455"/>
            <w:r w:rsidR="00D229DF">
              <w:rPr>
                <w:sz w:val="18"/>
                <w:szCs w:val="18"/>
                <w:lang w:val="es-ES"/>
              </w:rPr>
              <w:t>)</w:t>
            </w:r>
          </w:p>
        </w:tc>
        <w:bookmarkStart w:id="456" w:name="lt_pId1273"/>
        <w:tc>
          <w:tcPr>
            <w:tcW w:w="494" w:type="pct"/>
            <w:tcBorders>
              <w:top w:val="single" w:sz="4" w:space="0" w:color="auto"/>
              <w:left w:val="single" w:sz="4" w:space="0" w:color="auto"/>
              <w:bottom w:val="single" w:sz="4" w:space="0" w:color="auto"/>
              <w:right w:val="single" w:sz="4" w:space="0" w:color="auto"/>
            </w:tcBorders>
            <w:vAlign w:val="center"/>
          </w:tcPr>
          <w:p w14:paraId="05F77B66" w14:textId="5375F0A4" w:rsidR="00FE4D65" w:rsidRPr="00CC37EB" w:rsidRDefault="00D229DF" w:rsidP="00611A48">
            <w:pPr>
              <w:pStyle w:val="Tabletext"/>
              <w:jc w:val="center"/>
              <w:rPr>
                <w:sz w:val="18"/>
                <w:szCs w:val="18"/>
                <w:lang w:val="es-ES"/>
              </w:rPr>
            </w:pPr>
            <w:r>
              <w:rPr>
                <w:sz w:val="18"/>
                <w:szCs w:val="18"/>
                <w:lang w:val="es-ES"/>
              </w:rPr>
              <w:fldChar w:fldCharType="begin"/>
            </w:r>
            <w:r>
              <w:rPr>
                <w:sz w:val="18"/>
                <w:szCs w:val="18"/>
                <w:lang w:val="es-ES"/>
              </w:rPr>
              <w:instrText xml:space="preserve"> HYPERLINK "https://www.fiji.gov.fj/Home" </w:instrText>
            </w:r>
            <w:r>
              <w:rPr>
                <w:sz w:val="18"/>
                <w:szCs w:val="18"/>
                <w:lang w:val="es-ES"/>
              </w:rPr>
              <w:fldChar w:fldCharType="separate"/>
            </w:r>
            <w:r w:rsidR="00FE4D65" w:rsidRPr="00D229DF">
              <w:rPr>
                <w:rStyle w:val="Hyperlink"/>
                <w:sz w:val="18"/>
                <w:szCs w:val="18"/>
                <w:lang w:val="es-ES"/>
              </w:rPr>
              <w:t>Ministerio de Comunicaciones (</w:t>
            </w:r>
            <w:proofErr w:type="spellStart"/>
            <w:r w:rsidR="00FE4D65" w:rsidRPr="00D229DF">
              <w:rPr>
                <w:rStyle w:val="Hyperlink"/>
                <w:sz w:val="18"/>
                <w:szCs w:val="18"/>
                <w:lang w:val="es-ES"/>
              </w:rPr>
              <w:t>MOC</w:t>
            </w:r>
            <w:proofErr w:type="spellEnd"/>
            <w:r w:rsidR="00FE4D65" w:rsidRPr="00D229DF">
              <w:rPr>
                <w:rStyle w:val="Hyperlink"/>
                <w:sz w:val="18"/>
                <w:szCs w:val="18"/>
                <w:lang w:val="es-ES"/>
              </w:rPr>
              <w:t>)</w:t>
            </w:r>
            <w:r>
              <w:rPr>
                <w:sz w:val="18"/>
                <w:szCs w:val="18"/>
                <w:lang w:val="es-ES"/>
              </w:rPr>
              <w:fldChar w:fldCharType="end"/>
            </w:r>
            <w:r w:rsidR="00FE4D65" w:rsidRPr="00CC37EB">
              <w:rPr>
                <w:sz w:val="18"/>
                <w:szCs w:val="18"/>
                <w:lang w:val="es-ES"/>
              </w:rPr>
              <w:t xml:space="preserve"> de Fiji</w:t>
            </w:r>
            <w:bookmarkEnd w:id="456"/>
          </w:p>
        </w:tc>
        <w:tc>
          <w:tcPr>
            <w:tcW w:w="904" w:type="pct"/>
            <w:tcBorders>
              <w:top w:val="single" w:sz="4" w:space="0" w:color="auto"/>
              <w:left w:val="single" w:sz="4" w:space="0" w:color="auto"/>
              <w:bottom w:val="single" w:sz="4" w:space="0" w:color="auto"/>
              <w:right w:val="single" w:sz="4" w:space="0" w:color="auto"/>
            </w:tcBorders>
            <w:vAlign w:val="center"/>
          </w:tcPr>
          <w:p w14:paraId="024598A7" w14:textId="77777777" w:rsidR="00FE4D65" w:rsidRPr="00CC37EB" w:rsidRDefault="00936ED8" w:rsidP="00611A48">
            <w:pPr>
              <w:pStyle w:val="Tabletext"/>
              <w:jc w:val="center"/>
              <w:rPr>
                <w:sz w:val="18"/>
                <w:szCs w:val="18"/>
                <w:lang w:val="es-ES"/>
              </w:rPr>
            </w:pPr>
            <w:hyperlink r:id="rId60" w:tgtFrame="_blank" w:history="1">
              <w:bookmarkStart w:id="457" w:name="lt_pId1274"/>
              <w:r w:rsidR="00FE4D65" w:rsidRPr="00CC37EB">
                <w:rPr>
                  <w:rStyle w:val="Hyperlink"/>
                  <w:sz w:val="18"/>
                  <w:szCs w:val="18"/>
                  <w:lang w:val="es-ES"/>
                </w:rPr>
                <w:t>Asociación de Telecomunicaciones de las Islas del Pacífico (PITA)</w:t>
              </w:r>
              <w:bookmarkEnd w:id="457"/>
            </w:hyperlink>
          </w:p>
          <w:p w14:paraId="42FDF2AB" w14:textId="5D3EA748" w:rsidR="00FE4D65" w:rsidRPr="00CC37EB" w:rsidRDefault="00936ED8" w:rsidP="00611A48">
            <w:pPr>
              <w:pStyle w:val="Tabletext"/>
              <w:jc w:val="center"/>
              <w:rPr>
                <w:sz w:val="18"/>
                <w:szCs w:val="18"/>
                <w:lang w:val="es-ES"/>
              </w:rPr>
            </w:pPr>
            <w:hyperlink r:id="rId61" w:history="1">
              <w:r w:rsidR="00FE4D65" w:rsidRPr="00D229DF">
                <w:rPr>
                  <w:rStyle w:val="Hyperlink"/>
                  <w:sz w:val="18"/>
                  <w:szCs w:val="18"/>
                  <w:lang w:val="es-ES"/>
                </w:rPr>
                <w:t>Departamento de Infraestructura, Transporte, Desarrollo Regional, Comunicaciones y Arte (DITRDCA)</w:t>
              </w:r>
            </w:hyperlink>
            <w:r w:rsidR="00FE4D65" w:rsidRPr="00CC37EB">
              <w:rPr>
                <w:sz w:val="18"/>
                <w:szCs w:val="18"/>
                <w:lang w:val="es-ES"/>
              </w:rPr>
              <w:t xml:space="preserve"> del Gobierno de Australia</w:t>
            </w:r>
            <w:bookmarkStart w:id="458" w:name="lt_pId1275"/>
            <w:bookmarkEnd w:id="458"/>
          </w:p>
          <w:p w14:paraId="23536636" w14:textId="09A76561" w:rsidR="00FE4D65" w:rsidRPr="00FE4D65" w:rsidRDefault="00FE4D65" w:rsidP="00611A48">
            <w:pPr>
              <w:pStyle w:val="Tabletext"/>
              <w:jc w:val="center"/>
              <w:rPr>
                <w:lang w:val="es-ES"/>
              </w:rPr>
            </w:pPr>
            <w:r w:rsidRPr="00CC37EB">
              <w:rPr>
                <w:sz w:val="18"/>
                <w:szCs w:val="18"/>
                <w:lang w:val="es-ES"/>
              </w:rPr>
              <w:t>Oficina Regional de la UIT para Asia y el Pacífico</w:t>
            </w:r>
            <w:bookmarkStart w:id="459" w:name="lt_pId1276"/>
            <w:bookmarkEnd w:id="459"/>
          </w:p>
        </w:tc>
        <w:tc>
          <w:tcPr>
            <w:tcW w:w="797" w:type="pct"/>
            <w:tcBorders>
              <w:top w:val="single" w:sz="4" w:space="0" w:color="auto"/>
              <w:left w:val="single" w:sz="4" w:space="0" w:color="auto"/>
              <w:bottom w:val="single" w:sz="4" w:space="0" w:color="auto"/>
              <w:right w:val="single" w:sz="4" w:space="0" w:color="auto"/>
            </w:tcBorders>
            <w:vAlign w:val="center"/>
          </w:tcPr>
          <w:p w14:paraId="5184F929" w14:textId="77777777" w:rsidR="00FE4D65" w:rsidRPr="00CC37EB" w:rsidRDefault="00FE4D65" w:rsidP="00611A48">
            <w:pPr>
              <w:pStyle w:val="Tabletext"/>
              <w:jc w:val="center"/>
              <w:rPr>
                <w:sz w:val="18"/>
                <w:szCs w:val="18"/>
                <w:lang w:val="es-ES"/>
              </w:rPr>
            </w:pPr>
            <w:bookmarkStart w:id="460" w:name="lt_pId1277"/>
            <w:r w:rsidRPr="00CC37EB">
              <w:rPr>
                <w:sz w:val="18"/>
                <w:szCs w:val="18"/>
                <w:lang w:val="es-ES"/>
              </w:rPr>
              <w:t>Tendencias de las radiocomunicaciones: oportunidades y retos para la Región de Asia-Pacífico</w:t>
            </w:r>
            <w:bookmarkEnd w:id="460"/>
          </w:p>
        </w:tc>
        <w:tc>
          <w:tcPr>
            <w:tcW w:w="312" w:type="pct"/>
            <w:tcBorders>
              <w:top w:val="single" w:sz="4" w:space="0" w:color="auto"/>
              <w:left w:val="single" w:sz="4" w:space="0" w:color="auto"/>
              <w:bottom w:val="single" w:sz="4" w:space="0" w:color="auto"/>
              <w:right w:val="single" w:sz="4" w:space="0" w:color="auto"/>
            </w:tcBorders>
            <w:vAlign w:val="center"/>
          </w:tcPr>
          <w:p w14:paraId="75578809" w14:textId="77777777" w:rsidR="00FE4D65" w:rsidRPr="00CC37EB" w:rsidRDefault="00FE4D65" w:rsidP="00611A48">
            <w:pPr>
              <w:pStyle w:val="Tabletext"/>
              <w:jc w:val="center"/>
              <w:rPr>
                <w:sz w:val="18"/>
                <w:szCs w:val="18"/>
                <w:lang w:val="es-ES"/>
              </w:rPr>
            </w:pPr>
            <w:bookmarkStart w:id="461" w:name="lt_pId1278"/>
            <w:r w:rsidRPr="00CC37EB">
              <w:rPr>
                <w:sz w:val="18"/>
                <w:szCs w:val="18"/>
                <w:lang w:val="es-ES"/>
              </w:rPr>
              <w:t>E</w:t>
            </w:r>
            <w:bookmarkEnd w:id="461"/>
          </w:p>
        </w:tc>
        <w:tc>
          <w:tcPr>
            <w:tcW w:w="534" w:type="pct"/>
            <w:tcBorders>
              <w:top w:val="single" w:sz="4" w:space="0" w:color="auto"/>
              <w:left w:val="single" w:sz="4" w:space="0" w:color="auto"/>
              <w:bottom w:val="single" w:sz="4" w:space="0" w:color="auto"/>
              <w:right w:val="single" w:sz="4" w:space="0" w:color="auto"/>
            </w:tcBorders>
            <w:vAlign w:val="center"/>
          </w:tcPr>
          <w:p w14:paraId="3A0AC1EC" w14:textId="77777777" w:rsidR="00FE4D65" w:rsidRPr="00CC37EB" w:rsidRDefault="00FE4D65" w:rsidP="00611A48">
            <w:pPr>
              <w:pStyle w:val="Tabletext"/>
              <w:jc w:val="center"/>
              <w:rPr>
                <w:sz w:val="18"/>
                <w:szCs w:val="18"/>
                <w:lang w:val="es-ES"/>
              </w:rPr>
            </w:pPr>
            <w:r w:rsidRPr="00CC37EB">
              <w:rPr>
                <w:sz w:val="18"/>
                <w:szCs w:val="18"/>
                <w:lang w:val="es-ES"/>
              </w:rPr>
              <w:t>80/40</w:t>
            </w:r>
          </w:p>
        </w:tc>
        <w:tc>
          <w:tcPr>
            <w:tcW w:w="422" w:type="pct"/>
            <w:tcBorders>
              <w:top w:val="single" w:sz="4" w:space="0" w:color="auto"/>
              <w:left w:val="single" w:sz="4" w:space="0" w:color="auto"/>
              <w:bottom w:val="single" w:sz="4" w:space="0" w:color="auto"/>
              <w:right w:val="single" w:sz="4" w:space="0" w:color="auto"/>
            </w:tcBorders>
            <w:vAlign w:val="center"/>
          </w:tcPr>
          <w:p w14:paraId="49BE4FED" w14:textId="77777777" w:rsidR="00FE4D65" w:rsidRPr="00CC37EB" w:rsidRDefault="00FE4D65" w:rsidP="00611A48">
            <w:pPr>
              <w:pStyle w:val="Tabletext"/>
              <w:jc w:val="center"/>
              <w:rPr>
                <w:sz w:val="18"/>
                <w:szCs w:val="18"/>
                <w:lang w:val="es-ES"/>
              </w:rPr>
            </w:pPr>
            <w:bookmarkStart w:id="462" w:name="lt_pId1280"/>
            <w:r w:rsidRPr="00CC37EB">
              <w:rPr>
                <w:sz w:val="18"/>
                <w:szCs w:val="18"/>
                <w:lang w:val="es-ES"/>
              </w:rPr>
              <w:t>11 (financiadas y concedidas por la BR y el DITRDCA de Australia)</w:t>
            </w:r>
            <w:bookmarkEnd w:id="462"/>
          </w:p>
        </w:tc>
      </w:tr>
      <w:tr w:rsidR="00F039CA" w:rsidRPr="00FE4D65" w14:paraId="71AA56D4" w14:textId="77777777" w:rsidTr="00F039CA">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A54DE6" w14:textId="343EA3ED" w:rsidR="00F039CA" w:rsidRPr="00FE4D65" w:rsidRDefault="00F039CA" w:rsidP="00CC37EB">
            <w:pPr>
              <w:pStyle w:val="Tabletext"/>
              <w:jc w:val="center"/>
              <w:rPr>
                <w:b/>
                <w:bCs/>
                <w:sz w:val="18"/>
                <w:szCs w:val="18"/>
                <w:lang w:val="es-ES"/>
              </w:rPr>
            </w:pPr>
            <w:r w:rsidRPr="00CC37EB">
              <w:rPr>
                <w:b/>
                <w:bCs/>
                <w:sz w:val="18"/>
                <w:szCs w:val="18"/>
                <w:lang w:val="es-ES"/>
              </w:rPr>
              <w:t>2023</w:t>
            </w:r>
          </w:p>
        </w:tc>
      </w:tr>
      <w:tr w:rsidR="00D229DF" w:rsidRPr="00FE4D65" w14:paraId="1BDCFD9E"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ED200E6" w14:textId="32AA9325" w:rsidR="00FE4D65" w:rsidRPr="00CC37EB" w:rsidRDefault="00FE4D65" w:rsidP="00CC37EB">
            <w:pPr>
              <w:pStyle w:val="Tabletext"/>
              <w:rPr>
                <w:sz w:val="18"/>
                <w:szCs w:val="18"/>
                <w:lang w:val="es-ES"/>
              </w:rPr>
            </w:pPr>
            <w:bookmarkStart w:id="463" w:name="lt_pId1282"/>
            <w:r w:rsidRPr="00CC37EB">
              <w:rPr>
                <w:sz w:val="18"/>
                <w:szCs w:val="18"/>
                <w:lang w:val="es-ES"/>
              </w:rPr>
              <w:t>8-12 de mayo de</w:t>
            </w:r>
            <w:r w:rsidR="00CC37EB">
              <w:rPr>
                <w:sz w:val="18"/>
                <w:szCs w:val="18"/>
                <w:lang w:val="es-ES"/>
              </w:rPr>
              <w:t> </w:t>
            </w:r>
            <w:r w:rsidRPr="00CC37EB">
              <w:rPr>
                <w:sz w:val="18"/>
                <w:szCs w:val="18"/>
                <w:lang w:val="es-ES"/>
              </w:rPr>
              <w:t>2023</w:t>
            </w:r>
            <w:bookmarkEnd w:id="463"/>
          </w:p>
        </w:tc>
        <w:tc>
          <w:tcPr>
            <w:tcW w:w="654" w:type="pct"/>
            <w:tcBorders>
              <w:top w:val="single" w:sz="4" w:space="0" w:color="auto"/>
              <w:left w:val="single" w:sz="4" w:space="0" w:color="auto"/>
              <w:bottom w:val="single" w:sz="4" w:space="0" w:color="auto"/>
              <w:right w:val="single" w:sz="4" w:space="0" w:color="auto"/>
            </w:tcBorders>
            <w:vAlign w:val="center"/>
            <w:hideMark/>
          </w:tcPr>
          <w:p w14:paraId="49793106" w14:textId="77777777" w:rsidR="00FE4D65" w:rsidRPr="00D229DF" w:rsidRDefault="00FE4D65" w:rsidP="00CC37EB">
            <w:pPr>
              <w:pStyle w:val="Tabletext"/>
              <w:jc w:val="center"/>
              <w:rPr>
                <w:b/>
                <w:bCs/>
                <w:sz w:val="18"/>
                <w:szCs w:val="18"/>
                <w:lang w:val="es-ES"/>
              </w:rPr>
            </w:pPr>
            <w:bookmarkStart w:id="464" w:name="lt_pId1283"/>
            <w:r w:rsidRPr="00D229DF">
              <w:rPr>
                <w:b/>
                <w:bCs/>
                <w:sz w:val="18"/>
                <w:szCs w:val="18"/>
                <w:lang w:val="es-ES"/>
              </w:rPr>
              <w:t>SRR-23-Américas</w:t>
            </w:r>
            <w:bookmarkEnd w:id="464"/>
          </w:p>
        </w:tc>
        <w:tc>
          <w:tcPr>
            <w:tcW w:w="404" w:type="pct"/>
            <w:tcBorders>
              <w:top w:val="single" w:sz="4" w:space="0" w:color="auto"/>
              <w:left w:val="single" w:sz="4" w:space="0" w:color="auto"/>
              <w:bottom w:val="single" w:sz="4" w:space="0" w:color="auto"/>
              <w:right w:val="single" w:sz="4" w:space="0" w:color="auto"/>
            </w:tcBorders>
            <w:vAlign w:val="center"/>
            <w:hideMark/>
          </w:tcPr>
          <w:p w14:paraId="495A993B" w14:textId="49A33E3E" w:rsidR="00FE4D65" w:rsidRPr="00CC37EB" w:rsidRDefault="00FE4D65" w:rsidP="00CC37EB">
            <w:pPr>
              <w:pStyle w:val="Tabletext"/>
              <w:jc w:val="center"/>
              <w:rPr>
                <w:sz w:val="18"/>
                <w:szCs w:val="18"/>
                <w:lang w:val="es-ES"/>
              </w:rPr>
            </w:pPr>
            <w:bookmarkStart w:id="465" w:name="lt_pId1284"/>
            <w:r w:rsidRPr="00CC37EB">
              <w:rPr>
                <w:sz w:val="18"/>
                <w:szCs w:val="18"/>
                <w:lang w:val="es-ES"/>
              </w:rPr>
              <w:t xml:space="preserve">La Habana </w:t>
            </w:r>
            <w:r w:rsidR="00D229DF">
              <w:rPr>
                <w:sz w:val="18"/>
                <w:szCs w:val="18"/>
                <w:lang w:val="es-ES"/>
              </w:rPr>
              <w:t>(</w:t>
            </w:r>
            <w:r w:rsidRPr="00CC37EB">
              <w:rPr>
                <w:sz w:val="18"/>
                <w:szCs w:val="18"/>
                <w:lang w:val="es-ES"/>
              </w:rPr>
              <w:t>Cuba</w:t>
            </w:r>
            <w:bookmarkEnd w:id="465"/>
            <w:r w:rsidR="00D229DF">
              <w:rPr>
                <w:sz w:val="18"/>
                <w:szCs w:val="18"/>
                <w:lang w:val="es-ES"/>
              </w:rPr>
              <w: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3B55569" w14:textId="77777777" w:rsidR="00FE4D65" w:rsidRPr="00CC37EB" w:rsidRDefault="00936ED8" w:rsidP="00CC37EB">
            <w:pPr>
              <w:pStyle w:val="Tabletext"/>
              <w:jc w:val="center"/>
              <w:rPr>
                <w:sz w:val="18"/>
                <w:szCs w:val="18"/>
                <w:u w:val="single"/>
                <w:lang w:val="es-ES"/>
              </w:rPr>
            </w:pPr>
            <w:hyperlink r:id="rId62" w:history="1">
              <w:bookmarkStart w:id="466" w:name="lt_pId1285"/>
              <w:r w:rsidR="00FE4D65" w:rsidRPr="00CC37EB">
                <w:rPr>
                  <w:rStyle w:val="Hyperlink"/>
                  <w:sz w:val="18"/>
                  <w:szCs w:val="18"/>
                  <w:lang w:val="es-ES"/>
                </w:rPr>
                <w:t>Ministerio de Comunicaciones de Cuba</w:t>
              </w:r>
              <w:bookmarkEnd w:id="466"/>
            </w:hyperlink>
          </w:p>
        </w:tc>
        <w:tc>
          <w:tcPr>
            <w:tcW w:w="904" w:type="pct"/>
            <w:tcBorders>
              <w:top w:val="single" w:sz="4" w:space="0" w:color="auto"/>
              <w:left w:val="single" w:sz="4" w:space="0" w:color="auto"/>
              <w:bottom w:val="single" w:sz="4" w:space="0" w:color="auto"/>
              <w:right w:val="single" w:sz="4" w:space="0" w:color="auto"/>
            </w:tcBorders>
            <w:vAlign w:val="center"/>
          </w:tcPr>
          <w:p w14:paraId="4E9A62FA" w14:textId="77777777" w:rsidR="00FE4D65" w:rsidRPr="00CC37EB" w:rsidRDefault="00936ED8" w:rsidP="00CC37EB">
            <w:pPr>
              <w:pStyle w:val="Tabletext"/>
              <w:jc w:val="center"/>
              <w:rPr>
                <w:sz w:val="18"/>
                <w:szCs w:val="18"/>
                <w:lang w:val="es-ES"/>
              </w:rPr>
            </w:pPr>
            <w:hyperlink r:id="rId63" w:tgtFrame="_blank" w:history="1">
              <w:bookmarkStart w:id="467" w:name="lt_pId1286"/>
              <w:r w:rsidR="00FE4D65" w:rsidRPr="00CC37EB">
                <w:rPr>
                  <w:rStyle w:val="Hyperlink"/>
                  <w:sz w:val="18"/>
                  <w:szCs w:val="18"/>
                  <w:lang w:val="es-ES"/>
                </w:rPr>
                <w:t>Comisión Técnica Regional de Telecomunicaciones</w:t>
              </w:r>
              <w:bookmarkEnd w:id="467"/>
            </w:hyperlink>
          </w:p>
          <w:p w14:paraId="13D3F5C0" w14:textId="77777777" w:rsidR="00FE4D65" w:rsidRPr="00FE4D65" w:rsidRDefault="00FE4D65" w:rsidP="00CC37EB">
            <w:pPr>
              <w:pStyle w:val="Tabletext"/>
              <w:jc w:val="center"/>
              <w:rPr>
                <w:lang w:val="es-ES"/>
              </w:rPr>
            </w:pPr>
            <w:bookmarkStart w:id="468" w:name="lt_pId1287"/>
            <w:r w:rsidRPr="00CC37EB">
              <w:rPr>
                <w:sz w:val="18"/>
                <w:szCs w:val="18"/>
                <w:lang w:val="es-ES"/>
              </w:rPr>
              <w:t>Oficina de la UIT para las Américas</w:t>
            </w:r>
            <w:bookmarkEnd w:id="468"/>
          </w:p>
        </w:tc>
        <w:tc>
          <w:tcPr>
            <w:tcW w:w="797" w:type="pct"/>
            <w:tcBorders>
              <w:top w:val="single" w:sz="4" w:space="0" w:color="auto"/>
              <w:left w:val="single" w:sz="4" w:space="0" w:color="auto"/>
              <w:bottom w:val="single" w:sz="4" w:space="0" w:color="auto"/>
              <w:right w:val="single" w:sz="4" w:space="0" w:color="auto"/>
            </w:tcBorders>
            <w:vAlign w:val="center"/>
            <w:hideMark/>
          </w:tcPr>
          <w:p w14:paraId="458793ED" w14:textId="77777777" w:rsidR="00FE4D65" w:rsidRPr="00CC37EB" w:rsidRDefault="00FE4D65" w:rsidP="00CC37EB">
            <w:pPr>
              <w:pStyle w:val="Tabletext"/>
              <w:jc w:val="center"/>
              <w:rPr>
                <w:sz w:val="18"/>
                <w:szCs w:val="18"/>
                <w:lang w:val="es-ES"/>
              </w:rPr>
            </w:pPr>
            <w:bookmarkStart w:id="469" w:name="lt_pId1288"/>
            <w:r w:rsidRPr="00CC37EB">
              <w:rPr>
                <w:sz w:val="18"/>
                <w:szCs w:val="18"/>
                <w:lang w:val="es-ES"/>
              </w:rPr>
              <w:t>Gestión del espectro: retos para las Américas</w:t>
            </w:r>
            <w:bookmarkEnd w:id="469"/>
          </w:p>
        </w:tc>
        <w:tc>
          <w:tcPr>
            <w:tcW w:w="312" w:type="pct"/>
            <w:tcBorders>
              <w:top w:val="single" w:sz="4" w:space="0" w:color="auto"/>
              <w:left w:val="single" w:sz="4" w:space="0" w:color="auto"/>
              <w:bottom w:val="single" w:sz="4" w:space="0" w:color="auto"/>
              <w:right w:val="single" w:sz="4" w:space="0" w:color="auto"/>
            </w:tcBorders>
            <w:vAlign w:val="center"/>
            <w:hideMark/>
          </w:tcPr>
          <w:p w14:paraId="7D42C861" w14:textId="77777777" w:rsidR="00FE4D65" w:rsidRPr="00CC37EB" w:rsidRDefault="00FE4D65" w:rsidP="00CC37EB">
            <w:pPr>
              <w:pStyle w:val="Tabletext"/>
              <w:jc w:val="center"/>
              <w:rPr>
                <w:sz w:val="18"/>
                <w:szCs w:val="18"/>
                <w:lang w:val="es-ES"/>
              </w:rPr>
            </w:pPr>
            <w:bookmarkStart w:id="470" w:name="lt_pId1289"/>
            <w:r w:rsidRPr="00CC37EB">
              <w:rPr>
                <w:sz w:val="18"/>
                <w:szCs w:val="18"/>
                <w:lang w:val="es-ES"/>
              </w:rPr>
              <w:t>S</w:t>
            </w:r>
            <w:bookmarkEnd w:id="470"/>
          </w:p>
        </w:tc>
        <w:tc>
          <w:tcPr>
            <w:tcW w:w="534" w:type="pct"/>
            <w:tcBorders>
              <w:top w:val="single" w:sz="4" w:space="0" w:color="auto"/>
              <w:left w:val="single" w:sz="4" w:space="0" w:color="auto"/>
              <w:bottom w:val="single" w:sz="4" w:space="0" w:color="auto"/>
              <w:right w:val="single" w:sz="4" w:space="0" w:color="auto"/>
            </w:tcBorders>
            <w:vAlign w:val="center"/>
            <w:hideMark/>
          </w:tcPr>
          <w:p w14:paraId="060E36EA" w14:textId="77777777" w:rsidR="00FE4D65" w:rsidRPr="00CC37EB" w:rsidRDefault="00FE4D65" w:rsidP="00CC37EB">
            <w:pPr>
              <w:pStyle w:val="Tabletext"/>
              <w:jc w:val="center"/>
              <w:rPr>
                <w:sz w:val="18"/>
                <w:szCs w:val="18"/>
                <w:lang w:val="es-ES"/>
              </w:rPr>
            </w:pPr>
            <w:r w:rsidRPr="00CC37EB">
              <w:rPr>
                <w:sz w:val="18"/>
                <w:szCs w:val="18"/>
                <w:lang w:val="es-ES"/>
              </w:rPr>
              <w:t>87/26</w:t>
            </w:r>
          </w:p>
        </w:tc>
        <w:tc>
          <w:tcPr>
            <w:tcW w:w="422" w:type="pct"/>
            <w:tcBorders>
              <w:top w:val="single" w:sz="4" w:space="0" w:color="auto"/>
              <w:left w:val="single" w:sz="4" w:space="0" w:color="auto"/>
              <w:bottom w:val="single" w:sz="4" w:space="0" w:color="auto"/>
              <w:right w:val="single" w:sz="4" w:space="0" w:color="auto"/>
            </w:tcBorders>
            <w:vAlign w:val="center"/>
          </w:tcPr>
          <w:p w14:paraId="6A5D6448" w14:textId="77777777" w:rsidR="00FE4D65" w:rsidRPr="00CC37EB" w:rsidRDefault="00FE4D65" w:rsidP="00CC37EB">
            <w:pPr>
              <w:pStyle w:val="Tabletext"/>
              <w:jc w:val="center"/>
              <w:rPr>
                <w:sz w:val="18"/>
                <w:szCs w:val="18"/>
                <w:lang w:val="es-ES"/>
              </w:rPr>
            </w:pPr>
            <w:r w:rsidRPr="00CC37EB">
              <w:rPr>
                <w:sz w:val="18"/>
                <w:szCs w:val="18"/>
                <w:lang w:val="es-ES"/>
              </w:rPr>
              <w:t>3</w:t>
            </w:r>
          </w:p>
        </w:tc>
      </w:tr>
      <w:tr w:rsidR="00D229DF" w:rsidRPr="00FE4D65" w14:paraId="6106555A" w14:textId="77777777" w:rsidTr="00D229DF">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7FA599D" w14:textId="075E3320" w:rsidR="00FE4D65" w:rsidRPr="00CC37EB" w:rsidRDefault="00FE4D65" w:rsidP="00CC37EB">
            <w:pPr>
              <w:pStyle w:val="Tabletext"/>
              <w:rPr>
                <w:sz w:val="18"/>
                <w:szCs w:val="18"/>
                <w:lang w:val="es-ES"/>
              </w:rPr>
            </w:pPr>
            <w:bookmarkStart w:id="471" w:name="lt_pId1292"/>
            <w:r w:rsidRPr="00CC37EB">
              <w:rPr>
                <w:sz w:val="18"/>
                <w:szCs w:val="18"/>
                <w:lang w:val="es-ES"/>
              </w:rPr>
              <w:t>20-23 de junio de 2023</w:t>
            </w:r>
            <w:bookmarkEnd w:id="471"/>
          </w:p>
        </w:tc>
        <w:tc>
          <w:tcPr>
            <w:tcW w:w="654" w:type="pct"/>
            <w:tcBorders>
              <w:top w:val="single" w:sz="4" w:space="0" w:color="auto"/>
              <w:left w:val="single" w:sz="4" w:space="0" w:color="auto"/>
              <w:bottom w:val="single" w:sz="4" w:space="0" w:color="auto"/>
              <w:right w:val="single" w:sz="4" w:space="0" w:color="auto"/>
            </w:tcBorders>
            <w:vAlign w:val="center"/>
            <w:hideMark/>
          </w:tcPr>
          <w:p w14:paraId="2A4C8CE4" w14:textId="77777777" w:rsidR="00FE4D65" w:rsidRPr="00D229DF" w:rsidRDefault="00FE4D65" w:rsidP="00CC37EB">
            <w:pPr>
              <w:pStyle w:val="Tabletext"/>
              <w:jc w:val="center"/>
              <w:rPr>
                <w:b/>
                <w:bCs/>
                <w:sz w:val="18"/>
                <w:szCs w:val="18"/>
                <w:lang w:val="es-ES"/>
              </w:rPr>
            </w:pPr>
            <w:bookmarkStart w:id="472" w:name="lt_pId1293"/>
            <w:r w:rsidRPr="00D229DF">
              <w:rPr>
                <w:b/>
                <w:bCs/>
                <w:sz w:val="18"/>
                <w:szCs w:val="18"/>
                <w:lang w:val="es-ES"/>
              </w:rPr>
              <w:t>SRR-23-África</w:t>
            </w:r>
            <w:bookmarkEnd w:id="472"/>
          </w:p>
        </w:tc>
        <w:tc>
          <w:tcPr>
            <w:tcW w:w="404" w:type="pct"/>
            <w:tcBorders>
              <w:top w:val="single" w:sz="4" w:space="0" w:color="auto"/>
              <w:left w:val="single" w:sz="4" w:space="0" w:color="auto"/>
              <w:bottom w:val="single" w:sz="4" w:space="0" w:color="auto"/>
              <w:right w:val="single" w:sz="4" w:space="0" w:color="auto"/>
            </w:tcBorders>
            <w:vAlign w:val="center"/>
            <w:hideMark/>
          </w:tcPr>
          <w:p w14:paraId="55C5CAC9" w14:textId="0B5C9789" w:rsidR="00FE4D65" w:rsidRPr="00CC37EB" w:rsidRDefault="00FE4D65" w:rsidP="00CC37EB">
            <w:pPr>
              <w:pStyle w:val="Tabletext"/>
              <w:jc w:val="center"/>
              <w:rPr>
                <w:sz w:val="18"/>
                <w:szCs w:val="18"/>
                <w:lang w:val="es-ES"/>
              </w:rPr>
            </w:pPr>
            <w:bookmarkStart w:id="473" w:name="lt_pId1294"/>
            <w:r w:rsidRPr="00CC37EB">
              <w:rPr>
                <w:sz w:val="18"/>
                <w:szCs w:val="18"/>
                <w:lang w:val="es-ES"/>
              </w:rPr>
              <w:t>Brazzaville</w:t>
            </w:r>
            <w:r w:rsidR="00D229DF">
              <w:rPr>
                <w:sz w:val="18"/>
                <w:szCs w:val="18"/>
                <w:lang w:val="es-ES"/>
              </w:rPr>
              <w:t xml:space="preserve"> (</w:t>
            </w:r>
            <w:r w:rsidRPr="00CC37EB">
              <w:rPr>
                <w:sz w:val="18"/>
                <w:szCs w:val="18"/>
                <w:lang w:val="es-ES"/>
              </w:rPr>
              <w:t>Congo</w:t>
            </w:r>
            <w:bookmarkEnd w:id="473"/>
            <w:r w:rsidR="00D229DF">
              <w:rPr>
                <w:sz w:val="18"/>
                <w:szCs w:val="18"/>
                <w:lang w:val="es-ES"/>
              </w:rPr>
              <w:t>)</w:t>
            </w:r>
          </w:p>
        </w:tc>
        <w:tc>
          <w:tcPr>
            <w:tcW w:w="494" w:type="pct"/>
            <w:tcBorders>
              <w:top w:val="single" w:sz="4" w:space="0" w:color="auto"/>
              <w:left w:val="single" w:sz="4" w:space="0" w:color="auto"/>
              <w:bottom w:val="single" w:sz="4" w:space="0" w:color="auto"/>
              <w:right w:val="single" w:sz="4" w:space="0" w:color="auto"/>
            </w:tcBorders>
            <w:vAlign w:val="center"/>
            <w:hideMark/>
          </w:tcPr>
          <w:p w14:paraId="2001778F" w14:textId="77777777" w:rsidR="00FE4D65" w:rsidRPr="00CC37EB" w:rsidRDefault="00936ED8" w:rsidP="00CC37EB">
            <w:pPr>
              <w:pStyle w:val="Tabletext"/>
              <w:jc w:val="center"/>
              <w:rPr>
                <w:sz w:val="18"/>
                <w:szCs w:val="18"/>
                <w:lang w:val="es-ES"/>
              </w:rPr>
            </w:pPr>
            <w:hyperlink r:id="rId64" w:tgtFrame="_blank" w:history="1">
              <w:bookmarkStart w:id="474" w:name="lt_pId1295"/>
              <w:r w:rsidR="00FE4D65" w:rsidRPr="00CC37EB">
                <w:rPr>
                  <w:rStyle w:val="Hyperlink"/>
                  <w:sz w:val="18"/>
                  <w:szCs w:val="18"/>
                  <w:lang w:val="es-ES"/>
                </w:rPr>
                <w:t>Agencia de Regulación de Correos y Comunicaciones Electrónicas (ARPCE)</w:t>
              </w:r>
              <w:bookmarkEnd w:id="474"/>
            </w:hyperlink>
            <w:bookmarkStart w:id="475" w:name="lt_pId1296"/>
            <w:bookmarkEnd w:id="475"/>
          </w:p>
        </w:tc>
        <w:bookmarkStart w:id="476" w:name="lt_pId1297"/>
        <w:tc>
          <w:tcPr>
            <w:tcW w:w="904" w:type="pct"/>
            <w:tcBorders>
              <w:top w:val="single" w:sz="4" w:space="0" w:color="auto"/>
              <w:left w:val="single" w:sz="4" w:space="0" w:color="auto"/>
              <w:bottom w:val="single" w:sz="4" w:space="0" w:color="auto"/>
              <w:right w:val="single" w:sz="4" w:space="0" w:color="auto"/>
            </w:tcBorders>
            <w:vAlign w:val="center"/>
            <w:hideMark/>
          </w:tcPr>
          <w:p w14:paraId="73546A0F" w14:textId="6B5B3E3F" w:rsidR="00FE4D65" w:rsidRPr="00CC37EB" w:rsidRDefault="00D229DF" w:rsidP="00CC37EB">
            <w:pPr>
              <w:pStyle w:val="Tabletext"/>
              <w:jc w:val="center"/>
              <w:rPr>
                <w:sz w:val="18"/>
                <w:szCs w:val="18"/>
                <w:lang w:val="es-ES"/>
              </w:rPr>
            </w:pPr>
            <w:r>
              <w:rPr>
                <w:sz w:val="18"/>
                <w:szCs w:val="18"/>
                <w:lang w:val="es-ES"/>
              </w:rPr>
              <w:fldChar w:fldCharType="begin"/>
            </w:r>
            <w:r>
              <w:rPr>
                <w:sz w:val="18"/>
                <w:szCs w:val="18"/>
                <w:lang w:val="es-ES"/>
              </w:rPr>
              <w:instrText xml:space="preserve"> HYPERLINK "https://prida.africa/" </w:instrText>
            </w:r>
            <w:r>
              <w:rPr>
                <w:sz w:val="18"/>
                <w:szCs w:val="18"/>
                <w:lang w:val="es-ES"/>
              </w:rPr>
              <w:fldChar w:fldCharType="separate"/>
            </w:r>
            <w:r w:rsidR="00FE4D65" w:rsidRPr="00D229DF">
              <w:rPr>
                <w:rStyle w:val="Hyperlink"/>
                <w:sz w:val="18"/>
                <w:szCs w:val="18"/>
                <w:lang w:val="es-ES"/>
              </w:rPr>
              <w:t>Iniciativa Política y Reglamentación para el África Digital (PRIDA)</w:t>
            </w:r>
            <w:bookmarkEnd w:id="476"/>
            <w:r>
              <w:rPr>
                <w:sz w:val="18"/>
                <w:szCs w:val="18"/>
                <w:lang w:val="es-ES"/>
              </w:rPr>
              <w:fldChar w:fldCharType="end"/>
            </w:r>
          </w:p>
          <w:bookmarkStart w:id="477" w:name="lt_pId1298"/>
          <w:p w14:paraId="0875BBBC" w14:textId="14B6FF1C" w:rsidR="00FE4D65" w:rsidRPr="00CC37EB" w:rsidRDefault="00D229DF" w:rsidP="00CC37EB">
            <w:pPr>
              <w:pStyle w:val="Tabletext"/>
              <w:jc w:val="center"/>
              <w:rPr>
                <w:sz w:val="18"/>
                <w:szCs w:val="18"/>
                <w:lang w:val="es-ES"/>
              </w:rPr>
            </w:pPr>
            <w:r>
              <w:rPr>
                <w:sz w:val="18"/>
                <w:szCs w:val="18"/>
                <w:lang w:val="es-ES"/>
              </w:rPr>
              <w:fldChar w:fldCharType="begin"/>
            </w:r>
            <w:r>
              <w:rPr>
                <w:sz w:val="18"/>
                <w:szCs w:val="18"/>
                <w:lang w:val="es-ES"/>
              </w:rPr>
              <w:instrText xml:space="preserve"> HYPERLINK "https://atuuat.africa/" </w:instrText>
            </w:r>
            <w:r>
              <w:rPr>
                <w:sz w:val="18"/>
                <w:szCs w:val="18"/>
                <w:lang w:val="es-ES"/>
              </w:rPr>
              <w:fldChar w:fldCharType="separate"/>
            </w:r>
            <w:r w:rsidR="00FE4D65" w:rsidRPr="00D229DF">
              <w:rPr>
                <w:rStyle w:val="Hyperlink"/>
                <w:sz w:val="18"/>
                <w:szCs w:val="18"/>
                <w:lang w:val="es-ES"/>
              </w:rPr>
              <w:t>Unión Africana de Telecomunicaciones (UAT)</w:t>
            </w:r>
            <w:bookmarkEnd w:id="477"/>
            <w:r>
              <w:rPr>
                <w:sz w:val="18"/>
                <w:szCs w:val="18"/>
                <w:lang w:val="es-ES"/>
              </w:rPr>
              <w:fldChar w:fldCharType="end"/>
            </w:r>
          </w:p>
          <w:p w14:paraId="27AFDF8F" w14:textId="77777777" w:rsidR="00FE4D65" w:rsidRPr="00CC37EB" w:rsidRDefault="00FE4D65" w:rsidP="00CC37EB">
            <w:pPr>
              <w:pStyle w:val="Tabletext"/>
              <w:jc w:val="center"/>
              <w:rPr>
                <w:sz w:val="18"/>
                <w:szCs w:val="18"/>
                <w:lang w:val="es-ES"/>
              </w:rPr>
            </w:pPr>
            <w:bookmarkStart w:id="478" w:name="lt_pId1299"/>
            <w:r w:rsidRPr="00CC37EB">
              <w:rPr>
                <w:sz w:val="18"/>
                <w:szCs w:val="18"/>
                <w:lang w:val="es-ES"/>
              </w:rPr>
              <w:t>Oficina de la UIT para África</w:t>
            </w:r>
            <w:bookmarkEnd w:id="478"/>
          </w:p>
        </w:tc>
        <w:tc>
          <w:tcPr>
            <w:tcW w:w="797" w:type="pct"/>
            <w:tcBorders>
              <w:top w:val="single" w:sz="4" w:space="0" w:color="auto"/>
              <w:left w:val="single" w:sz="4" w:space="0" w:color="auto"/>
              <w:bottom w:val="single" w:sz="4" w:space="0" w:color="auto"/>
              <w:right w:val="single" w:sz="4" w:space="0" w:color="auto"/>
            </w:tcBorders>
            <w:vAlign w:val="center"/>
          </w:tcPr>
          <w:p w14:paraId="212036A2" w14:textId="77777777" w:rsidR="00FE4D65" w:rsidRPr="00CC37EB" w:rsidRDefault="00FE4D65" w:rsidP="00CC37EB">
            <w:pPr>
              <w:pStyle w:val="Tabletext"/>
              <w:jc w:val="center"/>
              <w:rPr>
                <w:sz w:val="18"/>
                <w:szCs w:val="18"/>
                <w:lang w:val="es-ES"/>
              </w:rPr>
            </w:pPr>
            <w:bookmarkStart w:id="479" w:name="lt_pId1300"/>
            <w:r w:rsidRPr="00CC37EB">
              <w:rPr>
                <w:sz w:val="18"/>
                <w:szCs w:val="18"/>
                <w:lang w:val="es-ES"/>
              </w:rPr>
              <w:t>Taller UIT-PRIDA: banda ancha inalámbrica (terrenal y satélite)</w:t>
            </w:r>
            <w:bookmarkEnd w:id="479"/>
          </w:p>
        </w:tc>
        <w:tc>
          <w:tcPr>
            <w:tcW w:w="312" w:type="pct"/>
            <w:tcBorders>
              <w:top w:val="single" w:sz="4" w:space="0" w:color="auto"/>
              <w:left w:val="single" w:sz="4" w:space="0" w:color="auto"/>
              <w:bottom w:val="single" w:sz="4" w:space="0" w:color="auto"/>
              <w:right w:val="single" w:sz="4" w:space="0" w:color="auto"/>
            </w:tcBorders>
            <w:vAlign w:val="center"/>
            <w:hideMark/>
          </w:tcPr>
          <w:p w14:paraId="6BDCBBD7" w14:textId="77777777" w:rsidR="00FE4D65" w:rsidRPr="00CC37EB" w:rsidRDefault="00FE4D65" w:rsidP="00CC37EB">
            <w:pPr>
              <w:pStyle w:val="Tabletext"/>
              <w:jc w:val="center"/>
              <w:rPr>
                <w:sz w:val="18"/>
                <w:szCs w:val="18"/>
                <w:lang w:val="es-ES"/>
              </w:rPr>
            </w:pPr>
            <w:bookmarkStart w:id="480" w:name="lt_pId1301"/>
            <w:r w:rsidRPr="00CC37EB">
              <w:rPr>
                <w:sz w:val="18"/>
                <w:szCs w:val="18"/>
                <w:lang w:val="es-ES"/>
              </w:rPr>
              <w:t>E y F</w:t>
            </w:r>
            <w:bookmarkEnd w:id="480"/>
          </w:p>
        </w:tc>
        <w:tc>
          <w:tcPr>
            <w:tcW w:w="534" w:type="pct"/>
            <w:tcBorders>
              <w:top w:val="single" w:sz="4" w:space="0" w:color="auto"/>
              <w:left w:val="single" w:sz="4" w:space="0" w:color="auto"/>
              <w:bottom w:val="single" w:sz="4" w:space="0" w:color="auto"/>
              <w:right w:val="single" w:sz="4" w:space="0" w:color="auto"/>
            </w:tcBorders>
            <w:vAlign w:val="center"/>
            <w:hideMark/>
          </w:tcPr>
          <w:p w14:paraId="0E1F22E4" w14:textId="77777777" w:rsidR="00FE4D65" w:rsidRPr="00CC37EB" w:rsidRDefault="00FE4D65" w:rsidP="00CC37EB">
            <w:pPr>
              <w:pStyle w:val="Tabletext"/>
              <w:jc w:val="center"/>
              <w:rPr>
                <w:sz w:val="18"/>
                <w:szCs w:val="18"/>
                <w:lang w:val="es-ES"/>
              </w:rPr>
            </w:pPr>
            <w:r w:rsidRPr="00CC37EB">
              <w:rPr>
                <w:sz w:val="18"/>
                <w:szCs w:val="18"/>
                <w:lang w:val="es-ES"/>
              </w:rPr>
              <w:t>103/46</w:t>
            </w:r>
          </w:p>
        </w:tc>
        <w:tc>
          <w:tcPr>
            <w:tcW w:w="422" w:type="pct"/>
            <w:tcBorders>
              <w:top w:val="single" w:sz="4" w:space="0" w:color="auto"/>
              <w:left w:val="single" w:sz="4" w:space="0" w:color="auto"/>
              <w:bottom w:val="single" w:sz="4" w:space="0" w:color="auto"/>
              <w:right w:val="single" w:sz="4" w:space="0" w:color="auto"/>
            </w:tcBorders>
            <w:vAlign w:val="center"/>
          </w:tcPr>
          <w:p w14:paraId="5B8A3B00" w14:textId="77777777" w:rsidR="00FE4D65" w:rsidRPr="00CC37EB" w:rsidRDefault="00FE4D65" w:rsidP="00CC37EB">
            <w:pPr>
              <w:pStyle w:val="Tabletext"/>
              <w:jc w:val="center"/>
              <w:rPr>
                <w:sz w:val="18"/>
                <w:szCs w:val="18"/>
                <w:lang w:val="es-ES"/>
              </w:rPr>
            </w:pPr>
            <w:bookmarkStart w:id="481" w:name="lt_pId1303"/>
            <w:r w:rsidRPr="00CC37EB">
              <w:rPr>
                <w:sz w:val="18"/>
                <w:szCs w:val="18"/>
                <w:lang w:val="es-ES"/>
              </w:rPr>
              <w:t>11 (financiadas y otorgadas por la BR y la PRIDA (UE))</w:t>
            </w:r>
            <w:bookmarkEnd w:id="481"/>
          </w:p>
        </w:tc>
      </w:tr>
    </w:tbl>
    <w:p w14:paraId="4B053C2E" w14:textId="79C2329E" w:rsidR="00FE4D65" w:rsidRDefault="00FE4D65" w:rsidP="004D5B3E">
      <w:pPr>
        <w:pStyle w:val="Normalaftertitle"/>
        <w:rPr>
          <w:lang w:val="es-ES"/>
        </w:rPr>
      </w:pPr>
      <w:bookmarkStart w:id="482" w:name="lt_pId1304"/>
      <w:r w:rsidRPr="00FE4D65">
        <w:rPr>
          <w:lang w:val="es-ES"/>
        </w:rPr>
        <w:t>La BR, junto con sus socios regionales, concedió 11</w:t>
      </w:r>
      <w:r w:rsidR="004D5B3E">
        <w:rPr>
          <w:lang w:val="es-ES"/>
        </w:rPr>
        <w:t> </w:t>
      </w:r>
      <w:r w:rsidRPr="00FE4D65">
        <w:rPr>
          <w:lang w:val="es-ES"/>
        </w:rPr>
        <w:t>becas totales y 24</w:t>
      </w:r>
      <w:r w:rsidR="004D5B3E">
        <w:rPr>
          <w:lang w:val="es-ES"/>
        </w:rPr>
        <w:t> </w:t>
      </w:r>
      <w:r w:rsidRPr="00FE4D65">
        <w:rPr>
          <w:lang w:val="es-ES"/>
        </w:rPr>
        <w:t>becas parciales para el SRR (una por administración para los países que reunían los requisitos correspondientes).</w:t>
      </w:r>
      <w:bookmarkEnd w:id="482"/>
    </w:p>
    <w:p w14:paraId="3A7EDBDC" w14:textId="77777777" w:rsidR="00CC37EB" w:rsidRPr="00FE4D65" w:rsidRDefault="00CC37EB" w:rsidP="00FE4D65">
      <w:pPr>
        <w:rPr>
          <w:lang w:val="es-ES"/>
        </w:rPr>
      </w:pPr>
    </w:p>
    <w:p w14:paraId="22E28C6D" w14:textId="77777777" w:rsidR="00FE4D65" w:rsidRPr="00FE4D65" w:rsidRDefault="00FE4D65" w:rsidP="00FE4D65">
      <w:pPr>
        <w:rPr>
          <w:lang w:val="es-ES"/>
        </w:rPr>
        <w:sectPr w:rsidR="00FE4D65" w:rsidRPr="00FE4D65" w:rsidSect="00810A8C">
          <w:headerReference w:type="default" r:id="rId65"/>
          <w:footerReference w:type="default" r:id="rId66"/>
          <w:headerReference w:type="first" r:id="rId67"/>
          <w:footerReference w:type="first" r:id="rId68"/>
          <w:pgSz w:w="16840" w:h="11907" w:orient="landscape" w:code="9"/>
          <w:pgMar w:top="1134" w:right="1418" w:bottom="1134" w:left="851" w:header="720" w:footer="720" w:gutter="0"/>
          <w:paperSrc w:first="15" w:other="15"/>
          <w:cols w:space="720"/>
          <w:docGrid w:linePitch="326"/>
        </w:sectPr>
      </w:pPr>
    </w:p>
    <w:p w14:paraId="6831F1A9" w14:textId="77777777" w:rsidR="00FE4D65" w:rsidRPr="00FE4D65" w:rsidRDefault="00FE4D65" w:rsidP="00824C17">
      <w:pPr>
        <w:pStyle w:val="Heading3"/>
        <w:rPr>
          <w:i/>
          <w:iCs/>
          <w:lang w:val="es-ES"/>
        </w:rPr>
      </w:pPr>
      <w:bookmarkStart w:id="483" w:name="_Toc446060786"/>
      <w:bookmarkStart w:id="484" w:name="_Toc424047604"/>
      <w:r w:rsidRPr="00FE4D65">
        <w:rPr>
          <w:lang w:val="es-ES"/>
        </w:rPr>
        <w:lastRenderedPageBreak/>
        <w:t>8.2.3</w:t>
      </w:r>
      <w:r w:rsidRPr="00FE4D65">
        <w:rPr>
          <w:lang w:val="es-ES"/>
        </w:rPr>
        <w:tab/>
        <w:t>Seminarios Mundiales y Regionales de Radiocomunicaciones previstos para 2024-2027</w:t>
      </w:r>
      <w:bookmarkStart w:id="485" w:name="lt_pId1308"/>
      <w:bookmarkEnd w:id="485"/>
    </w:p>
    <w:p w14:paraId="5F10C5D9" w14:textId="78495B23" w:rsidR="00FE4D65" w:rsidRPr="00FE4D65" w:rsidRDefault="00FE4D65" w:rsidP="00FE4D65">
      <w:pPr>
        <w:rPr>
          <w:lang w:val="es-ES"/>
        </w:rPr>
      </w:pPr>
      <w:bookmarkStart w:id="486" w:name="lt_pId1309"/>
      <w:bookmarkEnd w:id="483"/>
      <w:r w:rsidRPr="00FE4D65">
        <w:rPr>
          <w:lang w:val="es-ES"/>
        </w:rPr>
        <w:t>En base a la planificación de SMR y SRR para 2024-2027 (Cuadro</w:t>
      </w:r>
      <w:r w:rsidR="00611A48">
        <w:rPr>
          <w:lang w:val="es-ES"/>
        </w:rPr>
        <w:t> </w:t>
      </w:r>
      <w:r w:rsidRPr="00FE4D65">
        <w:rPr>
          <w:lang w:val="es-ES"/>
        </w:rPr>
        <w:t>8.2.2-1), se están considerando los siguientes seminarios en 2024:</w:t>
      </w:r>
      <w:bookmarkEnd w:id="486"/>
    </w:p>
    <w:p w14:paraId="2182ED6D" w14:textId="77426D1E" w:rsidR="00FE4D65" w:rsidRPr="00FE4D65" w:rsidRDefault="00824C17" w:rsidP="00824C17">
      <w:pPr>
        <w:pStyle w:val="enumlev1"/>
        <w:rPr>
          <w:lang w:val="es-ES"/>
        </w:rPr>
      </w:pPr>
      <w:bookmarkStart w:id="487" w:name="lt_pId1310"/>
      <w:r w:rsidRPr="00824C17">
        <w:rPr>
          <w:lang w:val="es-ES"/>
        </w:rPr>
        <w:t>•</w:t>
      </w:r>
      <w:r>
        <w:rPr>
          <w:lang w:val="es-ES"/>
        </w:rPr>
        <w:tab/>
      </w:r>
      <w:r w:rsidR="00FE4D65" w:rsidRPr="00FE4D65">
        <w:rPr>
          <w:lang w:val="es-ES"/>
        </w:rPr>
        <w:t xml:space="preserve">SRR-24-CEI: 14-19 de abril, Astaná </w:t>
      </w:r>
      <w:r w:rsidR="00611A48">
        <w:rPr>
          <w:lang w:val="es-ES"/>
        </w:rPr>
        <w:t>(</w:t>
      </w:r>
      <w:r w:rsidR="00FE4D65" w:rsidRPr="00FE4D65">
        <w:rPr>
          <w:lang w:val="es-ES"/>
        </w:rPr>
        <w:t>Kazajstán</w:t>
      </w:r>
      <w:r w:rsidR="00611A48">
        <w:rPr>
          <w:lang w:val="es-ES"/>
        </w:rPr>
        <w:t>)</w:t>
      </w:r>
      <w:r w:rsidR="00FE4D65" w:rsidRPr="00FE4D65">
        <w:rPr>
          <w:lang w:val="es-ES"/>
        </w:rPr>
        <w:t xml:space="preserve"> (en ruso);</w:t>
      </w:r>
      <w:bookmarkEnd w:id="487"/>
    </w:p>
    <w:p w14:paraId="36DB2F09" w14:textId="3273DEEB" w:rsidR="00FE4D65" w:rsidRPr="00FE4D65" w:rsidRDefault="00824C17" w:rsidP="00824C17">
      <w:pPr>
        <w:pStyle w:val="enumlev1"/>
        <w:rPr>
          <w:lang w:val="es-ES"/>
        </w:rPr>
      </w:pPr>
      <w:bookmarkStart w:id="488" w:name="lt_pId1311"/>
      <w:r w:rsidRPr="00824C17">
        <w:rPr>
          <w:lang w:val="es-ES"/>
        </w:rPr>
        <w:t>•</w:t>
      </w:r>
      <w:r>
        <w:rPr>
          <w:lang w:val="es-ES"/>
        </w:rPr>
        <w:tab/>
      </w:r>
      <w:r w:rsidR="00FE4D65" w:rsidRPr="00FE4D65">
        <w:rPr>
          <w:lang w:val="es-ES"/>
        </w:rPr>
        <w:t>SRR-24-Américas (centrado en los Estados del Caribe): 22-26 de julio, lugar por determinar;</w:t>
      </w:r>
      <w:bookmarkEnd w:id="488"/>
    </w:p>
    <w:p w14:paraId="11A84E34" w14:textId="5F830E62" w:rsidR="00FE4D65" w:rsidRPr="00FE4D65" w:rsidRDefault="00824C17" w:rsidP="00824C17">
      <w:pPr>
        <w:pStyle w:val="enumlev1"/>
        <w:rPr>
          <w:lang w:val="es-ES"/>
        </w:rPr>
      </w:pPr>
      <w:bookmarkStart w:id="489" w:name="lt_pId1312"/>
      <w:r w:rsidRPr="00824C17">
        <w:rPr>
          <w:lang w:val="es-ES"/>
        </w:rPr>
        <w:t>•</w:t>
      </w:r>
      <w:r>
        <w:rPr>
          <w:lang w:val="es-ES"/>
        </w:rPr>
        <w:tab/>
      </w:r>
      <w:r w:rsidR="00FE4D65" w:rsidRPr="00FE4D65">
        <w:rPr>
          <w:lang w:val="es-ES"/>
        </w:rPr>
        <w:t xml:space="preserve">SRR-24-Asia y Pacífico: 23-27 de septiembre, Apia </w:t>
      </w:r>
      <w:r w:rsidR="00F039CA">
        <w:rPr>
          <w:lang w:val="es-ES"/>
        </w:rPr>
        <w:t>(</w:t>
      </w:r>
      <w:r w:rsidR="00FE4D65" w:rsidRPr="00FE4D65">
        <w:rPr>
          <w:lang w:val="es-ES"/>
        </w:rPr>
        <w:t>Samoa</w:t>
      </w:r>
      <w:r w:rsidR="00F039CA">
        <w:rPr>
          <w:lang w:val="es-ES"/>
        </w:rPr>
        <w:t>)</w:t>
      </w:r>
      <w:r w:rsidR="00FE4D65" w:rsidRPr="00FE4D65">
        <w:rPr>
          <w:lang w:val="es-ES"/>
        </w:rPr>
        <w:t>;</w:t>
      </w:r>
      <w:bookmarkEnd w:id="489"/>
    </w:p>
    <w:p w14:paraId="00CCE3E1" w14:textId="25E6A97E" w:rsidR="00FE4D65" w:rsidRPr="00FE4D65" w:rsidRDefault="00824C17" w:rsidP="00824C17">
      <w:pPr>
        <w:pStyle w:val="enumlev1"/>
        <w:rPr>
          <w:lang w:val="es-ES"/>
        </w:rPr>
      </w:pPr>
      <w:bookmarkStart w:id="490" w:name="lt_pId1313"/>
      <w:r w:rsidRPr="00824C17">
        <w:rPr>
          <w:lang w:val="es-ES"/>
        </w:rPr>
        <w:t>•</w:t>
      </w:r>
      <w:r>
        <w:rPr>
          <w:lang w:val="es-ES"/>
        </w:rPr>
        <w:tab/>
      </w:r>
      <w:r w:rsidR="00FE4D65" w:rsidRPr="00FE4D65">
        <w:rPr>
          <w:lang w:val="es-ES"/>
        </w:rPr>
        <w:t xml:space="preserve">SMR-24: 6-12 de diciembre de 2024, [Ginebra </w:t>
      </w:r>
      <w:r w:rsidR="00611A48">
        <w:rPr>
          <w:lang w:val="es-ES"/>
        </w:rPr>
        <w:t>(</w:t>
      </w:r>
      <w:r w:rsidR="00FE4D65" w:rsidRPr="00FE4D65">
        <w:rPr>
          <w:lang w:val="es-ES"/>
        </w:rPr>
        <w:t>Suiza</w:t>
      </w:r>
      <w:r w:rsidR="00611A48">
        <w:rPr>
          <w:lang w:val="es-ES"/>
        </w:rPr>
        <w:t>)</w:t>
      </w:r>
      <w:r w:rsidR="00FE4D65" w:rsidRPr="00FE4D65">
        <w:rPr>
          <w:lang w:val="es-ES"/>
        </w:rPr>
        <w:t>].</w:t>
      </w:r>
      <w:bookmarkEnd w:id="490"/>
    </w:p>
    <w:p w14:paraId="4F4EF10D" w14:textId="77777777" w:rsidR="00FE4D65" w:rsidRPr="00FE4D65" w:rsidRDefault="00FE4D65" w:rsidP="00824C17">
      <w:pPr>
        <w:pStyle w:val="Heading3"/>
        <w:rPr>
          <w:lang w:val="es-ES"/>
        </w:rPr>
      </w:pPr>
      <w:r w:rsidRPr="00FE4D65">
        <w:rPr>
          <w:lang w:val="es-ES"/>
        </w:rPr>
        <w:t>8.2.4</w:t>
      </w:r>
      <w:r w:rsidRPr="00FE4D65">
        <w:rPr>
          <w:lang w:val="es-ES"/>
        </w:rPr>
        <w:tab/>
        <w:t>Talleres sobre los Cuadros nacionales de atribución de frecuencias (CNAF)</w:t>
      </w:r>
      <w:bookmarkStart w:id="491" w:name="lt_pId1315"/>
      <w:bookmarkEnd w:id="491"/>
    </w:p>
    <w:p w14:paraId="2282500D" w14:textId="77777777" w:rsidR="00FE4D65" w:rsidRPr="00FE4D65" w:rsidRDefault="00FE4D65" w:rsidP="00FE4D65">
      <w:pPr>
        <w:rPr>
          <w:lang w:val="es-ES"/>
        </w:rPr>
      </w:pPr>
      <w:bookmarkStart w:id="492" w:name="lt_pId1316"/>
      <w:r w:rsidRPr="00FE4D65">
        <w:rPr>
          <w:lang w:val="es-ES"/>
        </w:rPr>
        <w:t>En los distintos SRR, los participantes reconocieron la urgente necesidad de mejorar y actualizar sus CNAF y de adecuarlos al RR, si bien para ello debían hacer frente a grandes dificultades, a saber:</w:t>
      </w:r>
      <w:bookmarkEnd w:id="492"/>
    </w:p>
    <w:p w14:paraId="7C45B6DF" w14:textId="7831C6E1" w:rsidR="00FE4D65" w:rsidRPr="00FE4D65" w:rsidRDefault="00824C17" w:rsidP="00824C17">
      <w:pPr>
        <w:pStyle w:val="enumlev1"/>
        <w:rPr>
          <w:lang w:val="es-ES"/>
        </w:rPr>
      </w:pPr>
      <w:bookmarkStart w:id="493" w:name="lt_pId1317"/>
      <w:r w:rsidRPr="00824C17">
        <w:rPr>
          <w:lang w:val="es-ES"/>
        </w:rPr>
        <w:t>•</w:t>
      </w:r>
      <w:r>
        <w:rPr>
          <w:lang w:val="es-ES"/>
        </w:rPr>
        <w:tab/>
      </w:r>
      <w:r w:rsidR="00FE4D65" w:rsidRPr="00FE4D65">
        <w:rPr>
          <w:lang w:val="es-ES"/>
        </w:rPr>
        <w:t>la escasa concienciación sobre la importancia de los CNAF;</w:t>
      </w:r>
      <w:bookmarkEnd w:id="493"/>
    </w:p>
    <w:p w14:paraId="1985730A" w14:textId="43173A67" w:rsidR="00FE4D65" w:rsidRPr="00FE4D65" w:rsidRDefault="00824C17" w:rsidP="00824C17">
      <w:pPr>
        <w:pStyle w:val="enumlev1"/>
        <w:rPr>
          <w:lang w:val="es-ES"/>
        </w:rPr>
      </w:pPr>
      <w:bookmarkStart w:id="494" w:name="lt_pId1318"/>
      <w:r w:rsidRPr="00824C17">
        <w:rPr>
          <w:lang w:val="es-ES"/>
        </w:rPr>
        <w:t>•</w:t>
      </w:r>
      <w:r>
        <w:rPr>
          <w:lang w:val="es-ES"/>
        </w:rPr>
        <w:tab/>
      </w:r>
      <w:r w:rsidR="00FE4D65" w:rsidRPr="00FE4D65">
        <w:rPr>
          <w:lang w:val="es-ES"/>
        </w:rPr>
        <w:t>la falta de recursos humanos calificados y dedicados a actualizar y mantener los CNAF;</w:t>
      </w:r>
      <w:bookmarkEnd w:id="494"/>
    </w:p>
    <w:p w14:paraId="2F9AFB02" w14:textId="1198AD2F" w:rsidR="00FE4D65" w:rsidRPr="00FE4D65" w:rsidRDefault="00824C17" w:rsidP="00F039CA">
      <w:pPr>
        <w:pStyle w:val="enumlev1"/>
        <w:rPr>
          <w:lang w:val="es-ES"/>
        </w:rPr>
      </w:pPr>
      <w:bookmarkStart w:id="495" w:name="lt_pId1319"/>
      <w:r w:rsidRPr="00824C17">
        <w:rPr>
          <w:lang w:val="es-ES"/>
        </w:rPr>
        <w:t>•</w:t>
      </w:r>
      <w:r>
        <w:rPr>
          <w:lang w:val="es-ES"/>
        </w:rPr>
        <w:tab/>
      </w:r>
      <w:r w:rsidR="00FE4D65" w:rsidRPr="00FE4D65">
        <w:rPr>
          <w:lang w:val="es-ES"/>
        </w:rPr>
        <w:t>el escaso conocimiento de las cuestiones relativas a los RR (en particular el Artículo</w:t>
      </w:r>
      <w:r w:rsidR="00D06157">
        <w:rPr>
          <w:lang w:val="es-ES"/>
        </w:rPr>
        <w:t> </w:t>
      </w:r>
      <w:r w:rsidR="00FE4D65" w:rsidRPr="00FE4D65">
        <w:rPr>
          <w:b/>
          <w:bCs/>
          <w:lang w:val="es-ES"/>
        </w:rPr>
        <w:t>5</w:t>
      </w:r>
      <w:r w:rsidR="00FE4D65" w:rsidRPr="00FE4D65">
        <w:rPr>
          <w:lang w:val="es-ES"/>
        </w:rPr>
        <w:t xml:space="preserve"> del</w:t>
      </w:r>
      <w:r w:rsidR="00F039CA">
        <w:rPr>
          <w:lang w:val="es-ES"/>
        </w:rPr>
        <w:t> </w:t>
      </w:r>
      <w:r w:rsidR="00FE4D65" w:rsidRPr="00FE4D65">
        <w:rPr>
          <w:lang w:val="es-ES"/>
        </w:rPr>
        <w:t>RR) y del proceso de las CMR, así como de las estructuras y publicaciones de las CE del UIT-R;</w:t>
      </w:r>
      <w:bookmarkEnd w:id="495"/>
    </w:p>
    <w:p w14:paraId="679C544A" w14:textId="4124DA6F" w:rsidR="00FE4D65" w:rsidRPr="00FE4D65" w:rsidRDefault="00824C17" w:rsidP="00824C17">
      <w:pPr>
        <w:pStyle w:val="enumlev1"/>
        <w:rPr>
          <w:lang w:val="es-ES"/>
        </w:rPr>
      </w:pPr>
      <w:bookmarkStart w:id="496" w:name="lt_pId1320"/>
      <w:r w:rsidRPr="00824C17">
        <w:rPr>
          <w:lang w:val="es-ES"/>
        </w:rPr>
        <w:t>•</w:t>
      </w:r>
      <w:r>
        <w:rPr>
          <w:lang w:val="es-ES"/>
        </w:rPr>
        <w:tab/>
      </w:r>
      <w:r w:rsidR="00FE4D65" w:rsidRPr="00FE4D65">
        <w:rPr>
          <w:lang w:val="es-ES"/>
        </w:rPr>
        <w:t>las herramientas informáticas limitadas (y anticuadas) para la gestión del espectro (y las actualizaciones de los CNAF).</w:t>
      </w:r>
      <w:bookmarkEnd w:id="496"/>
    </w:p>
    <w:p w14:paraId="735A8F8B" w14:textId="77777777" w:rsidR="00FE4D65" w:rsidRPr="00FE4D65" w:rsidRDefault="00FE4D65" w:rsidP="00824C17">
      <w:pPr>
        <w:rPr>
          <w:lang w:val="es-ES"/>
        </w:rPr>
      </w:pPr>
      <w:bookmarkStart w:id="497" w:name="lt_pId1321"/>
      <w:r w:rsidRPr="00FE4D65">
        <w:rPr>
          <w:lang w:val="es-ES"/>
        </w:rPr>
        <w:t>Aunque los SMR y SRR abordan este asunto, se centran principalmente en lo siguiente:</w:t>
      </w:r>
      <w:bookmarkEnd w:id="497"/>
    </w:p>
    <w:p w14:paraId="7441C094" w14:textId="3DDC9B22" w:rsidR="00FE4D65" w:rsidRPr="00FE4D65" w:rsidRDefault="00824C17" w:rsidP="00824C17">
      <w:pPr>
        <w:pStyle w:val="enumlev1"/>
        <w:rPr>
          <w:lang w:val="es-ES"/>
        </w:rPr>
      </w:pPr>
      <w:bookmarkStart w:id="498" w:name="lt_pId1322"/>
      <w:r w:rsidRPr="00824C17">
        <w:rPr>
          <w:lang w:val="es-ES"/>
        </w:rPr>
        <w:t>•</w:t>
      </w:r>
      <w:r>
        <w:rPr>
          <w:lang w:val="es-ES"/>
        </w:rPr>
        <w:tab/>
      </w:r>
      <w:r w:rsidR="00FE4D65" w:rsidRPr="00FE4D65">
        <w:rPr>
          <w:lang w:val="es-ES"/>
        </w:rPr>
        <w:t>la preparación de las notificaciones para el registro de estaciones (SMR);</w:t>
      </w:r>
      <w:bookmarkEnd w:id="498"/>
    </w:p>
    <w:p w14:paraId="1985DBFD" w14:textId="533833C7" w:rsidR="00FE4D65" w:rsidRPr="00FE4D65" w:rsidRDefault="00824C17" w:rsidP="00824C17">
      <w:pPr>
        <w:pStyle w:val="enumlev1"/>
        <w:rPr>
          <w:lang w:val="es-ES"/>
        </w:rPr>
      </w:pPr>
      <w:bookmarkStart w:id="499" w:name="lt_pId1323"/>
      <w:r w:rsidRPr="00824C17">
        <w:rPr>
          <w:lang w:val="es-ES"/>
        </w:rPr>
        <w:t>•</w:t>
      </w:r>
      <w:r>
        <w:rPr>
          <w:lang w:val="es-ES"/>
        </w:rPr>
        <w:tab/>
      </w:r>
      <w:r w:rsidR="00FE4D65" w:rsidRPr="00FE4D65">
        <w:rPr>
          <w:lang w:val="es-ES"/>
        </w:rPr>
        <w:t>los temas más importantes de las agendas regionales para la gestión del espectro (por ejemplo, 5G, TDT, grandes constelaciones, comunicaciones de emergencia, etc.).</w:t>
      </w:r>
      <w:bookmarkEnd w:id="499"/>
    </w:p>
    <w:p w14:paraId="3F5533E1" w14:textId="00EBE5F7" w:rsidR="00FE4D65" w:rsidRPr="00FE4D65" w:rsidRDefault="00FE4D65" w:rsidP="00FE4D65">
      <w:pPr>
        <w:rPr>
          <w:lang w:val="es-ES"/>
        </w:rPr>
      </w:pPr>
      <w:bookmarkStart w:id="500" w:name="lt_pId1324"/>
      <w:r w:rsidRPr="00FE4D65">
        <w:rPr>
          <w:lang w:val="es-ES"/>
        </w:rPr>
        <w:t>En consecuencia, se reconoció la necesidad de complementar los SMR/SRR con una formación dedicada específicamente a los CNAF, y a su actualización con el RR de la UIT y las publicaciones del UIT-R.</w:t>
      </w:r>
      <w:bookmarkEnd w:id="500"/>
    </w:p>
    <w:p w14:paraId="42B416B4" w14:textId="1E7D5F74" w:rsidR="00FE4D65" w:rsidRPr="00FE4D65" w:rsidRDefault="00FE4D65" w:rsidP="00FE4D65">
      <w:pPr>
        <w:rPr>
          <w:lang w:val="es-ES"/>
        </w:rPr>
      </w:pPr>
      <w:bookmarkStart w:id="501" w:name="lt_pId1325"/>
      <w:r w:rsidRPr="00FE4D65">
        <w:rPr>
          <w:lang w:val="es-ES"/>
        </w:rPr>
        <w:t xml:space="preserve">A fin de colmar las lagunas de conocimientos antes señaladas y responder a las solicitudes de asistencia técnica, en mayo de 2021, la UIT, en el marco de su programa Iniciativa Política y Reglamentación para el África Digital (PRIDA), impartió el </w:t>
      </w:r>
      <w:hyperlink r:id="rId69" w:history="1">
        <w:r w:rsidRPr="00FE4D65">
          <w:rPr>
            <w:rStyle w:val="Hyperlink"/>
            <w:lang w:val="es-ES"/>
          </w:rPr>
          <w:t>Taller sobre la preparación del Cuadro nacional de atribución de frecuencias</w:t>
        </w:r>
      </w:hyperlink>
      <w:r w:rsidRPr="00FE4D65">
        <w:rPr>
          <w:lang w:val="es-ES"/>
        </w:rPr>
        <w:t xml:space="preserve"> (en línea, inglés y francés), del 24 al 27 de mayo de 2021.</w:t>
      </w:r>
      <w:bookmarkEnd w:id="501"/>
    </w:p>
    <w:p w14:paraId="11D7DAAC" w14:textId="4AC3B713" w:rsidR="00FE4D65" w:rsidRPr="00FE4D65" w:rsidRDefault="00FE4D65" w:rsidP="00FE4D65">
      <w:pPr>
        <w:rPr>
          <w:lang w:val="es-ES"/>
        </w:rPr>
      </w:pPr>
      <w:bookmarkStart w:id="502" w:name="lt_pId1326"/>
      <w:r w:rsidRPr="00FE4D65">
        <w:rPr>
          <w:lang w:val="es-ES"/>
        </w:rPr>
        <w:t>Este taller tuvo un éxito extraordinario, y suscitó numerosas reacciones positivas. Por ello, en la reciente reunión de coordinación celebrada entre la BR y las OR, las OR solicitaron que se incluyera este taller en las actividades de creación de capacidad de gestión del espectro en sus respectivas regiones.</w:t>
      </w:r>
      <w:bookmarkStart w:id="503" w:name="lt_pId1327"/>
      <w:bookmarkEnd w:id="502"/>
      <w:bookmarkEnd w:id="503"/>
    </w:p>
    <w:p w14:paraId="20ECC5D0" w14:textId="77777777" w:rsidR="00FE4D65" w:rsidRPr="00FE4D65" w:rsidRDefault="00FE4D65" w:rsidP="00FE4D65">
      <w:pPr>
        <w:rPr>
          <w:lang w:val="es-ES"/>
        </w:rPr>
      </w:pPr>
      <w:bookmarkStart w:id="504" w:name="lt_pId1328"/>
      <w:r w:rsidRPr="00FE4D65">
        <w:rPr>
          <w:lang w:val="es-ES"/>
        </w:rPr>
        <w:t>Para responder a esta solicitud, la BR organizará los siguientes talleres sobre los CNAF (uno por Región del RR):</w:t>
      </w:r>
      <w:bookmarkEnd w:id="504"/>
    </w:p>
    <w:p w14:paraId="366D816C" w14:textId="54135AE3" w:rsidR="00FE4D65" w:rsidRPr="00FE4D65" w:rsidRDefault="00824C17" w:rsidP="00824C17">
      <w:pPr>
        <w:pStyle w:val="enumlev1"/>
        <w:rPr>
          <w:lang w:val="es-ES"/>
        </w:rPr>
      </w:pPr>
      <w:bookmarkStart w:id="505" w:name="lt_pId1329"/>
      <w:r w:rsidRPr="00824C17">
        <w:rPr>
          <w:lang w:val="es-ES"/>
        </w:rPr>
        <w:t>•</w:t>
      </w:r>
      <w:r>
        <w:rPr>
          <w:lang w:val="es-ES"/>
        </w:rPr>
        <w:tab/>
      </w:r>
      <w:r w:rsidR="00FE4D65" w:rsidRPr="00FE4D65">
        <w:rPr>
          <w:lang w:val="es-ES"/>
        </w:rPr>
        <w:t>Taller sobre los CNAF para la Región</w:t>
      </w:r>
      <w:r w:rsidR="00D06157">
        <w:rPr>
          <w:lang w:val="es-ES"/>
        </w:rPr>
        <w:t> </w:t>
      </w:r>
      <w:r w:rsidR="00FE4D65" w:rsidRPr="00FE4D65">
        <w:rPr>
          <w:lang w:val="es-ES"/>
        </w:rPr>
        <w:t>1: 14-17 de mayo</w:t>
      </w:r>
      <w:r w:rsidR="00D06157">
        <w:rPr>
          <w:lang w:val="es-ES"/>
        </w:rPr>
        <w:t>:</w:t>
      </w:r>
      <w:r w:rsidR="00FE4D65" w:rsidRPr="00FE4D65">
        <w:rPr>
          <w:lang w:val="es-ES"/>
        </w:rPr>
        <w:t xml:space="preserve"> Addis Abeba </w:t>
      </w:r>
      <w:r w:rsidR="00F039CA">
        <w:rPr>
          <w:lang w:val="es-ES"/>
        </w:rPr>
        <w:t>(</w:t>
      </w:r>
      <w:r w:rsidR="00FE4D65" w:rsidRPr="00FE4D65">
        <w:rPr>
          <w:lang w:val="es-ES"/>
        </w:rPr>
        <w:t>Etiopía</w:t>
      </w:r>
      <w:r w:rsidR="00F039CA">
        <w:rPr>
          <w:lang w:val="es-ES"/>
        </w:rPr>
        <w:t>)</w:t>
      </w:r>
      <w:r w:rsidR="00FE4D65" w:rsidRPr="00FE4D65">
        <w:rPr>
          <w:lang w:val="es-ES"/>
        </w:rPr>
        <w:t xml:space="preserve"> (por determinar)</w:t>
      </w:r>
      <w:r w:rsidR="00D06157">
        <w:rPr>
          <w:lang w:val="es-ES"/>
        </w:rPr>
        <w:t xml:space="preserve">, </w:t>
      </w:r>
      <w:r w:rsidR="00FE4D65" w:rsidRPr="00FE4D65">
        <w:rPr>
          <w:lang w:val="es-ES"/>
        </w:rPr>
        <w:t>en colaboración con la UAT y el ASMG</w:t>
      </w:r>
      <w:bookmarkStart w:id="506" w:name="lt_pId1330"/>
      <w:bookmarkEnd w:id="505"/>
      <w:bookmarkEnd w:id="506"/>
      <w:r w:rsidR="00D06157">
        <w:rPr>
          <w:lang w:val="es-ES"/>
        </w:rPr>
        <w:t>;</w:t>
      </w:r>
    </w:p>
    <w:p w14:paraId="220AE34E" w14:textId="06D6E5B2" w:rsidR="00FE4D65" w:rsidRPr="00FE4D65" w:rsidRDefault="00824C17" w:rsidP="00824C17">
      <w:pPr>
        <w:pStyle w:val="enumlev1"/>
        <w:rPr>
          <w:lang w:val="es-ES"/>
        </w:rPr>
      </w:pPr>
      <w:bookmarkStart w:id="507" w:name="lt_pId1331"/>
      <w:r w:rsidRPr="00824C17">
        <w:rPr>
          <w:lang w:val="es-ES"/>
        </w:rPr>
        <w:t>•</w:t>
      </w:r>
      <w:r>
        <w:rPr>
          <w:lang w:val="es-ES"/>
        </w:rPr>
        <w:tab/>
      </w:r>
      <w:r w:rsidR="00FE4D65" w:rsidRPr="00FE4D65">
        <w:rPr>
          <w:lang w:val="es-ES"/>
        </w:rPr>
        <w:t>Taller sobre los CNAF para la Región</w:t>
      </w:r>
      <w:r w:rsidR="00D06157">
        <w:rPr>
          <w:lang w:val="es-ES"/>
        </w:rPr>
        <w:t> </w:t>
      </w:r>
      <w:r w:rsidR="00FE4D65" w:rsidRPr="00FE4D65">
        <w:rPr>
          <w:lang w:val="es-ES"/>
        </w:rPr>
        <w:t xml:space="preserve">3: 28-31 de mayo: Shenzhen </w:t>
      </w:r>
      <w:r w:rsidR="00F039CA">
        <w:rPr>
          <w:lang w:val="es-ES"/>
        </w:rPr>
        <w:t>(</w:t>
      </w:r>
      <w:r w:rsidR="00FE4D65" w:rsidRPr="00FE4D65">
        <w:rPr>
          <w:lang w:val="es-ES"/>
        </w:rPr>
        <w:t>China</w:t>
      </w:r>
      <w:r w:rsidR="00F039CA">
        <w:rPr>
          <w:lang w:val="es-ES"/>
        </w:rPr>
        <w:t>)</w:t>
      </w:r>
      <w:r w:rsidR="00FE4D65" w:rsidRPr="00FE4D65">
        <w:rPr>
          <w:lang w:val="es-ES"/>
        </w:rPr>
        <w:t>, en colaboración con la APT y la PITA</w:t>
      </w:r>
      <w:bookmarkEnd w:id="507"/>
      <w:r w:rsidR="00D06157">
        <w:rPr>
          <w:lang w:val="es-ES"/>
        </w:rPr>
        <w:t>;</w:t>
      </w:r>
    </w:p>
    <w:p w14:paraId="16BEDD5D" w14:textId="3111C7C3" w:rsidR="00FE4D65" w:rsidRPr="00FE4D65" w:rsidRDefault="00824C17" w:rsidP="00824C17">
      <w:pPr>
        <w:pStyle w:val="enumlev1"/>
        <w:rPr>
          <w:lang w:val="es-ES"/>
        </w:rPr>
      </w:pPr>
      <w:bookmarkStart w:id="508" w:name="lt_pId1332"/>
      <w:r w:rsidRPr="00824C17">
        <w:rPr>
          <w:lang w:val="es-ES"/>
        </w:rPr>
        <w:t>•</w:t>
      </w:r>
      <w:r>
        <w:rPr>
          <w:lang w:val="es-ES"/>
        </w:rPr>
        <w:tab/>
      </w:r>
      <w:r w:rsidR="00FE4D65" w:rsidRPr="00FE4D65">
        <w:rPr>
          <w:lang w:val="es-ES"/>
        </w:rPr>
        <w:t>Taller sobre los CNAF para la Región</w:t>
      </w:r>
      <w:r w:rsidR="00D06157">
        <w:rPr>
          <w:lang w:val="es-ES"/>
        </w:rPr>
        <w:t> </w:t>
      </w:r>
      <w:r w:rsidR="00FE4D65" w:rsidRPr="00FE4D65">
        <w:rPr>
          <w:lang w:val="es-ES"/>
        </w:rPr>
        <w:t>2: 18-21 de junio: Lugar por determinar, en colaboración con la CITEL, la UTC y la COMTELCA</w:t>
      </w:r>
      <w:bookmarkEnd w:id="508"/>
      <w:r w:rsidR="00D06157">
        <w:rPr>
          <w:lang w:val="es-ES"/>
        </w:rPr>
        <w:t>.</w:t>
      </w:r>
    </w:p>
    <w:p w14:paraId="333EEAD7" w14:textId="77777777" w:rsidR="00FE4D65" w:rsidRPr="00FE4D65" w:rsidRDefault="00FE4D65" w:rsidP="00824C17">
      <w:pPr>
        <w:pStyle w:val="Heading2"/>
        <w:rPr>
          <w:lang w:val="es-ES"/>
        </w:rPr>
      </w:pPr>
      <w:bookmarkStart w:id="509" w:name="_Toc424047610"/>
      <w:bookmarkStart w:id="510" w:name="_Toc446060788"/>
      <w:bookmarkEnd w:id="484"/>
      <w:r w:rsidRPr="00FE4D65">
        <w:rPr>
          <w:lang w:val="es-ES"/>
        </w:rPr>
        <w:lastRenderedPageBreak/>
        <w:t>8.3</w:t>
      </w:r>
      <w:r w:rsidRPr="00FE4D65">
        <w:rPr>
          <w:lang w:val="es-ES"/>
        </w:rPr>
        <w:tab/>
        <w:t>Asistencia a los Estados Miembros, en particular a países en desarrollo y PMA</w:t>
      </w:r>
      <w:bookmarkStart w:id="511" w:name="lt_pId1334"/>
      <w:bookmarkEnd w:id="509"/>
      <w:bookmarkEnd w:id="510"/>
      <w:bookmarkEnd w:id="511"/>
    </w:p>
    <w:p w14:paraId="0FC3FA79" w14:textId="77777777" w:rsidR="00FE4D65" w:rsidRPr="00FE4D65" w:rsidRDefault="00FE4D65" w:rsidP="00824C17">
      <w:pPr>
        <w:pStyle w:val="Heading3"/>
        <w:rPr>
          <w:lang w:val="es-ES"/>
        </w:rPr>
      </w:pPr>
      <w:bookmarkStart w:id="512" w:name="_Toc424047611"/>
      <w:bookmarkStart w:id="513" w:name="_Toc446060789"/>
      <w:r w:rsidRPr="00FE4D65">
        <w:rPr>
          <w:lang w:val="es-ES"/>
        </w:rPr>
        <w:t>8.3.1</w:t>
      </w:r>
      <w:r w:rsidRPr="00FE4D65">
        <w:rPr>
          <w:lang w:val="es-ES"/>
        </w:rPr>
        <w:tab/>
        <w:t>Asistencia a las administraciones de los países en desarrollo</w:t>
      </w:r>
      <w:bookmarkStart w:id="514" w:name="lt_pId1336"/>
      <w:bookmarkEnd w:id="512"/>
      <w:bookmarkEnd w:id="513"/>
      <w:bookmarkEnd w:id="514"/>
    </w:p>
    <w:p w14:paraId="6C6CA88E" w14:textId="77777777" w:rsidR="00FE4D65" w:rsidRPr="00FE4D65" w:rsidRDefault="00FE4D65" w:rsidP="00FE4D65">
      <w:pPr>
        <w:rPr>
          <w:lang w:val="es-ES"/>
        </w:rPr>
      </w:pPr>
      <w:bookmarkStart w:id="515" w:name="lt_pId1337"/>
      <w:r w:rsidRPr="00FE4D65">
        <w:rPr>
          <w:lang w:val="es-ES"/>
        </w:rPr>
        <w:t>En el periodo comprendido entre la CMR-19 y la CMR-23, la Oficina prestó asistencia a las administraciones de los países en desarrollo mediante:</w:t>
      </w:r>
      <w:bookmarkEnd w:id="515"/>
    </w:p>
    <w:p w14:paraId="1F8B3D0F" w14:textId="57CA478E" w:rsidR="00FE4D65" w:rsidRPr="00FE4D65" w:rsidRDefault="00824C17" w:rsidP="00824C17">
      <w:pPr>
        <w:pStyle w:val="enumlev1"/>
        <w:rPr>
          <w:lang w:val="es-ES"/>
        </w:rPr>
      </w:pPr>
      <w:bookmarkStart w:id="516" w:name="lt_pId1338"/>
      <w:r w:rsidRPr="00824C17">
        <w:rPr>
          <w:lang w:val="es-ES"/>
        </w:rPr>
        <w:t>•</w:t>
      </w:r>
      <w:r>
        <w:rPr>
          <w:lang w:val="es-ES"/>
        </w:rPr>
        <w:tab/>
      </w:r>
      <w:r w:rsidR="00FE4D65" w:rsidRPr="00FE4D65">
        <w:rPr>
          <w:lang w:val="es-ES"/>
        </w:rPr>
        <w:t>el respaldo de actividades nacionales en materia de gestión del espectro y la prestación de asistencia técnica en el ámbito de las radiocomunicaciones espaciales;</w:t>
      </w:r>
      <w:bookmarkEnd w:id="516"/>
    </w:p>
    <w:p w14:paraId="3BB22A76" w14:textId="26B2332A" w:rsidR="00FE4D65" w:rsidRPr="00FE4D65" w:rsidRDefault="00824C17" w:rsidP="00824C17">
      <w:pPr>
        <w:pStyle w:val="enumlev1"/>
        <w:rPr>
          <w:lang w:val="es-ES"/>
        </w:rPr>
      </w:pPr>
      <w:bookmarkStart w:id="517" w:name="lt_pId1339"/>
      <w:r w:rsidRPr="00824C17">
        <w:rPr>
          <w:lang w:val="es-ES"/>
        </w:rPr>
        <w:t>•</w:t>
      </w:r>
      <w:r>
        <w:rPr>
          <w:lang w:val="es-ES"/>
        </w:rPr>
        <w:tab/>
      </w:r>
      <w:r w:rsidR="00FE4D65" w:rsidRPr="00FE4D65">
        <w:rPr>
          <w:lang w:val="es-ES"/>
        </w:rPr>
        <w:t>la participación en las reuniones de los grupos regionales de coordinación, conforme a lo estipulado en el Artículo</w:t>
      </w:r>
      <w:r w:rsidR="00D06157">
        <w:rPr>
          <w:lang w:val="es-ES"/>
        </w:rPr>
        <w:t> </w:t>
      </w:r>
      <w:r w:rsidR="00FE4D65" w:rsidRPr="00FE4D65">
        <w:rPr>
          <w:lang w:val="es-ES"/>
        </w:rPr>
        <w:t>12 del Reglamento de Radiocomunicaciones;</w:t>
      </w:r>
      <w:bookmarkEnd w:id="517"/>
    </w:p>
    <w:p w14:paraId="3D13CBAE" w14:textId="45F91402" w:rsidR="00FE4D65" w:rsidRPr="00FE4D65" w:rsidRDefault="00824C17" w:rsidP="00824C17">
      <w:pPr>
        <w:pStyle w:val="enumlev1"/>
        <w:rPr>
          <w:lang w:val="es-ES"/>
        </w:rPr>
      </w:pPr>
      <w:bookmarkStart w:id="518" w:name="lt_pId1340"/>
      <w:r w:rsidRPr="00824C17">
        <w:rPr>
          <w:lang w:val="es-ES"/>
        </w:rPr>
        <w:t>•</w:t>
      </w:r>
      <w:r>
        <w:rPr>
          <w:lang w:val="es-ES"/>
        </w:rPr>
        <w:tab/>
      </w:r>
      <w:r w:rsidR="00FE4D65" w:rsidRPr="00FE4D65">
        <w:rPr>
          <w:lang w:val="es-ES"/>
        </w:rPr>
        <w:t>la prestación de asistencia en la gestión y asignación de frecuencias a largo plazo para la banda ancha móvil (IMT);</w:t>
      </w:r>
      <w:bookmarkEnd w:id="518"/>
    </w:p>
    <w:p w14:paraId="3B79B1BF" w14:textId="7F81768D" w:rsidR="00FE4D65" w:rsidRPr="00FE4D65" w:rsidRDefault="00824C17" w:rsidP="00824C17">
      <w:pPr>
        <w:pStyle w:val="enumlev1"/>
        <w:rPr>
          <w:lang w:val="es-ES"/>
        </w:rPr>
      </w:pPr>
      <w:bookmarkStart w:id="519" w:name="lt_pId1341"/>
      <w:r w:rsidRPr="00824C17">
        <w:rPr>
          <w:lang w:val="es-ES"/>
        </w:rPr>
        <w:t>•</w:t>
      </w:r>
      <w:r>
        <w:rPr>
          <w:lang w:val="es-ES"/>
        </w:rPr>
        <w:tab/>
      </w:r>
      <w:r w:rsidR="00FE4D65" w:rsidRPr="00FE4D65">
        <w:rPr>
          <w:lang w:val="es-ES"/>
        </w:rPr>
        <w:t>la provisión de directrices y apoyo técnico para la transición a la televisión digital y la atribución del dividendo digital;</w:t>
      </w:r>
      <w:bookmarkEnd w:id="519"/>
    </w:p>
    <w:p w14:paraId="46A4B691" w14:textId="24ADF9A8" w:rsidR="00FE4D65" w:rsidRPr="00FE4D65" w:rsidRDefault="00824C17" w:rsidP="00824C17">
      <w:pPr>
        <w:pStyle w:val="enumlev1"/>
        <w:rPr>
          <w:lang w:val="es-ES"/>
        </w:rPr>
      </w:pPr>
      <w:bookmarkStart w:id="520" w:name="lt_pId1342"/>
      <w:r w:rsidRPr="00824C17">
        <w:rPr>
          <w:lang w:val="es-ES"/>
        </w:rPr>
        <w:t>•</w:t>
      </w:r>
      <w:r>
        <w:rPr>
          <w:lang w:val="es-ES"/>
        </w:rPr>
        <w:tab/>
      </w:r>
      <w:r w:rsidR="00FE4D65" w:rsidRPr="00FE4D65">
        <w:rPr>
          <w:lang w:val="es-ES"/>
        </w:rPr>
        <w:t>la participación en seminarios de capacitación sobre comunicaciones por satélite;</w:t>
      </w:r>
      <w:bookmarkEnd w:id="520"/>
    </w:p>
    <w:p w14:paraId="37FCABC6" w14:textId="799E9C3B" w:rsidR="00FE4D65" w:rsidRPr="00FE4D65" w:rsidRDefault="00824C17" w:rsidP="00824C17">
      <w:pPr>
        <w:pStyle w:val="enumlev1"/>
        <w:rPr>
          <w:lang w:val="es-ES"/>
        </w:rPr>
      </w:pPr>
      <w:bookmarkStart w:id="521" w:name="lt_pId1343"/>
      <w:r w:rsidRPr="00824C17">
        <w:rPr>
          <w:lang w:val="es-ES"/>
        </w:rPr>
        <w:t>•</w:t>
      </w:r>
      <w:r>
        <w:rPr>
          <w:lang w:val="es-ES"/>
        </w:rPr>
        <w:tab/>
      </w:r>
      <w:r w:rsidR="00FE4D65" w:rsidRPr="00FE4D65">
        <w:rPr>
          <w:lang w:val="es-ES"/>
        </w:rPr>
        <w:t>la prestación de asistencia en el procedimiento de coordinación en virtud de los números</w:t>
      </w:r>
      <w:r>
        <w:rPr>
          <w:lang w:val="es-ES"/>
        </w:rPr>
        <w:t> </w:t>
      </w:r>
      <w:r w:rsidR="00FE4D65" w:rsidRPr="00FE4D65">
        <w:rPr>
          <w:lang w:val="es-ES"/>
        </w:rPr>
        <w:t>9.18, 9.19 y 9.21 del RR;</w:t>
      </w:r>
      <w:bookmarkEnd w:id="521"/>
    </w:p>
    <w:p w14:paraId="73568F43" w14:textId="43B8936C" w:rsidR="00FE4D65" w:rsidRPr="00FE4D65" w:rsidRDefault="00824C17" w:rsidP="00824C17">
      <w:pPr>
        <w:pStyle w:val="enumlev1"/>
        <w:rPr>
          <w:lang w:val="es-ES"/>
        </w:rPr>
      </w:pPr>
      <w:bookmarkStart w:id="522" w:name="lt_pId1344"/>
      <w:r w:rsidRPr="00824C17">
        <w:rPr>
          <w:lang w:val="es-ES"/>
        </w:rPr>
        <w:t>•</w:t>
      </w:r>
      <w:r>
        <w:rPr>
          <w:lang w:val="es-ES"/>
        </w:rPr>
        <w:tab/>
      </w:r>
      <w:r w:rsidR="00FE4D65" w:rsidRPr="00FE4D65">
        <w:rPr>
          <w:lang w:val="es-ES"/>
        </w:rPr>
        <w:t>la prestación de asistencia en el procedimiento de modificación de planes en virtud del Acuerdo</w:t>
      </w:r>
      <w:r w:rsidR="00D06157">
        <w:rPr>
          <w:lang w:val="es-ES"/>
        </w:rPr>
        <w:t> </w:t>
      </w:r>
      <w:r w:rsidR="00FE4D65" w:rsidRPr="00FE4D65">
        <w:rPr>
          <w:lang w:val="es-ES"/>
        </w:rPr>
        <w:t>GE06;</w:t>
      </w:r>
      <w:bookmarkEnd w:id="522"/>
    </w:p>
    <w:p w14:paraId="5AC2F05A" w14:textId="7E9014E5" w:rsidR="00FE4D65" w:rsidRPr="00FE4D65" w:rsidRDefault="00824C17" w:rsidP="00824C17">
      <w:pPr>
        <w:pStyle w:val="enumlev1"/>
        <w:rPr>
          <w:lang w:val="es-ES"/>
        </w:rPr>
      </w:pPr>
      <w:bookmarkStart w:id="523" w:name="lt_pId1345"/>
      <w:r w:rsidRPr="00824C17">
        <w:rPr>
          <w:lang w:val="es-ES"/>
        </w:rPr>
        <w:t>•</w:t>
      </w:r>
      <w:r>
        <w:rPr>
          <w:lang w:val="es-ES"/>
        </w:rPr>
        <w:tab/>
      </w:r>
      <w:r w:rsidR="00FE4D65" w:rsidRPr="00FE4D65">
        <w:rPr>
          <w:lang w:val="es-ES"/>
        </w:rPr>
        <w:t>la prestación de asistencia en la asignación de distintivos de llamada y MMSI;</w:t>
      </w:r>
      <w:bookmarkEnd w:id="523"/>
    </w:p>
    <w:p w14:paraId="038BA602" w14:textId="03065419" w:rsidR="00FE4D65" w:rsidRPr="00FE4D65" w:rsidRDefault="00824C17" w:rsidP="00824C17">
      <w:pPr>
        <w:pStyle w:val="enumlev1"/>
        <w:rPr>
          <w:lang w:val="es-ES"/>
        </w:rPr>
      </w:pPr>
      <w:bookmarkStart w:id="524" w:name="lt_pId1346"/>
      <w:r w:rsidRPr="00824C17">
        <w:rPr>
          <w:lang w:val="es-ES"/>
        </w:rPr>
        <w:t>•</w:t>
      </w:r>
      <w:r>
        <w:rPr>
          <w:lang w:val="es-ES"/>
        </w:rPr>
        <w:tab/>
      </w:r>
      <w:r w:rsidR="00FE4D65" w:rsidRPr="00FE4D65">
        <w:rPr>
          <w:lang w:val="es-ES"/>
        </w:rPr>
        <w:t>la prestación de asistencia en los procedimientos espaciales;</w:t>
      </w:r>
      <w:bookmarkEnd w:id="524"/>
    </w:p>
    <w:p w14:paraId="1F6C5120" w14:textId="2C1C429B" w:rsidR="00FE4D65" w:rsidRPr="00FE4D65" w:rsidRDefault="00824C17" w:rsidP="00824C17">
      <w:pPr>
        <w:pStyle w:val="enumlev1"/>
        <w:rPr>
          <w:lang w:val="es-ES"/>
        </w:rPr>
      </w:pPr>
      <w:bookmarkStart w:id="525" w:name="lt_pId1347"/>
      <w:r w:rsidRPr="00824C17">
        <w:rPr>
          <w:lang w:val="es-ES"/>
        </w:rPr>
        <w:t>•</w:t>
      </w:r>
      <w:r>
        <w:rPr>
          <w:lang w:val="es-ES"/>
        </w:rPr>
        <w:tab/>
      </w:r>
      <w:r w:rsidR="00D06157">
        <w:rPr>
          <w:lang w:val="es-ES"/>
        </w:rPr>
        <w:t>l</w:t>
      </w:r>
      <w:r w:rsidR="00FE4D65" w:rsidRPr="00FE4D65">
        <w:rPr>
          <w:lang w:val="es-ES"/>
        </w:rPr>
        <w:t>a prestación de asistencia personalizada en la implementación de la Resolución</w:t>
      </w:r>
      <w:r w:rsidR="00D06157">
        <w:rPr>
          <w:lang w:val="es-ES"/>
        </w:rPr>
        <w:t> </w:t>
      </w:r>
      <w:r w:rsidR="00FE4D65" w:rsidRPr="00FE4D65">
        <w:rPr>
          <w:lang w:val="es-ES"/>
        </w:rPr>
        <w:t>559 (CMR</w:t>
      </w:r>
      <w:r w:rsidR="00D06157">
        <w:rPr>
          <w:lang w:val="es-ES"/>
        </w:rPr>
        <w:noBreakHyphen/>
      </w:r>
      <w:r w:rsidR="00FE4D65" w:rsidRPr="00FE4D65">
        <w:rPr>
          <w:lang w:val="es-ES"/>
        </w:rPr>
        <w:t>19).</w:t>
      </w:r>
      <w:bookmarkEnd w:id="525"/>
    </w:p>
    <w:p w14:paraId="19710D85" w14:textId="77777777" w:rsidR="00FE4D65" w:rsidRPr="00FE4D65" w:rsidRDefault="00FE4D65" w:rsidP="00824C17">
      <w:pPr>
        <w:pStyle w:val="Heading3"/>
        <w:rPr>
          <w:lang w:val="es-ES"/>
        </w:rPr>
      </w:pPr>
      <w:bookmarkStart w:id="526" w:name="_Toc424047612"/>
      <w:bookmarkStart w:id="527" w:name="_Toc446060790"/>
      <w:r w:rsidRPr="00FE4D65">
        <w:rPr>
          <w:lang w:val="es-ES"/>
        </w:rPr>
        <w:t>8.3.2</w:t>
      </w:r>
      <w:r w:rsidRPr="00FE4D65">
        <w:rPr>
          <w:lang w:val="es-ES"/>
        </w:rPr>
        <w:tab/>
        <w:t>Asistencia a los grupos regionales</w:t>
      </w:r>
      <w:bookmarkStart w:id="528" w:name="lt_pId1349"/>
      <w:bookmarkEnd w:id="526"/>
      <w:bookmarkEnd w:id="527"/>
      <w:bookmarkEnd w:id="528"/>
    </w:p>
    <w:p w14:paraId="21207971" w14:textId="77777777" w:rsidR="00FE4D65" w:rsidRPr="00FE4D65" w:rsidRDefault="00FE4D65" w:rsidP="00FE4D65">
      <w:pPr>
        <w:rPr>
          <w:lang w:val="es-ES"/>
        </w:rPr>
      </w:pPr>
      <w:bookmarkStart w:id="529" w:name="lt_pId1350"/>
      <w:bookmarkStart w:id="530" w:name="_Toc424047613"/>
      <w:r w:rsidRPr="00FE4D65">
        <w:rPr>
          <w:lang w:val="es-ES"/>
        </w:rPr>
        <w:t>Durante el periodo 2021-2022, la BR analizó detenidamente una serie de documentos y recomendaciones relacionados con el espectro elaborados por la Unión Africana de Telecomunicaciones (UAT), como Atribución del espectro en África, las recomendaciones de la UAT-R sobre la implementación de la 5G, Estado de la radiodifusión digital sonora en África, las recomendaciones sobre gestión del espectro (relativas a las licencias, la gestión del espectro, la evolución del espectro), etc., y propuso las modificaciones pertinentes.</w:t>
      </w:r>
      <w:bookmarkEnd w:id="529"/>
    </w:p>
    <w:p w14:paraId="75DF9A85" w14:textId="53341125" w:rsidR="00FE4D65" w:rsidRPr="00FE4D65" w:rsidRDefault="00FE4D65" w:rsidP="00FE4D65">
      <w:pPr>
        <w:rPr>
          <w:lang w:val="es-ES"/>
        </w:rPr>
      </w:pPr>
      <w:bookmarkStart w:id="531" w:name="lt_pId1351"/>
      <w:r w:rsidRPr="00FE4D65">
        <w:rPr>
          <w:lang w:val="es-ES"/>
        </w:rPr>
        <w:t>La Oficina participó activamente en diversas actividades en el marco de la Iniciativa Política y Reglamentación para el África Digital (PRIDA) de la Unión Africana, la Unión Europea y la UIT, entre las que se cuentan las siguientes:</w:t>
      </w:r>
      <w:bookmarkStart w:id="532" w:name="lt_pId1352"/>
      <w:bookmarkEnd w:id="531"/>
      <w:bookmarkEnd w:id="532"/>
    </w:p>
    <w:p w14:paraId="1E37E28B" w14:textId="51AE2EF4" w:rsidR="00FE4D65" w:rsidRPr="00FE4D65" w:rsidRDefault="00824C17" w:rsidP="00824C17">
      <w:pPr>
        <w:pStyle w:val="enumlev1"/>
        <w:rPr>
          <w:lang w:val="es-ES"/>
        </w:rPr>
      </w:pPr>
      <w:bookmarkStart w:id="533" w:name="lt_pId1353"/>
      <w:r w:rsidRPr="00824C17">
        <w:rPr>
          <w:lang w:val="es-ES"/>
        </w:rPr>
        <w:t>•</w:t>
      </w:r>
      <w:r>
        <w:rPr>
          <w:lang w:val="es-ES"/>
        </w:rPr>
        <w:tab/>
      </w:r>
      <w:r w:rsidR="00FE4D65" w:rsidRPr="00FE4D65">
        <w:rPr>
          <w:lang w:val="es-ES"/>
        </w:rPr>
        <w:t xml:space="preserve">Taller de capacitación sobre la gestión del espectro moderna y el </w:t>
      </w:r>
      <w:r w:rsidR="00FE4D65" w:rsidRPr="00FE4D65">
        <w:rPr>
          <w:i/>
          <w:iCs/>
          <w:lang w:val="es-ES"/>
        </w:rPr>
        <w:t>software</w:t>
      </w:r>
      <w:r w:rsidR="00FE4D65" w:rsidRPr="00FE4D65">
        <w:rPr>
          <w:lang w:val="es-ES"/>
        </w:rPr>
        <w:t xml:space="preserve"> de gestión del espectro para países en desarrollo (SMS4DC) de la UIT, mayo de 2020. </w:t>
      </w:r>
      <w:bookmarkEnd w:id="533"/>
    </w:p>
    <w:p w14:paraId="60FABCA5" w14:textId="0F82944F" w:rsidR="00FE4D65" w:rsidRPr="00FE4D65" w:rsidRDefault="00824C17" w:rsidP="00824C17">
      <w:pPr>
        <w:pStyle w:val="enumlev1"/>
        <w:rPr>
          <w:lang w:val="es-ES"/>
        </w:rPr>
      </w:pPr>
      <w:bookmarkStart w:id="534" w:name="lt_pId1354"/>
      <w:r w:rsidRPr="00824C17">
        <w:rPr>
          <w:lang w:val="es-ES"/>
        </w:rPr>
        <w:t>•</w:t>
      </w:r>
      <w:r>
        <w:rPr>
          <w:lang w:val="es-ES"/>
        </w:rPr>
        <w:tab/>
      </w:r>
      <w:r w:rsidR="00FE4D65" w:rsidRPr="00FE4D65">
        <w:rPr>
          <w:lang w:val="es-ES"/>
        </w:rPr>
        <w:t>Taller de capacitación sobre IoT y servicios digitales, agosto de 2020.</w:t>
      </w:r>
      <w:bookmarkEnd w:id="534"/>
    </w:p>
    <w:p w14:paraId="0E23F118" w14:textId="61275695" w:rsidR="00FE4D65" w:rsidRPr="00FE4D65" w:rsidRDefault="00824C17" w:rsidP="00824C17">
      <w:pPr>
        <w:pStyle w:val="enumlev1"/>
        <w:rPr>
          <w:lang w:val="es-ES"/>
        </w:rPr>
      </w:pPr>
      <w:bookmarkStart w:id="535" w:name="lt_pId1355"/>
      <w:r w:rsidRPr="00824C17">
        <w:rPr>
          <w:lang w:val="es-ES"/>
        </w:rPr>
        <w:t>•</w:t>
      </w:r>
      <w:r>
        <w:rPr>
          <w:lang w:val="es-ES"/>
        </w:rPr>
        <w:tab/>
      </w:r>
      <w:r w:rsidR="00FE4D65" w:rsidRPr="00FE4D65">
        <w:rPr>
          <w:lang w:val="es-ES"/>
        </w:rPr>
        <w:t>Reunión en línea del Comité Técnico, noviembre de 2020.</w:t>
      </w:r>
      <w:bookmarkEnd w:id="535"/>
    </w:p>
    <w:p w14:paraId="13E4CF75" w14:textId="3D317722" w:rsidR="00FE4D65" w:rsidRPr="00FE4D65" w:rsidRDefault="00824C17" w:rsidP="00824C17">
      <w:pPr>
        <w:pStyle w:val="enumlev1"/>
        <w:rPr>
          <w:lang w:val="es-ES"/>
        </w:rPr>
      </w:pPr>
      <w:bookmarkStart w:id="536" w:name="lt_pId1356"/>
      <w:r w:rsidRPr="00824C17">
        <w:rPr>
          <w:lang w:val="es-ES"/>
        </w:rPr>
        <w:t>•</w:t>
      </w:r>
      <w:r>
        <w:rPr>
          <w:lang w:val="es-ES"/>
        </w:rPr>
        <w:tab/>
      </w:r>
      <w:r w:rsidR="00FE4D65" w:rsidRPr="00FE4D65">
        <w:rPr>
          <w:lang w:val="es-ES"/>
        </w:rPr>
        <w:t>Taller en línea para la validación de Informes Técnicos y Directrices, 9-11 de marzo de 2021.</w:t>
      </w:r>
      <w:bookmarkEnd w:id="536"/>
    </w:p>
    <w:p w14:paraId="4BF775A6" w14:textId="2DB4277F" w:rsidR="00FE4D65" w:rsidRPr="00FE4D65" w:rsidRDefault="00824C17" w:rsidP="00824C17">
      <w:pPr>
        <w:pStyle w:val="enumlev1"/>
        <w:rPr>
          <w:lang w:val="es-ES"/>
        </w:rPr>
      </w:pPr>
      <w:bookmarkStart w:id="537" w:name="lt_pId1357"/>
      <w:r w:rsidRPr="00824C17">
        <w:rPr>
          <w:lang w:val="es-ES"/>
        </w:rPr>
        <w:t>•</w:t>
      </w:r>
      <w:r>
        <w:rPr>
          <w:lang w:val="es-ES"/>
        </w:rPr>
        <w:tab/>
      </w:r>
      <w:r w:rsidR="00FE4D65" w:rsidRPr="00FE4D65">
        <w:rPr>
          <w:lang w:val="es-ES"/>
        </w:rPr>
        <w:t>Taller en línea sobre la preparación de cuadros nacionales de atribución de frecuencias, mayo de 2021.</w:t>
      </w:r>
      <w:bookmarkEnd w:id="537"/>
    </w:p>
    <w:p w14:paraId="6F693958" w14:textId="67827921" w:rsidR="00FE4D65" w:rsidRPr="00FE4D65" w:rsidRDefault="00824C17" w:rsidP="00824C17">
      <w:pPr>
        <w:pStyle w:val="enumlev1"/>
        <w:rPr>
          <w:lang w:val="es-ES"/>
        </w:rPr>
      </w:pPr>
      <w:bookmarkStart w:id="538" w:name="lt_pId1358"/>
      <w:r w:rsidRPr="00824C17">
        <w:rPr>
          <w:lang w:val="es-ES"/>
        </w:rPr>
        <w:t>•</w:t>
      </w:r>
      <w:r>
        <w:rPr>
          <w:lang w:val="es-ES"/>
        </w:rPr>
        <w:tab/>
      </w:r>
      <w:r w:rsidR="00FE4D65" w:rsidRPr="00FE4D65">
        <w:rPr>
          <w:lang w:val="es-ES"/>
        </w:rPr>
        <w:t>Taller en línea sobre HCM4A (Método de cálculo armonizado para África), noviembre de</w:t>
      </w:r>
      <w:r>
        <w:rPr>
          <w:lang w:val="es-ES"/>
        </w:rPr>
        <w:t> </w:t>
      </w:r>
      <w:r w:rsidR="00FE4D65" w:rsidRPr="00FE4D65">
        <w:rPr>
          <w:lang w:val="es-ES"/>
        </w:rPr>
        <w:t>2021.</w:t>
      </w:r>
      <w:bookmarkEnd w:id="538"/>
    </w:p>
    <w:p w14:paraId="32C9CF38" w14:textId="2D50C5A8" w:rsidR="00FE4D65" w:rsidRPr="00FE4D65" w:rsidRDefault="00824C17" w:rsidP="00824C17">
      <w:pPr>
        <w:pStyle w:val="enumlev1"/>
        <w:rPr>
          <w:lang w:val="es-ES"/>
        </w:rPr>
      </w:pPr>
      <w:bookmarkStart w:id="539" w:name="lt_pId1359"/>
      <w:r w:rsidRPr="00824C17">
        <w:rPr>
          <w:lang w:val="es-ES"/>
        </w:rPr>
        <w:t>•</w:t>
      </w:r>
      <w:r>
        <w:rPr>
          <w:lang w:val="es-ES"/>
        </w:rPr>
        <w:tab/>
      </w:r>
      <w:r w:rsidR="00FE4D65" w:rsidRPr="00FE4D65">
        <w:rPr>
          <w:lang w:val="es-ES"/>
        </w:rPr>
        <w:t>Reunión en línea de Coordinadores, octubre de 2021.</w:t>
      </w:r>
      <w:bookmarkEnd w:id="539"/>
    </w:p>
    <w:p w14:paraId="031F60B4" w14:textId="0EBB963A" w:rsidR="00FE4D65" w:rsidRPr="00FE4D65" w:rsidRDefault="00824C17" w:rsidP="00824C17">
      <w:pPr>
        <w:pStyle w:val="enumlev1"/>
        <w:rPr>
          <w:lang w:val="es-ES"/>
        </w:rPr>
      </w:pPr>
      <w:bookmarkStart w:id="540" w:name="lt_pId1360"/>
      <w:r w:rsidRPr="00824C17">
        <w:rPr>
          <w:lang w:val="es-ES"/>
        </w:rPr>
        <w:t>•</w:t>
      </w:r>
      <w:r>
        <w:rPr>
          <w:lang w:val="es-ES"/>
        </w:rPr>
        <w:tab/>
      </w:r>
      <w:r w:rsidR="00FE4D65" w:rsidRPr="00FE4D65">
        <w:rPr>
          <w:lang w:val="es-ES"/>
        </w:rPr>
        <w:t>Reunión en línea del Comité Técnico, junio de 2022.</w:t>
      </w:r>
      <w:bookmarkEnd w:id="540"/>
    </w:p>
    <w:p w14:paraId="65CD8632" w14:textId="4D7EDA87" w:rsidR="00FE4D65" w:rsidRPr="00FE4D65" w:rsidRDefault="00824C17" w:rsidP="00824C17">
      <w:pPr>
        <w:pStyle w:val="enumlev1"/>
        <w:rPr>
          <w:lang w:val="es-ES"/>
        </w:rPr>
      </w:pPr>
      <w:bookmarkStart w:id="541" w:name="lt_pId1361"/>
      <w:r w:rsidRPr="00824C17">
        <w:rPr>
          <w:lang w:val="es-ES"/>
        </w:rPr>
        <w:lastRenderedPageBreak/>
        <w:t>•</w:t>
      </w:r>
      <w:r>
        <w:rPr>
          <w:lang w:val="es-ES"/>
        </w:rPr>
        <w:tab/>
      </w:r>
      <w:r w:rsidR="00FE4D65" w:rsidRPr="00FE4D65">
        <w:rPr>
          <w:lang w:val="es-ES"/>
        </w:rPr>
        <w:t>Formación sobre servicios de comunicaciones aeronáuticas y marítimas, abril de 2023 (en inglés).</w:t>
      </w:r>
      <w:bookmarkEnd w:id="541"/>
    </w:p>
    <w:p w14:paraId="18A21DD6" w14:textId="1692545F" w:rsidR="00FE4D65" w:rsidRPr="00FE4D65" w:rsidRDefault="00824C17" w:rsidP="00824C17">
      <w:pPr>
        <w:pStyle w:val="enumlev1"/>
        <w:rPr>
          <w:lang w:val="es-ES"/>
        </w:rPr>
      </w:pPr>
      <w:bookmarkStart w:id="542" w:name="lt_pId1362"/>
      <w:r w:rsidRPr="00824C17">
        <w:rPr>
          <w:lang w:val="es-ES"/>
        </w:rPr>
        <w:t>•</w:t>
      </w:r>
      <w:r>
        <w:rPr>
          <w:lang w:val="es-ES"/>
        </w:rPr>
        <w:tab/>
      </w:r>
      <w:r w:rsidR="00FE4D65" w:rsidRPr="00FE4D65">
        <w:rPr>
          <w:lang w:val="es-ES"/>
        </w:rPr>
        <w:t>Formación sobre servicios de comunicaciones aeronáuticas y marítimas, mayo de 2023 (en francés).</w:t>
      </w:r>
      <w:bookmarkEnd w:id="542"/>
    </w:p>
    <w:p w14:paraId="1E5F53EA" w14:textId="167DBA75" w:rsidR="00FE4D65" w:rsidRPr="00FE4D65" w:rsidRDefault="00FE4D65" w:rsidP="00824C17">
      <w:pPr>
        <w:rPr>
          <w:lang w:val="es-ES"/>
        </w:rPr>
      </w:pPr>
      <w:bookmarkStart w:id="543" w:name="lt_pId1363"/>
      <w:r w:rsidRPr="00FE4D65">
        <w:rPr>
          <w:lang w:val="es-ES"/>
        </w:rPr>
        <w:t>La Oficina participó asimismo en varios talleres organizados por la UAT y la SADC sobre la implementación de la Resolución</w:t>
      </w:r>
      <w:r w:rsidR="00D06157">
        <w:rPr>
          <w:b/>
          <w:bCs/>
          <w:lang w:val="es-ES"/>
        </w:rPr>
        <w:t> </w:t>
      </w:r>
      <w:r w:rsidRPr="00FE4D65">
        <w:rPr>
          <w:b/>
          <w:bCs/>
          <w:lang w:val="es-ES"/>
        </w:rPr>
        <w:t>559 (CMR-19)</w:t>
      </w:r>
      <w:r w:rsidRPr="00FE4D65">
        <w:rPr>
          <w:lang w:val="es-ES"/>
        </w:rPr>
        <w:t xml:space="preserve"> y otros procedimientos espaciales.</w:t>
      </w:r>
      <w:bookmarkEnd w:id="543"/>
    </w:p>
    <w:p w14:paraId="4A230230" w14:textId="77777777" w:rsidR="00FE4D65" w:rsidRPr="00FE4D65" w:rsidRDefault="00FE4D65" w:rsidP="00824C17">
      <w:pPr>
        <w:pStyle w:val="Heading4"/>
        <w:rPr>
          <w:lang w:val="es-ES"/>
        </w:rPr>
      </w:pPr>
      <w:r w:rsidRPr="00FE4D65">
        <w:rPr>
          <w:lang w:val="es-ES"/>
        </w:rPr>
        <w:t>8.3.2.1</w:t>
      </w:r>
      <w:r w:rsidRPr="00FE4D65">
        <w:rPr>
          <w:lang w:val="es-ES"/>
        </w:rPr>
        <w:tab/>
        <w:t>Asistencia a la UAT</w:t>
      </w:r>
      <w:bookmarkStart w:id="544" w:name="lt_pId1365"/>
      <w:bookmarkEnd w:id="530"/>
      <w:bookmarkEnd w:id="544"/>
    </w:p>
    <w:p w14:paraId="3C17BE89" w14:textId="32BF6A71" w:rsidR="00FE4D65" w:rsidRPr="00FE4D65" w:rsidRDefault="00FE4D65" w:rsidP="00FE4D65">
      <w:pPr>
        <w:rPr>
          <w:lang w:val="es-ES"/>
        </w:rPr>
      </w:pPr>
      <w:bookmarkStart w:id="545" w:name="lt_pId1366"/>
      <w:r w:rsidRPr="00FE4D65">
        <w:rPr>
          <w:lang w:val="es-ES"/>
        </w:rPr>
        <w:t>Entre 2019 y 2022, la Oficina de Radiocomunicaciones, en colaboración con la Unión Africana de Telecomunicaciones (UAT), organizó y llevó a cabo con éxito el proyecto de optimización del Plan</w:t>
      </w:r>
      <w:r w:rsidR="00D06157">
        <w:rPr>
          <w:lang w:val="es-ES"/>
        </w:rPr>
        <w:t> </w:t>
      </w:r>
      <w:r w:rsidRPr="00FE4D65">
        <w:rPr>
          <w:lang w:val="es-ES"/>
        </w:rPr>
        <w:t>GE84 para África.</w:t>
      </w:r>
      <w:bookmarkEnd w:id="545"/>
    </w:p>
    <w:p w14:paraId="75F5521A" w14:textId="210BD531" w:rsidR="00FE4D65" w:rsidRPr="00FE4D65" w:rsidRDefault="00FE4D65" w:rsidP="00FE4D65">
      <w:pPr>
        <w:rPr>
          <w:lang w:val="es-ES"/>
        </w:rPr>
      </w:pPr>
      <w:bookmarkStart w:id="546" w:name="lt_pId1367"/>
      <w:r w:rsidRPr="00FE4D65">
        <w:rPr>
          <w:lang w:val="es-ES"/>
        </w:rPr>
        <w:t>El objetivo del proyecto era lograr la utilización eficaz y equitativa de la banda 87,5-108</w:t>
      </w:r>
      <w:r w:rsidR="00D06157">
        <w:rPr>
          <w:lang w:val="es-ES"/>
        </w:rPr>
        <w:t> </w:t>
      </w:r>
      <w:r w:rsidRPr="00FE4D65">
        <w:rPr>
          <w:lang w:val="es-ES"/>
        </w:rPr>
        <w:t>MHz (MF) para la radiodifusión sonora analógica e identificar nuevas frecuencias para la radiodifusión MF por las administraciones africanas.</w:t>
      </w:r>
      <w:bookmarkEnd w:id="546"/>
    </w:p>
    <w:p w14:paraId="5F5BA275" w14:textId="77777777" w:rsidR="00FE4D65" w:rsidRPr="00FE4D65" w:rsidRDefault="00FE4D65" w:rsidP="00FE4D65">
      <w:pPr>
        <w:rPr>
          <w:lang w:val="es-ES"/>
        </w:rPr>
      </w:pPr>
      <w:bookmarkStart w:id="547" w:name="lt_pId1368"/>
      <w:r w:rsidRPr="00FE4D65">
        <w:rPr>
          <w:lang w:val="es-ES"/>
        </w:rPr>
        <w:t>Esta asistencia se prestó a través de diversos talleres preparatorios y tres reuniones virtuales de coordinación de frecuencias, celebradas entre febrero de 2021 y enero de 2022. Como resultado se satisfizo aproximadamente el 85% de los requisitos de frecuencias, es decir, que se coordinaron con éxito 18 326 canales de frecuencias MF.</w:t>
      </w:r>
      <w:bookmarkStart w:id="548" w:name="lt_pId1369"/>
      <w:bookmarkEnd w:id="547"/>
      <w:bookmarkEnd w:id="548"/>
    </w:p>
    <w:p w14:paraId="59745BD0" w14:textId="77777777" w:rsidR="00FE4D65" w:rsidRPr="00FE4D65" w:rsidRDefault="00FE4D65" w:rsidP="00824C17">
      <w:pPr>
        <w:pStyle w:val="Heading2"/>
        <w:rPr>
          <w:lang w:val="es-ES"/>
        </w:rPr>
      </w:pPr>
      <w:bookmarkStart w:id="549" w:name="_Toc418163382"/>
      <w:bookmarkStart w:id="550" w:name="_Toc418232300"/>
      <w:bookmarkStart w:id="551" w:name="_Toc424047620"/>
      <w:bookmarkStart w:id="552" w:name="_Toc446060792"/>
      <w:r w:rsidRPr="00FE4D65">
        <w:rPr>
          <w:lang w:val="es-ES"/>
        </w:rPr>
        <w:t>8.4</w:t>
      </w:r>
      <w:r w:rsidRPr="00FE4D65">
        <w:rPr>
          <w:lang w:val="es-ES"/>
        </w:rPr>
        <w:tab/>
        <w:t>Asociaciones estratégicas, incluida la cooperación intersectorial</w:t>
      </w:r>
      <w:bookmarkStart w:id="553" w:name="lt_pId1371"/>
      <w:bookmarkEnd w:id="549"/>
      <w:bookmarkEnd w:id="550"/>
      <w:bookmarkEnd w:id="551"/>
      <w:bookmarkEnd w:id="552"/>
      <w:bookmarkEnd w:id="553"/>
    </w:p>
    <w:p w14:paraId="5FF31752" w14:textId="77777777" w:rsidR="00FE4D65" w:rsidRPr="00FE4D65" w:rsidRDefault="00FE4D65" w:rsidP="00824C17">
      <w:pPr>
        <w:pStyle w:val="Heading3"/>
        <w:rPr>
          <w:lang w:val="es-ES"/>
        </w:rPr>
      </w:pPr>
      <w:bookmarkStart w:id="554" w:name="_Toc424047621"/>
      <w:bookmarkStart w:id="555" w:name="_Toc446060793"/>
      <w:r w:rsidRPr="00FE4D65">
        <w:rPr>
          <w:lang w:val="es-ES"/>
        </w:rPr>
        <w:t>8.4.1</w:t>
      </w:r>
      <w:r w:rsidRPr="00FE4D65">
        <w:rPr>
          <w:lang w:val="es-ES"/>
        </w:rPr>
        <w:tab/>
        <w:t>Cooperación con el UIT-D</w:t>
      </w:r>
      <w:bookmarkStart w:id="556" w:name="lt_pId1373"/>
      <w:bookmarkStart w:id="557" w:name="_Toc424047622"/>
      <w:bookmarkEnd w:id="554"/>
      <w:bookmarkEnd w:id="555"/>
      <w:bookmarkEnd w:id="556"/>
    </w:p>
    <w:p w14:paraId="0BD2A00D" w14:textId="77777777" w:rsidR="00FE4D65" w:rsidRPr="00FE4D65" w:rsidRDefault="00FE4D65" w:rsidP="00FE4D65">
      <w:pPr>
        <w:rPr>
          <w:lang w:val="es-ES"/>
        </w:rPr>
      </w:pPr>
      <w:bookmarkStart w:id="558" w:name="lt_pId1374"/>
      <w:r w:rsidRPr="00FE4D65">
        <w:rPr>
          <w:lang w:val="es-ES"/>
        </w:rPr>
        <w:t>La BR ha mantenido una estrecha colaboración con la BDT en asuntos de interés común al UIT-R y el UIT-D. La BR ha participado en las reuniones de las Comisiones de Estudio del UIT-D, Grupos de Relator y GADT pertinentes, en las que las actividades de coordinación han incluido asuntos como la gestión del espectro, la radiodifusión digital y la transición desde sistemas analógicos, la transición hacia las IMT y su implantación, y las tecnologías de acceso inalámbrico de banda ancha.</w:t>
      </w:r>
      <w:bookmarkStart w:id="559" w:name="lt_pId1375"/>
      <w:bookmarkEnd w:id="558"/>
      <w:bookmarkEnd w:id="559"/>
    </w:p>
    <w:p w14:paraId="2A52BE7C" w14:textId="5DEF5707" w:rsidR="00FE4D65" w:rsidRPr="00FE4D65" w:rsidRDefault="00FE4D65" w:rsidP="00FE4D65">
      <w:pPr>
        <w:rPr>
          <w:lang w:val="es-ES"/>
        </w:rPr>
      </w:pPr>
      <w:bookmarkStart w:id="560" w:name="lt_pId1376"/>
      <w:r w:rsidRPr="00FE4D65">
        <w:rPr>
          <w:lang w:val="es-ES"/>
        </w:rPr>
        <w:t xml:space="preserve">Para facilitar la colaboración utilizando los mecanismos existentes, el Departamento de Comisiones de Estudio de la BR facilita resúmenes de los últimos logros de sus CE y GT de interés para las CE pertinentes del UIT-D y mantiene al día todos los productos aprobados recientemente. Esta información se publica periódicamente en el </w:t>
      </w:r>
      <w:hyperlink r:id="rId70" w:history="1">
        <w:r w:rsidRPr="00FE4D65">
          <w:rPr>
            <w:rStyle w:val="Hyperlink"/>
            <w:lang w:val="es-ES"/>
          </w:rPr>
          <w:t>sitio web de las CE del UIT-R</w:t>
        </w:r>
      </w:hyperlink>
      <w:r w:rsidRPr="00FE4D65">
        <w:rPr>
          <w:lang w:val="es-ES"/>
        </w:rPr>
        <w:t>. El archivo contiene una lista de textos de reciente aprobación, en orden cronológico, correspondientes al periodo de estudios</w:t>
      </w:r>
      <w:r w:rsidR="00D06157">
        <w:rPr>
          <w:lang w:val="es-ES"/>
        </w:rPr>
        <w:t> </w:t>
      </w:r>
      <w:r w:rsidRPr="00FE4D65">
        <w:rPr>
          <w:lang w:val="es-ES"/>
        </w:rPr>
        <w:t>2019</w:t>
      </w:r>
      <w:r w:rsidR="00D06157">
        <w:rPr>
          <w:lang w:val="es-ES"/>
        </w:rPr>
        <w:noBreakHyphen/>
      </w:r>
      <w:r w:rsidRPr="00FE4D65">
        <w:rPr>
          <w:lang w:val="es-ES"/>
        </w:rPr>
        <w:t>2023, así como una breve descripción del contenido de cada documento. El SGD de la BR indica, además, las Comisiones de Estudio o Cuestiones del UIT-D y/o del UIT-T para las que cada documento del UIT-R puede ser pertinente. De este modo se contribuye a evitar la duplicación de esfuerzos y a la utilización de los trabajos de las CE del UIT-R.</w:t>
      </w:r>
      <w:bookmarkStart w:id="561" w:name="lt_pId1377"/>
      <w:bookmarkStart w:id="562" w:name="lt_pId1378"/>
      <w:bookmarkStart w:id="563" w:name="lt_pId1379"/>
      <w:bookmarkStart w:id="564" w:name="lt_pId1380"/>
      <w:bookmarkEnd w:id="560"/>
      <w:bookmarkEnd w:id="561"/>
      <w:bookmarkEnd w:id="562"/>
      <w:bookmarkEnd w:id="563"/>
      <w:bookmarkEnd w:id="564"/>
    </w:p>
    <w:p w14:paraId="43625185" w14:textId="77777777" w:rsidR="00FE4D65" w:rsidRPr="00FE4D65" w:rsidRDefault="00FE4D65" w:rsidP="00FE4D65">
      <w:pPr>
        <w:rPr>
          <w:lang w:val="es-ES"/>
        </w:rPr>
      </w:pPr>
      <w:bookmarkStart w:id="565" w:name="lt_pId1381"/>
      <w:r w:rsidRPr="00FE4D65">
        <w:rPr>
          <w:lang w:val="es-ES"/>
        </w:rPr>
        <w:t>A petición de la BDT, diversos expertos del UIT-R y la Oficina han participado en seminarios y talleres de la UIT organizados por el UIT-D.</w:t>
      </w:r>
      <w:bookmarkEnd w:id="565"/>
    </w:p>
    <w:p w14:paraId="2DDE372E" w14:textId="77777777" w:rsidR="00FE4D65" w:rsidRPr="00FE4D65" w:rsidRDefault="00FE4D65" w:rsidP="00FE4D65">
      <w:pPr>
        <w:rPr>
          <w:lang w:val="es-ES"/>
        </w:rPr>
      </w:pPr>
      <w:bookmarkStart w:id="566" w:name="lt_pId1382"/>
      <w:r w:rsidRPr="00FE4D65">
        <w:rPr>
          <w:lang w:val="es-ES"/>
        </w:rPr>
        <w:t>La BR persiste en su objetivo de informar y asistir a los Miembros de la UIT, y en particular a los países en desarrollo, en materia de radiocomunicaciones. A tal fin, la BR organiza y participa en talleres, seminarios, reuniones y actividades de capacitación sobre el espectro, incluidas sesiones de formación. Por ejemplo, se impartió la formación nacional BDT/BR sobre IMT-2020/5G a cuatro países de la CEI, a saber, Azerbaiyán, Kirguistán, Kazajstán y Uzbekistán, en 2022.</w:t>
      </w:r>
      <w:bookmarkStart w:id="567" w:name="lt_pId1383"/>
      <w:bookmarkStart w:id="568" w:name="_Hlk140483846"/>
      <w:bookmarkStart w:id="569" w:name="lt_pId1384"/>
      <w:bookmarkEnd w:id="566"/>
      <w:bookmarkEnd w:id="567"/>
      <w:bookmarkEnd w:id="568"/>
      <w:bookmarkEnd w:id="569"/>
    </w:p>
    <w:p w14:paraId="40F7ADB6" w14:textId="77777777" w:rsidR="00FE4D65" w:rsidRPr="00FE4D65" w:rsidRDefault="00FE4D65" w:rsidP="00824C17">
      <w:pPr>
        <w:pStyle w:val="Heading4"/>
        <w:rPr>
          <w:lang w:val="es-ES"/>
        </w:rPr>
      </w:pPr>
      <w:r w:rsidRPr="00FE4D65">
        <w:rPr>
          <w:lang w:val="es-ES"/>
        </w:rPr>
        <w:lastRenderedPageBreak/>
        <w:t>8.4.1.1</w:t>
      </w:r>
      <w:r w:rsidRPr="00FE4D65">
        <w:rPr>
          <w:lang w:val="es-ES"/>
        </w:rPr>
        <w:tab/>
        <w:t>GSR</w:t>
      </w:r>
      <w:bookmarkStart w:id="570" w:name="lt_pId1386"/>
      <w:bookmarkEnd w:id="570"/>
    </w:p>
    <w:p w14:paraId="78CFFC53" w14:textId="77777777" w:rsidR="00FE4D65" w:rsidRPr="00FE4D65" w:rsidRDefault="00FE4D65" w:rsidP="00D06157">
      <w:pPr>
        <w:keepNext/>
        <w:keepLines/>
        <w:rPr>
          <w:lang w:val="es-ES"/>
        </w:rPr>
      </w:pPr>
      <w:bookmarkStart w:id="571" w:name="_Toc424047623"/>
      <w:bookmarkStart w:id="572" w:name="lt_pId1387"/>
      <w:bookmarkEnd w:id="557"/>
      <w:r w:rsidRPr="00FE4D65">
        <w:rPr>
          <w:lang w:val="es-ES"/>
        </w:rPr>
        <w:t>Reconociendo la importancia que para los Estados Miembros tiene disponer de información de expertos, la BR continúa apoyando a la BDT mediante conocimientos técnicos en materia de gestión del espectro, la radiodifusión digital y el dividendo digital. La Oficina ha contribuido a los Simposios Mundiales para Organismos Reguladores de la UIT de 2020, 2021, 2022 y 2023 con la organización y participación en sesiones relacionadas con la gestión del espectro.</w:t>
      </w:r>
      <w:bookmarkStart w:id="573" w:name="lt_pId1388"/>
      <w:bookmarkEnd w:id="572"/>
      <w:bookmarkEnd w:id="573"/>
    </w:p>
    <w:p w14:paraId="5E0FFADB" w14:textId="77777777" w:rsidR="00FE4D65" w:rsidRPr="00FE4D65" w:rsidRDefault="00FE4D65" w:rsidP="00824C17">
      <w:pPr>
        <w:pStyle w:val="Heading4"/>
        <w:rPr>
          <w:lang w:val="es-ES"/>
        </w:rPr>
      </w:pPr>
      <w:r w:rsidRPr="00FE4D65">
        <w:rPr>
          <w:lang w:val="es-ES"/>
        </w:rPr>
        <w:t>8.4.1.2</w:t>
      </w:r>
      <w:r w:rsidRPr="00FE4D65">
        <w:rPr>
          <w:lang w:val="es-ES"/>
        </w:rPr>
        <w:tab/>
        <w:t>Simposio Mundial sobre Indicadores de Telecomunicaciones/TIC (SMIT)</w:t>
      </w:r>
      <w:bookmarkStart w:id="574" w:name="lt_pId1390"/>
      <w:bookmarkEnd w:id="571"/>
      <w:bookmarkEnd w:id="574"/>
    </w:p>
    <w:p w14:paraId="26178365" w14:textId="687C9687" w:rsidR="00FE4D65" w:rsidRPr="00FE4D65" w:rsidRDefault="00FE4D65" w:rsidP="00FE4D65">
      <w:pPr>
        <w:rPr>
          <w:lang w:val="es-ES"/>
        </w:rPr>
      </w:pPr>
      <w:bookmarkStart w:id="575" w:name="lt_pId1391"/>
      <w:r w:rsidRPr="00FE4D65">
        <w:rPr>
          <w:lang w:val="es-ES"/>
        </w:rPr>
        <w:t>La BR colabora con la BDT en lo que respecta a los indicadores y las definiciones para la recopilación de datos sobre tecnologías móviles de banda ancha, en particular cuando se refiere a las normas.</w:t>
      </w:r>
      <w:bookmarkEnd w:id="575"/>
    </w:p>
    <w:p w14:paraId="6F187961" w14:textId="77777777" w:rsidR="00FE4D65" w:rsidRPr="00FE4D65" w:rsidRDefault="00FE4D65" w:rsidP="00FE4D65">
      <w:pPr>
        <w:rPr>
          <w:lang w:val="es-ES"/>
        </w:rPr>
      </w:pPr>
      <w:bookmarkStart w:id="576" w:name="lt_pId1392"/>
      <w:r w:rsidRPr="00FE4D65">
        <w:rPr>
          <w:lang w:val="es-ES"/>
        </w:rPr>
        <w:t>El SMIT 2020 se celebró en línea del 1 al 3 de diciembre de 2020. Tanto la BR como la BDT participaron en los debates sobre las atribuciones y asignaciones nacionales de espectro a las IMT.</w:t>
      </w:r>
      <w:bookmarkStart w:id="577" w:name="lt_pId1393"/>
      <w:bookmarkEnd w:id="576"/>
      <w:bookmarkEnd w:id="577"/>
    </w:p>
    <w:p w14:paraId="18F56737" w14:textId="77777777" w:rsidR="00FE4D65" w:rsidRPr="00FE4D65" w:rsidRDefault="00FE4D65" w:rsidP="00FE4D65">
      <w:pPr>
        <w:rPr>
          <w:lang w:val="es-ES"/>
        </w:rPr>
      </w:pPr>
      <w:bookmarkStart w:id="578" w:name="lt_pId1394"/>
      <w:r w:rsidRPr="00FE4D65">
        <w:rPr>
          <w:lang w:val="es-ES"/>
        </w:rPr>
        <w:t>El SMIT no se celebró ni en 2021 ni en 2022.</w:t>
      </w:r>
      <w:bookmarkEnd w:id="578"/>
    </w:p>
    <w:p w14:paraId="19856EE4" w14:textId="77777777" w:rsidR="00FE4D65" w:rsidRPr="00FE4D65" w:rsidRDefault="00FE4D65" w:rsidP="00FE4D65">
      <w:pPr>
        <w:rPr>
          <w:lang w:val="es-ES"/>
        </w:rPr>
      </w:pPr>
      <w:bookmarkStart w:id="579" w:name="lt_pId1395"/>
      <w:r w:rsidRPr="00FE4D65">
        <w:rPr>
          <w:lang w:val="es-ES"/>
        </w:rPr>
        <w:t>En 2023, el orden del día del SMIT no preveía sesiones sobre temas relativos al espectro.</w:t>
      </w:r>
      <w:bookmarkEnd w:id="579"/>
    </w:p>
    <w:p w14:paraId="2EFBE65D" w14:textId="5B7D277B" w:rsidR="00FE4D65" w:rsidRPr="00FE4D65" w:rsidRDefault="00FE4D65" w:rsidP="00824C17">
      <w:pPr>
        <w:pStyle w:val="Heading4"/>
        <w:rPr>
          <w:lang w:val="es-ES"/>
        </w:rPr>
      </w:pPr>
      <w:bookmarkStart w:id="580" w:name="_Toc424047624"/>
      <w:r w:rsidRPr="00FE4D65">
        <w:rPr>
          <w:lang w:val="es-ES"/>
        </w:rPr>
        <w:t>8.4.1.3</w:t>
      </w:r>
      <w:r w:rsidRPr="00FE4D65">
        <w:rPr>
          <w:lang w:val="es-ES"/>
        </w:rPr>
        <w:tab/>
        <w:t>Programa de formación en gestión del espectro (SMTP)</w:t>
      </w:r>
      <w:bookmarkStart w:id="581" w:name="lt_pId1397"/>
      <w:bookmarkEnd w:id="580"/>
      <w:bookmarkEnd w:id="581"/>
    </w:p>
    <w:p w14:paraId="10C146D8" w14:textId="552ADD67" w:rsidR="00FE4D65" w:rsidRPr="00FE4D65" w:rsidRDefault="00FE4D65" w:rsidP="00FE4D65">
      <w:pPr>
        <w:rPr>
          <w:lang w:val="es-ES"/>
        </w:rPr>
      </w:pPr>
      <w:r w:rsidRPr="00FE4D65">
        <w:rPr>
          <w:lang w:val="es-ES"/>
        </w:rPr>
        <w:t>La BR participa de forma activa desde 2013 en un proyecto conjunto con la BDT para la elaboración del Programa de formación en gestión del espectro (SMTP), en sus distintas fases: diseño, preparación del material, revisión por expertos y prueba piloto. A lo largo de los años, se han realizado varias actualizaciones y la BR ha revisado periódicamente el material del SMTP. Recientemente, se han realizado actualizaciones para incluir los resultados de la CMR-19 y la</w:t>
      </w:r>
      <w:r w:rsidR="00824C17">
        <w:rPr>
          <w:lang w:val="es-ES"/>
        </w:rPr>
        <w:t> </w:t>
      </w:r>
      <w:r w:rsidRPr="00FE4D65">
        <w:rPr>
          <w:lang w:val="es-ES"/>
        </w:rPr>
        <w:t>AR</w:t>
      </w:r>
      <w:r w:rsidR="00824C17">
        <w:rPr>
          <w:lang w:val="es-ES"/>
        </w:rPr>
        <w:noBreakHyphen/>
      </w:r>
      <w:r w:rsidRPr="00FE4D65">
        <w:rPr>
          <w:lang w:val="es-ES"/>
        </w:rPr>
        <w:t>19.</w:t>
      </w:r>
      <w:bookmarkStart w:id="582" w:name="lt_pId1398"/>
      <w:bookmarkStart w:id="583" w:name="lt_pId1399"/>
      <w:bookmarkStart w:id="584" w:name="lt_pId1400"/>
      <w:bookmarkEnd w:id="582"/>
      <w:bookmarkEnd w:id="583"/>
      <w:bookmarkEnd w:id="584"/>
    </w:p>
    <w:p w14:paraId="61C783C4" w14:textId="2273769C" w:rsidR="00FE4D65" w:rsidRPr="00FE4D65" w:rsidRDefault="00FE4D65" w:rsidP="00FE4D65">
      <w:pPr>
        <w:rPr>
          <w:lang w:val="es-ES"/>
        </w:rPr>
      </w:pPr>
      <w:bookmarkStart w:id="585" w:name="lt_pId1401"/>
      <w:bookmarkStart w:id="586" w:name="_Toc446060796"/>
      <w:r w:rsidRPr="00FE4D65">
        <w:rPr>
          <w:lang w:val="es-ES"/>
        </w:rPr>
        <w:t>Teniendo en cuenta los recursos necesarios para mantener/actualizar esta herramienta y la importancia que tiene para muchas administraciones, actualmente se está debatiendo en la BDT si el</w:t>
      </w:r>
      <w:r w:rsidR="00D06157">
        <w:rPr>
          <w:lang w:val="es-ES"/>
        </w:rPr>
        <w:t> </w:t>
      </w:r>
      <w:r w:rsidRPr="00FE4D65">
        <w:rPr>
          <w:lang w:val="es-ES"/>
        </w:rPr>
        <w:t>SMTP podría mejorarse o migrar a una herramienta diferente.</w:t>
      </w:r>
      <w:bookmarkEnd w:id="585"/>
    </w:p>
    <w:p w14:paraId="3E16D1FE" w14:textId="77777777" w:rsidR="00FE4D65" w:rsidRPr="00FE4D65" w:rsidRDefault="00FE4D65" w:rsidP="00824C17">
      <w:pPr>
        <w:pStyle w:val="Heading2"/>
        <w:rPr>
          <w:lang w:val="es-ES"/>
        </w:rPr>
      </w:pPr>
      <w:r w:rsidRPr="00FE4D65">
        <w:rPr>
          <w:lang w:val="es-ES"/>
        </w:rPr>
        <w:t>8.5</w:t>
      </w:r>
      <w:r w:rsidRPr="00FE4D65">
        <w:rPr>
          <w:lang w:val="es-ES"/>
        </w:rPr>
        <w:tab/>
        <w:t>Miembros</w:t>
      </w:r>
      <w:bookmarkStart w:id="587" w:name="lt_pId1403"/>
      <w:bookmarkEnd w:id="586"/>
      <w:bookmarkEnd w:id="587"/>
    </w:p>
    <w:p w14:paraId="0C82C44F" w14:textId="77777777" w:rsidR="00FE4D65" w:rsidRPr="00FE4D65" w:rsidRDefault="00FE4D65" w:rsidP="00824C17">
      <w:pPr>
        <w:pStyle w:val="Heading3"/>
        <w:rPr>
          <w:lang w:val="es-ES"/>
        </w:rPr>
      </w:pPr>
      <w:r w:rsidRPr="00FE4D65">
        <w:rPr>
          <w:lang w:val="es-ES"/>
        </w:rPr>
        <w:t>8.5.1</w:t>
      </w:r>
      <w:r w:rsidRPr="00FE4D65">
        <w:rPr>
          <w:lang w:val="es-ES"/>
        </w:rPr>
        <w:tab/>
        <w:t>Miembros de la UIT</w:t>
      </w:r>
      <w:bookmarkStart w:id="588" w:name="lt_pId1405"/>
      <w:bookmarkEnd w:id="588"/>
    </w:p>
    <w:p w14:paraId="0FB1C5AC" w14:textId="2B29FC98" w:rsidR="00FE4D65" w:rsidRPr="00FE4D65" w:rsidRDefault="00FE4D65" w:rsidP="00FE4D65">
      <w:pPr>
        <w:rPr>
          <w:lang w:val="es-ES"/>
        </w:rPr>
      </w:pPr>
      <w:bookmarkStart w:id="589" w:name="lt_pId1406"/>
      <w:r w:rsidRPr="00FE4D65">
        <w:rPr>
          <w:lang w:val="es-ES"/>
        </w:rPr>
        <w:t>Los Cuadros</w:t>
      </w:r>
      <w:r w:rsidR="00D06157">
        <w:rPr>
          <w:lang w:val="es-ES"/>
        </w:rPr>
        <w:t> </w:t>
      </w:r>
      <w:r w:rsidRPr="00FE4D65">
        <w:rPr>
          <w:lang w:val="es-ES"/>
        </w:rPr>
        <w:t>8.5.1-1 a 8.5.1-3 muestran la proporción de Miembros por Sector y Región, junto con sus contribuciones en 2023, y la evolución del número de Miembros de Sector, Asociados e Instituciones Académicas del UIT-R durante el periodo comprendido entre 2019 y 2023.</w:t>
      </w:r>
      <w:bookmarkEnd w:id="589"/>
    </w:p>
    <w:p w14:paraId="31F90917" w14:textId="77777777" w:rsidR="00FE4D65" w:rsidRPr="00FE4D65" w:rsidRDefault="00FE4D65" w:rsidP="00E663FD">
      <w:pPr>
        <w:pStyle w:val="TableNoBR"/>
        <w:rPr>
          <w:lang w:val="en-GB"/>
        </w:rPr>
      </w:pPr>
      <w:bookmarkStart w:id="590" w:name="lt_pId1407"/>
      <w:r w:rsidRPr="00FE4D65">
        <w:rPr>
          <w:lang w:val="es-ES"/>
        </w:rPr>
        <w:lastRenderedPageBreak/>
        <w:t>CUADRO 8.5.1-1</w:t>
      </w:r>
      <w:bookmarkEnd w:id="590"/>
    </w:p>
    <w:p w14:paraId="39DE7446" w14:textId="77777777" w:rsidR="00FE4D65" w:rsidRPr="00FE4D65" w:rsidRDefault="00FE4D65" w:rsidP="00CC37EB">
      <w:pPr>
        <w:pStyle w:val="Figure"/>
        <w:rPr>
          <w:lang w:val="en-GB"/>
        </w:rPr>
      </w:pPr>
      <w:r w:rsidRPr="00FE4D65">
        <w:rPr>
          <w:noProof/>
          <w:lang w:val="en-GB"/>
        </w:rPr>
        <w:drawing>
          <wp:inline distT="0" distB="0" distL="0" distR="0" wp14:anchorId="6BCA8ECD" wp14:editId="3447D981">
            <wp:extent cx="6120000" cy="1886400"/>
            <wp:effectExtent l="0" t="0" r="0" b="0"/>
            <wp:docPr id="1888266081" name="Picture 188826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49182" name=""/>
                    <pic:cNvPicPr/>
                  </pic:nvPicPr>
                  <pic:blipFill>
                    <a:blip r:embed="rId71">
                      <a:extLst>
                        <a:ext uri="{28A0092B-C50C-407E-A947-70E740481C1C}">
                          <a14:useLocalDpi xmlns:a14="http://schemas.microsoft.com/office/drawing/2010/main" val="0"/>
                        </a:ext>
                      </a:extLst>
                    </a:blip>
                    <a:stretch>
                      <a:fillRect/>
                    </a:stretch>
                  </pic:blipFill>
                  <pic:spPr>
                    <a:xfrm>
                      <a:off x="0" y="0"/>
                      <a:ext cx="6120000" cy="1886400"/>
                    </a:xfrm>
                    <a:prstGeom prst="rect">
                      <a:avLst/>
                    </a:prstGeom>
                  </pic:spPr>
                </pic:pic>
              </a:graphicData>
            </a:graphic>
          </wp:inline>
        </w:drawing>
      </w:r>
      <w:r w:rsidRPr="00FE4D65">
        <w:rPr>
          <w:noProof/>
          <w:lang w:val="en-GB"/>
        </w:rPr>
        <w:drawing>
          <wp:inline distT="0" distB="0" distL="0" distR="0" wp14:anchorId="11CE677F" wp14:editId="36653C6B">
            <wp:extent cx="5169196" cy="1852295"/>
            <wp:effectExtent l="0" t="0" r="0" b="0"/>
            <wp:docPr id="1467489086" name="Picture 146748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7307" name=""/>
                    <pic:cNvPicPr/>
                  </pic:nvPicPr>
                  <pic:blipFill>
                    <a:blip r:embed="rId72">
                      <a:extLst>
                        <a:ext uri="{28A0092B-C50C-407E-A947-70E740481C1C}">
                          <a14:useLocalDpi xmlns:a14="http://schemas.microsoft.com/office/drawing/2010/main" val="0"/>
                        </a:ext>
                      </a:extLst>
                    </a:blip>
                    <a:stretch>
                      <a:fillRect/>
                    </a:stretch>
                  </pic:blipFill>
                  <pic:spPr>
                    <a:xfrm>
                      <a:off x="0" y="0"/>
                      <a:ext cx="5169196" cy="1852295"/>
                    </a:xfrm>
                    <a:prstGeom prst="rect">
                      <a:avLst/>
                    </a:prstGeom>
                  </pic:spPr>
                </pic:pic>
              </a:graphicData>
            </a:graphic>
          </wp:inline>
        </w:drawing>
      </w:r>
    </w:p>
    <w:p w14:paraId="261F6EC2" w14:textId="77777777" w:rsidR="00FE4D65" w:rsidRPr="00FE4D65" w:rsidRDefault="00FE4D65" w:rsidP="00FE4D65">
      <w:pPr>
        <w:rPr>
          <w:lang w:val="en-GB"/>
        </w:rPr>
      </w:pPr>
      <w:r w:rsidRPr="00FE4D65">
        <w:rPr>
          <w:lang w:val="en-GB"/>
        </w:rPr>
        <w:br w:type="page"/>
      </w:r>
    </w:p>
    <w:p w14:paraId="641A334F" w14:textId="77777777" w:rsidR="00FE4D65" w:rsidRPr="00FE4D65" w:rsidRDefault="00FE4D65" w:rsidP="00E663FD">
      <w:pPr>
        <w:pStyle w:val="TableNoBR"/>
        <w:rPr>
          <w:lang w:val="es-ES"/>
        </w:rPr>
      </w:pPr>
      <w:bookmarkStart w:id="591" w:name="lt_pId1408"/>
      <w:r w:rsidRPr="00FE4D65">
        <w:rPr>
          <w:lang w:val="es-ES"/>
        </w:rPr>
        <w:lastRenderedPageBreak/>
        <w:t>Cuadro 8.5.1-2</w:t>
      </w:r>
      <w:bookmarkEnd w:id="591"/>
    </w:p>
    <w:p w14:paraId="3C78E504" w14:textId="77777777" w:rsidR="00F039CA" w:rsidRDefault="00FE4D65" w:rsidP="00824C17">
      <w:pPr>
        <w:pStyle w:val="Figure"/>
        <w:rPr>
          <w:lang w:val="es-ES"/>
        </w:rPr>
      </w:pPr>
      <w:r w:rsidRPr="00FE4D65">
        <w:rPr>
          <w:noProof/>
          <w:lang w:val="es-ES"/>
        </w:rPr>
        <w:drawing>
          <wp:inline distT="0" distB="0" distL="0" distR="0" wp14:anchorId="64CBA112" wp14:editId="2024BCBF">
            <wp:extent cx="6120000" cy="1234800"/>
            <wp:effectExtent l="0" t="0" r="0" b="3810"/>
            <wp:docPr id="385437652" name="Picture 38543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8189" name=""/>
                    <pic:cNvPicPr/>
                  </pic:nvPicPr>
                  <pic:blipFill>
                    <a:blip r:embed="rId73">
                      <a:extLst>
                        <a:ext uri="{28A0092B-C50C-407E-A947-70E740481C1C}">
                          <a14:useLocalDpi xmlns:a14="http://schemas.microsoft.com/office/drawing/2010/main" val="0"/>
                        </a:ext>
                      </a:extLst>
                    </a:blip>
                    <a:stretch>
                      <a:fillRect/>
                    </a:stretch>
                  </pic:blipFill>
                  <pic:spPr>
                    <a:xfrm>
                      <a:off x="0" y="0"/>
                      <a:ext cx="6120000" cy="1234800"/>
                    </a:xfrm>
                    <a:prstGeom prst="rect">
                      <a:avLst/>
                    </a:prstGeom>
                  </pic:spPr>
                </pic:pic>
              </a:graphicData>
            </a:graphic>
          </wp:inline>
        </w:drawing>
      </w:r>
      <w:r w:rsidRPr="00FE4D65">
        <w:rPr>
          <w:lang w:val="es-ES"/>
        </w:rPr>
        <w:t xml:space="preserve"> </w:t>
      </w:r>
    </w:p>
    <w:p w14:paraId="5C2F3A16" w14:textId="3C69A8AE" w:rsidR="00FE4D65" w:rsidRPr="00FE4D65" w:rsidRDefault="00FE4D65" w:rsidP="00D06157">
      <w:pPr>
        <w:pStyle w:val="Figurelegend"/>
        <w:rPr>
          <w:lang w:val="es-ES"/>
        </w:rPr>
      </w:pPr>
      <w:r w:rsidRPr="00FE4D65">
        <w:rPr>
          <w:lang w:val="es-ES"/>
        </w:rPr>
        <w:t>Nota: Las Instituciones Académicas son, por defecto, Miembros de los tres Sectores.</w:t>
      </w:r>
      <w:bookmarkStart w:id="592" w:name="lt_pId1409"/>
      <w:bookmarkEnd w:id="592"/>
    </w:p>
    <w:p w14:paraId="1AD43669" w14:textId="20531772" w:rsidR="00FE4D65" w:rsidRPr="00FE4D65" w:rsidRDefault="00FE4D65" w:rsidP="004D5B3E">
      <w:pPr>
        <w:pStyle w:val="Normalaftertitle"/>
        <w:rPr>
          <w:lang w:val="es-ES"/>
        </w:rPr>
      </w:pPr>
      <w:bookmarkStart w:id="593" w:name="lt_pId1410"/>
      <w:r w:rsidRPr="00FE4D65">
        <w:rPr>
          <w:lang w:val="es-ES"/>
        </w:rPr>
        <w:t>Las cuantías se basan en el supuesto de que todos los Miembros abonan su contribución.</w:t>
      </w:r>
      <w:bookmarkEnd w:id="593"/>
    </w:p>
    <w:p w14:paraId="6E8D7998" w14:textId="77777777" w:rsidR="00824C17" w:rsidRDefault="00FE4D65" w:rsidP="00824C17">
      <w:pPr>
        <w:pStyle w:val="Figure"/>
        <w:rPr>
          <w:lang w:val="en-GB"/>
        </w:rPr>
      </w:pPr>
      <w:r w:rsidRPr="00FE4D65">
        <w:rPr>
          <w:noProof/>
          <w:lang w:val="en-GB"/>
        </w:rPr>
        <w:drawing>
          <wp:inline distT="0" distB="0" distL="0" distR="0" wp14:anchorId="5B77CFAC" wp14:editId="1E66D054">
            <wp:extent cx="6019800" cy="2244884"/>
            <wp:effectExtent l="0" t="0" r="0" b="0"/>
            <wp:docPr id="1958187220" name="Picture 195818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02029" name=""/>
                    <pic:cNvPicPr/>
                  </pic:nvPicPr>
                  <pic:blipFill>
                    <a:blip r:embed="rId74">
                      <a:extLst>
                        <a:ext uri="{28A0092B-C50C-407E-A947-70E740481C1C}">
                          <a14:useLocalDpi xmlns:a14="http://schemas.microsoft.com/office/drawing/2010/main" val="0"/>
                        </a:ext>
                      </a:extLst>
                    </a:blip>
                    <a:stretch>
                      <a:fillRect/>
                    </a:stretch>
                  </pic:blipFill>
                  <pic:spPr>
                    <a:xfrm>
                      <a:off x="0" y="0"/>
                      <a:ext cx="6019800" cy="2244884"/>
                    </a:xfrm>
                    <a:prstGeom prst="rect">
                      <a:avLst/>
                    </a:prstGeom>
                  </pic:spPr>
                </pic:pic>
              </a:graphicData>
            </a:graphic>
          </wp:inline>
        </w:drawing>
      </w:r>
    </w:p>
    <w:p w14:paraId="69D5C6E8" w14:textId="6697F48C" w:rsidR="00FE4D65" w:rsidRPr="00FE4D65" w:rsidRDefault="00FE4D65" w:rsidP="00824C17">
      <w:pPr>
        <w:rPr>
          <w:lang w:val="en-GB"/>
        </w:rPr>
      </w:pPr>
      <w:r w:rsidRPr="00FE4D65">
        <w:rPr>
          <w:lang w:val="en-GB"/>
        </w:rPr>
        <w:br w:type="page"/>
      </w:r>
    </w:p>
    <w:p w14:paraId="350319FA" w14:textId="77777777" w:rsidR="00FE4D65" w:rsidRPr="00FE4D65" w:rsidRDefault="00FE4D65" w:rsidP="00E663FD">
      <w:pPr>
        <w:pStyle w:val="TableNoBR"/>
        <w:rPr>
          <w:lang w:val="en-GB"/>
        </w:rPr>
      </w:pPr>
      <w:bookmarkStart w:id="594" w:name="lt_pId1411"/>
      <w:r w:rsidRPr="00FE4D65">
        <w:rPr>
          <w:lang w:val="es-ES"/>
        </w:rPr>
        <w:lastRenderedPageBreak/>
        <w:t>CUADRO 8.5.1-3</w:t>
      </w:r>
      <w:bookmarkEnd w:id="594"/>
    </w:p>
    <w:p w14:paraId="5308491C" w14:textId="77777777" w:rsidR="00FE4D65" w:rsidRPr="00FE4D65" w:rsidRDefault="00FE4D65" w:rsidP="00824C17">
      <w:pPr>
        <w:pStyle w:val="Figure"/>
        <w:rPr>
          <w:lang w:val="en-GB"/>
        </w:rPr>
      </w:pPr>
      <w:r w:rsidRPr="00FE4D65">
        <w:rPr>
          <w:noProof/>
          <w:lang w:val="en-GB"/>
        </w:rPr>
        <w:drawing>
          <wp:inline distT="0" distB="0" distL="0" distR="0" wp14:anchorId="6952EDFF" wp14:editId="4816721E">
            <wp:extent cx="6120000" cy="2116800"/>
            <wp:effectExtent l="0" t="0" r="0" b="0"/>
            <wp:docPr id="1753490617" name="Picture 175349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44944" name=""/>
                    <pic:cNvPicPr/>
                  </pic:nvPicPr>
                  <pic:blipFill>
                    <a:blip r:embed="rId75">
                      <a:extLst>
                        <a:ext uri="{28A0092B-C50C-407E-A947-70E740481C1C}">
                          <a14:useLocalDpi xmlns:a14="http://schemas.microsoft.com/office/drawing/2010/main" val="0"/>
                        </a:ext>
                      </a:extLst>
                    </a:blip>
                    <a:stretch>
                      <a:fillRect/>
                    </a:stretch>
                  </pic:blipFill>
                  <pic:spPr>
                    <a:xfrm>
                      <a:off x="0" y="0"/>
                      <a:ext cx="6120000" cy="2116800"/>
                    </a:xfrm>
                    <a:prstGeom prst="rect">
                      <a:avLst/>
                    </a:prstGeom>
                  </pic:spPr>
                </pic:pic>
              </a:graphicData>
            </a:graphic>
          </wp:inline>
        </w:drawing>
      </w:r>
    </w:p>
    <w:p w14:paraId="7FE9A756" w14:textId="77777777" w:rsidR="00FE4D65" w:rsidRPr="00FE4D65" w:rsidRDefault="00FE4D65" w:rsidP="00824C17">
      <w:pPr>
        <w:pStyle w:val="Figure"/>
        <w:rPr>
          <w:lang w:val="en-GB"/>
        </w:rPr>
      </w:pPr>
      <w:r w:rsidRPr="00FE4D65">
        <w:rPr>
          <w:noProof/>
          <w:lang w:val="en-GB"/>
        </w:rPr>
        <w:drawing>
          <wp:inline distT="0" distB="0" distL="0" distR="0" wp14:anchorId="50C4AC1C" wp14:editId="2D779737">
            <wp:extent cx="6120000" cy="1299600"/>
            <wp:effectExtent l="0" t="0" r="0" b="0"/>
            <wp:docPr id="132178392" name="Picture 13217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54458" name=""/>
                    <pic:cNvPicPr/>
                  </pic:nvPicPr>
                  <pic:blipFill>
                    <a:blip r:embed="rId76">
                      <a:extLst>
                        <a:ext uri="{28A0092B-C50C-407E-A947-70E740481C1C}">
                          <a14:useLocalDpi xmlns:a14="http://schemas.microsoft.com/office/drawing/2010/main" val="0"/>
                        </a:ext>
                      </a:extLst>
                    </a:blip>
                    <a:stretch>
                      <a:fillRect/>
                    </a:stretch>
                  </pic:blipFill>
                  <pic:spPr>
                    <a:xfrm>
                      <a:off x="0" y="0"/>
                      <a:ext cx="6120000" cy="1299600"/>
                    </a:xfrm>
                    <a:prstGeom prst="rect">
                      <a:avLst/>
                    </a:prstGeom>
                  </pic:spPr>
                </pic:pic>
              </a:graphicData>
            </a:graphic>
          </wp:inline>
        </w:drawing>
      </w:r>
    </w:p>
    <w:p w14:paraId="41C58B39" w14:textId="77777777" w:rsidR="00FE4D65" w:rsidRPr="00FE4D65" w:rsidRDefault="00FE4D65" w:rsidP="00824C17">
      <w:pPr>
        <w:pStyle w:val="Heading3"/>
        <w:rPr>
          <w:lang w:val="es-ES"/>
        </w:rPr>
      </w:pPr>
      <w:r w:rsidRPr="00FE4D65">
        <w:rPr>
          <w:lang w:val="es-ES"/>
        </w:rPr>
        <w:t>8.5.2</w:t>
      </w:r>
      <w:r w:rsidRPr="00FE4D65">
        <w:rPr>
          <w:lang w:val="es-ES"/>
        </w:rPr>
        <w:tab/>
        <w:t>Miembros del UIT-R</w:t>
      </w:r>
      <w:bookmarkStart w:id="595" w:name="lt_pId1413"/>
      <w:bookmarkEnd w:id="595"/>
    </w:p>
    <w:p w14:paraId="527AE2A5" w14:textId="245D12FD" w:rsidR="00FE4D65" w:rsidRPr="00FE4D65" w:rsidRDefault="00FE4D65" w:rsidP="00FE4D65">
      <w:pPr>
        <w:rPr>
          <w:lang w:val="es-ES"/>
        </w:rPr>
      </w:pPr>
      <w:bookmarkStart w:id="596" w:name="lt_pId1414"/>
      <w:r w:rsidRPr="00FE4D65">
        <w:rPr>
          <w:lang w:val="es-ES"/>
        </w:rPr>
        <w:t>En el Cuadro</w:t>
      </w:r>
      <w:r w:rsidR="00D06157">
        <w:rPr>
          <w:lang w:val="es-ES"/>
        </w:rPr>
        <w:t> </w:t>
      </w:r>
      <w:r w:rsidRPr="00FE4D65">
        <w:rPr>
          <w:lang w:val="es-ES"/>
        </w:rPr>
        <w:t>8.5.2 se muestra la evolución del número de Miembros de Sector, Asociados e Instituciones Académicas del UIT-R durante el periodo comprendido entre 2019 y 2023.</w:t>
      </w:r>
      <w:bookmarkEnd w:id="596"/>
    </w:p>
    <w:p w14:paraId="13FC4858" w14:textId="77777777" w:rsidR="00D06157" w:rsidRDefault="00FE4D65" w:rsidP="00D06157">
      <w:pPr>
        <w:pStyle w:val="TableNoBR"/>
        <w:rPr>
          <w:lang w:val="es-ES"/>
        </w:rPr>
      </w:pPr>
      <w:bookmarkStart w:id="597" w:name="lt_pId1415"/>
      <w:r w:rsidRPr="00FE4D65">
        <w:rPr>
          <w:lang w:val="es-ES"/>
        </w:rPr>
        <w:t>CUADRO 8.5.2</w:t>
      </w:r>
      <w:bookmarkStart w:id="598" w:name="lt_pId1416"/>
      <w:bookmarkEnd w:id="597"/>
    </w:p>
    <w:p w14:paraId="28769B1C" w14:textId="3687D4D2" w:rsidR="00FE4D65" w:rsidRPr="00FE4D65" w:rsidRDefault="00FE4D65" w:rsidP="00D06157">
      <w:pPr>
        <w:pStyle w:val="TabletitleBR"/>
        <w:rPr>
          <w:lang w:val="es-ES"/>
        </w:rPr>
      </w:pPr>
      <w:r w:rsidRPr="00FE4D65">
        <w:rPr>
          <w:lang w:val="es-ES"/>
        </w:rPr>
        <w:t>Evolución de los Miembros del UIT-R desde 2019</w:t>
      </w:r>
      <w:bookmarkEnd w:id="5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012"/>
        <w:gridCol w:w="1559"/>
        <w:gridCol w:w="1134"/>
        <w:gridCol w:w="1134"/>
        <w:gridCol w:w="938"/>
        <w:gridCol w:w="1135"/>
        <w:gridCol w:w="1182"/>
      </w:tblGrid>
      <w:tr w:rsidR="00FE4D65" w:rsidRPr="00FE4D65" w14:paraId="444B533D" w14:textId="77777777" w:rsidTr="00D06157">
        <w:trPr>
          <w:trHeight w:val="300"/>
          <w:jc w:val="center"/>
        </w:trPr>
        <w:tc>
          <w:tcPr>
            <w:tcW w:w="1535" w:type="dxa"/>
          </w:tcPr>
          <w:p w14:paraId="702B4F90" w14:textId="77777777" w:rsidR="00FE4D65" w:rsidRPr="00FE4D65" w:rsidRDefault="00FE4D65" w:rsidP="00CC37EB">
            <w:pPr>
              <w:pStyle w:val="Tablehead"/>
              <w:rPr>
                <w:lang w:val="es-ES"/>
              </w:rPr>
            </w:pPr>
          </w:p>
        </w:tc>
        <w:tc>
          <w:tcPr>
            <w:tcW w:w="1012" w:type="dxa"/>
          </w:tcPr>
          <w:p w14:paraId="48984ABD" w14:textId="77777777" w:rsidR="00FE4D65" w:rsidRPr="00FE4D65" w:rsidRDefault="00FE4D65" w:rsidP="00CC37EB">
            <w:pPr>
              <w:pStyle w:val="Tablehead"/>
              <w:rPr>
                <w:bCs/>
                <w:lang w:val="en-GB"/>
              </w:rPr>
            </w:pPr>
            <w:r w:rsidRPr="00FE4D65">
              <w:rPr>
                <w:bCs/>
                <w:lang w:val="es-ES"/>
              </w:rPr>
              <w:t>2019</w:t>
            </w:r>
          </w:p>
        </w:tc>
        <w:tc>
          <w:tcPr>
            <w:tcW w:w="1559" w:type="dxa"/>
          </w:tcPr>
          <w:p w14:paraId="1577FF37" w14:textId="77777777" w:rsidR="00FE4D65" w:rsidRPr="00FE4D65" w:rsidRDefault="00FE4D65" w:rsidP="00CC37EB">
            <w:pPr>
              <w:pStyle w:val="Tablehead"/>
              <w:rPr>
                <w:bCs/>
                <w:lang w:val="en-GB"/>
              </w:rPr>
            </w:pPr>
            <w:r w:rsidRPr="00FE4D65">
              <w:rPr>
                <w:bCs/>
                <w:lang w:val="es-ES"/>
              </w:rPr>
              <w:t>2020</w:t>
            </w:r>
          </w:p>
        </w:tc>
        <w:tc>
          <w:tcPr>
            <w:tcW w:w="1134" w:type="dxa"/>
          </w:tcPr>
          <w:p w14:paraId="3786B08E" w14:textId="77777777" w:rsidR="00FE4D65" w:rsidRPr="00FE4D65" w:rsidRDefault="00FE4D65" w:rsidP="00CC37EB">
            <w:pPr>
              <w:pStyle w:val="Tablehead"/>
              <w:rPr>
                <w:bCs/>
                <w:lang w:val="en-GB"/>
              </w:rPr>
            </w:pPr>
            <w:r w:rsidRPr="00FE4D65">
              <w:rPr>
                <w:bCs/>
                <w:lang w:val="es-ES"/>
              </w:rPr>
              <w:t>2021</w:t>
            </w:r>
          </w:p>
        </w:tc>
        <w:tc>
          <w:tcPr>
            <w:tcW w:w="1134" w:type="dxa"/>
          </w:tcPr>
          <w:p w14:paraId="45300DAE" w14:textId="77777777" w:rsidR="00FE4D65" w:rsidRPr="00FE4D65" w:rsidRDefault="00FE4D65" w:rsidP="00CC37EB">
            <w:pPr>
              <w:pStyle w:val="Tablehead"/>
              <w:rPr>
                <w:bCs/>
                <w:lang w:val="en-GB"/>
              </w:rPr>
            </w:pPr>
            <w:r w:rsidRPr="00FE4D65">
              <w:rPr>
                <w:bCs/>
                <w:lang w:val="es-ES"/>
              </w:rPr>
              <w:t>2022</w:t>
            </w:r>
          </w:p>
        </w:tc>
        <w:tc>
          <w:tcPr>
            <w:tcW w:w="938" w:type="dxa"/>
          </w:tcPr>
          <w:p w14:paraId="5F899ABC" w14:textId="77777777" w:rsidR="00FE4D65" w:rsidRPr="00FE4D65" w:rsidRDefault="00FE4D65" w:rsidP="00CC37EB">
            <w:pPr>
              <w:pStyle w:val="Tablehead"/>
              <w:rPr>
                <w:bCs/>
                <w:lang w:val="en-GB"/>
              </w:rPr>
            </w:pPr>
            <w:r w:rsidRPr="00FE4D65">
              <w:rPr>
                <w:bCs/>
                <w:lang w:val="es-ES"/>
              </w:rPr>
              <w:t>2023</w:t>
            </w:r>
          </w:p>
        </w:tc>
        <w:tc>
          <w:tcPr>
            <w:tcW w:w="1135" w:type="dxa"/>
          </w:tcPr>
          <w:p w14:paraId="3D0205EC" w14:textId="67F1D105" w:rsidR="00FE4D65" w:rsidRPr="00FE4D65" w:rsidRDefault="00FE4D65" w:rsidP="00CC37EB">
            <w:pPr>
              <w:pStyle w:val="Tablehead"/>
              <w:rPr>
                <w:bCs/>
                <w:lang w:val="en-GB"/>
              </w:rPr>
            </w:pPr>
            <w:r w:rsidRPr="00FE4D65">
              <w:rPr>
                <w:bCs/>
                <w:lang w:val="es-ES"/>
              </w:rPr>
              <w:t>2023</w:t>
            </w:r>
            <w:r w:rsidR="00D06157">
              <w:rPr>
                <w:bCs/>
                <w:lang w:val="es-ES"/>
              </w:rPr>
              <w:br/>
            </w:r>
            <w:r w:rsidRPr="00FE4D65">
              <w:rPr>
                <w:bCs/>
                <w:lang w:val="es-ES"/>
              </w:rPr>
              <w:t>vs</w:t>
            </w:r>
            <w:r w:rsidR="00D06157">
              <w:rPr>
                <w:bCs/>
                <w:lang w:val="es-ES"/>
              </w:rPr>
              <w:br/>
            </w:r>
            <w:r w:rsidRPr="00FE4D65">
              <w:rPr>
                <w:bCs/>
                <w:lang w:val="es-ES"/>
              </w:rPr>
              <w:t>2019</w:t>
            </w:r>
            <w:bookmarkStart w:id="599" w:name="lt_pId1423"/>
            <w:bookmarkEnd w:id="599"/>
          </w:p>
        </w:tc>
        <w:tc>
          <w:tcPr>
            <w:tcW w:w="1182" w:type="dxa"/>
          </w:tcPr>
          <w:p w14:paraId="11AA1098" w14:textId="0C578EC2" w:rsidR="00FE4D65" w:rsidRPr="00FE4D65" w:rsidRDefault="00FE4D65" w:rsidP="00CC37EB">
            <w:pPr>
              <w:pStyle w:val="Tablehead"/>
              <w:rPr>
                <w:bCs/>
                <w:lang w:val="en-GB"/>
              </w:rPr>
            </w:pPr>
            <w:bookmarkStart w:id="600" w:name="lt_pId1425"/>
            <w:r w:rsidRPr="00FE4D65">
              <w:rPr>
                <w:bCs/>
                <w:lang w:val="es-ES"/>
              </w:rPr>
              <w:t>%</w:t>
            </w:r>
            <w:r w:rsidR="00D06157">
              <w:rPr>
                <w:bCs/>
                <w:lang w:val="es-ES"/>
              </w:rPr>
              <w:br/>
            </w:r>
            <w:r w:rsidRPr="00FE4D65">
              <w:rPr>
                <w:bCs/>
                <w:lang w:val="es-ES"/>
              </w:rPr>
              <w:t>de aumento</w:t>
            </w:r>
            <w:bookmarkEnd w:id="600"/>
          </w:p>
        </w:tc>
      </w:tr>
      <w:tr w:rsidR="00FE4D65" w:rsidRPr="00FE4D65" w14:paraId="10484B9B" w14:textId="77777777" w:rsidTr="00D06157">
        <w:trPr>
          <w:trHeight w:val="300"/>
          <w:jc w:val="center"/>
        </w:trPr>
        <w:tc>
          <w:tcPr>
            <w:tcW w:w="1535" w:type="dxa"/>
          </w:tcPr>
          <w:p w14:paraId="18C51198" w14:textId="62757A74" w:rsidR="00FE4D65" w:rsidRPr="00D06157" w:rsidRDefault="00FE4D65" w:rsidP="00D06157">
            <w:pPr>
              <w:pStyle w:val="Tabletext"/>
              <w:jc w:val="center"/>
              <w:rPr>
                <w:b/>
                <w:bCs/>
                <w:lang w:val="en-GB"/>
              </w:rPr>
            </w:pPr>
            <w:bookmarkStart w:id="601" w:name="lt_pId1426"/>
            <w:r w:rsidRPr="00D06157">
              <w:rPr>
                <w:b/>
                <w:bCs/>
                <w:lang w:val="es-ES"/>
              </w:rPr>
              <w:t>Miembros de Sector</w:t>
            </w:r>
            <w:bookmarkEnd w:id="601"/>
          </w:p>
        </w:tc>
        <w:tc>
          <w:tcPr>
            <w:tcW w:w="1012" w:type="dxa"/>
          </w:tcPr>
          <w:p w14:paraId="5B40C42A" w14:textId="77777777" w:rsidR="00FE4D65" w:rsidRPr="00FE4D65" w:rsidRDefault="00FE4D65" w:rsidP="00D06157">
            <w:pPr>
              <w:pStyle w:val="Tabletext"/>
              <w:jc w:val="center"/>
              <w:rPr>
                <w:lang w:val="en-GB"/>
              </w:rPr>
            </w:pPr>
            <w:r w:rsidRPr="00FE4D65">
              <w:rPr>
                <w:lang w:val="es-ES"/>
              </w:rPr>
              <w:t>272</w:t>
            </w:r>
          </w:p>
        </w:tc>
        <w:tc>
          <w:tcPr>
            <w:tcW w:w="1559" w:type="dxa"/>
          </w:tcPr>
          <w:p w14:paraId="5EB27831" w14:textId="77777777" w:rsidR="00FE4D65" w:rsidRPr="00FE4D65" w:rsidRDefault="00FE4D65" w:rsidP="00D06157">
            <w:pPr>
              <w:pStyle w:val="Tabletext"/>
              <w:jc w:val="center"/>
              <w:rPr>
                <w:lang w:val="en-GB"/>
              </w:rPr>
            </w:pPr>
            <w:r w:rsidRPr="00FE4D65">
              <w:rPr>
                <w:lang w:val="es-ES"/>
              </w:rPr>
              <w:t>275</w:t>
            </w:r>
          </w:p>
        </w:tc>
        <w:tc>
          <w:tcPr>
            <w:tcW w:w="1134" w:type="dxa"/>
          </w:tcPr>
          <w:p w14:paraId="7FB9D014" w14:textId="77777777" w:rsidR="00FE4D65" w:rsidRPr="00FE4D65" w:rsidRDefault="00FE4D65" w:rsidP="00D06157">
            <w:pPr>
              <w:pStyle w:val="Tabletext"/>
              <w:jc w:val="center"/>
              <w:rPr>
                <w:lang w:val="en-GB"/>
              </w:rPr>
            </w:pPr>
            <w:r w:rsidRPr="00FE4D65">
              <w:rPr>
                <w:lang w:val="es-ES"/>
              </w:rPr>
              <w:t>278</w:t>
            </w:r>
          </w:p>
        </w:tc>
        <w:tc>
          <w:tcPr>
            <w:tcW w:w="1134" w:type="dxa"/>
          </w:tcPr>
          <w:p w14:paraId="16709F21" w14:textId="77777777" w:rsidR="00FE4D65" w:rsidRPr="00FE4D65" w:rsidRDefault="00FE4D65" w:rsidP="00D06157">
            <w:pPr>
              <w:pStyle w:val="Tabletext"/>
              <w:jc w:val="center"/>
              <w:rPr>
                <w:lang w:val="en-GB"/>
              </w:rPr>
            </w:pPr>
            <w:r w:rsidRPr="00FE4D65">
              <w:rPr>
                <w:lang w:val="es-ES"/>
              </w:rPr>
              <w:t>278</w:t>
            </w:r>
          </w:p>
        </w:tc>
        <w:tc>
          <w:tcPr>
            <w:tcW w:w="938" w:type="dxa"/>
          </w:tcPr>
          <w:p w14:paraId="7995853C" w14:textId="77777777" w:rsidR="00FE4D65" w:rsidRPr="00FE4D65" w:rsidRDefault="00FE4D65" w:rsidP="00D06157">
            <w:pPr>
              <w:pStyle w:val="Tabletext"/>
              <w:jc w:val="center"/>
              <w:rPr>
                <w:lang w:val="en-GB"/>
              </w:rPr>
            </w:pPr>
            <w:r w:rsidRPr="00FE4D65">
              <w:rPr>
                <w:lang w:val="es-ES"/>
              </w:rPr>
              <w:t>283</w:t>
            </w:r>
          </w:p>
        </w:tc>
        <w:tc>
          <w:tcPr>
            <w:tcW w:w="1135" w:type="dxa"/>
          </w:tcPr>
          <w:p w14:paraId="78253D3D" w14:textId="77777777" w:rsidR="00FE4D65" w:rsidRPr="00FE4D65" w:rsidRDefault="00FE4D65" w:rsidP="00D06157">
            <w:pPr>
              <w:pStyle w:val="Tabletext"/>
              <w:jc w:val="center"/>
              <w:rPr>
                <w:lang w:val="en-GB"/>
              </w:rPr>
            </w:pPr>
            <w:r w:rsidRPr="00FE4D65">
              <w:rPr>
                <w:lang w:val="es-ES"/>
              </w:rPr>
              <w:t>11</w:t>
            </w:r>
          </w:p>
        </w:tc>
        <w:tc>
          <w:tcPr>
            <w:tcW w:w="1182" w:type="dxa"/>
          </w:tcPr>
          <w:p w14:paraId="47AB4379" w14:textId="25CE70B0" w:rsidR="00FE4D65" w:rsidRPr="00FE4D65" w:rsidRDefault="00FE4D65" w:rsidP="00D06157">
            <w:pPr>
              <w:pStyle w:val="Tabletext"/>
              <w:jc w:val="center"/>
              <w:rPr>
                <w:lang w:val="en-GB"/>
              </w:rPr>
            </w:pPr>
            <w:r w:rsidRPr="00FE4D65">
              <w:rPr>
                <w:lang w:val="es-ES"/>
              </w:rPr>
              <w:t>4,04</w:t>
            </w:r>
          </w:p>
        </w:tc>
      </w:tr>
      <w:tr w:rsidR="00FE4D65" w:rsidRPr="00FE4D65" w14:paraId="6C591DE1" w14:textId="77777777" w:rsidTr="00D06157">
        <w:trPr>
          <w:trHeight w:val="300"/>
          <w:jc w:val="center"/>
        </w:trPr>
        <w:tc>
          <w:tcPr>
            <w:tcW w:w="1535" w:type="dxa"/>
          </w:tcPr>
          <w:p w14:paraId="40893A32" w14:textId="4C5A53E6" w:rsidR="00FE4D65" w:rsidRPr="00D06157" w:rsidRDefault="00FE4D65" w:rsidP="00D06157">
            <w:pPr>
              <w:pStyle w:val="Tabletext"/>
              <w:jc w:val="center"/>
              <w:rPr>
                <w:b/>
                <w:bCs/>
                <w:lang w:val="en-GB"/>
              </w:rPr>
            </w:pPr>
            <w:bookmarkStart w:id="602" w:name="lt_pId1434"/>
            <w:r w:rsidRPr="00D06157">
              <w:rPr>
                <w:b/>
                <w:bCs/>
                <w:lang w:val="es-ES"/>
              </w:rPr>
              <w:t>Asociados</w:t>
            </w:r>
            <w:bookmarkEnd w:id="602"/>
          </w:p>
        </w:tc>
        <w:tc>
          <w:tcPr>
            <w:tcW w:w="1012" w:type="dxa"/>
          </w:tcPr>
          <w:p w14:paraId="6B8A758A" w14:textId="77777777" w:rsidR="00FE4D65" w:rsidRPr="00FE4D65" w:rsidRDefault="00FE4D65" w:rsidP="00D06157">
            <w:pPr>
              <w:pStyle w:val="Tabletext"/>
              <w:jc w:val="center"/>
              <w:rPr>
                <w:lang w:val="en-GB"/>
              </w:rPr>
            </w:pPr>
            <w:r w:rsidRPr="00FE4D65">
              <w:rPr>
                <w:lang w:val="es-ES"/>
              </w:rPr>
              <w:t>21</w:t>
            </w:r>
          </w:p>
        </w:tc>
        <w:tc>
          <w:tcPr>
            <w:tcW w:w="1559" w:type="dxa"/>
          </w:tcPr>
          <w:p w14:paraId="39CC261F" w14:textId="77777777" w:rsidR="00FE4D65" w:rsidRPr="00FE4D65" w:rsidRDefault="00FE4D65" w:rsidP="00D06157">
            <w:pPr>
              <w:pStyle w:val="Tabletext"/>
              <w:jc w:val="center"/>
              <w:rPr>
                <w:lang w:val="en-GB"/>
              </w:rPr>
            </w:pPr>
            <w:r w:rsidRPr="00FE4D65">
              <w:rPr>
                <w:lang w:val="es-ES"/>
              </w:rPr>
              <w:t>22</w:t>
            </w:r>
          </w:p>
        </w:tc>
        <w:tc>
          <w:tcPr>
            <w:tcW w:w="1134" w:type="dxa"/>
          </w:tcPr>
          <w:p w14:paraId="67DF37D2" w14:textId="77777777" w:rsidR="00FE4D65" w:rsidRPr="00FE4D65" w:rsidRDefault="00FE4D65" w:rsidP="00D06157">
            <w:pPr>
              <w:pStyle w:val="Tabletext"/>
              <w:jc w:val="center"/>
              <w:rPr>
                <w:lang w:val="en-GB"/>
              </w:rPr>
            </w:pPr>
            <w:r w:rsidRPr="00FE4D65">
              <w:rPr>
                <w:lang w:val="es-ES"/>
              </w:rPr>
              <w:t>28</w:t>
            </w:r>
          </w:p>
        </w:tc>
        <w:tc>
          <w:tcPr>
            <w:tcW w:w="1134" w:type="dxa"/>
          </w:tcPr>
          <w:p w14:paraId="796D54D8" w14:textId="77777777" w:rsidR="00FE4D65" w:rsidRPr="00FE4D65" w:rsidRDefault="00FE4D65" w:rsidP="00D06157">
            <w:pPr>
              <w:pStyle w:val="Tabletext"/>
              <w:jc w:val="center"/>
              <w:rPr>
                <w:lang w:val="en-GB"/>
              </w:rPr>
            </w:pPr>
            <w:r w:rsidRPr="00FE4D65">
              <w:rPr>
                <w:lang w:val="es-ES"/>
              </w:rPr>
              <w:t>38</w:t>
            </w:r>
          </w:p>
        </w:tc>
        <w:tc>
          <w:tcPr>
            <w:tcW w:w="938" w:type="dxa"/>
          </w:tcPr>
          <w:p w14:paraId="6D8B1398" w14:textId="7B996690" w:rsidR="00FE4D65" w:rsidRPr="00FE4D65" w:rsidRDefault="00FE4D65" w:rsidP="00D06157">
            <w:pPr>
              <w:pStyle w:val="Tabletext"/>
              <w:jc w:val="center"/>
              <w:rPr>
                <w:lang w:val="en-GB"/>
              </w:rPr>
            </w:pPr>
            <w:r w:rsidRPr="00FE4D65">
              <w:rPr>
                <w:lang w:val="es-ES"/>
              </w:rPr>
              <w:t>44</w:t>
            </w:r>
          </w:p>
        </w:tc>
        <w:tc>
          <w:tcPr>
            <w:tcW w:w="1135" w:type="dxa"/>
          </w:tcPr>
          <w:p w14:paraId="0B7BAA14" w14:textId="77777777" w:rsidR="00FE4D65" w:rsidRPr="00FE4D65" w:rsidRDefault="00FE4D65" w:rsidP="00D06157">
            <w:pPr>
              <w:pStyle w:val="Tabletext"/>
              <w:jc w:val="center"/>
              <w:rPr>
                <w:lang w:val="en-GB"/>
              </w:rPr>
            </w:pPr>
            <w:r w:rsidRPr="00FE4D65">
              <w:rPr>
                <w:lang w:val="es-ES"/>
              </w:rPr>
              <w:t>23</w:t>
            </w:r>
          </w:p>
        </w:tc>
        <w:tc>
          <w:tcPr>
            <w:tcW w:w="1182" w:type="dxa"/>
          </w:tcPr>
          <w:p w14:paraId="22387E7C" w14:textId="7BC5C92E" w:rsidR="00FE4D65" w:rsidRPr="00FE4D65" w:rsidRDefault="00FE4D65" w:rsidP="00D06157">
            <w:pPr>
              <w:pStyle w:val="Tabletext"/>
              <w:jc w:val="center"/>
              <w:rPr>
                <w:lang w:val="en-GB"/>
              </w:rPr>
            </w:pPr>
            <w:r w:rsidRPr="00FE4D65">
              <w:rPr>
                <w:lang w:val="es-ES"/>
              </w:rPr>
              <w:t>109,5</w:t>
            </w:r>
          </w:p>
        </w:tc>
      </w:tr>
      <w:tr w:rsidR="00FE4D65" w:rsidRPr="00FE4D65" w14:paraId="0464E0D7" w14:textId="77777777" w:rsidTr="00D06157">
        <w:trPr>
          <w:trHeight w:val="315"/>
          <w:jc w:val="center"/>
        </w:trPr>
        <w:tc>
          <w:tcPr>
            <w:tcW w:w="1535" w:type="dxa"/>
          </w:tcPr>
          <w:p w14:paraId="31DC41D7" w14:textId="7EE1D1D9" w:rsidR="00FE4D65" w:rsidRPr="00D06157" w:rsidRDefault="00FE4D65" w:rsidP="00D06157">
            <w:pPr>
              <w:pStyle w:val="Tabletext"/>
              <w:jc w:val="center"/>
              <w:rPr>
                <w:b/>
                <w:bCs/>
                <w:lang w:val="en-GB"/>
              </w:rPr>
            </w:pPr>
            <w:bookmarkStart w:id="603" w:name="lt_pId1442"/>
            <w:r w:rsidRPr="00D06157">
              <w:rPr>
                <w:b/>
                <w:bCs/>
                <w:lang w:val="es-ES"/>
              </w:rPr>
              <w:t>Instituciones Académicas*</w:t>
            </w:r>
            <w:bookmarkEnd w:id="603"/>
          </w:p>
        </w:tc>
        <w:tc>
          <w:tcPr>
            <w:tcW w:w="1012" w:type="dxa"/>
          </w:tcPr>
          <w:p w14:paraId="69D6ADBE" w14:textId="77777777" w:rsidR="00FE4D65" w:rsidRPr="00FE4D65" w:rsidRDefault="00FE4D65" w:rsidP="00D06157">
            <w:pPr>
              <w:pStyle w:val="Tabletext"/>
              <w:jc w:val="center"/>
              <w:rPr>
                <w:lang w:val="en-GB"/>
              </w:rPr>
            </w:pPr>
            <w:r w:rsidRPr="00FE4D65">
              <w:rPr>
                <w:lang w:val="es-ES"/>
              </w:rPr>
              <w:t>156</w:t>
            </w:r>
          </w:p>
        </w:tc>
        <w:tc>
          <w:tcPr>
            <w:tcW w:w="1559" w:type="dxa"/>
          </w:tcPr>
          <w:p w14:paraId="6BD44DA7" w14:textId="77777777" w:rsidR="00FE4D65" w:rsidRPr="00FE4D65" w:rsidRDefault="00FE4D65" w:rsidP="00D06157">
            <w:pPr>
              <w:pStyle w:val="Tabletext"/>
              <w:jc w:val="center"/>
              <w:rPr>
                <w:lang w:val="en-GB"/>
              </w:rPr>
            </w:pPr>
            <w:r w:rsidRPr="00FE4D65">
              <w:rPr>
                <w:lang w:val="es-ES"/>
              </w:rPr>
              <w:t>161</w:t>
            </w:r>
          </w:p>
        </w:tc>
        <w:tc>
          <w:tcPr>
            <w:tcW w:w="1134" w:type="dxa"/>
          </w:tcPr>
          <w:p w14:paraId="4AB3F4A1" w14:textId="77777777" w:rsidR="00FE4D65" w:rsidRPr="00FE4D65" w:rsidRDefault="00FE4D65" w:rsidP="00D06157">
            <w:pPr>
              <w:pStyle w:val="Tabletext"/>
              <w:jc w:val="center"/>
              <w:rPr>
                <w:lang w:val="en-GB"/>
              </w:rPr>
            </w:pPr>
            <w:r w:rsidRPr="00FE4D65">
              <w:rPr>
                <w:lang w:val="es-ES"/>
              </w:rPr>
              <w:t>161</w:t>
            </w:r>
          </w:p>
        </w:tc>
        <w:tc>
          <w:tcPr>
            <w:tcW w:w="1134" w:type="dxa"/>
          </w:tcPr>
          <w:p w14:paraId="74BCB328" w14:textId="77777777" w:rsidR="00FE4D65" w:rsidRPr="00FE4D65" w:rsidRDefault="00FE4D65" w:rsidP="00D06157">
            <w:pPr>
              <w:pStyle w:val="Tabletext"/>
              <w:jc w:val="center"/>
              <w:rPr>
                <w:lang w:val="en-GB"/>
              </w:rPr>
            </w:pPr>
            <w:r w:rsidRPr="00FE4D65">
              <w:rPr>
                <w:lang w:val="es-ES"/>
              </w:rPr>
              <w:t>171</w:t>
            </w:r>
          </w:p>
        </w:tc>
        <w:tc>
          <w:tcPr>
            <w:tcW w:w="938" w:type="dxa"/>
          </w:tcPr>
          <w:p w14:paraId="43F3DE6E" w14:textId="4700A463" w:rsidR="00FE4D65" w:rsidRPr="00FE4D65" w:rsidRDefault="00FE4D65" w:rsidP="00D06157">
            <w:pPr>
              <w:pStyle w:val="Tabletext"/>
              <w:jc w:val="center"/>
              <w:rPr>
                <w:lang w:val="en-GB"/>
              </w:rPr>
            </w:pPr>
            <w:r w:rsidRPr="00FE4D65">
              <w:rPr>
                <w:lang w:val="es-ES"/>
              </w:rPr>
              <w:t>169</w:t>
            </w:r>
          </w:p>
        </w:tc>
        <w:tc>
          <w:tcPr>
            <w:tcW w:w="1135" w:type="dxa"/>
          </w:tcPr>
          <w:p w14:paraId="7DA90B9B" w14:textId="77777777" w:rsidR="00FE4D65" w:rsidRPr="00FE4D65" w:rsidRDefault="00FE4D65" w:rsidP="00D06157">
            <w:pPr>
              <w:pStyle w:val="Tabletext"/>
              <w:jc w:val="center"/>
              <w:rPr>
                <w:lang w:val="en-GB"/>
              </w:rPr>
            </w:pPr>
            <w:r w:rsidRPr="00FE4D65">
              <w:rPr>
                <w:lang w:val="es-ES"/>
              </w:rPr>
              <w:t>13</w:t>
            </w:r>
          </w:p>
        </w:tc>
        <w:tc>
          <w:tcPr>
            <w:tcW w:w="1182" w:type="dxa"/>
          </w:tcPr>
          <w:p w14:paraId="592F3DDB" w14:textId="6DC3E138" w:rsidR="00FE4D65" w:rsidRPr="00FE4D65" w:rsidRDefault="00FE4D65" w:rsidP="00D06157">
            <w:pPr>
              <w:pStyle w:val="Tabletext"/>
              <w:jc w:val="center"/>
              <w:rPr>
                <w:lang w:val="en-GB"/>
              </w:rPr>
            </w:pPr>
            <w:r w:rsidRPr="00FE4D65">
              <w:rPr>
                <w:lang w:val="es-ES"/>
              </w:rPr>
              <w:t>8,33</w:t>
            </w:r>
          </w:p>
        </w:tc>
      </w:tr>
    </w:tbl>
    <w:p w14:paraId="2D124943" w14:textId="77777777" w:rsidR="00FE4D65" w:rsidRPr="00D06157" w:rsidRDefault="00FE4D65" w:rsidP="00D06157">
      <w:pPr>
        <w:pStyle w:val="Tablelegend"/>
        <w:rPr>
          <w:i/>
          <w:iCs/>
          <w:lang w:val="es-ES"/>
        </w:rPr>
      </w:pPr>
      <w:bookmarkStart w:id="604" w:name="lt_pId1450"/>
      <w:r w:rsidRPr="00D06157">
        <w:rPr>
          <w:i/>
          <w:iCs/>
          <w:lang w:val="es-ES"/>
        </w:rPr>
        <w:t>* De acuerdo con la decisión de la PP-14, las Instituciones Académicas son Miembros de los tres Sectores de la UIT.</w:t>
      </w:r>
      <w:bookmarkEnd w:id="604"/>
    </w:p>
    <w:p w14:paraId="2DA31341" w14:textId="77777777" w:rsidR="00FE4D65" w:rsidRPr="00FE4D65" w:rsidRDefault="00FE4D65" w:rsidP="00824C17">
      <w:pPr>
        <w:rPr>
          <w:lang w:val="es-ES"/>
        </w:rPr>
      </w:pPr>
      <w:r w:rsidRPr="00FE4D65">
        <w:rPr>
          <w:lang w:val="es-ES"/>
        </w:rPr>
        <w:br w:type="page"/>
      </w:r>
    </w:p>
    <w:p w14:paraId="64266739" w14:textId="5EF06FF2" w:rsidR="00FE4D65" w:rsidRPr="00FE4D65" w:rsidRDefault="00D06157" w:rsidP="00D06157">
      <w:pPr>
        <w:pStyle w:val="Heading2"/>
      </w:pPr>
      <w:r>
        <w:lastRenderedPageBreak/>
        <w:t>8.6</w:t>
      </w:r>
      <w:r>
        <w:tab/>
      </w:r>
      <w:r w:rsidR="00FE4D65" w:rsidRPr="00FE4D65">
        <w:t>Comunicación y promoción</w:t>
      </w:r>
      <w:bookmarkStart w:id="605" w:name="lt_pId1452"/>
      <w:bookmarkEnd w:id="605"/>
    </w:p>
    <w:p w14:paraId="3052E1E8" w14:textId="77777777" w:rsidR="00FE4D65" w:rsidRPr="00FE4D65" w:rsidRDefault="00FE4D65" w:rsidP="00824C17">
      <w:pPr>
        <w:pStyle w:val="Heading3"/>
        <w:rPr>
          <w:lang w:val="es-ES"/>
        </w:rPr>
      </w:pPr>
      <w:r w:rsidRPr="00FE4D65">
        <w:rPr>
          <w:lang w:val="es-ES"/>
        </w:rPr>
        <w:t>8.6.1</w:t>
      </w:r>
      <w:r w:rsidRPr="00FE4D65">
        <w:rPr>
          <w:lang w:val="es-ES"/>
        </w:rPr>
        <w:tab/>
        <w:t>Sitios web y bases de datos</w:t>
      </w:r>
      <w:bookmarkStart w:id="606" w:name="lt_pId1454"/>
      <w:bookmarkEnd w:id="606"/>
    </w:p>
    <w:p w14:paraId="76B13FD8" w14:textId="77777777" w:rsidR="00FE4D65" w:rsidRPr="00FE4D65" w:rsidRDefault="00FE4D65" w:rsidP="00FE4D65">
      <w:pPr>
        <w:rPr>
          <w:lang w:val="es-ES"/>
        </w:rPr>
      </w:pPr>
      <w:bookmarkStart w:id="607" w:name="lt_pId1455"/>
      <w:r w:rsidRPr="00FE4D65">
        <w:rPr>
          <w:lang w:val="es-ES"/>
        </w:rPr>
        <w:t>El Equipo Web de la BR (</w:t>
      </w:r>
      <w:hyperlink r:id="rId77" w:history="1">
        <w:r w:rsidRPr="00FE4D65">
          <w:rPr>
            <w:rStyle w:val="Hyperlink"/>
            <w:lang w:val="es-ES"/>
          </w:rPr>
          <w:t>brweb@itu.int</w:t>
        </w:r>
      </w:hyperlink>
      <w:r w:rsidRPr="00FE4D65">
        <w:rPr>
          <w:lang w:val="es-ES"/>
        </w:rPr>
        <w:t>) se ocupa de mantener y garantizar constantemente la actividad de los sitios web del UIT-R, incluidas las bases de datos y demás sistemas de gestión de la información conexos.</w:t>
      </w:r>
      <w:bookmarkEnd w:id="607"/>
    </w:p>
    <w:p w14:paraId="08EB3503" w14:textId="77777777" w:rsidR="00FE4D65" w:rsidRPr="00FE4D65" w:rsidRDefault="00FE4D65" w:rsidP="00FE4D65">
      <w:pPr>
        <w:rPr>
          <w:lang w:val="es-ES"/>
        </w:rPr>
      </w:pPr>
      <w:bookmarkStart w:id="608" w:name="lt_pId1456"/>
      <w:r w:rsidRPr="00FE4D65">
        <w:rPr>
          <w:lang w:val="es-ES"/>
        </w:rPr>
        <w:t>Durante el tercer trimestre de 2023 la atención se centró en el sitio web de la CMR-23 y las actividades y novedades conexas.</w:t>
      </w:r>
      <w:bookmarkEnd w:id="608"/>
    </w:p>
    <w:p w14:paraId="425D6B2A" w14:textId="184CC7EC" w:rsidR="00FE4D65" w:rsidRPr="00FE4D65" w:rsidRDefault="00FE4D65" w:rsidP="00824C17">
      <w:pPr>
        <w:pStyle w:val="Heading4"/>
        <w:rPr>
          <w:lang w:val="es-ES"/>
        </w:rPr>
      </w:pPr>
      <w:r w:rsidRPr="00FE4D65">
        <w:rPr>
          <w:lang w:val="es-ES"/>
        </w:rPr>
        <w:t>8.6.1.1</w:t>
      </w:r>
      <w:r w:rsidRPr="00FE4D65">
        <w:rPr>
          <w:lang w:val="es-ES"/>
        </w:rPr>
        <w:tab/>
        <w:t xml:space="preserve">Nuevo sistema de gestión de contenidos (CMS) </w:t>
      </w:r>
      <w:r w:rsidR="00D06157" w:rsidRPr="7C4D8518">
        <w:rPr>
          <w:rFonts w:ascii="Wingdings" w:eastAsia="Wingdings" w:hAnsi="Wingdings" w:cs="Wingdings"/>
          <w:sz w:val="22"/>
          <w:szCs w:val="22"/>
        </w:rPr>
        <w:t>à</w:t>
      </w:r>
      <w:r w:rsidRPr="00FE4D65">
        <w:rPr>
          <w:lang w:val="es-ES"/>
        </w:rPr>
        <w:t xml:space="preserve"> WordPress</w:t>
      </w:r>
      <w:bookmarkStart w:id="609" w:name="lt_pId1458"/>
      <w:bookmarkEnd w:id="609"/>
    </w:p>
    <w:p w14:paraId="14E4F125" w14:textId="77777777" w:rsidR="00FE4D65" w:rsidRPr="00FE4D65" w:rsidRDefault="00FE4D65" w:rsidP="00FE4D65">
      <w:pPr>
        <w:rPr>
          <w:lang w:val="es-ES"/>
        </w:rPr>
      </w:pPr>
      <w:bookmarkStart w:id="610" w:name="lt_pId1459"/>
      <w:r w:rsidRPr="00FE4D65">
        <w:rPr>
          <w:lang w:val="es-ES"/>
        </w:rPr>
        <w:t>En 2023 se siguieron manteniendo los siguientes sitios web gestionados con WordPress CMS en los seis idiomas oficiales de la Unión:</w:t>
      </w:r>
      <w:bookmarkEnd w:id="610"/>
    </w:p>
    <w:p w14:paraId="61BB932A" w14:textId="781AAF79" w:rsidR="00FE4D65" w:rsidRPr="00D06157" w:rsidRDefault="00824C17" w:rsidP="00824C17">
      <w:pPr>
        <w:pStyle w:val="enumlev1"/>
        <w:rPr>
          <w:lang w:val="es-ES"/>
        </w:rPr>
      </w:pPr>
      <w:r w:rsidRPr="00824C17">
        <w:rPr>
          <w:lang w:val="es-ES"/>
        </w:rPr>
        <w:t>•</w:t>
      </w:r>
      <w:r>
        <w:rPr>
          <w:lang w:val="es-ES"/>
        </w:rPr>
        <w:tab/>
      </w:r>
      <w:hyperlink r:id="rId78" w:history="1">
        <w:bookmarkStart w:id="611" w:name="lt_pId1460"/>
        <w:r w:rsidR="00FE4D65" w:rsidRPr="00D06157">
          <w:rPr>
            <w:rStyle w:val="Hyperlink"/>
            <w:lang w:val="es-ES"/>
          </w:rPr>
          <w:t>Sitio web de la CMR-23</w:t>
        </w:r>
        <w:bookmarkEnd w:id="611"/>
      </w:hyperlink>
    </w:p>
    <w:p w14:paraId="740994C9" w14:textId="3E3ED967" w:rsidR="00FE4D65" w:rsidRPr="00FE4D65" w:rsidRDefault="00824C17" w:rsidP="00824C17">
      <w:pPr>
        <w:pStyle w:val="enumlev1"/>
        <w:rPr>
          <w:u w:val="single"/>
          <w:lang w:val="es-ES"/>
        </w:rPr>
      </w:pPr>
      <w:r w:rsidRPr="00824C17">
        <w:rPr>
          <w:lang w:val="es-ES"/>
        </w:rPr>
        <w:t>•</w:t>
      </w:r>
      <w:r>
        <w:rPr>
          <w:lang w:val="es-ES"/>
        </w:rPr>
        <w:tab/>
      </w:r>
      <w:hyperlink r:id="rId79" w:history="1">
        <w:bookmarkStart w:id="612" w:name="lt_pId1461"/>
        <w:r w:rsidR="00FE4D65" w:rsidRPr="00FE4D65">
          <w:rPr>
            <w:rStyle w:val="Hyperlink"/>
            <w:lang w:val="es-ES"/>
          </w:rPr>
          <w:t>Sitio web de la AR-23</w:t>
        </w:r>
        <w:bookmarkEnd w:id="612"/>
      </w:hyperlink>
    </w:p>
    <w:p w14:paraId="2E9DDDC1" w14:textId="219661FA" w:rsidR="00FE4D65" w:rsidRPr="00FE4D65" w:rsidRDefault="00824C17" w:rsidP="00824C17">
      <w:pPr>
        <w:pStyle w:val="enumlev1"/>
        <w:rPr>
          <w:lang w:val="es-ES"/>
        </w:rPr>
      </w:pPr>
      <w:r w:rsidRPr="00824C17">
        <w:rPr>
          <w:lang w:val="es-ES"/>
        </w:rPr>
        <w:t>•</w:t>
      </w:r>
      <w:r>
        <w:rPr>
          <w:lang w:val="es-ES"/>
        </w:rPr>
        <w:tab/>
      </w:r>
      <w:hyperlink r:id="rId80" w:history="1">
        <w:bookmarkStart w:id="613" w:name="lt_pId1462"/>
        <w:r w:rsidR="00FE4D65" w:rsidRPr="00FE4D65">
          <w:rPr>
            <w:rStyle w:val="Hyperlink"/>
            <w:lang w:val="es-ES"/>
          </w:rPr>
          <w:t>Red de Mujeres para la CMR-23 (NOW4WRC23)</w:t>
        </w:r>
        <w:bookmarkEnd w:id="613"/>
      </w:hyperlink>
    </w:p>
    <w:p w14:paraId="7950FCF7" w14:textId="77777777" w:rsidR="00FE4D65" w:rsidRPr="00FE4D65" w:rsidRDefault="00FE4D65" w:rsidP="00FE4D65">
      <w:pPr>
        <w:rPr>
          <w:lang w:val="es-ES"/>
        </w:rPr>
      </w:pPr>
      <w:bookmarkStart w:id="614" w:name="lt_pId1463"/>
      <w:r w:rsidRPr="00FE4D65">
        <w:rPr>
          <w:lang w:val="es-ES"/>
        </w:rPr>
        <w:t>Nuevos sitios web de WordPress creados en 2023:</w:t>
      </w:r>
      <w:bookmarkEnd w:id="614"/>
    </w:p>
    <w:p w14:paraId="788C28D7" w14:textId="1BB6ADE3" w:rsidR="00FE4D65" w:rsidRPr="001B3AA3" w:rsidRDefault="00824C17" w:rsidP="00824C17">
      <w:pPr>
        <w:pStyle w:val="enumlev1"/>
        <w:rPr>
          <w:u w:val="single"/>
          <w:lang w:val="es-ES"/>
        </w:rPr>
      </w:pPr>
      <w:r w:rsidRPr="00824C17">
        <w:rPr>
          <w:lang w:val="es-ES"/>
        </w:rPr>
        <w:t>•</w:t>
      </w:r>
      <w:r>
        <w:rPr>
          <w:lang w:val="es-ES"/>
        </w:rPr>
        <w:tab/>
      </w:r>
      <w:hyperlink r:id="rId81" w:anchor="/es" w:history="1">
        <w:r w:rsidR="00D06157" w:rsidRPr="001B3AA3">
          <w:rPr>
            <w:rStyle w:val="Hyperlink"/>
            <w:lang w:val="es-ES"/>
          </w:rPr>
          <w:t>Premio Emmy – Premios UIT-R</w:t>
        </w:r>
      </w:hyperlink>
    </w:p>
    <w:p w14:paraId="3407B572" w14:textId="7D280F2B" w:rsidR="00FE4D65" w:rsidRPr="001B3AA3" w:rsidRDefault="00824C17" w:rsidP="00824C17">
      <w:pPr>
        <w:pStyle w:val="enumlev1"/>
        <w:rPr>
          <w:lang w:val="es-ES"/>
        </w:rPr>
      </w:pPr>
      <w:r w:rsidRPr="00824C17">
        <w:rPr>
          <w:lang w:val="es-ES"/>
        </w:rPr>
        <w:t>•</w:t>
      </w:r>
      <w:r>
        <w:rPr>
          <w:lang w:val="es-ES"/>
        </w:rPr>
        <w:tab/>
      </w:r>
      <w:hyperlink r:id="rId82" w:history="1">
        <w:hyperlink r:id="rId83" w:history="1">
          <w:bookmarkStart w:id="615" w:name="lt_pId1465"/>
          <w:r w:rsidR="00FE4D65" w:rsidRPr="001B3AA3">
            <w:rPr>
              <w:rStyle w:val="Hyperlink"/>
              <w:lang w:val="es-ES"/>
            </w:rPr>
            <w:t>Exposición sobre Radiocomunicaciones Futuras de la UIT – #FutureRadioNow</w:t>
          </w:r>
          <w:bookmarkEnd w:id="615"/>
        </w:hyperlink>
      </w:hyperlink>
    </w:p>
    <w:p w14:paraId="26C89B46" w14:textId="77777777" w:rsidR="00FE4D65" w:rsidRPr="00FE4D65" w:rsidRDefault="00FE4D65" w:rsidP="00FE4D65">
      <w:pPr>
        <w:rPr>
          <w:lang w:val="es-ES"/>
        </w:rPr>
      </w:pPr>
      <w:bookmarkStart w:id="616" w:name="lt_pId1466"/>
      <w:r w:rsidRPr="00FE4D65">
        <w:rPr>
          <w:lang w:val="es-ES"/>
        </w:rPr>
        <w:t>Estos sitios web se actualizan con el material y las informaciones pertinentes más recientes.</w:t>
      </w:r>
      <w:bookmarkEnd w:id="616"/>
    </w:p>
    <w:p w14:paraId="78F9A37E" w14:textId="1C538166" w:rsidR="00FE4D65" w:rsidRPr="00FE4D65" w:rsidRDefault="00FE4D65" w:rsidP="00824C17">
      <w:pPr>
        <w:pStyle w:val="Heading4"/>
        <w:rPr>
          <w:lang w:val="es-ES"/>
        </w:rPr>
      </w:pPr>
      <w:r w:rsidRPr="00FE4D65">
        <w:rPr>
          <w:lang w:val="es-ES"/>
        </w:rPr>
        <w:t>8.6.1.2</w:t>
      </w:r>
      <w:r w:rsidRPr="00FE4D65">
        <w:rPr>
          <w:lang w:val="es-ES"/>
        </w:rPr>
        <w:tab/>
        <w:t>Traducción</w:t>
      </w:r>
      <w:bookmarkStart w:id="617" w:name="lt_pId1468"/>
      <w:bookmarkEnd w:id="617"/>
    </w:p>
    <w:p w14:paraId="1C021B87" w14:textId="1FBA954C" w:rsidR="00FE4D65" w:rsidRPr="00FE4D65" w:rsidRDefault="00FE4D65" w:rsidP="00FE4D65">
      <w:pPr>
        <w:rPr>
          <w:lang w:val="es-ES"/>
        </w:rPr>
      </w:pPr>
      <w:bookmarkStart w:id="618" w:name="lt_pId1469"/>
      <w:r w:rsidRPr="00FE4D65">
        <w:rPr>
          <w:lang w:val="es-ES"/>
        </w:rPr>
        <w:t>Este tema se aborda en el Addéndum</w:t>
      </w:r>
      <w:r w:rsidR="00D06157">
        <w:rPr>
          <w:lang w:val="es-ES"/>
        </w:rPr>
        <w:t> </w:t>
      </w:r>
      <w:r w:rsidRPr="00FE4D65">
        <w:rPr>
          <w:lang w:val="es-ES"/>
        </w:rPr>
        <w:t>2 al presente documento.</w:t>
      </w:r>
      <w:bookmarkEnd w:id="618"/>
    </w:p>
    <w:p w14:paraId="17E6BC2C" w14:textId="77777777" w:rsidR="00FE4D65" w:rsidRPr="00FE4D65" w:rsidRDefault="00FE4D65" w:rsidP="00824C17">
      <w:pPr>
        <w:pStyle w:val="Heading3"/>
        <w:rPr>
          <w:lang w:val="es-ES"/>
        </w:rPr>
      </w:pPr>
      <w:r w:rsidRPr="00FE4D65">
        <w:rPr>
          <w:lang w:val="es-ES"/>
        </w:rPr>
        <w:t>8.6.2</w:t>
      </w:r>
      <w:r w:rsidRPr="00FE4D65">
        <w:rPr>
          <w:lang w:val="es-ES"/>
        </w:rPr>
        <w:tab/>
        <w:t>Promoción y relaciones con los medios</w:t>
      </w:r>
      <w:bookmarkStart w:id="619" w:name="lt_pId1471"/>
      <w:bookmarkEnd w:id="619"/>
    </w:p>
    <w:p w14:paraId="09CDAB52" w14:textId="77777777" w:rsidR="00FE4D65" w:rsidRPr="00FE4D65" w:rsidRDefault="00FE4D65" w:rsidP="00FE4D65">
      <w:pPr>
        <w:rPr>
          <w:lang w:val="es-ES"/>
        </w:rPr>
      </w:pPr>
      <w:bookmarkStart w:id="620" w:name="lt_pId1472"/>
      <w:r w:rsidRPr="00FE4D65">
        <w:rPr>
          <w:lang w:val="es-ES"/>
        </w:rPr>
        <w:t>En 2023, la comunicación de la BR se centró principalmente en las actividades y los eventos relacionados con la Asamblea de Radiocomunicaciones de 2023 y la Conferencia Mundial de Radiocomunicaciones de 2023, a saber, reuniones virtuales, seminarios web, así como en la promoción en línea de los trabajos de la Oficina a través de redes sociales y sitios web.</w:t>
      </w:r>
      <w:bookmarkEnd w:id="620"/>
    </w:p>
    <w:p w14:paraId="32321945" w14:textId="77777777" w:rsidR="00FE4D65" w:rsidRPr="00FE4D65" w:rsidRDefault="00FE4D65" w:rsidP="00824C17">
      <w:pPr>
        <w:pStyle w:val="Headingb"/>
      </w:pPr>
      <w:bookmarkStart w:id="621" w:name="lt_pId1473"/>
      <w:r w:rsidRPr="00FE4D65">
        <w:t>Conferencia Mundial de Radiocomunicaciones de 2023 (CMR-23)</w:t>
      </w:r>
      <w:bookmarkEnd w:id="621"/>
    </w:p>
    <w:p w14:paraId="4700338C" w14:textId="77777777" w:rsidR="00FE4D65" w:rsidRPr="00FE4D65" w:rsidRDefault="00FE4D65" w:rsidP="00FE4D65">
      <w:pPr>
        <w:rPr>
          <w:lang w:val="es-ES"/>
        </w:rPr>
      </w:pPr>
      <w:bookmarkStart w:id="622" w:name="lt_pId1474"/>
      <w:r w:rsidRPr="00FE4D65">
        <w:rPr>
          <w:lang w:val="es-ES"/>
        </w:rPr>
        <w:t>La promoción de la CMR-23 continuó a lo largo de 2023, y comenzó en el tercer trimestre de 2022 con la presentación del logotipo y la imagen oficiales, diseñados en colaboración con el país anfitrión, los Emiratos Árabes Unidos.</w:t>
      </w:r>
      <w:bookmarkEnd w:id="622"/>
    </w:p>
    <w:p w14:paraId="6DC666A3" w14:textId="77777777" w:rsidR="00FE4D65" w:rsidRPr="00FE4D65" w:rsidRDefault="00FE4D65" w:rsidP="00FE4D65">
      <w:pPr>
        <w:rPr>
          <w:lang w:val="es-ES"/>
        </w:rPr>
      </w:pPr>
      <w:bookmarkStart w:id="623" w:name="lt_pId1475"/>
      <w:r w:rsidRPr="00FE4D65">
        <w:rPr>
          <w:lang w:val="es-ES"/>
        </w:rPr>
        <w:t xml:space="preserve">Se creó una Sala de Prensa de la CMR-23 en una plataforma WordPress, donde podían encontrarse los últimos comunicados de prensa, artículos, ediciones especiales de </w:t>
      </w:r>
      <w:r w:rsidRPr="00FE4D65">
        <w:rPr>
          <w:i/>
          <w:iCs/>
          <w:lang w:val="es-ES"/>
        </w:rPr>
        <w:t>Actualidades de la UIT</w:t>
      </w:r>
      <w:r w:rsidRPr="00FE4D65">
        <w:rPr>
          <w:lang w:val="es-ES"/>
        </w:rPr>
        <w:t xml:space="preserve"> sobre la CMR 2023, contenidos audiovisuales, vídeos, </w:t>
      </w:r>
      <w:r w:rsidRPr="00FE4D65">
        <w:rPr>
          <w:i/>
          <w:iCs/>
          <w:lang w:val="es-ES"/>
        </w:rPr>
        <w:t>podcasts</w:t>
      </w:r>
      <w:r w:rsidRPr="00FE4D65">
        <w:rPr>
          <w:lang w:val="es-ES"/>
        </w:rPr>
        <w:t>, fotos, además de otros materiales pertinentes en los seis idiomas oficiales de las Naciones Unidas.</w:t>
      </w:r>
      <w:bookmarkEnd w:id="623"/>
    </w:p>
    <w:p w14:paraId="6F5C60D1" w14:textId="5EC14FE6" w:rsidR="00FE4D65" w:rsidRPr="00FE4D65" w:rsidRDefault="00FE4D65" w:rsidP="00FE4D65">
      <w:pPr>
        <w:rPr>
          <w:lang w:val="es-ES"/>
        </w:rPr>
      </w:pPr>
      <w:bookmarkStart w:id="624" w:name="lt_pId1476"/>
      <w:r w:rsidRPr="00FE4D65">
        <w:rPr>
          <w:lang w:val="es-ES"/>
        </w:rPr>
        <w:t xml:space="preserve">La </w:t>
      </w:r>
      <w:hyperlink r:id="rId84" w:anchor="/es" w:history="1">
        <w:r w:rsidRPr="00FE4D65">
          <w:rPr>
            <w:rStyle w:val="Hyperlink"/>
            <w:lang w:val="es-ES"/>
          </w:rPr>
          <w:t>Sala de Prensa</w:t>
        </w:r>
      </w:hyperlink>
      <w:r w:rsidRPr="00FE4D65">
        <w:rPr>
          <w:lang w:val="es-ES"/>
        </w:rPr>
        <w:t xml:space="preserve"> de la CMR-23 y las ediciones especiales de </w:t>
      </w:r>
      <w:r w:rsidRPr="00FE4D65">
        <w:rPr>
          <w:i/>
          <w:iCs/>
          <w:lang w:val="es-ES"/>
        </w:rPr>
        <w:t>Actualidades de la UIT</w:t>
      </w:r>
      <w:r w:rsidRPr="00FE4D65">
        <w:rPr>
          <w:lang w:val="es-ES"/>
        </w:rPr>
        <w:t xml:space="preserve"> sobre los resultados de la CMR-23 se actualizaron para poner de relieve las decisiones clave de la Conferencia, que se resumen a continuación:</w:t>
      </w:r>
      <w:bookmarkEnd w:id="624"/>
    </w:p>
    <w:p w14:paraId="45FB1774" w14:textId="77777777" w:rsidR="00FE4D65" w:rsidRPr="00FE4D65" w:rsidRDefault="00FE4D65" w:rsidP="00FE4D65">
      <w:pPr>
        <w:rPr>
          <w:lang w:val="es-ES"/>
        </w:rPr>
      </w:pPr>
      <w:r w:rsidRPr="00FE4D65">
        <w:rPr>
          <w:lang w:val="es-ES"/>
        </w:rPr>
        <w:br w:type="page"/>
      </w:r>
    </w:p>
    <w:tbl>
      <w:tblPr>
        <w:tblStyle w:val="TableGrid"/>
        <w:tblW w:w="5000" w:type="pct"/>
        <w:jc w:val="center"/>
        <w:tblLayout w:type="fixed"/>
        <w:tblLook w:val="04A0" w:firstRow="1" w:lastRow="0" w:firstColumn="1" w:lastColumn="0" w:noHBand="0" w:noVBand="1"/>
      </w:tblPr>
      <w:tblGrid>
        <w:gridCol w:w="9629"/>
      </w:tblGrid>
      <w:tr w:rsidR="00FE4D65" w:rsidRPr="00FE4D65" w14:paraId="404DF764" w14:textId="77777777" w:rsidTr="008B4920">
        <w:trPr>
          <w:jc w:val="center"/>
        </w:trPr>
        <w:tc>
          <w:tcPr>
            <w:tcW w:w="9719" w:type="dxa"/>
          </w:tcPr>
          <w:p w14:paraId="6DC7E493" w14:textId="77777777" w:rsidR="00FE4D65" w:rsidRPr="00FE4D65" w:rsidRDefault="00FE4D65" w:rsidP="00FE4D65">
            <w:pPr>
              <w:rPr>
                <w:lang w:val="es-ES"/>
              </w:rPr>
            </w:pPr>
            <w:bookmarkStart w:id="625" w:name="lt_pId1477"/>
            <w:r w:rsidRPr="00FE4D65">
              <w:rPr>
                <w:lang w:val="es-ES"/>
              </w:rPr>
              <w:lastRenderedPageBreak/>
              <w:t>La CMR-23 abordó 19 puntos del orden del día, cuatro temas y 11 puntos permanentes, correspondientes a los principales ámbitos de servicios de radiocomunicaciones (fijo, móvil y radiodifusión, transporte, espacio y ciencia), además de a una quinta categoría de carácter general.</w:t>
            </w:r>
            <w:bookmarkEnd w:id="625"/>
          </w:p>
          <w:p w14:paraId="2898DFF4" w14:textId="0026BBDF" w:rsidR="00FE4D65" w:rsidRPr="00FE4D65" w:rsidRDefault="00FE4D65" w:rsidP="00FE4D65">
            <w:pPr>
              <w:rPr>
                <w:lang w:val="es-ES"/>
              </w:rPr>
            </w:pPr>
            <w:bookmarkStart w:id="626" w:name="lt_pId1478"/>
            <w:r w:rsidRPr="00FE4D65">
              <w:rPr>
                <w:lang w:val="es-ES"/>
              </w:rPr>
              <w:t>Más de 3</w:t>
            </w:r>
            <w:r w:rsidR="0072711D">
              <w:rPr>
                <w:lang w:val="es-ES"/>
              </w:rPr>
              <w:t> </w:t>
            </w:r>
            <w:r w:rsidRPr="00FE4D65">
              <w:rPr>
                <w:lang w:val="es-ES"/>
              </w:rPr>
              <w:t>900</w:t>
            </w:r>
            <w:r w:rsidR="00B47FBB">
              <w:rPr>
                <w:lang w:val="es-ES"/>
              </w:rPr>
              <w:t> </w:t>
            </w:r>
            <w:r w:rsidRPr="00FE4D65">
              <w:rPr>
                <w:lang w:val="es-ES"/>
              </w:rPr>
              <w:t>delegados de 163</w:t>
            </w:r>
            <w:r w:rsidR="0072711D">
              <w:rPr>
                <w:lang w:val="es-ES"/>
              </w:rPr>
              <w:t> </w:t>
            </w:r>
            <w:r w:rsidRPr="00FE4D65">
              <w:rPr>
                <w:lang w:val="es-ES"/>
              </w:rPr>
              <w:t>Estados Miembros de la UIT asistieron a la Conferencia, incluidos 88</w:t>
            </w:r>
            <w:r w:rsidR="0072711D">
              <w:rPr>
                <w:lang w:val="es-ES"/>
              </w:rPr>
              <w:t> </w:t>
            </w:r>
            <w:r w:rsidRPr="00FE4D65">
              <w:rPr>
                <w:lang w:val="es-ES"/>
              </w:rPr>
              <w:t>participantes a nivel ministerial.</w:t>
            </w:r>
            <w:bookmarkEnd w:id="626"/>
          </w:p>
          <w:p w14:paraId="0BD4538F" w14:textId="77777777" w:rsidR="00FE4D65" w:rsidRPr="00FE4D65" w:rsidRDefault="00FE4D65" w:rsidP="00FE4D65">
            <w:pPr>
              <w:rPr>
                <w:lang w:val="es-ES"/>
              </w:rPr>
            </w:pPr>
            <w:bookmarkStart w:id="627" w:name="lt_pId1479"/>
            <w:r w:rsidRPr="00FE4D65">
              <w:rPr>
                <w:lang w:val="es-ES"/>
              </w:rPr>
              <w:t>Entre las decisiones adoptadas en la CMR-23 cabe destacar la identificación de espectro para las Telecomunicaciones Móviles Internacionales (IMT), aspecto fundamental para fomentar la conectividad de banda ancha y el desarrollo de servicios móviles de las IMT mediante tecnologías 4G y 5G y, en el futuro, 6G.</w:t>
            </w:r>
            <w:bookmarkEnd w:id="627"/>
          </w:p>
          <w:p w14:paraId="6B96461A" w14:textId="613DBD91" w:rsidR="00FE4D65" w:rsidRPr="00FE4D65" w:rsidRDefault="00FE4D65" w:rsidP="00525F4E">
            <w:pPr>
              <w:rPr>
                <w:lang w:val="es-ES"/>
              </w:rPr>
            </w:pPr>
            <w:bookmarkStart w:id="628" w:name="lt_pId1480"/>
            <w:r w:rsidRPr="00FE4D65">
              <w:rPr>
                <w:lang w:val="es-ES"/>
              </w:rPr>
              <w:t>Ese nuevo espectro comprende las bandas 3 300-3 400</w:t>
            </w:r>
            <w:r w:rsidR="00525F4E">
              <w:rPr>
                <w:lang w:val="es-ES"/>
              </w:rPr>
              <w:t> </w:t>
            </w:r>
            <w:r w:rsidRPr="00FE4D65">
              <w:rPr>
                <w:lang w:val="es-ES"/>
              </w:rPr>
              <w:t>MHz, 3 600-3 800</w:t>
            </w:r>
            <w:r w:rsidR="00525F4E">
              <w:rPr>
                <w:lang w:val="es-ES"/>
              </w:rPr>
              <w:t> </w:t>
            </w:r>
            <w:r w:rsidRPr="00FE4D65">
              <w:rPr>
                <w:lang w:val="es-ES"/>
              </w:rPr>
              <w:t>MHz, 4 800</w:t>
            </w:r>
            <w:r w:rsidR="0072711D">
              <w:rPr>
                <w:lang w:val="es-ES"/>
              </w:rPr>
              <w:noBreakHyphen/>
            </w:r>
            <w:r w:rsidRPr="00FE4D65">
              <w:rPr>
                <w:lang w:val="es-ES"/>
              </w:rPr>
              <w:t>4 990</w:t>
            </w:r>
            <w:r w:rsidR="0072711D">
              <w:rPr>
                <w:lang w:val="es-ES"/>
              </w:rPr>
              <w:t> </w:t>
            </w:r>
            <w:r w:rsidRPr="00FE4D65">
              <w:rPr>
                <w:lang w:val="es-ES"/>
              </w:rPr>
              <w:t>MHz y 6 425-7 125</w:t>
            </w:r>
            <w:r w:rsidR="00525F4E">
              <w:rPr>
                <w:lang w:val="es-ES"/>
              </w:rPr>
              <w:t> </w:t>
            </w:r>
            <w:r w:rsidRPr="00FE4D65">
              <w:rPr>
                <w:lang w:val="es-ES"/>
              </w:rPr>
              <w:t>MHz en varios países y regiones. La banda 6</w:t>
            </w:r>
            <w:r w:rsidR="00525F4E">
              <w:rPr>
                <w:lang w:val="es-ES"/>
              </w:rPr>
              <w:t> </w:t>
            </w:r>
            <w:r w:rsidRPr="00FE4D65">
              <w:rPr>
                <w:lang w:val="es-ES"/>
              </w:rPr>
              <w:t>425-7</w:t>
            </w:r>
            <w:r w:rsidR="00525F4E">
              <w:rPr>
                <w:lang w:val="es-ES"/>
              </w:rPr>
              <w:t> </w:t>
            </w:r>
            <w:r w:rsidRPr="00FE4D65">
              <w:rPr>
                <w:lang w:val="es-ES"/>
              </w:rPr>
              <w:t>125</w:t>
            </w:r>
            <w:r w:rsidR="00525F4E">
              <w:rPr>
                <w:lang w:val="es-ES"/>
              </w:rPr>
              <w:t> </w:t>
            </w:r>
            <w:r w:rsidRPr="00FE4D65">
              <w:rPr>
                <w:lang w:val="es-ES"/>
              </w:rPr>
              <w:t>MHz en la Región</w:t>
            </w:r>
            <w:r w:rsidR="0072711D">
              <w:rPr>
                <w:lang w:val="es-ES"/>
              </w:rPr>
              <w:t> </w:t>
            </w:r>
            <w:r w:rsidRPr="00FE4D65">
              <w:rPr>
                <w:lang w:val="es-ES"/>
              </w:rPr>
              <w:t>1 y la banda 7</w:t>
            </w:r>
            <w:r w:rsidR="00525F4E">
              <w:rPr>
                <w:lang w:val="es-ES"/>
              </w:rPr>
              <w:t> </w:t>
            </w:r>
            <w:r w:rsidRPr="00FE4D65">
              <w:rPr>
                <w:lang w:val="es-ES"/>
              </w:rPr>
              <w:t>025-7</w:t>
            </w:r>
            <w:r w:rsidR="00525F4E">
              <w:rPr>
                <w:lang w:val="es-ES"/>
              </w:rPr>
              <w:t> </w:t>
            </w:r>
            <w:r w:rsidRPr="00FE4D65">
              <w:rPr>
                <w:lang w:val="es-ES"/>
              </w:rPr>
              <w:t>125</w:t>
            </w:r>
            <w:r w:rsidR="00525F4E">
              <w:rPr>
                <w:lang w:val="es-ES"/>
              </w:rPr>
              <w:t> </w:t>
            </w:r>
            <w:r w:rsidRPr="00FE4D65">
              <w:rPr>
                <w:lang w:val="es-ES"/>
              </w:rPr>
              <w:t>MHz en la Región</w:t>
            </w:r>
            <w:r w:rsidR="00525F4E">
              <w:rPr>
                <w:lang w:val="es-ES"/>
              </w:rPr>
              <w:t> </w:t>
            </w:r>
            <w:r w:rsidRPr="00FE4D65">
              <w:rPr>
                <w:lang w:val="es-ES"/>
              </w:rPr>
              <w:t>3 se identificaron para las IMT mediante una nota.</w:t>
            </w:r>
            <w:bookmarkStart w:id="629" w:name="lt_pId1481"/>
            <w:bookmarkEnd w:id="628"/>
            <w:bookmarkEnd w:id="629"/>
          </w:p>
          <w:p w14:paraId="7F0C3346" w14:textId="77777777" w:rsidR="00FE4D65" w:rsidRPr="00FE4D65" w:rsidRDefault="00FE4D65" w:rsidP="00FE4D65">
            <w:pPr>
              <w:rPr>
                <w:lang w:val="es-ES"/>
              </w:rPr>
            </w:pPr>
            <w:bookmarkStart w:id="630" w:name="lt_pId1482"/>
            <w:r w:rsidRPr="00FE4D65">
              <w:rPr>
                <w:lang w:val="es-ES"/>
              </w:rPr>
              <w:t>En el ámbito del transporte, se decidió introducir el sistema de navegación por satélite chino BeiDou en el sistema mundial de socorro y seguridad marítimos (SMSSM).</w:t>
            </w:r>
            <w:bookmarkEnd w:id="630"/>
          </w:p>
          <w:p w14:paraId="121810EC" w14:textId="0DAA1497" w:rsidR="00FE4D65" w:rsidRPr="00FE4D65" w:rsidRDefault="00FE4D65" w:rsidP="0072711D">
            <w:pPr>
              <w:spacing w:after="120"/>
              <w:rPr>
                <w:lang w:val="es-ES"/>
              </w:rPr>
            </w:pPr>
            <w:bookmarkStart w:id="631" w:name="lt_pId1483"/>
            <w:r w:rsidRPr="00FE4D65">
              <w:rPr>
                <w:lang w:val="es-ES"/>
              </w:rPr>
              <w:t>En el ámbito del espacio y la ciencia, entre las principales decisiones figura una nueva atribución secundaria al servicio de exploración de la Tierra por satélite (SETS) en la banda 40-50</w:t>
            </w:r>
            <w:r w:rsidR="00525F4E">
              <w:rPr>
                <w:lang w:val="es-ES"/>
              </w:rPr>
              <w:t> </w:t>
            </w:r>
            <w:r w:rsidRPr="00FE4D65">
              <w:rPr>
                <w:lang w:val="es-ES"/>
              </w:rPr>
              <w:t>MHz. Ello permitirá utilizar sondas de radar espaciales para vigilar el movimiento de las capas de hielo polares.</w:t>
            </w:r>
            <w:bookmarkStart w:id="632" w:name="lt_pId1484"/>
            <w:bookmarkEnd w:id="631"/>
            <w:bookmarkEnd w:id="632"/>
          </w:p>
        </w:tc>
      </w:tr>
    </w:tbl>
    <w:p w14:paraId="0A188003" w14:textId="731D23EC" w:rsidR="00FE4D65" w:rsidRPr="00FE4D65" w:rsidRDefault="00FE4D65" w:rsidP="0072711D">
      <w:pPr>
        <w:pStyle w:val="Normalaftertitle"/>
        <w:rPr>
          <w:lang w:val="es-ES"/>
        </w:rPr>
      </w:pPr>
      <w:bookmarkStart w:id="633" w:name="lt_pId1485"/>
      <w:r w:rsidRPr="00FE4D65">
        <w:rPr>
          <w:lang w:val="es-ES"/>
        </w:rPr>
        <w:t xml:space="preserve">La información sobre las decisiones más destacadas de la Conferencia se facilitó en la </w:t>
      </w:r>
      <w:hyperlink r:id="rId85" w:anchor="/es" w:history="1">
        <w:r w:rsidRPr="00FE4D65">
          <w:rPr>
            <w:rStyle w:val="Hyperlink"/>
            <w:lang w:val="es-ES"/>
          </w:rPr>
          <w:t>Sala de Prensa de la CMR-23</w:t>
        </w:r>
      </w:hyperlink>
      <w:r w:rsidRPr="00FE4D65">
        <w:rPr>
          <w:lang w:val="es-ES"/>
        </w:rPr>
        <w:t xml:space="preserve"> a través de los siguientes comunicados:</w:t>
      </w:r>
      <w:bookmarkEnd w:id="633"/>
    </w:p>
    <w:p w14:paraId="67638DAC" w14:textId="77777777" w:rsidR="00FE4D65" w:rsidRPr="00FE4D65" w:rsidRDefault="00FE4D65" w:rsidP="0072711D">
      <w:pPr>
        <w:pStyle w:val="Headingb"/>
        <w:spacing w:after="120"/>
        <w:rPr>
          <w:lang w:val="en-GB"/>
        </w:rPr>
      </w:pPr>
      <w:bookmarkStart w:id="634" w:name="lt_pId1486"/>
      <w:r w:rsidRPr="00FE4D65">
        <w:t>Comunicados de prensa</w:t>
      </w:r>
      <w:bookmarkEnd w:id="634"/>
    </w:p>
    <w:tbl>
      <w:tblPr>
        <w:tblStyle w:val="TableGrid"/>
        <w:tblW w:w="5000" w:type="pct"/>
        <w:jc w:val="center"/>
        <w:tblLayout w:type="fixed"/>
        <w:tblLook w:val="04A0" w:firstRow="1" w:lastRow="0" w:firstColumn="1" w:lastColumn="0" w:noHBand="0" w:noVBand="1"/>
      </w:tblPr>
      <w:tblGrid>
        <w:gridCol w:w="9629"/>
      </w:tblGrid>
      <w:tr w:rsidR="00FE4D65" w:rsidRPr="00FE4D65" w14:paraId="5C0B848A" w14:textId="77777777" w:rsidTr="0072711D">
        <w:trPr>
          <w:jc w:val="center"/>
        </w:trPr>
        <w:tc>
          <w:tcPr>
            <w:tcW w:w="9629" w:type="dxa"/>
          </w:tcPr>
          <w:bookmarkStart w:id="635" w:name="lt_pId1487"/>
          <w:p w14:paraId="15CA784E" w14:textId="0E3DA599" w:rsidR="00FE4D65" w:rsidRPr="00FE4D65" w:rsidRDefault="006411A1" w:rsidP="00FE4D65">
            <w:pPr>
              <w:rPr>
                <w:lang w:val="es-ES"/>
              </w:rPr>
            </w:pPr>
            <w:r>
              <w:rPr>
                <w:lang w:val="es-ES"/>
              </w:rPr>
              <w:fldChar w:fldCharType="begin"/>
            </w:r>
            <w:r>
              <w:rPr>
                <w:lang w:val="es-ES"/>
              </w:rPr>
              <w:instrText xml:space="preserve"> HYPERLINK "https://www.itu.int/es/mediacentre/Pages/PR-2023-12-15-WRC23-closing-ceremony.aspx" </w:instrText>
            </w:r>
            <w:r>
              <w:rPr>
                <w:lang w:val="es-ES"/>
              </w:rPr>
              <w:fldChar w:fldCharType="separate"/>
            </w:r>
            <w:r w:rsidR="00FE4D65" w:rsidRPr="00FE4D65">
              <w:rPr>
                <w:rStyle w:val="Hyperlink"/>
                <w:lang w:val="es-ES"/>
              </w:rPr>
              <w:t>Comunicado de prensa de clausura de la CMR-23</w:t>
            </w:r>
            <w:r>
              <w:rPr>
                <w:lang w:val="es-ES"/>
              </w:rPr>
              <w:fldChar w:fldCharType="end"/>
            </w:r>
            <w:r w:rsidR="00FE4D65" w:rsidRPr="00FE4D65">
              <w:rPr>
                <w:lang w:val="es-ES"/>
              </w:rPr>
              <w:t>: La CMR-23 de la UIT revisa el Reglamento de Radiocomunicaciones de la UIT, para facilitar la compartición del espectro y la innovación tecnológica: la actualización del tratado permite atribuir nuevo espectro para fomentar la conectividad de banda ancha y aplicaciones que mejoren la seguridad de la vida humana y la observación espacial y de la Tierra.</w:t>
            </w:r>
            <w:bookmarkEnd w:id="635"/>
          </w:p>
          <w:bookmarkStart w:id="636" w:name="lt_pId1488"/>
          <w:p w14:paraId="13761464" w14:textId="76E014DE" w:rsidR="00FE4D65" w:rsidRPr="00FE4D65" w:rsidRDefault="006411A1" w:rsidP="00FE4D65">
            <w:pPr>
              <w:rPr>
                <w:lang w:val="es-ES"/>
              </w:rPr>
            </w:pPr>
            <w:r>
              <w:rPr>
                <w:lang w:val="es-ES"/>
              </w:rPr>
              <w:fldChar w:fldCharType="begin"/>
            </w:r>
            <w:r>
              <w:rPr>
                <w:lang w:val="es-ES"/>
              </w:rPr>
              <w:instrText xml:space="preserve"> HYPERLINK "https://www.itu.int/es/mediacentre/Pages/PR-2023-12-01-IMT-2030-for-6G-mobile-technologies.aspx" </w:instrText>
            </w:r>
            <w:r>
              <w:rPr>
                <w:lang w:val="es-ES"/>
              </w:rPr>
              <w:fldChar w:fldCharType="separate"/>
            </w:r>
            <w:r w:rsidR="00FE4D65" w:rsidRPr="00FE4D65">
              <w:rPr>
                <w:rStyle w:val="Hyperlink"/>
                <w:lang w:val="es-ES"/>
              </w:rPr>
              <w:t>Comunicado de prensa</w:t>
            </w:r>
            <w:r>
              <w:rPr>
                <w:lang w:val="es-ES"/>
              </w:rPr>
              <w:fldChar w:fldCharType="end"/>
            </w:r>
            <w:r w:rsidR="00FE4D65" w:rsidRPr="00FE4D65">
              <w:rPr>
                <w:lang w:val="es-ES"/>
              </w:rPr>
              <w:t>: La UIT impulsa el desarrollo de las IMT-2030 para tecnologías móviles 6G: las tecnologías de interfaz radioeléctrica de sexta generación serán aprobadas antes del final de la década.</w:t>
            </w:r>
            <w:bookmarkEnd w:id="636"/>
          </w:p>
          <w:bookmarkStart w:id="637" w:name="lt_pId1489"/>
          <w:p w14:paraId="33F901D1" w14:textId="018B3968" w:rsidR="00FE4D65" w:rsidRPr="00FE4D65" w:rsidRDefault="006411A1" w:rsidP="00FE4D65">
            <w:pPr>
              <w:rPr>
                <w:lang w:val="es-ES"/>
              </w:rPr>
            </w:pPr>
            <w:r>
              <w:rPr>
                <w:lang w:val="es-ES"/>
              </w:rPr>
              <w:fldChar w:fldCharType="begin"/>
            </w:r>
            <w:r>
              <w:rPr>
                <w:lang w:val="es-ES"/>
              </w:rPr>
              <w:instrText xml:space="preserve"> HYPERLINK "https://www.itu.int/es/mediacentre/Pages/PR-2023-11-20-WRC23-opening-ceremony.aspx" </w:instrText>
            </w:r>
            <w:r>
              <w:rPr>
                <w:lang w:val="es-ES"/>
              </w:rPr>
              <w:fldChar w:fldCharType="separate"/>
            </w:r>
            <w:r w:rsidR="00FE4D65" w:rsidRPr="00FE4D65">
              <w:rPr>
                <w:rStyle w:val="Hyperlink"/>
                <w:lang w:val="es-ES"/>
              </w:rPr>
              <w:t>Comunicado de prensa de apertura de la CMR-23</w:t>
            </w:r>
            <w:r>
              <w:rPr>
                <w:lang w:val="es-ES"/>
              </w:rPr>
              <w:fldChar w:fldCharType="end"/>
            </w:r>
            <w:r w:rsidR="00FE4D65" w:rsidRPr="00FE4D65">
              <w:rPr>
                <w:lang w:val="es-ES"/>
              </w:rPr>
              <w:t>: La CMR-23 de la UIT aborda el futuro de las radiocomunicaciones espaciales, marítimas y terrestres: la CMR-23 debe actualizar el Reglamento de Radiocomunicaciones y atribuir el escaso espectro de radiofrecuencias.</w:t>
            </w:r>
            <w:bookmarkEnd w:id="637"/>
          </w:p>
          <w:bookmarkStart w:id="638" w:name="lt_pId1490"/>
          <w:p w14:paraId="72C77F52" w14:textId="09972D00" w:rsidR="00FE4D65" w:rsidRPr="00FE4D65" w:rsidRDefault="006411A1" w:rsidP="00FE4D65">
            <w:pPr>
              <w:rPr>
                <w:lang w:val="es-ES"/>
              </w:rPr>
            </w:pPr>
            <w:r>
              <w:rPr>
                <w:lang w:val="es-ES"/>
              </w:rPr>
              <w:fldChar w:fldCharType="begin"/>
            </w:r>
            <w:r>
              <w:rPr>
                <w:lang w:val="es-ES"/>
              </w:rPr>
              <w:instrText xml:space="preserve"> HYPERLINK "https://www.itu.int/es/mediacentre/Pages/PR-2023-11-17-RA23-closing-ceremony.aspx" </w:instrText>
            </w:r>
            <w:r>
              <w:rPr>
                <w:lang w:val="es-ES"/>
              </w:rPr>
              <w:fldChar w:fldCharType="separate"/>
            </w:r>
            <w:r w:rsidR="00FE4D65" w:rsidRPr="00FE4D65">
              <w:rPr>
                <w:rStyle w:val="Hyperlink"/>
                <w:lang w:val="es-ES"/>
              </w:rPr>
              <w:t>Comunicado de prensa de clausura de la AR-23</w:t>
            </w:r>
            <w:r>
              <w:rPr>
                <w:lang w:val="es-ES"/>
              </w:rPr>
              <w:fldChar w:fldCharType="end"/>
            </w:r>
            <w:r w:rsidR="00FE4D65" w:rsidRPr="00FE4D65">
              <w:rPr>
                <w:lang w:val="es-ES"/>
              </w:rPr>
              <w:t>: La Asamblea de Radiocomunicaciones fija la agenda para el desarrollo de las IMT-2030 para la 6G y para la utilización sostenible de los recursos espectrales y orbitales.</w:t>
            </w:r>
            <w:bookmarkEnd w:id="638"/>
          </w:p>
          <w:p w14:paraId="6A6C692B" w14:textId="07A614B9" w:rsidR="00FE4D65" w:rsidRPr="00FE4D65" w:rsidRDefault="00FE4D65" w:rsidP="0072711D">
            <w:pPr>
              <w:spacing w:after="120"/>
              <w:rPr>
                <w:b/>
                <w:bCs/>
                <w:lang w:val="es-ES"/>
              </w:rPr>
            </w:pPr>
            <w:bookmarkStart w:id="639" w:name="lt_pId1491"/>
            <w:r w:rsidRPr="00FE4D65">
              <w:rPr>
                <w:lang w:val="es-ES"/>
              </w:rPr>
              <w:t>Aviso a la prensa: Abierta la inscripción de los medios de comunicación para la CMR-23 y la AR-23 de la UIT.</w:t>
            </w:r>
            <w:bookmarkEnd w:id="639"/>
          </w:p>
        </w:tc>
      </w:tr>
    </w:tbl>
    <w:p w14:paraId="3497D239" w14:textId="77777777" w:rsidR="00FE4D65" w:rsidRPr="00FE4D65" w:rsidRDefault="00FE4D65" w:rsidP="0072711D">
      <w:pPr>
        <w:rPr>
          <w:lang w:val="es-ES"/>
        </w:rPr>
      </w:pPr>
      <w:r w:rsidRPr="00FE4D65">
        <w:rPr>
          <w:lang w:val="es-ES"/>
        </w:rPr>
        <w:br w:type="page"/>
      </w:r>
    </w:p>
    <w:p w14:paraId="3F68943F" w14:textId="77777777" w:rsidR="00FE4D65" w:rsidRPr="00FE4D65" w:rsidRDefault="00FE4D65" w:rsidP="0072711D">
      <w:pPr>
        <w:pStyle w:val="Headingb"/>
        <w:spacing w:after="120"/>
      </w:pPr>
      <w:bookmarkStart w:id="640" w:name="lt_pId1492"/>
      <w:r w:rsidRPr="00FE4D65">
        <w:lastRenderedPageBreak/>
        <w:t>Prensa y medios de comunicación:</w:t>
      </w:r>
      <w:bookmarkEnd w:id="640"/>
    </w:p>
    <w:tbl>
      <w:tblPr>
        <w:tblStyle w:val="TableGrid"/>
        <w:tblW w:w="5000" w:type="pct"/>
        <w:jc w:val="center"/>
        <w:tblLayout w:type="fixed"/>
        <w:tblLook w:val="04A0" w:firstRow="1" w:lastRow="0" w:firstColumn="1" w:lastColumn="0" w:noHBand="0" w:noVBand="1"/>
      </w:tblPr>
      <w:tblGrid>
        <w:gridCol w:w="9629"/>
      </w:tblGrid>
      <w:tr w:rsidR="00FE4D65" w:rsidRPr="00FE4D65" w14:paraId="23FDD87B" w14:textId="77777777" w:rsidTr="0072711D">
        <w:trPr>
          <w:jc w:val="center"/>
        </w:trPr>
        <w:tc>
          <w:tcPr>
            <w:tcW w:w="9719" w:type="dxa"/>
          </w:tcPr>
          <w:p w14:paraId="2A0C0FED" w14:textId="01B1EAA4" w:rsidR="00FE4D65" w:rsidRPr="00FE4D65" w:rsidRDefault="00FE4D65" w:rsidP="00FE4D65">
            <w:pPr>
              <w:rPr>
                <w:lang w:val="es-ES"/>
              </w:rPr>
            </w:pPr>
            <w:bookmarkStart w:id="641" w:name="lt_pId1493"/>
            <w:r w:rsidRPr="00FE4D65">
              <w:rPr>
                <w:b/>
                <w:bCs/>
                <w:lang w:val="es-ES"/>
              </w:rPr>
              <w:t>Inscripción:</w:t>
            </w:r>
            <w:r w:rsidRPr="00FE4D65">
              <w:rPr>
                <w:lang w:val="es-ES"/>
              </w:rPr>
              <w:t xml:space="preserve"> Se expidieron acreditaciones de medios de comunicación para la CMR-23/AR-23 a 34</w:t>
            </w:r>
            <w:r w:rsidR="006411A1">
              <w:rPr>
                <w:lang w:val="es-ES"/>
              </w:rPr>
              <w:t> </w:t>
            </w:r>
            <w:r w:rsidRPr="00FE4D65">
              <w:rPr>
                <w:lang w:val="es-ES"/>
              </w:rPr>
              <w:t>periodistas.</w:t>
            </w:r>
          </w:p>
          <w:p w14:paraId="2BCBC52D" w14:textId="77777777" w:rsidR="00FE4D65" w:rsidRPr="00FE4D65" w:rsidRDefault="00FE4D65" w:rsidP="00FE4D65">
            <w:pPr>
              <w:rPr>
                <w:lang w:val="es-ES"/>
              </w:rPr>
            </w:pPr>
            <w:r w:rsidRPr="00FE4D65">
              <w:rPr>
                <w:b/>
                <w:bCs/>
                <w:lang w:val="es-ES"/>
              </w:rPr>
              <w:t>Consultas de los medios:</w:t>
            </w:r>
            <w:r w:rsidRPr="00FE4D65">
              <w:rPr>
                <w:lang w:val="es-ES"/>
              </w:rPr>
              <w:t xml:space="preserve"> La UIT recibió y examinó 18 consultas de los medios relacionadas con la CMR-23, la AR-23 o con temas relacionados con las radiocomunicaciones en general en el contexto de la AR-23/CMR-23.</w:t>
            </w:r>
          </w:p>
          <w:p w14:paraId="43580D2A" w14:textId="2183404A" w:rsidR="00FE4D65" w:rsidRPr="00FE4D65" w:rsidRDefault="00FE4D65" w:rsidP="0072711D">
            <w:pPr>
              <w:spacing w:after="120"/>
              <w:rPr>
                <w:lang w:val="es-ES"/>
              </w:rPr>
            </w:pPr>
            <w:r w:rsidRPr="00FE4D65">
              <w:rPr>
                <w:b/>
                <w:bCs/>
                <w:lang w:val="es-ES"/>
              </w:rPr>
              <w:t>Comunicaciones con la prensa:</w:t>
            </w:r>
            <w:r w:rsidRPr="00FE4D65">
              <w:rPr>
                <w:lang w:val="es-ES"/>
              </w:rPr>
              <w:t xml:space="preserve"> La UIT publicó ocho (8) productos de prensa relacionados con la CMR-23/AR-23 (comunicados/avisos a la prensa/notas de cobertura).</w:t>
            </w:r>
            <w:bookmarkStart w:id="642" w:name="lt_pId1494"/>
            <w:bookmarkStart w:id="643" w:name="lt_pId1495"/>
            <w:bookmarkEnd w:id="641"/>
            <w:bookmarkEnd w:id="642"/>
            <w:bookmarkEnd w:id="643"/>
          </w:p>
        </w:tc>
      </w:tr>
    </w:tbl>
    <w:p w14:paraId="5C66A074" w14:textId="483CB28D" w:rsidR="00FE4D65" w:rsidRPr="00EB7E95" w:rsidRDefault="00FE4D65" w:rsidP="0072711D">
      <w:pPr>
        <w:pStyle w:val="Normalaftertitle"/>
        <w:rPr>
          <w:lang w:val="es-ES"/>
        </w:rPr>
      </w:pPr>
      <w:bookmarkStart w:id="644" w:name="lt_pId1496"/>
      <w:r w:rsidRPr="00FE4D65">
        <w:rPr>
          <w:b/>
          <w:bCs/>
          <w:lang w:val="es-ES"/>
        </w:rPr>
        <w:t>Contenido audiovisual</w:t>
      </w:r>
      <w:r w:rsidRPr="00EB7E95">
        <w:rPr>
          <w:b/>
          <w:bCs/>
          <w:lang w:val="es-ES"/>
        </w:rPr>
        <w:t>:</w:t>
      </w:r>
      <w:r w:rsidR="00EB7E95">
        <w:rPr>
          <w:lang w:val="es-ES"/>
        </w:rPr>
        <w:br/>
      </w:r>
      <w:r w:rsidRPr="00FE4D65">
        <w:rPr>
          <w:lang w:val="es-ES"/>
        </w:rPr>
        <w:t>A continuación figuran las estadísticas audiovisuales, correspondientes a la cantidad de contenidos de la AR/CMR-23 publicados en las cuentas de YouTube, Flickr y Soundcloud de la UIT y a sus visualizaciones/reproducciones (hasta la fecha):</w:t>
      </w:r>
      <w:bookmarkStart w:id="645" w:name="lt_pId1497"/>
      <w:bookmarkEnd w:id="644"/>
      <w:bookmarkEnd w:id="645"/>
    </w:p>
    <w:p w14:paraId="68265DB3" w14:textId="77777777" w:rsidR="00FE4D65" w:rsidRPr="00FE4D65" w:rsidRDefault="00FE4D65" w:rsidP="0072711D">
      <w:pPr>
        <w:spacing w:after="120"/>
        <w:rPr>
          <w:b/>
          <w:bCs/>
          <w:u w:val="single"/>
          <w:lang w:val="en-GB"/>
        </w:rPr>
      </w:pPr>
      <w:bookmarkStart w:id="646" w:name="lt_pId1498"/>
      <w:r w:rsidRPr="00FE4D65">
        <w:rPr>
          <w:b/>
          <w:bCs/>
          <w:u w:val="single"/>
          <w:lang w:val="es-ES"/>
        </w:rPr>
        <w:t>YouTube</w:t>
      </w:r>
      <w:bookmarkEnd w:id="646"/>
    </w:p>
    <w:tbl>
      <w:tblPr>
        <w:tblStyle w:val="TableGrid"/>
        <w:tblW w:w="5000" w:type="pct"/>
        <w:jc w:val="center"/>
        <w:tblLayout w:type="fixed"/>
        <w:tblLook w:val="04A0" w:firstRow="1" w:lastRow="0" w:firstColumn="1" w:lastColumn="0" w:noHBand="0" w:noVBand="1"/>
      </w:tblPr>
      <w:tblGrid>
        <w:gridCol w:w="2235"/>
        <w:gridCol w:w="2580"/>
        <w:gridCol w:w="2277"/>
        <w:gridCol w:w="2537"/>
      </w:tblGrid>
      <w:tr w:rsidR="00FE4D65" w:rsidRPr="00FE4D65" w14:paraId="3535733A" w14:textId="77777777" w:rsidTr="00EB7E95">
        <w:trPr>
          <w:jc w:val="center"/>
        </w:trPr>
        <w:tc>
          <w:tcPr>
            <w:tcW w:w="2235" w:type="dxa"/>
          </w:tcPr>
          <w:p w14:paraId="22E59AE2" w14:textId="37E81623" w:rsidR="00FE4D65" w:rsidRPr="00FE4D65" w:rsidRDefault="00FE4D65" w:rsidP="0072711D">
            <w:pPr>
              <w:pStyle w:val="Tabletext"/>
              <w:rPr>
                <w:lang w:val="en-GB"/>
              </w:rPr>
            </w:pPr>
            <w:bookmarkStart w:id="647" w:name="lt_pId1499"/>
            <w:r w:rsidRPr="00FE4D65">
              <w:rPr>
                <w:lang w:val="es-ES"/>
              </w:rPr>
              <w:t>V</w:t>
            </w:r>
            <w:r w:rsidR="00F039CA">
              <w:rPr>
                <w:lang w:val="es-ES"/>
              </w:rPr>
              <w:t>í</w:t>
            </w:r>
            <w:r w:rsidRPr="00FE4D65">
              <w:rPr>
                <w:lang w:val="es-ES"/>
              </w:rPr>
              <w:t xml:space="preserve">deos AR-23: </w:t>
            </w:r>
            <w:r w:rsidR="00EB7E95">
              <w:rPr>
                <w:lang w:val="es-ES"/>
              </w:rPr>
              <w:br/>
            </w:r>
            <w:r w:rsidRPr="00FE4D65">
              <w:rPr>
                <w:b/>
                <w:bCs/>
                <w:lang w:val="es-ES"/>
              </w:rPr>
              <w:t>15</w:t>
            </w:r>
            <w:bookmarkEnd w:id="647"/>
          </w:p>
        </w:tc>
        <w:tc>
          <w:tcPr>
            <w:tcW w:w="2580" w:type="dxa"/>
          </w:tcPr>
          <w:p w14:paraId="5D73976F" w14:textId="6A2821C0" w:rsidR="00FE4D65" w:rsidRPr="00FE4D65" w:rsidRDefault="00FE4D65" w:rsidP="0072711D">
            <w:pPr>
              <w:pStyle w:val="Tabletext"/>
              <w:rPr>
                <w:lang w:val="en-GB"/>
              </w:rPr>
            </w:pPr>
            <w:bookmarkStart w:id="648" w:name="lt_pId1500"/>
            <w:r w:rsidRPr="00FE4D65">
              <w:rPr>
                <w:lang w:val="es-ES"/>
              </w:rPr>
              <w:t>Reproducciones AR</w:t>
            </w:r>
            <w:r w:rsidR="0072711D">
              <w:rPr>
                <w:lang w:val="es-ES"/>
              </w:rPr>
              <w:noBreakHyphen/>
            </w:r>
            <w:r w:rsidRPr="00FE4D65">
              <w:rPr>
                <w:lang w:val="es-ES"/>
              </w:rPr>
              <w:t xml:space="preserve">23: </w:t>
            </w:r>
            <w:r w:rsidRPr="00FE4D65">
              <w:rPr>
                <w:b/>
                <w:bCs/>
                <w:lang w:val="es-ES"/>
              </w:rPr>
              <w:t>4</w:t>
            </w:r>
            <w:r w:rsidR="0072711D">
              <w:rPr>
                <w:b/>
                <w:bCs/>
                <w:lang w:val="es-ES"/>
              </w:rPr>
              <w:t> </w:t>
            </w:r>
            <w:r w:rsidRPr="00FE4D65">
              <w:rPr>
                <w:b/>
                <w:bCs/>
                <w:lang w:val="es-ES"/>
              </w:rPr>
              <w:t>791</w:t>
            </w:r>
            <w:bookmarkEnd w:id="648"/>
          </w:p>
        </w:tc>
        <w:tc>
          <w:tcPr>
            <w:tcW w:w="2277" w:type="dxa"/>
          </w:tcPr>
          <w:p w14:paraId="3685542B" w14:textId="02B19376" w:rsidR="00FE4D65" w:rsidRPr="00FE4D65" w:rsidRDefault="00FE4D65" w:rsidP="0072711D">
            <w:pPr>
              <w:pStyle w:val="Tabletext"/>
              <w:rPr>
                <w:lang w:val="en-GB"/>
              </w:rPr>
            </w:pPr>
            <w:bookmarkStart w:id="649" w:name="lt_pId1501"/>
            <w:r w:rsidRPr="00FE4D65">
              <w:rPr>
                <w:lang w:val="es-ES"/>
              </w:rPr>
              <w:t xml:space="preserve">Vídeos CMR-23: </w:t>
            </w:r>
            <w:r w:rsidR="00EB7E95">
              <w:rPr>
                <w:lang w:val="es-ES"/>
              </w:rPr>
              <w:br/>
            </w:r>
            <w:r w:rsidRPr="00FE4D65">
              <w:rPr>
                <w:b/>
                <w:bCs/>
                <w:lang w:val="es-ES"/>
              </w:rPr>
              <w:t>61</w:t>
            </w:r>
            <w:bookmarkEnd w:id="649"/>
          </w:p>
        </w:tc>
        <w:tc>
          <w:tcPr>
            <w:tcW w:w="2537" w:type="dxa"/>
          </w:tcPr>
          <w:p w14:paraId="33FABD1B" w14:textId="23DBC410" w:rsidR="00FE4D65" w:rsidRPr="00FE4D65" w:rsidRDefault="00FE4D65" w:rsidP="0072711D">
            <w:pPr>
              <w:pStyle w:val="Tabletext"/>
              <w:rPr>
                <w:lang w:val="en-GB"/>
              </w:rPr>
            </w:pPr>
            <w:bookmarkStart w:id="650" w:name="lt_pId1502"/>
            <w:r w:rsidRPr="00FE4D65">
              <w:rPr>
                <w:lang w:val="es-ES"/>
              </w:rPr>
              <w:t>Reproducciones CMR</w:t>
            </w:r>
            <w:r w:rsidR="0072711D">
              <w:rPr>
                <w:lang w:val="es-ES"/>
              </w:rPr>
              <w:noBreakHyphen/>
            </w:r>
            <w:r w:rsidRPr="00FE4D65">
              <w:rPr>
                <w:lang w:val="es-ES"/>
              </w:rPr>
              <w:t xml:space="preserve">23: </w:t>
            </w:r>
            <w:r w:rsidRPr="00FE4D65">
              <w:rPr>
                <w:b/>
                <w:bCs/>
                <w:lang w:val="es-ES"/>
              </w:rPr>
              <w:t>16</w:t>
            </w:r>
            <w:r w:rsidR="00EB7E95">
              <w:rPr>
                <w:b/>
                <w:bCs/>
                <w:lang w:val="es-ES"/>
              </w:rPr>
              <w:t> </w:t>
            </w:r>
            <w:r w:rsidRPr="00FE4D65">
              <w:rPr>
                <w:b/>
                <w:bCs/>
                <w:lang w:val="es-ES"/>
              </w:rPr>
              <w:t>414</w:t>
            </w:r>
            <w:bookmarkEnd w:id="650"/>
          </w:p>
        </w:tc>
      </w:tr>
    </w:tbl>
    <w:p w14:paraId="5E92374F" w14:textId="77777777" w:rsidR="00FE4D65" w:rsidRPr="00FE4D65" w:rsidRDefault="00FE4D65" w:rsidP="0072711D">
      <w:pPr>
        <w:spacing w:after="120"/>
        <w:rPr>
          <w:b/>
          <w:bCs/>
          <w:u w:val="single"/>
          <w:lang w:val="en-GB"/>
        </w:rPr>
      </w:pPr>
      <w:r w:rsidRPr="00FE4D65">
        <w:rPr>
          <w:b/>
          <w:bCs/>
          <w:u w:val="single"/>
          <w:lang w:val="es-ES"/>
        </w:rPr>
        <w:t>Soundcloud</w:t>
      </w:r>
      <w:bookmarkStart w:id="651" w:name="lt_pId1503"/>
      <w:bookmarkEnd w:id="651"/>
    </w:p>
    <w:tbl>
      <w:tblPr>
        <w:tblStyle w:val="TableGrid"/>
        <w:tblW w:w="5000" w:type="pct"/>
        <w:jc w:val="center"/>
        <w:tblLayout w:type="fixed"/>
        <w:tblLook w:val="04A0" w:firstRow="1" w:lastRow="0" w:firstColumn="1" w:lastColumn="0" w:noHBand="0" w:noVBand="1"/>
      </w:tblPr>
      <w:tblGrid>
        <w:gridCol w:w="2235"/>
        <w:gridCol w:w="2580"/>
        <w:gridCol w:w="2277"/>
        <w:gridCol w:w="2537"/>
      </w:tblGrid>
      <w:tr w:rsidR="00FE4D65" w:rsidRPr="00FE4D65" w14:paraId="4E881DED" w14:textId="77777777" w:rsidTr="00EB7E95">
        <w:trPr>
          <w:jc w:val="center"/>
        </w:trPr>
        <w:tc>
          <w:tcPr>
            <w:tcW w:w="2235" w:type="dxa"/>
          </w:tcPr>
          <w:p w14:paraId="2A60B73B" w14:textId="5DA6137B" w:rsidR="00FE4D65" w:rsidRPr="00FE4D65" w:rsidRDefault="00FE4D65" w:rsidP="0072711D">
            <w:pPr>
              <w:pStyle w:val="Tabletext"/>
              <w:rPr>
                <w:lang w:val="en-GB"/>
              </w:rPr>
            </w:pPr>
            <w:bookmarkStart w:id="652" w:name="lt_pId1504"/>
            <w:r w:rsidRPr="00FE4D65">
              <w:rPr>
                <w:lang w:val="es-ES"/>
              </w:rPr>
              <w:t>Grabaciones AR-23:</w:t>
            </w:r>
            <w:r w:rsidRPr="00FE4D65">
              <w:rPr>
                <w:b/>
                <w:bCs/>
                <w:lang w:val="es-ES"/>
              </w:rPr>
              <w:t xml:space="preserve"> </w:t>
            </w:r>
            <w:r w:rsidR="00EB7E95">
              <w:rPr>
                <w:b/>
                <w:bCs/>
                <w:lang w:val="es-ES"/>
              </w:rPr>
              <w:br/>
            </w:r>
            <w:r w:rsidRPr="00FE4D65">
              <w:rPr>
                <w:b/>
                <w:bCs/>
                <w:lang w:val="es-ES"/>
              </w:rPr>
              <w:t>7</w:t>
            </w:r>
            <w:bookmarkEnd w:id="652"/>
          </w:p>
        </w:tc>
        <w:tc>
          <w:tcPr>
            <w:tcW w:w="2580" w:type="dxa"/>
          </w:tcPr>
          <w:p w14:paraId="5B620AA1" w14:textId="29D62479" w:rsidR="00FE4D65" w:rsidRPr="00FE4D65" w:rsidRDefault="00FE4D65" w:rsidP="0072711D">
            <w:pPr>
              <w:pStyle w:val="Tabletext"/>
              <w:rPr>
                <w:lang w:val="en-GB"/>
              </w:rPr>
            </w:pPr>
            <w:bookmarkStart w:id="653" w:name="lt_pId1505"/>
            <w:r w:rsidRPr="00FE4D65">
              <w:rPr>
                <w:lang w:val="es-ES"/>
              </w:rPr>
              <w:t>Reproducciones AR</w:t>
            </w:r>
            <w:r w:rsidR="0072711D">
              <w:rPr>
                <w:lang w:val="es-ES"/>
              </w:rPr>
              <w:noBreakHyphen/>
            </w:r>
            <w:r w:rsidRPr="00FE4D65">
              <w:rPr>
                <w:lang w:val="es-ES"/>
              </w:rPr>
              <w:t xml:space="preserve">23: </w:t>
            </w:r>
            <w:r w:rsidRPr="00FE4D65">
              <w:rPr>
                <w:b/>
                <w:bCs/>
                <w:lang w:val="es-ES"/>
              </w:rPr>
              <w:t>183</w:t>
            </w:r>
            <w:bookmarkEnd w:id="653"/>
          </w:p>
        </w:tc>
        <w:tc>
          <w:tcPr>
            <w:tcW w:w="2277" w:type="dxa"/>
          </w:tcPr>
          <w:p w14:paraId="5B3EA52B" w14:textId="77777777" w:rsidR="00FE4D65" w:rsidRPr="00FE4D65" w:rsidRDefault="00FE4D65" w:rsidP="0072711D">
            <w:pPr>
              <w:pStyle w:val="Tabletext"/>
              <w:rPr>
                <w:lang w:val="en-GB"/>
              </w:rPr>
            </w:pPr>
            <w:bookmarkStart w:id="654" w:name="lt_pId1506"/>
            <w:r w:rsidRPr="00FE4D65">
              <w:rPr>
                <w:lang w:val="es-ES"/>
              </w:rPr>
              <w:t xml:space="preserve">Grabaciones CMR-23: </w:t>
            </w:r>
            <w:r w:rsidRPr="00FE4D65">
              <w:rPr>
                <w:b/>
                <w:bCs/>
                <w:lang w:val="es-ES"/>
              </w:rPr>
              <w:t>56</w:t>
            </w:r>
            <w:bookmarkEnd w:id="654"/>
          </w:p>
        </w:tc>
        <w:tc>
          <w:tcPr>
            <w:tcW w:w="2537" w:type="dxa"/>
          </w:tcPr>
          <w:p w14:paraId="0D5344EE" w14:textId="454093E2" w:rsidR="00FE4D65" w:rsidRPr="00FE4D65" w:rsidRDefault="00FE4D65" w:rsidP="0072711D">
            <w:pPr>
              <w:pStyle w:val="Tabletext"/>
              <w:rPr>
                <w:lang w:val="en-GB"/>
              </w:rPr>
            </w:pPr>
            <w:bookmarkStart w:id="655" w:name="lt_pId1507"/>
            <w:r w:rsidRPr="00FE4D65">
              <w:rPr>
                <w:lang w:val="es-ES"/>
              </w:rPr>
              <w:t>Reproducciones CMR</w:t>
            </w:r>
            <w:r w:rsidR="0072711D">
              <w:rPr>
                <w:lang w:val="es-ES"/>
              </w:rPr>
              <w:noBreakHyphen/>
            </w:r>
            <w:r w:rsidRPr="00FE4D65">
              <w:rPr>
                <w:lang w:val="es-ES"/>
              </w:rPr>
              <w:t>23:</w:t>
            </w:r>
            <w:r w:rsidRPr="00FE4D65">
              <w:rPr>
                <w:b/>
                <w:bCs/>
                <w:lang w:val="es-ES"/>
              </w:rPr>
              <w:t xml:space="preserve"> 828</w:t>
            </w:r>
            <w:bookmarkEnd w:id="655"/>
          </w:p>
        </w:tc>
      </w:tr>
    </w:tbl>
    <w:p w14:paraId="56F0E12B" w14:textId="77777777" w:rsidR="00FE4D65" w:rsidRPr="00FE4D65" w:rsidRDefault="00FE4D65" w:rsidP="0072711D">
      <w:pPr>
        <w:spacing w:after="120"/>
        <w:rPr>
          <w:lang w:val="en-GB"/>
        </w:rPr>
      </w:pPr>
      <w:bookmarkStart w:id="656" w:name="lt_pId1508"/>
      <w:r w:rsidRPr="00FE4D65">
        <w:rPr>
          <w:b/>
          <w:bCs/>
          <w:u w:val="single"/>
          <w:lang w:val="es-ES"/>
        </w:rPr>
        <w:t>Flickr</w:t>
      </w:r>
      <w:bookmarkEnd w:id="656"/>
    </w:p>
    <w:tbl>
      <w:tblPr>
        <w:tblStyle w:val="TableGrid"/>
        <w:tblW w:w="5000" w:type="pct"/>
        <w:jc w:val="center"/>
        <w:tblLayout w:type="fixed"/>
        <w:tblLook w:val="04A0" w:firstRow="1" w:lastRow="0" w:firstColumn="1" w:lastColumn="0" w:noHBand="0" w:noVBand="1"/>
      </w:tblPr>
      <w:tblGrid>
        <w:gridCol w:w="2235"/>
        <w:gridCol w:w="2580"/>
        <w:gridCol w:w="2277"/>
        <w:gridCol w:w="2537"/>
      </w:tblGrid>
      <w:tr w:rsidR="00FE4D65" w:rsidRPr="00FE4D65" w14:paraId="6457E165" w14:textId="77777777" w:rsidTr="00EB7E95">
        <w:trPr>
          <w:jc w:val="center"/>
        </w:trPr>
        <w:tc>
          <w:tcPr>
            <w:tcW w:w="2235" w:type="dxa"/>
          </w:tcPr>
          <w:p w14:paraId="71FB00D1" w14:textId="47463C8F" w:rsidR="00FE4D65" w:rsidRPr="00FE4D65" w:rsidRDefault="00FE4D65" w:rsidP="0072711D">
            <w:pPr>
              <w:pStyle w:val="Tabletext"/>
              <w:rPr>
                <w:lang w:val="en-GB"/>
              </w:rPr>
            </w:pPr>
            <w:bookmarkStart w:id="657" w:name="lt_pId1509"/>
            <w:r w:rsidRPr="00FE4D65">
              <w:rPr>
                <w:lang w:val="es-ES"/>
              </w:rPr>
              <w:t xml:space="preserve">Fotos AR-23: </w:t>
            </w:r>
            <w:r w:rsidR="00EB7E95">
              <w:rPr>
                <w:lang w:val="es-ES"/>
              </w:rPr>
              <w:br/>
            </w:r>
            <w:r w:rsidRPr="00FE4D65">
              <w:rPr>
                <w:b/>
                <w:bCs/>
                <w:lang w:val="es-ES"/>
              </w:rPr>
              <w:t>503</w:t>
            </w:r>
            <w:bookmarkEnd w:id="657"/>
          </w:p>
        </w:tc>
        <w:tc>
          <w:tcPr>
            <w:tcW w:w="2580" w:type="dxa"/>
          </w:tcPr>
          <w:p w14:paraId="455B35BB" w14:textId="58D8AA15" w:rsidR="00FE4D65" w:rsidRPr="00FE4D65" w:rsidRDefault="00FE4D65" w:rsidP="0072711D">
            <w:pPr>
              <w:pStyle w:val="Tabletext"/>
              <w:rPr>
                <w:lang w:val="en-GB"/>
              </w:rPr>
            </w:pPr>
            <w:bookmarkStart w:id="658" w:name="lt_pId1510"/>
            <w:r w:rsidRPr="00FE4D65">
              <w:rPr>
                <w:lang w:val="es-ES"/>
              </w:rPr>
              <w:t xml:space="preserve">Visualizaciones AR-23: </w:t>
            </w:r>
            <w:r w:rsidRPr="00FE4D65">
              <w:rPr>
                <w:b/>
                <w:bCs/>
                <w:lang w:val="es-ES"/>
              </w:rPr>
              <w:t>528</w:t>
            </w:r>
            <w:r w:rsidR="0072711D">
              <w:rPr>
                <w:b/>
                <w:bCs/>
                <w:lang w:val="es-ES"/>
              </w:rPr>
              <w:t> </w:t>
            </w:r>
            <w:r w:rsidRPr="00FE4D65">
              <w:rPr>
                <w:b/>
                <w:bCs/>
                <w:lang w:val="es-ES"/>
              </w:rPr>
              <w:t>150</w:t>
            </w:r>
            <w:bookmarkEnd w:id="658"/>
          </w:p>
        </w:tc>
        <w:tc>
          <w:tcPr>
            <w:tcW w:w="2277" w:type="dxa"/>
          </w:tcPr>
          <w:p w14:paraId="57291EAC" w14:textId="5ACE5036" w:rsidR="00FE4D65" w:rsidRPr="00FE4D65" w:rsidRDefault="00FE4D65" w:rsidP="0072711D">
            <w:pPr>
              <w:pStyle w:val="Tabletext"/>
              <w:rPr>
                <w:lang w:val="en-GB"/>
              </w:rPr>
            </w:pPr>
            <w:bookmarkStart w:id="659" w:name="lt_pId1511"/>
            <w:r w:rsidRPr="00FE4D65">
              <w:rPr>
                <w:lang w:val="es-ES"/>
              </w:rPr>
              <w:t xml:space="preserve">Fotos CMR-23: </w:t>
            </w:r>
            <w:r w:rsidR="00EB7E95">
              <w:rPr>
                <w:lang w:val="es-ES"/>
              </w:rPr>
              <w:br/>
            </w:r>
            <w:r w:rsidRPr="00FE4D65">
              <w:rPr>
                <w:b/>
                <w:bCs/>
                <w:lang w:val="es-ES"/>
              </w:rPr>
              <w:t>1</w:t>
            </w:r>
            <w:r w:rsidR="00EB7E95">
              <w:rPr>
                <w:b/>
                <w:bCs/>
                <w:lang w:val="es-ES"/>
              </w:rPr>
              <w:t> </w:t>
            </w:r>
            <w:r w:rsidRPr="00FE4D65">
              <w:rPr>
                <w:b/>
                <w:bCs/>
                <w:lang w:val="es-ES"/>
              </w:rPr>
              <w:t>994</w:t>
            </w:r>
            <w:bookmarkEnd w:id="659"/>
          </w:p>
        </w:tc>
        <w:tc>
          <w:tcPr>
            <w:tcW w:w="2537" w:type="dxa"/>
          </w:tcPr>
          <w:p w14:paraId="5F8AA139" w14:textId="4C4F7769" w:rsidR="00FE4D65" w:rsidRPr="00FE4D65" w:rsidRDefault="00FE4D65" w:rsidP="0072711D">
            <w:pPr>
              <w:pStyle w:val="Tabletext"/>
              <w:rPr>
                <w:lang w:val="en-GB"/>
              </w:rPr>
            </w:pPr>
            <w:bookmarkStart w:id="660" w:name="lt_pId1512"/>
            <w:r w:rsidRPr="00FE4D65">
              <w:rPr>
                <w:lang w:val="es-ES"/>
              </w:rPr>
              <w:t>Visualizaciones CMR</w:t>
            </w:r>
            <w:r w:rsidR="0072711D">
              <w:rPr>
                <w:lang w:val="es-ES"/>
              </w:rPr>
              <w:noBreakHyphen/>
            </w:r>
            <w:r w:rsidRPr="00FE4D65">
              <w:rPr>
                <w:lang w:val="es-ES"/>
              </w:rPr>
              <w:t xml:space="preserve">23: </w:t>
            </w:r>
            <w:r w:rsidRPr="00FE4D65">
              <w:rPr>
                <w:b/>
                <w:bCs/>
                <w:lang w:val="es-ES"/>
              </w:rPr>
              <w:t>11</w:t>
            </w:r>
            <w:r w:rsidR="00EB7E95">
              <w:rPr>
                <w:b/>
                <w:bCs/>
                <w:lang w:val="es-ES"/>
              </w:rPr>
              <w:t> </w:t>
            </w:r>
            <w:r w:rsidRPr="00FE4D65">
              <w:rPr>
                <w:b/>
                <w:bCs/>
                <w:lang w:val="es-ES"/>
              </w:rPr>
              <w:t>964</w:t>
            </w:r>
            <w:r w:rsidR="00EB7E95">
              <w:rPr>
                <w:b/>
                <w:bCs/>
                <w:lang w:val="es-ES"/>
              </w:rPr>
              <w:t> </w:t>
            </w:r>
            <w:r w:rsidRPr="00FE4D65">
              <w:rPr>
                <w:b/>
                <w:bCs/>
                <w:lang w:val="es-ES"/>
              </w:rPr>
              <w:t>400</w:t>
            </w:r>
            <w:bookmarkEnd w:id="660"/>
          </w:p>
        </w:tc>
      </w:tr>
    </w:tbl>
    <w:p w14:paraId="1A6EC9CB" w14:textId="77777777" w:rsidR="00FE4D65" w:rsidRPr="00FE4D65" w:rsidRDefault="00FE4D65" w:rsidP="00EB7E95">
      <w:pPr>
        <w:pStyle w:val="Tablelegend"/>
        <w:rPr>
          <w:lang w:val="es-ES"/>
        </w:rPr>
      </w:pPr>
      <w:bookmarkStart w:id="661" w:name="lt_pId1514"/>
      <w:r w:rsidRPr="00FE4D65">
        <w:rPr>
          <w:lang w:val="es-ES"/>
        </w:rPr>
        <w:t>Nota: Algunos vídeos se publicaron de forma independiente en los perfiles de las redes sociales de la UIT, pero no se dispone de estadísticas al respecto.</w:t>
      </w:r>
      <w:bookmarkEnd w:id="661"/>
    </w:p>
    <w:p w14:paraId="27402C04" w14:textId="556080A8" w:rsidR="00FE4D65" w:rsidRPr="00FE4D65" w:rsidRDefault="00FE4D65" w:rsidP="0072711D">
      <w:pPr>
        <w:pStyle w:val="Headingb"/>
      </w:pPr>
      <w:bookmarkStart w:id="662" w:name="lt_pId1515"/>
      <w:r w:rsidRPr="006B7F9A">
        <w:t>Comparación entre las estadísticas audiovisuales de la CMR-19 y la CMR-23</w:t>
      </w:r>
      <w:bookmarkEnd w:id="662"/>
    </w:p>
    <w:p w14:paraId="63E562ED" w14:textId="77777777" w:rsidR="00FE4D65" w:rsidRPr="00FE4D65" w:rsidRDefault="00FE4D65" w:rsidP="004363EB">
      <w:pPr>
        <w:pStyle w:val="Figure"/>
        <w:keepNext w:val="0"/>
        <w:keepLines w:val="0"/>
        <w:rPr>
          <w:lang w:val="en-GB"/>
        </w:rPr>
      </w:pPr>
      <w:r w:rsidRPr="00FE4D65">
        <w:rPr>
          <w:noProof/>
          <w:lang w:val="en-GB"/>
        </w:rPr>
        <w:drawing>
          <wp:inline distT="0" distB="0" distL="0" distR="0" wp14:anchorId="6B2E1896" wp14:editId="6272152C">
            <wp:extent cx="5731510" cy="2988945"/>
            <wp:effectExtent l="0" t="0" r="2540" b="1905"/>
            <wp:docPr id="1838710752" name="Picture 183871075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94301" name="Picture 1" descr="A screenshot of a computer&#10;&#10;Description automatically generated"/>
                    <pic:cNvPicPr>
                      <a:picLocks noChangeAspect="1" noChangeArrowheads="1"/>
                    </pic:cNvPicPr>
                  </pic:nvPicPr>
                  <pic:blipFill>
                    <a:blip r:embed="rId86" r:link="rId87">
                      <a:extLst>
                        <a:ext uri="{28A0092B-C50C-407E-A947-70E740481C1C}">
                          <a14:useLocalDpi xmlns:a14="http://schemas.microsoft.com/office/drawing/2010/main" val="0"/>
                        </a:ext>
                      </a:extLst>
                    </a:blip>
                    <a:stretch>
                      <a:fillRect/>
                    </a:stretch>
                  </pic:blipFill>
                  <pic:spPr bwMode="auto">
                    <a:xfrm>
                      <a:off x="0" y="0"/>
                      <a:ext cx="5731510" cy="2988945"/>
                    </a:xfrm>
                    <a:prstGeom prst="rect">
                      <a:avLst/>
                    </a:prstGeom>
                    <a:noFill/>
                    <a:ln>
                      <a:noFill/>
                    </a:ln>
                  </pic:spPr>
                </pic:pic>
              </a:graphicData>
            </a:graphic>
          </wp:inline>
        </w:drawing>
      </w:r>
    </w:p>
    <w:p w14:paraId="72111741" w14:textId="58542697" w:rsidR="00FE4D65" w:rsidRPr="00FE4D65" w:rsidRDefault="00FE4D65" w:rsidP="0072711D">
      <w:pPr>
        <w:pStyle w:val="Normalaftertitle"/>
        <w:rPr>
          <w:lang w:val="es-ES"/>
        </w:rPr>
      </w:pPr>
      <w:bookmarkStart w:id="663" w:name="lt_pId1516"/>
      <w:r w:rsidRPr="00FE4D65">
        <w:rPr>
          <w:lang w:val="es-ES"/>
        </w:rPr>
        <w:lastRenderedPageBreak/>
        <w:t xml:space="preserve">La Oficina participó activamente en varios Días Internacionales de las Naciones Unidas relacionados con su labor. Entre ellos figuran el Día Mundial de la Radio, el Día Internacional de las Mujeres y las Niñas en la Ciencia, el Día Meteorológico Mundial, el Día Internacional de los Vuelos Espaciales Tripulados, el Día Mundial de las Telecomunicaciones y la Sociedad de la Información, el Día Mundial de los Océanos, el Día Marítimo Mundial, el Día Internacional de la Luna, la Semana Mundial del Espacio, el Día Mundial de la Televisión, el Día Mundial de la Normalización y el Día de la Aviación Civil Internacional. El equipo de comunicación de la BR, en estrecha colaboración con los coordinadores, redactó artículos y blogs que fueron publicados en el Polo de </w:t>
      </w:r>
      <w:r w:rsidRPr="001B3AA3">
        <w:rPr>
          <w:i/>
          <w:iCs/>
          <w:lang w:val="es-ES"/>
        </w:rPr>
        <w:t>Actualidades de la UIT</w:t>
      </w:r>
      <w:r w:rsidRPr="00FE4D65">
        <w:rPr>
          <w:lang w:val="es-ES"/>
        </w:rPr>
        <w:t xml:space="preserve"> y en Noticias ONU.</w:t>
      </w:r>
      <w:bookmarkStart w:id="664" w:name="lt_pId1517"/>
      <w:bookmarkStart w:id="665" w:name="lt_pId1518"/>
      <w:bookmarkEnd w:id="663"/>
      <w:bookmarkEnd w:id="664"/>
      <w:bookmarkEnd w:id="665"/>
    </w:p>
    <w:p w14:paraId="14B60DCE" w14:textId="28F7E241" w:rsidR="00FE4D65" w:rsidRPr="00FE4D65" w:rsidRDefault="00FE4D65" w:rsidP="0072711D">
      <w:pPr>
        <w:pStyle w:val="Heading4"/>
        <w:rPr>
          <w:lang w:val="es-ES"/>
        </w:rPr>
      </w:pPr>
      <w:r w:rsidRPr="00FE4D65">
        <w:rPr>
          <w:lang w:val="es-ES"/>
        </w:rPr>
        <w:t>8.6.2.1</w:t>
      </w:r>
      <w:r w:rsidRPr="00FE4D65">
        <w:rPr>
          <w:lang w:val="es-ES"/>
        </w:rPr>
        <w:tab/>
        <w:t xml:space="preserve">Preguntas más frecuentes (FAQ), documentos de antecedentes, revista </w:t>
      </w:r>
      <w:r w:rsidRPr="001B3AA3">
        <w:rPr>
          <w:i/>
          <w:iCs/>
          <w:lang w:val="es-ES"/>
        </w:rPr>
        <w:t>Actualidades de la UIT</w:t>
      </w:r>
      <w:r w:rsidRPr="00FE4D65">
        <w:rPr>
          <w:lang w:val="es-ES"/>
        </w:rPr>
        <w:t>, blogs y artículos</w:t>
      </w:r>
      <w:bookmarkStart w:id="666" w:name="lt_pId1520"/>
      <w:bookmarkEnd w:id="666"/>
    </w:p>
    <w:p w14:paraId="273C4E9C" w14:textId="0240884A" w:rsidR="00FE4D65" w:rsidRPr="00FE4D65" w:rsidRDefault="00FE4D65" w:rsidP="00FE4D65">
      <w:pPr>
        <w:rPr>
          <w:lang w:val="es-ES"/>
        </w:rPr>
      </w:pPr>
      <w:bookmarkStart w:id="667" w:name="lt_pId1521"/>
      <w:r w:rsidRPr="00FE4D65">
        <w:rPr>
          <w:lang w:val="es-ES"/>
        </w:rPr>
        <w:t xml:space="preserve">En 2023, la Oficina, en colaboración con el Departamento de Comunicaciones de la Unión, publicó periódicamente en el sitio web de la BR, el Polo de </w:t>
      </w:r>
      <w:r w:rsidRPr="001B3AA3">
        <w:rPr>
          <w:i/>
          <w:iCs/>
          <w:lang w:val="es-ES"/>
        </w:rPr>
        <w:t>Actualidades de la UIT</w:t>
      </w:r>
      <w:r w:rsidRPr="00FE4D65">
        <w:rPr>
          <w:lang w:val="es-ES"/>
        </w:rPr>
        <w:t xml:space="preserve"> y la Sala de Prensa de la</w:t>
      </w:r>
      <w:r w:rsidR="0072711D">
        <w:rPr>
          <w:lang w:val="es-ES"/>
        </w:rPr>
        <w:t> </w:t>
      </w:r>
      <w:r w:rsidRPr="00FE4D65">
        <w:rPr>
          <w:lang w:val="es-ES"/>
        </w:rPr>
        <w:t xml:space="preserve">CMR-23, documentos de antecedentes para los medios, ediciones especiales de </w:t>
      </w:r>
      <w:r w:rsidRPr="001B3AA3">
        <w:rPr>
          <w:i/>
          <w:iCs/>
          <w:lang w:val="es-ES"/>
        </w:rPr>
        <w:t>Actualidades de la</w:t>
      </w:r>
      <w:r w:rsidR="0072711D" w:rsidRPr="001B3AA3">
        <w:rPr>
          <w:i/>
          <w:iCs/>
          <w:lang w:val="es-ES"/>
        </w:rPr>
        <w:t> </w:t>
      </w:r>
      <w:r w:rsidRPr="001B3AA3">
        <w:rPr>
          <w:i/>
          <w:iCs/>
          <w:lang w:val="es-ES"/>
        </w:rPr>
        <w:t>UIT</w:t>
      </w:r>
      <w:r w:rsidRPr="00FE4D65">
        <w:rPr>
          <w:lang w:val="es-ES"/>
        </w:rPr>
        <w:t>, artículos y blogs, con actualizaciones periódicas de recursos como las preguntas más frecuentes.</w:t>
      </w:r>
      <w:bookmarkEnd w:id="667"/>
    </w:p>
    <w:p w14:paraId="4FA0880B" w14:textId="32C008D0" w:rsidR="00FE4D65" w:rsidRPr="00FE4D65" w:rsidRDefault="00FE4D65" w:rsidP="00FE4D65">
      <w:pPr>
        <w:rPr>
          <w:lang w:val="es-ES"/>
        </w:rPr>
      </w:pPr>
      <w:bookmarkStart w:id="668" w:name="lt_pId1522"/>
      <w:r w:rsidRPr="00FE4D65">
        <w:rPr>
          <w:lang w:val="es-ES"/>
        </w:rPr>
        <w:t xml:space="preserve">Con miras a la preparación de la CMR-23, se publicaron cinco ediciones especiales de la revista </w:t>
      </w:r>
      <w:r w:rsidRPr="001B3AA3">
        <w:rPr>
          <w:i/>
          <w:iCs/>
          <w:lang w:val="es-ES"/>
        </w:rPr>
        <w:t>Actualidades de la UIT</w:t>
      </w:r>
      <w:r w:rsidRPr="00FE4D65">
        <w:rPr>
          <w:lang w:val="es-ES"/>
        </w:rPr>
        <w:t xml:space="preserve"> sobre la CMR-23:</w:t>
      </w:r>
      <w:bookmarkEnd w:id="668"/>
    </w:p>
    <w:p w14:paraId="5C8FF1E0" w14:textId="3E8B9596" w:rsidR="00FE4D65" w:rsidRPr="0072711D" w:rsidRDefault="0072711D" w:rsidP="0072711D">
      <w:pPr>
        <w:pStyle w:val="enumlev1"/>
        <w:rPr>
          <w:lang w:val="es-ES"/>
        </w:rPr>
      </w:pPr>
      <w:r w:rsidRPr="0072711D">
        <w:rPr>
          <w:lang w:val="es-ES"/>
        </w:rPr>
        <w:t>•</w:t>
      </w:r>
      <w:r w:rsidRPr="0072711D">
        <w:rPr>
          <w:lang w:val="es-ES"/>
        </w:rPr>
        <w:tab/>
      </w:r>
      <w:hyperlink r:id="rId88" w:anchor="/es" w:history="1">
        <w:r w:rsidR="00E56483">
          <w:rPr>
            <w:rStyle w:val="Hyperlink"/>
            <w:lang w:val="es-ES"/>
          </w:rPr>
          <w:t>Servicios científicos, Revista Nº 5, 2023</w:t>
        </w:r>
      </w:hyperlink>
    </w:p>
    <w:p w14:paraId="193EFD16" w14:textId="05AD35D6" w:rsidR="00FE4D65" w:rsidRPr="00FE4D65" w:rsidRDefault="0072711D" w:rsidP="0072711D">
      <w:pPr>
        <w:pStyle w:val="enumlev1"/>
        <w:rPr>
          <w:lang w:val="es-ES"/>
        </w:rPr>
      </w:pPr>
      <w:r w:rsidRPr="0072711D">
        <w:rPr>
          <w:lang w:val="es-ES"/>
        </w:rPr>
        <w:t>•</w:t>
      </w:r>
      <w:r w:rsidRPr="0072711D">
        <w:rPr>
          <w:lang w:val="es-ES"/>
        </w:rPr>
        <w:tab/>
      </w:r>
      <w:hyperlink r:id="rId89" w:anchor="/es" w:history="1">
        <w:r w:rsidR="00E56483">
          <w:rPr>
            <w:rStyle w:val="Hyperlink"/>
            <w:lang w:val="es-ES"/>
          </w:rPr>
          <w:t>Servicios por satélite, Revista Nº 4, 2023</w:t>
        </w:r>
      </w:hyperlink>
    </w:p>
    <w:p w14:paraId="207FFF40" w14:textId="7E7A323D" w:rsidR="00FE4D65" w:rsidRPr="00FE4D65" w:rsidRDefault="0072711D" w:rsidP="0072711D">
      <w:pPr>
        <w:pStyle w:val="enumlev1"/>
        <w:rPr>
          <w:lang w:val="es-ES"/>
        </w:rPr>
      </w:pPr>
      <w:r w:rsidRPr="0072711D">
        <w:rPr>
          <w:lang w:val="es-ES"/>
        </w:rPr>
        <w:t>•</w:t>
      </w:r>
      <w:r w:rsidRPr="0072711D">
        <w:rPr>
          <w:lang w:val="es-ES"/>
        </w:rPr>
        <w:tab/>
      </w:r>
      <w:hyperlink r:id="rId90" w:anchor="/es" w:history="1">
        <w:r w:rsidR="00E56483">
          <w:rPr>
            <w:rStyle w:val="Hyperlink"/>
            <w:lang w:val="es-ES"/>
          </w:rPr>
          <w:t>Ondas terrestres, marítimas y aéreas, Revista Nº 3, 2023</w:t>
        </w:r>
      </w:hyperlink>
    </w:p>
    <w:p w14:paraId="696FEDF3" w14:textId="0D39A478" w:rsidR="00FE4D65" w:rsidRPr="00FE4D65" w:rsidRDefault="0072711D" w:rsidP="0072711D">
      <w:pPr>
        <w:pStyle w:val="enumlev1"/>
        <w:rPr>
          <w:lang w:val="es-ES"/>
        </w:rPr>
      </w:pPr>
      <w:r w:rsidRPr="0072711D">
        <w:rPr>
          <w:lang w:val="es-ES"/>
        </w:rPr>
        <w:t>•</w:t>
      </w:r>
      <w:r w:rsidRPr="0072711D">
        <w:rPr>
          <w:lang w:val="es-ES"/>
        </w:rPr>
        <w:tab/>
      </w:r>
      <w:hyperlink r:id="rId91" w:anchor="/es" w:history="1">
        <w:r w:rsidR="00E56483">
          <w:rPr>
            <w:rStyle w:val="Hyperlink"/>
            <w:lang w:val="es-ES"/>
          </w:rPr>
          <w:t>El futuro del Tiempo Universal Coordinado, Revista Nº 2, 2023</w:t>
        </w:r>
      </w:hyperlink>
    </w:p>
    <w:p w14:paraId="060869DC" w14:textId="4F038108" w:rsidR="00FE4D65" w:rsidRPr="00FE4D65" w:rsidRDefault="0072711D" w:rsidP="0072711D">
      <w:pPr>
        <w:pStyle w:val="enumlev1"/>
        <w:rPr>
          <w:lang w:val="es-ES"/>
        </w:rPr>
      </w:pPr>
      <w:r w:rsidRPr="0072711D">
        <w:rPr>
          <w:lang w:val="es-ES"/>
        </w:rPr>
        <w:t>•</w:t>
      </w:r>
      <w:r w:rsidRPr="0072711D">
        <w:rPr>
          <w:lang w:val="es-ES"/>
        </w:rPr>
        <w:tab/>
      </w:r>
      <w:hyperlink r:id="rId92" w:anchor="/es" w:history="1">
        <w:r w:rsidR="00E56483">
          <w:rPr>
            <w:rStyle w:val="Hyperlink"/>
            <w:lang w:val="es-ES"/>
          </w:rPr>
          <w:t>Cuenta atrás para la CMR-23, Revista Nº 1, 2023</w:t>
        </w:r>
      </w:hyperlink>
    </w:p>
    <w:p w14:paraId="0BD1C397" w14:textId="77777777" w:rsidR="00FE4D65" w:rsidRPr="00FE4D65" w:rsidRDefault="00FE4D65" w:rsidP="00FE4D65">
      <w:pPr>
        <w:rPr>
          <w:lang w:val="es-ES"/>
        </w:rPr>
      </w:pPr>
      <w:bookmarkStart w:id="669" w:name="lt_pId1528"/>
      <w:r w:rsidRPr="00FE4D65">
        <w:rPr>
          <w:lang w:val="es-ES"/>
        </w:rPr>
        <w:t>Se revisaron las FAQ existentes para actualizarlas de cara a la Conferencia:</w:t>
      </w:r>
      <w:bookmarkEnd w:id="669"/>
    </w:p>
    <w:p w14:paraId="094920D8" w14:textId="2F339B91" w:rsidR="00FE4D65" w:rsidRPr="00FE4D65" w:rsidRDefault="0072711D" w:rsidP="0072711D">
      <w:pPr>
        <w:pStyle w:val="enumlev1"/>
        <w:rPr>
          <w:lang w:val="es-ES"/>
        </w:rPr>
      </w:pPr>
      <w:r w:rsidRPr="0072711D">
        <w:rPr>
          <w:lang w:val="es-ES"/>
        </w:rPr>
        <w:t>•</w:t>
      </w:r>
      <w:r w:rsidRPr="0072711D">
        <w:rPr>
          <w:lang w:val="es-ES"/>
        </w:rPr>
        <w:tab/>
      </w:r>
      <w:hyperlink r:id="rId93" w:tgtFrame="_blank" w:history="1">
        <w:bookmarkStart w:id="670" w:name="lt_pId1529"/>
        <w:r w:rsidR="00FE4D65" w:rsidRPr="00FE4D65">
          <w:rPr>
            <w:rStyle w:val="Hyperlink"/>
            <w:lang w:val="es-ES"/>
          </w:rPr>
          <w:t>FAQ del UIT-R sobre escala de tiempo universal (UTC) – Segundo intercalar</w:t>
        </w:r>
        <w:bookmarkEnd w:id="670"/>
      </w:hyperlink>
    </w:p>
    <w:p w14:paraId="557DBFA8" w14:textId="5E8B1135" w:rsidR="00FE4D65" w:rsidRPr="00FE4D65" w:rsidRDefault="0072711D" w:rsidP="0072711D">
      <w:pPr>
        <w:pStyle w:val="enumlev1"/>
        <w:rPr>
          <w:lang w:val="es-ES"/>
        </w:rPr>
      </w:pPr>
      <w:r w:rsidRPr="0072711D">
        <w:rPr>
          <w:lang w:val="es-ES"/>
        </w:rPr>
        <w:t>•</w:t>
      </w:r>
      <w:r w:rsidRPr="0072711D">
        <w:rPr>
          <w:lang w:val="es-ES"/>
        </w:rPr>
        <w:tab/>
      </w:r>
      <w:hyperlink r:id="rId94" w:tgtFrame="_blank" w:history="1">
        <w:r w:rsidR="00DE2EC4">
          <w:rPr>
            <w:rStyle w:val="Hyperlink"/>
            <w:lang w:val="es-ES"/>
          </w:rPr>
          <w:t>FAQ del UIT-R sobre telecomunicaciones móviles internacionales (IMT)</w:t>
        </w:r>
      </w:hyperlink>
    </w:p>
    <w:p w14:paraId="542E6AEB" w14:textId="6520A1B2" w:rsidR="00FE4D65" w:rsidRPr="00FE4D65" w:rsidRDefault="0072711D" w:rsidP="0072711D">
      <w:pPr>
        <w:pStyle w:val="enumlev1"/>
        <w:rPr>
          <w:lang w:val="es-ES"/>
        </w:rPr>
      </w:pPr>
      <w:r w:rsidRPr="0072711D">
        <w:rPr>
          <w:lang w:val="es-ES"/>
        </w:rPr>
        <w:t>•</w:t>
      </w:r>
      <w:r w:rsidRPr="0072711D">
        <w:rPr>
          <w:lang w:val="es-ES"/>
        </w:rPr>
        <w:tab/>
      </w:r>
      <w:hyperlink r:id="rId95" w:tgtFrame="_blank" w:history="1">
        <w:bookmarkStart w:id="671" w:name="lt_pId1531"/>
        <w:r w:rsidR="00FE4D65" w:rsidRPr="00FE4D65">
          <w:rPr>
            <w:rStyle w:val="Hyperlink"/>
            <w:lang w:val="es-ES"/>
          </w:rPr>
          <w:t>FAQ del UIT-R sobre el dividendo digital y la transición a los sistemas digitales (DSO)</w:t>
        </w:r>
        <w:bookmarkEnd w:id="671"/>
      </w:hyperlink>
    </w:p>
    <w:p w14:paraId="13C89FE0" w14:textId="25CE05F7" w:rsidR="00FE4D65" w:rsidRPr="00FE4D65" w:rsidRDefault="0072711D" w:rsidP="0072711D">
      <w:pPr>
        <w:pStyle w:val="enumlev1"/>
        <w:rPr>
          <w:lang w:val="es-ES"/>
        </w:rPr>
      </w:pPr>
      <w:r w:rsidRPr="0072711D">
        <w:rPr>
          <w:lang w:val="es-ES"/>
        </w:rPr>
        <w:t>•</w:t>
      </w:r>
      <w:r w:rsidRPr="0072711D">
        <w:rPr>
          <w:lang w:val="es-ES"/>
        </w:rPr>
        <w:tab/>
      </w:r>
      <w:hyperlink r:id="rId96" w:tgtFrame="_blank" w:history="1">
        <w:r w:rsidR="00DE2EC4">
          <w:rPr>
            <w:rStyle w:val="Hyperlink"/>
            <w:lang w:val="es-ES"/>
          </w:rPr>
          <w:t>FAQ del UIT-R sobre el Reglamento de Radiocomunicaciones</w:t>
        </w:r>
      </w:hyperlink>
    </w:p>
    <w:p w14:paraId="12AA1A70" w14:textId="77777777" w:rsidR="00FE4D65" w:rsidRPr="00FE4D65" w:rsidRDefault="00FE4D65" w:rsidP="00FE4D65">
      <w:pPr>
        <w:rPr>
          <w:lang w:val="es-ES"/>
        </w:rPr>
      </w:pPr>
      <w:bookmarkStart w:id="672" w:name="lt_pId1533"/>
      <w:r w:rsidRPr="00FE4D65">
        <w:rPr>
          <w:lang w:val="es-ES"/>
        </w:rPr>
        <w:t>Se actualizaron los documentos de antecedentes para los medios pertinentes:</w:t>
      </w:r>
      <w:bookmarkEnd w:id="672"/>
    </w:p>
    <w:p w14:paraId="22C4E7CC" w14:textId="6C255D56" w:rsidR="00FE4D65" w:rsidRPr="00FE4D65" w:rsidRDefault="0072711D" w:rsidP="0072711D">
      <w:pPr>
        <w:pStyle w:val="enumlev1"/>
        <w:rPr>
          <w:u w:val="single"/>
          <w:lang w:val="es-ES"/>
        </w:rPr>
      </w:pPr>
      <w:bookmarkStart w:id="673" w:name="lt_pId1534"/>
      <w:r w:rsidRPr="0072711D">
        <w:rPr>
          <w:lang w:val="es-ES"/>
        </w:rPr>
        <w:t>•</w:t>
      </w:r>
      <w:r w:rsidRPr="0072711D">
        <w:rPr>
          <w:lang w:val="es-ES"/>
        </w:rPr>
        <w:tab/>
      </w:r>
      <w:hyperlink r:id="rId97" w:history="1">
        <w:r w:rsidR="00FE4D65" w:rsidRPr="00DE2EC4">
          <w:rPr>
            <w:rStyle w:val="Hyperlink"/>
            <w:lang w:val="es-ES"/>
          </w:rPr>
          <w:t xml:space="preserve">5G </w:t>
        </w:r>
        <w:r w:rsidRPr="00DE2EC4">
          <w:rPr>
            <w:rStyle w:val="Hyperlink"/>
            <w:lang w:val="es-ES"/>
          </w:rPr>
          <w:t>–</w:t>
        </w:r>
        <w:r w:rsidR="00FE4D65" w:rsidRPr="00DE2EC4">
          <w:rPr>
            <w:rStyle w:val="Hyperlink"/>
            <w:lang w:val="es-ES"/>
          </w:rPr>
          <w:t xml:space="preserve"> Quinta generación de tecnologías móviles (IMT-2020 y posteriores)</w:t>
        </w:r>
        <w:bookmarkEnd w:id="673"/>
      </w:hyperlink>
    </w:p>
    <w:p w14:paraId="76FD3DEB" w14:textId="71BF954E" w:rsidR="00FE4D65" w:rsidRPr="00FE4D65" w:rsidRDefault="0072711D" w:rsidP="0072711D">
      <w:pPr>
        <w:pStyle w:val="enumlev1"/>
        <w:rPr>
          <w:u w:val="single"/>
          <w:lang w:val="es-ES"/>
        </w:rPr>
      </w:pPr>
      <w:r w:rsidRPr="0072711D">
        <w:rPr>
          <w:lang w:val="es-ES"/>
        </w:rPr>
        <w:t>•</w:t>
      </w:r>
      <w:r w:rsidRPr="0072711D">
        <w:rPr>
          <w:lang w:val="es-ES"/>
        </w:rPr>
        <w:tab/>
      </w:r>
      <w:hyperlink r:id="rId98" w:history="1">
        <w:bookmarkStart w:id="674" w:name="lt_pId1535"/>
        <w:r w:rsidR="00FE4D65" w:rsidRPr="00FE4D65">
          <w:rPr>
            <w:rStyle w:val="Hyperlink"/>
            <w:lang w:val="es-ES"/>
          </w:rPr>
          <w:t>Sistemas de estaciones en plataformas a gran altitud (HAPS)</w:t>
        </w:r>
        <w:bookmarkEnd w:id="674"/>
      </w:hyperlink>
    </w:p>
    <w:p w14:paraId="6C3D6524" w14:textId="38FA7386" w:rsidR="00FE4D65" w:rsidRPr="00FE4D65" w:rsidRDefault="0072711D" w:rsidP="0072711D">
      <w:pPr>
        <w:pStyle w:val="enumlev1"/>
        <w:rPr>
          <w:u w:val="single"/>
          <w:lang w:val="es-ES"/>
        </w:rPr>
      </w:pPr>
      <w:r w:rsidRPr="0072711D">
        <w:rPr>
          <w:lang w:val="es-ES"/>
        </w:rPr>
        <w:t>•</w:t>
      </w:r>
      <w:r w:rsidRPr="0072711D">
        <w:rPr>
          <w:lang w:val="es-ES"/>
        </w:rPr>
        <w:tab/>
      </w:r>
      <w:hyperlink r:id="rId99" w:history="1">
        <w:bookmarkStart w:id="675" w:name="lt_pId1536"/>
        <w:r w:rsidR="00FE4D65" w:rsidRPr="00FE4D65">
          <w:rPr>
            <w:rStyle w:val="Hyperlink"/>
            <w:lang w:val="es-ES"/>
          </w:rPr>
          <w:t>Comisiones de Estudio de la UIT</w:t>
        </w:r>
        <w:bookmarkEnd w:id="675"/>
      </w:hyperlink>
    </w:p>
    <w:p w14:paraId="0A5E1130" w14:textId="59FFF79C" w:rsidR="00FE4D65" w:rsidRPr="00FE4D65" w:rsidRDefault="0072711D" w:rsidP="0072711D">
      <w:pPr>
        <w:pStyle w:val="enumlev1"/>
        <w:rPr>
          <w:u w:val="single"/>
          <w:lang w:val="es-ES"/>
        </w:rPr>
      </w:pPr>
      <w:r w:rsidRPr="0072711D">
        <w:rPr>
          <w:lang w:val="es-ES"/>
        </w:rPr>
        <w:t>•</w:t>
      </w:r>
      <w:r w:rsidRPr="0072711D">
        <w:rPr>
          <w:lang w:val="es-ES"/>
        </w:rPr>
        <w:tab/>
      </w:r>
      <w:hyperlink r:id="rId100" w:history="1">
        <w:bookmarkStart w:id="676" w:name="lt_pId1537"/>
        <w:r w:rsidR="00FE4D65" w:rsidRPr="00FE4D65">
          <w:rPr>
            <w:rStyle w:val="Hyperlink"/>
            <w:lang w:val="es-ES"/>
          </w:rPr>
          <w:t>UIT-R: Gestión mundial del espectro de frecuencias</w:t>
        </w:r>
        <w:bookmarkEnd w:id="676"/>
      </w:hyperlink>
    </w:p>
    <w:p w14:paraId="55C622B2" w14:textId="7980872A" w:rsidR="00FE4D65" w:rsidRPr="00FE4D65" w:rsidRDefault="0072711D" w:rsidP="0072711D">
      <w:pPr>
        <w:pStyle w:val="enumlev1"/>
        <w:rPr>
          <w:lang w:val="es-ES"/>
        </w:rPr>
      </w:pPr>
      <w:bookmarkStart w:id="677" w:name="lt_pId1538"/>
      <w:r w:rsidRPr="0072711D">
        <w:rPr>
          <w:lang w:val="es-ES"/>
        </w:rPr>
        <w:t>•</w:t>
      </w:r>
      <w:r w:rsidRPr="0072711D">
        <w:rPr>
          <w:lang w:val="es-ES"/>
        </w:rPr>
        <w:tab/>
      </w:r>
      <w:hyperlink r:id="rId101" w:history="1">
        <w:r w:rsidR="00FE4D65" w:rsidRPr="000C35CC">
          <w:rPr>
            <w:rStyle w:val="Hyperlink"/>
            <w:lang w:val="es-ES"/>
          </w:rPr>
          <w:t>Radiocomunicaciones para la seguridad de los barcos y de las personas en el mar</w:t>
        </w:r>
        <w:bookmarkEnd w:id="677"/>
      </w:hyperlink>
    </w:p>
    <w:p w14:paraId="2D2DF2B6" w14:textId="4317B6E9" w:rsidR="00FE4D65" w:rsidRPr="00FE4D65" w:rsidRDefault="0072711D" w:rsidP="0072711D">
      <w:pPr>
        <w:pStyle w:val="enumlev1"/>
        <w:rPr>
          <w:u w:val="single"/>
          <w:lang w:val="es-ES"/>
        </w:rPr>
      </w:pPr>
      <w:r w:rsidRPr="0072711D">
        <w:rPr>
          <w:lang w:val="es-ES"/>
        </w:rPr>
        <w:t>•</w:t>
      </w:r>
      <w:r w:rsidRPr="0072711D">
        <w:rPr>
          <w:lang w:val="es-ES"/>
        </w:rPr>
        <w:tab/>
      </w:r>
      <w:hyperlink r:id="rId102" w:history="1">
        <w:bookmarkStart w:id="678" w:name="lt_pId1539"/>
        <w:r w:rsidR="00FE4D65" w:rsidRPr="00FE4D65">
          <w:rPr>
            <w:rStyle w:val="Hyperlink"/>
            <w:lang w:val="es-ES"/>
          </w:rPr>
          <w:t>Cuestiones relacionadas con los satélites: Estaciones terrenas en movimiento (ETEM)</w:t>
        </w:r>
        <w:bookmarkEnd w:id="678"/>
      </w:hyperlink>
    </w:p>
    <w:p w14:paraId="56C5071C" w14:textId="29F6D31E" w:rsidR="00FE4D65" w:rsidRPr="00FE4D65" w:rsidRDefault="0072711D" w:rsidP="0072711D">
      <w:pPr>
        <w:pStyle w:val="enumlev1"/>
        <w:rPr>
          <w:u w:val="single"/>
          <w:lang w:val="es-ES"/>
        </w:rPr>
      </w:pPr>
      <w:r w:rsidRPr="0072711D">
        <w:rPr>
          <w:lang w:val="es-ES"/>
        </w:rPr>
        <w:t>•</w:t>
      </w:r>
      <w:r w:rsidRPr="0072711D">
        <w:rPr>
          <w:lang w:val="es-ES"/>
        </w:rPr>
        <w:tab/>
      </w:r>
      <w:hyperlink r:id="rId103" w:history="1">
        <w:bookmarkStart w:id="679" w:name="lt_pId1540"/>
        <w:r w:rsidR="00FE4D65" w:rsidRPr="00FE4D65">
          <w:rPr>
            <w:rStyle w:val="Hyperlink"/>
            <w:lang w:val="es-ES"/>
          </w:rPr>
          <w:t>Cuestiones relacionadas con los satélites: Sistemas de satélite no OSG del SFS</w:t>
        </w:r>
        <w:bookmarkEnd w:id="679"/>
      </w:hyperlink>
    </w:p>
    <w:p w14:paraId="5FAE9297" w14:textId="167B4D5D" w:rsidR="00FE4D65" w:rsidRPr="00FE4D65" w:rsidRDefault="0072711D" w:rsidP="0072711D">
      <w:pPr>
        <w:pStyle w:val="enumlev1"/>
        <w:rPr>
          <w:lang w:val="es-ES"/>
        </w:rPr>
      </w:pPr>
      <w:r w:rsidRPr="0072711D">
        <w:rPr>
          <w:lang w:val="es-ES"/>
        </w:rPr>
        <w:t>•</w:t>
      </w:r>
      <w:r w:rsidRPr="0072711D">
        <w:rPr>
          <w:lang w:val="es-ES"/>
        </w:rPr>
        <w:tab/>
      </w:r>
      <w:hyperlink r:id="rId104" w:history="1">
        <w:r w:rsidR="00FE4D65" w:rsidRPr="000C35CC">
          <w:rPr>
            <w:rStyle w:val="Hyperlink"/>
            <w:lang w:val="es-ES"/>
          </w:rPr>
          <w:t>Cuestiones relacionadas con los satélites: Satélites pequeños: nanosatélites y picosatélites – misiones de corta duración</w:t>
        </w:r>
      </w:hyperlink>
    </w:p>
    <w:p w14:paraId="473A8764" w14:textId="0E7F4836" w:rsidR="00FE4D65" w:rsidRPr="00FE4D65" w:rsidRDefault="0072711D" w:rsidP="0072711D">
      <w:pPr>
        <w:pStyle w:val="enumlev1"/>
        <w:rPr>
          <w:u w:val="single"/>
          <w:lang w:val="es-ES"/>
        </w:rPr>
      </w:pPr>
      <w:r w:rsidRPr="0072711D">
        <w:rPr>
          <w:lang w:val="es-ES"/>
        </w:rPr>
        <w:t>•</w:t>
      </w:r>
      <w:r w:rsidRPr="0072711D">
        <w:rPr>
          <w:lang w:val="es-ES"/>
        </w:rPr>
        <w:tab/>
      </w:r>
      <w:hyperlink r:id="rId105" w:history="1">
        <w:bookmarkStart w:id="680" w:name="lt_pId1542"/>
        <w:r w:rsidR="00FE4D65" w:rsidRPr="00FE4D65">
          <w:rPr>
            <w:rStyle w:val="Hyperlink"/>
            <w:lang w:val="es-ES"/>
          </w:rPr>
          <w:t>Regulación de sistemas de satélites</w:t>
        </w:r>
        <w:bookmarkEnd w:id="680"/>
      </w:hyperlink>
    </w:p>
    <w:p w14:paraId="2B68EDAF" w14:textId="1A72EA69" w:rsidR="00FE4D65" w:rsidRPr="00FE4D65" w:rsidRDefault="00FE4D65" w:rsidP="00FE4D65">
      <w:pPr>
        <w:rPr>
          <w:lang w:val="es-ES"/>
        </w:rPr>
      </w:pPr>
      <w:bookmarkStart w:id="681" w:name="lt_pId1543"/>
      <w:r w:rsidRPr="00FE4D65">
        <w:rPr>
          <w:lang w:val="es-ES"/>
        </w:rPr>
        <w:t>En 2023, la Oficina de Radiocomunicaciones atendió 77</w:t>
      </w:r>
      <w:r w:rsidR="000C35CC">
        <w:rPr>
          <w:lang w:val="es-ES"/>
        </w:rPr>
        <w:t> </w:t>
      </w:r>
      <w:r w:rsidRPr="00FE4D65">
        <w:rPr>
          <w:lang w:val="es-ES"/>
        </w:rPr>
        <w:t>consultas de revistas técnicas especializadas y de medios de comunicación, a los que se facilitó con prontitud la información solicitada, favoreciendo así la buena relación con los medios de comunicación.</w:t>
      </w:r>
      <w:bookmarkEnd w:id="681"/>
    </w:p>
    <w:p w14:paraId="73730AB1" w14:textId="459778D0" w:rsidR="00FE4D65" w:rsidRPr="00FE4D65" w:rsidRDefault="00FE4D65" w:rsidP="00FE4D65">
      <w:pPr>
        <w:rPr>
          <w:lang w:val="es-ES"/>
        </w:rPr>
      </w:pPr>
      <w:bookmarkStart w:id="682" w:name="lt_pId1544"/>
      <w:r w:rsidRPr="00FE4D65">
        <w:rPr>
          <w:lang w:val="es-ES"/>
        </w:rPr>
        <w:lastRenderedPageBreak/>
        <w:t xml:space="preserve">Entre las actividades de divulgación para los siguientes eventos del UIT-R cabe mencionar la utilización de comunicados de prensa, comunicados a los Miembros, blogs de </w:t>
      </w:r>
      <w:r w:rsidRPr="000C35CC">
        <w:rPr>
          <w:i/>
          <w:iCs/>
          <w:lang w:val="es-ES"/>
        </w:rPr>
        <w:t>Actualidades de la</w:t>
      </w:r>
      <w:r w:rsidR="0072711D" w:rsidRPr="000C35CC">
        <w:rPr>
          <w:i/>
          <w:iCs/>
          <w:lang w:val="es-ES"/>
        </w:rPr>
        <w:t> </w:t>
      </w:r>
      <w:r w:rsidRPr="000C35CC">
        <w:rPr>
          <w:i/>
          <w:iCs/>
          <w:lang w:val="es-ES"/>
        </w:rPr>
        <w:t>UIT</w:t>
      </w:r>
      <w:r w:rsidRPr="00FE4D65">
        <w:rPr>
          <w:lang w:val="es-ES"/>
        </w:rPr>
        <w:t>, vídeos, marcas de eventos y publicaciones en redes sociales.</w:t>
      </w:r>
      <w:bookmarkEnd w:id="682"/>
    </w:p>
    <w:p w14:paraId="1F6E2A61" w14:textId="06DCCCA1" w:rsidR="00FE4D65" w:rsidRPr="00FE4D65" w:rsidRDefault="0072711D" w:rsidP="0072711D">
      <w:pPr>
        <w:pStyle w:val="enumlev1"/>
        <w:rPr>
          <w:lang w:val="es-ES"/>
        </w:rPr>
      </w:pPr>
      <w:bookmarkStart w:id="683" w:name="lt_pId1545"/>
      <w:r w:rsidRPr="0072711D">
        <w:rPr>
          <w:lang w:val="es-ES"/>
        </w:rPr>
        <w:t>•</w:t>
      </w:r>
      <w:r w:rsidRPr="0072711D">
        <w:rPr>
          <w:lang w:val="es-ES"/>
        </w:rPr>
        <w:tab/>
      </w:r>
      <w:r w:rsidR="00FE4D65" w:rsidRPr="00FE4D65">
        <w:rPr>
          <w:lang w:val="es-ES"/>
        </w:rPr>
        <w:t xml:space="preserve">Reunión Preparatoria de la Conferencia (RPC23‐2) </w:t>
      </w:r>
      <w:r w:rsidR="000C35CC" w:rsidRPr="000C35CC">
        <w:rPr>
          <w:lang w:val="es-ES"/>
        </w:rPr>
        <w:t>–</w:t>
      </w:r>
      <w:r w:rsidR="00FE4D65" w:rsidRPr="00FE4D65">
        <w:rPr>
          <w:lang w:val="es-ES"/>
        </w:rPr>
        <w:t xml:space="preserve"> del 27 de marzo al 6 de abril</w:t>
      </w:r>
      <w:bookmarkEnd w:id="683"/>
    </w:p>
    <w:p w14:paraId="605C8B4D" w14:textId="41BB6A9A" w:rsidR="00FE4D65" w:rsidRPr="00FE4D65" w:rsidRDefault="0072711D" w:rsidP="0072711D">
      <w:pPr>
        <w:pStyle w:val="enumlev1"/>
        <w:rPr>
          <w:lang w:val="es-ES"/>
        </w:rPr>
      </w:pPr>
      <w:bookmarkStart w:id="684" w:name="lt_pId1546"/>
      <w:r w:rsidRPr="0072711D">
        <w:rPr>
          <w:lang w:val="es-ES"/>
        </w:rPr>
        <w:t>•</w:t>
      </w:r>
      <w:r w:rsidRPr="0072711D">
        <w:rPr>
          <w:lang w:val="es-ES"/>
        </w:rPr>
        <w:tab/>
      </w:r>
      <w:r w:rsidR="00FE4D65" w:rsidRPr="00FE4D65">
        <w:rPr>
          <w:lang w:val="es-ES"/>
        </w:rPr>
        <w:t>Exposición sobre Radiocomunicaciones Futuras, celebrada en paralelo a la RPC23‐2</w:t>
      </w:r>
      <w:bookmarkEnd w:id="684"/>
    </w:p>
    <w:p w14:paraId="5958EE6D" w14:textId="064A6606" w:rsidR="00FE4D65" w:rsidRPr="00FE4D65" w:rsidRDefault="0072711D" w:rsidP="0072711D">
      <w:pPr>
        <w:pStyle w:val="enumlev1"/>
        <w:rPr>
          <w:lang w:val="es-ES"/>
        </w:rPr>
      </w:pPr>
      <w:bookmarkStart w:id="685" w:name="lt_pId1547"/>
      <w:r w:rsidRPr="0072711D">
        <w:rPr>
          <w:lang w:val="es-ES"/>
        </w:rPr>
        <w:t>•</w:t>
      </w:r>
      <w:r w:rsidRPr="0072711D">
        <w:rPr>
          <w:lang w:val="es-ES"/>
        </w:rPr>
        <w:tab/>
      </w:r>
      <w:r w:rsidR="00FE4D65" w:rsidRPr="00FE4D65">
        <w:rPr>
          <w:lang w:val="es-ES"/>
        </w:rPr>
        <w:t xml:space="preserve">Taller conjunto de la Comisión de Estudio 6 del UIT-R y la EBU sobre Radiodifusión en tiempos de crisis </w:t>
      </w:r>
      <w:r w:rsidR="000C35CC" w:rsidRPr="000C35CC">
        <w:rPr>
          <w:lang w:val="es-ES"/>
        </w:rPr>
        <w:t>–</w:t>
      </w:r>
      <w:r w:rsidR="00FE4D65" w:rsidRPr="00FE4D65">
        <w:rPr>
          <w:lang w:val="es-ES"/>
        </w:rPr>
        <w:t xml:space="preserve"> 9 de marzo</w:t>
      </w:r>
      <w:bookmarkEnd w:id="685"/>
    </w:p>
    <w:p w14:paraId="43BFA330" w14:textId="692624FD" w:rsidR="00FE4D65" w:rsidRPr="00FE4D65" w:rsidRDefault="0072711D" w:rsidP="0072711D">
      <w:pPr>
        <w:pStyle w:val="enumlev1"/>
        <w:rPr>
          <w:lang w:val="es-ES"/>
        </w:rPr>
      </w:pPr>
      <w:bookmarkStart w:id="686" w:name="lt_pId1548"/>
      <w:r w:rsidRPr="0072711D">
        <w:rPr>
          <w:lang w:val="es-ES"/>
        </w:rPr>
        <w:t>•</w:t>
      </w:r>
      <w:r w:rsidRPr="0072711D">
        <w:rPr>
          <w:lang w:val="es-ES"/>
        </w:rPr>
        <w:tab/>
      </w:r>
      <w:r w:rsidR="00FE4D65" w:rsidRPr="00FE4D65">
        <w:rPr>
          <w:lang w:val="es-ES"/>
        </w:rPr>
        <w:t xml:space="preserve">Seminario Regional de Radiocomunicaciones de la UIT para las Américas </w:t>
      </w:r>
      <w:r w:rsidR="000C35CC" w:rsidRPr="000C35CC">
        <w:rPr>
          <w:lang w:val="es-ES"/>
        </w:rPr>
        <w:t>–</w:t>
      </w:r>
      <w:r w:rsidR="00FE4D65" w:rsidRPr="00FE4D65">
        <w:rPr>
          <w:lang w:val="es-ES"/>
        </w:rPr>
        <w:t xml:space="preserve"> del 8 al 12 de mayo</w:t>
      </w:r>
      <w:bookmarkEnd w:id="686"/>
    </w:p>
    <w:p w14:paraId="29E44F3E" w14:textId="1CD886F9" w:rsidR="00FE4D65" w:rsidRPr="00FE4D65" w:rsidRDefault="0072711D" w:rsidP="0072711D">
      <w:pPr>
        <w:pStyle w:val="enumlev1"/>
        <w:rPr>
          <w:lang w:val="es-ES"/>
        </w:rPr>
      </w:pPr>
      <w:bookmarkStart w:id="687" w:name="lt_pId1549"/>
      <w:r w:rsidRPr="0072711D">
        <w:rPr>
          <w:lang w:val="es-ES"/>
        </w:rPr>
        <w:t>•</w:t>
      </w:r>
      <w:r w:rsidRPr="0072711D">
        <w:rPr>
          <w:lang w:val="es-ES"/>
        </w:rPr>
        <w:tab/>
      </w:r>
      <w:r w:rsidR="00FE4D65" w:rsidRPr="00FE4D65">
        <w:rPr>
          <w:lang w:val="es-ES"/>
        </w:rPr>
        <w:t xml:space="preserve">Día Mundial de las Telecomunicaciones y la Sociedad de la Información </w:t>
      </w:r>
      <w:r w:rsidR="000C35CC" w:rsidRPr="000C35CC">
        <w:rPr>
          <w:lang w:val="es-ES"/>
        </w:rPr>
        <w:t>–</w:t>
      </w:r>
      <w:r w:rsidR="00FE4D65" w:rsidRPr="00FE4D65">
        <w:rPr>
          <w:lang w:val="es-ES"/>
        </w:rPr>
        <w:t xml:space="preserve"> 17 de mayo</w:t>
      </w:r>
      <w:bookmarkEnd w:id="687"/>
    </w:p>
    <w:p w14:paraId="36C0B918" w14:textId="63277638" w:rsidR="00FE4D65" w:rsidRPr="00FE4D65" w:rsidRDefault="0072711D" w:rsidP="0072711D">
      <w:pPr>
        <w:pStyle w:val="enumlev1"/>
        <w:rPr>
          <w:lang w:val="es-ES"/>
        </w:rPr>
      </w:pPr>
      <w:bookmarkStart w:id="688" w:name="lt_pId1550"/>
      <w:r w:rsidRPr="0072711D">
        <w:rPr>
          <w:lang w:val="es-ES"/>
        </w:rPr>
        <w:t>•</w:t>
      </w:r>
      <w:r w:rsidRPr="0072711D">
        <w:rPr>
          <w:lang w:val="es-ES"/>
        </w:rPr>
        <w:tab/>
      </w:r>
      <w:r w:rsidR="00FE4D65" w:rsidRPr="00FE4D65">
        <w:rPr>
          <w:lang w:val="es-ES"/>
        </w:rPr>
        <w:t xml:space="preserve">Seminario Regional de Radiocomunicaciones de la UIT para África </w:t>
      </w:r>
      <w:r w:rsidR="000C35CC" w:rsidRPr="000C35CC">
        <w:rPr>
          <w:lang w:val="es-ES"/>
        </w:rPr>
        <w:t>–</w:t>
      </w:r>
      <w:r w:rsidR="00FE4D65" w:rsidRPr="00FE4D65">
        <w:rPr>
          <w:lang w:val="es-ES"/>
        </w:rPr>
        <w:t xml:space="preserve"> del 20 al 23 de junio</w:t>
      </w:r>
      <w:bookmarkEnd w:id="688"/>
    </w:p>
    <w:p w14:paraId="1A8990B5" w14:textId="226622BA" w:rsidR="00FE4D65" w:rsidRPr="00FE4D65" w:rsidRDefault="0072711D" w:rsidP="0072711D">
      <w:pPr>
        <w:pStyle w:val="enumlev1"/>
        <w:rPr>
          <w:lang w:val="es-ES"/>
        </w:rPr>
      </w:pPr>
      <w:bookmarkStart w:id="689" w:name="lt_pId1551"/>
      <w:r w:rsidRPr="0072711D">
        <w:rPr>
          <w:lang w:val="es-ES"/>
        </w:rPr>
        <w:t>•</w:t>
      </w:r>
      <w:r w:rsidRPr="0072711D">
        <w:rPr>
          <w:lang w:val="es-ES"/>
        </w:rPr>
        <w:tab/>
      </w:r>
      <w:r w:rsidR="00FE4D65" w:rsidRPr="00FE4D65">
        <w:rPr>
          <w:lang w:val="es-ES"/>
        </w:rPr>
        <w:t xml:space="preserve">Asamblea de Radiocomunicaciones de la UIT (AR-23) </w:t>
      </w:r>
      <w:r w:rsidR="000C35CC" w:rsidRPr="000C35CC">
        <w:rPr>
          <w:lang w:val="es-ES"/>
        </w:rPr>
        <w:t>–</w:t>
      </w:r>
      <w:r w:rsidR="00FE4D65" w:rsidRPr="00FE4D65">
        <w:rPr>
          <w:lang w:val="es-ES"/>
        </w:rPr>
        <w:t xml:space="preserve"> del 13 al 17 de noviembre</w:t>
      </w:r>
      <w:bookmarkEnd w:id="689"/>
    </w:p>
    <w:p w14:paraId="2A813211" w14:textId="483E9C22" w:rsidR="00FE4D65" w:rsidRPr="00FE4D65" w:rsidRDefault="0072711D" w:rsidP="0072711D">
      <w:pPr>
        <w:pStyle w:val="enumlev1"/>
        <w:rPr>
          <w:lang w:val="es-ES"/>
        </w:rPr>
      </w:pPr>
      <w:bookmarkStart w:id="690" w:name="lt_pId1552"/>
      <w:r w:rsidRPr="0072711D">
        <w:rPr>
          <w:lang w:val="es-ES"/>
        </w:rPr>
        <w:t>•</w:t>
      </w:r>
      <w:r w:rsidRPr="0072711D">
        <w:rPr>
          <w:lang w:val="es-ES"/>
        </w:rPr>
        <w:tab/>
      </w:r>
      <w:r w:rsidR="00FE4D65" w:rsidRPr="00FE4D65">
        <w:rPr>
          <w:lang w:val="es-ES"/>
        </w:rPr>
        <w:t xml:space="preserve">Conferencia Mundial de Radiocomunicaciones (CMR-23) </w:t>
      </w:r>
      <w:r w:rsidR="000C35CC" w:rsidRPr="000C35CC">
        <w:rPr>
          <w:lang w:val="es-ES"/>
        </w:rPr>
        <w:t>–</w:t>
      </w:r>
      <w:r w:rsidR="00FE4D65" w:rsidRPr="00FE4D65">
        <w:rPr>
          <w:lang w:val="es-ES"/>
        </w:rPr>
        <w:t xml:space="preserve"> del 20 de noviembre al 15 de diciembre</w:t>
      </w:r>
      <w:bookmarkEnd w:id="690"/>
    </w:p>
    <w:p w14:paraId="396A8680" w14:textId="77777777" w:rsidR="00FE4D65" w:rsidRPr="00FE4D65" w:rsidRDefault="00FE4D65" w:rsidP="00FE4D65">
      <w:pPr>
        <w:rPr>
          <w:lang w:val="es-ES"/>
        </w:rPr>
      </w:pPr>
      <w:bookmarkStart w:id="691" w:name="lt_pId1553"/>
      <w:r w:rsidRPr="00FE4D65">
        <w:rPr>
          <w:lang w:val="es-ES"/>
        </w:rPr>
        <w:t>Días Internacionales relacionados con las actividades del UIT-R:</w:t>
      </w:r>
      <w:bookmarkEnd w:id="691"/>
    </w:p>
    <w:p w14:paraId="46B6AB8D" w14:textId="2BF8BBA9" w:rsidR="00FE4D65" w:rsidRPr="00FE4D65" w:rsidRDefault="0072711D" w:rsidP="0072711D">
      <w:pPr>
        <w:pStyle w:val="enumlev1"/>
        <w:rPr>
          <w:lang w:val="es-ES"/>
        </w:rPr>
      </w:pPr>
      <w:bookmarkStart w:id="692" w:name="lt_pId1554"/>
      <w:r w:rsidRPr="0072711D">
        <w:rPr>
          <w:lang w:val="es-ES"/>
        </w:rPr>
        <w:t>•</w:t>
      </w:r>
      <w:r w:rsidRPr="0072711D">
        <w:rPr>
          <w:lang w:val="es-ES"/>
        </w:rPr>
        <w:tab/>
      </w:r>
      <w:r w:rsidR="00FE4D65" w:rsidRPr="00FE4D65">
        <w:rPr>
          <w:lang w:val="es-ES"/>
        </w:rPr>
        <w:t>Día Mundial de la Radio, 13 de febrero</w:t>
      </w:r>
      <w:bookmarkEnd w:id="692"/>
    </w:p>
    <w:p w14:paraId="68E00BE6" w14:textId="4B7D9638" w:rsidR="00FE4D65" w:rsidRPr="0072711D" w:rsidRDefault="0072711D" w:rsidP="0072711D">
      <w:pPr>
        <w:pStyle w:val="enumlev1"/>
        <w:rPr>
          <w:lang w:val="es-ES"/>
        </w:rPr>
      </w:pPr>
      <w:bookmarkStart w:id="693" w:name="lt_pId1555"/>
      <w:r w:rsidRPr="001B3AA3">
        <w:rPr>
          <w:lang w:val="es-ES"/>
        </w:rPr>
        <w:t>•</w:t>
      </w:r>
      <w:r w:rsidRPr="001B3AA3">
        <w:rPr>
          <w:lang w:val="es-ES"/>
        </w:rPr>
        <w:tab/>
      </w:r>
      <w:r w:rsidR="00FE4D65" w:rsidRPr="00FE4D65">
        <w:rPr>
          <w:lang w:val="es-ES"/>
        </w:rPr>
        <w:t>Día Meteorológico Mundial, 23 de marzo</w:t>
      </w:r>
      <w:bookmarkEnd w:id="693"/>
    </w:p>
    <w:p w14:paraId="763561ED" w14:textId="357B050D" w:rsidR="00FE4D65" w:rsidRPr="00FE4D65" w:rsidRDefault="0072711D" w:rsidP="0072711D">
      <w:pPr>
        <w:pStyle w:val="enumlev1"/>
        <w:rPr>
          <w:lang w:val="es-ES"/>
        </w:rPr>
      </w:pPr>
      <w:bookmarkStart w:id="694" w:name="lt_pId1556"/>
      <w:r w:rsidRPr="0072711D">
        <w:rPr>
          <w:lang w:val="es-ES"/>
        </w:rPr>
        <w:t>•</w:t>
      </w:r>
      <w:r w:rsidRPr="0072711D">
        <w:rPr>
          <w:lang w:val="es-ES"/>
        </w:rPr>
        <w:tab/>
      </w:r>
      <w:r w:rsidR="00FE4D65" w:rsidRPr="00FE4D65">
        <w:rPr>
          <w:lang w:val="es-ES"/>
        </w:rPr>
        <w:t>Día Mundial del Radioaficionado, 18 de abril</w:t>
      </w:r>
      <w:bookmarkEnd w:id="694"/>
    </w:p>
    <w:p w14:paraId="78FAA619" w14:textId="660052F2" w:rsidR="00FE4D65" w:rsidRPr="00FE4D65" w:rsidRDefault="0072711D" w:rsidP="0072711D">
      <w:pPr>
        <w:pStyle w:val="enumlev1"/>
        <w:rPr>
          <w:lang w:val="es-ES"/>
        </w:rPr>
      </w:pPr>
      <w:bookmarkStart w:id="695" w:name="lt_pId1557"/>
      <w:r w:rsidRPr="0072711D">
        <w:rPr>
          <w:lang w:val="es-ES"/>
        </w:rPr>
        <w:t>•</w:t>
      </w:r>
      <w:r w:rsidRPr="0072711D">
        <w:rPr>
          <w:lang w:val="es-ES"/>
        </w:rPr>
        <w:tab/>
      </w:r>
      <w:r w:rsidR="00FE4D65" w:rsidRPr="00FE4D65">
        <w:rPr>
          <w:lang w:val="es-ES"/>
        </w:rPr>
        <w:t>Día Internacional de la Luna, 20 de julio</w:t>
      </w:r>
      <w:bookmarkEnd w:id="695"/>
    </w:p>
    <w:p w14:paraId="42C30797" w14:textId="4A34C898" w:rsidR="00FE4D65" w:rsidRPr="00FE4D65" w:rsidRDefault="0072711D" w:rsidP="0072711D">
      <w:pPr>
        <w:pStyle w:val="enumlev1"/>
        <w:rPr>
          <w:lang w:val="es-ES"/>
        </w:rPr>
      </w:pPr>
      <w:bookmarkStart w:id="696" w:name="lt_pId1558"/>
      <w:r w:rsidRPr="0072711D">
        <w:rPr>
          <w:lang w:val="es-ES"/>
        </w:rPr>
        <w:t>•</w:t>
      </w:r>
      <w:r w:rsidRPr="0072711D">
        <w:rPr>
          <w:lang w:val="es-ES"/>
        </w:rPr>
        <w:tab/>
      </w:r>
      <w:r w:rsidR="00FE4D65" w:rsidRPr="00FE4D65">
        <w:rPr>
          <w:lang w:val="es-ES"/>
        </w:rPr>
        <w:t>Día Mundial de la Televisión, 21 de noviembre</w:t>
      </w:r>
      <w:bookmarkEnd w:id="696"/>
    </w:p>
    <w:p w14:paraId="4F070518" w14:textId="77777777" w:rsidR="00FE4D65" w:rsidRPr="00FE4D65" w:rsidRDefault="00FE4D65" w:rsidP="00FE4D65">
      <w:pPr>
        <w:rPr>
          <w:lang w:val="es-ES"/>
        </w:rPr>
      </w:pPr>
      <w:bookmarkStart w:id="697" w:name="lt_pId1559"/>
      <w:r w:rsidRPr="00FE4D65">
        <w:rPr>
          <w:lang w:val="es-ES"/>
        </w:rPr>
        <w:t>Otras actividades de promoción relacionadas con las actividades del UIT-R:</w:t>
      </w:r>
      <w:bookmarkEnd w:id="697"/>
    </w:p>
    <w:p w14:paraId="5B5B505F" w14:textId="5B8F0689" w:rsidR="00FE4D65" w:rsidRPr="00FE4D65" w:rsidRDefault="0072711D" w:rsidP="0072711D">
      <w:pPr>
        <w:pStyle w:val="enumlev1"/>
        <w:rPr>
          <w:lang w:val="es-ES"/>
        </w:rPr>
      </w:pPr>
      <w:bookmarkStart w:id="698" w:name="lt_pId1560"/>
      <w:r w:rsidRPr="0072711D">
        <w:rPr>
          <w:lang w:val="es-ES"/>
        </w:rPr>
        <w:t>•</w:t>
      </w:r>
      <w:r w:rsidRPr="0072711D">
        <w:rPr>
          <w:lang w:val="es-ES"/>
        </w:rPr>
        <w:tab/>
      </w:r>
      <w:r w:rsidR="00FE4D65" w:rsidRPr="00FE4D65">
        <w:rPr>
          <w:lang w:val="es-ES"/>
        </w:rPr>
        <w:t>Promoción de la nueva Recomendación UIT-R sobre el Marco IMT-2030</w:t>
      </w:r>
      <w:bookmarkEnd w:id="698"/>
    </w:p>
    <w:p w14:paraId="59272081" w14:textId="18FA9D19" w:rsidR="00FE4D65" w:rsidRPr="00FE4D65" w:rsidRDefault="0072711D" w:rsidP="0072711D">
      <w:pPr>
        <w:pStyle w:val="enumlev1"/>
        <w:rPr>
          <w:lang w:val="es-ES"/>
        </w:rPr>
      </w:pPr>
      <w:bookmarkStart w:id="699" w:name="lt_pId1561"/>
      <w:r w:rsidRPr="0072711D">
        <w:rPr>
          <w:lang w:val="es-ES"/>
        </w:rPr>
        <w:t>•</w:t>
      </w:r>
      <w:r w:rsidRPr="0072711D">
        <w:rPr>
          <w:lang w:val="es-ES"/>
        </w:rPr>
        <w:tab/>
      </w:r>
      <w:r w:rsidR="00FE4D65" w:rsidRPr="00FE4D65">
        <w:rPr>
          <w:lang w:val="es-ES"/>
        </w:rPr>
        <w:t>Premio Emmy de Ingeniería, Ciencia y Tecnología a la Comisión de Estudio 6 del UIT-R</w:t>
      </w:r>
      <w:bookmarkEnd w:id="699"/>
    </w:p>
    <w:p w14:paraId="4D16E674" w14:textId="61698E10" w:rsidR="00FE4D65" w:rsidRPr="00FE4D65" w:rsidRDefault="0072711D" w:rsidP="0072711D">
      <w:pPr>
        <w:pStyle w:val="enumlev1"/>
        <w:rPr>
          <w:lang w:val="es-ES"/>
        </w:rPr>
      </w:pPr>
      <w:bookmarkStart w:id="700" w:name="lt_pId1562"/>
      <w:r w:rsidRPr="0072711D">
        <w:rPr>
          <w:lang w:val="es-ES"/>
        </w:rPr>
        <w:t>•</w:t>
      </w:r>
      <w:r w:rsidRPr="0072711D">
        <w:rPr>
          <w:lang w:val="es-ES"/>
        </w:rPr>
        <w:tab/>
      </w:r>
      <w:r w:rsidR="00FE4D65" w:rsidRPr="00FE4D65">
        <w:rPr>
          <w:lang w:val="es-ES"/>
        </w:rPr>
        <w:t>Promoción del Manual sobre satélites pequeños</w:t>
      </w:r>
      <w:bookmarkEnd w:id="700"/>
    </w:p>
    <w:p w14:paraId="0293D812" w14:textId="297BEEAE" w:rsidR="00FE4D65" w:rsidRPr="00FE4D65" w:rsidRDefault="0072711D" w:rsidP="0072711D">
      <w:pPr>
        <w:pStyle w:val="enumlev1"/>
        <w:rPr>
          <w:lang w:val="es-ES"/>
        </w:rPr>
      </w:pPr>
      <w:bookmarkStart w:id="701" w:name="lt_pId1563"/>
      <w:r w:rsidRPr="0072711D">
        <w:rPr>
          <w:lang w:val="es-ES"/>
        </w:rPr>
        <w:t>•</w:t>
      </w:r>
      <w:r w:rsidRPr="0072711D">
        <w:rPr>
          <w:lang w:val="es-ES"/>
        </w:rPr>
        <w:tab/>
      </w:r>
      <w:r w:rsidR="00FE4D65" w:rsidRPr="00FE4D65">
        <w:rPr>
          <w:lang w:val="es-ES"/>
        </w:rPr>
        <w:t>Comunicado de prensa relativo a la publicación de una Recomendación sobre las IMT-2030 para las tecnologías móviles 6G</w:t>
      </w:r>
      <w:bookmarkEnd w:id="701"/>
    </w:p>
    <w:p w14:paraId="7CD4DB8A" w14:textId="233D867D" w:rsidR="00FE4D65" w:rsidRPr="00FE4D65" w:rsidRDefault="00FE4D65" w:rsidP="00FE4D65">
      <w:pPr>
        <w:rPr>
          <w:lang w:val="es-ES"/>
        </w:rPr>
      </w:pPr>
      <w:bookmarkStart w:id="702" w:name="lt_pId1564"/>
      <w:r w:rsidRPr="00FE4D65">
        <w:rPr>
          <w:lang w:val="es-ES"/>
        </w:rPr>
        <w:t xml:space="preserve">El Director de la Oficina de Radiocomunicaciones contribuye con frecuencia a los artículos, blogs y </w:t>
      </w:r>
      <w:r w:rsidRPr="000C35CC">
        <w:rPr>
          <w:i/>
          <w:iCs/>
          <w:lang w:val="es-ES"/>
        </w:rPr>
        <w:t>podcasts</w:t>
      </w:r>
      <w:r w:rsidRPr="00FE4D65">
        <w:rPr>
          <w:lang w:val="es-ES"/>
        </w:rPr>
        <w:t xml:space="preserve"> de </w:t>
      </w:r>
      <w:r w:rsidRPr="000C35CC">
        <w:rPr>
          <w:i/>
          <w:iCs/>
          <w:lang w:val="es-ES"/>
        </w:rPr>
        <w:t>Actualidades de la UIT</w:t>
      </w:r>
      <w:r w:rsidRPr="00FE4D65">
        <w:rPr>
          <w:lang w:val="es-ES"/>
        </w:rPr>
        <w:t xml:space="preserve"> que figuran en el </w:t>
      </w:r>
      <w:hyperlink r:id="rId106" w:history="1">
        <w:r w:rsidRPr="000C35CC">
          <w:rPr>
            <w:rStyle w:val="Hyperlink"/>
            <w:lang w:val="es-ES"/>
          </w:rPr>
          <w:t>rincón del Director de la BR</w:t>
        </w:r>
      </w:hyperlink>
      <w:r w:rsidRPr="00FE4D65">
        <w:rPr>
          <w:lang w:val="es-ES"/>
        </w:rPr>
        <w:t>.</w:t>
      </w:r>
      <w:bookmarkEnd w:id="702"/>
    </w:p>
    <w:p w14:paraId="0CF73566" w14:textId="77777777" w:rsidR="00FE4D65" w:rsidRPr="00FE4D65" w:rsidRDefault="00FE4D65" w:rsidP="0072711D">
      <w:pPr>
        <w:pStyle w:val="Heading4"/>
        <w:rPr>
          <w:lang w:val="es-ES"/>
        </w:rPr>
      </w:pPr>
      <w:r w:rsidRPr="00FE4D65">
        <w:rPr>
          <w:lang w:val="es-ES"/>
        </w:rPr>
        <w:t>8.6.2.2</w:t>
      </w:r>
      <w:r w:rsidRPr="00FE4D65">
        <w:rPr>
          <w:lang w:val="es-ES"/>
        </w:rPr>
        <w:tab/>
        <w:t xml:space="preserve">Comunicaciones de marca, ventas y </w:t>
      </w:r>
      <w:r w:rsidRPr="0008731F">
        <w:rPr>
          <w:i/>
          <w:iCs/>
          <w:lang w:val="es-ES"/>
        </w:rPr>
        <w:t>marketing</w:t>
      </w:r>
      <w:bookmarkStart w:id="703" w:name="lt_pId1566"/>
      <w:bookmarkEnd w:id="703"/>
    </w:p>
    <w:p w14:paraId="02C842A1" w14:textId="77777777" w:rsidR="00FE4D65" w:rsidRPr="00FE4D65" w:rsidRDefault="00FE4D65" w:rsidP="00FE4D65">
      <w:pPr>
        <w:rPr>
          <w:lang w:val="es-ES"/>
        </w:rPr>
      </w:pPr>
      <w:bookmarkStart w:id="704" w:name="lt_pId1567"/>
      <w:r w:rsidRPr="00FE4D65">
        <w:rPr>
          <w:lang w:val="es-ES"/>
        </w:rPr>
        <w:t xml:space="preserve">En 2023, las iniciativas de marca y comunicación se centraron en utilizar la nueva plataforma Polo de </w:t>
      </w:r>
      <w:r w:rsidRPr="0008731F">
        <w:rPr>
          <w:i/>
          <w:iCs/>
          <w:lang w:val="es-ES"/>
        </w:rPr>
        <w:t>Actualidades de la UIT</w:t>
      </w:r>
      <w:r w:rsidRPr="00FE4D65">
        <w:rPr>
          <w:lang w:val="es-ES"/>
        </w:rPr>
        <w:t xml:space="preserve"> en colaboración con Ventas y Comercialización de la UIT para la promoción electrónica de determinadas publicaciones, bases de datos y </w:t>
      </w:r>
      <w:r w:rsidRPr="00FE4D65">
        <w:rPr>
          <w:i/>
          <w:iCs/>
          <w:lang w:val="es-ES"/>
        </w:rPr>
        <w:t>software</w:t>
      </w:r>
      <w:r w:rsidRPr="00FE4D65">
        <w:rPr>
          <w:lang w:val="es-ES"/>
        </w:rPr>
        <w:t xml:space="preserve"> del UIT-R, con identidades visuales especialmente diseñadas para dar a conocer lo siguiente:</w:t>
      </w:r>
      <w:bookmarkEnd w:id="704"/>
    </w:p>
    <w:p w14:paraId="57B0D348" w14:textId="0A6B61F6" w:rsidR="00FE4D65" w:rsidRPr="00FE4D65" w:rsidRDefault="0072711D" w:rsidP="0072711D">
      <w:pPr>
        <w:pStyle w:val="enumlev1"/>
        <w:rPr>
          <w:lang w:val="es-ES"/>
        </w:rPr>
      </w:pPr>
      <w:bookmarkStart w:id="705" w:name="lt_pId1568"/>
      <w:r w:rsidRPr="0072711D">
        <w:rPr>
          <w:lang w:val="es-ES"/>
        </w:rPr>
        <w:t>•</w:t>
      </w:r>
      <w:r w:rsidRPr="0072711D">
        <w:rPr>
          <w:lang w:val="es-ES"/>
        </w:rPr>
        <w:tab/>
      </w:r>
      <w:r w:rsidR="00FE4D65" w:rsidRPr="00FE4D65">
        <w:rPr>
          <w:lang w:val="es-ES"/>
        </w:rPr>
        <w:t>1</w:t>
      </w:r>
      <w:r w:rsidR="00FE4D65" w:rsidRPr="00FE4D65">
        <w:rPr>
          <w:vertAlign w:val="superscript"/>
          <w:lang w:val="es-ES"/>
        </w:rPr>
        <w:t>er</w:t>
      </w:r>
      <w:r w:rsidR="00FE4D65" w:rsidRPr="00FE4D65">
        <w:rPr>
          <w:lang w:val="es-ES"/>
        </w:rPr>
        <w:t xml:space="preserve"> y 3</w:t>
      </w:r>
      <w:r w:rsidR="00FE4D65" w:rsidRPr="00FE4D65">
        <w:rPr>
          <w:vertAlign w:val="superscript"/>
          <w:lang w:val="es-ES"/>
        </w:rPr>
        <w:t>er</w:t>
      </w:r>
      <w:r w:rsidR="00FE4D65" w:rsidRPr="00FE4D65">
        <w:rPr>
          <w:lang w:val="es-ES"/>
        </w:rPr>
        <w:t xml:space="preserve"> </w:t>
      </w:r>
      <w:r w:rsidR="002B707C" w:rsidRPr="00FE4D65">
        <w:rPr>
          <w:lang w:val="es-ES"/>
        </w:rPr>
        <w:t xml:space="preserve">Taller Interregional </w:t>
      </w:r>
      <w:r w:rsidR="00FE4D65" w:rsidRPr="00FE4D65">
        <w:rPr>
          <w:lang w:val="es-ES"/>
        </w:rPr>
        <w:t>de la UIT sobre los preparativos de la CMR-23</w:t>
      </w:r>
      <w:bookmarkEnd w:id="705"/>
    </w:p>
    <w:p w14:paraId="35A66539" w14:textId="5F42BF7A" w:rsidR="00FE4D65" w:rsidRPr="001B3AA3" w:rsidRDefault="0072711D" w:rsidP="0072711D">
      <w:pPr>
        <w:pStyle w:val="enumlev1"/>
        <w:rPr>
          <w:lang w:val="es-ES"/>
        </w:rPr>
      </w:pPr>
      <w:bookmarkStart w:id="706" w:name="lt_pId1569"/>
      <w:r w:rsidRPr="001B3AA3">
        <w:rPr>
          <w:lang w:val="es-ES"/>
        </w:rPr>
        <w:t>•</w:t>
      </w:r>
      <w:r w:rsidRPr="001B3AA3">
        <w:rPr>
          <w:lang w:val="es-ES"/>
        </w:rPr>
        <w:tab/>
      </w:r>
      <w:r w:rsidR="00FE4D65" w:rsidRPr="00FE4D65">
        <w:rPr>
          <w:lang w:val="es-ES"/>
        </w:rPr>
        <w:t>Exposición sobre Radiocomunicaciones Futuras</w:t>
      </w:r>
      <w:bookmarkEnd w:id="706"/>
    </w:p>
    <w:p w14:paraId="4B86140C" w14:textId="1EB88397" w:rsidR="00FE4D65" w:rsidRPr="00FE4D65" w:rsidRDefault="0072711D" w:rsidP="0072711D">
      <w:pPr>
        <w:pStyle w:val="enumlev1"/>
        <w:rPr>
          <w:lang w:val="es-ES"/>
        </w:rPr>
      </w:pPr>
      <w:bookmarkStart w:id="707" w:name="lt_pId1570"/>
      <w:r w:rsidRPr="0072711D">
        <w:rPr>
          <w:lang w:val="es-ES"/>
        </w:rPr>
        <w:t>•</w:t>
      </w:r>
      <w:r w:rsidRPr="0072711D">
        <w:rPr>
          <w:lang w:val="es-ES"/>
        </w:rPr>
        <w:tab/>
      </w:r>
      <w:r w:rsidR="00FE4D65" w:rsidRPr="00FE4D65">
        <w:rPr>
          <w:lang w:val="es-ES"/>
        </w:rPr>
        <w:t>Reunión Preparatoria de la Conferencia 23-2 y 27-1</w:t>
      </w:r>
      <w:bookmarkEnd w:id="707"/>
    </w:p>
    <w:p w14:paraId="71BBF01D" w14:textId="279CEA49" w:rsidR="00FE4D65" w:rsidRPr="001B3AA3" w:rsidRDefault="0072711D" w:rsidP="0072711D">
      <w:pPr>
        <w:pStyle w:val="enumlev1"/>
        <w:rPr>
          <w:lang w:val="es-ES"/>
        </w:rPr>
      </w:pPr>
      <w:bookmarkStart w:id="708" w:name="lt_pId1571"/>
      <w:r w:rsidRPr="001B3AA3">
        <w:rPr>
          <w:lang w:val="es-ES"/>
        </w:rPr>
        <w:t>•</w:t>
      </w:r>
      <w:r w:rsidRPr="001B3AA3">
        <w:rPr>
          <w:lang w:val="es-ES"/>
        </w:rPr>
        <w:tab/>
      </w:r>
      <w:r w:rsidR="00FE4D65" w:rsidRPr="00FE4D65">
        <w:rPr>
          <w:lang w:val="es-ES"/>
        </w:rPr>
        <w:t>Asamblea de Radiocomunicaciones de 2023</w:t>
      </w:r>
      <w:bookmarkEnd w:id="708"/>
    </w:p>
    <w:p w14:paraId="51F78DFB" w14:textId="49D4AF5C" w:rsidR="00FE4D65" w:rsidRPr="00FE4D65" w:rsidRDefault="0072711D" w:rsidP="0072711D">
      <w:pPr>
        <w:pStyle w:val="enumlev1"/>
        <w:rPr>
          <w:lang w:val="es-ES"/>
        </w:rPr>
      </w:pPr>
      <w:bookmarkStart w:id="709" w:name="lt_pId1572"/>
      <w:r w:rsidRPr="0072711D">
        <w:rPr>
          <w:lang w:val="es-ES"/>
        </w:rPr>
        <w:t>•</w:t>
      </w:r>
      <w:r w:rsidRPr="0072711D">
        <w:rPr>
          <w:lang w:val="es-ES"/>
        </w:rPr>
        <w:tab/>
      </w:r>
      <w:r w:rsidR="00FE4D65" w:rsidRPr="00FE4D65">
        <w:rPr>
          <w:lang w:val="es-ES"/>
        </w:rPr>
        <w:t>Conferencia Mundial de Radiocomunicaciones de 2023</w:t>
      </w:r>
      <w:bookmarkEnd w:id="709"/>
    </w:p>
    <w:p w14:paraId="210EC35B" w14:textId="50B25F75" w:rsidR="00FE4D65" w:rsidRPr="00FE4D65" w:rsidRDefault="0072711D" w:rsidP="0072711D">
      <w:pPr>
        <w:pStyle w:val="enumlev1"/>
        <w:rPr>
          <w:lang w:val="es-ES"/>
        </w:rPr>
      </w:pPr>
      <w:bookmarkStart w:id="710" w:name="lt_pId1573"/>
      <w:r w:rsidRPr="0072711D">
        <w:rPr>
          <w:lang w:val="es-ES"/>
        </w:rPr>
        <w:t>•</w:t>
      </w:r>
      <w:r w:rsidRPr="0072711D">
        <w:rPr>
          <w:lang w:val="es-ES"/>
        </w:rPr>
        <w:tab/>
      </w:r>
      <w:r w:rsidR="00FE4D65" w:rsidRPr="00FE4D65">
        <w:rPr>
          <w:lang w:val="es-ES"/>
        </w:rPr>
        <w:t>Número 3000 de la BR</w:t>
      </w:r>
      <w:r w:rsidR="0008731F">
        <w:rPr>
          <w:lang w:val="es-ES"/>
        </w:rPr>
        <w:t> </w:t>
      </w:r>
      <w:r w:rsidR="00FE4D65" w:rsidRPr="00FE4D65">
        <w:rPr>
          <w:lang w:val="es-ES"/>
        </w:rPr>
        <w:t>IFIC</w:t>
      </w:r>
      <w:bookmarkEnd w:id="710"/>
    </w:p>
    <w:p w14:paraId="4E69467C" w14:textId="6604F899" w:rsidR="00FE4D65" w:rsidRPr="00FE4D65" w:rsidRDefault="0072711D" w:rsidP="0072711D">
      <w:pPr>
        <w:pStyle w:val="enumlev1"/>
        <w:rPr>
          <w:lang w:val="es-ES"/>
        </w:rPr>
      </w:pPr>
      <w:bookmarkStart w:id="711" w:name="lt_pId1574"/>
      <w:r w:rsidRPr="0072711D">
        <w:rPr>
          <w:lang w:val="es-ES"/>
        </w:rPr>
        <w:t>•</w:t>
      </w:r>
      <w:r w:rsidRPr="0072711D">
        <w:rPr>
          <w:lang w:val="es-ES"/>
        </w:rPr>
        <w:tab/>
      </w:r>
      <w:r w:rsidR="00FE4D65" w:rsidRPr="00FE4D65">
        <w:rPr>
          <w:lang w:val="es-ES"/>
        </w:rPr>
        <w:t>Premio Emmy por la norma TV-EGD (televisión de elevada gama dinámica)</w:t>
      </w:r>
      <w:bookmarkEnd w:id="711"/>
    </w:p>
    <w:p w14:paraId="37C1E760" w14:textId="41589391" w:rsidR="00FE4D65" w:rsidRPr="00FE4D65" w:rsidRDefault="0072711D" w:rsidP="0072711D">
      <w:pPr>
        <w:pStyle w:val="enumlev1"/>
        <w:rPr>
          <w:lang w:val="es-ES"/>
        </w:rPr>
      </w:pPr>
      <w:r w:rsidRPr="0072711D">
        <w:rPr>
          <w:lang w:val="es-ES"/>
        </w:rPr>
        <w:t>•</w:t>
      </w:r>
      <w:r w:rsidRPr="0072711D">
        <w:rPr>
          <w:lang w:val="es-ES"/>
        </w:rPr>
        <w:tab/>
      </w:r>
      <w:hyperlink r:id="rId107" w:anchor="/es" w:history="1">
        <w:bookmarkStart w:id="712" w:name="lt_pId1575"/>
        <w:r w:rsidR="00FE4D65" w:rsidRPr="00FE4D65">
          <w:rPr>
            <w:rStyle w:val="Hyperlink"/>
            <w:lang w:val="es-ES"/>
          </w:rPr>
          <w:t>Herramientas de navegación del Reglamento de Radiocomunicaciones</w:t>
        </w:r>
        <w:bookmarkEnd w:id="712"/>
      </w:hyperlink>
    </w:p>
    <w:p w14:paraId="47FD7ACC" w14:textId="77777777" w:rsidR="00FE4D65" w:rsidRPr="00FE4D65" w:rsidRDefault="00FE4D65" w:rsidP="0072711D">
      <w:pPr>
        <w:pStyle w:val="Heading4"/>
        <w:rPr>
          <w:lang w:val="es-ES"/>
        </w:rPr>
      </w:pPr>
      <w:r w:rsidRPr="00FE4D65">
        <w:rPr>
          <w:lang w:val="es-ES"/>
        </w:rPr>
        <w:lastRenderedPageBreak/>
        <w:t>8.6.2.3</w:t>
      </w:r>
      <w:r w:rsidRPr="00FE4D65">
        <w:rPr>
          <w:lang w:val="es-ES"/>
        </w:rPr>
        <w:tab/>
        <w:t>Exposiciones y demostraciones</w:t>
      </w:r>
      <w:bookmarkStart w:id="713" w:name="lt_pId1577"/>
      <w:bookmarkEnd w:id="713"/>
    </w:p>
    <w:p w14:paraId="625CC06B" w14:textId="54CC0B63" w:rsidR="00FE4D65" w:rsidRPr="00FE4D65" w:rsidRDefault="00FE4D65" w:rsidP="00FE4D65">
      <w:pPr>
        <w:rPr>
          <w:lang w:val="es-ES"/>
        </w:rPr>
      </w:pPr>
      <w:bookmarkStart w:id="714" w:name="lt_pId1578"/>
      <w:r w:rsidRPr="00FE4D65">
        <w:rPr>
          <w:lang w:val="es-ES"/>
        </w:rPr>
        <w:t>Se organizó una exposición sobre las Radiocomunicaciones Futuras en el «Espace Polyvalent» del</w:t>
      </w:r>
      <w:r w:rsidR="0008731F">
        <w:rPr>
          <w:lang w:val="es-ES"/>
        </w:rPr>
        <w:t> </w:t>
      </w:r>
      <w:r w:rsidRPr="00FE4D65">
        <w:rPr>
          <w:lang w:val="es-ES"/>
        </w:rPr>
        <w:t xml:space="preserve">CICG coincidiendo las fechas y el lugar de celebración de la RPC (Ginebra). Podían visitarla los Miembros y no </w:t>
      </w:r>
      <w:r w:rsidR="0008731F" w:rsidRPr="00FE4D65">
        <w:rPr>
          <w:lang w:val="es-ES"/>
        </w:rPr>
        <w:t xml:space="preserve">Miembros </w:t>
      </w:r>
      <w:r w:rsidRPr="00FE4D65">
        <w:rPr>
          <w:lang w:val="es-ES"/>
        </w:rPr>
        <w:t>de la UIT, previo pago de una tasa.</w:t>
      </w:r>
      <w:bookmarkStart w:id="715" w:name="lt_pId1579"/>
      <w:bookmarkEnd w:id="714"/>
      <w:bookmarkEnd w:id="715"/>
    </w:p>
    <w:p w14:paraId="1B4EC0AF" w14:textId="77777777" w:rsidR="00FE4D65" w:rsidRPr="00FE4D65" w:rsidRDefault="00FE4D65" w:rsidP="00FE4D65">
      <w:pPr>
        <w:rPr>
          <w:lang w:val="es-ES"/>
        </w:rPr>
      </w:pPr>
      <w:bookmarkStart w:id="716" w:name="lt_pId1580"/>
      <w:r w:rsidRPr="00FE4D65">
        <w:rPr>
          <w:lang w:val="es-ES"/>
        </w:rPr>
        <w:t>Se organizó una exposición del país anfitrión EAU próxima a las fechas y al lugar de celebración de la CMR-23 (Dubái).</w:t>
      </w:r>
      <w:bookmarkEnd w:id="716"/>
    </w:p>
    <w:p w14:paraId="1682200A" w14:textId="237F79FD" w:rsidR="00FE4D65" w:rsidRPr="00FE4D65" w:rsidRDefault="00FE4D65" w:rsidP="0072711D">
      <w:pPr>
        <w:pStyle w:val="Heading2"/>
        <w:rPr>
          <w:lang w:val="es-ES"/>
        </w:rPr>
      </w:pPr>
      <w:r w:rsidRPr="00FE4D65">
        <w:rPr>
          <w:lang w:val="es-ES"/>
        </w:rPr>
        <w:t>8.7</w:t>
      </w:r>
      <w:r w:rsidRPr="00FE4D65">
        <w:rPr>
          <w:lang w:val="es-ES"/>
        </w:rPr>
        <w:tab/>
        <w:t>Igualdad de género</w:t>
      </w:r>
      <w:bookmarkStart w:id="717" w:name="lt_pId1582"/>
      <w:bookmarkEnd w:id="717"/>
    </w:p>
    <w:p w14:paraId="1913EA44" w14:textId="4AB1EA8C" w:rsidR="00FE4D65" w:rsidRPr="00FE4D65" w:rsidRDefault="00FE4D65" w:rsidP="00FE4D65">
      <w:pPr>
        <w:rPr>
          <w:lang w:val="es-ES"/>
        </w:rPr>
      </w:pPr>
      <w:bookmarkStart w:id="718" w:name="lt_pId1583"/>
      <w:r w:rsidRPr="00FE4D65">
        <w:rPr>
          <w:lang w:val="es-ES"/>
        </w:rPr>
        <w:t>La promoción de la igualdad de género en todas las esferas de la actual sociedad digital nunca ha sido tan esencial como ahora, cuando el mundo se embarca en el Decenio de Acción para lograr la Agenda 2030 para el Desarrollo Sostenible. Las tecnologías digitales son esenciales para alcanzar los 17 Objetivos de Desarrollo Sostenible y aumentar la proporción de mujeres que disponen de acceso a las tecnologías digitales y las utilizan para mejorar sus vidas y, por extensión, la mejora de las vidas de sus familias y sociedad es un desafío de desarrollo que nos interesa a todos.</w:t>
      </w:r>
      <w:bookmarkStart w:id="719" w:name="lt_pId1584"/>
      <w:bookmarkEnd w:id="718"/>
      <w:bookmarkEnd w:id="719"/>
    </w:p>
    <w:p w14:paraId="2C0EE2E2" w14:textId="3111121B" w:rsidR="00FE4D65" w:rsidRPr="00FE4D65" w:rsidRDefault="00FE4D65" w:rsidP="00FE4D65">
      <w:pPr>
        <w:rPr>
          <w:lang w:val="es-ES"/>
        </w:rPr>
      </w:pPr>
      <w:bookmarkStart w:id="720" w:name="lt_pId1585"/>
      <w:r w:rsidRPr="00FE4D65">
        <w:rPr>
          <w:lang w:val="es-ES"/>
        </w:rPr>
        <w:t>Hemos observado un crecimiento sostenido del número de mujeres que asisten a nuestras Conferencias Mundiales de Radiocomunicaciones. Más de 4</w:t>
      </w:r>
      <w:r w:rsidR="00F039CA">
        <w:rPr>
          <w:lang w:val="es-ES"/>
        </w:rPr>
        <w:t> </w:t>
      </w:r>
      <w:r w:rsidRPr="00FE4D65">
        <w:rPr>
          <w:lang w:val="es-ES"/>
        </w:rPr>
        <w:t>000</w:t>
      </w:r>
      <w:r w:rsidR="002B707C">
        <w:rPr>
          <w:lang w:val="es-ES"/>
        </w:rPr>
        <w:t> </w:t>
      </w:r>
      <w:r w:rsidRPr="00FE4D65">
        <w:rPr>
          <w:lang w:val="es-ES"/>
        </w:rPr>
        <w:t>delegados de 163</w:t>
      </w:r>
      <w:r w:rsidR="002B707C">
        <w:rPr>
          <w:lang w:val="es-ES"/>
        </w:rPr>
        <w:t> </w:t>
      </w:r>
      <w:r w:rsidRPr="00FE4D65">
        <w:rPr>
          <w:lang w:val="es-ES"/>
        </w:rPr>
        <w:t>Estados Miembros de la UIT asistieron a la CMR-23, incluidos 88</w:t>
      </w:r>
      <w:r w:rsidR="002B707C">
        <w:rPr>
          <w:lang w:val="es-ES"/>
        </w:rPr>
        <w:t> </w:t>
      </w:r>
      <w:r w:rsidRPr="00FE4D65">
        <w:rPr>
          <w:lang w:val="es-ES"/>
        </w:rPr>
        <w:t>participantes a nivel ministerial. Las mujeres representaron el 22% de todos los delegados de la CMR-23, lo que constituye un aumento del 18% con respecto a la CMR-19 que tuvo lugar en 2019. Este aumento en el nivel de representación de las mujeres en la CMR-23 debe considerarse a la luz del hecho de que la CMR-23 fue la mayor CMR de la historia, con un 16% más de delegados que la CMR-19, que había alcanzado el anterior récord de asistencia. En la CMR-23 se registró la cifra récord de 860</w:t>
      </w:r>
      <w:r w:rsidR="002B707C">
        <w:rPr>
          <w:lang w:val="es-ES"/>
        </w:rPr>
        <w:t> </w:t>
      </w:r>
      <w:r w:rsidRPr="00FE4D65">
        <w:rPr>
          <w:lang w:val="es-ES"/>
        </w:rPr>
        <w:t>delegadas, lo que supuso un aumento del 83% respecto a las 467</w:t>
      </w:r>
      <w:r w:rsidR="002B707C">
        <w:rPr>
          <w:lang w:val="es-ES"/>
        </w:rPr>
        <w:t> </w:t>
      </w:r>
      <w:r w:rsidRPr="00FE4D65">
        <w:rPr>
          <w:lang w:val="es-ES"/>
        </w:rPr>
        <w:t>delegadas de la CMR-19. No cabe duda de que este logro fue el resultado de las iniciativas y el arduo trabajo de la Red de Mujeres para la CMR-23 (NOW4WRC23).</w:t>
      </w:r>
      <w:bookmarkStart w:id="721" w:name="lt_pId1586"/>
      <w:bookmarkStart w:id="722" w:name="lt_pId1587"/>
      <w:bookmarkStart w:id="723" w:name="lt_pId1588"/>
      <w:bookmarkStart w:id="724" w:name="lt_pId1589"/>
      <w:bookmarkStart w:id="725" w:name="lt_pId1590"/>
      <w:bookmarkEnd w:id="720"/>
      <w:bookmarkEnd w:id="721"/>
      <w:bookmarkEnd w:id="722"/>
      <w:bookmarkEnd w:id="723"/>
      <w:bookmarkEnd w:id="724"/>
      <w:bookmarkEnd w:id="725"/>
    </w:p>
    <w:p w14:paraId="5222CA13" w14:textId="69A29405" w:rsidR="00FE4D65" w:rsidRPr="00FE4D65" w:rsidRDefault="00FE4D65" w:rsidP="0072711D">
      <w:pPr>
        <w:pStyle w:val="Heading3"/>
        <w:rPr>
          <w:lang w:val="es-ES"/>
        </w:rPr>
      </w:pPr>
      <w:r w:rsidRPr="00FE4D65">
        <w:rPr>
          <w:lang w:val="es-ES"/>
        </w:rPr>
        <w:t>8.7.1</w:t>
      </w:r>
      <w:r w:rsidRPr="00FE4D65">
        <w:rPr>
          <w:lang w:val="es-ES"/>
        </w:rPr>
        <w:tab/>
        <w:t>Resolución de la AR-23 sobre la igualdad de género</w:t>
      </w:r>
      <w:bookmarkStart w:id="726" w:name="lt_pId1592"/>
      <w:bookmarkEnd w:id="726"/>
    </w:p>
    <w:p w14:paraId="1BAF09CE" w14:textId="25E75BFE" w:rsidR="00FE4D65" w:rsidRPr="00FE4D65" w:rsidRDefault="00FE4D65" w:rsidP="00FE4D65">
      <w:pPr>
        <w:rPr>
          <w:lang w:val="es-ES"/>
        </w:rPr>
      </w:pPr>
      <w:bookmarkStart w:id="727" w:name="lt_pId1593"/>
      <w:r w:rsidRPr="00FE4D65">
        <w:rPr>
          <w:lang w:val="es-ES"/>
        </w:rPr>
        <w:t>El 15 de noviembre, la Asamblea de Radiocomunicaciones de la UIT (</w:t>
      </w:r>
      <w:hyperlink r:id="rId108" w:history="1">
        <w:r w:rsidRPr="002B707C">
          <w:rPr>
            <w:rStyle w:val="Hyperlink"/>
            <w:lang w:val="es-ES"/>
          </w:rPr>
          <w:t>AR-23</w:t>
        </w:r>
      </w:hyperlink>
      <w:r w:rsidRPr="00FE4D65">
        <w:rPr>
          <w:lang w:val="es-ES"/>
        </w:rPr>
        <w:t xml:space="preserve">) adoptó una nueva </w:t>
      </w:r>
      <w:hyperlink r:id="rId109" w:history="1">
        <w:r w:rsidRPr="002B707C">
          <w:rPr>
            <w:rStyle w:val="Hyperlink"/>
            <w:lang w:val="es-ES"/>
          </w:rPr>
          <w:t>Resolución sobre igualdad de género</w:t>
        </w:r>
      </w:hyperlink>
      <w:r w:rsidRPr="00FE4D65">
        <w:rPr>
          <w:lang w:val="es-ES"/>
        </w:rPr>
        <w:t xml:space="preserve"> a fin de intensificar, acelerar y ampliar la implicación activa de las mujeres en el trabajo del Sector de Radiocomunicaciones de la UIT (UIT-R).</w:t>
      </w:r>
      <w:bookmarkEnd w:id="727"/>
    </w:p>
    <w:p w14:paraId="2517E194" w14:textId="77777777" w:rsidR="00FE4D65" w:rsidRPr="00FE4D65" w:rsidRDefault="00FE4D65" w:rsidP="00FE4D65">
      <w:pPr>
        <w:rPr>
          <w:lang w:val="es-ES"/>
        </w:rPr>
      </w:pPr>
      <w:bookmarkStart w:id="728" w:name="lt_pId1594"/>
      <w:r w:rsidRPr="00FE4D65">
        <w:rPr>
          <w:lang w:val="es-ES"/>
        </w:rPr>
        <w:t>La adopción de la Resolución sobre género responde a lo solicitado por la Conferencia Mundial de Radiocomunicaciones de 2019 en su «Declaración sobre Promoción de la igualdad, la equidad y la paridad de género en el Sector de Radiocomunicaciones de la UIT».</w:t>
      </w:r>
      <w:bookmarkEnd w:id="728"/>
    </w:p>
    <w:p w14:paraId="2035B805" w14:textId="77777777" w:rsidR="00FE4D65" w:rsidRPr="00FE4D65" w:rsidRDefault="00FE4D65" w:rsidP="00FE4D65">
      <w:pPr>
        <w:rPr>
          <w:lang w:val="es-ES"/>
        </w:rPr>
      </w:pPr>
      <w:bookmarkStart w:id="729" w:name="lt_pId1595"/>
      <w:r w:rsidRPr="00FE4D65">
        <w:rPr>
          <w:lang w:val="es-ES"/>
        </w:rPr>
        <w:t>También es el resultado de las Redes de Mujeres de la UIT, concretamente de NOW4WRC19 y NOW4WRC23, cuyo objetivo era comenzar a crear capacidades desde las etapas iniciales del proceso de la Conferencia Mundial de Radiocomunicaciones (CMR) a fin de alentar una mayor participación de mujeres en calidad de delegadas, presidentas y vicepresidentas en las Conferencias de 2019 y 2023.</w:t>
      </w:r>
      <w:bookmarkEnd w:id="729"/>
    </w:p>
    <w:p w14:paraId="47E155B5" w14:textId="77777777" w:rsidR="00FE4D65" w:rsidRPr="00FE4D65" w:rsidRDefault="00FE4D65" w:rsidP="00FE4D65">
      <w:pPr>
        <w:rPr>
          <w:lang w:val="es-ES"/>
        </w:rPr>
      </w:pPr>
      <w:bookmarkStart w:id="730" w:name="lt_pId1596"/>
      <w:r w:rsidRPr="00FE4D65">
        <w:rPr>
          <w:lang w:val="es-ES"/>
        </w:rPr>
        <w:t>En la nueva Resolución de la AR-23, en la que se reconoce la importancia de las funciones de liderazgo para impulsar el cambio, se declara que todas las políticas, programas de trabajo, actividades divulgativas, publicaciones, Comisiones de Estudio, seminarios, cursos, Asambleas y Conferencias sobre radiocomunicaciones de la UIT deben reflejar el compromiso del Sector con la igualdad de género.</w:t>
      </w:r>
      <w:bookmarkEnd w:id="730"/>
    </w:p>
    <w:p w14:paraId="2AA1DBF1" w14:textId="77777777" w:rsidR="00FE4D65" w:rsidRPr="00FE4D65" w:rsidRDefault="00FE4D65" w:rsidP="00FE4D65">
      <w:pPr>
        <w:rPr>
          <w:lang w:val="es-ES"/>
        </w:rPr>
      </w:pPr>
      <w:bookmarkStart w:id="731" w:name="lt_pId1597"/>
      <w:r w:rsidRPr="00FE4D65">
        <w:rPr>
          <w:lang w:val="es-ES"/>
        </w:rPr>
        <w:t>Este mayor respaldo a la igualdad de género pone de relieve el reconocimiento por parte del Sector de Radiocomunicaciones de la importancia de las diversas perspectivas y de los inmensos beneficios que aportará al Sector la participación equitativa de mujeres y hombres.</w:t>
      </w:r>
      <w:bookmarkEnd w:id="731"/>
    </w:p>
    <w:p w14:paraId="1E7F8891" w14:textId="77777777" w:rsidR="00FE4D65" w:rsidRPr="00FE4D65" w:rsidRDefault="00FE4D65" w:rsidP="00FE4D65">
      <w:pPr>
        <w:rPr>
          <w:lang w:val="es-ES"/>
        </w:rPr>
      </w:pPr>
      <w:bookmarkStart w:id="732" w:name="lt_pId1598"/>
      <w:r w:rsidRPr="00FE4D65">
        <w:rPr>
          <w:lang w:val="es-ES"/>
        </w:rPr>
        <w:lastRenderedPageBreak/>
        <w:t>La adopción de la Resolución sobre igualdad de género es una señal inequívoca de nuestro firme compromiso con la inclusividad. Considero que la forma más eficaz de avanzar en los trabajos del Sector de Radiocomunicaciones es por medio de la incorporación y participación activa de las mujeres de todo el mundo.</w:t>
      </w:r>
      <w:bookmarkStart w:id="733" w:name="lt_pId1599"/>
      <w:bookmarkEnd w:id="732"/>
      <w:bookmarkEnd w:id="733"/>
    </w:p>
    <w:p w14:paraId="1DA6D840" w14:textId="631E0A58" w:rsidR="00FE4D65" w:rsidRPr="00FE4D65" w:rsidRDefault="00FE4D65" w:rsidP="00FE4D65">
      <w:pPr>
        <w:rPr>
          <w:lang w:val="es-ES"/>
        </w:rPr>
      </w:pPr>
      <w:bookmarkStart w:id="734" w:name="lt_pId1600"/>
      <w:r w:rsidRPr="00FE4D65">
        <w:rPr>
          <w:lang w:val="es-ES"/>
        </w:rPr>
        <w:t>Además de las medidas que se insta a emprender al UIT-R y a sus Miembros, en la Resolución UIT-R 72 se encarga al Director de la Oficina de Radiocomunicaciones que lleve a cabo medidas concretas para su aplicación efectiva. El GAR podría considerar el papel que puede desempeñar para apoyar al Director de la BR en el seguimiento de la aplicación de esta Resolución con el fin de garantizar que se sigue avanzando hacia la igualdad de género en el UIT-R.</w:t>
      </w:r>
      <w:bookmarkStart w:id="735" w:name="lt_pId1601"/>
      <w:bookmarkEnd w:id="734"/>
      <w:bookmarkEnd w:id="735"/>
    </w:p>
    <w:p w14:paraId="24C2E438" w14:textId="68EF5815" w:rsidR="00FE4D65" w:rsidRPr="00FE4D65" w:rsidRDefault="00FE4D65" w:rsidP="0072711D">
      <w:pPr>
        <w:pStyle w:val="Heading3"/>
        <w:rPr>
          <w:lang w:val="es-ES"/>
        </w:rPr>
      </w:pPr>
      <w:r w:rsidRPr="00FE4D65">
        <w:rPr>
          <w:lang w:val="es-ES"/>
        </w:rPr>
        <w:t>8.7.2</w:t>
      </w:r>
      <w:r w:rsidRPr="00FE4D65">
        <w:rPr>
          <w:lang w:val="es-ES"/>
        </w:rPr>
        <w:tab/>
        <w:t>Red de Mujeres para la CMR-23 (NOW4WRC23)</w:t>
      </w:r>
      <w:bookmarkStart w:id="736" w:name="lt_pId1603"/>
      <w:bookmarkEnd w:id="736"/>
    </w:p>
    <w:p w14:paraId="63BA116E" w14:textId="77777777" w:rsidR="00FE4D65" w:rsidRPr="00FE4D65" w:rsidRDefault="00FE4D65" w:rsidP="00FE4D65">
      <w:pPr>
        <w:rPr>
          <w:lang w:val="es-ES"/>
        </w:rPr>
      </w:pPr>
      <w:bookmarkStart w:id="737" w:name="lt_pId1604"/>
      <w:r w:rsidRPr="00FE4D65">
        <w:rPr>
          <w:lang w:val="es-ES"/>
        </w:rPr>
        <w:t>La NOW4WRC23 facilitó a nivel mundial un programa de tutoría que pone en contacto a mentoras y alumnas que participan en los trabajos del UIT-R y que tienen intereses comunes. A nivel regional, las Copresidentas Regionales de la NOW4WRC23 impulsaron iniciativas y organizaron programas de tutoría y talleres en paralelo a las reuniones de sus respectivas organizaciones regionales de telecomunicaciones.</w:t>
      </w:r>
      <w:bookmarkStart w:id="738" w:name="lt_pId1605"/>
      <w:bookmarkEnd w:id="737"/>
      <w:bookmarkEnd w:id="738"/>
    </w:p>
    <w:p w14:paraId="743BA809" w14:textId="77777777" w:rsidR="00FE4D65" w:rsidRPr="00FE4D65" w:rsidRDefault="00FE4D65" w:rsidP="0072711D">
      <w:pPr>
        <w:pStyle w:val="Heading4"/>
        <w:rPr>
          <w:lang w:val="es-ES"/>
        </w:rPr>
      </w:pPr>
      <w:r w:rsidRPr="00FE4D65">
        <w:rPr>
          <w:lang w:val="es-ES"/>
        </w:rPr>
        <w:t>8.7.2.1</w:t>
      </w:r>
      <w:r w:rsidRPr="00FE4D65">
        <w:rPr>
          <w:lang w:val="es-ES"/>
        </w:rPr>
        <w:tab/>
        <w:t>Eventos de la NOW4WRC23</w:t>
      </w:r>
      <w:bookmarkStart w:id="739" w:name="lt_pId1607"/>
      <w:bookmarkEnd w:id="739"/>
    </w:p>
    <w:p w14:paraId="2FAA63DF" w14:textId="52F0573D" w:rsidR="00FE4D65" w:rsidRPr="00FE4D65" w:rsidRDefault="00FE4D65" w:rsidP="00FE4D65">
      <w:pPr>
        <w:rPr>
          <w:lang w:val="es-ES"/>
        </w:rPr>
      </w:pPr>
      <w:bookmarkStart w:id="740" w:name="lt_pId1608"/>
      <w:r w:rsidRPr="00FE4D65">
        <w:rPr>
          <w:lang w:val="es-ES"/>
        </w:rPr>
        <w:t>Se organizaron eventos de la NOW4WRC23 con ocasión de las distintas reuniones preparatorias regionales, de los Talleres Interregionales de la UIT para la preparación de la CMR-23 y durante la CMR-23. Se celebró una sesión para delegadas en la CMR-23 con el fin de evaluar los logros, determinar las enseñanzas extraídas y recabar ideas para la iniciativa NOW4WRC27 ulterior. En su calidad de país anfitrión, los Emiratos Árabes Unidos organizaron una cena para el establecimiento de contactos en el marco de la NOW4WRC23 durante la Conferencia.</w:t>
      </w:r>
      <w:bookmarkStart w:id="741" w:name="lt_pId1609"/>
      <w:bookmarkStart w:id="742" w:name="lt_pId1610"/>
      <w:bookmarkEnd w:id="740"/>
      <w:bookmarkEnd w:id="741"/>
      <w:bookmarkEnd w:id="742"/>
    </w:p>
    <w:p w14:paraId="36C62C91" w14:textId="77777777" w:rsidR="00FE4D65" w:rsidRPr="00FE4D65" w:rsidRDefault="00FE4D65" w:rsidP="002B707C">
      <w:pPr>
        <w:keepNext/>
        <w:keepLines/>
        <w:rPr>
          <w:lang w:val="es-ES"/>
        </w:rPr>
      </w:pPr>
      <w:bookmarkStart w:id="743" w:name="lt_pId1611"/>
      <w:r w:rsidRPr="00FE4D65">
        <w:rPr>
          <w:lang w:val="es-ES"/>
        </w:rPr>
        <w:t>Durante la Reunión Preparatoria de la Conferencia 23-2 y el 2º Taller Interregional para la preparación de la CMR-23 se organizaron sesiones adicionales para el establecimiento de contactos en el marco de la NOW4WRC23, que suscitaron reacciones positivas. En estas sesiones se presentaron actividades regionales.</w:t>
      </w:r>
      <w:bookmarkStart w:id="744" w:name="lt_pId1612"/>
      <w:bookmarkEnd w:id="743"/>
      <w:bookmarkEnd w:id="744"/>
    </w:p>
    <w:p w14:paraId="6BA8863F" w14:textId="2B472919" w:rsidR="00FE4D65" w:rsidRPr="00FE4D65" w:rsidRDefault="00FE4D65" w:rsidP="00FE4D65">
      <w:pPr>
        <w:rPr>
          <w:lang w:val="es-ES"/>
        </w:rPr>
      </w:pPr>
      <w:bookmarkStart w:id="745" w:name="lt_pId1613"/>
      <w:r w:rsidRPr="00FE4D65">
        <w:rPr>
          <w:lang w:val="es-ES"/>
        </w:rPr>
        <w:t>La CEPT celebró una jornada de puertas abiertas en la RPC23-2 y la CMR-23.</w:t>
      </w:r>
      <w:bookmarkEnd w:id="745"/>
    </w:p>
    <w:p w14:paraId="3B331B58" w14:textId="64006BB6" w:rsidR="00FE4D65" w:rsidRPr="00FE4D65" w:rsidRDefault="00FE4D65" w:rsidP="00FE4D65">
      <w:pPr>
        <w:rPr>
          <w:lang w:val="es-ES"/>
        </w:rPr>
      </w:pPr>
      <w:bookmarkStart w:id="746" w:name="lt_pId1614"/>
      <w:r w:rsidRPr="00FE4D65">
        <w:rPr>
          <w:lang w:val="es-ES"/>
        </w:rPr>
        <w:t>Esta iniciativa de la CEPT en el marco de la CMR-23 permitió a las mujeres recién llegadas a la Conferencia conocer mejor las funciones de Presidencia y Secretaría, pudiendo participar de forma activa desde la tribuna en las reuniones de los grupos de trabajo (GT</w:t>
      </w:r>
      <w:r w:rsidR="002B707C">
        <w:rPr>
          <w:lang w:val="es-ES"/>
        </w:rPr>
        <w:t> </w:t>
      </w:r>
      <w:r w:rsidRPr="00FE4D65">
        <w:rPr>
          <w:lang w:val="es-ES"/>
        </w:rPr>
        <w:t>4B, dirigido por Sandra Wright), y favorecer una respuesta positiva al sentar las bases para el futuro liderazgo de mujeres en las actividades, reuniones y conferencias del UIT-R.</w:t>
      </w:r>
      <w:bookmarkEnd w:id="746"/>
    </w:p>
    <w:p w14:paraId="32ACCD92" w14:textId="77777777" w:rsidR="00FE4D65" w:rsidRPr="00FE4D65" w:rsidRDefault="00FE4D65" w:rsidP="00FE4D65">
      <w:pPr>
        <w:pStyle w:val="Heading4"/>
        <w:rPr>
          <w:lang w:val="es-ES"/>
        </w:rPr>
      </w:pPr>
      <w:r w:rsidRPr="0072711D">
        <w:rPr>
          <w:lang w:val="es-ES"/>
        </w:rPr>
        <w:t>8.7.2.2</w:t>
      </w:r>
      <w:r w:rsidRPr="00FE4D65">
        <w:rPr>
          <w:lang w:val="es-ES"/>
        </w:rPr>
        <w:tab/>
        <w:t>Programa de tutoría NOW4WRC23</w:t>
      </w:r>
    </w:p>
    <w:p w14:paraId="2A572246" w14:textId="77777777" w:rsidR="00FE4D65" w:rsidRPr="00FE4D65" w:rsidRDefault="00FE4D65" w:rsidP="00FE4D65">
      <w:pPr>
        <w:rPr>
          <w:lang w:val="es-ES"/>
        </w:rPr>
      </w:pPr>
      <w:bookmarkStart w:id="747" w:name="lt_pId1617"/>
      <w:r w:rsidRPr="00FE4D65">
        <w:rPr>
          <w:lang w:val="es-ES"/>
        </w:rPr>
        <w:t>El programa de tutoría es fundamental para ayudar a las alumnas, especialmente a las que participan por primera vez en la CMR, a comprender los procesos, los puntos del orden del día y los desafíos de la CMR.</w:t>
      </w:r>
      <w:bookmarkEnd w:id="747"/>
      <w:r w:rsidRPr="00FE4D65">
        <w:rPr>
          <w:lang w:val="es-ES"/>
        </w:rPr>
        <w:t xml:space="preserve"> </w:t>
      </w:r>
      <w:bookmarkStart w:id="748" w:name="lt_pId1618"/>
      <w:r w:rsidRPr="00FE4D65">
        <w:rPr>
          <w:lang w:val="es-ES"/>
        </w:rPr>
        <w:t>La escasez de tutoras ha constituido un problema importante, ya que sólo se logró asignar una mentora a 54 de las 93 alumnas que solicitaron tutoría, con diferentes niveles de éxito entre los binomios.</w:t>
      </w:r>
      <w:bookmarkEnd w:id="748"/>
      <w:r w:rsidRPr="00FE4D65">
        <w:rPr>
          <w:lang w:val="es-ES"/>
        </w:rPr>
        <w:t xml:space="preserve"> </w:t>
      </w:r>
      <w:bookmarkStart w:id="749" w:name="lt_pId1619"/>
      <w:r w:rsidRPr="00FE4D65">
        <w:rPr>
          <w:lang w:val="es-ES"/>
        </w:rPr>
        <w:t>La BR ha pedido a las organizaciones regionales que nombren a las Copresidentas de la NOW4WRC27 y tiene previsto reanudar el programa de tutoría durante el SMR-24 (2-6 de diciembre de 2024).</w:t>
      </w:r>
      <w:bookmarkEnd w:id="749"/>
    </w:p>
    <w:p w14:paraId="44113131" w14:textId="77777777" w:rsidR="00FE4D65" w:rsidRPr="001B3AA3" w:rsidRDefault="00FE4D65" w:rsidP="00411C49">
      <w:pPr>
        <w:pStyle w:val="Reasons"/>
        <w:rPr>
          <w:lang w:val="es-ES"/>
        </w:rPr>
      </w:pPr>
    </w:p>
    <w:p w14:paraId="6298ED41" w14:textId="77777777" w:rsidR="00FE4D65" w:rsidRDefault="00FE4D65">
      <w:pPr>
        <w:jc w:val="center"/>
      </w:pPr>
      <w:r>
        <w:t>______________</w:t>
      </w:r>
    </w:p>
    <w:sectPr w:rsidR="00FE4D65" w:rsidSect="004D6C09">
      <w:headerReference w:type="default" r:id="rId110"/>
      <w:footerReference w:type="default" r:id="rId111"/>
      <w:headerReference w:type="first" r:id="rId112"/>
      <w:footerReference w:type="first" r:id="rId1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0DF0" w14:textId="77777777" w:rsidR="00487485" w:rsidRDefault="00487485">
      <w:r>
        <w:separator/>
      </w:r>
    </w:p>
  </w:endnote>
  <w:endnote w:type="continuationSeparator" w:id="0">
    <w:p w14:paraId="06EEEC81" w14:textId="77777777" w:rsidR="00487485" w:rsidRDefault="0048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A6D0" w14:textId="018B3C07" w:rsidR="00FE4D65" w:rsidRPr="00586BA6" w:rsidRDefault="00586BA6" w:rsidP="00586BA6">
    <w:pPr>
      <w:pStyle w:val="Footer"/>
    </w:pPr>
    <w:r>
      <w:fldChar w:fldCharType="begin"/>
    </w:r>
    <w:r>
      <w:instrText xml:space="preserve"> FILENAME \p  \* MERGEFORMAT </w:instrText>
    </w:r>
    <w:r>
      <w:fldChar w:fldCharType="separate"/>
    </w:r>
    <w:r>
      <w:t>P:\ESP\ITU-R\AG\RAG\RAG24\000\001REV1S.docx</w:t>
    </w:r>
    <w:r>
      <w:fldChar w:fldCharType="end"/>
    </w:r>
    <w:r>
      <w:t xml:space="preserve"> (534454)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D22B" w14:textId="2246F3D5" w:rsidR="00FE4D65" w:rsidRDefault="00586BA6" w:rsidP="00586BA6">
    <w:pPr>
      <w:pStyle w:val="Footer"/>
    </w:pPr>
    <w:fldSimple w:instr=" FILENAME \p  \* MERGEFORMAT ">
      <w:r>
        <w:t>P:\ESP\ITU-R\AG\RAG\RAG24\000\001REV1S.docx</w:t>
      </w:r>
    </w:fldSimple>
    <w:r>
      <w:t xml:space="preserve"> (</w:t>
    </w:r>
    <w:r>
      <w:t>534454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4BD0" w14:textId="108CA572" w:rsidR="00FE4D65" w:rsidRPr="00586BA6" w:rsidRDefault="00586BA6" w:rsidP="00586BA6">
    <w:pPr>
      <w:pStyle w:val="Footer"/>
    </w:pPr>
    <w:r>
      <w:fldChar w:fldCharType="begin"/>
    </w:r>
    <w:r>
      <w:instrText xml:space="preserve"> FILENAME \p  \* MERGEFORMAT </w:instrText>
    </w:r>
    <w:r>
      <w:fldChar w:fldCharType="separate"/>
    </w:r>
    <w:r>
      <w:t>P:\ESP\ITU-R\AG\RAG\RAG24\000\001REV1S.docx</w:t>
    </w:r>
    <w:r>
      <w:fldChar w:fldCharType="end"/>
    </w:r>
    <w:r>
      <w:t xml:space="preserve"> (534454)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FE4D65" w14:paraId="5E8EA74A" w14:textId="77777777">
      <w:trPr>
        <w:trHeight w:val="300"/>
      </w:trPr>
      <w:tc>
        <w:tcPr>
          <w:tcW w:w="4855" w:type="dxa"/>
        </w:tcPr>
        <w:p w14:paraId="32E6C26F" w14:textId="77777777" w:rsidR="00FE4D65" w:rsidRDefault="00FE4D65">
          <w:pPr>
            <w:ind w:left="-115"/>
          </w:pPr>
        </w:p>
      </w:tc>
      <w:tc>
        <w:tcPr>
          <w:tcW w:w="4855" w:type="dxa"/>
        </w:tcPr>
        <w:p w14:paraId="59BDFAA8" w14:textId="77777777" w:rsidR="00FE4D65" w:rsidRDefault="00FE4D65">
          <w:pPr>
            <w:jc w:val="center"/>
          </w:pPr>
        </w:p>
      </w:tc>
      <w:tc>
        <w:tcPr>
          <w:tcW w:w="4855" w:type="dxa"/>
        </w:tcPr>
        <w:p w14:paraId="6845F32B" w14:textId="77777777" w:rsidR="00FE4D65" w:rsidRDefault="00FE4D65">
          <w:pPr>
            <w:ind w:right="-115"/>
            <w:jc w:val="right"/>
          </w:pPr>
        </w:p>
      </w:tc>
    </w:tr>
  </w:tbl>
  <w:p w14:paraId="21B4A697" w14:textId="77777777" w:rsidR="00FE4D65" w:rsidRDefault="00FE4D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E441" w14:textId="7EE78472" w:rsidR="00616601" w:rsidRPr="00586BA6" w:rsidRDefault="00586BA6" w:rsidP="00586BA6">
    <w:pPr>
      <w:pStyle w:val="Footer"/>
    </w:pPr>
    <w:r>
      <w:fldChar w:fldCharType="begin"/>
    </w:r>
    <w:r>
      <w:instrText xml:space="preserve"> FILENAME \p  \* MERGEFORMAT </w:instrText>
    </w:r>
    <w:r>
      <w:fldChar w:fldCharType="separate"/>
    </w:r>
    <w:r>
      <w:t>P:\ESP\ITU-R\AG\RAG\RAG24\000\001REV1S.docx</w:t>
    </w:r>
    <w:r>
      <w:fldChar w:fldCharType="end"/>
    </w:r>
    <w:r>
      <w:t xml:space="preserve"> (534454)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3408" w14:textId="4F91CA7B" w:rsidR="00616601" w:rsidRPr="00586BA6" w:rsidRDefault="00586BA6" w:rsidP="00586BA6">
    <w:pPr>
      <w:pStyle w:val="Footer"/>
    </w:pPr>
    <w:r>
      <w:fldChar w:fldCharType="begin"/>
    </w:r>
    <w:r>
      <w:instrText xml:space="preserve"> FILENAME \p  \* MERGEFORMAT </w:instrText>
    </w:r>
    <w:r>
      <w:fldChar w:fldCharType="separate"/>
    </w:r>
    <w:r>
      <w:t>P:\ESP\ITU-R\AG\RAG\RAG24\000\001REV1S.docx</w:t>
    </w:r>
    <w:r>
      <w:fldChar w:fldCharType="end"/>
    </w:r>
    <w:r>
      <w:t xml:space="preserve"> (534454)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7CF3" w14:textId="77777777" w:rsidR="00487485" w:rsidRDefault="00487485">
      <w:r>
        <w:t>____________________</w:t>
      </w:r>
    </w:p>
  </w:footnote>
  <w:footnote w:type="continuationSeparator" w:id="0">
    <w:p w14:paraId="147CE847" w14:textId="77777777" w:rsidR="00487485" w:rsidRDefault="0048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26067"/>
      <w:docPartObj>
        <w:docPartGallery w:val="Page Numbers (Top of Page)"/>
        <w:docPartUnique/>
      </w:docPartObj>
    </w:sdtPr>
    <w:sdtEndPr>
      <w:rPr>
        <w:noProof/>
      </w:rPr>
    </w:sdtEndPr>
    <w:sdtContent>
      <w:sdt>
        <w:sdtPr>
          <w:id w:val="1710987579"/>
          <w:docPartObj>
            <w:docPartGallery w:val="Page Numbers (Top of Page)"/>
            <w:docPartUnique/>
          </w:docPartObj>
        </w:sdtPr>
        <w:sdtEndPr>
          <w:rPr>
            <w:noProof/>
          </w:rPr>
        </w:sdtEndPr>
        <w:sdtContent>
          <w:p w14:paraId="654FD152" w14:textId="77777777" w:rsidR="00586BA6" w:rsidRDefault="00586BA6" w:rsidP="00586BA6">
            <w:pPr>
              <w:pStyle w:val="Header"/>
            </w:pPr>
            <w:r>
              <w:fldChar w:fldCharType="begin"/>
            </w:r>
            <w:r>
              <w:instrText xml:space="preserve"> PAGE   \* MERGEFORMAT </w:instrText>
            </w:r>
            <w:r>
              <w:fldChar w:fldCharType="separate"/>
            </w:r>
            <w:r>
              <w:t>39</w:t>
            </w:r>
            <w:r>
              <w:rPr>
                <w:noProof/>
              </w:rPr>
              <w:fldChar w:fldCharType="end"/>
            </w:r>
          </w:p>
          <w:p w14:paraId="1E897A2D" w14:textId="18146F48" w:rsidR="00FE4D65" w:rsidRPr="00586BA6" w:rsidRDefault="00586BA6" w:rsidP="00586BA6">
            <w:pPr>
              <w:pStyle w:val="Header"/>
              <w:rPr>
                <w:noProof/>
              </w:rPr>
            </w:pPr>
            <w:r>
              <w:rPr>
                <w:lang w:val="es-ES"/>
              </w:rPr>
              <w:t>RAG/1(Rev.1)-S</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129761"/>
      <w:docPartObj>
        <w:docPartGallery w:val="Page Numbers (Top of Page)"/>
        <w:docPartUnique/>
      </w:docPartObj>
    </w:sdtPr>
    <w:sdtEndPr>
      <w:rPr>
        <w:noProof/>
      </w:rPr>
    </w:sdtEndPr>
    <w:sdtContent>
      <w:sdt>
        <w:sdtPr>
          <w:id w:val="1972247695"/>
          <w:docPartObj>
            <w:docPartGallery w:val="Page Numbers (Top of Page)"/>
            <w:docPartUnique/>
          </w:docPartObj>
        </w:sdtPr>
        <w:sdtEndPr>
          <w:rPr>
            <w:noProof/>
          </w:rPr>
        </w:sdtEndPr>
        <w:sdtContent>
          <w:p w14:paraId="6C6272DD" w14:textId="77777777" w:rsidR="00586BA6" w:rsidRDefault="00586BA6" w:rsidP="00586BA6">
            <w:pPr>
              <w:pStyle w:val="Header"/>
            </w:pPr>
            <w:r>
              <w:fldChar w:fldCharType="begin"/>
            </w:r>
            <w:r>
              <w:instrText xml:space="preserve"> PAGE   \* MERGEFORMAT </w:instrText>
            </w:r>
            <w:r>
              <w:fldChar w:fldCharType="separate"/>
            </w:r>
            <w:r>
              <w:t>39</w:t>
            </w:r>
            <w:r>
              <w:rPr>
                <w:noProof/>
              </w:rPr>
              <w:fldChar w:fldCharType="end"/>
            </w:r>
          </w:p>
          <w:p w14:paraId="5A9FFA9D" w14:textId="272927FC" w:rsidR="00FE4D65" w:rsidRPr="00586BA6" w:rsidRDefault="00586BA6" w:rsidP="007B7BFD">
            <w:pPr>
              <w:pStyle w:val="Header"/>
              <w:spacing w:after="120"/>
              <w:rPr>
                <w:noProof/>
              </w:rPr>
            </w:pPr>
            <w:r>
              <w:rPr>
                <w:lang w:val="es-ES"/>
              </w:rPr>
              <w:t>RAG/1(Rev.1)-S</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FE4D65" w14:paraId="1290E7E5" w14:textId="77777777">
      <w:trPr>
        <w:trHeight w:val="300"/>
      </w:trPr>
      <w:tc>
        <w:tcPr>
          <w:tcW w:w="4855" w:type="dxa"/>
        </w:tcPr>
        <w:p w14:paraId="0BFFBE17" w14:textId="77777777" w:rsidR="00FE4D65" w:rsidRDefault="00FE4D65">
          <w:pPr>
            <w:ind w:left="-115"/>
          </w:pPr>
        </w:p>
      </w:tc>
      <w:tc>
        <w:tcPr>
          <w:tcW w:w="4855" w:type="dxa"/>
        </w:tcPr>
        <w:p w14:paraId="6D2C2D67" w14:textId="77777777" w:rsidR="00FE4D65" w:rsidRDefault="00FE4D65">
          <w:pPr>
            <w:jc w:val="center"/>
          </w:pPr>
        </w:p>
      </w:tc>
      <w:tc>
        <w:tcPr>
          <w:tcW w:w="4855" w:type="dxa"/>
        </w:tcPr>
        <w:p w14:paraId="52D6B956" w14:textId="77777777" w:rsidR="00FE4D65" w:rsidRDefault="00FE4D65">
          <w:pPr>
            <w:ind w:right="-115"/>
            <w:jc w:val="right"/>
          </w:pPr>
        </w:p>
      </w:tc>
    </w:tr>
  </w:tbl>
  <w:p w14:paraId="5C1CF2E3" w14:textId="77777777" w:rsidR="00FE4D65" w:rsidRDefault="00FE4D6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176290"/>
      <w:docPartObj>
        <w:docPartGallery w:val="Page Numbers (Top of Page)"/>
        <w:docPartUnique/>
      </w:docPartObj>
    </w:sdtPr>
    <w:sdtEndPr>
      <w:rPr>
        <w:noProof/>
      </w:rPr>
    </w:sdtEndPr>
    <w:sdtContent>
      <w:sdt>
        <w:sdtPr>
          <w:id w:val="333039645"/>
          <w:docPartObj>
            <w:docPartGallery w:val="Page Numbers (Top of Page)"/>
            <w:docPartUnique/>
          </w:docPartObj>
        </w:sdtPr>
        <w:sdtEndPr>
          <w:rPr>
            <w:noProof/>
          </w:rPr>
        </w:sdtEndPr>
        <w:sdtContent>
          <w:p w14:paraId="367A33B0" w14:textId="77777777" w:rsidR="00936ED8" w:rsidRDefault="00936ED8" w:rsidP="00936ED8">
            <w:pPr>
              <w:pStyle w:val="Header"/>
            </w:pPr>
            <w:r>
              <w:fldChar w:fldCharType="begin"/>
            </w:r>
            <w:r>
              <w:instrText xml:space="preserve"> PAGE   \* MERGEFORMAT </w:instrText>
            </w:r>
            <w:r>
              <w:fldChar w:fldCharType="separate"/>
            </w:r>
            <w:r>
              <w:t>39</w:t>
            </w:r>
            <w:r>
              <w:rPr>
                <w:noProof/>
              </w:rPr>
              <w:fldChar w:fldCharType="end"/>
            </w:r>
          </w:p>
          <w:p w14:paraId="2851E35C" w14:textId="51CA8E62" w:rsidR="00616601" w:rsidRPr="00936ED8" w:rsidRDefault="00936ED8" w:rsidP="00936ED8">
            <w:pPr>
              <w:pStyle w:val="Header"/>
              <w:rPr>
                <w:noProof/>
              </w:rPr>
            </w:pPr>
            <w:r>
              <w:rPr>
                <w:lang w:val="es-ES"/>
              </w:rPr>
              <w:t>RAG/1(Rev.1)-S</w:t>
            </w:r>
          </w:p>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660478"/>
      <w:docPartObj>
        <w:docPartGallery w:val="Page Numbers (Top of Page)"/>
        <w:docPartUnique/>
      </w:docPartObj>
    </w:sdtPr>
    <w:sdtEndPr>
      <w:rPr>
        <w:noProof/>
      </w:rPr>
    </w:sdtEndPr>
    <w:sdtContent>
      <w:sdt>
        <w:sdtPr>
          <w:id w:val="1460989188"/>
          <w:docPartObj>
            <w:docPartGallery w:val="Page Numbers (Top of Page)"/>
            <w:docPartUnique/>
          </w:docPartObj>
        </w:sdtPr>
        <w:sdtEndPr>
          <w:rPr>
            <w:noProof/>
          </w:rPr>
        </w:sdtEndPr>
        <w:sdtContent>
          <w:p w14:paraId="0707EB5B" w14:textId="77777777" w:rsidR="00824C17" w:rsidRDefault="00824C17" w:rsidP="00824C17">
            <w:pPr>
              <w:pStyle w:val="Header"/>
            </w:pPr>
            <w:r>
              <w:fldChar w:fldCharType="begin"/>
            </w:r>
            <w:r>
              <w:instrText xml:space="preserve"> PAGE   \* MERGEFORMAT </w:instrText>
            </w:r>
            <w:r>
              <w:fldChar w:fldCharType="separate"/>
            </w:r>
            <w:r>
              <w:t>39</w:t>
            </w:r>
            <w:r>
              <w:rPr>
                <w:noProof/>
              </w:rPr>
              <w:fldChar w:fldCharType="end"/>
            </w:r>
          </w:p>
          <w:p w14:paraId="5A2D0B72" w14:textId="6DBBD272" w:rsidR="00824C17" w:rsidRDefault="00824C17" w:rsidP="00824C17">
            <w:pPr>
              <w:pStyle w:val="Header"/>
              <w:rPr>
                <w:noProof/>
              </w:rPr>
            </w:pPr>
            <w:r>
              <w:rPr>
                <w:lang w:val="es-ES"/>
              </w:rPr>
              <w:t>RAG/1</w:t>
            </w:r>
            <w:r w:rsidR="00586BA6">
              <w:rPr>
                <w:lang w:val="es-ES"/>
              </w:rPr>
              <w:t>(Rev.1)</w:t>
            </w:r>
            <w:r>
              <w:rPr>
                <w:lang w:val="es-ES"/>
              </w:rPr>
              <w:t>-S</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60F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6E7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B02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24C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665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A4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A83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64C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4EC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BC8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B31A5"/>
    <w:multiLevelType w:val="hybridMultilevel"/>
    <w:tmpl w:val="97869984"/>
    <w:lvl w:ilvl="0" w:tplc="56C8B6F2">
      <w:start w:val="1"/>
      <w:numFmt w:val="bullet"/>
      <w:lvlText w:val=""/>
      <w:lvlJc w:val="left"/>
      <w:pPr>
        <w:ind w:left="720" w:hanging="360"/>
      </w:pPr>
      <w:rPr>
        <w:rFonts w:ascii="Symbol" w:hAnsi="Symbol" w:hint="default"/>
      </w:rPr>
    </w:lvl>
    <w:lvl w:ilvl="1" w:tplc="D710FB6A">
      <w:start w:val="1"/>
      <w:numFmt w:val="bullet"/>
      <w:lvlText w:val="o"/>
      <w:lvlJc w:val="left"/>
      <w:pPr>
        <w:ind w:left="1440" w:hanging="360"/>
      </w:pPr>
      <w:rPr>
        <w:rFonts w:ascii="Courier New" w:hAnsi="Courier New" w:cs="Courier New" w:hint="default"/>
      </w:rPr>
    </w:lvl>
    <w:lvl w:ilvl="2" w:tplc="C74EB4E4" w:tentative="1">
      <w:start w:val="1"/>
      <w:numFmt w:val="bullet"/>
      <w:lvlText w:val=""/>
      <w:lvlJc w:val="left"/>
      <w:pPr>
        <w:ind w:left="2160" w:hanging="360"/>
      </w:pPr>
      <w:rPr>
        <w:rFonts w:ascii="Wingdings" w:hAnsi="Wingdings" w:hint="default"/>
      </w:rPr>
    </w:lvl>
    <w:lvl w:ilvl="3" w:tplc="25CA0652" w:tentative="1">
      <w:start w:val="1"/>
      <w:numFmt w:val="bullet"/>
      <w:lvlText w:val=""/>
      <w:lvlJc w:val="left"/>
      <w:pPr>
        <w:ind w:left="2880" w:hanging="360"/>
      </w:pPr>
      <w:rPr>
        <w:rFonts w:ascii="Symbol" w:hAnsi="Symbol" w:hint="default"/>
      </w:rPr>
    </w:lvl>
    <w:lvl w:ilvl="4" w:tplc="C25855EA" w:tentative="1">
      <w:start w:val="1"/>
      <w:numFmt w:val="bullet"/>
      <w:lvlText w:val="o"/>
      <w:lvlJc w:val="left"/>
      <w:pPr>
        <w:ind w:left="3600" w:hanging="360"/>
      </w:pPr>
      <w:rPr>
        <w:rFonts w:ascii="Courier New" w:hAnsi="Courier New" w:cs="Courier New" w:hint="default"/>
      </w:rPr>
    </w:lvl>
    <w:lvl w:ilvl="5" w:tplc="82B83C90" w:tentative="1">
      <w:start w:val="1"/>
      <w:numFmt w:val="bullet"/>
      <w:lvlText w:val=""/>
      <w:lvlJc w:val="left"/>
      <w:pPr>
        <w:ind w:left="4320" w:hanging="360"/>
      </w:pPr>
      <w:rPr>
        <w:rFonts w:ascii="Wingdings" w:hAnsi="Wingdings" w:hint="default"/>
      </w:rPr>
    </w:lvl>
    <w:lvl w:ilvl="6" w:tplc="BAB2E478" w:tentative="1">
      <w:start w:val="1"/>
      <w:numFmt w:val="bullet"/>
      <w:lvlText w:val=""/>
      <w:lvlJc w:val="left"/>
      <w:pPr>
        <w:ind w:left="5040" w:hanging="360"/>
      </w:pPr>
      <w:rPr>
        <w:rFonts w:ascii="Symbol" w:hAnsi="Symbol" w:hint="default"/>
      </w:rPr>
    </w:lvl>
    <w:lvl w:ilvl="7" w:tplc="7EBA3A58" w:tentative="1">
      <w:start w:val="1"/>
      <w:numFmt w:val="bullet"/>
      <w:lvlText w:val="o"/>
      <w:lvlJc w:val="left"/>
      <w:pPr>
        <w:ind w:left="5760" w:hanging="360"/>
      </w:pPr>
      <w:rPr>
        <w:rFonts w:ascii="Courier New" w:hAnsi="Courier New" w:cs="Courier New" w:hint="default"/>
      </w:rPr>
    </w:lvl>
    <w:lvl w:ilvl="8" w:tplc="CD8629C2" w:tentative="1">
      <w:start w:val="1"/>
      <w:numFmt w:val="bullet"/>
      <w:lvlText w:val=""/>
      <w:lvlJc w:val="left"/>
      <w:pPr>
        <w:ind w:left="6480" w:hanging="360"/>
      </w:pPr>
      <w:rPr>
        <w:rFonts w:ascii="Wingdings" w:hAnsi="Wingdings" w:hint="default"/>
      </w:rPr>
    </w:lvl>
  </w:abstractNum>
  <w:abstractNum w:abstractNumId="11" w15:restartNumberingAfterBreak="0">
    <w:nsid w:val="0C6B0AD1"/>
    <w:multiLevelType w:val="hybridMultilevel"/>
    <w:tmpl w:val="83D4CA30"/>
    <w:lvl w:ilvl="0" w:tplc="D690F1C0">
      <w:start w:val="1"/>
      <w:numFmt w:val="bullet"/>
      <w:lvlText w:val=""/>
      <w:lvlJc w:val="left"/>
      <w:pPr>
        <w:ind w:left="720" w:hanging="360"/>
      </w:pPr>
      <w:rPr>
        <w:rFonts w:ascii="Symbol" w:hAnsi="Symbol" w:hint="default"/>
      </w:rPr>
    </w:lvl>
    <w:lvl w:ilvl="1" w:tplc="EA729FD0">
      <w:start w:val="1"/>
      <w:numFmt w:val="bullet"/>
      <w:lvlText w:val="o"/>
      <w:lvlJc w:val="left"/>
      <w:pPr>
        <w:ind w:left="1440" w:hanging="360"/>
      </w:pPr>
      <w:rPr>
        <w:rFonts w:ascii="Courier New" w:hAnsi="Courier New" w:hint="default"/>
      </w:rPr>
    </w:lvl>
    <w:lvl w:ilvl="2" w:tplc="8E66565A">
      <w:start w:val="1"/>
      <w:numFmt w:val="bullet"/>
      <w:lvlText w:val=""/>
      <w:lvlJc w:val="left"/>
      <w:pPr>
        <w:ind w:left="2160" w:hanging="360"/>
      </w:pPr>
      <w:rPr>
        <w:rFonts w:ascii="Wingdings" w:hAnsi="Wingdings" w:hint="default"/>
      </w:rPr>
    </w:lvl>
    <w:lvl w:ilvl="3" w:tplc="52A84868">
      <w:start w:val="1"/>
      <w:numFmt w:val="bullet"/>
      <w:lvlText w:val=""/>
      <w:lvlJc w:val="left"/>
      <w:pPr>
        <w:ind w:left="2880" w:hanging="360"/>
      </w:pPr>
      <w:rPr>
        <w:rFonts w:ascii="Symbol" w:hAnsi="Symbol" w:hint="default"/>
      </w:rPr>
    </w:lvl>
    <w:lvl w:ilvl="4" w:tplc="28329186">
      <w:start w:val="1"/>
      <w:numFmt w:val="bullet"/>
      <w:lvlText w:val="o"/>
      <w:lvlJc w:val="left"/>
      <w:pPr>
        <w:ind w:left="3600" w:hanging="360"/>
      </w:pPr>
      <w:rPr>
        <w:rFonts w:ascii="Courier New" w:hAnsi="Courier New" w:hint="default"/>
      </w:rPr>
    </w:lvl>
    <w:lvl w:ilvl="5" w:tplc="2BF8279E">
      <w:start w:val="1"/>
      <w:numFmt w:val="bullet"/>
      <w:lvlText w:val=""/>
      <w:lvlJc w:val="left"/>
      <w:pPr>
        <w:ind w:left="4320" w:hanging="360"/>
      </w:pPr>
      <w:rPr>
        <w:rFonts w:ascii="Wingdings" w:hAnsi="Wingdings" w:hint="default"/>
      </w:rPr>
    </w:lvl>
    <w:lvl w:ilvl="6" w:tplc="5F6AF15C">
      <w:start w:val="1"/>
      <w:numFmt w:val="bullet"/>
      <w:lvlText w:val=""/>
      <w:lvlJc w:val="left"/>
      <w:pPr>
        <w:ind w:left="5040" w:hanging="360"/>
      </w:pPr>
      <w:rPr>
        <w:rFonts w:ascii="Symbol" w:hAnsi="Symbol" w:hint="default"/>
      </w:rPr>
    </w:lvl>
    <w:lvl w:ilvl="7" w:tplc="F0464112">
      <w:start w:val="1"/>
      <w:numFmt w:val="bullet"/>
      <w:lvlText w:val="o"/>
      <w:lvlJc w:val="left"/>
      <w:pPr>
        <w:ind w:left="5760" w:hanging="360"/>
      </w:pPr>
      <w:rPr>
        <w:rFonts w:ascii="Courier New" w:hAnsi="Courier New" w:hint="default"/>
      </w:rPr>
    </w:lvl>
    <w:lvl w:ilvl="8" w:tplc="AC0CEA68">
      <w:start w:val="1"/>
      <w:numFmt w:val="bullet"/>
      <w:lvlText w:val=""/>
      <w:lvlJc w:val="left"/>
      <w:pPr>
        <w:ind w:left="6480" w:hanging="360"/>
      </w:pPr>
      <w:rPr>
        <w:rFonts w:ascii="Wingdings" w:hAnsi="Wingdings" w:hint="default"/>
      </w:rPr>
    </w:lvl>
  </w:abstractNum>
  <w:abstractNum w:abstractNumId="12" w15:restartNumberingAfterBreak="0">
    <w:nsid w:val="288821BF"/>
    <w:multiLevelType w:val="hybridMultilevel"/>
    <w:tmpl w:val="9BEC2C9A"/>
    <w:lvl w:ilvl="0" w:tplc="9C6C62EA">
      <w:start w:val="1"/>
      <w:numFmt w:val="bullet"/>
      <w:lvlText w:val=""/>
      <w:lvlJc w:val="left"/>
      <w:pPr>
        <w:ind w:left="720" w:hanging="360"/>
      </w:pPr>
      <w:rPr>
        <w:rFonts w:ascii="Symbol" w:hAnsi="Symbol" w:hint="default"/>
      </w:rPr>
    </w:lvl>
    <w:lvl w:ilvl="1" w:tplc="26169A5A">
      <w:start w:val="1"/>
      <w:numFmt w:val="bullet"/>
      <w:lvlText w:val="o"/>
      <w:lvlJc w:val="left"/>
      <w:pPr>
        <w:ind w:left="1440" w:hanging="360"/>
      </w:pPr>
      <w:rPr>
        <w:rFonts w:ascii="Courier New" w:hAnsi="Courier New" w:cs="Courier New" w:hint="default"/>
      </w:rPr>
    </w:lvl>
    <w:lvl w:ilvl="2" w:tplc="183AE690">
      <w:start w:val="1"/>
      <w:numFmt w:val="bullet"/>
      <w:lvlText w:val=""/>
      <w:lvlJc w:val="left"/>
      <w:pPr>
        <w:ind w:left="2160" w:hanging="360"/>
      </w:pPr>
      <w:rPr>
        <w:rFonts w:ascii="Wingdings" w:hAnsi="Wingdings" w:hint="default"/>
      </w:rPr>
    </w:lvl>
    <w:lvl w:ilvl="3" w:tplc="CF660204">
      <w:start w:val="1"/>
      <w:numFmt w:val="bullet"/>
      <w:lvlText w:val=""/>
      <w:lvlJc w:val="left"/>
      <w:pPr>
        <w:ind w:left="2880" w:hanging="360"/>
      </w:pPr>
      <w:rPr>
        <w:rFonts w:ascii="Symbol" w:hAnsi="Symbol" w:hint="default"/>
      </w:rPr>
    </w:lvl>
    <w:lvl w:ilvl="4" w:tplc="C598E5A0">
      <w:start w:val="1"/>
      <w:numFmt w:val="bullet"/>
      <w:lvlText w:val="o"/>
      <w:lvlJc w:val="left"/>
      <w:pPr>
        <w:ind w:left="3600" w:hanging="360"/>
      </w:pPr>
      <w:rPr>
        <w:rFonts w:ascii="Courier New" w:hAnsi="Courier New" w:cs="Courier New" w:hint="default"/>
      </w:rPr>
    </w:lvl>
    <w:lvl w:ilvl="5" w:tplc="ADEEEE10">
      <w:start w:val="1"/>
      <w:numFmt w:val="bullet"/>
      <w:lvlText w:val=""/>
      <w:lvlJc w:val="left"/>
      <w:pPr>
        <w:ind w:left="4320" w:hanging="360"/>
      </w:pPr>
      <w:rPr>
        <w:rFonts w:ascii="Wingdings" w:hAnsi="Wingdings" w:hint="default"/>
      </w:rPr>
    </w:lvl>
    <w:lvl w:ilvl="6" w:tplc="A09ADA64">
      <w:start w:val="1"/>
      <w:numFmt w:val="bullet"/>
      <w:lvlText w:val=""/>
      <w:lvlJc w:val="left"/>
      <w:pPr>
        <w:ind w:left="5040" w:hanging="360"/>
      </w:pPr>
      <w:rPr>
        <w:rFonts w:ascii="Symbol" w:hAnsi="Symbol" w:hint="default"/>
      </w:rPr>
    </w:lvl>
    <w:lvl w:ilvl="7" w:tplc="A81A5F38">
      <w:start w:val="1"/>
      <w:numFmt w:val="bullet"/>
      <w:lvlText w:val="o"/>
      <w:lvlJc w:val="left"/>
      <w:pPr>
        <w:ind w:left="5760" w:hanging="360"/>
      </w:pPr>
      <w:rPr>
        <w:rFonts w:ascii="Courier New" w:hAnsi="Courier New" w:cs="Courier New" w:hint="default"/>
      </w:rPr>
    </w:lvl>
    <w:lvl w:ilvl="8" w:tplc="5CB4EB16">
      <w:start w:val="1"/>
      <w:numFmt w:val="bullet"/>
      <w:lvlText w:val=""/>
      <w:lvlJc w:val="left"/>
      <w:pPr>
        <w:ind w:left="6480" w:hanging="360"/>
      </w:pPr>
      <w:rPr>
        <w:rFonts w:ascii="Wingdings" w:hAnsi="Wingdings" w:hint="default"/>
      </w:rPr>
    </w:lvl>
  </w:abstractNum>
  <w:abstractNum w:abstractNumId="13"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D771D"/>
    <w:multiLevelType w:val="hybridMultilevel"/>
    <w:tmpl w:val="DBBC43AC"/>
    <w:lvl w:ilvl="0" w:tplc="32042FC0">
      <w:start w:val="1"/>
      <w:numFmt w:val="bullet"/>
      <w:lvlText w:val=""/>
      <w:lvlJc w:val="left"/>
      <w:pPr>
        <w:ind w:left="720" w:hanging="360"/>
      </w:pPr>
      <w:rPr>
        <w:rFonts w:ascii="Symbol" w:hAnsi="Symbol" w:hint="default"/>
      </w:rPr>
    </w:lvl>
    <w:lvl w:ilvl="1" w:tplc="441E8A60">
      <w:start w:val="1"/>
      <w:numFmt w:val="bullet"/>
      <w:lvlText w:val="o"/>
      <w:lvlJc w:val="left"/>
      <w:pPr>
        <w:ind w:left="1440" w:hanging="360"/>
      </w:pPr>
      <w:rPr>
        <w:rFonts w:ascii="Courier New" w:hAnsi="Courier New" w:cs="Courier New" w:hint="default"/>
      </w:rPr>
    </w:lvl>
    <w:lvl w:ilvl="2" w:tplc="0018FD4E">
      <w:start w:val="1"/>
      <w:numFmt w:val="bullet"/>
      <w:lvlText w:val=""/>
      <w:lvlJc w:val="left"/>
      <w:pPr>
        <w:ind w:left="2160" w:hanging="360"/>
      </w:pPr>
      <w:rPr>
        <w:rFonts w:ascii="Wingdings" w:hAnsi="Wingdings" w:hint="default"/>
      </w:rPr>
    </w:lvl>
    <w:lvl w:ilvl="3" w:tplc="340E53F6">
      <w:start w:val="1"/>
      <w:numFmt w:val="bullet"/>
      <w:lvlText w:val=""/>
      <w:lvlJc w:val="left"/>
      <w:pPr>
        <w:ind w:left="2880" w:hanging="360"/>
      </w:pPr>
      <w:rPr>
        <w:rFonts w:ascii="Symbol" w:hAnsi="Symbol" w:hint="default"/>
      </w:rPr>
    </w:lvl>
    <w:lvl w:ilvl="4" w:tplc="9758B214">
      <w:start w:val="1"/>
      <w:numFmt w:val="bullet"/>
      <w:lvlText w:val="o"/>
      <w:lvlJc w:val="left"/>
      <w:pPr>
        <w:ind w:left="3600" w:hanging="360"/>
      </w:pPr>
      <w:rPr>
        <w:rFonts w:ascii="Courier New" w:hAnsi="Courier New" w:cs="Courier New" w:hint="default"/>
      </w:rPr>
    </w:lvl>
    <w:lvl w:ilvl="5" w:tplc="574C6604">
      <w:start w:val="1"/>
      <w:numFmt w:val="bullet"/>
      <w:lvlText w:val=""/>
      <w:lvlJc w:val="left"/>
      <w:pPr>
        <w:ind w:left="4320" w:hanging="360"/>
      </w:pPr>
      <w:rPr>
        <w:rFonts w:ascii="Wingdings" w:hAnsi="Wingdings" w:hint="default"/>
      </w:rPr>
    </w:lvl>
    <w:lvl w:ilvl="6" w:tplc="0D78266C">
      <w:start w:val="1"/>
      <w:numFmt w:val="bullet"/>
      <w:lvlText w:val=""/>
      <w:lvlJc w:val="left"/>
      <w:pPr>
        <w:ind w:left="5040" w:hanging="360"/>
      </w:pPr>
      <w:rPr>
        <w:rFonts w:ascii="Symbol" w:hAnsi="Symbol" w:hint="default"/>
      </w:rPr>
    </w:lvl>
    <w:lvl w:ilvl="7" w:tplc="4F56F29A">
      <w:start w:val="1"/>
      <w:numFmt w:val="bullet"/>
      <w:lvlText w:val="o"/>
      <w:lvlJc w:val="left"/>
      <w:pPr>
        <w:ind w:left="5760" w:hanging="360"/>
      </w:pPr>
      <w:rPr>
        <w:rFonts w:ascii="Courier New" w:hAnsi="Courier New" w:cs="Courier New" w:hint="default"/>
      </w:rPr>
    </w:lvl>
    <w:lvl w:ilvl="8" w:tplc="8D08E7F8">
      <w:start w:val="1"/>
      <w:numFmt w:val="bullet"/>
      <w:lvlText w:val=""/>
      <w:lvlJc w:val="left"/>
      <w:pPr>
        <w:ind w:left="6480" w:hanging="360"/>
      </w:pPr>
      <w:rPr>
        <w:rFonts w:ascii="Wingdings" w:hAnsi="Wingdings" w:hint="default"/>
      </w:rPr>
    </w:lvl>
  </w:abstractNum>
  <w:abstractNum w:abstractNumId="15" w15:restartNumberingAfterBreak="0">
    <w:nsid w:val="69B9E721"/>
    <w:multiLevelType w:val="hybridMultilevel"/>
    <w:tmpl w:val="4588D21E"/>
    <w:lvl w:ilvl="0" w:tplc="E3863838">
      <w:start w:val="1"/>
      <w:numFmt w:val="bullet"/>
      <w:lvlText w:val=""/>
      <w:lvlJc w:val="left"/>
      <w:pPr>
        <w:ind w:left="720" w:hanging="360"/>
      </w:pPr>
      <w:rPr>
        <w:rFonts w:ascii="Symbol" w:hAnsi="Symbol" w:hint="default"/>
      </w:rPr>
    </w:lvl>
    <w:lvl w:ilvl="1" w:tplc="43963D34">
      <w:start w:val="1"/>
      <w:numFmt w:val="bullet"/>
      <w:lvlText w:val="o"/>
      <w:lvlJc w:val="left"/>
      <w:pPr>
        <w:ind w:left="1440" w:hanging="360"/>
      </w:pPr>
      <w:rPr>
        <w:rFonts w:ascii="Courier New" w:hAnsi="Courier New" w:hint="default"/>
      </w:rPr>
    </w:lvl>
    <w:lvl w:ilvl="2" w:tplc="6130DB7C">
      <w:start w:val="1"/>
      <w:numFmt w:val="bullet"/>
      <w:lvlText w:val=""/>
      <w:lvlJc w:val="left"/>
      <w:pPr>
        <w:ind w:left="2160" w:hanging="360"/>
      </w:pPr>
      <w:rPr>
        <w:rFonts w:ascii="Wingdings" w:hAnsi="Wingdings" w:hint="default"/>
      </w:rPr>
    </w:lvl>
    <w:lvl w:ilvl="3" w:tplc="CAE8AB1A">
      <w:start w:val="1"/>
      <w:numFmt w:val="bullet"/>
      <w:lvlText w:val=""/>
      <w:lvlJc w:val="left"/>
      <w:pPr>
        <w:ind w:left="2880" w:hanging="360"/>
      </w:pPr>
      <w:rPr>
        <w:rFonts w:ascii="Symbol" w:hAnsi="Symbol" w:hint="default"/>
      </w:rPr>
    </w:lvl>
    <w:lvl w:ilvl="4" w:tplc="B198AE82">
      <w:start w:val="1"/>
      <w:numFmt w:val="bullet"/>
      <w:lvlText w:val="o"/>
      <w:lvlJc w:val="left"/>
      <w:pPr>
        <w:ind w:left="3600" w:hanging="360"/>
      </w:pPr>
      <w:rPr>
        <w:rFonts w:ascii="Courier New" w:hAnsi="Courier New" w:hint="default"/>
      </w:rPr>
    </w:lvl>
    <w:lvl w:ilvl="5" w:tplc="223477B8">
      <w:start w:val="1"/>
      <w:numFmt w:val="bullet"/>
      <w:lvlText w:val=""/>
      <w:lvlJc w:val="left"/>
      <w:pPr>
        <w:ind w:left="4320" w:hanging="360"/>
      </w:pPr>
      <w:rPr>
        <w:rFonts w:ascii="Wingdings" w:hAnsi="Wingdings" w:hint="default"/>
      </w:rPr>
    </w:lvl>
    <w:lvl w:ilvl="6" w:tplc="3CC83BEC">
      <w:start w:val="1"/>
      <w:numFmt w:val="bullet"/>
      <w:lvlText w:val=""/>
      <w:lvlJc w:val="left"/>
      <w:pPr>
        <w:ind w:left="5040" w:hanging="360"/>
      </w:pPr>
      <w:rPr>
        <w:rFonts w:ascii="Symbol" w:hAnsi="Symbol" w:hint="default"/>
      </w:rPr>
    </w:lvl>
    <w:lvl w:ilvl="7" w:tplc="5B844D92">
      <w:start w:val="1"/>
      <w:numFmt w:val="bullet"/>
      <w:lvlText w:val="o"/>
      <w:lvlJc w:val="left"/>
      <w:pPr>
        <w:ind w:left="5760" w:hanging="360"/>
      </w:pPr>
      <w:rPr>
        <w:rFonts w:ascii="Courier New" w:hAnsi="Courier New" w:hint="default"/>
      </w:rPr>
    </w:lvl>
    <w:lvl w:ilvl="8" w:tplc="4ABA1FFE">
      <w:start w:val="1"/>
      <w:numFmt w:val="bullet"/>
      <w:lvlText w:val=""/>
      <w:lvlJc w:val="left"/>
      <w:pPr>
        <w:ind w:left="6480" w:hanging="360"/>
      </w:pPr>
      <w:rPr>
        <w:rFonts w:ascii="Wingdings" w:hAnsi="Wingdings" w:hint="default"/>
      </w:rPr>
    </w:lvl>
  </w:abstractNum>
  <w:abstractNum w:abstractNumId="16" w15:restartNumberingAfterBreak="0">
    <w:nsid w:val="6AA93635"/>
    <w:multiLevelType w:val="hybridMultilevel"/>
    <w:tmpl w:val="9AA06462"/>
    <w:lvl w:ilvl="0" w:tplc="71321304">
      <w:start w:val="1"/>
      <w:numFmt w:val="bullet"/>
      <w:lvlText w:val=""/>
      <w:lvlJc w:val="left"/>
      <w:pPr>
        <w:ind w:left="643" w:hanging="360"/>
      </w:pPr>
      <w:rPr>
        <w:rFonts w:ascii="Symbol" w:hAnsi="Symbol" w:hint="default"/>
        <w:color w:val="000000" w:themeColor="text1"/>
      </w:rPr>
    </w:lvl>
    <w:lvl w:ilvl="1" w:tplc="F20C52D6" w:tentative="1">
      <w:start w:val="1"/>
      <w:numFmt w:val="bullet"/>
      <w:lvlText w:val="o"/>
      <w:lvlJc w:val="left"/>
      <w:pPr>
        <w:ind w:left="1440" w:hanging="360"/>
      </w:pPr>
      <w:rPr>
        <w:rFonts w:ascii="Courier New" w:hAnsi="Courier New" w:cs="Courier New" w:hint="default"/>
      </w:rPr>
    </w:lvl>
    <w:lvl w:ilvl="2" w:tplc="5378BDEA" w:tentative="1">
      <w:start w:val="1"/>
      <w:numFmt w:val="bullet"/>
      <w:lvlText w:val=""/>
      <w:lvlJc w:val="left"/>
      <w:pPr>
        <w:ind w:left="2160" w:hanging="360"/>
      </w:pPr>
      <w:rPr>
        <w:rFonts w:ascii="Wingdings" w:hAnsi="Wingdings" w:hint="default"/>
      </w:rPr>
    </w:lvl>
    <w:lvl w:ilvl="3" w:tplc="61464C58" w:tentative="1">
      <w:start w:val="1"/>
      <w:numFmt w:val="bullet"/>
      <w:lvlText w:val=""/>
      <w:lvlJc w:val="left"/>
      <w:pPr>
        <w:ind w:left="2880" w:hanging="360"/>
      </w:pPr>
      <w:rPr>
        <w:rFonts w:ascii="Symbol" w:hAnsi="Symbol" w:hint="default"/>
      </w:rPr>
    </w:lvl>
    <w:lvl w:ilvl="4" w:tplc="3C04B198" w:tentative="1">
      <w:start w:val="1"/>
      <w:numFmt w:val="bullet"/>
      <w:lvlText w:val="o"/>
      <w:lvlJc w:val="left"/>
      <w:pPr>
        <w:ind w:left="3600" w:hanging="360"/>
      </w:pPr>
      <w:rPr>
        <w:rFonts w:ascii="Courier New" w:hAnsi="Courier New" w:cs="Courier New" w:hint="default"/>
      </w:rPr>
    </w:lvl>
    <w:lvl w:ilvl="5" w:tplc="B6788AEE" w:tentative="1">
      <w:start w:val="1"/>
      <w:numFmt w:val="bullet"/>
      <w:lvlText w:val=""/>
      <w:lvlJc w:val="left"/>
      <w:pPr>
        <w:ind w:left="4320" w:hanging="360"/>
      </w:pPr>
      <w:rPr>
        <w:rFonts w:ascii="Wingdings" w:hAnsi="Wingdings" w:hint="default"/>
      </w:rPr>
    </w:lvl>
    <w:lvl w:ilvl="6" w:tplc="5532C5C8" w:tentative="1">
      <w:start w:val="1"/>
      <w:numFmt w:val="bullet"/>
      <w:lvlText w:val=""/>
      <w:lvlJc w:val="left"/>
      <w:pPr>
        <w:ind w:left="5040" w:hanging="360"/>
      </w:pPr>
      <w:rPr>
        <w:rFonts w:ascii="Symbol" w:hAnsi="Symbol" w:hint="default"/>
      </w:rPr>
    </w:lvl>
    <w:lvl w:ilvl="7" w:tplc="19702A00" w:tentative="1">
      <w:start w:val="1"/>
      <w:numFmt w:val="bullet"/>
      <w:lvlText w:val="o"/>
      <w:lvlJc w:val="left"/>
      <w:pPr>
        <w:ind w:left="5760" w:hanging="360"/>
      </w:pPr>
      <w:rPr>
        <w:rFonts w:ascii="Courier New" w:hAnsi="Courier New" w:cs="Courier New" w:hint="default"/>
      </w:rPr>
    </w:lvl>
    <w:lvl w:ilvl="8" w:tplc="AAF4EF78" w:tentative="1">
      <w:start w:val="1"/>
      <w:numFmt w:val="bullet"/>
      <w:lvlText w:val=""/>
      <w:lvlJc w:val="left"/>
      <w:pPr>
        <w:ind w:left="6480" w:hanging="360"/>
      </w:pPr>
      <w:rPr>
        <w:rFonts w:ascii="Wingdings" w:hAnsi="Wingdings" w:hint="default"/>
      </w:rPr>
    </w:lvl>
  </w:abstractNum>
  <w:abstractNum w:abstractNumId="17" w15:restartNumberingAfterBreak="0">
    <w:nsid w:val="78702989"/>
    <w:multiLevelType w:val="hybridMultilevel"/>
    <w:tmpl w:val="09D2417C"/>
    <w:lvl w:ilvl="0" w:tplc="13203704">
      <w:start w:val="1"/>
      <w:numFmt w:val="bullet"/>
      <w:lvlText w:val=""/>
      <w:lvlJc w:val="left"/>
      <w:pPr>
        <w:ind w:left="720" w:hanging="360"/>
      </w:pPr>
      <w:rPr>
        <w:rFonts w:ascii="Symbol" w:hAnsi="Symbol" w:hint="default"/>
      </w:rPr>
    </w:lvl>
    <w:lvl w:ilvl="1" w:tplc="EBE2E690">
      <w:start w:val="1"/>
      <w:numFmt w:val="bullet"/>
      <w:lvlText w:val="o"/>
      <w:lvlJc w:val="left"/>
      <w:pPr>
        <w:ind w:left="1440" w:hanging="360"/>
      </w:pPr>
      <w:rPr>
        <w:rFonts w:ascii="Courier New" w:hAnsi="Courier New" w:cs="Courier New" w:hint="default"/>
      </w:rPr>
    </w:lvl>
    <w:lvl w:ilvl="2" w:tplc="D04464B8">
      <w:start w:val="1"/>
      <w:numFmt w:val="bullet"/>
      <w:lvlText w:val=""/>
      <w:lvlJc w:val="left"/>
      <w:pPr>
        <w:ind w:left="2160" w:hanging="360"/>
      </w:pPr>
      <w:rPr>
        <w:rFonts w:ascii="Wingdings" w:hAnsi="Wingdings" w:hint="default"/>
      </w:rPr>
    </w:lvl>
    <w:lvl w:ilvl="3" w:tplc="61B6F5A6">
      <w:start w:val="1"/>
      <w:numFmt w:val="bullet"/>
      <w:lvlText w:val=""/>
      <w:lvlJc w:val="left"/>
      <w:pPr>
        <w:ind w:left="2880" w:hanging="360"/>
      </w:pPr>
      <w:rPr>
        <w:rFonts w:ascii="Symbol" w:hAnsi="Symbol" w:hint="default"/>
      </w:rPr>
    </w:lvl>
    <w:lvl w:ilvl="4" w:tplc="84287C74">
      <w:start w:val="1"/>
      <w:numFmt w:val="bullet"/>
      <w:lvlText w:val="o"/>
      <w:lvlJc w:val="left"/>
      <w:pPr>
        <w:ind w:left="3600" w:hanging="360"/>
      </w:pPr>
      <w:rPr>
        <w:rFonts w:ascii="Courier New" w:hAnsi="Courier New" w:cs="Courier New" w:hint="default"/>
      </w:rPr>
    </w:lvl>
    <w:lvl w:ilvl="5" w:tplc="F0CC799E">
      <w:start w:val="1"/>
      <w:numFmt w:val="bullet"/>
      <w:lvlText w:val=""/>
      <w:lvlJc w:val="left"/>
      <w:pPr>
        <w:ind w:left="4320" w:hanging="360"/>
      </w:pPr>
      <w:rPr>
        <w:rFonts w:ascii="Wingdings" w:hAnsi="Wingdings" w:hint="default"/>
      </w:rPr>
    </w:lvl>
    <w:lvl w:ilvl="6" w:tplc="3C200628">
      <w:start w:val="1"/>
      <w:numFmt w:val="bullet"/>
      <w:lvlText w:val=""/>
      <w:lvlJc w:val="left"/>
      <w:pPr>
        <w:ind w:left="5040" w:hanging="360"/>
      </w:pPr>
      <w:rPr>
        <w:rFonts w:ascii="Symbol" w:hAnsi="Symbol" w:hint="default"/>
      </w:rPr>
    </w:lvl>
    <w:lvl w:ilvl="7" w:tplc="986ABD10">
      <w:start w:val="1"/>
      <w:numFmt w:val="bullet"/>
      <w:lvlText w:val="o"/>
      <w:lvlJc w:val="left"/>
      <w:pPr>
        <w:ind w:left="5760" w:hanging="360"/>
      </w:pPr>
      <w:rPr>
        <w:rFonts w:ascii="Courier New" w:hAnsi="Courier New" w:cs="Courier New" w:hint="default"/>
      </w:rPr>
    </w:lvl>
    <w:lvl w:ilvl="8" w:tplc="B1F2425E">
      <w:start w:val="1"/>
      <w:numFmt w:val="bullet"/>
      <w:lvlText w:val=""/>
      <w:lvlJc w:val="left"/>
      <w:pPr>
        <w:ind w:left="6480" w:hanging="360"/>
      </w:pPr>
      <w:rPr>
        <w:rFonts w:ascii="Wingdings" w:hAnsi="Wingdings" w:hint="default"/>
      </w:rPr>
    </w:lvl>
  </w:abstractNum>
  <w:abstractNum w:abstractNumId="18" w15:restartNumberingAfterBreak="0">
    <w:nsid w:val="7DAA4E74"/>
    <w:multiLevelType w:val="hybridMultilevel"/>
    <w:tmpl w:val="A74C83AA"/>
    <w:lvl w:ilvl="0" w:tplc="65002610">
      <w:start w:val="1"/>
      <w:numFmt w:val="bullet"/>
      <w:lvlText w:val="·"/>
      <w:lvlJc w:val="left"/>
      <w:pPr>
        <w:ind w:left="720" w:hanging="360"/>
      </w:pPr>
      <w:rPr>
        <w:rFonts w:ascii="Symbol" w:hAnsi="Symbol" w:hint="default"/>
      </w:rPr>
    </w:lvl>
    <w:lvl w:ilvl="1" w:tplc="B1D26A8C">
      <w:start w:val="1"/>
      <w:numFmt w:val="bullet"/>
      <w:lvlText w:val="o"/>
      <w:lvlJc w:val="left"/>
      <w:pPr>
        <w:ind w:left="1440" w:hanging="360"/>
      </w:pPr>
      <w:rPr>
        <w:rFonts w:ascii="Courier New" w:hAnsi="Courier New" w:hint="default"/>
      </w:rPr>
    </w:lvl>
    <w:lvl w:ilvl="2" w:tplc="FA066568">
      <w:start w:val="1"/>
      <w:numFmt w:val="bullet"/>
      <w:lvlText w:val=""/>
      <w:lvlJc w:val="left"/>
      <w:pPr>
        <w:ind w:left="2160" w:hanging="360"/>
      </w:pPr>
      <w:rPr>
        <w:rFonts w:ascii="Wingdings" w:hAnsi="Wingdings" w:hint="default"/>
      </w:rPr>
    </w:lvl>
    <w:lvl w:ilvl="3" w:tplc="C248B992">
      <w:start w:val="1"/>
      <w:numFmt w:val="bullet"/>
      <w:lvlText w:val=""/>
      <w:lvlJc w:val="left"/>
      <w:pPr>
        <w:ind w:left="2880" w:hanging="360"/>
      </w:pPr>
      <w:rPr>
        <w:rFonts w:ascii="Symbol" w:hAnsi="Symbol" w:hint="default"/>
      </w:rPr>
    </w:lvl>
    <w:lvl w:ilvl="4" w:tplc="B93CE128">
      <w:start w:val="1"/>
      <w:numFmt w:val="bullet"/>
      <w:lvlText w:val="o"/>
      <w:lvlJc w:val="left"/>
      <w:pPr>
        <w:ind w:left="3600" w:hanging="360"/>
      </w:pPr>
      <w:rPr>
        <w:rFonts w:ascii="Courier New" w:hAnsi="Courier New" w:hint="default"/>
      </w:rPr>
    </w:lvl>
    <w:lvl w:ilvl="5" w:tplc="46B4F034">
      <w:start w:val="1"/>
      <w:numFmt w:val="bullet"/>
      <w:lvlText w:val=""/>
      <w:lvlJc w:val="left"/>
      <w:pPr>
        <w:ind w:left="4320" w:hanging="360"/>
      </w:pPr>
      <w:rPr>
        <w:rFonts w:ascii="Wingdings" w:hAnsi="Wingdings" w:hint="default"/>
      </w:rPr>
    </w:lvl>
    <w:lvl w:ilvl="6" w:tplc="88687006">
      <w:start w:val="1"/>
      <w:numFmt w:val="bullet"/>
      <w:lvlText w:val=""/>
      <w:lvlJc w:val="left"/>
      <w:pPr>
        <w:ind w:left="5040" w:hanging="360"/>
      </w:pPr>
      <w:rPr>
        <w:rFonts w:ascii="Symbol" w:hAnsi="Symbol" w:hint="default"/>
      </w:rPr>
    </w:lvl>
    <w:lvl w:ilvl="7" w:tplc="16F4D5B2">
      <w:start w:val="1"/>
      <w:numFmt w:val="bullet"/>
      <w:lvlText w:val="o"/>
      <w:lvlJc w:val="left"/>
      <w:pPr>
        <w:ind w:left="5760" w:hanging="360"/>
      </w:pPr>
      <w:rPr>
        <w:rFonts w:ascii="Courier New" w:hAnsi="Courier New" w:hint="default"/>
      </w:rPr>
    </w:lvl>
    <w:lvl w:ilvl="8" w:tplc="CD548778">
      <w:start w:val="1"/>
      <w:numFmt w:val="bullet"/>
      <w:lvlText w:val=""/>
      <w:lvlJc w:val="left"/>
      <w:pPr>
        <w:ind w:left="6480" w:hanging="360"/>
      </w:pPr>
      <w:rPr>
        <w:rFonts w:ascii="Wingdings" w:hAnsi="Wingdings" w:hint="default"/>
      </w:rPr>
    </w:lvl>
  </w:abstractNum>
  <w:num w:numId="1" w16cid:durableId="38089366">
    <w:abstractNumId w:val="13"/>
  </w:num>
  <w:num w:numId="2" w16cid:durableId="792603383">
    <w:abstractNumId w:val="10"/>
  </w:num>
  <w:num w:numId="3" w16cid:durableId="1894852629">
    <w:abstractNumId w:val="18"/>
  </w:num>
  <w:num w:numId="4" w16cid:durableId="1861048920">
    <w:abstractNumId w:val="16"/>
  </w:num>
  <w:num w:numId="5" w16cid:durableId="631984706">
    <w:abstractNumId w:val="15"/>
  </w:num>
  <w:num w:numId="6" w16cid:durableId="1731297161">
    <w:abstractNumId w:val="17"/>
  </w:num>
  <w:num w:numId="7" w16cid:durableId="2015834179">
    <w:abstractNumId w:val="12"/>
  </w:num>
  <w:num w:numId="8" w16cid:durableId="678655860">
    <w:abstractNumId w:val="14"/>
  </w:num>
  <w:num w:numId="9" w16cid:durableId="575479276">
    <w:abstractNumId w:val="11"/>
  </w:num>
  <w:num w:numId="10" w16cid:durableId="945307052">
    <w:abstractNumId w:val="9"/>
  </w:num>
  <w:num w:numId="11" w16cid:durableId="1501312745">
    <w:abstractNumId w:val="7"/>
  </w:num>
  <w:num w:numId="12" w16cid:durableId="1055399276">
    <w:abstractNumId w:val="6"/>
  </w:num>
  <w:num w:numId="13" w16cid:durableId="2018148038">
    <w:abstractNumId w:val="5"/>
  </w:num>
  <w:num w:numId="14" w16cid:durableId="231893664">
    <w:abstractNumId w:val="4"/>
  </w:num>
  <w:num w:numId="15" w16cid:durableId="54935589">
    <w:abstractNumId w:val="8"/>
  </w:num>
  <w:num w:numId="16" w16cid:durableId="2116049810">
    <w:abstractNumId w:val="3"/>
  </w:num>
  <w:num w:numId="17" w16cid:durableId="632296795">
    <w:abstractNumId w:val="2"/>
  </w:num>
  <w:num w:numId="18" w16cid:durableId="1461194436">
    <w:abstractNumId w:val="1"/>
  </w:num>
  <w:num w:numId="19" w16cid:durableId="39131629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85"/>
    <w:rsid w:val="00056B87"/>
    <w:rsid w:val="0008731F"/>
    <w:rsid w:val="000C35CC"/>
    <w:rsid w:val="000C546B"/>
    <w:rsid w:val="000C62BA"/>
    <w:rsid w:val="000D756D"/>
    <w:rsid w:val="000E4D02"/>
    <w:rsid w:val="001254E2"/>
    <w:rsid w:val="0012592F"/>
    <w:rsid w:val="00133CFD"/>
    <w:rsid w:val="00153878"/>
    <w:rsid w:val="00167D10"/>
    <w:rsid w:val="001B3AA3"/>
    <w:rsid w:val="001C21AB"/>
    <w:rsid w:val="001F2F50"/>
    <w:rsid w:val="00274F14"/>
    <w:rsid w:val="00282053"/>
    <w:rsid w:val="002B707C"/>
    <w:rsid w:val="002D28A4"/>
    <w:rsid w:val="002F3373"/>
    <w:rsid w:val="002F4844"/>
    <w:rsid w:val="002F5687"/>
    <w:rsid w:val="0031432E"/>
    <w:rsid w:val="00326D9B"/>
    <w:rsid w:val="0034043B"/>
    <w:rsid w:val="00342080"/>
    <w:rsid w:val="003B29B6"/>
    <w:rsid w:val="003B3C33"/>
    <w:rsid w:val="003D1268"/>
    <w:rsid w:val="003E0C9F"/>
    <w:rsid w:val="003E68C4"/>
    <w:rsid w:val="00414D8B"/>
    <w:rsid w:val="00421D75"/>
    <w:rsid w:val="00422299"/>
    <w:rsid w:val="004363EB"/>
    <w:rsid w:val="004425C6"/>
    <w:rsid w:val="00482905"/>
    <w:rsid w:val="00487485"/>
    <w:rsid w:val="00494752"/>
    <w:rsid w:val="004C180F"/>
    <w:rsid w:val="004D5B3E"/>
    <w:rsid w:val="004D6C09"/>
    <w:rsid w:val="004F15FF"/>
    <w:rsid w:val="005104C6"/>
    <w:rsid w:val="00510D13"/>
    <w:rsid w:val="005212C0"/>
    <w:rsid w:val="00525F4E"/>
    <w:rsid w:val="0055335B"/>
    <w:rsid w:val="00553BCA"/>
    <w:rsid w:val="005577CF"/>
    <w:rsid w:val="00570932"/>
    <w:rsid w:val="0057336B"/>
    <w:rsid w:val="00586BA6"/>
    <w:rsid w:val="005A2195"/>
    <w:rsid w:val="005A61C4"/>
    <w:rsid w:val="005D0E11"/>
    <w:rsid w:val="005D288C"/>
    <w:rsid w:val="005D3E02"/>
    <w:rsid w:val="00604EB5"/>
    <w:rsid w:val="00610642"/>
    <w:rsid w:val="00611A48"/>
    <w:rsid w:val="00616601"/>
    <w:rsid w:val="006411A1"/>
    <w:rsid w:val="00643E80"/>
    <w:rsid w:val="00646EEF"/>
    <w:rsid w:val="0065622A"/>
    <w:rsid w:val="00663829"/>
    <w:rsid w:val="00665E68"/>
    <w:rsid w:val="00672B18"/>
    <w:rsid w:val="006A42AB"/>
    <w:rsid w:val="006A6C2F"/>
    <w:rsid w:val="006A6F4C"/>
    <w:rsid w:val="006B5313"/>
    <w:rsid w:val="006B7F9A"/>
    <w:rsid w:val="006E291F"/>
    <w:rsid w:val="006F2C4D"/>
    <w:rsid w:val="006F684D"/>
    <w:rsid w:val="0072711D"/>
    <w:rsid w:val="00771AC1"/>
    <w:rsid w:val="00793842"/>
    <w:rsid w:val="007B67C9"/>
    <w:rsid w:val="007B7BFD"/>
    <w:rsid w:val="007C3E8C"/>
    <w:rsid w:val="007E398C"/>
    <w:rsid w:val="007F7FB0"/>
    <w:rsid w:val="00816555"/>
    <w:rsid w:val="00821CC3"/>
    <w:rsid w:val="00824C17"/>
    <w:rsid w:val="008506C9"/>
    <w:rsid w:val="008B2989"/>
    <w:rsid w:val="008B39A0"/>
    <w:rsid w:val="008B4920"/>
    <w:rsid w:val="008F0106"/>
    <w:rsid w:val="009119CD"/>
    <w:rsid w:val="00920F33"/>
    <w:rsid w:val="00924B63"/>
    <w:rsid w:val="009255B8"/>
    <w:rsid w:val="0093043C"/>
    <w:rsid w:val="00936ED8"/>
    <w:rsid w:val="00982618"/>
    <w:rsid w:val="009C03BA"/>
    <w:rsid w:val="009C205E"/>
    <w:rsid w:val="00A0579C"/>
    <w:rsid w:val="00A278D4"/>
    <w:rsid w:val="00A438D6"/>
    <w:rsid w:val="00A7663C"/>
    <w:rsid w:val="00A8295D"/>
    <w:rsid w:val="00A8630C"/>
    <w:rsid w:val="00A86E94"/>
    <w:rsid w:val="00AB4BAD"/>
    <w:rsid w:val="00B172F1"/>
    <w:rsid w:val="00B32E51"/>
    <w:rsid w:val="00B46EE6"/>
    <w:rsid w:val="00B47FBB"/>
    <w:rsid w:val="00BD387B"/>
    <w:rsid w:val="00C5234F"/>
    <w:rsid w:val="00C75846"/>
    <w:rsid w:val="00C82DD3"/>
    <w:rsid w:val="00C837F0"/>
    <w:rsid w:val="00CB0580"/>
    <w:rsid w:val="00CB7A43"/>
    <w:rsid w:val="00CC37EB"/>
    <w:rsid w:val="00CE6F49"/>
    <w:rsid w:val="00CF4CAC"/>
    <w:rsid w:val="00D06157"/>
    <w:rsid w:val="00D229DF"/>
    <w:rsid w:val="00D30F81"/>
    <w:rsid w:val="00D51E1E"/>
    <w:rsid w:val="00DA5B4C"/>
    <w:rsid w:val="00DE2EC4"/>
    <w:rsid w:val="00DE77E6"/>
    <w:rsid w:val="00E56483"/>
    <w:rsid w:val="00E663FD"/>
    <w:rsid w:val="00E72EA7"/>
    <w:rsid w:val="00EA4101"/>
    <w:rsid w:val="00EB7E95"/>
    <w:rsid w:val="00EC177F"/>
    <w:rsid w:val="00F039CA"/>
    <w:rsid w:val="00F23715"/>
    <w:rsid w:val="00F35B44"/>
    <w:rsid w:val="00F719F3"/>
    <w:rsid w:val="00F77D5F"/>
    <w:rsid w:val="00FB379C"/>
    <w:rsid w:val="00FE4D65"/>
    <w:rsid w:val="00FF3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80D322"/>
  <w15:docId w15:val="{36E27100-960F-4208-BFFE-9113654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qFormat/>
    <w:rsid w:val="004D6C09"/>
    <w:pPr>
      <w:tabs>
        <w:tab w:val="clear" w:pos="794"/>
        <w:tab w:val="left" w:pos="1021"/>
      </w:tabs>
      <w:ind w:left="1021" w:hanging="1021"/>
      <w:outlineLvl w:val="3"/>
    </w:pPr>
  </w:style>
  <w:style w:type="paragraph" w:styleId="Heading5">
    <w:name w:val="heading 5"/>
    <w:basedOn w:val="Heading4"/>
    <w:next w:val="Normal"/>
    <w:link w:val="Heading5Char"/>
    <w:qFormat/>
    <w:rsid w:val="004D6C09"/>
    <w:pPr>
      <w:outlineLvl w:val="4"/>
    </w:pPr>
  </w:style>
  <w:style w:type="paragraph" w:styleId="Heading6">
    <w:name w:val="heading 6"/>
    <w:basedOn w:val="Heading4"/>
    <w:next w:val="Normal"/>
    <w:link w:val="Heading6Char"/>
    <w:qFormat/>
    <w:rsid w:val="004D6C09"/>
    <w:pPr>
      <w:tabs>
        <w:tab w:val="clear" w:pos="1021"/>
        <w:tab w:val="clear" w:pos="1191"/>
      </w:tabs>
      <w:ind w:left="1588" w:hanging="1588"/>
      <w:outlineLvl w:val="5"/>
    </w:pPr>
  </w:style>
  <w:style w:type="paragraph" w:styleId="Heading7">
    <w:name w:val="heading 7"/>
    <w:basedOn w:val="Heading6"/>
    <w:next w:val="Normal"/>
    <w:link w:val="Heading7Char"/>
    <w:qFormat/>
    <w:rsid w:val="004D6C09"/>
    <w:pPr>
      <w:outlineLvl w:val="6"/>
    </w:pPr>
  </w:style>
  <w:style w:type="paragraph" w:styleId="Heading8">
    <w:name w:val="heading 8"/>
    <w:basedOn w:val="Heading6"/>
    <w:next w:val="Normal"/>
    <w:link w:val="Heading8Char"/>
    <w:qFormat/>
    <w:rsid w:val="004D6C09"/>
    <w:pPr>
      <w:outlineLvl w:val="7"/>
    </w:pPr>
  </w:style>
  <w:style w:type="paragraph" w:styleId="Heading9">
    <w:name w:val="heading 9"/>
    <w:basedOn w:val="Heading6"/>
    <w:next w:val="Normal"/>
    <w:link w:val="Heading9Char"/>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link w:val="TableheadChar"/>
    <w:uiPriority w:val="99"/>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uiPriority w:val="99"/>
    <w:rsid w:val="004D6C09"/>
    <w:rPr>
      <w:vertAlign w:val="superscript"/>
    </w:rPr>
  </w:style>
  <w:style w:type="paragraph" w:customStyle="1" w:styleId="enumlev1">
    <w:name w:val="enumlev1"/>
    <w:basedOn w:val="Normal"/>
    <w:link w:val="enumlev1Char"/>
    <w:uiPriority w:val="99"/>
    <w:qFormat/>
    <w:rsid w:val="004D6C09"/>
    <w:pPr>
      <w:spacing w:before="80"/>
      <w:ind w:left="794" w:hanging="794"/>
    </w:pPr>
  </w:style>
  <w:style w:type="paragraph" w:customStyle="1" w:styleId="enumlev2">
    <w:name w:val="enumlev2"/>
    <w:basedOn w:val="enumlev1"/>
    <w:uiPriority w:val="99"/>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aliases w:val="encabezado,he"/>
    <w:basedOn w:val="Normal"/>
    <w:link w:val="HeaderChar"/>
    <w:uiPriority w:val="99"/>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link w:val="SourceChar"/>
    <w:qFormat/>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link w:val="Title1Char"/>
    <w:qFormat/>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uiPriority w:val="39"/>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4D6C09"/>
    <w:pPr>
      <w:spacing w:before="80"/>
      <w:ind w:left="1531" w:hanging="851"/>
    </w:pPr>
  </w:style>
  <w:style w:type="paragraph" w:styleId="TOC3">
    <w:name w:val="toc 3"/>
    <w:basedOn w:val="TOC2"/>
    <w:uiPriority w:val="39"/>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uiPriority w:val="99"/>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table" w:styleId="TableGrid">
    <w:name w:val="Table Grid"/>
    <w:basedOn w:val="TableNormal"/>
    <w:uiPriority w:val="59"/>
    <w:rsid w:val="0048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48748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rsid w:val="00487485"/>
    <w:rPr>
      <w:rFonts w:ascii="Times New Roman" w:hAnsi="Times New Roman"/>
      <w:caps/>
      <w:noProof/>
      <w:sz w:val="16"/>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487485"/>
    <w:rPr>
      <w:rFonts w:ascii="Times New Roman" w:hAnsi="Times New Roman"/>
      <w:sz w:val="24"/>
      <w:lang w:val="es-ES_tradnl" w:eastAsia="en-US"/>
    </w:rPr>
  </w:style>
  <w:style w:type="paragraph" w:customStyle="1" w:styleId="Formal">
    <w:name w:val="Formal"/>
    <w:basedOn w:val="Normal"/>
    <w:rsid w:val="004874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aliases w:val="encabezado Char,he Char"/>
    <w:basedOn w:val="DefaultParagraphFont"/>
    <w:link w:val="Header"/>
    <w:uiPriority w:val="99"/>
    <w:rsid w:val="00487485"/>
    <w:rPr>
      <w:rFonts w:ascii="Times New Roman" w:hAnsi="Times New Roman"/>
      <w:sz w:val="18"/>
      <w:lang w:val="es-ES_tradnl" w:eastAsia="en-US"/>
    </w:rPr>
  </w:style>
  <w:style w:type="paragraph" w:customStyle="1" w:styleId="Docnumber">
    <w:name w:val="Docnumber"/>
    <w:basedOn w:val="Normal"/>
    <w:link w:val="DocnumberChar"/>
    <w:qFormat/>
    <w:rsid w:val="00487485"/>
    <w:pPr>
      <w:jc w:val="right"/>
    </w:pPr>
    <w:rPr>
      <w:rFonts w:eastAsia="SimSun"/>
      <w:b/>
      <w:sz w:val="32"/>
      <w:lang w:val="en-GB"/>
    </w:rPr>
  </w:style>
  <w:style w:type="character" w:customStyle="1" w:styleId="DocnumberChar">
    <w:name w:val="Docnumber Char"/>
    <w:link w:val="Docnumber"/>
    <w:rsid w:val="00487485"/>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487485"/>
    <w:rPr>
      <w:color w:val="0000FF"/>
      <w:u w:val="single"/>
    </w:rPr>
  </w:style>
  <w:style w:type="paragraph" w:customStyle="1" w:styleId="LSDeadline">
    <w:name w:val="LSDeadline"/>
    <w:basedOn w:val="Normal"/>
    <w:next w:val="Normal"/>
    <w:rsid w:val="00487485"/>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LSForAction">
    <w:name w:val="LSForAction"/>
    <w:basedOn w:val="Normal"/>
    <w:next w:val="Normal"/>
    <w:rsid w:val="00487485"/>
    <w:rPr>
      <w:lang w:val="en-GB"/>
    </w:rPr>
  </w:style>
  <w:style w:type="paragraph" w:customStyle="1" w:styleId="LSForInfo">
    <w:name w:val="LSForInfo"/>
    <w:basedOn w:val="Normal"/>
    <w:next w:val="Normal"/>
    <w:rsid w:val="00487485"/>
    <w:pPr>
      <w:tabs>
        <w:tab w:val="clear" w:pos="794"/>
        <w:tab w:val="clear" w:pos="1191"/>
        <w:tab w:val="clear" w:pos="1588"/>
        <w:tab w:val="clear" w:pos="1985"/>
      </w:tabs>
      <w:overflowPunct/>
      <w:autoSpaceDE/>
      <w:autoSpaceDN/>
      <w:adjustRightInd/>
      <w:textAlignment w:val="auto"/>
    </w:pPr>
    <w:rPr>
      <w:rFonts w:eastAsiaTheme="minorHAnsi"/>
      <w:bCs/>
      <w:szCs w:val="24"/>
      <w:lang w:val="en-GB" w:eastAsia="ja-JP"/>
    </w:rPr>
  </w:style>
  <w:style w:type="paragraph" w:customStyle="1" w:styleId="VenueDate">
    <w:name w:val="VenueDate"/>
    <w:basedOn w:val="Normal"/>
    <w:qFormat/>
    <w:rsid w:val="00487485"/>
    <w:pPr>
      <w:tabs>
        <w:tab w:val="clear" w:pos="794"/>
        <w:tab w:val="clear" w:pos="1191"/>
        <w:tab w:val="clear" w:pos="1588"/>
        <w:tab w:val="clear" w:pos="1985"/>
      </w:tabs>
      <w:jc w:val="right"/>
    </w:pPr>
    <w:rPr>
      <w:lang w:val="en-GB"/>
    </w:rPr>
  </w:style>
  <w:style w:type="paragraph" w:customStyle="1" w:styleId="TSBHeaderQuestion">
    <w:name w:val="TSBHeaderQuestion"/>
    <w:basedOn w:val="Normal"/>
    <w:qFormat/>
    <w:rsid w:val="00487485"/>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ource">
    <w:name w:val="TSBHeaderSource"/>
    <w:basedOn w:val="Normal"/>
    <w:qFormat/>
    <w:rsid w:val="00487485"/>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Title">
    <w:name w:val="TSBHeaderTitle"/>
    <w:basedOn w:val="Normal"/>
    <w:qFormat/>
    <w:rsid w:val="00487485"/>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ummary">
    <w:name w:val="TSBHeaderSummary"/>
    <w:basedOn w:val="Normal"/>
    <w:rsid w:val="00487485"/>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LSApproval">
    <w:name w:val="LSApproval"/>
    <w:basedOn w:val="Normal"/>
    <w:rsid w:val="00487485"/>
    <w:pPr>
      <w:tabs>
        <w:tab w:val="clear" w:pos="794"/>
        <w:tab w:val="clear" w:pos="1191"/>
        <w:tab w:val="clear" w:pos="1588"/>
        <w:tab w:val="clear" w:pos="1985"/>
      </w:tabs>
      <w:overflowPunct/>
      <w:autoSpaceDE/>
      <w:autoSpaceDN/>
      <w:adjustRightInd/>
      <w:textAlignment w:val="auto"/>
    </w:pPr>
    <w:rPr>
      <w:rFonts w:eastAsiaTheme="minorEastAsia"/>
      <w:b/>
      <w:bCs/>
      <w:szCs w:val="24"/>
      <w:lang w:val="en-GB" w:eastAsia="ja-JP"/>
    </w:rPr>
  </w:style>
  <w:style w:type="paragraph" w:customStyle="1" w:styleId="TSBHeaderRight14">
    <w:name w:val="TSBHeaderRight14"/>
    <w:basedOn w:val="Normal"/>
    <w:qFormat/>
    <w:rsid w:val="00487485"/>
    <w:pPr>
      <w:jc w:val="right"/>
    </w:pPr>
    <w:rPr>
      <w:b/>
      <w:bCs/>
      <w:sz w:val="28"/>
      <w:szCs w:val="28"/>
      <w:lang w:val="en-GB"/>
    </w:rPr>
  </w:style>
  <w:style w:type="character" w:customStyle="1" w:styleId="SourceChar">
    <w:name w:val="Source Char"/>
    <w:link w:val="Source"/>
    <w:locked/>
    <w:rsid w:val="00487485"/>
    <w:rPr>
      <w:rFonts w:ascii="Times New Roman" w:hAnsi="Times New Roman"/>
      <w:b/>
      <w:sz w:val="28"/>
      <w:lang w:val="es-ES_tradnl" w:eastAsia="en-US"/>
    </w:rPr>
  </w:style>
  <w:style w:type="character" w:customStyle="1" w:styleId="Title1Char">
    <w:name w:val="Title 1 Char"/>
    <w:link w:val="Title1"/>
    <w:qFormat/>
    <w:locked/>
    <w:rsid w:val="00487485"/>
    <w:rPr>
      <w:rFonts w:ascii="Times New Roman" w:hAnsi="Times New Roman"/>
      <w:caps/>
      <w:sz w:val="28"/>
      <w:lang w:val="es-ES_tradnl" w:eastAsia="en-US"/>
    </w:rPr>
  </w:style>
  <w:style w:type="paragraph" w:styleId="ListParagraph">
    <w:name w:val="List Paragraph"/>
    <w:aliases w:val="Recommendation,List Paragraph11,O5,Para_sk,Resume Title,- Bullets"/>
    <w:basedOn w:val="Normal"/>
    <w:link w:val="ListParagraphChar"/>
    <w:uiPriority w:val="34"/>
    <w:qFormat/>
    <w:rsid w:val="00487485"/>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487485"/>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487485"/>
    <w:rPr>
      <w:color w:val="808080"/>
    </w:rPr>
  </w:style>
  <w:style w:type="character" w:customStyle="1" w:styleId="Heading1Char">
    <w:name w:val="Heading 1 Char"/>
    <w:basedOn w:val="DefaultParagraphFont"/>
    <w:link w:val="Heading1"/>
    <w:rsid w:val="00487485"/>
    <w:rPr>
      <w:rFonts w:ascii="Times New Roman" w:hAnsi="Times New Roman"/>
      <w:b/>
      <w:sz w:val="24"/>
      <w:lang w:val="es-ES_tradnl" w:eastAsia="en-US"/>
    </w:rPr>
  </w:style>
  <w:style w:type="character" w:customStyle="1" w:styleId="Heading2Char">
    <w:name w:val="Heading 2 Char"/>
    <w:basedOn w:val="DefaultParagraphFont"/>
    <w:link w:val="Heading2"/>
    <w:rsid w:val="00487485"/>
    <w:rPr>
      <w:rFonts w:ascii="Times New Roman" w:hAnsi="Times New Roman"/>
      <w:b/>
      <w:sz w:val="24"/>
      <w:lang w:val="es-ES_tradnl" w:eastAsia="en-US"/>
    </w:rPr>
  </w:style>
  <w:style w:type="character" w:customStyle="1" w:styleId="Heading3Char">
    <w:name w:val="Heading 3 Char"/>
    <w:basedOn w:val="DefaultParagraphFont"/>
    <w:link w:val="Heading3"/>
    <w:rsid w:val="00487485"/>
    <w:rPr>
      <w:rFonts w:ascii="Times New Roman" w:hAnsi="Times New Roman"/>
      <w:b/>
      <w:sz w:val="24"/>
      <w:lang w:val="es-ES_tradnl" w:eastAsia="en-US"/>
    </w:rPr>
  </w:style>
  <w:style w:type="character" w:customStyle="1" w:styleId="Heading4Char">
    <w:name w:val="Heading 4 Char"/>
    <w:basedOn w:val="DefaultParagraphFont"/>
    <w:link w:val="Heading4"/>
    <w:rsid w:val="00487485"/>
    <w:rPr>
      <w:rFonts w:ascii="Times New Roman" w:hAnsi="Times New Roman"/>
      <w:b/>
      <w:sz w:val="24"/>
      <w:lang w:val="es-ES_tradnl" w:eastAsia="en-US"/>
    </w:rPr>
  </w:style>
  <w:style w:type="character" w:customStyle="1" w:styleId="Heading5Char">
    <w:name w:val="Heading 5 Char"/>
    <w:basedOn w:val="DefaultParagraphFont"/>
    <w:link w:val="Heading5"/>
    <w:rsid w:val="00487485"/>
    <w:rPr>
      <w:rFonts w:ascii="Times New Roman" w:hAnsi="Times New Roman"/>
      <w:b/>
      <w:sz w:val="24"/>
      <w:lang w:val="es-ES_tradnl" w:eastAsia="en-US"/>
    </w:rPr>
  </w:style>
  <w:style w:type="character" w:customStyle="1" w:styleId="Heading6Char">
    <w:name w:val="Heading 6 Char"/>
    <w:basedOn w:val="DefaultParagraphFont"/>
    <w:link w:val="Heading6"/>
    <w:rsid w:val="00487485"/>
    <w:rPr>
      <w:rFonts w:ascii="Times New Roman" w:hAnsi="Times New Roman"/>
      <w:b/>
      <w:sz w:val="24"/>
      <w:lang w:val="es-ES_tradnl" w:eastAsia="en-US"/>
    </w:rPr>
  </w:style>
  <w:style w:type="character" w:customStyle="1" w:styleId="Heading7Char">
    <w:name w:val="Heading 7 Char"/>
    <w:basedOn w:val="DefaultParagraphFont"/>
    <w:link w:val="Heading7"/>
    <w:rsid w:val="00487485"/>
    <w:rPr>
      <w:rFonts w:ascii="Times New Roman" w:hAnsi="Times New Roman"/>
      <w:b/>
      <w:sz w:val="24"/>
      <w:lang w:val="es-ES_tradnl" w:eastAsia="en-US"/>
    </w:rPr>
  </w:style>
  <w:style w:type="character" w:customStyle="1" w:styleId="Heading8Char">
    <w:name w:val="Heading 8 Char"/>
    <w:basedOn w:val="DefaultParagraphFont"/>
    <w:link w:val="Heading8"/>
    <w:rsid w:val="00487485"/>
    <w:rPr>
      <w:rFonts w:ascii="Times New Roman" w:hAnsi="Times New Roman"/>
      <w:b/>
      <w:sz w:val="24"/>
      <w:lang w:val="es-ES_tradnl" w:eastAsia="en-US"/>
    </w:rPr>
  </w:style>
  <w:style w:type="character" w:customStyle="1" w:styleId="Heading9Char">
    <w:name w:val="Heading 9 Char"/>
    <w:basedOn w:val="DefaultParagraphFont"/>
    <w:link w:val="Heading9"/>
    <w:rsid w:val="00487485"/>
    <w:rPr>
      <w:rFonts w:ascii="Times New Roman" w:hAnsi="Times New Roman"/>
      <w:b/>
      <w:sz w:val="24"/>
      <w:lang w:val="es-ES_tradnl" w:eastAsia="en-US"/>
    </w:rPr>
  </w:style>
  <w:style w:type="paragraph" w:customStyle="1" w:styleId="Reasons">
    <w:name w:val="Reasons"/>
    <w:basedOn w:val="Normal"/>
    <w:qFormat/>
    <w:rsid w:val="00487485"/>
    <w:pPr>
      <w:tabs>
        <w:tab w:val="clear" w:pos="794"/>
        <w:tab w:val="clear" w:pos="1191"/>
        <w:tab w:val="left" w:pos="1134"/>
      </w:tabs>
    </w:pPr>
    <w:rPr>
      <w:lang w:val="en-GB"/>
    </w:rPr>
  </w:style>
  <w:style w:type="paragraph" w:customStyle="1" w:styleId="ASN1">
    <w:name w:val="ASN.1"/>
    <w:basedOn w:val="Normal"/>
    <w:rsid w:val="004874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oterQP">
    <w:name w:val="Footer_QP"/>
    <w:basedOn w:val="Normal"/>
    <w:rsid w:val="00487485"/>
    <w:pPr>
      <w:tabs>
        <w:tab w:val="clear" w:pos="794"/>
        <w:tab w:val="clear" w:pos="1191"/>
        <w:tab w:val="clear" w:pos="1588"/>
        <w:tab w:val="clear" w:pos="1985"/>
        <w:tab w:val="left" w:pos="907"/>
        <w:tab w:val="right" w:pos="8789"/>
        <w:tab w:val="right" w:pos="9639"/>
      </w:tabs>
      <w:spacing w:before="0"/>
    </w:pPr>
    <w:rPr>
      <w:b/>
      <w:sz w:val="22"/>
      <w:lang w:val="en-GB"/>
    </w:rPr>
  </w:style>
  <w:style w:type="paragraph" w:styleId="BalloonText">
    <w:name w:val="Balloon Text"/>
    <w:basedOn w:val="Normal"/>
    <w:link w:val="BalloonTextChar"/>
    <w:rsid w:val="00487485"/>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487485"/>
    <w:rPr>
      <w:rFonts w:ascii="Tahoma" w:hAnsi="Tahoma" w:cs="Tahoma"/>
      <w:sz w:val="16"/>
      <w:szCs w:val="16"/>
      <w:lang w:val="en-GB" w:eastAsia="en-US"/>
    </w:rPr>
  </w:style>
  <w:style w:type="paragraph" w:customStyle="1" w:styleId="Normalaftertitle0">
    <w:name w:val="Normal after title"/>
    <w:basedOn w:val="Normal"/>
    <w:next w:val="Normal"/>
    <w:rsid w:val="00487485"/>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headingb0">
    <w:name w:val="heading_b"/>
    <w:basedOn w:val="Heading3"/>
    <w:next w:val="Normal"/>
    <w:rsid w:val="00487485"/>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lang w:val="en-GB"/>
    </w:rPr>
  </w:style>
  <w:style w:type="paragraph" w:styleId="PlainText">
    <w:name w:val="Plain Text"/>
    <w:basedOn w:val="Normal"/>
    <w:link w:val="PlainTextChar"/>
    <w:uiPriority w:val="99"/>
    <w:unhideWhenUsed/>
    <w:rsid w:val="00487485"/>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487485"/>
    <w:rPr>
      <w:rFonts w:ascii="Consolas" w:eastAsiaTheme="minorEastAsia" w:hAnsi="Consolas" w:cstheme="minorBidi"/>
      <w:sz w:val="21"/>
      <w:szCs w:val="21"/>
    </w:rPr>
  </w:style>
  <w:style w:type="paragraph" w:styleId="NoSpacing">
    <w:name w:val="No Spacing"/>
    <w:uiPriority w:val="1"/>
    <w:qFormat/>
    <w:rsid w:val="00487485"/>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487485"/>
    <w:rPr>
      <w:rFonts w:ascii="Times New Roman" w:hAnsi="Times New Roman"/>
      <w:sz w:val="22"/>
      <w:lang w:val="es-ES_tradnl" w:eastAsia="en-US"/>
    </w:rPr>
  </w:style>
  <w:style w:type="character" w:customStyle="1" w:styleId="enumlev1Char">
    <w:name w:val="enumlev1 Char"/>
    <w:basedOn w:val="DefaultParagraphFont"/>
    <w:link w:val="enumlev1"/>
    <w:uiPriority w:val="99"/>
    <w:locked/>
    <w:rsid w:val="00487485"/>
    <w:rPr>
      <w:rFonts w:ascii="Times New Roman" w:hAnsi="Times New Roman"/>
      <w:sz w:val="24"/>
      <w:lang w:val="es-ES_tradnl" w:eastAsia="en-US"/>
    </w:rPr>
  </w:style>
  <w:style w:type="character" w:customStyle="1" w:styleId="apple-converted-space">
    <w:name w:val="apple-converted-space"/>
    <w:basedOn w:val="DefaultParagraphFont"/>
    <w:rsid w:val="00487485"/>
  </w:style>
  <w:style w:type="table" w:customStyle="1" w:styleId="TableGrid1">
    <w:name w:val="Table Grid1"/>
    <w:basedOn w:val="TableNormal"/>
    <w:next w:val="TableGrid"/>
    <w:rsid w:val="00487485"/>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7485"/>
    <w:rPr>
      <w:b/>
      <w:bCs/>
    </w:rPr>
  </w:style>
  <w:style w:type="paragraph" w:customStyle="1" w:styleId="Annextitle">
    <w:name w:val="Annex_title"/>
    <w:basedOn w:val="Normal"/>
    <w:next w:val="Normal"/>
    <w:rsid w:val="0048748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nnexNo">
    <w:name w:val="Annex_No"/>
    <w:basedOn w:val="Normal"/>
    <w:next w:val="Normal"/>
    <w:rsid w:val="00487485"/>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character" w:customStyle="1" w:styleId="CallChar">
    <w:name w:val="Call Char"/>
    <w:basedOn w:val="DefaultParagraphFont"/>
    <w:link w:val="Call"/>
    <w:locked/>
    <w:rsid w:val="00487485"/>
    <w:rPr>
      <w:rFonts w:ascii="Times New Roman" w:hAnsi="Times New Roman"/>
      <w:i/>
      <w:sz w:val="24"/>
      <w:lang w:val="es-ES_tradnl" w:eastAsia="en-US"/>
    </w:rPr>
  </w:style>
  <w:style w:type="character" w:customStyle="1" w:styleId="HeadingbChar">
    <w:name w:val="Heading_b Char"/>
    <w:link w:val="Headingb"/>
    <w:locked/>
    <w:rsid w:val="00487485"/>
    <w:rPr>
      <w:rFonts w:ascii="Times New Roman" w:hAnsi="Times New Roman"/>
      <w:b/>
      <w:sz w:val="24"/>
      <w:lang w:val="es-ES_tradnl" w:eastAsia="en-US"/>
    </w:rPr>
  </w:style>
  <w:style w:type="character" w:customStyle="1" w:styleId="RestitleChar">
    <w:name w:val="Res_title Char"/>
    <w:basedOn w:val="DefaultParagraphFont"/>
    <w:link w:val="Restitle"/>
    <w:locked/>
    <w:rsid w:val="00487485"/>
    <w:rPr>
      <w:rFonts w:ascii="Times New Roman" w:hAnsi="Times New Roman"/>
      <w:b/>
      <w:sz w:val="28"/>
      <w:lang w:val="es-ES_tradnl" w:eastAsia="en-US"/>
    </w:rPr>
  </w:style>
  <w:style w:type="character" w:styleId="FollowedHyperlink">
    <w:name w:val="FollowedHyperlink"/>
    <w:basedOn w:val="DefaultParagraphFont"/>
    <w:unhideWhenUsed/>
    <w:rsid w:val="00487485"/>
    <w:rPr>
      <w:color w:val="606420"/>
      <w:u w:val="single"/>
    </w:rPr>
  </w:style>
  <w:style w:type="paragraph" w:styleId="NormalWeb">
    <w:name w:val="Normal (Web)"/>
    <w:basedOn w:val="Normal"/>
    <w:uiPriority w:val="99"/>
    <w:unhideWhenUsed/>
    <w:rsid w:val="00487485"/>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487485"/>
    <w:pPr>
      <w:spacing w:before="0"/>
      <w:textAlignment w:val="auto"/>
    </w:pPr>
    <w:rPr>
      <w:sz w:val="20"/>
      <w:lang w:val="en-GB"/>
    </w:rPr>
  </w:style>
  <w:style w:type="character" w:customStyle="1" w:styleId="EndnoteTextChar">
    <w:name w:val="Endnote Text Char"/>
    <w:basedOn w:val="DefaultParagraphFont"/>
    <w:link w:val="EndnoteText"/>
    <w:uiPriority w:val="99"/>
    <w:rsid w:val="00487485"/>
    <w:rPr>
      <w:rFonts w:ascii="Times New Roman" w:hAnsi="Times New Roman"/>
      <w:lang w:val="en-GB" w:eastAsia="en-US"/>
    </w:rPr>
  </w:style>
  <w:style w:type="paragraph" w:styleId="Title">
    <w:name w:val="Title"/>
    <w:basedOn w:val="Normal"/>
    <w:next w:val="Normal"/>
    <w:link w:val="TitleChar"/>
    <w:qFormat/>
    <w:rsid w:val="00487485"/>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487485"/>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487485"/>
    <w:pPr>
      <w:textAlignment w:val="auto"/>
    </w:pPr>
    <w:rPr>
      <w:b/>
      <w:bCs/>
      <w:i/>
      <w:iCs/>
      <w:szCs w:val="24"/>
      <w:lang w:val="en-GB"/>
    </w:rPr>
  </w:style>
  <w:style w:type="character" w:customStyle="1" w:styleId="BodyTextChar">
    <w:name w:val="Body Text Char"/>
    <w:basedOn w:val="DefaultParagraphFont"/>
    <w:link w:val="BodyText"/>
    <w:rsid w:val="00487485"/>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487485"/>
    <w:pPr>
      <w:spacing w:after="120"/>
      <w:ind w:left="360"/>
      <w:textAlignment w:val="auto"/>
    </w:pPr>
    <w:rPr>
      <w:lang w:val="en-GB"/>
    </w:rPr>
  </w:style>
  <w:style w:type="character" w:customStyle="1" w:styleId="BodyTextIndentChar">
    <w:name w:val="Body Text Indent Char"/>
    <w:basedOn w:val="DefaultParagraphFont"/>
    <w:link w:val="BodyTextIndent"/>
    <w:rsid w:val="00487485"/>
    <w:rPr>
      <w:rFonts w:ascii="Times New Roman" w:hAnsi="Times New Roman"/>
      <w:sz w:val="24"/>
      <w:lang w:val="en-GB" w:eastAsia="en-US"/>
    </w:rPr>
  </w:style>
  <w:style w:type="paragraph" w:styleId="Subtitle">
    <w:name w:val="Subtitle"/>
    <w:basedOn w:val="Normal"/>
    <w:next w:val="Normal"/>
    <w:link w:val="SubtitleChar"/>
    <w:uiPriority w:val="11"/>
    <w:qFormat/>
    <w:rsid w:val="00487485"/>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487485"/>
    <w:rPr>
      <w:rFonts w:ascii="Cambria" w:eastAsia="SimSun" w:hAnsi="Cambria"/>
      <w:i/>
      <w:iCs/>
      <w:color w:val="4F81BD"/>
      <w:spacing w:val="15"/>
      <w:sz w:val="24"/>
      <w:szCs w:val="24"/>
    </w:rPr>
  </w:style>
  <w:style w:type="paragraph" w:styleId="BodyText2">
    <w:name w:val="Body Text 2"/>
    <w:basedOn w:val="Normal"/>
    <w:link w:val="BodyText2Char"/>
    <w:unhideWhenUsed/>
    <w:rsid w:val="00487485"/>
    <w:pPr>
      <w:spacing w:after="120" w:line="480" w:lineRule="auto"/>
      <w:textAlignment w:val="auto"/>
    </w:pPr>
    <w:rPr>
      <w:lang w:val="en-GB"/>
    </w:rPr>
  </w:style>
  <w:style w:type="character" w:customStyle="1" w:styleId="BodyText2Char">
    <w:name w:val="Body Text 2 Char"/>
    <w:basedOn w:val="DefaultParagraphFont"/>
    <w:link w:val="BodyText2"/>
    <w:rsid w:val="00487485"/>
    <w:rPr>
      <w:rFonts w:ascii="Times New Roman" w:hAnsi="Times New Roman"/>
      <w:sz w:val="24"/>
      <w:lang w:val="en-GB" w:eastAsia="en-US"/>
    </w:rPr>
  </w:style>
  <w:style w:type="paragraph" w:styleId="Revision">
    <w:name w:val="Revision"/>
    <w:uiPriority w:val="99"/>
    <w:semiHidden/>
    <w:rsid w:val="00487485"/>
    <w:rPr>
      <w:rFonts w:ascii="Times New Roman" w:hAnsi="Times New Roman"/>
      <w:sz w:val="24"/>
      <w:lang w:val="en-GB" w:eastAsia="en-US"/>
    </w:rPr>
  </w:style>
  <w:style w:type="character" w:styleId="CommentReference">
    <w:name w:val="annotation reference"/>
    <w:basedOn w:val="DefaultParagraphFont"/>
    <w:semiHidden/>
    <w:unhideWhenUsed/>
    <w:rsid w:val="00487485"/>
    <w:rPr>
      <w:sz w:val="16"/>
      <w:szCs w:val="16"/>
    </w:rPr>
  </w:style>
  <w:style w:type="paragraph" w:styleId="CommentText">
    <w:name w:val="annotation text"/>
    <w:basedOn w:val="Normal"/>
    <w:link w:val="CommentTextChar"/>
    <w:unhideWhenUsed/>
    <w:rsid w:val="00487485"/>
    <w:rPr>
      <w:sz w:val="20"/>
      <w:lang w:val="en-GB"/>
    </w:rPr>
  </w:style>
  <w:style w:type="character" w:customStyle="1" w:styleId="CommentTextChar">
    <w:name w:val="Comment Text Char"/>
    <w:basedOn w:val="DefaultParagraphFont"/>
    <w:link w:val="CommentText"/>
    <w:rsid w:val="0048748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87485"/>
    <w:rPr>
      <w:b/>
      <w:bCs/>
    </w:rPr>
  </w:style>
  <w:style w:type="character" w:customStyle="1" w:styleId="CommentSubjectChar">
    <w:name w:val="Comment Subject Char"/>
    <w:basedOn w:val="CommentTextChar"/>
    <w:link w:val="CommentSubject"/>
    <w:semiHidden/>
    <w:rsid w:val="00487485"/>
    <w:rPr>
      <w:rFonts w:ascii="Times New Roman" w:hAnsi="Times New Roman"/>
      <w:b/>
      <w:bCs/>
      <w:lang w:val="en-GB" w:eastAsia="en-US"/>
    </w:rPr>
  </w:style>
  <w:style w:type="table" w:customStyle="1" w:styleId="GridTable1Light-Accent512">
    <w:name w:val="Grid Table 1 Light - Accent 512"/>
    <w:basedOn w:val="TableNormal"/>
    <w:uiPriority w:val="46"/>
    <w:rsid w:val="0048748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48748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48748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487485"/>
    <w:rPr>
      <w:rFonts w:ascii="Times New Roman" w:hAnsi="Times New Roman"/>
      <w:b/>
      <w:sz w:val="22"/>
      <w:lang w:val="es-ES_tradnl" w:eastAsia="en-US"/>
    </w:rPr>
  </w:style>
  <w:style w:type="paragraph" w:customStyle="1" w:styleId="TableNo">
    <w:name w:val="Table_No"/>
    <w:basedOn w:val="Normal"/>
    <w:next w:val="Normal"/>
    <w:uiPriority w:val="99"/>
    <w:rsid w:val="00487485"/>
    <w:pPr>
      <w:keepNext/>
      <w:tabs>
        <w:tab w:val="clear" w:pos="794"/>
        <w:tab w:val="clear" w:pos="1191"/>
        <w:tab w:val="clear" w:pos="1588"/>
        <w:tab w:val="clear" w:pos="1985"/>
        <w:tab w:val="left" w:pos="1134"/>
        <w:tab w:val="left" w:pos="1871"/>
        <w:tab w:val="left" w:pos="2268"/>
      </w:tabs>
      <w:spacing w:before="560" w:after="120"/>
      <w:jc w:val="center"/>
    </w:pPr>
    <w:rPr>
      <w:caps/>
      <w:lang w:val="en-GB"/>
    </w:rPr>
  </w:style>
  <w:style w:type="paragraph" w:customStyle="1" w:styleId="Tabletitle">
    <w:name w:val="Table_title"/>
    <w:basedOn w:val="Normal"/>
    <w:next w:val="Tabletext"/>
    <w:rsid w:val="00487485"/>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styleId="Index4">
    <w:name w:val="index 4"/>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487485"/>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487485"/>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487485"/>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487485"/>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7485"/>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2-Accent1">
    <w:name w:val="List Table 2 Accent 1"/>
    <w:basedOn w:val="TableNormal"/>
    <w:uiPriority w:val="47"/>
    <w:rsid w:val="0048748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B05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4874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487485"/>
    <w:rPr>
      <w:lang w:val="en-GB"/>
    </w:rPr>
  </w:style>
  <w:style w:type="character" w:customStyle="1" w:styleId="DateChar">
    <w:name w:val="Date Char"/>
    <w:basedOn w:val="DefaultParagraphFont"/>
    <w:link w:val="Date"/>
    <w:rsid w:val="00487485"/>
    <w:rPr>
      <w:rFonts w:ascii="Times New Roman" w:hAnsi="Times New Roman"/>
      <w:sz w:val="24"/>
      <w:lang w:val="en-GB" w:eastAsia="en-US"/>
    </w:rPr>
  </w:style>
  <w:style w:type="paragraph" w:customStyle="1" w:styleId="Tablefin">
    <w:name w:val="Table_fin"/>
    <w:basedOn w:val="Tabletext"/>
    <w:rsid w:val="00487485"/>
    <w:rPr>
      <w:sz w:val="20"/>
      <w:lang w:val="en-GB"/>
    </w:rPr>
  </w:style>
  <w:style w:type="table" w:customStyle="1" w:styleId="ListTable1Light-Accent11">
    <w:name w:val="List Table 1 Light - Accent 11"/>
    <w:basedOn w:val="TableNormal"/>
    <w:next w:val="ListTable1Light-Accent1"/>
    <w:uiPriority w:val="46"/>
    <w:rsid w:val="00CE6F49"/>
    <w:rPr>
      <w:rFonts w:ascii="Times New Roman" w:hAnsi="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487485"/>
    <w:rPr>
      <w:color w:val="605E5C"/>
      <w:shd w:val="clear" w:color="auto" w:fill="E1DFDD"/>
    </w:rPr>
  </w:style>
  <w:style w:type="paragraph" w:customStyle="1" w:styleId="paragraph">
    <w:name w:val="paragraph"/>
    <w:basedOn w:val="Normal"/>
    <w:rsid w:val="0048748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487485"/>
  </w:style>
  <w:style w:type="character" w:customStyle="1" w:styleId="eop">
    <w:name w:val="eop"/>
    <w:basedOn w:val="DefaultParagraphFont"/>
    <w:rsid w:val="00487485"/>
  </w:style>
  <w:style w:type="character" w:styleId="UnresolvedMention">
    <w:name w:val="Unresolved Mention"/>
    <w:basedOn w:val="DefaultParagraphFont"/>
    <w:unhideWhenUsed/>
    <w:rsid w:val="0048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R-RES-R.65/es" TargetMode="External"/><Relationship Id="rId21" Type="http://schemas.openxmlformats.org/officeDocument/2006/relationships/hyperlink" Target="https://www.itu.int/pub/R-RES-R.2/es" TargetMode="External"/><Relationship Id="rId42" Type="http://schemas.openxmlformats.org/officeDocument/2006/relationships/image" Target="media/image4.png"/><Relationship Id="rId47" Type="http://schemas.openxmlformats.org/officeDocument/2006/relationships/image" Target="media/image6.emf"/><Relationship Id="rId63" Type="http://schemas.openxmlformats.org/officeDocument/2006/relationships/hyperlink" Target="https://www.sica.int/comtelca/inicio" TargetMode="External"/><Relationship Id="rId68" Type="http://schemas.openxmlformats.org/officeDocument/2006/relationships/footer" Target="footer4.xml"/><Relationship Id="rId84" Type="http://schemas.openxmlformats.org/officeDocument/2006/relationships/hyperlink" Target="https://www.itu.int/wrc-23/newsroom/wrc-news/" TargetMode="External"/><Relationship Id="rId89" Type="http://schemas.openxmlformats.org/officeDocument/2006/relationships/hyperlink" Target="https://www.itu.int/hub/publication/s-gen-news-2023-4/" TargetMode="External"/><Relationship Id="rId112" Type="http://schemas.openxmlformats.org/officeDocument/2006/relationships/header" Target="header5.xml"/><Relationship Id="rId16" Type="http://schemas.openxmlformats.org/officeDocument/2006/relationships/image" Target="media/image2.png"/><Relationship Id="rId107" Type="http://schemas.openxmlformats.org/officeDocument/2006/relationships/hyperlink" Target="https://www.itu.int/hub/2022/11/wrs-radio-regulations-software-tools/" TargetMode="External"/><Relationship Id="rId11" Type="http://schemas.openxmlformats.org/officeDocument/2006/relationships/hyperlink" Target="https://council.itu.int/2023-additional/en/" TargetMode="External"/><Relationship Id="rId32" Type="http://schemas.openxmlformats.org/officeDocument/2006/relationships/hyperlink" Target="https://www.itu.int/pub/R-RES-R.7/es" TargetMode="External"/><Relationship Id="rId37" Type="http://schemas.openxmlformats.org/officeDocument/2006/relationships/hyperlink" Target="https://www.itu.int/md/R23-RA23-C-0102/es" TargetMode="External"/><Relationship Id="rId53" Type="http://schemas.openxmlformats.org/officeDocument/2006/relationships/hyperlink" Target="https://www.itu.int/md/R23-RAG-C-0005" TargetMode="External"/><Relationship Id="rId58" Type="http://schemas.openxmlformats.org/officeDocument/2006/relationships/footer" Target="footer1.xml"/><Relationship Id="rId74" Type="http://schemas.openxmlformats.org/officeDocument/2006/relationships/image" Target="media/image12.png"/><Relationship Id="rId79" Type="http://schemas.openxmlformats.org/officeDocument/2006/relationships/hyperlink" Target="https://www.itu.int/ra-23/es/" TargetMode="External"/><Relationship Id="rId102" Type="http://schemas.openxmlformats.org/officeDocument/2006/relationships/hyperlink" Target="https://www.itu.int/es/mediacentre/backgrounders/Pages/Earth-stations-in-motion-satellite-issues.aspx" TargetMode="External"/><Relationship Id="rId5" Type="http://schemas.openxmlformats.org/officeDocument/2006/relationships/webSettings" Target="webSettings.xml"/><Relationship Id="rId90" Type="http://schemas.openxmlformats.org/officeDocument/2006/relationships/hyperlink" Target="https://www.itu.int/hub/publication/s-gen-news-2023-3/" TargetMode="External"/><Relationship Id="rId95" Type="http://schemas.openxmlformats.org/officeDocument/2006/relationships/hyperlink" Target="https://www.itu.int/en/ITU-R/Documents/ITU-R-FAQ-DD-DSO.pdf" TargetMode="External"/><Relationship Id="rId22" Type="http://schemas.openxmlformats.org/officeDocument/2006/relationships/hyperlink" Target="https://www.itu.int/pub/R-RES-R.4/es" TargetMode="External"/><Relationship Id="rId27" Type="http://schemas.openxmlformats.org/officeDocument/2006/relationships/hyperlink" Target="https://www.itu.int/pub/R-RES-R.72/es" TargetMode="External"/><Relationship Id="rId43" Type="http://schemas.openxmlformats.org/officeDocument/2006/relationships/hyperlink" Target="https://www.itu.int/wrc-23/es/" TargetMode="External"/><Relationship Id="rId48" Type="http://schemas.openxmlformats.org/officeDocument/2006/relationships/image" Target="media/image7.emf"/><Relationship Id="rId64" Type="http://schemas.openxmlformats.org/officeDocument/2006/relationships/hyperlink" Target="https://www.arpce.cg/" TargetMode="External"/><Relationship Id="rId69" Type="http://schemas.openxmlformats.org/officeDocument/2006/relationships/hyperlink" Target="https://www.itu.int/en/ITU-D/Regional-Presence/Africa/Pages/Online-workshop-on-the-preparation-of-the-National-Table-of-Frequency-Allocation-(NTFA).aspx" TargetMode="External"/><Relationship Id="rId113" Type="http://schemas.openxmlformats.org/officeDocument/2006/relationships/footer" Target="footer6.xml"/><Relationship Id="rId80" Type="http://schemas.openxmlformats.org/officeDocument/2006/relationships/hyperlink" Target="https://www.itu.int/now4wrc23/es/" TargetMode="External"/><Relationship Id="rId85" Type="http://schemas.openxmlformats.org/officeDocument/2006/relationships/hyperlink" Target="https://www.itu.int/wrc-23/newsroom/wrc-news/" TargetMode="External"/><Relationship Id="rId12" Type="http://schemas.openxmlformats.org/officeDocument/2006/relationships/hyperlink" Target="https://www.itu.int/md/S23-CL-C-0016/es" TargetMode="External"/><Relationship Id="rId17" Type="http://schemas.openxmlformats.org/officeDocument/2006/relationships/hyperlink" Target="https://www.itu.int/md/S24-RCLCWGLANG14-C-0002/es" TargetMode="External"/><Relationship Id="rId33" Type="http://schemas.openxmlformats.org/officeDocument/2006/relationships/hyperlink" Target="https://www.itu.int/pub/R-RES-R.15/es" TargetMode="External"/><Relationship Id="rId38" Type="http://schemas.openxmlformats.org/officeDocument/2006/relationships/hyperlink" Target="https://www.itu.int/md/R23-RA23-C-0103/es" TargetMode="External"/><Relationship Id="rId59" Type="http://schemas.openxmlformats.org/officeDocument/2006/relationships/footer" Target="footer2.xml"/><Relationship Id="rId103" Type="http://schemas.openxmlformats.org/officeDocument/2006/relationships/hyperlink" Target="https://www.itu.int/es/mediacentre/backgrounders/Pages/Non-geostationary-satellite-systems.aspx" TargetMode="External"/><Relationship Id="rId108" Type="http://schemas.openxmlformats.org/officeDocument/2006/relationships/hyperlink" Target="https://www.itu.int/ra-23/es/" TargetMode="External"/><Relationship Id="rId54" Type="http://schemas.openxmlformats.org/officeDocument/2006/relationships/hyperlink" Target="https://www.itu.int/es/publications/ITU-R/Pages/publications.aspx?parent=R-REG-RR-2020&amp;media=electronic" TargetMode="External"/><Relationship Id="rId70" Type="http://schemas.openxmlformats.org/officeDocument/2006/relationships/hyperlink" Target="https://www.itu.int/dms_pub/itu-r/oth/0a/0e/R0A0E0000E80001PDFE.pdf" TargetMode="External"/><Relationship Id="rId75" Type="http://schemas.openxmlformats.org/officeDocument/2006/relationships/image" Target="media/image13.png"/><Relationship Id="rId91" Type="http://schemas.openxmlformats.org/officeDocument/2006/relationships/hyperlink" Target="https://www.itu.int/hub/publication/s-gen-news-2023-2/" TargetMode="External"/><Relationship Id="rId96" Type="http://schemas.openxmlformats.org/officeDocument/2006/relationships/hyperlink" Target="https://www.itu.int/en/ITU-R/terrestrial/Pages/by-categories-faq.aspx?maincategorizedby=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3-CL-C-0115/es" TargetMode="External"/><Relationship Id="rId23" Type="http://schemas.openxmlformats.org/officeDocument/2006/relationships/hyperlink" Target="https://www.itu.int/md/R23-RA23-C-0091/es" TargetMode="External"/><Relationship Id="rId28" Type="http://schemas.openxmlformats.org/officeDocument/2006/relationships/hyperlink" Target="https://www.itu.int/pub/R-RES-R.73/es" TargetMode="External"/><Relationship Id="rId36" Type="http://schemas.openxmlformats.org/officeDocument/2006/relationships/hyperlink" Target="https://www.itu.int/md/R23-RA23-C-0091/es" TargetMode="External"/><Relationship Id="rId49" Type="http://schemas.openxmlformats.org/officeDocument/2006/relationships/image" Target="media/image8.emf"/><Relationship Id="rId57" Type="http://schemas.openxmlformats.org/officeDocument/2006/relationships/header" Target="header1.xml"/><Relationship Id="rId106" Type="http://schemas.openxmlformats.org/officeDocument/2006/relationships/hyperlink" Target="https://www.itu.int/es/ITU-R/Director/Pages/default.aspx" TargetMode="External"/><Relationship Id="rId114" Type="http://schemas.openxmlformats.org/officeDocument/2006/relationships/fontTable" Target="fontTable.xml"/><Relationship Id="rId10" Type="http://schemas.openxmlformats.org/officeDocument/2006/relationships/hyperlink" Target="https://council.itu.int/2023/en/" TargetMode="External"/><Relationship Id="rId31" Type="http://schemas.openxmlformats.org/officeDocument/2006/relationships/hyperlink" Target="https://www.itu.int/pub/R-RES-R.6/es" TargetMode="External"/><Relationship Id="rId44" Type="http://schemas.openxmlformats.org/officeDocument/2006/relationships/hyperlink" Target="https://www.itu.int/md/R23-WRC23-C-0460/es" TargetMode="External"/><Relationship Id="rId52" Type="http://schemas.openxmlformats.org/officeDocument/2006/relationships/hyperlink" Target="https://www.itu.int/md/S23-CL-C-0028/es" TargetMode="External"/><Relationship Id="rId60" Type="http://schemas.openxmlformats.org/officeDocument/2006/relationships/hyperlink" Target="https://www.pita.org.fj/" TargetMode="External"/><Relationship Id="rId65" Type="http://schemas.openxmlformats.org/officeDocument/2006/relationships/header" Target="header2.xml"/><Relationship Id="rId73" Type="http://schemas.openxmlformats.org/officeDocument/2006/relationships/image" Target="media/image11.png"/><Relationship Id="rId78" Type="http://schemas.openxmlformats.org/officeDocument/2006/relationships/hyperlink" Target="https://www.itu.int/wrc-23/es/" TargetMode="External"/><Relationship Id="rId81" Type="http://schemas.openxmlformats.org/officeDocument/2006/relationships/hyperlink" Target="https://www.itu.int/itu-r-awards/awards/emmy-award/" TargetMode="External"/><Relationship Id="rId86" Type="http://schemas.openxmlformats.org/officeDocument/2006/relationships/image" Target="media/image15.png"/><Relationship Id="rId94" Type="http://schemas.openxmlformats.org/officeDocument/2006/relationships/hyperlink" Target="https://www.itu.int/en/ITU-R/Documents/ITU-R-FAQ-IMT.pdf" TargetMode="External"/><Relationship Id="rId99" Type="http://schemas.openxmlformats.org/officeDocument/2006/relationships/hyperlink" Target="https://www.itu.int/es/mediacentre/backgrounders/Pages/itu-study-groups.aspx" TargetMode="External"/><Relationship Id="rId101" Type="http://schemas.openxmlformats.org/officeDocument/2006/relationships/hyperlink" Target="https://www.itu.int/es/mediacentre/backgrounders/Pages/Radiocommunications-for-keeping-ships-and-people-safe-at-sea.aspx" TargetMode="External"/><Relationship Id="rId4" Type="http://schemas.openxmlformats.org/officeDocument/2006/relationships/settings" Target="settings.xml"/><Relationship Id="rId9" Type="http://schemas.openxmlformats.org/officeDocument/2006/relationships/hyperlink" Target="https://www.itu.int/md/R00-CA-CIR-0271/es" TargetMode="External"/><Relationship Id="rId13" Type="http://schemas.openxmlformats.org/officeDocument/2006/relationships/hyperlink" Target="https://www.itu.int/md/S23-CL-C-0019/es" TargetMode="External"/><Relationship Id="rId18" Type="http://schemas.openxmlformats.org/officeDocument/2006/relationships/hyperlink" Target="https://www.itu.int/ra-23/" TargetMode="External"/><Relationship Id="rId39" Type="http://schemas.openxmlformats.org/officeDocument/2006/relationships/hyperlink" Target="http://www.itu.int/go/ITU-R/wrc-23-irwsp-23" TargetMode="External"/><Relationship Id="rId109" Type="http://schemas.openxmlformats.org/officeDocument/2006/relationships/hyperlink" Target="https://www.itu.int/pub/R-RES-R.72/es" TargetMode="External"/><Relationship Id="rId34" Type="http://schemas.openxmlformats.org/officeDocument/2006/relationships/hyperlink" Target="https://www.itu.int/pub/R-RES-R.48/es" TargetMode="External"/><Relationship Id="rId50" Type="http://schemas.openxmlformats.org/officeDocument/2006/relationships/hyperlink" Target="https://www.itu.int/md/R00-CA-CIR-0270/es" TargetMode="External"/><Relationship Id="rId55" Type="http://schemas.openxmlformats.org/officeDocument/2006/relationships/hyperlink" Target="https://www.itu.int/hub/publication/r-reg-rr-2020/" TargetMode="External"/><Relationship Id="rId76" Type="http://schemas.openxmlformats.org/officeDocument/2006/relationships/image" Target="media/image14.png"/><Relationship Id="rId97" Type="http://schemas.openxmlformats.org/officeDocument/2006/relationships/hyperlink" Target="https://www.itu.int/es/mediacentre/backgrounders/Pages/5G-fifth-generation-of-mobile-technologies.aspx" TargetMode="External"/><Relationship Id="rId104" Type="http://schemas.openxmlformats.org/officeDocument/2006/relationships/hyperlink" Target="https://www.itu.int/en/mediacentre/backgrounders/Pages/non-GSO-satellite-systems-with-short-duration-missions.aspx" TargetMode="External"/><Relationship Id="rId7" Type="http://schemas.openxmlformats.org/officeDocument/2006/relationships/endnotes" Target="endnotes.xml"/><Relationship Id="rId71" Type="http://schemas.openxmlformats.org/officeDocument/2006/relationships/image" Target="media/image9.png"/><Relationship Id="rId92" Type="http://schemas.openxmlformats.org/officeDocument/2006/relationships/hyperlink" Target="https://www.itu.int/hub/publication/s-gen-news-2023-1/" TargetMode="External"/><Relationship Id="rId2" Type="http://schemas.openxmlformats.org/officeDocument/2006/relationships/numbering" Target="numbering.xml"/><Relationship Id="rId29" Type="http://schemas.openxmlformats.org/officeDocument/2006/relationships/hyperlink" Target="https://www.itu.int/pub/R-RES-R.74/es" TargetMode="External"/><Relationship Id="rId24" Type="http://schemas.openxmlformats.org/officeDocument/2006/relationships/hyperlink" Target="https://www.itu.int/pub/R-RES-R.5/es" TargetMode="External"/><Relationship Id="rId40" Type="http://schemas.openxmlformats.org/officeDocument/2006/relationships/hyperlink" Target="https://www.itu.int/wrc-23/es/preparativos/preparacion-de-propuestas/" TargetMode="External"/><Relationship Id="rId45" Type="http://schemas.openxmlformats.org/officeDocument/2006/relationships/hyperlink" Target="https://www.itu.int/md/S24-CWGFHR17-C-0012/es" TargetMode="External"/><Relationship Id="rId66" Type="http://schemas.openxmlformats.org/officeDocument/2006/relationships/footer" Target="footer3.xml"/><Relationship Id="rId87" Type="http://schemas.openxmlformats.org/officeDocument/2006/relationships/image" Target="cid:image003.png@01DA4DF8.33F98670" TargetMode="External"/><Relationship Id="rId110" Type="http://schemas.openxmlformats.org/officeDocument/2006/relationships/header" Target="header4.xml"/><Relationship Id="rId115" Type="http://schemas.openxmlformats.org/officeDocument/2006/relationships/theme" Target="theme/theme1.xml"/><Relationship Id="rId61" Type="http://schemas.openxmlformats.org/officeDocument/2006/relationships/hyperlink" Target="https://www.infrastructure.gov.au/" TargetMode="External"/><Relationship Id="rId82" Type="http://schemas.openxmlformats.org/officeDocument/2006/relationships/hyperlink" Target="https://www.itu.int/futureradionow/" TargetMode="External"/><Relationship Id="rId19" Type="http://schemas.openxmlformats.org/officeDocument/2006/relationships/hyperlink" Target="https://www.itu.int/pub/R-RES-R.1/es" TargetMode="External"/><Relationship Id="rId14" Type="http://schemas.openxmlformats.org/officeDocument/2006/relationships/hyperlink" Target="https://www.itu.int/md/S23-CL-C-0019/es" TargetMode="External"/><Relationship Id="rId30" Type="http://schemas.openxmlformats.org/officeDocument/2006/relationships/hyperlink" Target="https://www.itu.int/pub/R-RES-R.75/es" TargetMode="External"/><Relationship Id="rId35" Type="http://schemas.openxmlformats.org/officeDocument/2006/relationships/hyperlink" Target="https://www.itu.int/md/R23-WRC23-C-0217/es" TargetMode="External"/><Relationship Id="rId56" Type="http://schemas.openxmlformats.org/officeDocument/2006/relationships/hyperlink" Target="http://www.itu.int/ITU-R/go/seminars" TargetMode="External"/><Relationship Id="rId77" Type="http://schemas.openxmlformats.org/officeDocument/2006/relationships/hyperlink" Target="mailto:brweb@itu.int" TargetMode="External"/><Relationship Id="rId100" Type="http://schemas.openxmlformats.org/officeDocument/2006/relationships/hyperlink" Target="https://www.itu.int/es/mediacentre/backgrounders/Pages/itu-r-managing-the-radio-frequency-spectrum-for-the-world.aspx" TargetMode="External"/><Relationship Id="rId105" Type="http://schemas.openxmlformats.org/officeDocument/2006/relationships/hyperlink" Target="https://www.itu.int/es/mediacentre/backgrounders/Pages/Regulation-of-Satellite-Systems.aspx" TargetMode="External"/><Relationship Id="rId8" Type="http://schemas.openxmlformats.org/officeDocument/2006/relationships/image" Target="media/image1.jpeg"/><Relationship Id="rId51" Type="http://schemas.openxmlformats.org/officeDocument/2006/relationships/hyperlink" Target="https://www.itu.int/md/S23-CL-C-0113/es" TargetMode="External"/><Relationship Id="rId72" Type="http://schemas.openxmlformats.org/officeDocument/2006/relationships/image" Target="media/image10.png"/><Relationship Id="rId93" Type="http://schemas.openxmlformats.org/officeDocument/2006/relationships/hyperlink" Target="https://www.itu.int/en/ITU-R/Documents/ITU-R-FAQ-UTC.pdf" TargetMode="External"/><Relationship Id="rId98" Type="http://schemas.openxmlformats.org/officeDocument/2006/relationships/hyperlink" Target="https://www.itu.int/es/mediacentre/backgrounders/Pages/High-altitude-platform-systems.aspx" TargetMode="External"/><Relationship Id="rId3" Type="http://schemas.openxmlformats.org/officeDocument/2006/relationships/styles" Target="styles.xml"/><Relationship Id="rId25" Type="http://schemas.openxmlformats.org/officeDocument/2006/relationships/hyperlink" Target="https://www.itu.int/pub/R-RES-R.56/es" TargetMode="External"/><Relationship Id="rId46" Type="http://schemas.openxmlformats.org/officeDocument/2006/relationships/image" Target="media/image5.emf"/><Relationship Id="rId67" Type="http://schemas.openxmlformats.org/officeDocument/2006/relationships/header" Target="header3.xml"/><Relationship Id="rId20" Type="http://schemas.openxmlformats.org/officeDocument/2006/relationships/hyperlink" Target="https://www.itu.int/pub/R-RES-R.1/es" TargetMode="External"/><Relationship Id="rId41" Type="http://schemas.openxmlformats.org/officeDocument/2006/relationships/image" Target="media/image3.png"/><Relationship Id="rId62" Type="http://schemas.openxmlformats.org/officeDocument/2006/relationships/hyperlink" Target="https://www.mincom.gob.cu/es" TargetMode="External"/><Relationship Id="rId83" Type="http://schemas.openxmlformats.org/officeDocument/2006/relationships/hyperlink" Target="https://www.itu.int/futureradionow/" TargetMode="External"/><Relationship Id="rId88" Type="http://schemas.openxmlformats.org/officeDocument/2006/relationships/hyperlink" Target="https://www.itu.int/hub/publication/s-gen-news-2023-5/" TargetMode="External"/><Relationship Id="rId111"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C6AC-1DFE-4718-BAD7-D8A29A56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35</TotalTime>
  <Pages>52</Pages>
  <Words>20614</Words>
  <Characters>115156</Characters>
  <Application>Microsoft Office Word</Application>
  <DocSecurity>0</DocSecurity>
  <Lines>2303</Lines>
  <Paragraphs>631</Paragraphs>
  <ScaleCrop>false</ScaleCrop>
  <HeadingPairs>
    <vt:vector size="2" baseType="variant">
      <vt:variant>
        <vt:lpstr>Title</vt:lpstr>
      </vt:variant>
      <vt:variant>
        <vt:i4>1</vt:i4>
      </vt:variant>
    </vt:vector>
  </HeadingPairs>
  <TitlesOfParts>
    <vt:vector size="1" baseType="lpstr">
      <vt:lpstr>INFORME A LA TRIGÉSIMA PRIMERA REUNIÓN DEL GRUPO ASESOR DE RADIOCOMUNICACIONES</vt:lpstr>
    </vt:vector>
  </TitlesOfParts>
  <Manager>General Secretariat - Pool</Manager>
  <Company>International Telecommunication Union (ITU)</Company>
  <LinksUpToDate>false</LinksUpToDate>
  <CharactersWithSpaces>135139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PRIMERA REUNIÓN DEL GRUPO ASESOR DE RADIOCOMUNICACIONES</dc:title>
  <dc:subject>GRUPO ASESOR DE RADIOCOMUNICACIONES</dc:subject>
  <dc:creator>Director de la Oficina de Radiocomunicaciones</dc:creator>
  <cp:keywords>RAG03-1</cp:keywords>
  <dc:description>Revisión 1 al Documento RAG/1-S  For: _x000d_Document date: 1229 de febrero de 2024_x000d_Saved by ITU51016891 at 12:45:07 on 06.03.2024</dc:description>
  <cp:lastModifiedBy>Spanish83</cp:lastModifiedBy>
  <cp:revision>8</cp:revision>
  <cp:lastPrinted>1993-02-18T11:12:00Z</cp:lastPrinted>
  <dcterms:created xsi:type="dcterms:W3CDTF">2024-03-14T13:30:00Z</dcterms:created>
  <dcterms:modified xsi:type="dcterms:W3CDTF">2024-03-14T14:10:00Z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Revisión 1 al Documento RAG/1-S</vt:lpwstr>
  </property>
  <property fmtid="{D5CDD505-2E9C-101B-9397-08002B2CF9AE}" pid="3" name="Docdate">
    <vt:lpwstr>1229 de febrero de 2024</vt:lpwstr>
  </property>
  <property fmtid="{D5CDD505-2E9C-101B-9397-08002B2CF9AE}" pid="4" name="Docorlang">
    <vt:lpwstr>Original: inglés</vt:lpwstr>
  </property>
  <property fmtid="{D5CDD505-2E9C-101B-9397-08002B2CF9AE}" pid="5" name="Docauthor">
    <vt:lpwstr>Director de la Oficina de Radiocomunicaciones</vt:lpwstr>
  </property>
</Properties>
</file>