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766"/>
        <w:tblW w:w="9889" w:type="dxa"/>
        <w:tblLayout w:type="fixed"/>
        <w:tblLook w:val="0000" w:firstRow="0" w:lastRow="0" w:firstColumn="0" w:lastColumn="0" w:noHBand="0" w:noVBand="0"/>
      </w:tblPr>
      <w:tblGrid>
        <w:gridCol w:w="6771"/>
        <w:gridCol w:w="3118"/>
      </w:tblGrid>
      <w:tr w:rsidR="00443261" w:rsidRPr="00A910E2" w14:paraId="5B32E97F" w14:textId="77777777" w:rsidTr="00443261">
        <w:trPr>
          <w:cantSplit/>
        </w:trPr>
        <w:tc>
          <w:tcPr>
            <w:tcW w:w="6771" w:type="dxa"/>
            <w:vAlign w:val="center"/>
          </w:tcPr>
          <w:p w14:paraId="2D77677E" w14:textId="77777777" w:rsidR="00443261" w:rsidRPr="00A910E2" w:rsidRDefault="00443261" w:rsidP="009D7A5E">
            <w:pPr>
              <w:shd w:val="solid" w:color="FFFFFF" w:fill="FFFFFF"/>
              <w:spacing w:before="360" w:after="240"/>
              <w:rPr>
                <w:rFonts w:ascii="Verdana" w:hAnsi="Verdana"/>
                <w:b/>
                <w:bCs/>
              </w:rPr>
            </w:pPr>
            <w:r w:rsidRPr="00A910E2">
              <w:rPr>
                <w:rFonts w:ascii="Verdana" w:hAnsi="Verdana" w:cs="Times New Roman Bold"/>
                <w:b/>
                <w:sz w:val="25"/>
                <w:szCs w:val="25"/>
              </w:rPr>
              <w:t>Groupe Consultatif des Radiocommunications</w:t>
            </w:r>
            <w:r w:rsidRPr="00A910E2">
              <w:rPr>
                <w:rFonts w:ascii="Verdana" w:hAnsi="Verdana"/>
                <w:b/>
                <w:sz w:val="25"/>
                <w:szCs w:val="25"/>
              </w:rPr>
              <w:br/>
            </w:r>
          </w:p>
        </w:tc>
        <w:tc>
          <w:tcPr>
            <w:tcW w:w="3118" w:type="dxa"/>
          </w:tcPr>
          <w:p w14:paraId="58CA1275" w14:textId="77777777" w:rsidR="00443261" w:rsidRPr="00A910E2" w:rsidRDefault="007711EA" w:rsidP="009D7A5E">
            <w:pPr>
              <w:shd w:val="solid" w:color="FFFFFF" w:fill="FFFFFF"/>
              <w:spacing w:before="0"/>
            </w:pPr>
            <w:r w:rsidRPr="00A910E2">
              <w:rPr>
                <w:lang w:eastAsia="zh-CN"/>
              </w:rPr>
              <w:drawing>
                <wp:inline distT="0" distB="0" distL="0" distR="0" wp14:anchorId="6F92D664" wp14:editId="6F37B835">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2D238A" w:rsidRPr="00A910E2" w14:paraId="5604B19D" w14:textId="77777777">
        <w:trPr>
          <w:cantSplit/>
        </w:trPr>
        <w:tc>
          <w:tcPr>
            <w:tcW w:w="6771" w:type="dxa"/>
            <w:tcBorders>
              <w:bottom w:val="single" w:sz="12" w:space="0" w:color="auto"/>
            </w:tcBorders>
          </w:tcPr>
          <w:p w14:paraId="4B34828E" w14:textId="77777777" w:rsidR="002D238A" w:rsidRPr="00A910E2" w:rsidRDefault="002D238A" w:rsidP="009D7A5E">
            <w:pPr>
              <w:shd w:val="solid" w:color="FFFFFF" w:fill="FFFFFF"/>
              <w:spacing w:before="0" w:after="48"/>
              <w:rPr>
                <w:rFonts w:ascii="Verdana" w:hAnsi="Verdana" w:cs="Times New Roman Bold"/>
                <w:b/>
                <w:sz w:val="22"/>
                <w:szCs w:val="22"/>
              </w:rPr>
            </w:pPr>
          </w:p>
        </w:tc>
        <w:tc>
          <w:tcPr>
            <w:tcW w:w="3118" w:type="dxa"/>
            <w:tcBorders>
              <w:bottom w:val="single" w:sz="12" w:space="0" w:color="auto"/>
            </w:tcBorders>
          </w:tcPr>
          <w:p w14:paraId="38815E20" w14:textId="77777777" w:rsidR="002D238A" w:rsidRPr="00A910E2" w:rsidRDefault="002D238A" w:rsidP="009D7A5E">
            <w:pPr>
              <w:shd w:val="solid" w:color="FFFFFF" w:fill="FFFFFF"/>
              <w:spacing w:before="0" w:after="48"/>
              <w:rPr>
                <w:sz w:val="22"/>
                <w:szCs w:val="22"/>
              </w:rPr>
            </w:pPr>
          </w:p>
        </w:tc>
      </w:tr>
      <w:tr w:rsidR="002D238A" w:rsidRPr="00A910E2" w14:paraId="187716F9" w14:textId="77777777">
        <w:trPr>
          <w:cantSplit/>
        </w:trPr>
        <w:tc>
          <w:tcPr>
            <w:tcW w:w="6771" w:type="dxa"/>
            <w:tcBorders>
              <w:top w:val="single" w:sz="12" w:space="0" w:color="auto"/>
            </w:tcBorders>
          </w:tcPr>
          <w:p w14:paraId="0D1EB286" w14:textId="77777777" w:rsidR="002D238A" w:rsidRPr="00A910E2" w:rsidRDefault="002D238A" w:rsidP="009D7A5E">
            <w:pPr>
              <w:shd w:val="solid" w:color="FFFFFF" w:fill="FFFFFF"/>
              <w:spacing w:before="0" w:after="48"/>
              <w:rPr>
                <w:rFonts w:ascii="Verdana" w:hAnsi="Verdana" w:cs="Times New Roman Bold"/>
                <w:bCs/>
                <w:sz w:val="22"/>
                <w:szCs w:val="22"/>
              </w:rPr>
            </w:pPr>
          </w:p>
        </w:tc>
        <w:tc>
          <w:tcPr>
            <w:tcW w:w="3118" w:type="dxa"/>
            <w:tcBorders>
              <w:top w:val="single" w:sz="12" w:space="0" w:color="auto"/>
            </w:tcBorders>
          </w:tcPr>
          <w:p w14:paraId="6DB37407" w14:textId="77777777" w:rsidR="002D238A" w:rsidRPr="00A910E2" w:rsidRDefault="002D238A" w:rsidP="009D7A5E">
            <w:pPr>
              <w:shd w:val="solid" w:color="FFFFFF" w:fill="FFFFFF"/>
              <w:spacing w:before="0" w:after="48"/>
              <w:rPr>
                <w:rFonts w:ascii="Verdana" w:hAnsi="Verdana"/>
                <w:sz w:val="22"/>
                <w:szCs w:val="22"/>
              </w:rPr>
            </w:pPr>
          </w:p>
        </w:tc>
      </w:tr>
      <w:tr w:rsidR="002D238A" w:rsidRPr="00A910E2" w14:paraId="0FBE0B79" w14:textId="77777777">
        <w:trPr>
          <w:cantSplit/>
        </w:trPr>
        <w:tc>
          <w:tcPr>
            <w:tcW w:w="6771" w:type="dxa"/>
            <w:vMerge w:val="restart"/>
          </w:tcPr>
          <w:p w14:paraId="2BB90DA0" w14:textId="77777777" w:rsidR="002D238A" w:rsidRPr="00A910E2" w:rsidRDefault="002D238A" w:rsidP="009D7A5E">
            <w:pPr>
              <w:shd w:val="solid" w:color="FFFFFF" w:fill="FFFFFF"/>
              <w:spacing w:before="0"/>
              <w:rPr>
                <w:rFonts w:ascii="Verdana" w:hAnsi="Verdana"/>
                <w:sz w:val="20"/>
              </w:rPr>
            </w:pPr>
            <w:bookmarkStart w:id="0" w:name="dnum" w:colFirst="1" w:colLast="1"/>
          </w:p>
        </w:tc>
        <w:tc>
          <w:tcPr>
            <w:tcW w:w="3118" w:type="dxa"/>
          </w:tcPr>
          <w:p w14:paraId="754C6B51" w14:textId="5AB3411C" w:rsidR="002D238A" w:rsidRPr="00A910E2" w:rsidRDefault="003516EC" w:rsidP="009D7A5E">
            <w:pPr>
              <w:shd w:val="solid" w:color="FFFFFF" w:fill="FFFFFF"/>
              <w:spacing w:before="0"/>
              <w:rPr>
                <w:rFonts w:ascii="Verdana" w:hAnsi="Verdana"/>
                <w:b/>
                <w:bCs/>
                <w:sz w:val="20"/>
              </w:rPr>
            </w:pPr>
            <w:r w:rsidRPr="00A910E2">
              <w:rPr>
                <w:rFonts w:ascii="Verdana" w:hAnsi="Verdana"/>
                <w:b/>
                <w:bCs/>
                <w:sz w:val="20"/>
              </w:rPr>
              <w:t>Révision 1 du</w:t>
            </w:r>
            <w:r w:rsidRPr="00A910E2">
              <w:rPr>
                <w:rFonts w:ascii="Verdana" w:hAnsi="Verdana"/>
                <w:b/>
                <w:bCs/>
                <w:sz w:val="20"/>
              </w:rPr>
              <w:br/>
            </w:r>
            <w:r w:rsidR="00D61DB6" w:rsidRPr="00A910E2">
              <w:rPr>
                <w:rFonts w:ascii="Verdana" w:hAnsi="Verdana"/>
                <w:b/>
                <w:bCs/>
                <w:sz w:val="20"/>
              </w:rPr>
              <w:t>Document RAG/1-F</w:t>
            </w:r>
          </w:p>
        </w:tc>
      </w:tr>
      <w:tr w:rsidR="002D238A" w:rsidRPr="00A910E2" w14:paraId="41177290" w14:textId="77777777">
        <w:trPr>
          <w:cantSplit/>
        </w:trPr>
        <w:tc>
          <w:tcPr>
            <w:tcW w:w="6771" w:type="dxa"/>
            <w:vMerge/>
          </w:tcPr>
          <w:p w14:paraId="08CADCFA" w14:textId="77777777" w:rsidR="002D238A" w:rsidRPr="00A910E2" w:rsidRDefault="002D238A" w:rsidP="009D7A5E">
            <w:pPr>
              <w:spacing w:before="60"/>
              <w:rPr>
                <w:b/>
                <w:smallCaps/>
                <w:sz w:val="32"/>
              </w:rPr>
            </w:pPr>
            <w:bookmarkStart w:id="1" w:name="ddate" w:colFirst="1" w:colLast="1"/>
            <w:bookmarkEnd w:id="0"/>
          </w:p>
        </w:tc>
        <w:tc>
          <w:tcPr>
            <w:tcW w:w="3118" w:type="dxa"/>
          </w:tcPr>
          <w:p w14:paraId="698C2940" w14:textId="37EE8658" w:rsidR="002D238A" w:rsidRPr="00A910E2" w:rsidRDefault="003516EC" w:rsidP="009D7A5E">
            <w:pPr>
              <w:shd w:val="solid" w:color="FFFFFF" w:fill="FFFFFF"/>
              <w:spacing w:before="0"/>
              <w:rPr>
                <w:rFonts w:ascii="Verdana" w:hAnsi="Verdana"/>
                <w:b/>
                <w:bCs/>
                <w:sz w:val="20"/>
              </w:rPr>
            </w:pPr>
            <w:r w:rsidRPr="00A910E2">
              <w:rPr>
                <w:rFonts w:ascii="Verdana" w:hAnsi="Verdana"/>
                <w:b/>
                <w:bCs/>
                <w:sz w:val="20"/>
              </w:rPr>
              <w:t>29</w:t>
            </w:r>
            <w:r w:rsidR="00D61DB6" w:rsidRPr="00A910E2">
              <w:rPr>
                <w:rFonts w:ascii="Verdana" w:hAnsi="Verdana"/>
                <w:b/>
                <w:bCs/>
                <w:sz w:val="20"/>
              </w:rPr>
              <w:t xml:space="preserve"> février 2024</w:t>
            </w:r>
          </w:p>
        </w:tc>
      </w:tr>
      <w:tr w:rsidR="002D238A" w:rsidRPr="00A910E2" w14:paraId="451FEF1A" w14:textId="77777777">
        <w:trPr>
          <w:cantSplit/>
        </w:trPr>
        <w:tc>
          <w:tcPr>
            <w:tcW w:w="6771" w:type="dxa"/>
            <w:vMerge/>
          </w:tcPr>
          <w:p w14:paraId="3B92D0E2" w14:textId="77777777" w:rsidR="002D238A" w:rsidRPr="00A910E2" w:rsidRDefault="002D238A" w:rsidP="009D7A5E">
            <w:pPr>
              <w:spacing w:before="60"/>
              <w:rPr>
                <w:b/>
                <w:smallCaps/>
                <w:sz w:val="32"/>
              </w:rPr>
            </w:pPr>
            <w:bookmarkStart w:id="2" w:name="dorlang" w:colFirst="1" w:colLast="1"/>
            <w:bookmarkEnd w:id="1"/>
          </w:p>
        </w:tc>
        <w:tc>
          <w:tcPr>
            <w:tcW w:w="3118" w:type="dxa"/>
          </w:tcPr>
          <w:p w14:paraId="0A644E63" w14:textId="7D207DD4" w:rsidR="002D238A" w:rsidRPr="00A910E2" w:rsidRDefault="00D61DB6" w:rsidP="009D7A5E">
            <w:pPr>
              <w:shd w:val="solid" w:color="FFFFFF" w:fill="FFFFFF"/>
              <w:spacing w:before="0" w:after="120"/>
              <w:rPr>
                <w:rFonts w:ascii="Verdana" w:hAnsi="Verdana"/>
                <w:b/>
                <w:bCs/>
                <w:sz w:val="20"/>
              </w:rPr>
            </w:pPr>
            <w:r w:rsidRPr="00A910E2">
              <w:rPr>
                <w:rFonts w:ascii="Verdana" w:hAnsi="Verdana"/>
                <w:b/>
                <w:bCs/>
                <w:sz w:val="20"/>
              </w:rPr>
              <w:t>Original: anglais</w:t>
            </w:r>
          </w:p>
        </w:tc>
      </w:tr>
      <w:tr w:rsidR="002D238A" w:rsidRPr="00A910E2" w14:paraId="159CDCBF" w14:textId="77777777">
        <w:trPr>
          <w:cantSplit/>
        </w:trPr>
        <w:tc>
          <w:tcPr>
            <w:tcW w:w="9889" w:type="dxa"/>
            <w:gridSpan w:val="2"/>
          </w:tcPr>
          <w:p w14:paraId="752488B1" w14:textId="541D82C6" w:rsidR="002D238A" w:rsidRPr="00A910E2" w:rsidRDefault="00D61DB6" w:rsidP="009D7A5E">
            <w:pPr>
              <w:pStyle w:val="Source"/>
            </w:pPr>
            <w:bookmarkStart w:id="3" w:name="dsource" w:colFirst="0" w:colLast="0"/>
            <w:bookmarkEnd w:id="2"/>
            <w:r w:rsidRPr="00A910E2">
              <w:t>Directeur du Bureau des radiocommunications</w:t>
            </w:r>
          </w:p>
        </w:tc>
      </w:tr>
      <w:tr w:rsidR="002D238A" w:rsidRPr="00A910E2" w14:paraId="0A35C4D1" w14:textId="77777777">
        <w:trPr>
          <w:cantSplit/>
        </w:trPr>
        <w:tc>
          <w:tcPr>
            <w:tcW w:w="9889" w:type="dxa"/>
            <w:gridSpan w:val="2"/>
          </w:tcPr>
          <w:p w14:paraId="3DCD5B56" w14:textId="61A5111E" w:rsidR="002D238A" w:rsidRPr="00A910E2" w:rsidRDefault="00D61DB6" w:rsidP="009D7A5E">
            <w:pPr>
              <w:pStyle w:val="Title1"/>
            </w:pPr>
            <w:bookmarkStart w:id="4" w:name="dtitle1" w:colFirst="0" w:colLast="0"/>
            <w:bookmarkEnd w:id="3"/>
            <w:r w:rsidRPr="00A910E2">
              <w:t>RAPPORT À LA TRENTIÈME-ET-UNI</w:t>
            </w:r>
            <w:r w:rsidR="00C92D00" w:rsidRPr="00A910E2">
              <w:t>È</w:t>
            </w:r>
            <w:r w:rsidRPr="00A910E2">
              <w:t>ME RÉUNION DU GROUPE CONSULTATIF DES RADIOCOMMUNICATIONS</w:t>
            </w:r>
          </w:p>
        </w:tc>
      </w:tr>
    </w:tbl>
    <w:p w14:paraId="1C6C2247" w14:textId="77777777" w:rsidR="00D61DB6" w:rsidRPr="00A910E2" w:rsidRDefault="00D61DB6" w:rsidP="009D7A5E">
      <w:pPr>
        <w:pStyle w:val="Heading1"/>
      </w:pPr>
      <w:bookmarkStart w:id="5" w:name="_Toc446060751"/>
      <w:bookmarkEnd w:id="4"/>
      <w:r w:rsidRPr="00A910E2">
        <w:t>1</w:t>
      </w:r>
      <w:r w:rsidRPr="00A910E2">
        <w:tab/>
        <w:t>Introduction</w:t>
      </w:r>
      <w:bookmarkEnd w:id="5"/>
    </w:p>
    <w:p w14:paraId="7B6BAD25" w14:textId="55F2E80C" w:rsidR="00D61DB6" w:rsidRPr="00A910E2" w:rsidRDefault="00D61DB6" w:rsidP="009D7A5E">
      <w:r w:rsidRPr="00A910E2">
        <w:t xml:space="preserve">Le présent document vise à faire le point et à donner des informations sur certaines questions figurant dans le projet d'ordre du jour de la 31ème réunion du GCR (voir la Circulaire administrative </w:t>
      </w:r>
      <w:hyperlink r:id="rId8" w:history="1">
        <w:r w:rsidRPr="00A910E2">
          <w:rPr>
            <w:rStyle w:val="Hyperlink"/>
          </w:rPr>
          <w:t>CA/271</w:t>
        </w:r>
      </w:hyperlink>
      <w:r w:rsidRPr="00A910E2">
        <w:t>), afin d'aider les participants lorsqu'ils examineront les points correspondants de l'ordre du jour.</w:t>
      </w:r>
    </w:p>
    <w:p w14:paraId="6CDE5CD9" w14:textId="77777777" w:rsidR="00D61DB6" w:rsidRPr="00A910E2" w:rsidRDefault="00D61DB6" w:rsidP="009D7A5E">
      <w:r w:rsidRPr="00A910E2">
        <w:t>Des rapports distincts seront soumis pour certains des points de l'ordre du jour.</w:t>
      </w:r>
    </w:p>
    <w:p w14:paraId="299CED24" w14:textId="77777777" w:rsidR="00D61DB6" w:rsidRPr="00A910E2" w:rsidRDefault="00D61DB6" w:rsidP="009D7A5E">
      <w:pPr>
        <w:pStyle w:val="Heading1"/>
      </w:pPr>
      <w:bookmarkStart w:id="6" w:name="_Toc446060752"/>
      <w:r w:rsidRPr="00A910E2">
        <w:t>2</w:t>
      </w:r>
      <w:r w:rsidRPr="00A910E2">
        <w:tab/>
        <w:t>Gouvernance de l'UIT-R</w:t>
      </w:r>
    </w:p>
    <w:p w14:paraId="04423EBF" w14:textId="77777777" w:rsidR="00D61DB6" w:rsidRPr="00A910E2" w:rsidRDefault="00D61DB6" w:rsidP="009D7A5E">
      <w:pPr>
        <w:pStyle w:val="Heading2"/>
      </w:pPr>
      <w:r w:rsidRPr="00A910E2">
        <w:t>2.1</w:t>
      </w:r>
      <w:r w:rsidRPr="00A910E2">
        <w:tab/>
        <w:t>Questions relatives au Conseil</w:t>
      </w:r>
      <w:bookmarkEnd w:id="6"/>
    </w:p>
    <w:p w14:paraId="7C6DCF7E" w14:textId="3FF4788D" w:rsidR="00D61DB6" w:rsidRPr="00A910E2" w:rsidRDefault="00D61DB6" w:rsidP="009D7A5E">
      <w:bookmarkStart w:id="7" w:name="_Toc446060753"/>
      <w:r w:rsidRPr="00A910E2">
        <w:t>Cette partie porte sur les questions traitées durant les sessions de 2023 du Conseil, tenues du</w:t>
      </w:r>
      <w:r w:rsidR="002F6C36" w:rsidRPr="00A910E2">
        <w:t> </w:t>
      </w:r>
      <w:r w:rsidRPr="00A910E2">
        <w:t>11</w:t>
      </w:r>
      <w:r w:rsidR="00C92D00" w:rsidRPr="00A910E2">
        <w:t> </w:t>
      </w:r>
      <w:r w:rsidRPr="00A910E2">
        <w:t>au</w:t>
      </w:r>
      <w:r w:rsidR="002F6C36" w:rsidRPr="00A910E2">
        <w:t> </w:t>
      </w:r>
      <w:r w:rsidRPr="00A910E2">
        <w:t>21 juillet 2023 et les 19 et 20 octobre 2023 (voir:</w:t>
      </w:r>
      <w:r w:rsidRPr="00A910E2">
        <w:rPr>
          <w:rStyle w:val="Hyperlink"/>
        </w:rPr>
        <w:t xml:space="preserve"> </w:t>
      </w:r>
      <w:hyperlink r:id="rId9" w:anchor="/fr" w:history="1">
        <w:r w:rsidRPr="00A910E2">
          <w:rPr>
            <w:rStyle w:val="Hyperlink"/>
          </w:rPr>
          <w:t>https://council.itu.int/2023/en/</w:t>
        </w:r>
      </w:hyperlink>
      <w:r w:rsidRPr="00A910E2">
        <w:t xml:space="preserve"> et </w:t>
      </w:r>
      <w:hyperlink r:id="rId10" w:anchor="/fr" w:history="1">
        <w:r w:rsidRPr="00A910E2">
          <w:rPr>
            <w:rStyle w:val="Hyperlink"/>
          </w:rPr>
          <w:t>https://council.itu.int/2023-additional/en/</w:t>
        </w:r>
      </w:hyperlink>
      <w:r w:rsidRPr="00A910E2">
        <w:t>, respectivement).</w:t>
      </w:r>
    </w:p>
    <w:p w14:paraId="1BBE1820" w14:textId="77777777" w:rsidR="00D61DB6" w:rsidRPr="00A910E2" w:rsidRDefault="00D61DB6" w:rsidP="009D7A5E">
      <w:pPr>
        <w:pStyle w:val="Heading3"/>
      </w:pPr>
      <w:r w:rsidRPr="00A910E2">
        <w:t>2.2.1</w:t>
      </w:r>
      <w:r w:rsidRPr="00A910E2">
        <w:tab/>
        <w:t>Accès en ligne gratuit aux publications de l'UIT-R</w:t>
      </w:r>
      <w:bookmarkEnd w:id="7"/>
    </w:p>
    <w:p w14:paraId="66B04722" w14:textId="2E40A6D8" w:rsidR="00D61DB6" w:rsidRPr="00A910E2" w:rsidRDefault="00D61DB6" w:rsidP="009D7A5E">
      <w:r w:rsidRPr="00A910E2">
        <w:t>L'UIT continue de publier des publications phares et plusieurs autres publications, en version imprimée et en version numérique/électronique. Par sa Décision 12 (Guadalajara, 2010), la PP</w:t>
      </w:r>
      <w:r w:rsidR="002F6C36" w:rsidRPr="00A910E2">
        <w:noBreakHyphen/>
      </w:r>
      <w:r w:rsidRPr="00A910E2">
        <w:t xml:space="preserve">10 a adopté une politique d'accès en ligne gratuit, applicable notamment aux Recommandations et aux Rapports de l'UIT-R. </w:t>
      </w:r>
      <w:r w:rsidR="002F6C36" w:rsidRPr="00A910E2">
        <w:t>À</w:t>
      </w:r>
      <w:r w:rsidRPr="00A910E2">
        <w:t xml:space="preserve"> sa session de 2012, le Conseil a élargi le cadre de cette politique en vertu de sa Décision 571, qu'il a modifiée à ses sessions de 2013 et 2014 et qui a été confirmée par la</w:t>
      </w:r>
      <w:r w:rsidR="002F6C36" w:rsidRPr="00A910E2">
        <w:t> </w:t>
      </w:r>
      <w:r w:rsidRPr="00A910E2">
        <w:t>PP</w:t>
      </w:r>
      <w:r w:rsidR="002F6C36" w:rsidRPr="00A910E2">
        <w:noBreakHyphen/>
      </w:r>
      <w:r w:rsidRPr="00A910E2">
        <w:t>14 en vertu de la Décision 12 révisée, par laquelle il a été décidé de fournir au grand public un accès en ligne gratuit, à titre permanent. De nombreuses publications sont désormais accessibles en ligne gratuitement, de façon à diffuser des informations et à toucher un plus large public. On citera par exemple les publications de référence de l'UIT telles que le Règlement des radiocommunications, les Règles de procédure, les Recommandations, les textes fondamentaux de l'Union, les Actes</w:t>
      </w:r>
      <w:r w:rsidR="002F6C36" w:rsidRPr="00A910E2">
        <w:t> </w:t>
      </w:r>
      <w:r w:rsidRPr="00A910E2">
        <w:t>finals de la CMTI, les Résolutions et Décisions du Conseil et les Manuels de l'UIT. De fait, seules les publications relatives au service maritime et quelques autres ouvrages sont encore payants.</w:t>
      </w:r>
    </w:p>
    <w:p w14:paraId="13A5D672" w14:textId="77777777" w:rsidR="00D61DB6" w:rsidRPr="00A910E2" w:rsidRDefault="00D61DB6" w:rsidP="009D7A5E">
      <w:r w:rsidRPr="00A910E2">
        <w:lastRenderedPageBreak/>
        <w:t>En outre, en réponse aux demandes d'États Membres, en particulier de pays en développement, la politique d'accès gratuit a été élargie par le Directeur du BR en janvier 2017 pour inclure tous les Manuels de l'UIT-R.</w:t>
      </w:r>
    </w:p>
    <w:p w14:paraId="5C2086E3" w14:textId="77777777" w:rsidR="00D61DB6" w:rsidRPr="00A910E2" w:rsidRDefault="00D61DB6" w:rsidP="009D7A5E">
      <w:r w:rsidRPr="00A910E2">
        <w:t>Les incidences de ces Décisions transparaissent clairement dans le nombre important de publications téléchargées, comme indiqué au § 8.1.4.</w:t>
      </w:r>
    </w:p>
    <w:p w14:paraId="66E3AA7F" w14:textId="77777777" w:rsidR="00D61DB6" w:rsidRPr="00A910E2" w:rsidRDefault="00D61DB6" w:rsidP="009D7A5E">
      <w:pPr>
        <w:pStyle w:val="Heading3"/>
        <w:rPr>
          <w:rFonts w:asciiTheme="majorBidi" w:hAnsiTheme="majorBidi" w:cstheme="majorBidi"/>
          <w:i/>
          <w:iCs/>
          <w:szCs w:val="24"/>
        </w:rPr>
      </w:pPr>
      <w:bookmarkStart w:id="8" w:name="_Toc446060754"/>
      <w:r w:rsidRPr="00A910E2">
        <w:t>2.2.2</w:t>
      </w:r>
      <w:r w:rsidRPr="00A910E2">
        <w:tab/>
        <w:t>Recouvrement des coûts pour le traitement des fiches de notification des réseaux à satellite</w:t>
      </w:r>
      <w:bookmarkEnd w:id="8"/>
    </w:p>
    <w:p w14:paraId="4710C9E4" w14:textId="07D00046" w:rsidR="00D61DB6" w:rsidRPr="00A910E2" w:rsidRDefault="00D61DB6" w:rsidP="009D7A5E">
      <w:r w:rsidRPr="00A910E2">
        <w:t>À sa session de 2023, le Conseil a pris note du rapport annuel sur la mise en œuvre de la Décision</w:t>
      </w:r>
      <w:r w:rsidR="002F6C36" w:rsidRPr="00A910E2">
        <w:t> </w:t>
      </w:r>
      <w:r w:rsidRPr="00A910E2">
        <w:t xml:space="preserve">482 (voir le Document </w:t>
      </w:r>
      <w:hyperlink r:id="rId11" w:history="1">
        <w:r w:rsidRPr="00A910E2">
          <w:rPr>
            <w:rStyle w:val="Hyperlink"/>
          </w:rPr>
          <w:t>C23/16</w:t>
        </w:r>
      </w:hyperlink>
      <w:r w:rsidRPr="00A910E2">
        <w:t>).</w:t>
      </w:r>
    </w:p>
    <w:p w14:paraId="6A1DFE0D" w14:textId="677187B0" w:rsidR="00D61DB6" w:rsidRPr="00A910E2" w:rsidRDefault="00D61DB6" w:rsidP="009D7A5E">
      <w:r w:rsidRPr="00A910E2">
        <w:t>Le Conseil a examiné l'étude présentée par le Bureau en ce qui concerne la pertinence de la Décision</w:t>
      </w:r>
      <w:r w:rsidR="00766D15" w:rsidRPr="00A910E2">
        <w:t> </w:t>
      </w:r>
      <w:r w:rsidRPr="00A910E2">
        <w:t xml:space="preserve">482 (C01, modifiée pour la dernière fois en 2020) pour le recouvrement des coûts associés au traitement des fiches de notification des réseaux à satellite (voir le Document </w:t>
      </w:r>
      <w:hyperlink r:id="rId12" w:history="1">
        <w:r w:rsidRPr="00A910E2">
          <w:rPr>
            <w:rStyle w:val="Hyperlink"/>
          </w:rPr>
          <w:t>C23/19</w:t>
        </w:r>
      </w:hyperlink>
      <w:r w:rsidRPr="00A910E2">
        <w:t>). L'étude portait sur différents thèmes, notamment les suivants:</w:t>
      </w:r>
    </w:p>
    <w:p w14:paraId="1D804616" w14:textId="51437D21" w:rsidR="00D61DB6" w:rsidRPr="00A910E2" w:rsidRDefault="002F6C36" w:rsidP="009D7A5E">
      <w:pPr>
        <w:pStyle w:val="enumlev1"/>
      </w:pPr>
      <w:r w:rsidRPr="00A910E2">
        <w:t>•</w:t>
      </w:r>
      <w:r w:rsidRPr="00A910E2">
        <w:tab/>
      </w:r>
      <w:r w:rsidR="00D61DB6" w:rsidRPr="00A910E2">
        <w:t>Coûts complets afférents au traitement des fiches de notification des réseaux à satellite</w:t>
      </w:r>
      <w:r w:rsidRPr="00A910E2">
        <w:t>.</w:t>
      </w:r>
    </w:p>
    <w:p w14:paraId="5D0D7482" w14:textId="7AF144D4" w:rsidR="00D61DB6" w:rsidRPr="00A910E2" w:rsidRDefault="002F6C36" w:rsidP="009D7A5E">
      <w:pPr>
        <w:pStyle w:val="enumlev1"/>
      </w:pPr>
      <w:r w:rsidRPr="00A910E2">
        <w:t>•</w:t>
      </w:r>
      <w:r w:rsidRPr="00A910E2">
        <w:tab/>
      </w:r>
      <w:r w:rsidR="00D61DB6" w:rsidRPr="00A910E2">
        <w:t>Activités relatives au traitement des fiches de notification des réseaux à satellite qui ne sont actuellement pas prises en compte dans la Décision 482</w:t>
      </w:r>
      <w:r w:rsidRPr="00A910E2">
        <w:t>.</w:t>
      </w:r>
    </w:p>
    <w:p w14:paraId="683B9A1B" w14:textId="48D8A8E1" w:rsidR="00D61DB6" w:rsidRPr="00A910E2" w:rsidRDefault="002F6C36" w:rsidP="009D7A5E">
      <w:pPr>
        <w:pStyle w:val="enumlev1"/>
      </w:pPr>
      <w:r w:rsidRPr="00A910E2">
        <w:t>•</w:t>
      </w:r>
      <w:r w:rsidRPr="00A910E2">
        <w:tab/>
      </w:r>
      <w:r w:rsidR="00D61DB6" w:rsidRPr="00A910E2">
        <w:t>Activités relatives au traitement des fiches de notification des réseaux à satellite qui bénéficient actuellement de la franchise de droits en vertu de la Décision 482</w:t>
      </w:r>
      <w:r w:rsidRPr="00A910E2">
        <w:t>.</w:t>
      </w:r>
    </w:p>
    <w:p w14:paraId="5193F9D0" w14:textId="60B7F6EB" w:rsidR="00D61DB6" w:rsidRPr="00A910E2" w:rsidRDefault="002F6C36" w:rsidP="009D7A5E">
      <w:pPr>
        <w:pStyle w:val="enumlev1"/>
      </w:pPr>
      <w:r w:rsidRPr="00A910E2">
        <w:t>•</w:t>
      </w:r>
      <w:r w:rsidRPr="00A910E2">
        <w:tab/>
      </w:r>
      <w:r w:rsidR="00D61DB6" w:rsidRPr="00A910E2">
        <w:t>Valeur financière des droits indiquée dans l'Annexe de la Décision 482</w:t>
      </w:r>
      <w:r w:rsidRPr="00A910E2">
        <w:t>.</w:t>
      </w:r>
    </w:p>
    <w:p w14:paraId="34E39201" w14:textId="6E4C60AB" w:rsidR="00D61DB6" w:rsidRPr="00A910E2" w:rsidRDefault="002F6C36" w:rsidP="009D7A5E">
      <w:pPr>
        <w:pStyle w:val="enumlev1"/>
      </w:pPr>
      <w:r w:rsidRPr="00A910E2">
        <w:t>•</w:t>
      </w:r>
      <w:r w:rsidRPr="00A910E2">
        <w:tab/>
      </w:r>
      <w:r w:rsidR="00D61DB6" w:rsidRPr="00A910E2">
        <w:t>Mécanismes réglementaires actuellement prévus dans la Décision 482 et ayant sensiblement évolué depuis 2005</w:t>
      </w:r>
      <w:r w:rsidRPr="00A910E2">
        <w:t>.</w:t>
      </w:r>
    </w:p>
    <w:p w14:paraId="19650A5B" w14:textId="4DA80548" w:rsidR="00D61DB6" w:rsidRPr="00A910E2" w:rsidRDefault="002F6C36" w:rsidP="009D7A5E">
      <w:pPr>
        <w:pStyle w:val="enumlev1"/>
      </w:pPr>
      <w:r w:rsidRPr="00A910E2">
        <w:t>•</w:t>
      </w:r>
      <w:r w:rsidRPr="00A910E2">
        <w:tab/>
      </w:r>
      <w:r w:rsidR="00D61DB6" w:rsidRPr="00A910E2">
        <w:t>Catégories de droits à examiner</w:t>
      </w:r>
      <w:r w:rsidRPr="00A910E2">
        <w:t>.</w:t>
      </w:r>
    </w:p>
    <w:p w14:paraId="544AFE4E" w14:textId="32BDF8A7" w:rsidR="00D61DB6" w:rsidRPr="00A910E2" w:rsidRDefault="002F6C36" w:rsidP="009D7A5E">
      <w:pPr>
        <w:pStyle w:val="enumlev1"/>
      </w:pPr>
      <w:r w:rsidRPr="00A910E2">
        <w:t>•</w:t>
      </w:r>
      <w:r w:rsidRPr="00A910E2">
        <w:tab/>
      </w:r>
      <w:r w:rsidR="00D61DB6" w:rsidRPr="00A910E2">
        <w:t>Décision 482 du Conseil: ce qui fonctionne bien et devrait rester inchangé</w:t>
      </w:r>
      <w:r w:rsidRPr="00A910E2">
        <w:t>.</w:t>
      </w:r>
    </w:p>
    <w:p w14:paraId="5C0AC77B" w14:textId="3360078F" w:rsidR="00D61DB6" w:rsidRPr="00A910E2" w:rsidRDefault="002F6C36" w:rsidP="009D7A5E">
      <w:pPr>
        <w:pStyle w:val="enumlev1"/>
      </w:pPr>
      <w:r w:rsidRPr="00A910E2">
        <w:t>•</w:t>
      </w:r>
      <w:r w:rsidRPr="00A910E2">
        <w:tab/>
      </w:r>
      <w:r w:rsidR="00D61DB6" w:rsidRPr="00A910E2">
        <w:t>Assistance et activités de renforcement des capacités relatives au traitement des fiches de notification des réseaux à satellite</w:t>
      </w:r>
      <w:r w:rsidRPr="00A910E2">
        <w:t>.</w:t>
      </w:r>
    </w:p>
    <w:p w14:paraId="2493AF06" w14:textId="5F58B0D3" w:rsidR="00D61DB6" w:rsidRPr="00A910E2" w:rsidRDefault="002F6C36" w:rsidP="009D7A5E">
      <w:pPr>
        <w:pStyle w:val="enumlev1"/>
      </w:pPr>
      <w:r w:rsidRPr="00A910E2">
        <w:t>•</w:t>
      </w:r>
      <w:r w:rsidRPr="00A910E2">
        <w:tab/>
      </w:r>
      <w:r w:rsidR="00D61DB6" w:rsidRPr="00A910E2">
        <w:t>Manque de ressources consacrées à la modernisation des logiciels du Bureau.</w:t>
      </w:r>
    </w:p>
    <w:p w14:paraId="47891CF5" w14:textId="3A53BF98" w:rsidR="00D61DB6" w:rsidRPr="00A910E2" w:rsidRDefault="002F6C36" w:rsidP="009D7A5E">
      <w:r w:rsidRPr="00A910E2">
        <w:t>À</w:t>
      </w:r>
      <w:r w:rsidR="00D61DB6" w:rsidRPr="00A910E2">
        <w:t xml:space="preserve"> sa session de 2023, le Conseil a pris en considération les conclusions de la session de 2023 du Groupe consultatif des radiocommunications, qui a </w:t>
      </w:r>
      <w:r w:rsidR="004869F3" w:rsidRPr="00A910E2">
        <w:t>«</w:t>
      </w:r>
      <w:r w:rsidR="00D61DB6" w:rsidRPr="00A910E2">
        <w:rPr>
          <w:i/>
          <w:iCs/>
        </w:rPr>
        <w:t>recommandé au Directeur de demander au Conseil, à sa session de 2023, de réactiver le Groupe d'experts chargé d'examiner la Décision</w:t>
      </w:r>
      <w:r w:rsidRPr="00A910E2">
        <w:rPr>
          <w:i/>
          <w:iCs/>
        </w:rPr>
        <w:t> </w:t>
      </w:r>
      <w:r w:rsidR="00D61DB6" w:rsidRPr="00A910E2">
        <w:rPr>
          <w:i/>
          <w:iCs/>
        </w:rPr>
        <w:t>482 du Conseil (modifiée en 2020), afin qu'il puisse commencer ses travaux en vue de soumettre au Conseil à sa session de 2024 une recommandation sur l'augmentation des coûts à la charge du</w:t>
      </w:r>
      <w:r w:rsidRPr="00A910E2">
        <w:rPr>
          <w:i/>
          <w:iCs/>
        </w:rPr>
        <w:t> </w:t>
      </w:r>
      <w:r w:rsidR="00D61DB6" w:rsidRPr="00A910E2">
        <w:rPr>
          <w:i/>
          <w:iCs/>
        </w:rPr>
        <w:t>BR pour traiter les fiches de notification dont la taille ou la complexité, ainsi que la soumission à nouveau du même système, sont telles que la méthode actuelle ne permet pas de rendre compte avec précision des coûts de ces fiches</w:t>
      </w:r>
      <w:r w:rsidR="004869F3" w:rsidRPr="00A910E2">
        <w:t>»</w:t>
      </w:r>
      <w:r w:rsidR="00C92D00" w:rsidRPr="00A910E2">
        <w:t>.</w:t>
      </w:r>
    </w:p>
    <w:p w14:paraId="7228C7A1" w14:textId="3E683798" w:rsidR="00D61DB6" w:rsidRPr="00A910E2" w:rsidRDefault="00D61DB6" w:rsidP="009D7A5E">
      <w:r w:rsidRPr="00A910E2">
        <w:t>Après avoir examiné de manière approfondie les éléments et les points de vue présentés, le Conseil a adopté la Décision 632, par laquelle il a créé un Groupe d</w:t>
      </w:r>
      <w:r w:rsidR="004869F3" w:rsidRPr="00A910E2">
        <w:t>'</w:t>
      </w:r>
      <w:r w:rsidRPr="00A910E2">
        <w:t>experts sur la Décision 482 (EG</w:t>
      </w:r>
      <w:r w:rsidR="002F6C36" w:rsidRPr="00A910E2">
        <w:noBreakHyphen/>
      </w:r>
      <w:r w:rsidRPr="00A910E2">
        <w:t>DEC482), investi du mandat suivant:</w:t>
      </w:r>
    </w:p>
    <w:p w14:paraId="4BCC3FD8" w14:textId="436EF2D9" w:rsidR="002F6C36" w:rsidRPr="00A910E2" w:rsidRDefault="002F6C36" w:rsidP="009D7A5E">
      <w:r w:rsidRPr="00A910E2">
        <w:br w:type="page"/>
      </w:r>
    </w:p>
    <w:tbl>
      <w:tblPr>
        <w:tblStyle w:val="TableGrid"/>
        <w:tblW w:w="0" w:type="auto"/>
        <w:tblLook w:val="04A0" w:firstRow="1" w:lastRow="0" w:firstColumn="1" w:lastColumn="0" w:noHBand="0" w:noVBand="1"/>
      </w:tblPr>
      <w:tblGrid>
        <w:gridCol w:w="9629"/>
      </w:tblGrid>
      <w:tr w:rsidR="002F6C36" w:rsidRPr="00A910E2" w14:paraId="6119DFD9" w14:textId="77777777" w:rsidTr="002F6C36">
        <w:tc>
          <w:tcPr>
            <w:tcW w:w="9629" w:type="dxa"/>
          </w:tcPr>
          <w:p w14:paraId="36F3C970" w14:textId="77777777" w:rsidR="002F6C36" w:rsidRPr="00A910E2" w:rsidRDefault="002F6C36" w:rsidP="009D7A5E">
            <w:pPr>
              <w:tabs>
                <w:tab w:val="clear" w:pos="794"/>
                <w:tab w:val="clear" w:pos="1191"/>
                <w:tab w:val="clear" w:pos="1588"/>
                <w:tab w:val="clear" w:pos="1985"/>
                <w:tab w:val="left" w:pos="567"/>
                <w:tab w:val="left" w:pos="1134"/>
                <w:tab w:val="left" w:pos="1701"/>
                <w:tab w:val="left" w:pos="2268"/>
                <w:tab w:val="left" w:pos="2835"/>
              </w:tabs>
              <w:spacing w:before="240" w:after="240"/>
              <w:jc w:val="center"/>
              <w:rPr>
                <w:b/>
                <w:sz w:val="32"/>
                <w:szCs w:val="22"/>
              </w:rPr>
            </w:pPr>
            <w:r w:rsidRPr="00A910E2">
              <w:rPr>
                <w:b/>
                <w:bCs/>
                <w:sz w:val="28"/>
                <w:szCs w:val="22"/>
              </w:rPr>
              <w:t>Mandat du Groupe d'experts du Conseil sur la Décision 482</w:t>
            </w:r>
          </w:p>
          <w:p w14:paraId="4183A4C1" w14:textId="77777777" w:rsidR="002F6C36" w:rsidRPr="00A910E2" w:rsidRDefault="002F6C36" w:rsidP="009D7A5E">
            <w:pPr>
              <w:tabs>
                <w:tab w:val="clear" w:pos="794"/>
                <w:tab w:val="clear" w:pos="1191"/>
                <w:tab w:val="clear" w:pos="1588"/>
                <w:tab w:val="clear" w:pos="1985"/>
                <w:tab w:val="left" w:pos="567"/>
                <w:tab w:val="left" w:pos="1134"/>
                <w:tab w:val="left" w:pos="1701"/>
                <w:tab w:val="left" w:pos="2268"/>
                <w:tab w:val="left" w:pos="2835"/>
              </w:tabs>
            </w:pPr>
            <w:r w:rsidRPr="00A910E2">
              <w:t>Le mandat du Groupe d'experts du Conseil sur la Décision 482 est le suivant:</w:t>
            </w:r>
          </w:p>
          <w:p w14:paraId="72545C7F" w14:textId="04C39A5E" w:rsidR="002F6C36" w:rsidRPr="00A910E2" w:rsidRDefault="002F6C36" w:rsidP="009D7A5E">
            <w:pPr>
              <w:tabs>
                <w:tab w:val="clear" w:pos="794"/>
                <w:tab w:val="clear" w:pos="1191"/>
                <w:tab w:val="clear" w:pos="1588"/>
                <w:tab w:val="clear" w:pos="1985"/>
                <w:tab w:val="left" w:pos="567"/>
                <w:tab w:val="left" w:pos="1134"/>
                <w:tab w:val="left" w:pos="1701"/>
                <w:tab w:val="left" w:pos="2268"/>
                <w:tab w:val="left" w:pos="2835"/>
              </w:tabs>
            </w:pPr>
            <w:r w:rsidRPr="00A910E2">
              <w:t>1</w:t>
            </w:r>
            <w:r w:rsidRPr="00A910E2">
              <w:tab/>
              <w:t xml:space="preserve">Le Groupe d'experts du Conseil sur la Décision 482 étudiera, conformément aux principes et aux lignes directrices énoncés dans la Résolution 91 (Rév. Guadalajara, 2010) de la Conférence de plénipotentiaires, en particulier au point 4 vi) du </w:t>
            </w:r>
            <w:r w:rsidRPr="00A910E2">
              <w:rPr>
                <w:i/>
                <w:iCs/>
              </w:rPr>
              <w:t>décide</w:t>
            </w:r>
            <w:r w:rsidRPr="00A910E2">
              <w:t xml:space="preserve">, le caractère approprié des points énumérés ci-dessous (découlant de l'Annexe 1 du Document </w:t>
            </w:r>
            <w:hyperlink r:id="rId13" w:history="1">
              <w:r w:rsidRPr="00A910E2">
                <w:rPr>
                  <w:rStyle w:val="Hyperlink"/>
                </w:rPr>
                <w:t>C23/19</w:t>
              </w:r>
            </w:hyperlink>
            <w:r w:rsidRPr="00A910E2">
              <w:t>), compte tenu des renseignements fournis par le Bureau des radiocommunications, le cas échéant, et des contributions soumises à ses réunions.</w:t>
            </w:r>
          </w:p>
          <w:p w14:paraId="296D72EB" w14:textId="2ED9F74E" w:rsidR="002F6C36" w:rsidRPr="00A910E2" w:rsidRDefault="002F6C36" w:rsidP="009D7A5E">
            <w:pPr>
              <w:pStyle w:val="enumlev1"/>
            </w:pPr>
            <w:r w:rsidRPr="00A910E2">
              <w:t>a</w:t>
            </w:r>
            <w:r w:rsidR="0037083E" w:rsidRPr="00A910E2">
              <w:t>)</w:t>
            </w:r>
            <w:r w:rsidRPr="00A910E2">
              <w:tab/>
              <w:t xml:space="preserve">Dans le cas des fiches de notification considérées comme </w:t>
            </w:r>
            <w:r w:rsidR="00967DA9" w:rsidRPr="00A910E2">
              <w:t>«</w:t>
            </w:r>
            <w:r w:rsidRPr="00A910E2">
              <w:t>non recevables</w:t>
            </w:r>
            <w:r w:rsidR="00967DA9" w:rsidRPr="00A910E2">
              <w:t>»</w:t>
            </w:r>
            <w:r w:rsidRPr="00A910E2">
              <w:t xml:space="preserve">, déterminer s'il est approprié de facturer une partie des droits à acquitter pour le traitement d'une fiche de notification équivalente considérée comme </w:t>
            </w:r>
            <w:r w:rsidR="00967DA9" w:rsidRPr="00A910E2">
              <w:t>«</w:t>
            </w:r>
            <w:r w:rsidRPr="00A910E2">
              <w:t>recevable</w:t>
            </w:r>
            <w:r w:rsidR="00967DA9" w:rsidRPr="00A910E2">
              <w:t>»</w:t>
            </w:r>
            <w:r w:rsidRPr="00A910E2">
              <w:t>, en tenant compte des besoins des pays en développement.</w:t>
            </w:r>
          </w:p>
          <w:p w14:paraId="66DE61BC" w14:textId="67ECC728" w:rsidR="002F6C36" w:rsidRPr="00A910E2" w:rsidRDefault="002F6C36" w:rsidP="009D7A5E">
            <w:pPr>
              <w:pStyle w:val="enumlev1"/>
            </w:pPr>
            <w:r w:rsidRPr="00A910E2">
              <w:t>b</w:t>
            </w:r>
            <w:r w:rsidR="0037083E" w:rsidRPr="00A910E2">
              <w:t>)</w:t>
            </w:r>
            <w:r w:rsidRPr="00A910E2">
              <w:tab/>
              <w:t>Déterminer si, en raison de leur complexité, certaines catégories de fiches de notification de systèmes à satellites non OSG ne devraient pas être admises au bénéfice de la franchise de droits.</w:t>
            </w:r>
          </w:p>
          <w:p w14:paraId="7C584442" w14:textId="7F6B79CF" w:rsidR="002F6C36" w:rsidRPr="00A910E2" w:rsidRDefault="002F6C36" w:rsidP="009D7A5E">
            <w:pPr>
              <w:pStyle w:val="enumlev1"/>
            </w:pPr>
            <w:r w:rsidRPr="00A910E2">
              <w:t>c</w:t>
            </w:r>
            <w:r w:rsidR="0037083E" w:rsidRPr="00A910E2">
              <w:t>)</w:t>
            </w:r>
            <w:r w:rsidRPr="00A910E2">
              <w:tab/>
              <w:t>Déterminer si des droits spécifiques devraient être acquittés pour le traitement des soumissions relatives aux stations terriennes en mouvement, tout en évitant la double facturation.</w:t>
            </w:r>
          </w:p>
          <w:p w14:paraId="613F8572" w14:textId="5699EE4D" w:rsidR="002F6C36" w:rsidRPr="00A910E2" w:rsidRDefault="002F6C36" w:rsidP="009D7A5E">
            <w:pPr>
              <w:pStyle w:val="enumlev1"/>
            </w:pPr>
            <w:r w:rsidRPr="00A910E2">
              <w:t>d</w:t>
            </w:r>
            <w:r w:rsidR="0037083E" w:rsidRPr="00A910E2">
              <w:t>)</w:t>
            </w:r>
            <w:r w:rsidRPr="00A910E2">
              <w:tab/>
              <w:t>Étudier les coûts associés au traitement des fiches de notification soumises à nouveau.</w:t>
            </w:r>
          </w:p>
          <w:p w14:paraId="5CEF4ECA" w14:textId="6D9D96A1" w:rsidR="002F6C36" w:rsidRPr="00A910E2" w:rsidRDefault="002F6C36" w:rsidP="009D7A5E">
            <w:pPr>
              <w:pStyle w:val="enumlev1"/>
            </w:pPr>
            <w:r w:rsidRPr="00A910E2">
              <w:t>e</w:t>
            </w:r>
            <w:r w:rsidR="0037083E" w:rsidRPr="00A910E2">
              <w:t>)</w:t>
            </w:r>
            <w:r w:rsidRPr="00A910E2">
              <w:tab/>
              <w:t xml:space="preserve">Étudier les coûts associés à la mise en œuvre par le BR des dispositions supplémentaires des Résolutions </w:t>
            </w:r>
            <w:r w:rsidRPr="00A910E2">
              <w:rPr>
                <w:b/>
                <w:bCs/>
              </w:rPr>
              <w:t>4</w:t>
            </w:r>
            <w:r w:rsidRPr="00A910E2">
              <w:t xml:space="preserve"> et </w:t>
            </w:r>
            <w:r w:rsidRPr="00A910E2">
              <w:rPr>
                <w:b/>
                <w:bCs/>
              </w:rPr>
              <w:t>49</w:t>
            </w:r>
            <w:r w:rsidRPr="00A910E2">
              <w:t xml:space="preserve">, des numéros </w:t>
            </w:r>
            <w:r w:rsidRPr="00A910E2">
              <w:rPr>
                <w:b/>
                <w:bCs/>
              </w:rPr>
              <w:t>11.32A</w:t>
            </w:r>
            <w:r w:rsidRPr="00A910E2">
              <w:t xml:space="preserve"> (voir note a)</w:t>
            </w:r>
            <w:r w:rsidR="0037083E" w:rsidRPr="00A910E2">
              <w:t>)</w:t>
            </w:r>
            <w:r w:rsidRPr="00A910E2">
              <w:t xml:space="preserve">, </w:t>
            </w:r>
            <w:r w:rsidRPr="00A910E2">
              <w:rPr>
                <w:b/>
                <w:bCs/>
              </w:rPr>
              <w:t>11.41</w:t>
            </w:r>
            <w:r w:rsidRPr="00A910E2">
              <w:t xml:space="preserve">, </w:t>
            </w:r>
            <w:r w:rsidRPr="00A910E2">
              <w:rPr>
                <w:b/>
                <w:bCs/>
              </w:rPr>
              <w:t>11.47</w:t>
            </w:r>
            <w:r w:rsidRPr="00A910E2">
              <w:t xml:space="preserve">, </w:t>
            </w:r>
            <w:r w:rsidRPr="00A910E2">
              <w:rPr>
                <w:b/>
                <w:bCs/>
              </w:rPr>
              <w:t>11.49</w:t>
            </w:r>
            <w:r w:rsidRPr="00A910E2">
              <w:t>, de la Sous</w:t>
            </w:r>
            <w:r w:rsidR="0037083E" w:rsidRPr="00A910E2">
              <w:noBreakHyphen/>
            </w:r>
            <w:r w:rsidRPr="00A910E2">
              <w:t xml:space="preserve">section IID de l'Article </w:t>
            </w:r>
            <w:r w:rsidRPr="00A910E2">
              <w:rPr>
                <w:b/>
                <w:bCs/>
              </w:rPr>
              <w:t>9</w:t>
            </w:r>
            <w:r w:rsidRPr="00A910E2">
              <w:t xml:space="preserve">, des Sections 1 et 2 de l'Article </w:t>
            </w:r>
            <w:r w:rsidRPr="00A910E2">
              <w:rPr>
                <w:b/>
                <w:bCs/>
              </w:rPr>
              <w:t>13</w:t>
            </w:r>
            <w:r w:rsidRPr="00A910E2">
              <w:t xml:space="preserve"> et de l'Article </w:t>
            </w:r>
            <w:r w:rsidRPr="00A910E2">
              <w:rPr>
                <w:b/>
                <w:bCs/>
              </w:rPr>
              <w:t>14</w:t>
            </w:r>
            <w:r w:rsidRPr="00A910E2">
              <w:t xml:space="preserve"> du Règlement des radiocommunications. Le Bureau est invité à fournir des renseignements sur les cas ayant déjà été soumis.</w:t>
            </w:r>
          </w:p>
          <w:p w14:paraId="63AE7632" w14:textId="139F5093" w:rsidR="002F6C36" w:rsidRPr="00A910E2" w:rsidRDefault="002F6C36" w:rsidP="009D7A5E">
            <w:pPr>
              <w:pStyle w:val="enumlev1"/>
            </w:pPr>
            <w:r w:rsidRPr="00A910E2">
              <w:t>f</w:t>
            </w:r>
            <w:r w:rsidR="0037083E" w:rsidRPr="00A910E2">
              <w:t>)</w:t>
            </w:r>
            <w:r w:rsidRPr="00A910E2">
              <w:tab/>
              <w:t>Étudier les coûts associés au traitement des fiches de notification de systèmes à satellites non</w:t>
            </w:r>
            <w:r w:rsidR="0037083E" w:rsidRPr="00A910E2">
              <w:t> </w:t>
            </w:r>
            <w:r w:rsidRPr="00A910E2">
              <w:t>OSG comportant plus de 75 000 unités, ou déterminer si la formule permettant de calculer le nombre d'unités pour ces systèmes à satellites non OSG devrait tenir compte des incidences du nombre d'altitudes orbitales différentes, du nombre de satellites, du nombre de stations terriennes ou d'autres caractéristiques influant sur la charge de travail liée au traitement des systèmes non</w:t>
            </w:r>
            <w:r w:rsidR="0037083E" w:rsidRPr="00A910E2">
              <w:t> </w:t>
            </w:r>
            <w:r w:rsidRPr="00A910E2">
              <w:t>OSG.</w:t>
            </w:r>
          </w:p>
          <w:p w14:paraId="36F93BB3" w14:textId="1C7A9840" w:rsidR="002F6C36" w:rsidRPr="00A910E2" w:rsidRDefault="002F6C36" w:rsidP="009D7A5E">
            <w:pPr>
              <w:pStyle w:val="enumlev1"/>
            </w:pPr>
            <w:r w:rsidRPr="00A910E2">
              <w:t>g</w:t>
            </w:r>
            <w:r w:rsidR="0037083E" w:rsidRPr="00A910E2">
              <w:t>)</w:t>
            </w:r>
            <w:r w:rsidRPr="00A910E2">
              <w:tab/>
              <w:t>Envisager de mettre en place des unités dans les catégories A1 et N4, en percevant un droit différent pour des systèmes plus complexes ou plus grands, en fonction du nombre d'unités.</w:t>
            </w:r>
          </w:p>
          <w:p w14:paraId="12740C36" w14:textId="7C6BAF7F" w:rsidR="002F6C36" w:rsidRPr="00A910E2" w:rsidRDefault="002F6C36" w:rsidP="009D7A5E">
            <w:pPr>
              <w:pStyle w:val="enumlev1"/>
            </w:pPr>
            <w:r w:rsidRPr="00A910E2">
              <w:t>h</w:t>
            </w:r>
            <w:r w:rsidR="0037083E" w:rsidRPr="00A910E2">
              <w:t>)</w:t>
            </w:r>
            <w:r w:rsidRPr="00A910E2">
              <w:tab/>
              <w:t>Étudier la possibilité d'instaurer un droit additionnel pour le recouvrement des coûts afférents à l'examen des limites d'epfd figurant dans les demandes de coordination et les notifications.</w:t>
            </w:r>
          </w:p>
          <w:p w14:paraId="0905205A" w14:textId="52FB7D84" w:rsidR="002F6C36" w:rsidRPr="00A910E2" w:rsidRDefault="002F6C36" w:rsidP="009D7A5E">
            <w:pPr>
              <w:pStyle w:val="enumlev1"/>
            </w:pPr>
            <w:r w:rsidRPr="00A910E2">
              <w:t>i</w:t>
            </w:r>
            <w:r w:rsidR="0037083E" w:rsidRPr="00A910E2">
              <w:t>)</w:t>
            </w:r>
            <w:r w:rsidRPr="00A910E2">
              <w:tab/>
              <w:t>Étudier les conséquences des modifications apportées par une CMR quelconque ultérieure à la CMR</w:t>
            </w:r>
            <w:r w:rsidR="0037083E" w:rsidRPr="00A910E2">
              <w:noBreakHyphen/>
            </w:r>
            <w:r w:rsidRPr="00A910E2">
              <w:t>2000, le cas échéant, aux dispositions réglementaires régissant les Plans pour les services spatiaux.</w:t>
            </w:r>
          </w:p>
          <w:p w14:paraId="24B6E108" w14:textId="2A4CA11F" w:rsidR="002F6C36" w:rsidRPr="00A910E2" w:rsidRDefault="002F6C36" w:rsidP="009D7A5E">
            <w:pPr>
              <w:pStyle w:val="enumlev1"/>
            </w:pPr>
            <w:r w:rsidRPr="00A910E2">
              <w:t>j</w:t>
            </w:r>
            <w:r w:rsidR="0037083E" w:rsidRPr="00A910E2">
              <w:t>)</w:t>
            </w:r>
            <w:r w:rsidRPr="00A910E2">
              <w:tab/>
              <w:t>Étudier les coûts relatifs aux ressources spécifiques nécessaires pour mettre à jour et moderniser en permanence les applications logicielles du Bureau utilisées pour les fiches de notification des systèmes à satellites. Toutefois, le recouvrement des coûts associés au traitement des fiches de notification des systèmes à satellites ne devrait pas servir à financer la mise au point d'outils logiciels pour le traitement des fiches de notification des systèmes de Terre.</w:t>
            </w:r>
          </w:p>
          <w:p w14:paraId="16E3BC90" w14:textId="79F89A15" w:rsidR="002F6C36" w:rsidRPr="00A910E2" w:rsidRDefault="002F6C36" w:rsidP="009D7A5E">
            <w:pPr>
              <w:tabs>
                <w:tab w:val="clear" w:pos="794"/>
                <w:tab w:val="clear" w:pos="1191"/>
                <w:tab w:val="clear" w:pos="1588"/>
                <w:tab w:val="clear" w:pos="1985"/>
                <w:tab w:val="left" w:pos="567"/>
                <w:tab w:val="left" w:pos="1134"/>
                <w:tab w:val="left" w:pos="1701"/>
                <w:tab w:val="left" w:pos="2268"/>
                <w:tab w:val="left" w:pos="2835"/>
              </w:tabs>
            </w:pPr>
            <w:r w:rsidRPr="00A910E2">
              <w:t>2</w:t>
            </w:r>
            <w:r w:rsidRPr="00A910E2">
              <w:tab/>
              <w:t>Le Groupe d'experts du Conseil sur la Décision 482 élaborera un rapport contenant des recommandations sur la révision éventuelle de la Décision 482, qui sera soumis au Conseil de</w:t>
            </w:r>
            <w:r w:rsidR="004869F3" w:rsidRPr="00A910E2">
              <w:t> </w:t>
            </w:r>
            <w:r w:rsidRPr="00A910E2">
              <w:t>l'UIT à sa session de 2024.</w:t>
            </w:r>
          </w:p>
          <w:p w14:paraId="39C58CD2" w14:textId="0A3CEE9D" w:rsidR="002F6C36" w:rsidRPr="00A910E2" w:rsidRDefault="002F6C36" w:rsidP="009D7A5E">
            <w:pPr>
              <w:tabs>
                <w:tab w:val="clear" w:pos="794"/>
                <w:tab w:val="clear" w:pos="1191"/>
                <w:tab w:val="clear" w:pos="1588"/>
                <w:tab w:val="clear" w:pos="1985"/>
                <w:tab w:val="left" w:pos="567"/>
                <w:tab w:val="left" w:pos="1134"/>
                <w:tab w:val="left" w:pos="1701"/>
                <w:tab w:val="left" w:pos="2268"/>
                <w:tab w:val="left" w:pos="2835"/>
              </w:tabs>
            </w:pPr>
            <w:r w:rsidRPr="00A910E2">
              <w:t>3</w:t>
            </w:r>
            <w:r w:rsidRPr="00A910E2">
              <w:tab/>
              <w:t>Le rapport final du Groupe d'experts du Conseil sur la Décision 482 sera soumis au Conseil de l'UIT à sa session de 2025 pour suite à donner et en vue d'une révision éventuelle de la Décision</w:t>
            </w:r>
            <w:r w:rsidR="004869F3" w:rsidRPr="00A910E2">
              <w:t> </w:t>
            </w:r>
            <w:r w:rsidRPr="00A910E2">
              <w:t>482.</w:t>
            </w:r>
          </w:p>
          <w:p w14:paraId="27F0EF52" w14:textId="206D855E" w:rsidR="002F6C36" w:rsidRPr="00A910E2" w:rsidRDefault="002F6C36" w:rsidP="009D7A5E">
            <w:pPr>
              <w:spacing w:after="120"/>
            </w:pPr>
            <w:r w:rsidRPr="00A910E2">
              <w:t>4</w:t>
            </w:r>
            <w:r w:rsidRPr="00A910E2">
              <w:tab/>
              <w:t>Le Groupe d'experts du Conseil sur la Décision 482 est ouvert à la participation de tous les États</w:t>
            </w:r>
            <w:r w:rsidR="004869F3" w:rsidRPr="00A910E2">
              <w:t> </w:t>
            </w:r>
            <w:r w:rsidRPr="00A910E2">
              <w:t xml:space="preserve">Membres et Membres de Secteur de l'UIT et mènera ses travaux en anglais. Il devrait tenir des réunions physiques avec participation à distance, en association avec les réunions du Groupe de travail 4A de l'UIT-R ou des </w:t>
            </w:r>
            <w:r w:rsidR="004869F3" w:rsidRPr="00A910E2">
              <w:t>g</w:t>
            </w:r>
            <w:r w:rsidRPr="00A910E2">
              <w:t>roupes de travail du Conseil, ou avec d'autres manifestations connexes, dans la mesure du possible.</w:t>
            </w:r>
          </w:p>
        </w:tc>
      </w:tr>
    </w:tbl>
    <w:p w14:paraId="0062F3E3" w14:textId="77777777" w:rsidR="004869F3" w:rsidRPr="00A910E2" w:rsidRDefault="004869F3" w:rsidP="009D7A5E">
      <w:pPr>
        <w:pStyle w:val="Heading3"/>
        <w:rPr>
          <w:i/>
          <w:iCs/>
        </w:rPr>
      </w:pPr>
      <w:bookmarkStart w:id="9" w:name="_Toc446060757"/>
      <w:r w:rsidRPr="00A910E2">
        <w:t>2.2.3</w:t>
      </w:r>
      <w:r w:rsidRPr="00A910E2">
        <w:tab/>
      </w:r>
      <w:bookmarkEnd w:id="9"/>
      <w:r w:rsidRPr="00A910E2">
        <w:t>Budget pour la période 2024-2025</w:t>
      </w:r>
    </w:p>
    <w:p w14:paraId="6F32EC95" w14:textId="10129B05" w:rsidR="004869F3" w:rsidRPr="00A910E2" w:rsidRDefault="004869F3" w:rsidP="009D7A5E">
      <w:r w:rsidRPr="00A910E2">
        <w:rPr>
          <w:rFonts w:eastAsia="Calibri"/>
        </w:rPr>
        <w:t>À sa session de 2023, le Conseil a adopté le budget ci-après pour l'UIT-R durant la période 2024</w:t>
      </w:r>
      <w:r w:rsidRPr="00A910E2">
        <w:rPr>
          <w:rFonts w:eastAsia="Calibri"/>
        </w:rPr>
        <w:noBreakHyphen/>
        <w:t xml:space="preserve">2025 (voir la </w:t>
      </w:r>
      <w:hyperlink r:id="rId14" w:history="1">
        <w:r w:rsidRPr="00A910E2">
          <w:rPr>
            <w:rStyle w:val="Hyperlink"/>
            <w:rFonts w:eastAsia="Calibri"/>
          </w:rPr>
          <w:t>Résolution 1417 du Conseil</w:t>
        </w:r>
      </w:hyperlink>
      <w:r w:rsidRPr="00A910E2">
        <w:rPr>
          <w:rFonts w:eastAsia="Calibri"/>
        </w:rPr>
        <w:t>).</w:t>
      </w:r>
    </w:p>
    <w:p w14:paraId="2C825C59" w14:textId="77777777" w:rsidR="004869F3" w:rsidRPr="00A910E2" w:rsidRDefault="004869F3" w:rsidP="009D7A5E">
      <w:pPr>
        <w:pStyle w:val="Figure"/>
        <w:rPr>
          <w:rFonts w:eastAsia="Calibri"/>
        </w:rPr>
      </w:pPr>
      <w:r w:rsidRPr="00A910E2">
        <w:drawing>
          <wp:inline distT="0" distB="0" distL="0" distR="0" wp14:anchorId="120A764A" wp14:editId="3668B8B2">
            <wp:extent cx="6120765" cy="3252364"/>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252364"/>
                    </a:xfrm>
                    <a:prstGeom prst="rect">
                      <a:avLst/>
                    </a:prstGeom>
                    <a:noFill/>
                    <a:ln>
                      <a:noFill/>
                    </a:ln>
                  </pic:spPr>
                </pic:pic>
              </a:graphicData>
            </a:graphic>
          </wp:inline>
        </w:drawing>
      </w:r>
    </w:p>
    <w:p w14:paraId="201D83AC" w14:textId="5CB5C24B" w:rsidR="004869F3" w:rsidRPr="00A910E2" w:rsidRDefault="004869F3" w:rsidP="009D7A5E">
      <w:r w:rsidRPr="00A910E2">
        <w:t>Il ressort du présent rapport que le budget de l'UIT pour la période 2024-2025, tel qu'adopté par le Conseil à sa session de 2023, ne permettra pas de répondre pleinement aux besoins financiers du BR, étant donné qu'il ne prévoit aucun budget associé à la mise en œuvre des décisions de la Conférence mondiale des radiocommunications de 2023.</w:t>
      </w:r>
    </w:p>
    <w:p w14:paraId="27511FF3" w14:textId="77777777" w:rsidR="004869F3" w:rsidRPr="00A910E2" w:rsidRDefault="004869F3" w:rsidP="00C501FF">
      <w:pPr>
        <w:pStyle w:val="Heading3"/>
      </w:pPr>
      <w:r w:rsidRPr="00A910E2">
        <w:t>2.2.4</w:t>
      </w:r>
      <w:r w:rsidRPr="00A910E2">
        <w:tab/>
        <w:t>Utilisation des six langues officielles de l'Union sur un pied d'égalité</w:t>
      </w:r>
    </w:p>
    <w:p w14:paraId="6E43652C" w14:textId="1FE90463" w:rsidR="004869F3" w:rsidRPr="00A910E2" w:rsidRDefault="004869F3" w:rsidP="00C501FF">
      <w:pPr>
        <w:keepNext/>
        <w:keepLines/>
      </w:pPr>
      <w:r w:rsidRPr="00A910E2">
        <w:t>La Conférence de plénipotentiaires de 2022 de l'UIT (PP-22) a adopté la Résolution 154 (Rév. Bucarest, 2022), qui porte sur l'utilisation des six langues officielles de l'Union. Dans cette Résolution, l'UIT est invitée à continuer de prendre toutes les mesures nécessaires pour garantir l'utilisation des six langues officielles de l'Union sur un pied d'égalité, et pour assurer l'interprétation et la traduction des documents de l'UIT, même s'il se pourrait que certains travaux de l'UIT (par exemple ceux des groupes de travail et des conférences régionales) ne nécessitent pas l'utilisation de toutes les langues officielles.</w:t>
      </w:r>
    </w:p>
    <w:p w14:paraId="2A8D3628" w14:textId="77777777" w:rsidR="004869F3" w:rsidRPr="00A910E2" w:rsidRDefault="004869F3" w:rsidP="009D7A5E">
      <w:r w:rsidRPr="00A910E2">
        <w:t>Dans sa Résolution 154 (Rév. Bucarest, 2022), la PP charge le Secrétaire général de l'UIT, en collaboration étroite avec les Directeurs des Bureaux, de présenter chaque année au Conseil et au Groupe de travail du Conseil sur l'utilisation des langues (GTC-LANG) un rapport rendant compte d'un ensemble de mesures prises pour appuyer le multilinguisme au sein de l'UIT.</w:t>
      </w:r>
    </w:p>
    <w:p w14:paraId="06636909" w14:textId="64CFA9C8" w:rsidR="004869F3" w:rsidRPr="00A910E2" w:rsidRDefault="004869F3" w:rsidP="009D7A5E">
      <w:r w:rsidRPr="00A910E2">
        <w:t xml:space="preserve">Les progrès accomplis par l'UIT dans la mise en œuvre de ladite Résolution 154 ont été présentés à la réunion du GTC-LANG tenue le 23 janvier 2024, par voie du Document </w:t>
      </w:r>
      <w:hyperlink r:id="rId16" w:history="1">
        <w:r w:rsidRPr="00A910E2">
          <w:rPr>
            <w:rStyle w:val="Hyperlink"/>
          </w:rPr>
          <w:t>RCLCWGLANG14</w:t>
        </w:r>
        <w:r w:rsidR="001C68DE" w:rsidRPr="00A910E2">
          <w:rPr>
            <w:rStyle w:val="Hyperlink"/>
          </w:rPr>
          <w:noBreakHyphen/>
        </w:r>
        <w:r w:rsidRPr="00A910E2">
          <w:rPr>
            <w:rStyle w:val="Hyperlink"/>
          </w:rPr>
          <w:t>C</w:t>
        </w:r>
        <w:r w:rsidRPr="00A910E2">
          <w:rPr>
            <w:rStyle w:val="Hyperlink"/>
          </w:rPr>
          <w:noBreakHyphen/>
          <w:t>0002</w:t>
        </w:r>
      </w:hyperlink>
      <w:r w:rsidRPr="00A910E2">
        <w:t>. Dans la Résolution 154, il est notamment demandé au Secrétariat de l'UIT de publier toutes les contributions relatives à une manifestation de l'UIT au plus tard trois</w:t>
      </w:r>
      <w:r w:rsidR="001C68DE" w:rsidRPr="00A910E2">
        <w:t> </w:t>
      </w:r>
      <w:r w:rsidRPr="00A910E2">
        <w:t>jours ouvrables après leur réception et avant même leur traduction dans les autres langues officielles de l'Union. Sans automatisation, le respect de cette exigence imposerait une lourde charge de travail au personnel administratif qui traite les contributions soumises aux grandes manifestations de l'UIT. Étant donné qu'il n'y avait pas suffisamment de temps, entre la PP-22 et</w:t>
      </w:r>
      <w:r w:rsidR="00CB5F17" w:rsidRPr="00A910E2">
        <w:t> </w:t>
      </w:r>
      <w:r w:rsidRPr="00A910E2">
        <w:t>l'AR-23/la CMR-23, pour élaborer une solution à l'échelle de l'UIT, la Division des logiciels pour les applications de l'espace du BR a mis au point une application logicielle permettant de publier des contributions «telles qu'elles ont été reçues» pour les réunions des commissions d'études de</w:t>
      </w:r>
      <w:r w:rsidR="00CB5F17" w:rsidRPr="00A910E2">
        <w:t> </w:t>
      </w:r>
      <w:r w:rsidRPr="00A910E2">
        <w:t>l'UIT-R, l'AR-23 et la CMR-23. Cette méthode a été utilisée avec succès durant l'AR-23 et la CMR</w:t>
      </w:r>
      <w:r w:rsidR="001C68DE" w:rsidRPr="00A910E2">
        <w:noBreakHyphen/>
      </w:r>
      <w:r w:rsidRPr="00A910E2">
        <w:t>23, et il a ainsi été possible de satisfaire à l'exigence établie dans la Résolution 154.</w:t>
      </w:r>
    </w:p>
    <w:p w14:paraId="2EC14334" w14:textId="65CFB098" w:rsidR="004869F3" w:rsidRPr="00A910E2" w:rsidRDefault="004869F3" w:rsidP="009D7A5E">
      <w:r w:rsidRPr="00A910E2">
        <w:t>Le BR a également accompli des progrès importants en vue d'abandonner SharePoint au profit de WordPress, qui prend en charge la traduction automatique des pages web, pour ses sites</w:t>
      </w:r>
      <w:r w:rsidR="00CB5F17" w:rsidRPr="00A910E2">
        <w:t> </w:t>
      </w:r>
      <w:r w:rsidRPr="00A910E2">
        <w:t>web. Avec le début d'une nouvelle période d'études, le BR sera en mesure de passer un plus grand nombre de ses pages web au format WordPress, qui a été utilisé pour les pages web de la CMR</w:t>
      </w:r>
      <w:r w:rsidRPr="00A910E2">
        <w:noBreakHyphen/>
        <w:t>23 et de l'AR</w:t>
      </w:r>
      <w:r w:rsidRPr="00A910E2">
        <w:noBreakHyphen/>
        <w:t>23, ainsi que pour la nouvelle page web du GCR qui a été créée pour cette réunion. On trouvera des informations sur l'état d'avancement de la traduction des pages web du BR au § 8.6.1.2 du présent rapport.</w:t>
      </w:r>
    </w:p>
    <w:p w14:paraId="473BFFED" w14:textId="2DA10E36" w:rsidR="004869F3" w:rsidRPr="00A910E2" w:rsidRDefault="004869F3" w:rsidP="009D7A5E">
      <w:r w:rsidRPr="00A910E2">
        <w:t>Il est rappelé au GCR que, dans la Résolution 154 (Rév. Bucarest, 2022) de la PP, les groupes consultatifs des Secteurs sont chargés de procéder chaque année à un examen de l'utilisation sur un pied d'égalité de toutes les langues officielles de l'Union dans les publications et sur les sites web de l'UIT.</w:t>
      </w:r>
    </w:p>
    <w:p w14:paraId="63D5FF5C" w14:textId="77777777" w:rsidR="004869F3" w:rsidRPr="00A910E2" w:rsidRDefault="004869F3" w:rsidP="009D7A5E">
      <w:pPr>
        <w:pStyle w:val="Heading1"/>
      </w:pPr>
      <w:r w:rsidRPr="00A910E2">
        <w:rPr>
          <w:bCs/>
        </w:rPr>
        <w:t>3</w:t>
      </w:r>
      <w:r w:rsidRPr="00A910E2">
        <w:tab/>
        <w:t>Résultats de l'AR-23 et de la CMR-23 et mesures prises en conséquence</w:t>
      </w:r>
    </w:p>
    <w:p w14:paraId="23B26B94" w14:textId="77777777" w:rsidR="004869F3" w:rsidRPr="00A910E2" w:rsidRDefault="004869F3" w:rsidP="009D7A5E">
      <w:pPr>
        <w:pStyle w:val="Heading2"/>
        <w:rPr>
          <w:i/>
          <w:iCs/>
        </w:rPr>
      </w:pPr>
      <w:r w:rsidRPr="00A910E2">
        <w:rPr>
          <w:bCs/>
        </w:rPr>
        <w:t>3.1</w:t>
      </w:r>
      <w:r w:rsidRPr="00A910E2">
        <w:tab/>
      </w:r>
      <w:r w:rsidRPr="00A910E2">
        <w:rPr>
          <w:bCs/>
        </w:rPr>
        <w:t>AR-23</w:t>
      </w:r>
    </w:p>
    <w:p w14:paraId="0ED5C99C" w14:textId="18D8408A" w:rsidR="004869F3" w:rsidRPr="00A910E2" w:rsidRDefault="004869F3" w:rsidP="009D7A5E">
      <w:pPr>
        <w:spacing w:after="120"/>
      </w:pPr>
      <w:r w:rsidRPr="00A910E2">
        <w:t>Conformément à la Résolution 1399 et à la Décision 623 du Conseil, l'Assemblée des radiocommunications de 2023 (AR</w:t>
      </w:r>
      <w:r w:rsidR="001C68DE" w:rsidRPr="00A910E2">
        <w:t>-</w:t>
      </w:r>
      <w:r w:rsidRPr="00A910E2">
        <w:t xml:space="preserve">23) a eu lieu à Dubaï (Émirats arabes unis) du 13 au 17 novembre 2023, en présence de 566 participants représentant 95 Administrations et 41 Membres de Secteur, </w:t>
      </w:r>
      <w:r w:rsidR="001C68DE" w:rsidRPr="00A910E2">
        <w:t xml:space="preserve">1 </w:t>
      </w:r>
      <w:r w:rsidRPr="00A910E2">
        <w:t>établissement universitaire et 2 institutions spécialisées des Nations Unies.</w:t>
      </w:r>
      <w:r w:rsidRPr="00A910E2">
        <w:br w:type="page"/>
      </w:r>
    </w:p>
    <w:tbl>
      <w:tblPr>
        <w:tblStyle w:val="ListTable1Light-Accent11"/>
        <w:tblW w:w="978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2830"/>
        <w:gridCol w:w="6951"/>
      </w:tblGrid>
      <w:tr w:rsidR="004869F3" w:rsidRPr="00A910E2" w14:paraId="794D4B66" w14:textId="77777777" w:rsidTr="005F1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739F7E3" w14:textId="5CEEAC01" w:rsidR="004869F3" w:rsidRPr="00A910E2" w:rsidRDefault="004869F3" w:rsidP="009D7A5E">
            <w:pPr>
              <w:pStyle w:val="Tabletext"/>
              <w:rPr>
                <w:szCs w:val="22"/>
              </w:rPr>
            </w:pPr>
            <w:r w:rsidRPr="00A910E2">
              <w:t>Commission 1</w:t>
            </w:r>
            <w:r w:rsidR="00E74286" w:rsidRPr="00A910E2">
              <w:br/>
            </w:r>
            <w:r w:rsidRPr="00A910E2">
              <w:t>(Direction)</w:t>
            </w:r>
          </w:p>
        </w:tc>
        <w:tc>
          <w:tcPr>
            <w:tcW w:w="6951" w:type="dxa"/>
          </w:tcPr>
          <w:p w14:paraId="15E79629" w14:textId="558EEAFA" w:rsidR="004869F3" w:rsidRPr="00A910E2" w:rsidRDefault="004869F3" w:rsidP="009D7A5E">
            <w:pPr>
              <w:pStyle w:val="Tabletext"/>
              <w:tabs>
                <w:tab w:val="clear" w:pos="284"/>
                <w:tab w:val="clear" w:pos="567"/>
                <w:tab w:val="clear" w:pos="851"/>
                <w:tab w:val="clear" w:pos="1134"/>
                <w:tab w:val="clear" w:pos="1418"/>
              </w:tabs>
              <w:cnfStyle w:val="100000000000" w:firstRow="1" w:lastRow="0" w:firstColumn="0" w:lastColumn="0" w:oddVBand="0" w:evenVBand="0" w:oddHBand="0" w:evenHBand="0" w:firstRowFirstColumn="0" w:firstRowLastColumn="0" w:lastRowFirstColumn="0" w:lastRowLastColumn="0"/>
              <w:rPr>
                <w:b w:val="0"/>
                <w:bCs w:val="0"/>
                <w:szCs w:val="22"/>
              </w:rPr>
            </w:pPr>
            <w:r w:rsidRPr="00A910E2">
              <w:t>Présidente</w:t>
            </w:r>
            <w:r w:rsidRPr="00A910E2">
              <w:rPr>
                <w:b w:val="0"/>
                <w:bCs w:val="0"/>
              </w:rPr>
              <w:t>:</w:t>
            </w:r>
            <w:r w:rsidRPr="00A910E2">
              <w:rPr>
                <w:b w:val="0"/>
                <w:bCs w:val="0"/>
              </w:rPr>
              <w:tab/>
              <w:t>Mme Carol WILSON (Australie)</w:t>
            </w:r>
          </w:p>
          <w:p w14:paraId="70785C70" w14:textId="2FDEB0CE" w:rsidR="004869F3" w:rsidRPr="00A910E2" w:rsidRDefault="004869F3" w:rsidP="009D7A5E">
            <w:pPr>
              <w:pStyle w:val="Tabletext"/>
              <w:cnfStyle w:val="100000000000" w:firstRow="1" w:lastRow="0" w:firstColumn="0" w:lastColumn="0" w:oddVBand="0" w:evenVBand="0" w:oddHBand="0" w:evenHBand="0" w:firstRowFirstColumn="0" w:firstRowLastColumn="0" w:lastRowFirstColumn="0" w:lastRowLastColumn="0"/>
              <w:rPr>
                <w:b w:val="0"/>
                <w:bCs w:val="0"/>
                <w:szCs w:val="22"/>
              </w:rPr>
            </w:pPr>
            <w:r w:rsidRPr="00A910E2">
              <w:t>Vice-Présidents</w:t>
            </w:r>
            <w:r w:rsidRPr="00A910E2">
              <w:rPr>
                <w:b w:val="0"/>
                <w:bCs w:val="0"/>
              </w:rPr>
              <w:t>:</w:t>
            </w:r>
            <w:r w:rsidRPr="00A910E2">
              <w:rPr>
                <w:b w:val="0"/>
                <w:bCs w:val="0"/>
              </w:rPr>
              <w:tab/>
              <w:t>M. El Hadjar ABDOURAMANE (Cameroun)</w:t>
            </w:r>
          </w:p>
          <w:p w14:paraId="547F21B5" w14:textId="77777777" w:rsidR="004869F3" w:rsidRPr="00A910E2" w:rsidRDefault="004869F3" w:rsidP="009D7A5E">
            <w:pPr>
              <w:pStyle w:val="Tabletext"/>
              <w:tabs>
                <w:tab w:val="clear" w:pos="284"/>
                <w:tab w:val="clear" w:pos="567"/>
                <w:tab w:val="clear" w:pos="851"/>
                <w:tab w:val="clear" w:pos="1134"/>
                <w:tab w:val="clear" w:pos="1418"/>
              </w:tabs>
              <w:cnfStyle w:val="100000000000" w:firstRow="1" w:lastRow="0" w:firstColumn="0" w:lastColumn="0" w:oddVBand="0" w:evenVBand="0" w:oddHBand="0" w:evenHBand="0" w:firstRowFirstColumn="0" w:firstRowLastColumn="0" w:lastRowFirstColumn="0" w:lastRowLastColumn="0"/>
              <w:rPr>
                <w:b w:val="0"/>
                <w:bCs w:val="0"/>
                <w:szCs w:val="22"/>
              </w:rPr>
            </w:pPr>
            <w:r w:rsidRPr="00A910E2">
              <w:rPr>
                <w:b w:val="0"/>
                <w:bCs w:val="0"/>
              </w:rPr>
              <w:tab/>
              <w:t>M. Khalid AL AWADI (Émirats arabes unis)</w:t>
            </w:r>
          </w:p>
          <w:p w14:paraId="2C3D01AF" w14:textId="77777777" w:rsidR="004869F3" w:rsidRPr="00A910E2" w:rsidRDefault="004869F3" w:rsidP="009D7A5E">
            <w:pPr>
              <w:pStyle w:val="Tabletext"/>
              <w:tabs>
                <w:tab w:val="clear" w:pos="284"/>
                <w:tab w:val="clear" w:pos="567"/>
                <w:tab w:val="clear" w:pos="851"/>
                <w:tab w:val="clear" w:pos="1134"/>
                <w:tab w:val="clear" w:pos="1418"/>
              </w:tabs>
              <w:cnfStyle w:val="100000000000" w:firstRow="1" w:lastRow="0" w:firstColumn="0" w:lastColumn="0" w:oddVBand="0" w:evenVBand="0" w:oddHBand="0" w:evenHBand="0" w:firstRowFirstColumn="0" w:firstRowLastColumn="0" w:lastRowFirstColumn="0" w:lastRowLastColumn="0"/>
              <w:rPr>
                <w:b w:val="0"/>
                <w:bCs w:val="0"/>
                <w:szCs w:val="22"/>
              </w:rPr>
            </w:pPr>
            <w:r w:rsidRPr="00A910E2">
              <w:rPr>
                <w:b w:val="0"/>
                <w:bCs w:val="0"/>
              </w:rPr>
              <w:tab/>
              <w:t>M. Dilmurod DUSMATOV (Ouzbékistan)</w:t>
            </w:r>
          </w:p>
          <w:p w14:paraId="3B7663C0" w14:textId="77777777" w:rsidR="004869F3" w:rsidRPr="00A910E2" w:rsidRDefault="004869F3" w:rsidP="009D7A5E">
            <w:pPr>
              <w:pStyle w:val="Tabletext"/>
              <w:tabs>
                <w:tab w:val="clear" w:pos="284"/>
                <w:tab w:val="clear" w:pos="567"/>
                <w:tab w:val="clear" w:pos="851"/>
                <w:tab w:val="clear" w:pos="1134"/>
                <w:tab w:val="clear" w:pos="1418"/>
              </w:tabs>
              <w:cnfStyle w:val="100000000000" w:firstRow="1" w:lastRow="0" w:firstColumn="0" w:lastColumn="0" w:oddVBand="0" w:evenVBand="0" w:oddHBand="0" w:evenHBand="0" w:firstRowFirstColumn="0" w:firstRowLastColumn="0" w:lastRowFirstColumn="0" w:lastRowLastColumn="0"/>
              <w:rPr>
                <w:b w:val="0"/>
                <w:bCs w:val="0"/>
                <w:szCs w:val="22"/>
              </w:rPr>
            </w:pPr>
            <w:r w:rsidRPr="00A910E2">
              <w:rPr>
                <w:b w:val="0"/>
                <w:bCs w:val="0"/>
              </w:rPr>
              <w:tab/>
              <w:t>M. Victor MARTINEZ VANEGAS (Mexique)</w:t>
            </w:r>
          </w:p>
          <w:p w14:paraId="47DD9A09" w14:textId="77777777" w:rsidR="004869F3" w:rsidRPr="00A910E2" w:rsidRDefault="004869F3" w:rsidP="009D7A5E">
            <w:pPr>
              <w:pStyle w:val="Tabletext"/>
              <w:tabs>
                <w:tab w:val="clear" w:pos="284"/>
                <w:tab w:val="clear" w:pos="567"/>
                <w:tab w:val="clear" w:pos="851"/>
                <w:tab w:val="clear" w:pos="1134"/>
                <w:tab w:val="clear" w:pos="1418"/>
              </w:tabs>
              <w:cnfStyle w:val="100000000000" w:firstRow="1" w:lastRow="0" w:firstColumn="0" w:lastColumn="0" w:oddVBand="0" w:evenVBand="0" w:oddHBand="0" w:evenHBand="0" w:firstRowFirstColumn="0" w:firstRowLastColumn="0" w:lastRowFirstColumn="0" w:lastRowLastColumn="0"/>
              <w:rPr>
                <w:b w:val="0"/>
                <w:bCs w:val="0"/>
                <w:szCs w:val="22"/>
              </w:rPr>
            </w:pPr>
            <w:r w:rsidRPr="00A910E2">
              <w:rPr>
                <w:b w:val="0"/>
                <w:bCs w:val="0"/>
              </w:rPr>
              <w:tab/>
              <w:t>M. Martin WEBER (Allemagne)</w:t>
            </w:r>
          </w:p>
          <w:p w14:paraId="1B6B2A95" w14:textId="0F20B056" w:rsidR="004869F3" w:rsidRPr="00A910E2" w:rsidRDefault="004869F3" w:rsidP="009D7A5E">
            <w:pPr>
              <w:pStyle w:val="Tabletext"/>
              <w:cnfStyle w:val="100000000000" w:firstRow="1" w:lastRow="0" w:firstColumn="0" w:lastColumn="0" w:oddVBand="0" w:evenVBand="0" w:oddHBand="0" w:evenHBand="0" w:firstRowFirstColumn="0" w:firstRowLastColumn="0" w:lastRowFirstColumn="0" w:lastRowLastColumn="0"/>
              <w:rPr>
                <w:sz w:val="24"/>
                <w:szCs w:val="24"/>
              </w:rPr>
            </w:pPr>
            <w:r w:rsidRPr="00A910E2">
              <w:rPr>
                <w:b w:val="0"/>
                <w:bCs w:val="0"/>
                <w:szCs w:val="22"/>
              </w:rPr>
              <w:t>Cette Commission était composée de la Présidente et des Vice</w:t>
            </w:r>
            <w:r w:rsidR="007A0C5E" w:rsidRPr="00A910E2">
              <w:rPr>
                <w:szCs w:val="22"/>
              </w:rPr>
              <w:noBreakHyphen/>
            </w:r>
            <w:r w:rsidRPr="00A910E2">
              <w:rPr>
                <w:b w:val="0"/>
                <w:bCs w:val="0"/>
                <w:szCs w:val="22"/>
              </w:rPr>
              <w:t xml:space="preserve">Présidents de l'Assemblée et des </w:t>
            </w:r>
            <w:r w:rsidR="007A583E" w:rsidRPr="00A910E2">
              <w:rPr>
                <w:b w:val="0"/>
                <w:bCs w:val="0"/>
                <w:szCs w:val="22"/>
              </w:rPr>
              <w:t>P</w:t>
            </w:r>
            <w:r w:rsidRPr="00A910E2">
              <w:rPr>
                <w:b w:val="0"/>
                <w:bCs w:val="0"/>
                <w:szCs w:val="22"/>
              </w:rPr>
              <w:t xml:space="preserve">résidents et </w:t>
            </w:r>
            <w:r w:rsidR="007A583E" w:rsidRPr="00A910E2">
              <w:rPr>
                <w:b w:val="0"/>
                <w:bCs w:val="0"/>
                <w:szCs w:val="22"/>
              </w:rPr>
              <w:t>V</w:t>
            </w:r>
            <w:r w:rsidRPr="00A910E2">
              <w:rPr>
                <w:b w:val="0"/>
                <w:bCs w:val="0"/>
                <w:szCs w:val="22"/>
              </w:rPr>
              <w:t>ice</w:t>
            </w:r>
            <w:r w:rsidR="007A0C5E" w:rsidRPr="00A910E2">
              <w:rPr>
                <w:b w:val="0"/>
                <w:bCs w:val="0"/>
                <w:szCs w:val="22"/>
              </w:rPr>
              <w:noBreakHyphen/>
            </w:r>
            <w:r w:rsidR="007A583E" w:rsidRPr="00A910E2">
              <w:rPr>
                <w:b w:val="0"/>
                <w:bCs w:val="0"/>
                <w:szCs w:val="22"/>
              </w:rPr>
              <w:t>P</w:t>
            </w:r>
            <w:r w:rsidRPr="00A910E2">
              <w:rPr>
                <w:b w:val="0"/>
                <w:bCs w:val="0"/>
                <w:szCs w:val="22"/>
              </w:rPr>
              <w:t xml:space="preserve">résidents des </w:t>
            </w:r>
            <w:r w:rsidR="00CB5F17" w:rsidRPr="00A910E2">
              <w:rPr>
                <w:b w:val="0"/>
                <w:bCs w:val="0"/>
                <w:szCs w:val="22"/>
              </w:rPr>
              <w:t>c</w:t>
            </w:r>
            <w:r w:rsidRPr="00A910E2">
              <w:rPr>
                <w:b w:val="0"/>
                <w:bCs w:val="0"/>
                <w:szCs w:val="22"/>
              </w:rPr>
              <w:t>ommissions.</w:t>
            </w:r>
          </w:p>
        </w:tc>
      </w:tr>
      <w:tr w:rsidR="004869F3" w:rsidRPr="00A910E2" w14:paraId="458BC807" w14:textId="77777777" w:rsidTr="005F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25528DE1" w14:textId="0FD10486" w:rsidR="004869F3" w:rsidRPr="00A910E2" w:rsidRDefault="004869F3" w:rsidP="009D7A5E">
            <w:pPr>
              <w:pStyle w:val="Tabletext"/>
              <w:rPr>
                <w:szCs w:val="22"/>
              </w:rPr>
            </w:pPr>
            <w:r w:rsidRPr="00A910E2">
              <w:t xml:space="preserve">Commission </w:t>
            </w:r>
            <w:r w:rsidR="005A2B9A" w:rsidRPr="00A910E2">
              <w:t>2</w:t>
            </w:r>
            <w:r w:rsidRPr="00A910E2">
              <w:t xml:space="preserve">: </w:t>
            </w:r>
            <w:r w:rsidR="007A0C5E" w:rsidRPr="00A910E2">
              <w:br/>
            </w:r>
            <w:r w:rsidRPr="00A910E2">
              <w:t>(Contrôle budgétaire)</w:t>
            </w:r>
          </w:p>
        </w:tc>
        <w:tc>
          <w:tcPr>
            <w:tcW w:w="6951" w:type="dxa"/>
            <w:hideMark/>
          </w:tcPr>
          <w:p w14:paraId="6B19B419" w14:textId="559089F0" w:rsidR="004869F3" w:rsidRPr="00A910E2" w:rsidRDefault="004869F3"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rPr>
                <w:szCs w:val="22"/>
              </w:rPr>
            </w:pPr>
            <w:r w:rsidRPr="00A910E2">
              <w:rPr>
                <w:b/>
                <w:bCs/>
              </w:rPr>
              <w:t>Président</w:t>
            </w:r>
            <w:r w:rsidRPr="00A910E2">
              <w:t>:</w:t>
            </w:r>
            <w:r w:rsidRPr="00A910E2">
              <w:tab/>
              <w:t>M. Daniel OBAM (Kenya)</w:t>
            </w:r>
          </w:p>
          <w:p w14:paraId="541F083C" w14:textId="32DA9F2B" w:rsidR="004869F3" w:rsidRPr="00A910E2" w:rsidRDefault="004869F3" w:rsidP="009D7A5E">
            <w:pPr>
              <w:pStyle w:val="Tabletext"/>
              <w:tabs>
                <w:tab w:val="clear" w:pos="1418"/>
              </w:tabs>
              <w:cnfStyle w:val="000000100000" w:firstRow="0" w:lastRow="0" w:firstColumn="0" w:lastColumn="0" w:oddVBand="0" w:evenVBand="0" w:oddHBand="1" w:evenHBand="0" w:firstRowFirstColumn="0" w:firstRowLastColumn="0" w:lastRowFirstColumn="0" w:lastRowLastColumn="0"/>
              <w:rPr>
                <w:szCs w:val="22"/>
              </w:rPr>
            </w:pPr>
            <w:r w:rsidRPr="00A910E2">
              <w:rPr>
                <w:b/>
                <w:bCs/>
              </w:rPr>
              <w:t>Vice-Président</w:t>
            </w:r>
            <w:r w:rsidR="001C68DE" w:rsidRPr="00A910E2">
              <w:rPr>
                <w:b/>
                <w:bCs/>
              </w:rPr>
              <w:t>e</w:t>
            </w:r>
            <w:r w:rsidRPr="00A910E2">
              <w:tab/>
              <w:t>Mme Latifa ALMUHANNA (Koweït)</w:t>
            </w:r>
          </w:p>
        </w:tc>
      </w:tr>
      <w:tr w:rsidR="004869F3" w:rsidRPr="00A910E2" w14:paraId="0E8E2497" w14:textId="77777777" w:rsidTr="005F164C">
        <w:tc>
          <w:tcPr>
            <w:cnfStyle w:val="001000000000" w:firstRow="0" w:lastRow="0" w:firstColumn="1" w:lastColumn="0" w:oddVBand="0" w:evenVBand="0" w:oddHBand="0" w:evenHBand="0" w:firstRowFirstColumn="0" w:firstRowLastColumn="0" w:lastRowFirstColumn="0" w:lastRowLastColumn="0"/>
            <w:tcW w:w="2830" w:type="dxa"/>
            <w:hideMark/>
          </w:tcPr>
          <w:p w14:paraId="1E859368" w14:textId="61C9338A" w:rsidR="004869F3" w:rsidRPr="00A910E2" w:rsidRDefault="004869F3" w:rsidP="009D7A5E">
            <w:pPr>
              <w:pStyle w:val="Tabletext"/>
              <w:rPr>
                <w:szCs w:val="22"/>
              </w:rPr>
            </w:pPr>
            <w:r w:rsidRPr="00A910E2">
              <w:t>Commission 3</w:t>
            </w:r>
            <w:r w:rsidR="00E74286" w:rsidRPr="00A910E2">
              <w:br/>
            </w:r>
            <w:r w:rsidRPr="00A910E2">
              <w:t>(Rédaction)</w:t>
            </w:r>
          </w:p>
        </w:tc>
        <w:tc>
          <w:tcPr>
            <w:tcW w:w="6951" w:type="dxa"/>
            <w:hideMark/>
          </w:tcPr>
          <w:p w14:paraId="0574AE9D" w14:textId="77777777"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rPr>
                <w:szCs w:val="22"/>
              </w:rPr>
            </w:pPr>
            <w:r w:rsidRPr="00A910E2">
              <w:rPr>
                <w:b/>
                <w:bCs/>
              </w:rPr>
              <w:t>Président</w:t>
            </w:r>
            <w:r w:rsidRPr="00A910E2">
              <w:t>:</w:t>
            </w:r>
            <w:r w:rsidRPr="00A910E2">
              <w:tab/>
              <w:t>M. Christian RISSONE (France)</w:t>
            </w:r>
          </w:p>
          <w:p w14:paraId="685B687E" w14:textId="639D59F8" w:rsidR="004869F3" w:rsidRPr="00A910E2" w:rsidRDefault="004869F3" w:rsidP="009D7A5E">
            <w:pPr>
              <w:pStyle w:val="Tabletext"/>
              <w:cnfStyle w:val="000000000000" w:firstRow="0" w:lastRow="0" w:firstColumn="0" w:lastColumn="0" w:oddVBand="0" w:evenVBand="0" w:oddHBand="0" w:evenHBand="0" w:firstRowFirstColumn="0" w:firstRowLastColumn="0" w:lastRowFirstColumn="0" w:lastRowLastColumn="0"/>
              <w:rPr>
                <w:szCs w:val="22"/>
              </w:rPr>
            </w:pPr>
            <w:r w:rsidRPr="00A910E2">
              <w:rPr>
                <w:b/>
                <w:bCs/>
              </w:rPr>
              <w:t>Vice-Présidents</w:t>
            </w:r>
            <w:r w:rsidRPr="00A910E2">
              <w:t>:</w:t>
            </w:r>
            <w:r w:rsidRPr="00A910E2">
              <w:tab/>
              <w:t xml:space="preserve">M. </w:t>
            </w:r>
            <w:r w:rsidR="001C68DE" w:rsidRPr="00A910E2">
              <w:rPr>
                <w:bCs/>
                <w:szCs w:val="22"/>
              </w:rPr>
              <w:t xml:space="preserve">Mohammed AL-HASSANI </w:t>
            </w:r>
            <w:r w:rsidRPr="00A910E2">
              <w:t>(Émirats arabes unis)</w:t>
            </w:r>
          </w:p>
          <w:p w14:paraId="15C4911A" w14:textId="72EC418A"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rPr>
                <w:szCs w:val="22"/>
              </w:rPr>
            </w:pPr>
            <w:r w:rsidRPr="00A910E2">
              <w:tab/>
              <w:t>M. Dmitry CHERKESOV (Fédération de Russie)</w:t>
            </w:r>
          </w:p>
          <w:p w14:paraId="30FF586E" w14:textId="77777777"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rPr>
                <w:szCs w:val="22"/>
              </w:rPr>
            </w:pPr>
            <w:r w:rsidRPr="00A910E2">
              <w:rPr>
                <w:szCs w:val="22"/>
              </w:rPr>
              <w:tab/>
              <w:t>Mme Zhang HAIYAN (Chine (Rép. Populaire de)</w:t>
            </w:r>
          </w:p>
          <w:p w14:paraId="40D6FF9B" w14:textId="06F5ABAC" w:rsidR="00E74286" w:rsidRPr="00A910E2" w:rsidRDefault="00E74286"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rPr>
                <w:bCs/>
                <w:szCs w:val="22"/>
              </w:rPr>
            </w:pPr>
            <w:r w:rsidRPr="00A910E2">
              <w:rPr>
                <w:szCs w:val="22"/>
              </w:rPr>
              <w:tab/>
            </w:r>
            <w:r w:rsidRPr="00A910E2">
              <w:rPr>
                <w:bCs/>
                <w:szCs w:val="22"/>
              </w:rPr>
              <w:t>M. Oliver INGS (</w:t>
            </w:r>
            <w:r w:rsidRPr="00A910E2">
              <w:t>Royaume-Uni</w:t>
            </w:r>
            <w:r w:rsidRPr="00A910E2">
              <w:rPr>
                <w:bCs/>
                <w:szCs w:val="22"/>
              </w:rPr>
              <w:t>)</w:t>
            </w:r>
          </w:p>
          <w:p w14:paraId="19EF5B4C" w14:textId="141C588D" w:rsidR="004869F3" w:rsidRPr="00A910E2" w:rsidRDefault="00E74286"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rPr>
                <w:szCs w:val="22"/>
              </w:rPr>
            </w:pPr>
            <w:r w:rsidRPr="00A910E2">
              <w:rPr>
                <w:bCs/>
                <w:szCs w:val="22"/>
              </w:rPr>
              <w:tab/>
              <w:t>M.</w:t>
            </w:r>
            <w:r w:rsidRPr="00A910E2">
              <w:t xml:space="preserve"> </w:t>
            </w:r>
            <w:r w:rsidRPr="00A910E2">
              <w:rPr>
                <w:bCs/>
                <w:szCs w:val="22"/>
              </w:rPr>
              <w:t>Angel LEON ALCALDE (Espagne)</w:t>
            </w:r>
          </w:p>
        </w:tc>
      </w:tr>
      <w:tr w:rsidR="004869F3" w:rsidRPr="00A910E2" w14:paraId="0CE64D3A" w14:textId="77777777" w:rsidTr="005F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7E1E6E3F" w14:textId="6C9B4B42" w:rsidR="004869F3" w:rsidRPr="00A910E2" w:rsidRDefault="004869F3" w:rsidP="009D7A5E">
            <w:pPr>
              <w:pStyle w:val="Tabletext"/>
              <w:rPr>
                <w:szCs w:val="22"/>
              </w:rPr>
            </w:pPr>
            <w:r w:rsidRPr="00A910E2">
              <w:t>Commission 4</w:t>
            </w:r>
            <w:r w:rsidR="007A0C5E" w:rsidRPr="00A910E2">
              <w:br/>
            </w:r>
            <w:r w:rsidRPr="00A910E2">
              <w:t>(Structure et programme de travail des commissions d'études)</w:t>
            </w:r>
          </w:p>
        </w:tc>
        <w:tc>
          <w:tcPr>
            <w:tcW w:w="6951" w:type="dxa"/>
            <w:hideMark/>
          </w:tcPr>
          <w:p w14:paraId="70786C55" w14:textId="77777777" w:rsidR="004869F3" w:rsidRPr="00A910E2" w:rsidRDefault="004869F3"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rPr>
                <w:szCs w:val="22"/>
              </w:rPr>
            </w:pPr>
            <w:r w:rsidRPr="00A910E2">
              <w:rPr>
                <w:b/>
                <w:bCs/>
              </w:rPr>
              <w:t>Président</w:t>
            </w:r>
            <w:r w:rsidRPr="00A910E2">
              <w:t>:</w:t>
            </w:r>
            <w:r w:rsidRPr="00A910E2">
              <w:tab/>
              <w:t>M. Yukihiro NISHIDA (Japon)</w:t>
            </w:r>
          </w:p>
          <w:p w14:paraId="56E0E60C" w14:textId="1ABF0888" w:rsidR="004869F3" w:rsidRPr="00A910E2" w:rsidRDefault="004869F3" w:rsidP="009D7A5E">
            <w:pPr>
              <w:pStyle w:val="Tabletext"/>
              <w:cnfStyle w:val="000000100000" w:firstRow="0" w:lastRow="0" w:firstColumn="0" w:lastColumn="0" w:oddVBand="0" w:evenVBand="0" w:oddHBand="1" w:evenHBand="0" w:firstRowFirstColumn="0" w:firstRowLastColumn="0" w:lastRowFirstColumn="0" w:lastRowLastColumn="0"/>
              <w:rPr>
                <w:szCs w:val="22"/>
              </w:rPr>
            </w:pPr>
            <w:r w:rsidRPr="00A910E2">
              <w:rPr>
                <w:b/>
                <w:bCs/>
              </w:rPr>
              <w:t>Vice-Président</w:t>
            </w:r>
            <w:r w:rsidR="00E74286" w:rsidRPr="00A910E2">
              <w:rPr>
                <w:b/>
                <w:bCs/>
              </w:rPr>
              <w:t>e</w:t>
            </w:r>
            <w:r w:rsidRPr="00A910E2">
              <w:tab/>
              <w:t>Mme Muneera ALZAYANI (Bahreïn)</w:t>
            </w:r>
          </w:p>
        </w:tc>
      </w:tr>
      <w:tr w:rsidR="004869F3" w:rsidRPr="00A910E2" w14:paraId="55014E73" w14:textId="77777777" w:rsidTr="005F164C">
        <w:trPr>
          <w:trHeight w:val="66"/>
        </w:trPr>
        <w:tc>
          <w:tcPr>
            <w:cnfStyle w:val="001000000000" w:firstRow="0" w:lastRow="0" w:firstColumn="1" w:lastColumn="0" w:oddVBand="0" w:evenVBand="0" w:oddHBand="0" w:evenHBand="0" w:firstRowFirstColumn="0" w:firstRowLastColumn="0" w:lastRowFirstColumn="0" w:lastRowLastColumn="0"/>
            <w:tcW w:w="2830" w:type="dxa"/>
          </w:tcPr>
          <w:p w14:paraId="7A2D6F00" w14:textId="1CA31432" w:rsidR="004869F3" w:rsidRPr="00A910E2" w:rsidRDefault="004869F3" w:rsidP="009D7A5E">
            <w:pPr>
              <w:pStyle w:val="Tabletext"/>
              <w:rPr>
                <w:szCs w:val="22"/>
              </w:rPr>
            </w:pPr>
            <w:r w:rsidRPr="00A910E2">
              <w:t>Commission 5</w:t>
            </w:r>
            <w:r w:rsidR="007A0C5E" w:rsidRPr="00A910E2">
              <w:br/>
            </w:r>
            <w:r w:rsidRPr="00A910E2">
              <w:t>(Méthodes de travail de l'Assemblée des radiocommunications et des commissions d'études)</w:t>
            </w:r>
          </w:p>
        </w:tc>
        <w:tc>
          <w:tcPr>
            <w:tcW w:w="6951" w:type="dxa"/>
          </w:tcPr>
          <w:p w14:paraId="3C085766" w14:textId="1B059120"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rPr>
                <w:szCs w:val="22"/>
              </w:rPr>
            </w:pPr>
            <w:r w:rsidRPr="00A910E2">
              <w:rPr>
                <w:b/>
                <w:bCs/>
              </w:rPr>
              <w:t>Président</w:t>
            </w:r>
            <w:r w:rsidRPr="00A910E2">
              <w:t>:</w:t>
            </w:r>
            <w:r w:rsidRPr="00A910E2">
              <w:tab/>
              <w:t>M. John ZUZEK (</w:t>
            </w:r>
            <w:r w:rsidR="007A0C5E" w:rsidRPr="00A910E2">
              <w:t>É</w:t>
            </w:r>
            <w:r w:rsidRPr="00A910E2">
              <w:t>tats-Unis d'Amérique)</w:t>
            </w:r>
          </w:p>
          <w:p w14:paraId="270DBC66" w14:textId="6716D963" w:rsidR="004869F3" w:rsidRPr="00A910E2" w:rsidRDefault="004869F3" w:rsidP="009D7A5E">
            <w:pPr>
              <w:pStyle w:val="Tabletext"/>
              <w:cnfStyle w:val="000000000000" w:firstRow="0" w:lastRow="0" w:firstColumn="0" w:lastColumn="0" w:oddVBand="0" w:evenVBand="0" w:oddHBand="0" w:evenHBand="0" w:firstRowFirstColumn="0" w:firstRowLastColumn="0" w:lastRowFirstColumn="0" w:lastRowLastColumn="0"/>
              <w:rPr>
                <w:szCs w:val="22"/>
              </w:rPr>
            </w:pPr>
            <w:r w:rsidRPr="00A910E2">
              <w:rPr>
                <w:b/>
                <w:bCs/>
              </w:rPr>
              <w:t>Vice-Président</w:t>
            </w:r>
            <w:r w:rsidRPr="00A910E2">
              <w:t>:</w:t>
            </w:r>
            <w:r w:rsidRPr="00A910E2">
              <w:tab/>
              <w:t xml:space="preserve">M. </w:t>
            </w:r>
            <w:r w:rsidR="00E74286" w:rsidRPr="00A910E2">
              <w:rPr>
                <w:iCs/>
                <w:szCs w:val="22"/>
              </w:rPr>
              <w:t>Moath ALMANEA</w:t>
            </w:r>
            <w:r w:rsidR="00E74286" w:rsidRPr="00A910E2">
              <w:t xml:space="preserve"> </w:t>
            </w:r>
            <w:r w:rsidRPr="00A910E2">
              <w:t>(Arabie saoudite)</w:t>
            </w:r>
          </w:p>
        </w:tc>
      </w:tr>
    </w:tbl>
    <w:p w14:paraId="2E2B70DD" w14:textId="3FAC0A8A" w:rsidR="004869F3" w:rsidRPr="00A910E2" w:rsidRDefault="004869F3" w:rsidP="009D7A5E">
      <w:r w:rsidRPr="00A910E2">
        <w:t>L'AR-23 s'est déroulée entièrement sans document papier et le site web SharePoint de l'AR-23 a été utilisé pour toutes les activités de rédaction. Une application de synchronisation a aussi été mise à disposition et utilisée.</w:t>
      </w:r>
    </w:p>
    <w:p w14:paraId="53959504" w14:textId="67E00720" w:rsidR="004869F3" w:rsidRPr="00A910E2" w:rsidRDefault="007A0C5E" w:rsidP="009D7A5E">
      <w:r w:rsidRPr="00A910E2">
        <w:t>À</w:t>
      </w:r>
      <w:r w:rsidR="004869F3" w:rsidRPr="00A910E2">
        <w:t xml:space="preserve"> la suite de la décision prise pendant la séance plénière d'ouverture, et conformément aux décisions de la PP-14, toutes les contributions étaient librement accessibles au public avant le début</w:t>
      </w:r>
      <w:r w:rsidR="00E74286" w:rsidRPr="00A910E2">
        <w:t> </w:t>
      </w:r>
      <w:r w:rsidR="004869F3" w:rsidRPr="00A910E2">
        <w:t>de l'Assemblée, aucun État Membre n'ayant estimé que leur divulgation risquait de causer à des intérêts publics ou privés légitimes un préjudice que ne sauraient justifier les avantages de l'accessibilité.</w:t>
      </w:r>
    </w:p>
    <w:p w14:paraId="2C82A647" w14:textId="55605E84" w:rsidR="004869F3" w:rsidRPr="00A910E2" w:rsidRDefault="004869F3" w:rsidP="009D7A5E">
      <w:pPr>
        <w:rPr>
          <w:rFonts w:eastAsia="Arial Unicode MS"/>
          <w:szCs w:val="24"/>
        </w:rPr>
      </w:pPr>
      <w:r w:rsidRPr="00A910E2">
        <w:rPr>
          <w:rFonts w:eastAsia="Arial Unicode MS"/>
          <w:szCs w:val="24"/>
        </w:rPr>
        <w:t>Les Résolutions, Recommandations et Questions de l'UIT-R, qui constituent les principaux résultats de l'Assemblée, sont accessibles au public. Les séances plénières ainsi que les séances des commissions ont été diffusées sur le web dans les six langues officielles, avec sous-titrage en anglais; les fichiers (archives) correspondants sont aussi disponibles sur le site web de l'AR</w:t>
      </w:r>
      <w:r w:rsidR="007A0C5E" w:rsidRPr="00A910E2">
        <w:rPr>
          <w:rFonts w:eastAsia="Arial Unicode MS"/>
          <w:szCs w:val="24"/>
        </w:rPr>
        <w:noBreakHyphen/>
      </w:r>
      <w:r w:rsidRPr="00A910E2">
        <w:rPr>
          <w:rFonts w:eastAsia="Arial Unicode MS"/>
          <w:szCs w:val="24"/>
        </w:rPr>
        <w:t>23. On</w:t>
      </w:r>
      <w:r w:rsidR="007A0C5E" w:rsidRPr="00A910E2">
        <w:rPr>
          <w:rFonts w:eastAsia="Arial Unicode MS"/>
          <w:szCs w:val="24"/>
        </w:rPr>
        <w:t> </w:t>
      </w:r>
      <w:r w:rsidRPr="00A910E2">
        <w:rPr>
          <w:rFonts w:eastAsia="Arial Unicode MS"/>
          <w:szCs w:val="24"/>
        </w:rPr>
        <w:t>trouvera de plus amples informations sur la page web de l'AR-23, à l'adresse</w:t>
      </w:r>
      <w:r w:rsidRPr="00A910E2">
        <w:rPr>
          <w:szCs w:val="24"/>
        </w:rPr>
        <w:t>:</w:t>
      </w:r>
      <w:r w:rsidRPr="00A910E2">
        <w:rPr>
          <w:color w:val="0000FF"/>
          <w:szCs w:val="24"/>
          <w:u w:val="single"/>
        </w:rPr>
        <w:t xml:space="preserve"> </w:t>
      </w:r>
      <w:hyperlink r:id="rId17" w:history="1">
        <w:r w:rsidRPr="00A910E2">
          <w:rPr>
            <w:rStyle w:val="Hyperlink"/>
            <w:szCs w:val="24"/>
          </w:rPr>
          <w:t>https://www.itu.int/ra-23/</w:t>
        </w:r>
      </w:hyperlink>
      <w:r w:rsidRPr="00A910E2">
        <w:rPr>
          <w:szCs w:val="24"/>
        </w:rPr>
        <w:t>.</w:t>
      </w:r>
    </w:p>
    <w:p w14:paraId="2B31B3E2" w14:textId="6D16DE1E" w:rsidR="004869F3" w:rsidRPr="00A910E2" w:rsidRDefault="004869F3" w:rsidP="009D7A5E">
      <w:r w:rsidRPr="00A910E2">
        <w:t>Au total, l'AR-23 a révisé 26 Résolutions de l'UIT-R.</w:t>
      </w:r>
    </w:p>
    <w:p w14:paraId="2CCEA085" w14:textId="5D93657A" w:rsidR="004869F3" w:rsidRPr="00A910E2" w:rsidRDefault="004869F3" w:rsidP="00C501FF">
      <w:pPr>
        <w:rPr>
          <w:szCs w:val="24"/>
        </w:rPr>
      </w:pPr>
      <w:r w:rsidRPr="00A910E2">
        <w:t xml:space="preserve">La Résolution </w:t>
      </w:r>
      <w:hyperlink r:id="rId18" w:history="1">
        <w:r w:rsidRPr="00A910E2">
          <w:rPr>
            <w:rStyle w:val="Hyperlink"/>
          </w:rPr>
          <w:t>1</w:t>
        </w:r>
      </w:hyperlink>
      <w:r w:rsidRPr="00A910E2">
        <w:t xml:space="preserve"> de l'UIT-R, intitulée </w:t>
      </w:r>
      <w:r w:rsidR="007A0C5E" w:rsidRPr="00A910E2">
        <w:t>«</w:t>
      </w:r>
      <w:r w:rsidRPr="00A910E2">
        <w:t>Méthodes de travail de l'Assemblée des radiocommunications, des commissions d'études des radiocommunications, du Groupe consultatif des radiocommunications et d'autres groupes du Secteur des radiocommunications</w:t>
      </w:r>
      <w:r w:rsidR="007A0C5E" w:rsidRPr="00A910E2">
        <w:t>»</w:t>
      </w:r>
      <w:r w:rsidRPr="00A910E2">
        <w:t>, a été révisée. Des modifications importantes ont été apportées à cette Résolution, notamment:</w:t>
      </w:r>
    </w:p>
    <w:p w14:paraId="0DF0E9BB" w14:textId="1155B72F" w:rsidR="004869F3" w:rsidRPr="00A910E2" w:rsidRDefault="004869F3" w:rsidP="00C501FF">
      <w:pPr>
        <w:pStyle w:val="enumlev1"/>
      </w:pPr>
      <w:r w:rsidRPr="00A910E2">
        <w:t>−</w:t>
      </w:r>
      <w:r w:rsidRPr="00A910E2">
        <w:tab/>
      </w:r>
      <w:r w:rsidR="00E74286" w:rsidRPr="00A910E2">
        <w:t>M</w:t>
      </w:r>
      <w:r w:rsidRPr="00A910E2">
        <w:t>odification du délai de soumission des contributions pour les réunions de toutes les</w:t>
      </w:r>
      <w:r w:rsidR="007A0C5E" w:rsidRPr="00A910E2">
        <w:t> </w:t>
      </w:r>
      <w:r w:rsidRPr="00A910E2">
        <w:t>CE, du</w:t>
      </w:r>
      <w:r w:rsidR="007A0C5E" w:rsidRPr="00A910E2">
        <w:t> </w:t>
      </w:r>
      <w:r w:rsidRPr="00A910E2">
        <w:t xml:space="preserve">CCV et de leurs groupes, désormais fixée à </w:t>
      </w:r>
      <w:r w:rsidRPr="00A910E2">
        <w:rPr>
          <w:b/>
          <w:bCs/>
        </w:rPr>
        <w:t>12 jours calendaires</w:t>
      </w:r>
      <w:r w:rsidRPr="00A910E2">
        <w:t xml:space="preserve"> avant le début de la réunion</w:t>
      </w:r>
      <w:r w:rsidR="00E74286" w:rsidRPr="00A910E2">
        <w:t>.</w:t>
      </w:r>
    </w:p>
    <w:p w14:paraId="6E43757C" w14:textId="4F1A2EAD" w:rsidR="004869F3" w:rsidRPr="00A910E2" w:rsidRDefault="004869F3" w:rsidP="009D7A5E">
      <w:pPr>
        <w:pStyle w:val="enumlev1"/>
      </w:pPr>
      <w:r w:rsidRPr="00A910E2">
        <w:t>−</w:t>
      </w:r>
      <w:r w:rsidRPr="00A910E2">
        <w:tab/>
      </w:r>
      <w:r w:rsidR="00E74286" w:rsidRPr="00A910E2">
        <w:t>A</w:t>
      </w:r>
      <w:r w:rsidRPr="00A910E2">
        <w:t>jout d'une disposition sur la politique d'octroi de bourses pour les personnes originaires de pays en développement, sous réserve de la disponibilité des fonds</w:t>
      </w:r>
      <w:r w:rsidR="00E74286" w:rsidRPr="00A910E2">
        <w:t>.</w:t>
      </w:r>
    </w:p>
    <w:p w14:paraId="2CFF0BFC" w14:textId="7B619AE4" w:rsidR="004869F3" w:rsidRPr="00A910E2" w:rsidRDefault="004869F3" w:rsidP="009D7A5E">
      <w:pPr>
        <w:pStyle w:val="enumlev1"/>
      </w:pPr>
      <w:r w:rsidRPr="00A910E2">
        <w:t>−</w:t>
      </w:r>
      <w:r w:rsidRPr="00A910E2">
        <w:tab/>
      </w:r>
      <w:r w:rsidR="00E74286" w:rsidRPr="00A910E2">
        <w:t>A</w:t>
      </w:r>
      <w:r w:rsidRPr="00A910E2">
        <w:t xml:space="preserve">djonction de la nécessité d'informer le GCR en cas d'absence des </w:t>
      </w:r>
      <w:r w:rsidR="007A0C5E" w:rsidRPr="00A910E2">
        <w:t>v</w:t>
      </w:r>
      <w:r w:rsidRPr="00A910E2">
        <w:t>ice-</w:t>
      </w:r>
      <w:r w:rsidR="007A0C5E" w:rsidRPr="00A910E2">
        <w:t>p</w:t>
      </w:r>
      <w:r w:rsidRPr="00A910E2">
        <w:t>résidents</w:t>
      </w:r>
      <w:r w:rsidR="00E74286" w:rsidRPr="00A910E2">
        <w:t>.</w:t>
      </w:r>
    </w:p>
    <w:p w14:paraId="4F7B98CA" w14:textId="4E5CBF72" w:rsidR="004869F3" w:rsidRPr="00A910E2" w:rsidRDefault="004869F3" w:rsidP="009D7A5E">
      <w:pPr>
        <w:pStyle w:val="enumlev1"/>
      </w:pPr>
      <w:r w:rsidRPr="00A910E2">
        <w:t>−</w:t>
      </w:r>
      <w:r w:rsidRPr="00A910E2">
        <w:tab/>
      </w:r>
      <w:r w:rsidR="00E74286" w:rsidRPr="00A910E2">
        <w:t>I</w:t>
      </w:r>
      <w:r w:rsidRPr="00A910E2">
        <w:t>nclusion d'une référence à la nouvelle Résolution UIT-R 72 sur la promotion de l'égalité et de l'équité hommes-femmes</w:t>
      </w:r>
      <w:r w:rsidR="00E74286" w:rsidRPr="00A910E2">
        <w:t>.</w:t>
      </w:r>
    </w:p>
    <w:p w14:paraId="53A159D8" w14:textId="67A9F4C2" w:rsidR="004869F3" w:rsidRPr="00A910E2" w:rsidRDefault="004869F3" w:rsidP="009D7A5E">
      <w:pPr>
        <w:pStyle w:val="enumlev1"/>
      </w:pPr>
      <w:r w:rsidRPr="00A910E2">
        <w:t>−</w:t>
      </w:r>
      <w:r w:rsidRPr="00A910E2">
        <w:tab/>
      </w:r>
      <w:r w:rsidR="00E74286" w:rsidRPr="00A910E2">
        <w:t>A</w:t>
      </w:r>
      <w:r w:rsidRPr="00A910E2">
        <w:t>jout d'une nouvelle section sur les procédures de vote à l'AR</w:t>
      </w:r>
      <w:r w:rsidR="00E74286" w:rsidRPr="00A910E2">
        <w:t>.</w:t>
      </w:r>
    </w:p>
    <w:p w14:paraId="700092DA" w14:textId="79144E84" w:rsidR="004869F3" w:rsidRPr="00A910E2" w:rsidRDefault="004869F3" w:rsidP="009D7A5E">
      <w:pPr>
        <w:pStyle w:val="enumlev1"/>
        <w:rPr>
          <w:szCs w:val="24"/>
        </w:rPr>
      </w:pPr>
      <w:r w:rsidRPr="00A910E2">
        <w:t>−</w:t>
      </w:r>
      <w:r w:rsidRPr="00A910E2">
        <w:tab/>
      </w:r>
      <w:r w:rsidR="00E74286" w:rsidRPr="00A910E2">
        <w:t>D</w:t>
      </w:r>
      <w:r w:rsidRPr="00A910E2">
        <w:t xml:space="preserve">étermination du rôle et du mandat des </w:t>
      </w:r>
      <w:r w:rsidR="007A0C5E" w:rsidRPr="00A910E2">
        <w:t>v</w:t>
      </w:r>
      <w:r w:rsidRPr="00A910E2">
        <w:t>ice-</w:t>
      </w:r>
      <w:r w:rsidR="007A0C5E" w:rsidRPr="00A910E2">
        <w:t>p</w:t>
      </w:r>
      <w:r w:rsidRPr="00A910E2">
        <w:t xml:space="preserve">résidents des commissions d'études ainsi que du rôle et du mandat des </w:t>
      </w:r>
      <w:r w:rsidR="007A0C5E" w:rsidRPr="00A910E2">
        <w:t>p</w:t>
      </w:r>
      <w:r w:rsidRPr="00A910E2">
        <w:t xml:space="preserve">résidents des </w:t>
      </w:r>
      <w:r w:rsidR="007A0C5E" w:rsidRPr="00A910E2">
        <w:t>g</w:t>
      </w:r>
      <w:r w:rsidRPr="00A910E2">
        <w:t>roupes de travail (GT) et définition d'un nombre maximal de mandats des présidents des GT. Ses dispositions étant intégrées dans la Résolution</w:t>
      </w:r>
      <w:r w:rsidR="007A0C5E" w:rsidRPr="00A910E2">
        <w:t> </w:t>
      </w:r>
      <w:r w:rsidRPr="00A910E2">
        <w:t>UIT</w:t>
      </w:r>
      <w:r w:rsidR="007A0C5E" w:rsidRPr="00A910E2">
        <w:noBreakHyphen/>
      </w:r>
      <w:r w:rsidRPr="00A910E2">
        <w:t>R</w:t>
      </w:r>
      <w:r w:rsidR="007A0C5E" w:rsidRPr="00A910E2">
        <w:t> </w:t>
      </w:r>
      <w:hyperlink r:id="rId19" w:history="1">
        <w:r w:rsidRPr="00A910E2">
          <w:rPr>
            <w:rStyle w:val="Hyperlink"/>
          </w:rPr>
          <w:t>1</w:t>
        </w:r>
      </w:hyperlink>
      <w:r w:rsidRPr="00A910E2">
        <w:t>, la Résolution UIT-R 15 a été supprimée en conséquence. La Résolution</w:t>
      </w:r>
      <w:r w:rsidR="007A0C5E" w:rsidRPr="00A910E2">
        <w:t> </w:t>
      </w:r>
      <w:r w:rsidRPr="00A910E2">
        <w:t>UIT</w:t>
      </w:r>
      <w:r w:rsidR="007A0C5E" w:rsidRPr="00A910E2">
        <w:noBreakHyphen/>
      </w:r>
      <w:r w:rsidRPr="00A910E2">
        <w:t>R</w:t>
      </w:r>
      <w:r w:rsidR="007A0C5E" w:rsidRPr="00A910E2">
        <w:t> </w:t>
      </w:r>
      <w:hyperlink r:id="rId20" w:history="1">
        <w:r w:rsidRPr="00A910E2">
          <w:rPr>
            <w:rStyle w:val="Hyperlink"/>
          </w:rPr>
          <w:t>2</w:t>
        </w:r>
      </w:hyperlink>
      <w:r w:rsidRPr="00A910E2">
        <w:t xml:space="preserve">, intitulée «Réunion de préparation à la Conférence», a également été modifiée afin de clarifier la partie du </w:t>
      </w:r>
      <w:r w:rsidRPr="00A910E2">
        <w:rPr>
          <w:i/>
          <w:iCs/>
        </w:rPr>
        <w:t xml:space="preserve">décide </w:t>
      </w:r>
      <w:r w:rsidRPr="00A910E2">
        <w:t>relative aux études techniques et d'améliorer les lignes directrices relatives à l'élaboration du Rapport de la RPC.</w:t>
      </w:r>
    </w:p>
    <w:p w14:paraId="07E26ED0" w14:textId="423A127E" w:rsidR="004869F3" w:rsidRPr="00A910E2" w:rsidRDefault="004869F3" w:rsidP="009D7A5E">
      <w:r w:rsidRPr="00A910E2">
        <w:t xml:space="preserve">La structure des </w:t>
      </w:r>
      <w:r w:rsidR="007A0C5E" w:rsidRPr="00A910E2">
        <w:t>c</w:t>
      </w:r>
      <w:r w:rsidRPr="00A910E2">
        <w:t>ommissions d'études de l'UIT-R a été maintenue. Par conséquent, les six</w:t>
      </w:r>
      <w:r w:rsidR="007A0C5E" w:rsidRPr="00A910E2">
        <w:t> </w:t>
      </w:r>
      <w:r w:rsidRPr="00A910E2">
        <w:t>commissions d'études de l'UIT-R existantes poursuivront leurs travaux durant la nouvelle période d'études (2023-2027), avec le même domaine d'activité. Seul le domaine de compétence de la Commission d'études 4 a été modifié pour inclure l'utilisation correspondante des liaisons du service inter-satellites. La structure des commissions d'études des radiocommunications, y</w:t>
      </w:r>
      <w:r w:rsidR="007A0C5E" w:rsidRPr="00A910E2">
        <w:t> </w:t>
      </w:r>
      <w:r w:rsidRPr="00A910E2">
        <w:t xml:space="preserve">compris leurs domaines de compétence et leurs présidents, figurent dans la Résolution UIT-R </w:t>
      </w:r>
      <w:hyperlink r:id="rId21" w:history="1">
        <w:r w:rsidRPr="00A910E2">
          <w:rPr>
            <w:rStyle w:val="Hyperlink"/>
          </w:rPr>
          <w:t>4</w:t>
        </w:r>
      </w:hyperlink>
      <w:r w:rsidRPr="00A910E2">
        <w:t xml:space="preserve">. Faute de consensus sur la désignation des vice-présidents de chaque groupe, l'AR-23 a délégué aux groupes concernés (CE, CCV, GCR, RPC) la responsabilité de nommer leurs vice-présidents respectifs sur la base du Document </w:t>
      </w:r>
      <w:hyperlink r:id="rId22" w:history="1">
        <w:r w:rsidR="009D7A5E" w:rsidRPr="00A910E2">
          <w:rPr>
            <w:rStyle w:val="Hyperlink"/>
          </w:rPr>
          <w:t>RA-23/PLEN/91(Rév.1)</w:t>
        </w:r>
      </w:hyperlink>
      <w:r w:rsidRPr="00A910E2">
        <w:t>.</w:t>
      </w:r>
    </w:p>
    <w:p w14:paraId="14C1E527" w14:textId="4AB2AE8C" w:rsidR="004869F3" w:rsidRPr="00A910E2" w:rsidRDefault="004869F3" w:rsidP="009D7A5E">
      <w:r w:rsidRPr="00A910E2">
        <w:t xml:space="preserve">L'AR-23 a approuvé le programme de travail et les Questions des </w:t>
      </w:r>
      <w:r w:rsidR="00B823DE" w:rsidRPr="00A910E2">
        <w:t>c</w:t>
      </w:r>
      <w:r w:rsidRPr="00A910E2">
        <w:t xml:space="preserve">ommissions d'études des radiocommunications (voir la Résolution UIT-R </w:t>
      </w:r>
      <w:hyperlink r:id="rId23" w:history="1">
        <w:r w:rsidRPr="00A910E2">
          <w:rPr>
            <w:rStyle w:val="Hyperlink"/>
          </w:rPr>
          <w:t>5</w:t>
        </w:r>
      </w:hyperlink>
      <w:r w:rsidRPr="00A910E2">
        <w:t>) ainsi que quatre Recommandations</w:t>
      </w:r>
      <w:r w:rsidR="00B823DE" w:rsidRPr="00A910E2">
        <w:t> </w:t>
      </w:r>
      <w:r w:rsidRPr="00A910E2">
        <w:t>UIT</w:t>
      </w:r>
      <w:r w:rsidR="00B823DE" w:rsidRPr="00A910E2">
        <w:noBreakHyphen/>
      </w:r>
      <w:r w:rsidRPr="00A910E2">
        <w:t>R.</w:t>
      </w:r>
    </w:p>
    <w:p w14:paraId="6D80B67F" w14:textId="1D4095F8" w:rsidR="004869F3" w:rsidRPr="00A910E2" w:rsidRDefault="004869F3" w:rsidP="009D7A5E">
      <w:r w:rsidRPr="00A910E2">
        <w:t xml:space="preserve">La Résolution UIT-R </w:t>
      </w:r>
      <w:hyperlink r:id="rId24" w:history="1">
        <w:r w:rsidRPr="00A910E2">
          <w:rPr>
            <w:rStyle w:val="Hyperlink"/>
          </w:rPr>
          <w:t>56</w:t>
        </w:r>
      </w:hyperlink>
      <w:r w:rsidRPr="00A910E2">
        <w:t>, intitulée «Appellations pour les Télécommunications mobiles internationales» a également été largement modifiée afin d'inclure le terme «IMT-2030», ainsi qu'une référence à la Recommandation UIT-R M.2160 qui décrit le cadre et les objectifs généraux du développement futur des «IMT à l'horizon 2030 et au-delà». De même, la Résolution</w:t>
      </w:r>
      <w:r w:rsidR="00B823DE" w:rsidRPr="00A910E2">
        <w:t> </w:t>
      </w:r>
      <w:r w:rsidRPr="00A910E2">
        <w:t>UIT</w:t>
      </w:r>
      <w:r w:rsidR="00B823DE" w:rsidRPr="00A910E2">
        <w:noBreakHyphen/>
      </w:r>
      <w:r w:rsidRPr="00A910E2">
        <w:t>R</w:t>
      </w:r>
      <w:r w:rsidR="00B823DE" w:rsidRPr="00A910E2">
        <w:t> </w:t>
      </w:r>
      <w:hyperlink r:id="rId25" w:history="1">
        <w:r w:rsidRPr="00A910E2">
          <w:rPr>
            <w:rStyle w:val="Hyperlink"/>
          </w:rPr>
          <w:t>65</w:t>
        </w:r>
      </w:hyperlink>
      <w:r w:rsidRPr="00A910E2">
        <w:t xml:space="preserve"> intitulée «Principes applicables au processus de développement futur des IMT-2020 et des</w:t>
      </w:r>
      <w:r w:rsidR="00B823DE" w:rsidRPr="00A910E2">
        <w:t> </w:t>
      </w:r>
      <w:r w:rsidRPr="00A910E2">
        <w:t>IMT</w:t>
      </w:r>
      <w:r w:rsidR="00B823DE" w:rsidRPr="00A910E2">
        <w:noBreakHyphen/>
      </w:r>
      <w:r w:rsidRPr="00A910E2">
        <w:t>2030» a également été révisée pour inclure les mêmes concepts.</w:t>
      </w:r>
    </w:p>
    <w:p w14:paraId="00BB9065" w14:textId="77777777" w:rsidR="004869F3" w:rsidRPr="00A910E2" w:rsidRDefault="004869F3" w:rsidP="009D7A5E">
      <w:pPr>
        <w:rPr>
          <w:rFonts w:eastAsia="Arial Unicode MS"/>
          <w:szCs w:val="24"/>
        </w:rPr>
      </w:pPr>
      <w:r w:rsidRPr="00A910E2">
        <w:rPr>
          <w:rFonts w:eastAsia="Arial Unicode MS"/>
          <w:szCs w:val="24"/>
        </w:rPr>
        <w:t>En outre, quatre nouvelles Résolutions UIT-R ont été approuvées:</w:t>
      </w:r>
    </w:p>
    <w:p w14:paraId="369F2246" w14:textId="54D17DF1" w:rsidR="004869F3" w:rsidRPr="00A910E2" w:rsidRDefault="00B823DE" w:rsidP="009D7A5E">
      <w:pPr>
        <w:pStyle w:val="Reftext"/>
        <w:rPr>
          <w:szCs w:val="24"/>
        </w:rPr>
      </w:pPr>
      <w:r w:rsidRPr="00A910E2">
        <w:tab/>
      </w:r>
      <w:r w:rsidR="004869F3" w:rsidRPr="00A910E2">
        <w:rPr>
          <w:b/>
          <w:bCs/>
        </w:rPr>
        <w:t xml:space="preserve">Résolution UIT-R </w:t>
      </w:r>
      <w:hyperlink r:id="rId26" w:history="1">
        <w:r w:rsidR="004869F3" w:rsidRPr="00A910E2">
          <w:rPr>
            <w:rStyle w:val="Hyperlink"/>
            <w:b/>
            <w:bCs/>
          </w:rPr>
          <w:t>72</w:t>
        </w:r>
      </w:hyperlink>
      <w:r w:rsidR="004869F3" w:rsidRPr="00A910E2">
        <w:t xml:space="preserve"> – Promotion de l'égalité et de l'équité hommes-femmes et réduction de l'écart entre les hommes et les femmes en ce qui concerne la contribution et la participation aux activités de l'UIT-R</w:t>
      </w:r>
    </w:p>
    <w:p w14:paraId="11F29806" w14:textId="5D8F12CF" w:rsidR="004869F3" w:rsidRPr="00A910E2" w:rsidRDefault="00B823DE" w:rsidP="009D7A5E">
      <w:pPr>
        <w:pStyle w:val="Reftext"/>
        <w:rPr>
          <w:szCs w:val="24"/>
        </w:rPr>
      </w:pPr>
      <w:r w:rsidRPr="00A910E2">
        <w:tab/>
      </w:r>
      <w:r w:rsidR="004869F3" w:rsidRPr="00A910E2">
        <w:rPr>
          <w:b/>
          <w:bCs/>
        </w:rPr>
        <w:t xml:space="preserve">Résolution UIT-R </w:t>
      </w:r>
      <w:hyperlink r:id="rId27" w:history="1">
        <w:r w:rsidR="004869F3" w:rsidRPr="00A910E2">
          <w:rPr>
            <w:rStyle w:val="Hyperlink"/>
            <w:b/>
            <w:bCs/>
          </w:rPr>
          <w:t>73</w:t>
        </w:r>
      </w:hyperlink>
      <w:r w:rsidR="004869F3" w:rsidRPr="00A910E2">
        <w:t xml:space="preserve"> </w:t>
      </w:r>
      <w:r w:rsidRPr="00A910E2">
        <w:t>–</w:t>
      </w:r>
      <w:r w:rsidR="004869F3" w:rsidRPr="00A910E2">
        <w:t xml:space="preserve"> Utilisation des technologies des Télécommunications mobiles internationales pour le large bande hertzien fixe dans les bandes de fréquences attribuées au service fixe à titre primaire</w:t>
      </w:r>
    </w:p>
    <w:p w14:paraId="22BECCCA" w14:textId="5757C78B" w:rsidR="004869F3" w:rsidRPr="00A910E2" w:rsidRDefault="00B823DE" w:rsidP="009D7A5E">
      <w:pPr>
        <w:pStyle w:val="Reftext"/>
        <w:rPr>
          <w:szCs w:val="24"/>
        </w:rPr>
      </w:pPr>
      <w:r w:rsidRPr="00A910E2">
        <w:tab/>
      </w:r>
      <w:r w:rsidR="004869F3" w:rsidRPr="00A910E2">
        <w:rPr>
          <w:b/>
          <w:bCs/>
        </w:rPr>
        <w:t xml:space="preserve">Résolution UIT-R </w:t>
      </w:r>
      <w:hyperlink r:id="rId28" w:history="1">
        <w:r w:rsidR="004869F3" w:rsidRPr="00A910E2">
          <w:rPr>
            <w:rStyle w:val="Hyperlink"/>
            <w:b/>
            <w:bCs/>
          </w:rPr>
          <w:t>74</w:t>
        </w:r>
      </w:hyperlink>
      <w:r w:rsidR="004869F3" w:rsidRPr="00A910E2">
        <w:t xml:space="preserve"> – Activités relatives à l'utilisation durable des ressources que sont le spectre des fréquences radioélectriques et les orbites de satellites associées utilisées par les services spatiaux</w:t>
      </w:r>
    </w:p>
    <w:p w14:paraId="0CC3141D" w14:textId="56AD7469" w:rsidR="004869F3" w:rsidRPr="00A910E2" w:rsidRDefault="00B823DE" w:rsidP="009D7A5E">
      <w:pPr>
        <w:pStyle w:val="Reftext"/>
        <w:rPr>
          <w:szCs w:val="24"/>
        </w:rPr>
      </w:pPr>
      <w:r w:rsidRPr="00A910E2">
        <w:tab/>
      </w:r>
      <w:r w:rsidR="004869F3" w:rsidRPr="00A910E2">
        <w:rPr>
          <w:b/>
          <w:bCs/>
        </w:rPr>
        <w:t xml:space="preserve">Résolution UIT-R </w:t>
      </w:r>
      <w:hyperlink r:id="rId29" w:history="1">
        <w:r w:rsidR="004869F3" w:rsidRPr="00A910E2">
          <w:rPr>
            <w:rStyle w:val="Hyperlink"/>
            <w:b/>
            <w:bCs/>
          </w:rPr>
          <w:t>75</w:t>
        </w:r>
      </w:hyperlink>
      <w:r w:rsidR="004869F3" w:rsidRPr="00A910E2">
        <w:t xml:space="preserve"> – Renforcement de la coordination et de la coopération entre les trois</w:t>
      </w:r>
      <w:r w:rsidR="006D44F1" w:rsidRPr="00A910E2">
        <w:t> </w:t>
      </w:r>
      <w:r w:rsidR="004869F3" w:rsidRPr="00A910E2">
        <w:t>Secteurs de l'UIT sur des questions d'intérêt mutuel</w:t>
      </w:r>
    </w:p>
    <w:p w14:paraId="32E74EE3" w14:textId="2D73ED6B" w:rsidR="004869F3" w:rsidRPr="00A910E2" w:rsidRDefault="00804844" w:rsidP="009D7A5E">
      <w:pPr>
        <w:ind w:left="794" w:hanging="794"/>
      </w:pPr>
      <w:r w:rsidRPr="00A910E2">
        <w:tab/>
      </w:r>
      <w:r w:rsidR="004869F3" w:rsidRPr="00A910E2">
        <w:t>Cette nouvelle Résolution contient le texte fusionné des Résolutions UIT-R 6, 7 et 4</w:t>
      </w:r>
      <w:r w:rsidR="006D44F1" w:rsidRPr="00A910E2">
        <w:t>8</w:t>
      </w:r>
      <w:r w:rsidR="004869F3" w:rsidRPr="00A910E2">
        <w:t>, qui ont été supprimées en conséquence.</w:t>
      </w:r>
    </w:p>
    <w:p w14:paraId="6ECA36B3" w14:textId="77777777" w:rsidR="004869F3" w:rsidRPr="00A910E2" w:rsidRDefault="004869F3" w:rsidP="00A910E2">
      <w:pPr>
        <w:keepNext/>
        <w:keepLines/>
        <w:rPr>
          <w:rFonts w:eastAsia="Arial Unicode MS"/>
        </w:rPr>
      </w:pPr>
      <w:r w:rsidRPr="00A910E2">
        <w:rPr>
          <w:rFonts w:eastAsia="Arial Unicode MS"/>
        </w:rPr>
        <w:t>L'Assemblée a également décidé de supprimer quatre Résolutions UIT-R:</w:t>
      </w:r>
    </w:p>
    <w:p w14:paraId="5EA161DE" w14:textId="3BF8E672" w:rsidR="004869F3" w:rsidRPr="00A910E2" w:rsidRDefault="00B823DE" w:rsidP="00A910E2">
      <w:pPr>
        <w:pStyle w:val="Reftext"/>
        <w:keepNext/>
        <w:keepLines/>
        <w:rPr>
          <w:szCs w:val="24"/>
        </w:rPr>
      </w:pPr>
      <w:r w:rsidRPr="00A910E2">
        <w:tab/>
      </w:r>
      <w:r w:rsidR="004869F3" w:rsidRPr="00A910E2">
        <w:rPr>
          <w:b/>
          <w:bCs/>
        </w:rPr>
        <w:t xml:space="preserve">Résolution UIT-R </w:t>
      </w:r>
      <w:hyperlink r:id="rId30" w:history="1">
        <w:r w:rsidR="004869F3" w:rsidRPr="00A910E2">
          <w:rPr>
            <w:rStyle w:val="Hyperlink"/>
            <w:b/>
            <w:bCs/>
          </w:rPr>
          <w:t>6</w:t>
        </w:r>
      </w:hyperlink>
      <w:r w:rsidR="004869F3" w:rsidRPr="00A910E2">
        <w:t xml:space="preserve"> </w:t>
      </w:r>
      <w:r w:rsidRPr="00A910E2">
        <w:t>–</w:t>
      </w:r>
      <w:r w:rsidR="004869F3" w:rsidRPr="00A910E2">
        <w:t xml:space="preserve"> Liaison et collaboration avec le Secteur de la normalisation des télécommunications de l'UIT</w:t>
      </w:r>
    </w:p>
    <w:p w14:paraId="703470C4" w14:textId="618B66F0" w:rsidR="004869F3" w:rsidRPr="00A910E2" w:rsidRDefault="00B823DE" w:rsidP="009D7A5E">
      <w:pPr>
        <w:pStyle w:val="Reftext"/>
        <w:rPr>
          <w:szCs w:val="24"/>
        </w:rPr>
      </w:pPr>
      <w:r w:rsidRPr="00A910E2">
        <w:tab/>
      </w:r>
      <w:r w:rsidR="004869F3" w:rsidRPr="00A910E2">
        <w:rPr>
          <w:b/>
          <w:bCs/>
        </w:rPr>
        <w:t xml:space="preserve">Résolution UIT-R </w:t>
      </w:r>
      <w:hyperlink r:id="rId31" w:history="1">
        <w:r w:rsidR="004869F3" w:rsidRPr="00A910E2">
          <w:rPr>
            <w:rStyle w:val="Hyperlink"/>
            <w:b/>
            <w:bCs/>
          </w:rPr>
          <w:t>7</w:t>
        </w:r>
      </w:hyperlink>
      <w:r w:rsidR="004869F3" w:rsidRPr="00A910E2">
        <w:t xml:space="preserve"> </w:t>
      </w:r>
      <w:r w:rsidRPr="00A910E2">
        <w:t>–</w:t>
      </w:r>
      <w:r w:rsidR="004869F3" w:rsidRPr="00A910E2">
        <w:t xml:space="preserve"> Développement des télécommunications y compris la liaison et la collaboration avec le Secteur du développement des télécommunications de l'UIT</w:t>
      </w:r>
    </w:p>
    <w:p w14:paraId="26D6F75B" w14:textId="66F86018" w:rsidR="004869F3" w:rsidRPr="00A910E2" w:rsidRDefault="00B823DE" w:rsidP="009D7A5E">
      <w:pPr>
        <w:pStyle w:val="Reftext"/>
        <w:rPr>
          <w:szCs w:val="24"/>
        </w:rPr>
      </w:pPr>
      <w:r w:rsidRPr="00A910E2">
        <w:tab/>
      </w:r>
      <w:r w:rsidR="004869F3" w:rsidRPr="00A910E2">
        <w:rPr>
          <w:b/>
          <w:bCs/>
        </w:rPr>
        <w:t xml:space="preserve">Résolution UIT-R </w:t>
      </w:r>
      <w:hyperlink r:id="rId32" w:history="1">
        <w:r w:rsidR="004869F3" w:rsidRPr="00A910E2">
          <w:rPr>
            <w:rStyle w:val="Hyperlink"/>
            <w:b/>
            <w:bCs/>
          </w:rPr>
          <w:t>15</w:t>
        </w:r>
      </w:hyperlink>
      <w:r w:rsidR="004869F3" w:rsidRPr="00A910E2">
        <w:t xml:space="preserve"> </w:t>
      </w:r>
      <w:r w:rsidRPr="00A910E2">
        <w:t>–</w:t>
      </w:r>
      <w:r w:rsidR="004869F3" w:rsidRPr="00A910E2">
        <w:t xml:space="preserve"> Désignation et durée maximale du mandat des Présidents et des Vice-Présidents des Commissions d'études des radiocommunications, du Comité de coordination pour le Vocabulaire et du Groupe consultatif des radiocommunications</w:t>
      </w:r>
    </w:p>
    <w:p w14:paraId="1FDC241E" w14:textId="62DA2CDF" w:rsidR="004869F3" w:rsidRPr="00A910E2" w:rsidRDefault="00B823DE" w:rsidP="009D7A5E">
      <w:pPr>
        <w:pStyle w:val="Reftext"/>
        <w:rPr>
          <w:rFonts w:eastAsia="Arial Unicode MS"/>
          <w:szCs w:val="24"/>
        </w:rPr>
      </w:pPr>
      <w:r w:rsidRPr="00A910E2">
        <w:tab/>
      </w:r>
      <w:r w:rsidR="004869F3" w:rsidRPr="00A910E2">
        <w:rPr>
          <w:b/>
          <w:bCs/>
        </w:rPr>
        <w:t xml:space="preserve">Résolution UIT-R </w:t>
      </w:r>
      <w:hyperlink r:id="rId33" w:history="1">
        <w:r w:rsidR="004869F3" w:rsidRPr="00A910E2">
          <w:rPr>
            <w:rStyle w:val="Hyperlink"/>
            <w:b/>
            <w:bCs/>
          </w:rPr>
          <w:t>48</w:t>
        </w:r>
      </w:hyperlink>
      <w:r w:rsidR="004869F3" w:rsidRPr="00A910E2">
        <w:t xml:space="preserve"> </w:t>
      </w:r>
      <w:r w:rsidRPr="00A910E2">
        <w:t>–</w:t>
      </w:r>
      <w:r w:rsidR="004869F3" w:rsidRPr="00A910E2">
        <w:t xml:space="preserve"> Renforcement de la présence régionale dans les travaux des Commissions d'études des radiocommunications</w:t>
      </w:r>
    </w:p>
    <w:p w14:paraId="5B62665E" w14:textId="3A98493D" w:rsidR="004869F3" w:rsidRPr="00A910E2" w:rsidRDefault="004869F3" w:rsidP="009D7A5E">
      <w:pPr>
        <w:rPr>
          <w:rFonts w:eastAsia="Arial Unicode MS"/>
          <w:szCs w:val="24"/>
        </w:rPr>
      </w:pPr>
      <w:bookmarkStart w:id="10" w:name="lt_pId182"/>
      <w:r w:rsidRPr="00A910E2">
        <w:rPr>
          <w:rFonts w:eastAsia="Arial Unicode MS"/>
          <w:szCs w:val="24"/>
        </w:rPr>
        <w:t>Les décisions de l'AR-23 présentant un intérêt particulier pour la CMR-23 sont consignées dans le Document</w:t>
      </w:r>
      <w:r w:rsidR="00B823DE" w:rsidRPr="00A910E2">
        <w:rPr>
          <w:rFonts w:eastAsia="Arial Unicode MS"/>
          <w:szCs w:val="24"/>
        </w:rPr>
        <w:t> </w:t>
      </w:r>
      <w:hyperlink r:id="rId34" w:history="1">
        <w:r w:rsidRPr="00A910E2">
          <w:rPr>
            <w:rStyle w:val="Hyperlink"/>
            <w:rFonts w:eastAsia="Arial Unicode MS"/>
            <w:szCs w:val="24"/>
          </w:rPr>
          <w:t>CMR-23/217</w:t>
        </w:r>
        <w:bookmarkEnd w:id="10"/>
      </w:hyperlink>
      <w:r w:rsidRPr="00A910E2">
        <w:rPr>
          <w:rFonts w:eastAsia="Arial Unicode MS"/>
          <w:szCs w:val="24"/>
        </w:rPr>
        <w:t>.</w:t>
      </w:r>
    </w:p>
    <w:p w14:paraId="68FE0B53" w14:textId="7F3E8817" w:rsidR="004869F3" w:rsidRPr="00A910E2" w:rsidRDefault="004869F3" w:rsidP="009D7A5E">
      <w:pPr>
        <w:pStyle w:val="Heading3"/>
      </w:pPr>
      <w:r w:rsidRPr="00A910E2">
        <w:rPr>
          <w:bCs/>
        </w:rPr>
        <w:t>3.1.1</w:t>
      </w:r>
      <w:r w:rsidRPr="00A910E2">
        <w:tab/>
        <w:t>Instructions données au GCR par l'AR-23</w:t>
      </w:r>
    </w:p>
    <w:p w14:paraId="75054D8F" w14:textId="28F1E83A" w:rsidR="004869F3" w:rsidRPr="00A910E2" w:rsidRDefault="004869F3" w:rsidP="009D7A5E">
      <w:pPr>
        <w:pStyle w:val="enumlev1"/>
      </w:pPr>
      <w:r w:rsidRPr="00A910E2">
        <w:rPr>
          <w:rFonts w:eastAsia="Arial Unicode MS"/>
        </w:rPr>
        <w:t>–</w:t>
      </w:r>
      <w:r w:rsidRPr="00A910E2">
        <w:rPr>
          <w:rFonts w:eastAsia="Arial Unicode MS"/>
        </w:rPr>
        <w:tab/>
      </w:r>
      <w:r w:rsidRPr="00A910E2">
        <w:t xml:space="preserve">L'AR-23 a délégué au GCR la responsabilité de nommer ses vice-présidents sur la base des nominations figurant dans le Document </w:t>
      </w:r>
      <w:hyperlink r:id="rId35" w:history="1">
        <w:r w:rsidRPr="00A910E2">
          <w:rPr>
            <w:rStyle w:val="Hyperlink"/>
          </w:rPr>
          <w:t>RA-23/PLEN/91(Rév.1)</w:t>
        </w:r>
      </w:hyperlink>
      <w:r w:rsidRPr="00A910E2">
        <w:t>.</w:t>
      </w:r>
    </w:p>
    <w:p w14:paraId="677D620E" w14:textId="36B7FB9D" w:rsidR="004869F3" w:rsidRPr="00A910E2" w:rsidRDefault="004869F3" w:rsidP="009D7A5E">
      <w:pPr>
        <w:pStyle w:val="enumlev1"/>
      </w:pPr>
      <w:r w:rsidRPr="00A910E2">
        <w:t>–</w:t>
      </w:r>
      <w:r w:rsidRPr="00A910E2">
        <w:tab/>
        <w:t xml:space="preserve">Pendant l'AR-23, les participants ont tenu une discussion sur d'éventuelles modifications à apporter à la Résolution UIT-R 2 (voir Document </w:t>
      </w:r>
      <w:hyperlink r:id="rId36" w:history="1">
        <w:r w:rsidRPr="00A910E2">
          <w:rPr>
            <w:rStyle w:val="Hyperlink"/>
          </w:rPr>
          <w:t>RA-23/PLEN/102</w:t>
        </w:r>
      </w:hyperlink>
      <w:r w:rsidRPr="00A910E2">
        <w:t xml:space="preserve">), afin de vérifier l'efficacité du processus de la RPC. Plusieurs points de vue ont été exprimés et des propositions ont été formulées par les </w:t>
      </w:r>
      <w:r w:rsidR="00B823DE" w:rsidRPr="00A910E2">
        <w:t>États</w:t>
      </w:r>
      <w:r w:rsidRPr="00A910E2">
        <w:t xml:space="preserve"> Membres concernant la voie à suivre. L'AR</w:t>
      </w:r>
      <w:r w:rsidR="00B823DE" w:rsidRPr="00A910E2">
        <w:noBreakHyphen/>
      </w:r>
      <w:r w:rsidRPr="00A910E2">
        <w:t>23 a invité le Directeur du BR à entreprendre des consultations pour trouver une option appropriée, avec notamment une proposition consistant à créer un groupe de travail par correspondance du GCR chargé d'examiner cette question.</w:t>
      </w:r>
    </w:p>
    <w:p w14:paraId="50279DB5" w14:textId="0EF52FB4" w:rsidR="004869F3" w:rsidRPr="00A910E2" w:rsidRDefault="004869F3" w:rsidP="009D7A5E">
      <w:pPr>
        <w:pStyle w:val="enumlev1"/>
      </w:pPr>
      <w:r w:rsidRPr="00A910E2">
        <w:t>–</w:t>
      </w:r>
      <w:r w:rsidRPr="00A910E2">
        <w:tab/>
      </w:r>
      <w:r w:rsidR="00B823DE" w:rsidRPr="00A910E2">
        <w:t>À</w:t>
      </w:r>
      <w:r w:rsidRPr="00A910E2">
        <w:t xml:space="preserve"> la cinquième séance plénière de l'AR-23, la </w:t>
      </w:r>
      <w:r w:rsidR="0017029C" w:rsidRPr="00A910E2">
        <w:t>P</w:t>
      </w:r>
      <w:r w:rsidRPr="00A910E2">
        <w:t>résidente a signalé l'existence d'une ambiguïté dans la Résolution UIT-R 1, concernant la possibilité pour les assemblées des radiocommunications, dans le cadre de leur mandat, d'approuver des Recommandations</w:t>
      </w:r>
      <w:r w:rsidR="0017029C" w:rsidRPr="00A910E2">
        <w:t> </w:t>
      </w:r>
      <w:r w:rsidRPr="00A910E2">
        <w:t>UIT</w:t>
      </w:r>
      <w:r w:rsidR="00B823DE" w:rsidRPr="00A910E2">
        <w:noBreakHyphen/>
      </w:r>
      <w:r w:rsidRPr="00A910E2">
        <w:t xml:space="preserve">R soumises directement par les </w:t>
      </w:r>
      <w:r w:rsidR="00B823DE" w:rsidRPr="00A910E2">
        <w:t>États</w:t>
      </w:r>
      <w:r w:rsidRPr="00A910E2">
        <w:t xml:space="preserve"> Membres en tant que contributions, sans qu'elles n'aient été examinées au préalable par une commission d'études compétente de l'UIT</w:t>
      </w:r>
      <w:r w:rsidR="00B823DE" w:rsidRPr="00A910E2">
        <w:noBreakHyphen/>
      </w:r>
      <w:r w:rsidRPr="00A910E2">
        <w:t xml:space="preserve">R (voir le Document </w:t>
      </w:r>
      <w:hyperlink r:id="rId37" w:history="1">
        <w:r w:rsidRPr="00A910E2">
          <w:rPr>
            <w:rStyle w:val="Hyperlink"/>
          </w:rPr>
          <w:t>RA23/PLEN/103</w:t>
        </w:r>
      </w:hyperlink>
      <w:r w:rsidRPr="00A910E2">
        <w:t>). Cette question est portée à l'attention du GCR pour examen.</w:t>
      </w:r>
    </w:p>
    <w:p w14:paraId="1ADA14CE" w14:textId="77777777" w:rsidR="004869F3" w:rsidRPr="00A910E2" w:rsidRDefault="004869F3" w:rsidP="009D7A5E">
      <w:pPr>
        <w:pStyle w:val="Heading3"/>
      </w:pPr>
      <w:r w:rsidRPr="00A910E2">
        <w:rPr>
          <w:bCs/>
        </w:rPr>
        <w:t>3.1.2</w:t>
      </w:r>
      <w:r w:rsidRPr="00A910E2">
        <w:tab/>
        <w:t>Instructions données aux commissions d'études par l'AR-23</w:t>
      </w:r>
    </w:p>
    <w:p w14:paraId="3B5CD377" w14:textId="20C788D5" w:rsidR="004869F3" w:rsidRPr="00A910E2" w:rsidRDefault="004869F3" w:rsidP="009D7A5E">
      <w:pPr>
        <w:pStyle w:val="enumlev1"/>
      </w:pPr>
      <w:r w:rsidRPr="00A910E2">
        <w:rPr>
          <w:rFonts w:eastAsia="Arial Unicode MS"/>
        </w:rPr>
        <w:t>–</w:t>
      </w:r>
      <w:r w:rsidRPr="00A910E2">
        <w:rPr>
          <w:rFonts w:eastAsia="Arial Unicode MS"/>
        </w:rPr>
        <w:tab/>
      </w:r>
      <w:r w:rsidRPr="00A910E2">
        <w:t>L'AR-23 a délégué aux commissions d'études et au CCV la responsabilité de nommer leurs vice</w:t>
      </w:r>
      <w:r w:rsidR="00D82015" w:rsidRPr="00A910E2">
        <w:noBreakHyphen/>
      </w:r>
      <w:r w:rsidRPr="00A910E2">
        <w:t>présidents.</w:t>
      </w:r>
    </w:p>
    <w:p w14:paraId="732951A5" w14:textId="52841885" w:rsidR="004869F3" w:rsidRPr="00A910E2" w:rsidRDefault="004869F3" w:rsidP="009D7A5E">
      <w:pPr>
        <w:pStyle w:val="enumlev1"/>
      </w:pPr>
      <w:r w:rsidRPr="00A910E2">
        <w:t>–</w:t>
      </w:r>
      <w:r w:rsidRPr="00A910E2">
        <w:tab/>
        <w:t>S'agissant des nouvelles Questions UIT-R soumises à l'AR-23, les administrations ont été invitées à contribuer directement aux travaux des commissions d'études compétentes.</w:t>
      </w:r>
    </w:p>
    <w:p w14:paraId="2CFBEB25" w14:textId="4BE9F22C" w:rsidR="00A910E2" w:rsidRDefault="004869F3" w:rsidP="00A910E2">
      <w:pPr>
        <w:pStyle w:val="enumlev1"/>
      </w:pPr>
      <w:r w:rsidRPr="00A910E2">
        <w:t>–</w:t>
      </w:r>
      <w:r w:rsidRPr="00A910E2">
        <w:tab/>
        <w:t xml:space="preserve">L'AR-23 a chargé la Commission d'études 7 (CE 7) de l'UIT-R d'étudier les moyens de faciliter aux opérateurs de satellite l'obtention des renseignements utiles sur les sites de radioastronomie, notamment sur le point de contact de l'administration du territoire où se trouve le site de radioastronomie et/ou son éventuelle zone de silence radioélectrique, pour s'informer des conditions techniques éventuellement associées au site de radioastronomie qui doivent être respectées pour la radiocommunication avec les stations terriennes du territoire en question. À titre d'exemple, le Groupe de travail de la CE 7 concerné pourrait demander au Directeur du Bureau des radiocommunications de créer et d'administrer une base de données en ligne sur les zones de silence radioélectrique, à partir de renseignements </w:t>
      </w:r>
      <w:r w:rsidR="00A910E2">
        <w:br w:type="page"/>
      </w:r>
    </w:p>
    <w:p w14:paraId="132E29D8" w14:textId="68FC5514" w:rsidR="004869F3" w:rsidRPr="00A910E2" w:rsidRDefault="00A910E2" w:rsidP="00A910E2">
      <w:pPr>
        <w:pStyle w:val="enumlev1"/>
        <w:rPr>
          <w:rFonts w:eastAsia="Arial Unicode MS"/>
        </w:rPr>
      </w:pPr>
      <w:r>
        <w:tab/>
      </w:r>
      <w:r w:rsidR="004869F3" w:rsidRPr="00A910E2">
        <w:t>communiqués librement par les administrations. Cela n'entraînerait pas de modification du Règlement des radiocommunications (RR) et ne laisserait supposer ou n'établirait aucune protection supplémentaire pour le service de radioastronomie au-delà de ce qui existe déjà dans le RR ou dans les cadres réglementaires nationaux.</w:t>
      </w:r>
    </w:p>
    <w:p w14:paraId="6D080388" w14:textId="77777777" w:rsidR="004869F3" w:rsidRPr="00A910E2" w:rsidRDefault="004869F3" w:rsidP="009D7A5E">
      <w:pPr>
        <w:pStyle w:val="Heading2"/>
      </w:pPr>
      <w:bookmarkStart w:id="11" w:name="_Toc446060760"/>
      <w:r w:rsidRPr="00A910E2">
        <w:rPr>
          <w:bCs/>
        </w:rPr>
        <w:t>3.2</w:t>
      </w:r>
      <w:r w:rsidRPr="00A910E2">
        <w:tab/>
        <w:t>CMR-23</w:t>
      </w:r>
      <w:bookmarkEnd w:id="11"/>
    </w:p>
    <w:p w14:paraId="677C5DDB" w14:textId="77777777" w:rsidR="004869F3" w:rsidRPr="00A910E2" w:rsidRDefault="004869F3" w:rsidP="009D7A5E">
      <w:pPr>
        <w:pStyle w:val="Heading3"/>
      </w:pPr>
      <w:bookmarkStart w:id="12" w:name="_Toc446060761"/>
      <w:r w:rsidRPr="00A910E2">
        <w:rPr>
          <w:bCs/>
        </w:rPr>
        <w:t>3.2.1</w:t>
      </w:r>
      <w:r w:rsidRPr="00A910E2">
        <w:tab/>
      </w:r>
      <w:r w:rsidRPr="00A910E2">
        <w:rPr>
          <w:bCs/>
        </w:rPr>
        <w:t>Derniers travaux préparatoires en vue de la CMR-23</w:t>
      </w:r>
    </w:p>
    <w:p w14:paraId="292998AA" w14:textId="3D06E352" w:rsidR="004869F3" w:rsidRPr="00A910E2" w:rsidRDefault="004869F3" w:rsidP="009D7A5E">
      <w:bookmarkStart w:id="13" w:name="_Toc446060762"/>
      <w:bookmarkEnd w:id="12"/>
      <w:r w:rsidRPr="00A910E2">
        <w:t>Après la 30ème réunion du GCR tenue en mai 2023, les travaux préparatoires en vue de la CMR</w:t>
      </w:r>
      <w:r w:rsidR="00D82015" w:rsidRPr="00A910E2">
        <w:noBreakHyphen/>
      </w:r>
      <w:r w:rsidRPr="00A910E2">
        <w:t>23 se sont poursuivi, compte tenu de la Résolution 80 (Rév. Marrakech, 2002) de la PP et de la Résolution</w:t>
      </w:r>
      <w:r w:rsidR="00D82015" w:rsidRPr="00A910E2">
        <w:t> </w:t>
      </w:r>
      <w:r w:rsidRPr="00A910E2">
        <w:rPr>
          <w:b/>
          <w:bCs/>
        </w:rPr>
        <w:t>72 (Rév.CMR-19)</w:t>
      </w:r>
      <w:r w:rsidRPr="00A910E2">
        <w:t>, avec, en particulier, la participation active du BR aux dernières</w:t>
      </w:r>
      <w:r w:rsidR="0017029C" w:rsidRPr="00A910E2">
        <w:t> </w:t>
      </w:r>
      <w:r w:rsidRPr="00A910E2">
        <w:t>réunions préparatoires des groupes régionaux (APT, ASMG, UAT, CEPT, CITEL et</w:t>
      </w:r>
      <w:r w:rsidR="00CB5F17" w:rsidRPr="00A910E2">
        <w:t> </w:t>
      </w:r>
      <w:r w:rsidRPr="00A910E2">
        <w:t xml:space="preserve">RCC), chaque fois que cela a été possible. De plus, le BR a organisé le </w:t>
      </w:r>
      <w:hyperlink r:id="rId38" w:history="1">
        <w:r w:rsidRPr="00A910E2">
          <w:rPr>
            <w:rStyle w:val="Hyperlink"/>
          </w:rPr>
          <w:t>troisième atelier interrégional de l'UIT sur la préparation de la CMR-23</w:t>
        </w:r>
      </w:hyperlink>
      <w:r w:rsidRPr="00A910E2">
        <w:t>, du 27 au 29 septembre 2023.</w:t>
      </w:r>
    </w:p>
    <w:p w14:paraId="3BD28022" w14:textId="076FAB3C" w:rsidR="004869F3" w:rsidRPr="00A910E2" w:rsidRDefault="004869F3" w:rsidP="009D7A5E">
      <w:r w:rsidRPr="00A910E2">
        <w:t xml:space="preserve">Compte tenu des informations, des lignes directrices et des outils fournis pour l'élaboration des contributions soumises à la CMR-23 (voir </w:t>
      </w:r>
      <w:hyperlink r:id="rId39" w:history="1">
        <w:r w:rsidRPr="00A910E2">
          <w:rPr>
            <w:rStyle w:val="Hyperlink"/>
          </w:rPr>
          <w:t>ici</w:t>
        </w:r>
      </w:hyperlink>
      <w:r w:rsidRPr="00A910E2">
        <w:t>), les 2 851 propositions présentées dans</w:t>
      </w:r>
      <w:r w:rsidR="00D82015" w:rsidRPr="00A910E2">
        <w:t> </w:t>
      </w:r>
      <w:r w:rsidRPr="00A910E2">
        <w:t>580</w:t>
      </w:r>
      <w:r w:rsidR="00D82015" w:rsidRPr="00A910E2">
        <w:t> </w:t>
      </w:r>
      <w:r w:rsidRPr="00A910E2">
        <w:t>documents, sans compter les révisions et corrigenda, ont été traitées à temps pour pouvoir être examinées pendant la CMR-23.</w:t>
      </w:r>
    </w:p>
    <w:p w14:paraId="158A720B" w14:textId="77777777" w:rsidR="004869F3" w:rsidRPr="00A910E2" w:rsidRDefault="004869F3" w:rsidP="009D7A5E">
      <w:pPr>
        <w:pStyle w:val="Heading3"/>
      </w:pPr>
      <w:r w:rsidRPr="00A910E2">
        <w:rPr>
          <w:bCs/>
        </w:rPr>
        <w:t>3.2.2</w:t>
      </w:r>
      <w:r w:rsidRPr="00A910E2">
        <w:tab/>
      </w:r>
      <w:r w:rsidRPr="00A910E2">
        <w:rPr>
          <w:bCs/>
        </w:rPr>
        <w:t>Résultats de l'AR-23</w:t>
      </w:r>
      <w:bookmarkEnd w:id="13"/>
    </w:p>
    <w:p w14:paraId="7B45D3BA" w14:textId="77777777" w:rsidR="004869F3" w:rsidRPr="00A910E2" w:rsidRDefault="004869F3" w:rsidP="009D7A5E">
      <w:pPr>
        <w:pStyle w:val="Heading4"/>
      </w:pPr>
      <w:r w:rsidRPr="00A910E2">
        <w:rPr>
          <w:bCs/>
        </w:rPr>
        <w:t>3.2.2.1</w:t>
      </w:r>
      <w:r w:rsidRPr="00A910E2">
        <w:tab/>
      </w:r>
      <w:r w:rsidRPr="00A910E2">
        <w:rPr>
          <w:bCs/>
        </w:rPr>
        <w:t>Introduction</w:t>
      </w:r>
    </w:p>
    <w:p w14:paraId="40D88E91" w14:textId="0728045D" w:rsidR="004869F3" w:rsidRPr="00A910E2" w:rsidRDefault="004869F3" w:rsidP="009D7A5E">
      <w:pPr>
        <w:rPr>
          <w:szCs w:val="24"/>
        </w:rPr>
      </w:pPr>
      <w:r w:rsidRPr="00A910E2">
        <w:rPr>
          <w:szCs w:val="24"/>
        </w:rPr>
        <w:t>En application de la Résolution 811 (CMR-19), et conformément à la Résolution 1399 (C20) et à la Décision</w:t>
      </w:r>
      <w:r w:rsidR="00D82015" w:rsidRPr="00A910E2">
        <w:rPr>
          <w:szCs w:val="24"/>
        </w:rPr>
        <w:t> </w:t>
      </w:r>
      <w:r w:rsidRPr="00A910E2">
        <w:rPr>
          <w:szCs w:val="24"/>
        </w:rPr>
        <w:t>623 (C21) du Conseil, la Conférence mondiale des radiocommunications de 2023 (CMR</w:t>
      </w:r>
      <w:r w:rsidR="00D82015" w:rsidRPr="00A910E2">
        <w:rPr>
          <w:szCs w:val="24"/>
        </w:rPr>
        <w:noBreakHyphen/>
      </w:r>
      <w:r w:rsidRPr="00A910E2">
        <w:rPr>
          <w:szCs w:val="24"/>
        </w:rPr>
        <w:t>23) s'est tenue à Dubaï (Émirats arabes unis) du 20 novembre au 15 décembre 2023.</w:t>
      </w:r>
    </w:p>
    <w:p w14:paraId="4EE21E3A" w14:textId="0B5E81F7" w:rsidR="004869F3" w:rsidRPr="00A910E2" w:rsidRDefault="004869F3" w:rsidP="00EF464D">
      <w:pPr>
        <w:rPr>
          <w:szCs w:val="24"/>
        </w:rPr>
      </w:pPr>
      <w:r w:rsidRPr="00A910E2">
        <w:rPr>
          <w:szCs w:val="24"/>
        </w:rPr>
        <w:t>Au total, 3 982 participants représentant 163 États Membres, l'État de Palestine (Résolution</w:t>
      </w:r>
      <w:r w:rsidR="00D82015" w:rsidRPr="00A910E2">
        <w:rPr>
          <w:szCs w:val="24"/>
        </w:rPr>
        <w:t> </w:t>
      </w:r>
      <w:r w:rsidRPr="00A910E2">
        <w:rPr>
          <w:szCs w:val="24"/>
        </w:rPr>
        <w:t>99) et</w:t>
      </w:r>
      <w:r w:rsidR="00D82015" w:rsidRPr="00A910E2">
        <w:rPr>
          <w:szCs w:val="24"/>
        </w:rPr>
        <w:t> </w:t>
      </w:r>
      <w:r w:rsidRPr="00A910E2">
        <w:rPr>
          <w:szCs w:val="24"/>
        </w:rPr>
        <w:t>151 organisations ayant le statut d'observateur ont assisté à la CMR-23. Les données démographiques relatives aux participants à la CMR-23 sont présentées ci-après:</w:t>
      </w:r>
    </w:p>
    <w:p w14:paraId="662B8C72" w14:textId="77777777" w:rsidR="004869F3" w:rsidRPr="00A910E2" w:rsidRDefault="004869F3" w:rsidP="00A910E2">
      <w:pPr>
        <w:pStyle w:val="FigureNotitle"/>
        <w:keepLines w:val="0"/>
      </w:pPr>
      <w:r w:rsidRPr="00A910E2">
        <w:t>Figure 3.2.2.1 – Données démographiques sur les délégués</w:t>
      </w:r>
    </w:p>
    <w:p w14:paraId="2FB7CEED" w14:textId="77777777" w:rsidR="004869F3" w:rsidRPr="00A910E2" w:rsidRDefault="004869F3" w:rsidP="00A910E2">
      <w:pPr>
        <w:pStyle w:val="Figure"/>
        <w:keepNext w:val="0"/>
        <w:keepLines w:val="0"/>
        <w:rPr>
          <w:szCs w:val="24"/>
        </w:rPr>
      </w:pPr>
      <w:r w:rsidRPr="00A910E2">
        <w:drawing>
          <wp:inline distT="0" distB="0" distL="0" distR="0" wp14:anchorId="6A8246E6" wp14:editId="22E6D546">
            <wp:extent cx="6120765" cy="2971785"/>
            <wp:effectExtent l="19050" t="19050" r="13335" b="19685"/>
            <wp:docPr id="801110205" name="Picture 8011102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10205" name="Picture 1" descr="A screenshot of a computer&#10;&#10;Description automatically generated"/>
                    <pic:cNvPicPr/>
                  </pic:nvPicPr>
                  <pic:blipFill>
                    <a:blip r:embed="rId40"/>
                    <a:stretch>
                      <a:fillRect/>
                    </a:stretch>
                  </pic:blipFill>
                  <pic:spPr>
                    <a:xfrm>
                      <a:off x="0" y="0"/>
                      <a:ext cx="6120765" cy="2971785"/>
                    </a:xfrm>
                    <a:prstGeom prst="rect">
                      <a:avLst/>
                    </a:prstGeom>
                    <a:ln>
                      <a:solidFill>
                        <a:schemeClr val="bg1">
                          <a:lumMod val="85000"/>
                        </a:schemeClr>
                      </a:solidFill>
                    </a:ln>
                  </pic:spPr>
                </pic:pic>
              </a:graphicData>
            </a:graphic>
          </wp:inline>
        </w:drawing>
      </w:r>
    </w:p>
    <w:p w14:paraId="398A27F3" w14:textId="77777777" w:rsidR="004869F3" w:rsidRPr="00A910E2" w:rsidRDefault="004869F3" w:rsidP="00A910E2">
      <w:pPr>
        <w:pStyle w:val="Figure"/>
        <w:keepNext w:val="0"/>
        <w:keepLines w:val="0"/>
        <w:rPr>
          <w:szCs w:val="24"/>
        </w:rPr>
      </w:pPr>
      <w:r w:rsidRPr="00A910E2">
        <w:drawing>
          <wp:inline distT="0" distB="0" distL="0" distR="0" wp14:anchorId="0C90B19B" wp14:editId="25FA2C40">
            <wp:extent cx="6120765" cy="2948822"/>
            <wp:effectExtent l="19050" t="19050" r="13335" b="23495"/>
            <wp:docPr id="285527933" name="Picture 2855279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27933" name="Picture 1" descr="A screenshot of a computer&#10;&#10;Description automatically generated"/>
                    <pic:cNvPicPr/>
                  </pic:nvPicPr>
                  <pic:blipFill>
                    <a:blip r:embed="rId41"/>
                    <a:stretch>
                      <a:fillRect/>
                    </a:stretch>
                  </pic:blipFill>
                  <pic:spPr>
                    <a:xfrm>
                      <a:off x="0" y="0"/>
                      <a:ext cx="6120765" cy="2948822"/>
                    </a:xfrm>
                    <a:prstGeom prst="rect">
                      <a:avLst/>
                    </a:prstGeom>
                    <a:ln>
                      <a:solidFill>
                        <a:schemeClr val="bg1">
                          <a:lumMod val="85000"/>
                        </a:schemeClr>
                      </a:solidFill>
                    </a:ln>
                  </pic:spPr>
                </pic:pic>
              </a:graphicData>
            </a:graphic>
          </wp:inline>
        </w:drawing>
      </w:r>
    </w:p>
    <w:p w14:paraId="042B648E" w14:textId="2DC2C530" w:rsidR="004869F3" w:rsidRPr="00A910E2" w:rsidRDefault="00D82015" w:rsidP="009D7A5E">
      <w:pPr>
        <w:spacing w:after="120"/>
        <w:rPr>
          <w:szCs w:val="24"/>
        </w:rPr>
      </w:pPr>
      <w:r w:rsidRPr="00A910E2">
        <w:t>À</w:t>
      </w:r>
      <w:r w:rsidR="004869F3" w:rsidRPr="00A910E2">
        <w:t xml:space="preserve"> la première séance plénière, Son Excellence, M. Mohammad Al Ramsi (</w:t>
      </w:r>
      <w:r w:rsidRPr="00A910E2">
        <w:t>Émirats</w:t>
      </w:r>
      <w:r w:rsidR="004869F3" w:rsidRPr="00A910E2">
        <w:t xml:space="preserve"> arabes unis) a été élu Président de la CMR-23. Six </w:t>
      </w:r>
      <w:r w:rsidR="0047450F" w:rsidRPr="00A910E2">
        <w:t>V</w:t>
      </w:r>
      <w:r w:rsidR="004869F3" w:rsidRPr="00A910E2">
        <w:t>ice-</w:t>
      </w:r>
      <w:r w:rsidR="0047450F" w:rsidRPr="00A910E2">
        <w:t>P</w:t>
      </w:r>
      <w:r w:rsidR="004869F3" w:rsidRPr="00A910E2">
        <w:t>résidents ont été élus, comme suit:</w:t>
      </w:r>
    </w:p>
    <w:tbl>
      <w:tblPr>
        <w:tblW w:w="9555" w:type="dxa"/>
        <w:tblInd w:w="-62" w:type="dxa"/>
        <w:tblLayout w:type="fixed"/>
        <w:tblCellMar>
          <w:left w:w="57" w:type="dxa"/>
          <w:right w:w="57" w:type="dxa"/>
        </w:tblCellMar>
        <w:tblLook w:val="04A0" w:firstRow="1" w:lastRow="0" w:firstColumn="1" w:lastColumn="0" w:noHBand="0" w:noVBand="1"/>
      </w:tblPr>
      <w:tblGrid>
        <w:gridCol w:w="5160"/>
        <w:gridCol w:w="4395"/>
      </w:tblGrid>
      <w:tr w:rsidR="004869F3" w:rsidRPr="00A910E2" w14:paraId="1DA8793D" w14:textId="77777777" w:rsidTr="005F164C">
        <w:trPr>
          <w:trHeight w:val="1090"/>
        </w:trPr>
        <w:tc>
          <w:tcPr>
            <w:tcW w:w="5160" w:type="dxa"/>
          </w:tcPr>
          <w:p w14:paraId="6D919ED8" w14:textId="77777777" w:rsidR="004869F3" w:rsidRPr="00A910E2" w:rsidRDefault="004869F3" w:rsidP="009D7A5E">
            <w:pPr>
              <w:spacing w:before="0" w:after="120"/>
              <w:rPr>
                <w:b/>
                <w:bCs/>
              </w:rPr>
            </w:pPr>
            <w:bookmarkStart w:id="14" w:name="_Toc446060763"/>
            <w:r w:rsidRPr="00A910E2">
              <w:rPr>
                <w:rFonts w:cs="Arial"/>
              </w:rPr>
              <w:t>M. Kyu Jin Wee (République de Corée)</w:t>
            </w:r>
            <w:r w:rsidRPr="00A910E2">
              <w:rPr>
                <w:rFonts w:cs="Arial"/>
                <w:szCs w:val="22"/>
              </w:rPr>
              <w:br/>
            </w:r>
            <w:r w:rsidRPr="00A910E2">
              <w:rPr>
                <w:rFonts w:cs="Arial"/>
              </w:rPr>
              <w:t>M.</w:t>
            </w:r>
            <w:r w:rsidRPr="00A910E2">
              <w:rPr>
                <w:rFonts w:eastAsia="Calibri" w:cs="Arial"/>
                <w:color w:val="000000" w:themeColor="text1"/>
              </w:rPr>
              <w:t xml:space="preserve"> Mohammed Alabdulqader (Arabie saoudite)</w:t>
            </w:r>
            <w:r w:rsidRPr="00A910E2">
              <w:rPr>
                <w:rFonts w:cs="Arial"/>
                <w:szCs w:val="22"/>
              </w:rPr>
              <w:br/>
            </w:r>
            <w:r w:rsidRPr="00A910E2">
              <w:rPr>
                <w:rFonts w:eastAsia="Calibri" w:cs="Arial"/>
                <w:color w:val="000000" w:themeColor="text1"/>
              </w:rPr>
              <w:t>M. Martin Weber (Allemagne)</w:t>
            </w:r>
          </w:p>
        </w:tc>
        <w:tc>
          <w:tcPr>
            <w:tcW w:w="4395" w:type="dxa"/>
          </w:tcPr>
          <w:p w14:paraId="0687AA9A" w14:textId="1ECF67EF" w:rsidR="004869F3" w:rsidRPr="00A910E2" w:rsidRDefault="004869F3" w:rsidP="009D7A5E">
            <w:pPr>
              <w:tabs>
                <w:tab w:val="left" w:pos="1350"/>
                <w:tab w:val="left" w:pos="1438"/>
              </w:tabs>
              <w:spacing w:before="0" w:after="120"/>
            </w:pPr>
            <w:r w:rsidRPr="00A910E2">
              <w:rPr>
                <w:rFonts w:eastAsia="Calibri" w:cs="Arial"/>
                <w:color w:val="000000" w:themeColor="text1"/>
              </w:rPr>
              <w:t>M. Stephan LANG (</w:t>
            </w:r>
            <w:r w:rsidR="0047450F" w:rsidRPr="00A910E2">
              <w:rPr>
                <w:rFonts w:eastAsia="Calibri" w:cs="Arial"/>
                <w:color w:val="000000" w:themeColor="text1"/>
              </w:rPr>
              <w:t>É</w:t>
            </w:r>
            <w:r w:rsidRPr="00A910E2">
              <w:rPr>
                <w:rFonts w:eastAsia="Calibri" w:cs="Arial"/>
                <w:color w:val="000000" w:themeColor="text1"/>
              </w:rPr>
              <w:t>tats-Unis)</w:t>
            </w:r>
            <w:r w:rsidRPr="00A910E2">
              <w:rPr>
                <w:rFonts w:eastAsia="Calibri" w:cs="Arial"/>
                <w:bCs/>
                <w:color w:val="000000" w:themeColor="text1"/>
                <w:szCs w:val="22"/>
              </w:rPr>
              <w:br/>
            </w:r>
            <w:r w:rsidRPr="00A910E2">
              <w:rPr>
                <w:rFonts w:cs="Arial"/>
                <w:color w:val="000000" w:themeColor="text1"/>
              </w:rPr>
              <w:t>M. Albert Nalbandian (Arménie)</w:t>
            </w:r>
            <w:r w:rsidRPr="00A910E2">
              <w:rPr>
                <w:rFonts w:cs="Arial"/>
                <w:color w:val="000000" w:themeColor="text1"/>
                <w:szCs w:val="22"/>
              </w:rPr>
              <w:br/>
            </w:r>
            <w:r w:rsidRPr="00A910E2">
              <w:rPr>
                <w:rFonts w:cs="Arial"/>
                <w:color w:val="000000" w:themeColor="text1"/>
              </w:rPr>
              <w:t>M. Valéry Hilaire Ottou (Cameroun)</w:t>
            </w:r>
          </w:p>
        </w:tc>
      </w:tr>
    </w:tbl>
    <w:p w14:paraId="21749EEA" w14:textId="3AD4C65D" w:rsidR="004869F3" w:rsidRPr="00A910E2" w:rsidRDefault="004869F3" w:rsidP="00C501FF">
      <w:pPr>
        <w:keepNext/>
        <w:keepLines/>
        <w:spacing w:after="120"/>
        <w:rPr>
          <w:szCs w:val="24"/>
        </w:rPr>
      </w:pPr>
      <w:r w:rsidRPr="00A910E2">
        <w:rPr>
          <w:szCs w:val="24"/>
        </w:rPr>
        <w:t xml:space="preserve">Les </w:t>
      </w:r>
      <w:r w:rsidR="0017029C" w:rsidRPr="00A910E2">
        <w:rPr>
          <w:szCs w:val="24"/>
        </w:rPr>
        <w:t>c</w:t>
      </w:r>
      <w:r w:rsidRPr="00A910E2">
        <w:rPr>
          <w:szCs w:val="24"/>
        </w:rPr>
        <w:t>ommissions ci-après ont été établies:</w:t>
      </w:r>
    </w:p>
    <w:tbl>
      <w:tblPr>
        <w:tblStyle w:val="ListTable1Light-Accent1"/>
        <w:tblW w:w="949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2126"/>
        <w:gridCol w:w="7371"/>
      </w:tblGrid>
      <w:tr w:rsidR="004869F3" w:rsidRPr="00A910E2" w14:paraId="1C8A126F" w14:textId="77777777" w:rsidTr="005F1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2013C2B" w14:textId="012D6538" w:rsidR="004869F3" w:rsidRPr="00A910E2" w:rsidRDefault="004869F3" w:rsidP="00C501FF">
            <w:pPr>
              <w:pStyle w:val="Tabletext"/>
              <w:keepNext/>
              <w:keepLines/>
            </w:pPr>
            <w:r w:rsidRPr="00A910E2">
              <w:t>Commission 1 (Direction)</w:t>
            </w:r>
          </w:p>
        </w:tc>
        <w:tc>
          <w:tcPr>
            <w:tcW w:w="7371" w:type="dxa"/>
          </w:tcPr>
          <w:p w14:paraId="546E0A32" w14:textId="1508F944" w:rsidR="004869F3" w:rsidRPr="00A910E2" w:rsidRDefault="004869F3" w:rsidP="00C501FF">
            <w:pPr>
              <w:pStyle w:val="Tabletext"/>
              <w:keepNext/>
              <w:keepLines/>
              <w:cnfStyle w:val="100000000000" w:firstRow="1" w:lastRow="0" w:firstColumn="0" w:lastColumn="0" w:oddVBand="0" w:evenVBand="0" w:oddHBand="0" w:evenHBand="0" w:firstRowFirstColumn="0" w:firstRowLastColumn="0" w:lastRowFirstColumn="0" w:lastRowLastColumn="0"/>
            </w:pPr>
            <w:r w:rsidRPr="00A910E2">
              <w:t xml:space="preserve">Composée du Président et des </w:t>
            </w:r>
            <w:r w:rsidR="0017029C" w:rsidRPr="00A910E2">
              <w:t>V</w:t>
            </w:r>
            <w:r w:rsidRPr="00A910E2">
              <w:t>ice-</w:t>
            </w:r>
            <w:r w:rsidR="0017029C" w:rsidRPr="00A910E2">
              <w:t>P</w:t>
            </w:r>
            <w:r w:rsidRPr="00A910E2">
              <w:t xml:space="preserve">résidents de la Conférence, ainsi que des </w:t>
            </w:r>
            <w:r w:rsidR="0017029C" w:rsidRPr="00A910E2">
              <w:t>P</w:t>
            </w:r>
            <w:r w:rsidRPr="00A910E2">
              <w:t xml:space="preserve">résidents et </w:t>
            </w:r>
            <w:r w:rsidR="0017029C" w:rsidRPr="00A910E2">
              <w:t>V</w:t>
            </w:r>
            <w:r w:rsidRPr="00A910E2">
              <w:t>ice-</w:t>
            </w:r>
            <w:r w:rsidR="0017029C" w:rsidRPr="00A910E2">
              <w:t>P</w:t>
            </w:r>
            <w:r w:rsidRPr="00A910E2">
              <w:t>résidents des commissions</w:t>
            </w:r>
          </w:p>
        </w:tc>
      </w:tr>
      <w:tr w:rsidR="004869F3" w:rsidRPr="00A910E2" w14:paraId="6ADEC178" w14:textId="77777777" w:rsidTr="005F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77F1DFDF" w14:textId="77777777" w:rsidR="004869F3" w:rsidRPr="00A910E2" w:rsidRDefault="004869F3" w:rsidP="00C501FF">
            <w:pPr>
              <w:pStyle w:val="Tabletext"/>
              <w:keepNext/>
              <w:keepLines/>
            </w:pPr>
            <w:r w:rsidRPr="00A910E2">
              <w:t>Commission 2 (Pouvoirs)</w:t>
            </w:r>
          </w:p>
        </w:tc>
        <w:tc>
          <w:tcPr>
            <w:tcW w:w="7371" w:type="dxa"/>
            <w:hideMark/>
          </w:tcPr>
          <w:p w14:paraId="15266D05" w14:textId="4D4C5FE3" w:rsidR="004869F3" w:rsidRPr="00A910E2" w:rsidRDefault="004869F3" w:rsidP="00C501FF">
            <w:pPr>
              <w:pStyle w:val="Tabletext"/>
              <w:keepNext/>
              <w:keepLines/>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rPr>
                <w:b/>
                <w:bCs/>
              </w:rPr>
              <w:t>Présidente</w:t>
            </w:r>
            <w:r w:rsidRPr="00A910E2">
              <w:t>:</w:t>
            </w:r>
            <w:r w:rsidR="0047450F" w:rsidRPr="00A910E2">
              <w:tab/>
            </w:r>
            <w:r w:rsidRPr="00A910E2">
              <w:t>Mme Basebi Mosinyi (Botswana)</w:t>
            </w:r>
          </w:p>
          <w:p w14:paraId="5B8FBEAD" w14:textId="77777777" w:rsidR="0047450F" w:rsidRPr="00A910E2" w:rsidRDefault="004869F3" w:rsidP="00C501FF">
            <w:pPr>
              <w:pStyle w:val="Tabletext"/>
              <w:keepNext/>
              <w:keepLines/>
              <w:cnfStyle w:val="000000100000" w:firstRow="0" w:lastRow="0" w:firstColumn="0" w:lastColumn="0" w:oddVBand="0" w:evenVBand="0" w:oddHBand="1" w:evenHBand="0" w:firstRowFirstColumn="0" w:firstRowLastColumn="0" w:lastRowFirstColumn="0" w:lastRowLastColumn="0"/>
            </w:pPr>
            <w:r w:rsidRPr="00A910E2">
              <w:rPr>
                <w:b/>
                <w:bCs/>
              </w:rPr>
              <w:t>Vice-Présidents</w:t>
            </w:r>
            <w:r w:rsidRPr="00A910E2">
              <w:t>:</w:t>
            </w:r>
            <w:r w:rsidRPr="00A910E2">
              <w:tab/>
              <w:t>M. Jaewoo Lim (République de Corée)</w:t>
            </w:r>
          </w:p>
          <w:p w14:paraId="4887BF1C" w14:textId="7EF32334" w:rsidR="0047450F" w:rsidRPr="00A910E2" w:rsidRDefault="0047450F" w:rsidP="00C501FF">
            <w:pPr>
              <w:pStyle w:val="Tabletext"/>
              <w:keepNext/>
              <w:keepLines/>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Mme Huda Al Korbi (Qatar)</w:t>
            </w:r>
          </w:p>
          <w:p w14:paraId="0635273C" w14:textId="59393E99" w:rsidR="0047450F" w:rsidRPr="00A910E2" w:rsidRDefault="0047450F" w:rsidP="00C501FF">
            <w:pPr>
              <w:pStyle w:val="Tabletext"/>
              <w:keepNext/>
              <w:keepLines/>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Samuel Ritchie (Irlande)</w:t>
            </w:r>
          </w:p>
          <w:p w14:paraId="2D27AB33" w14:textId="042348DB" w:rsidR="0047450F" w:rsidRPr="00A910E2" w:rsidRDefault="0047450F" w:rsidP="00C501FF">
            <w:pPr>
              <w:pStyle w:val="Tabletext"/>
              <w:keepNext/>
              <w:keepLines/>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Hector BUDE (Uruguay)</w:t>
            </w:r>
          </w:p>
          <w:p w14:paraId="3A04F2AE" w14:textId="58AEA1CB" w:rsidR="004869F3" w:rsidRPr="00A910E2" w:rsidRDefault="0047450F" w:rsidP="00C501FF">
            <w:pPr>
              <w:pStyle w:val="Tabletext"/>
              <w:keepNext/>
              <w:keepLines/>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Agzam Tajibayev (Kazakhstan)</w:t>
            </w:r>
          </w:p>
        </w:tc>
      </w:tr>
      <w:tr w:rsidR="004869F3" w:rsidRPr="00A910E2" w14:paraId="108584B2" w14:textId="77777777" w:rsidTr="005F164C">
        <w:tc>
          <w:tcPr>
            <w:cnfStyle w:val="001000000000" w:firstRow="0" w:lastRow="0" w:firstColumn="1" w:lastColumn="0" w:oddVBand="0" w:evenVBand="0" w:oddHBand="0" w:evenHBand="0" w:firstRowFirstColumn="0" w:firstRowLastColumn="0" w:lastRowFirstColumn="0" w:lastRowLastColumn="0"/>
            <w:tcW w:w="2126" w:type="dxa"/>
            <w:hideMark/>
          </w:tcPr>
          <w:p w14:paraId="7EB104A3" w14:textId="77777777" w:rsidR="004869F3" w:rsidRPr="00A910E2" w:rsidRDefault="004869F3" w:rsidP="009D7A5E">
            <w:pPr>
              <w:pStyle w:val="Tabletext"/>
            </w:pPr>
            <w:r w:rsidRPr="00A910E2">
              <w:t>Commission 3 (Contrôle budgétaire)</w:t>
            </w:r>
          </w:p>
        </w:tc>
        <w:tc>
          <w:tcPr>
            <w:tcW w:w="7371" w:type="dxa"/>
            <w:hideMark/>
          </w:tcPr>
          <w:p w14:paraId="680BDEB8" w14:textId="4D235722"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rPr>
                <w:b/>
                <w:bCs/>
              </w:rPr>
              <w:t>Présidente</w:t>
            </w:r>
            <w:r w:rsidRPr="00A910E2">
              <w:t>:</w:t>
            </w:r>
            <w:r w:rsidR="0047450F" w:rsidRPr="00A910E2">
              <w:tab/>
            </w:r>
            <w:r w:rsidRPr="00A910E2">
              <w:t>Mme Cindy Cook (Canada)</w:t>
            </w:r>
          </w:p>
          <w:p w14:paraId="2D666AFE" w14:textId="77777777" w:rsidR="0047450F" w:rsidRPr="00A910E2" w:rsidRDefault="004869F3" w:rsidP="009D7A5E">
            <w:pPr>
              <w:pStyle w:val="Tabletext"/>
              <w:cnfStyle w:val="000000000000" w:firstRow="0" w:lastRow="0" w:firstColumn="0" w:lastColumn="0" w:oddVBand="0" w:evenVBand="0" w:oddHBand="0" w:evenHBand="0" w:firstRowFirstColumn="0" w:firstRowLastColumn="0" w:lastRowFirstColumn="0" w:lastRowLastColumn="0"/>
            </w:pPr>
            <w:r w:rsidRPr="00A910E2">
              <w:rPr>
                <w:b/>
                <w:bCs/>
              </w:rPr>
              <w:t>Vice-Présidents</w:t>
            </w:r>
            <w:r w:rsidRPr="00A910E2">
              <w:t>:</w:t>
            </w:r>
            <w:r w:rsidRPr="00A910E2">
              <w:tab/>
              <w:t>M. Christopher HOSE (Australie)</w:t>
            </w:r>
          </w:p>
          <w:p w14:paraId="2F3F445D" w14:textId="5FD28A6B"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Fawaz M. Albarjas (Koweït)</w:t>
            </w:r>
          </w:p>
          <w:p w14:paraId="12F004E0" w14:textId="2B150742"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Kenneth Concannon (Irlande)</w:t>
            </w:r>
          </w:p>
          <w:p w14:paraId="1C041C7C" w14:textId="60C44764"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Serikbolsyn Myrzakhmet (Kazakhstan)</w:t>
            </w:r>
          </w:p>
          <w:p w14:paraId="2A6C1C46" w14:textId="64F3AE0E" w:rsidR="004869F3"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Mme Salwa Suleiman Kamil (Soudan du Sud)</w:t>
            </w:r>
          </w:p>
        </w:tc>
      </w:tr>
      <w:tr w:rsidR="004869F3" w:rsidRPr="00A910E2" w14:paraId="5635390A" w14:textId="77777777" w:rsidTr="005F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6D405D47" w14:textId="77777777" w:rsidR="004869F3" w:rsidRPr="00A910E2" w:rsidRDefault="004869F3" w:rsidP="009D7A5E">
            <w:pPr>
              <w:pStyle w:val="Tabletext"/>
            </w:pPr>
            <w:r w:rsidRPr="00A910E2">
              <w:t>Commission 4 (Points spécifiques de l'ordre du jour)</w:t>
            </w:r>
          </w:p>
        </w:tc>
        <w:tc>
          <w:tcPr>
            <w:tcW w:w="7371" w:type="dxa"/>
            <w:hideMark/>
          </w:tcPr>
          <w:p w14:paraId="59476AF9" w14:textId="65224A30" w:rsidR="004869F3" w:rsidRPr="00A910E2" w:rsidRDefault="004869F3"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rPr>
                <w:b/>
                <w:bCs/>
              </w:rPr>
              <w:t>Président</w:t>
            </w:r>
            <w:r w:rsidRPr="00A910E2">
              <w:t>:</w:t>
            </w:r>
            <w:r w:rsidR="0047450F" w:rsidRPr="00A910E2">
              <w:tab/>
            </w:r>
            <w:r w:rsidRPr="00A910E2">
              <w:t>M.</w:t>
            </w:r>
            <w:r w:rsidR="0047450F" w:rsidRPr="00A910E2">
              <w:t xml:space="preserve"> </w:t>
            </w:r>
            <w:r w:rsidRPr="00A910E2">
              <w:t>Hiroyuki Atarashi (Japon)</w:t>
            </w:r>
          </w:p>
          <w:p w14:paraId="2EC3C2F1" w14:textId="77777777" w:rsidR="0047450F" w:rsidRPr="00A910E2" w:rsidRDefault="004869F3" w:rsidP="009D7A5E">
            <w:pPr>
              <w:pStyle w:val="Tabletext"/>
              <w:cnfStyle w:val="000000100000" w:firstRow="0" w:lastRow="0" w:firstColumn="0" w:lastColumn="0" w:oddVBand="0" w:evenVBand="0" w:oddHBand="1" w:evenHBand="0" w:firstRowFirstColumn="0" w:firstRowLastColumn="0" w:lastRowFirstColumn="0" w:lastRowLastColumn="0"/>
            </w:pPr>
            <w:r w:rsidRPr="00A910E2">
              <w:rPr>
                <w:b/>
                <w:bCs/>
              </w:rPr>
              <w:t>Vice-Présidents</w:t>
            </w:r>
            <w:r w:rsidRPr="00A910E2">
              <w:t>:</w:t>
            </w:r>
            <w:r w:rsidRPr="00A910E2">
              <w:tab/>
              <w:t>M. Bharat Bhatia (Inde)</w:t>
            </w:r>
          </w:p>
          <w:p w14:paraId="5185D47E" w14:textId="271A578B"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Mohamed Abdelhaseeb (Égypte)</w:t>
            </w:r>
          </w:p>
          <w:p w14:paraId="59099CB9" w14:textId="78DC631F"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 xml:space="preserve">M. </w:t>
            </w:r>
            <w:r w:rsidRPr="00A910E2">
              <w:t>Éric</w:t>
            </w:r>
            <w:r w:rsidR="004869F3" w:rsidRPr="00A910E2">
              <w:t xml:space="preserve"> Fournier (France)</w:t>
            </w:r>
          </w:p>
          <w:p w14:paraId="66690299" w14:textId="0005B41D"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Avaz Khashimkhodjaev (Ouzbékistan)</w:t>
            </w:r>
          </w:p>
          <w:p w14:paraId="382BD1B0" w14:textId="75DB7C99"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Mme Sana Zairi (Maroc)</w:t>
            </w:r>
          </w:p>
          <w:p w14:paraId="23DFA7CD" w14:textId="0047DF0A" w:rsidR="004869F3"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Mme Maria Myers Hamilton (Jamaïque)</w:t>
            </w:r>
          </w:p>
        </w:tc>
      </w:tr>
      <w:tr w:rsidR="004869F3" w:rsidRPr="00A910E2" w14:paraId="45A698FA" w14:textId="77777777" w:rsidTr="005F164C">
        <w:trPr>
          <w:trHeight w:val="63"/>
        </w:trPr>
        <w:tc>
          <w:tcPr>
            <w:cnfStyle w:val="001000000000" w:firstRow="0" w:lastRow="0" w:firstColumn="1" w:lastColumn="0" w:oddVBand="0" w:evenVBand="0" w:oddHBand="0" w:evenHBand="0" w:firstRowFirstColumn="0" w:firstRowLastColumn="0" w:lastRowFirstColumn="0" w:lastRowLastColumn="0"/>
            <w:tcW w:w="2126" w:type="dxa"/>
          </w:tcPr>
          <w:p w14:paraId="52DA1F1B" w14:textId="77777777" w:rsidR="004869F3" w:rsidRPr="00A910E2" w:rsidRDefault="004869F3" w:rsidP="009D7A5E">
            <w:pPr>
              <w:pStyle w:val="Tabletext"/>
            </w:pPr>
            <w:r w:rsidRPr="00A910E2">
              <w:t>Commission 5 (Points spécifiques de l'ordre du jour)</w:t>
            </w:r>
          </w:p>
        </w:tc>
        <w:tc>
          <w:tcPr>
            <w:tcW w:w="7371" w:type="dxa"/>
          </w:tcPr>
          <w:p w14:paraId="14E82CEC" w14:textId="6E7A43C9"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rPr>
                <w:b/>
                <w:bCs/>
              </w:rPr>
              <w:t>Présidente</w:t>
            </w:r>
            <w:r w:rsidRPr="00A910E2">
              <w:t>:</w:t>
            </w:r>
            <w:r w:rsidR="0047450F" w:rsidRPr="00A910E2">
              <w:tab/>
            </w:r>
            <w:r w:rsidRPr="00A910E2">
              <w:t>Mme Anna Marklund (Suède)</w:t>
            </w:r>
          </w:p>
          <w:p w14:paraId="7F140131" w14:textId="70EE548C" w:rsidR="0047450F" w:rsidRPr="00A910E2" w:rsidRDefault="004869F3" w:rsidP="009D7A5E">
            <w:pPr>
              <w:pStyle w:val="Tabletext"/>
              <w:cnfStyle w:val="000000000000" w:firstRow="0" w:lastRow="0" w:firstColumn="0" w:lastColumn="0" w:oddVBand="0" w:evenVBand="0" w:oddHBand="0" w:evenHBand="0" w:firstRowFirstColumn="0" w:firstRowLastColumn="0" w:lastRowFirstColumn="0" w:lastRowLastColumn="0"/>
            </w:pPr>
            <w:r w:rsidRPr="00A910E2">
              <w:rPr>
                <w:b/>
                <w:bCs/>
              </w:rPr>
              <w:t>Vice-Présidents</w:t>
            </w:r>
            <w:r w:rsidRPr="00A910E2">
              <w:t>:</w:t>
            </w:r>
            <w:r w:rsidRPr="00A910E2">
              <w:tab/>
              <w:t>M. Phung Nguyen PHUONG (Viet Nam)</w:t>
            </w:r>
          </w:p>
          <w:p w14:paraId="6C538393" w14:textId="77777777"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Aws Majeed Al Awadi (Iraq)</w:t>
            </w:r>
          </w:p>
          <w:p w14:paraId="089009B3" w14:textId="5AEB86A0"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Stephen Talbot (Royaume-Uni)</w:t>
            </w:r>
          </w:p>
          <w:p w14:paraId="3360A46B" w14:textId="77777777"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Rafael Pinto Prata (Brésil)</w:t>
            </w:r>
          </w:p>
          <w:p w14:paraId="682650D7" w14:textId="1D905F7C"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Gabriel Yao Koffi (Côte d'Ivoire)</w:t>
            </w:r>
          </w:p>
          <w:p w14:paraId="2A10129B" w14:textId="4AE450E5" w:rsidR="004869F3"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Mme Aftab Kalantarli (Azerbaïdjan)</w:t>
            </w:r>
          </w:p>
        </w:tc>
      </w:tr>
      <w:tr w:rsidR="004869F3" w:rsidRPr="00A910E2" w14:paraId="2562A943" w14:textId="77777777" w:rsidTr="005F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3479267" w14:textId="40613695" w:rsidR="004869F3" w:rsidRPr="00A910E2" w:rsidRDefault="004869F3" w:rsidP="009D7A5E">
            <w:pPr>
              <w:pStyle w:val="Tabletext"/>
            </w:pPr>
            <w:r w:rsidRPr="00A910E2">
              <w:t>Commission</w:t>
            </w:r>
            <w:r w:rsidR="0047450F" w:rsidRPr="00A910E2">
              <w:t> 6</w:t>
            </w:r>
            <w:r w:rsidR="0047450F" w:rsidRPr="00A910E2">
              <w:br/>
            </w:r>
            <w:r w:rsidRPr="00A910E2">
              <w:t>(Points spécifiques de l'ordre du jour)</w:t>
            </w:r>
          </w:p>
        </w:tc>
        <w:tc>
          <w:tcPr>
            <w:tcW w:w="7371" w:type="dxa"/>
          </w:tcPr>
          <w:p w14:paraId="0BC83C42" w14:textId="2AEFC89A" w:rsidR="004869F3" w:rsidRPr="00A910E2" w:rsidRDefault="004869F3"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rPr>
                <w:b/>
                <w:bCs/>
              </w:rPr>
              <w:t>Président</w:t>
            </w:r>
            <w:r w:rsidRPr="00A910E2">
              <w:t>:</w:t>
            </w:r>
            <w:r w:rsidR="0047450F" w:rsidRPr="00A910E2">
              <w:tab/>
            </w:r>
            <w:r w:rsidRPr="00A910E2">
              <w:t>M. El Hadjar Abdouramane (Cameroun)</w:t>
            </w:r>
          </w:p>
          <w:p w14:paraId="074A2BA0" w14:textId="77777777" w:rsidR="0047450F" w:rsidRPr="00A910E2" w:rsidRDefault="004869F3" w:rsidP="009D7A5E">
            <w:pPr>
              <w:pStyle w:val="Tabletext"/>
              <w:cnfStyle w:val="000000100000" w:firstRow="0" w:lastRow="0" w:firstColumn="0" w:lastColumn="0" w:oddVBand="0" w:evenVBand="0" w:oddHBand="1" w:evenHBand="0" w:firstRowFirstColumn="0" w:firstRowLastColumn="0" w:lastRowFirstColumn="0" w:lastRowLastColumn="0"/>
            </w:pPr>
            <w:r w:rsidRPr="00A910E2">
              <w:rPr>
                <w:b/>
                <w:bCs/>
              </w:rPr>
              <w:t>Vice-Présidents</w:t>
            </w:r>
            <w:r w:rsidRPr="00A910E2">
              <w:t>:</w:t>
            </w:r>
            <w:r w:rsidRPr="00A910E2">
              <w:tab/>
              <w:t>M. Mohammad Taghi Shafiee (Iran)</w:t>
            </w:r>
          </w:p>
          <w:p w14:paraId="3C2B8DF7" w14:textId="39D3841D"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Mustafa Bessi (Maroc)</w:t>
            </w:r>
          </w:p>
          <w:p w14:paraId="04BD3BFA" w14:textId="02801D16"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Alexander Kühn (Allemagne)</w:t>
            </w:r>
          </w:p>
          <w:p w14:paraId="4DD478E3" w14:textId="07E89296"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Mme Tania Villa (Mexique)</w:t>
            </w:r>
          </w:p>
          <w:p w14:paraId="716063F8" w14:textId="004C43D0" w:rsidR="0047450F"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Mohamed Soliman (Égypte)</w:t>
            </w:r>
          </w:p>
          <w:p w14:paraId="1BBC645B" w14:textId="08D23954" w:rsidR="004869F3" w:rsidRPr="00A910E2" w:rsidRDefault="0047450F" w:rsidP="009D7A5E">
            <w:pPr>
              <w:pStyle w:val="Tabletext"/>
              <w:tabs>
                <w:tab w:val="clear" w:pos="284"/>
                <w:tab w:val="clear" w:pos="567"/>
                <w:tab w:val="clear" w:pos="851"/>
                <w:tab w:val="clear" w:pos="1134"/>
                <w:tab w:val="clear" w:pos="1418"/>
              </w:tabs>
              <w:cnfStyle w:val="000000100000" w:firstRow="0" w:lastRow="0" w:firstColumn="0" w:lastColumn="0" w:oddVBand="0" w:evenVBand="0" w:oddHBand="1" w:evenHBand="0" w:firstRowFirstColumn="0" w:firstRowLastColumn="0" w:lastRowFirstColumn="0" w:lastRowLastColumn="0"/>
            </w:pPr>
            <w:r w:rsidRPr="00A910E2">
              <w:tab/>
            </w:r>
            <w:r w:rsidR="004869F3" w:rsidRPr="00A910E2">
              <w:t>M. Ulugbek Azimov (Ouzbékistan)</w:t>
            </w:r>
          </w:p>
        </w:tc>
      </w:tr>
      <w:tr w:rsidR="004869F3" w:rsidRPr="00A910E2" w14:paraId="55705A46" w14:textId="77777777" w:rsidTr="005F164C">
        <w:tc>
          <w:tcPr>
            <w:cnfStyle w:val="001000000000" w:firstRow="0" w:lastRow="0" w:firstColumn="1" w:lastColumn="0" w:oddVBand="0" w:evenVBand="0" w:oddHBand="0" w:evenHBand="0" w:firstRowFirstColumn="0" w:firstRowLastColumn="0" w:lastRowFirstColumn="0" w:lastRowLastColumn="0"/>
            <w:tcW w:w="2126" w:type="dxa"/>
          </w:tcPr>
          <w:p w14:paraId="55043DA4" w14:textId="77777777" w:rsidR="004869F3" w:rsidRPr="00A910E2" w:rsidRDefault="004869F3" w:rsidP="009D7A5E">
            <w:pPr>
              <w:pStyle w:val="Tabletext"/>
            </w:pPr>
            <w:r w:rsidRPr="00A910E2">
              <w:t>Commission 7 (Commission de rédaction)</w:t>
            </w:r>
          </w:p>
        </w:tc>
        <w:tc>
          <w:tcPr>
            <w:tcW w:w="7371" w:type="dxa"/>
          </w:tcPr>
          <w:p w14:paraId="1EBD8F4D" w14:textId="54B40CED" w:rsidR="004869F3" w:rsidRPr="00A910E2" w:rsidRDefault="004869F3"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rPr>
                <w:b/>
                <w:bCs/>
              </w:rPr>
              <w:t>Président</w:t>
            </w:r>
            <w:r w:rsidRPr="00A910E2">
              <w:t>:</w:t>
            </w:r>
            <w:r w:rsidR="0047450F" w:rsidRPr="00A910E2">
              <w:tab/>
            </w:r>
            <w:r w:rsidRPr="00A910E2">
              <w:t>M. Christian RISSONE (France)</w:t>
            </w:r>
          </w:p>
          <w:p w14:paraId="23C1302C" w14:textId="77777777" w:rsidR="0047450F" w:rsidRPr="00A910E2" w:rsidRDefault="004869F3" w:rsidP="009D7A5E">
            <w:pPr>
              <w:pStyle w:val="Tabletext"/>
              <w:cnfStyle w:val="000000000000" w:firstRow="0" w:lastRow="0" w:firstColumn="0" w:lastColumn="0" w:oddVBand="0" w:evenVBand="0" w:oddHBand="0" w:evenHBand="0" w:firstRowFirstColumn="0" w:firstRowLastColumn="0" w:lastRowFirstColumn="0" w:lastRowLastColumn="0"/>
            </w:pPr>
            <w:r w:rsidRPr="00A910E2">
              <w:rPr>
                <w:b/>
                <w:bCs/>
              </w:rPr>
              <w:t>Vice-Présidents</w:t>
            </w:r>
            <w:r w:rsidRPr="00A910E2">
              <w:t>:</w:t>
            </w:r>
            <w:r w:rsidRPr="00A910E2">
              <w:tab/>
              <w:t>Mme Sana Souai (Tunisie)</w:t>
            </w:r>
          </w:p>
          <w:p w14:paraId="52D27AFF" w14:textId="4561C952"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Mme Claire Lyons (Royaume-Uni)</w:t>
            </w:r>
          </w:p>
          <w:p w14:paraId="3292DC80" w14:textId="5375379D"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Mme Marta Serrano (Espagne)</w:t>
            </w:r>
          </w:p>
          <w:p w14:paraId="0C1FC159" w14:textId="131406CD" w:rsidR="0047450F"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Dmitri Cherkesov (Fédération de Russie)</w:t>
            </w:r>
          </w:p>
          <w:p w14:paraId="692F44D4" w14:textId="77F20A6A" w:rsidR="004869F3" w:rsidRPr="00A910E2" w:rsidRDefault="0047450F" w:rsidP="009D7A5E">
            <w:pPr>
              <w:pStyle w:val="Tabletext"/>
              <w:tabs>
                <w:tab w:val="clear" w:pos="284"/>
                <w:tab w:val="clear" w:pos="567"/>
                <w:tab w:val="clear" w:pos="851"/>
                <w:tab w:val="clear" w:pos="1134"/>
                <w:tab w:val="clear" w:pos="1418"/>
              </w:tabs>
              <w:cnfStyle w:val="000000000000" w:firstRow="0" w:lastRow="0" w:firstColumn="0" w:lastColumn="0" w:oddVBand="0" w:evenVBand="0" w:oddHBand="0" w:evenHBand="0" w:firstRowFirstColumn="0" w:firstRowLastColumn="0" w:lastRowFirstColumn="0" w:lastRowLastColumn="0"/>
            </w:pPr>
            <w:r w:rsidRPr="00A910E2">
              <w:tab/>
            </w:r>
            <w:r w:rsidR="004869F3" w:rsidRPr="00A910E2">
              <w:t>M. Zhao Zheng (Chine)</w:t>
            </w:r>
          </w:p>
        </w:tc>
      </w:tr>
    </w:tbl>
    <w:p w14:paraId="15D13D00" w14:textId="346B0F18" w:rsidR="004869F3" w:rsidRPr="00A910E2" w:rsidRDefault="004869F3" w:rsidP="009D7A5E">
      <w:pPr>
        <w:rPr>
          <w:szCs w:val="24"/>
        </w:rPr>
      </w:pPr>
      <w:r w:rsidRPr="00A910E2">
        <w:rPr>
          <w:szCs w:val="24"/>
        </w:rPr>
        <w:t>La CMR-23 s'est déroulée sans document papier. Afin de faciliter le traitement des</w:t>
      </w:r>
      <w:r w:rsidR="0047450F" w:rsidRPr="00A910E2">
        <w:rPr>
          <w:szCs w:val="24"/>
        </w:rPr>
        <w:t> </w:t>
      </w:r>
      <w:r w:rsidRPr="00A910E2">
        <w:rPr>
          <w:szCs w:val="24"/>
        </w:rPr>
        <w:t>7</w:t>
      </w:r>
      <w:r w:rsidR="0047450F" w:rsidRPr="00A910E2">
        <w:rPr>
          <w:szCs w:val="24"/>
        </w:rPr>
        <w:t> </w:t>
      </w:r>
      <w:r w:rsidRPr="00A910E2">
        <w:rPr>
          <w:szCs w:val="24"/>
        </w:rPr>
        <w:t>608</w:t>
      </w:r>
      <w:r w:rsidR="0047450F" w:rsidRPr="00A910E2">
        <w:rPr>
          <w:szCs w:val="24"/>
        </w:rPr>
        <w:t> </w:t>
      </w:r>
      <w:r w:rsidRPr="00A910E2">
        <w:rPr>
          <w:szCs w:val="24"/>
        </w:rPr>
        <w:t>propositions soumises à la Conférence, le système de gestion des propositions utilisé par le Secrétariat a encore été amélioré avant la CMR-23, après avoir été utilisé avec succès lors de précédentes conférences de l'UIT.</w:t>
      </w:r>
    </w:p>
    <w:p w14:paraId="171DF5F4" w14:textId="6829D736" w:rsidR="004869F3" w:rsidRPr="00A910E2" w:rsidRDefault="004869F3" w:rsidP="009D7A5E">
      <w:pPr>
        <w:rPr>
          <w:szCs w:val="24"/>
        </w:rPr>
      </w:pPr>
      <w:r w:rsidRPr="00A910E2">
        <w:rPr>
          <w:szCs w:val="24"/>
        </w:rPr>
        <w:t xml:space="preserve">L'UIT a également perfectionné l'interface pour les propositions aux conférences (CPI), qui a été largement utilisée par les États Membres pour créer des documents contenant des propositions pour les travaux de la </w:t>
      </w:r>
      <w:r w:rsidR="000F5E4A" w:rsidRPr="00A910E2">
        <w:rPr>
          <w:szCs w:val="24"/>
        </w:rPr>
        <w:t>c</w:t>
      </w:r>
      <w:r w:rsidRPr="00A910E2">
        <w:rPr>
          <w:szCs w:val="24"/>
        </w:rPr>
        <w:t>onférence.</w:t>
      </w:r>
    </w:p>
    <w:p w14:paraId="73715A05" w14:textId="3EBEE42D" w:rsidR="004869F3" w:rsidRPr="00A910E2" w:rsidRDefault="004869F3" w:rsidP="009D7A5E">
      <w:pPr>
        <w:rPr>
          <w:szCs w:val="24"/>
        </w:rPr>
      </w:pPr>
      <w:r w:rsidRPr="00A910E2">
        <w:rPr>
          <w:szCs w:val="24"/>
        </w:rPr>
        <w:t>D'autres outils électroniques ont été utilisés pendant la conférence, notamment le site SharePoint de la</w:t>
      </w:r>
      <w:r w:rsidR="0047450F" w:rsidRPr="00A910E2">
        <w:rPr>
          <w:szCs w:val="24"/>
        </w:rPr>
        <w:t> </w:t>
      </w:r>
      <w:r w:rsidRPr="00A910E2">
        <w:rPr>
          <w:szCs w:val="24"/>
        </w:rPr>
        <w:t>CMR</w:t>
      </w:r>
      <w:r w:rsidR="0047450F" w:rsidRPr="00A910E2">
        <w:rPr>
          <w:szCs w:val="24"/>
        </w:rPr>
        <w:noBreakHyphen/>
      </w:r>
      <w:r w:rsidRPr="00A910E2">
        <w:rPr>
          <w:szCs w:val="24"/>
        </w:rPr>
        <w:t>23, les applications pour smartphones de la CMR-23 (sur les plates-formes iOS, Android et</w:t>
      </w:r>
      <w:r w:rsidR="0047450F" w:rsidRPr="00A910E2">
        <w:rPr>
          <w:szCs w:val="24"/>
        </w:rPr>
        <w:t> </w:t>
      </w:r>
      <w:r w:rsidRPr="00A910E2">
        <w:rPr>
          <w:szCs w:val="24"/>
        </w:rPr>
        <w:t>Huawei), l'outil de navigation du Règlement des radiocommunications, et l'application de synchronisation.</w:t>
      </w:r>
    </w:p>
    <w:p w14:paraId="5E975D7D" w14:textId="243FA8BA" w:rsidR="004869F3" w:rsidRPr="00A910E2" w:rsidRDefault="004869F3" w:rsidP="009D7A5E">
      <w:pPr>
        <w:rPr>
          <w:rFonts w:eastAsia="Arial Unicode MS"/>
          <w:bCs/>
          <w:szCs w:val="24"/>
        </w:rPr>
      </w:pPr>
      <w:r w:rsidRPr="00A910E2">
        <w:rPr>
          <w:rFonts w:eastAsia="Arial Unicode MS"/>
        </w:rPr>
        <w:t>Conformément à la décision de la PP-14, toutes les contributions étaient librement accessibles au public avant le début de la conférence. Les Actes finals provisoires de la CMR-23 sont également accessibles au public, étant donné qu'ils sont considérés comme les principaux résultats de la conférence. Conformément à la</w:t>
      </w:r>
      <w:r w:rsidRPr="00A910E2">
        <w:rPr>
          <w:rFonts w:eastAsia="Arial Unicode MS"/>
          <w:bCs/>
          <w:szCs w:val="24"/>
        </w:rPr>
        <w:t xml:space="preserve"> Résolution 154 (Rév. Bucarest, 2022) de la PP, toutes les contributions soumises au </w:t>
      </w:r>
      <w:r w:rsidR="000F5E4A" w:rsidRPr="00A910E2">
        <w:rPr>
          <w:rFonts w:eastAsia="Arial Unicode MS"/>
          <w:bCs/>
          <w:szCs w:val="24"/>
        </w:rPr>
        <w:t>S</w:t>
      </w:r>
      <w:r w:rsidRPr="00A910E2">
        <w:rPr>
          <w:rFonts w:eastAsia="Arial Unicode MS"/>
          <w:bCs/>
          <w:szCs w:val="24"/>
        </w:rPr>
        <w:t xml:space="preserve">ecrétariat de la CMR ont été publiées </w:t>
      </w:r>
      <w:r w:rsidR="00DC3ABA" w:rsidRPr="00A910E2">
        <w:rPr>
          <w:rFonts w:eastAsia="Arial Unicode MS"/>
          <w:bCs/>
          <w:szCs w:val="24"/>
        </w:rPr>
        <w:t>«</w:t>
      </w:r>
      <w:r w:rsidRPr="00A910E2">
        <w:rPr>
          <w:rFonts w:eastAsia="Arial Unicode MS"/>
          <w:bCs/>
          <w:szCs w:val="24"/>
        </w:rPr>
        <w:t>telles qu'elles ont été reçues</w:t>
      </w:r>
      <w:r w:rsidR="00DC3ABA" w:rsidRPr="00A910E2">
        <w:rPr>
          <w:rFonts w:eastAsia="Arial Unicode MS"/>
          <w:bCs/>
          <w:szCs w:val="24"/>
        </w:rPr>
        <w:t>»</w:t>
      </w:r>
      <w:r w:rsidRPr="00A910E2">
        <w:rPr>
          <w:rFonts w:eastAsia="Arial Unicode MS"/>
          <w:bCs/>
          <w:szCs w:val="24"/>
        </w:rPr>
        <w:t xml:space="preserve"> et dans leur langue d'origine, dans un délai de trois jours ouvrables au maximum.</w:t>
      </w:r>
    </w:p>
    <w:p w14:paraId="6FEA5EFF" w14:textId="77777777" w:rsidR="004869F3" w:rsidRPr="00A910E2" w:rsidRDefault="004869F3" w:rsidP="009D7A5E">
      <w:pPr>
        <w:rPr>
          <w:rFonts w:eastAsia="Arial Unicode MS"/>
          <w:bCs/>
          <w:szCs w:val="24"/>
        </w:rPr>
      </w:pPr>
      <w:r w:rsidRPr="00A910E2">
        <w:rPr>
          <w:rFonts w:eastAsia="Arial Unicode MS"/>
          <w:bCs/>
          <w:szCs w:val="24"/>
        </w:rPr>
        <w:t>Les séances plénières, ainsi que les séances des Commissions 4, 5 et 6, ont été retransmises en direct sur le web et sous-titrées pendant la conférence. La diffusion sur le web a également été assurée pour les séances des groupes de travail des Commissions. Les fichiers (archives) correspondants peuvent être consultés sur le site web de la CMR-23.</w:t>
      </w:r>
    </w:p>
    <w:p w14:paraId="0D4B4DA2" w14:textId="39139F4D" w:rsidR="004869F3" w:rsidRPr="00A910E2" w:rsidRDefault="004869F3" w:rsidP="009D7A5E">
      <w:r w:rsidRPr="00A910E2">
        <w:rPr>
          <w:szCs w:val="24"/>
        </w:rPr>
        <w:t xml:space="preserve">Les informations complètes sur la CMR-23, notamment les Actes finals provisoires ainsi que l'ensemble des documents, photos et vidéos, sont disponibles à l'adresse: </w:t>
      </w:r>
      <w:hyperlink r:id="rId42" w:history="1">
        <w:r w:rsidR="00DC3ABA" w:rsidRPr="00A910E2">
          <w:rPr>
            <w:rStyle w:val="Hyperlink"/>
            <w:szCs w:val="24"/>
          </w:rPr>
          <w:t>https://www.itu.int/wrc</w:t>
        </w:r>
        <w:r w:rsidR="00DC3ABA" w:rsidRPr="00A910E2">
          <w:rPr>
            <w:rStyle w:val="Hyperlink"/>
            <w:szCs w:val="24"/>
          </w:rPr>
          <w:noBreakHyphen/>
          <w:t>23/</w:t>
        </w:r>
      </w:hyperlink>
      <w:r w:rsidRPr="00A910E2">
        <w:rPr>
          <w:szCs w:val="24"/>
        </w:rPr>
        <w:t>.</w:t>
      </w:r>
    </w:p>
    <w:p w14:paraId="1CEDF008" w14:textId="77777777" w:rsidR="004869F3" w:rsidRPr="00A910E2" w:rsidRDefault="004869F3" w:rsidP="009D7A5E">
      <w:pPr>
        <w:pStyle w:val="Heading4"/>
      </w:pPr>
      <w:r w:rsidRPr="00A910E2">
        <w:rPr>
          <w:bCs/>
        </w:rPr>
        <w:t>3.2.2.2</w:t>
      </w:r>
      <w:r w:rsidRPr="00A910E2">
        <w:tab/>
      </w:r>
      <w:r w:rsidRPr="00A910E2">
        <w:rPr>
          <w:bCs/>
        </w:rPr>
        <w:t>Principaux résultats de la CMR-23</w:t>
      </w:r>
    </w:p>
    <w:p w14:paraId="6F1E34E0" w14:textId="77777777" w:rsidR="004869F3" w:rsidRPr="00A910E2" w:rsidRDefault="004869F3" w:rsidP="009D7A5E">
      <w:pPr>
        <w:rPr>
          <w:rFonts w:eastAsia="Arial Unicode MS"/>
        </w:rPr>
      </w:pPr>
      <w:r w:rsidRPr="00A910E2">
        <w:t>La CMR-23 a examiné plus de 30 questions se rapportant à l'attribution de bandes de fréquences et au partage de fréquences aux fins de l'utilisation efficace des ressources spectrales et orbitales. Les principaux résultats de la CMR-23 sont présentés ci-après.</w:t>
      </w:r>
    </w:p>
    <w:p w14:paraId="74DF6AA3" w14:textId="77777777" w:rsidR="004869F3" w:rsidRPr="00A910E2" w:rsidRDefault="004869F3" w:rsidP="009D7A5E">
      <w:pPr>
        <w:pStyle w:val="Heading5"/>
        <w:rPr>
          <w:rFonts w:eastAsia="Arial Unicode MS"/>
        </w:rPr>
      </w:pPr>
      <w:r w:rsidRPr="00A910E2">
        <w:rPr>
          <w:bCs/>
        </w:rPr>
        <w:t>3.2.2.2.1</w:t>
      </w:r>
      <w:r w:rsidRPr="00A910E2">
        <w:tab/>
      </w:r>
      <w:r w:rsidRPr="00A910E2">
        <w:rPr>
          <w:bCs/>
        </w:rPr>
        <w:t>Communications large bande fixes et mobiles</w:t>
      </w:r>
    </w:p>
    <w:p w14:paraId="3A0AD365" w14:textId="21EC2494" w:rsidR="004869F3" w:rsidRPr="00A910E2" w:rsidRDefault="004869F3" w:rsidP="009D7A5E">
      <w:r w:rsidRPr="00A910E2">
        <w:t xml:space="preserve">Au total, la CMR-23 a identifié 1 300 MHz supplémentaires pour les IMT et a élargi l'identification pour les IMT dans les gammes de fréquences </w:t>
      </w:r>
      <w:r w:rsidR="003516EC" w:rsidRPr="00A910E2">
        <w:t xml:space="preserve">entre </w:t>
      </w:r>
      <w:r w:rsidRPr="00A910E2">
        <w:t>3 300 MHz et 10,5 GHz afin de répondre aux besoins de spectre pour ces systèmes dans les bandes moyennes à l'échelle mondiale. Les bandes de fréquences 3 300-3 400 MHz, 3 600-3 800 MHz, 6 425-7 125 MHz et 10-10,5 GHz, ou des parties de ces bandes, sont identifiées pour les IMT à l'échelle régionale ou nationale, sous réserve du respect de certaines conditions pour assurer la protection des services existants, tels que le service de radiolocalisation ou le service fixe par satellite. Une certaine souplesse a été conservée pour pouvoir décider au niveau national ou régional de désigner la bande des 6 GHz pour les réseaux</w:t>
      </w:r>
      <w:r w:rsidR="00DC3ABA" w:rsidRPr="00A910E2">
        <w:t> </w:t>
      </w:r>
      <w:r w:rsidRPr="00A910E2">
        <w:t>RLAN ou les IMT.</w:t>
      </w:r>
    </w:p>
    <w:p w14:paraId="4C5C9DFC" w14:textId="415887F0" w:rsidR="004869F3" w:rsidRPr="00A910E2" w:rsidRDefault="004869F3" w:rsidP="00A910E2">
      <w:r w:rsidRPr="00A910E2">
        <w:t>La CMR-23 a également attribué la bande 470-694 MHz</w:t>
      </w:r>
      <w:r w:rsidR="003516EC" w:rsidRPr="00A910E2">
        <w:t xml:space="preserve"> à titre secondaire</w:t>
      </w:r>
      <w:r w:rsidRPr="00A910E2">
        <w:t>, ou des parties de cette bande</w:t>
      </w:r>
      <w:r w:rsidR="003516EC" w:rsidRPr="00A910E2">
        <w:t xml:space="preserve"> à titre primaire</w:t>
      </w:r>
      <w:r w:rsidRPr="00A910E2">
        <w:t xml:space="preserve">, au service mobile, sauf mobile aéronautique, dans </w:t>
      </w:r>
      <w:r w:rsidR="003516EC" w:rsidRPr="00A910E2">
        <w:t>certains</w:t>
      </w:r>
      <w:r w:rsidRPr="00A910E2">
        <w:t xml:space="preserve"> pays de la Région</w:t>
      </w:r>
      <w:r w:rsidR="007A583E" w:rsidRPr="00A910E2">
        <w:t> </w:t>
      </w:r>
      <w:r w:rsidRPr="00A910E2">
        <w:t>1, sous réserve du respect de certaines conditions pour assurer la protection du service de radiodiffusion. Cette décision contribuerait à répondre aux besoins de spectre futurs du service mobile grâce à une connectivité élargie, tant dans les zones rurales qu'urbaines. La bande</w:t>
      </w:r>
      <w:r w:rsidR="00EF464D" w:rsidRPr="00A910E2">
        <w:t> </w:t>
      </w:r>
      <w:r w:rsidRPr="00A910E2">
        <w:t>614</w:t>
      </w:r>
      <w:r w:rsidR="007A583E" w:rsidRPr="00A910E2">
        <w:noBreakHyphen/>
      </w:r>
      <w:r w:rsidRPr="00A910E2">
        <w:t>694</w:t>
      </w:r>
      <w:r w:rsidR="007A583E" w:rsidRPr="00A910E2">
        <w:t> </w:t>
      </w:r>
      <w:r w:rsidRPr="00A910E2">
        <w:t>MHz est également identifiée pour les IMT dans certains pays de la Région 1.</w:t>
      </w:r>
    </w:p>
    <w:p w14:paraId="1825B3A7" w14:textId="53767082" w:rsidR="004869F3" w:rsidRPr="00A910E2" w:rsidRDefault="004869F3" w:rsidP="009D7A5E">
      <w:r w:rsidRPr="00A910E2">
        <w:t>La CMR-23 a identifié les bandes de fréquences 1 710-1 980 MHz et 2 110-2 160 MHz pour les stations placées sur des plates-formes à haute altitude en tant que stations de base des Télécommunications mobiles internationales (HIBS) à l'échelle mondiale, ainsi que les autres bandes de fréquences 694-960 MHz, 2 010-2 025 MHz, 2 160-2 170 MHz et 2 500-2 690 MHz à l'échelle régionale ou nationale, avec un total de 801 MHz de spectre. Cette identification facilitera le développement et la mise en œuvre des stations HIBS et permettra d'assurer une</w:t>
      </w:r>
      <w:r w:rsidR="003516EC" w:rsidRPr="00A910E2">
        <w:t xml:space="preserve"> plus grande</w:t>
      </w:r>
      <w:r w:rsidRPr="00A910E2">
        <w:t xml:space="preserve"> connectivité</w:t>
      </w:r>
      <w:r w:rsidRPr="00A910E2">
        <w:rPr>
          <w:rStyle w:val="normaltextrun"/>
        </w:rPr>
        <w:t xml:space="preserve"> </w:t>
      </w:r>
      <w:r w:rsidRPr="00A910E2">
        <w:t>large bande ainsi que de</w:t>
      </w:r>
      <w:r w:rsidR="003516EC" w:rsidRPr="00A910E2">
        <w:t xml:space="preserve"> nouveaux</w:t>
      </w:r>
      <w:r w:rsidRPr="00A910E2">
        <w:t xml:space="preserve"> services de télécommunication dans les communautés mal desservies et dans les zones rurales et isolées, notamment dans les zones montagneuses et désertiques, afin de connecter ceux qui ne le sont pas encore. Les stations</w:t>
      </w:r>
      <w:r w:rsidR="00DC3ABA" w:rsidRPr="00A910E2">
        <w:t> </w:t>
      </w:r>
      <w:r w:rsidRPr="00A910E2">
        <w:t>HIBS peuvent aussi être utilisées pour assurer des communications en vue du retour à la normale après une catastrophe.</w:t>
      </w:r>
    </w:p>
    <w:p w14:paraId="7969BEBE" w14:textId="52B7ECD5" w:rsidR="004869F3" w:rsidRPr="00A910E2" w:rsidRDefault="004869F3" w:rsidP="009D7A5E">
      <w:pPr>
        <w:pStyle w:val="Heading5"/>
        <w:rPr>
          <w:sz w:val="22"/>
          <w:szCs w:val="22"/>
        </w:rPr>
      </w:pPr>
      <w:r w:rsidRPr="00A910E2">
        <w:rPr>
          <w:bCs/>
        </w:rPr>
        <w:t>3.2.2.2.2</w:t>
      </w:r>
      <w:r w:rsidRPr="00A910E2">
        <w:tab/>
        <w:t>Modernisation du SMDSM et fournisseur supplémentaire de services par satellite du SMDSM</w:t>
      </w:r>
    </w:p>
    <w:p w14:paraId="68C77E40" w14:textId="07E2E15B" w:rsidR="004869F3" w:rsidRPr="00A910E2" w:rsidRDefault="004869F3" w:rsidP="009D7A5E">
      <w:pPr>
        <w:rPr>
          <w:szCs w:val="24"/>
        </w:rPr>
      </w:pPr>
      <w:r w:rsidRPr="00A910E2">
        <w:rPr>
          <w:szCs w:val="24"/>
        </w:rPr>
        <w:t>La CMR-23 a intégré dans le Règlement des radiocommunications les résultats de la modernisation du Système mondial de détresse et de sécurité en mer (SMDSM), ce qui permet d'aligner le RR sur les décisions récentes de l'OMI et d'inclure plusieurs technologies</w:t>
      </w:r>
      <w:r w:rsidR="003516EC" w:rsidRPr="00A910E2">
        <w:rPr>
          <w:szCs w:val="24"/>
        </w:rPr>
        <w:t xml:space="preserve"> émergentes</w:t>
      </w:r>
      <w:r w:rsidRPr="00A910E2">
        <w:rPr>
          <w:szCs w:val="24"/>
        </w:rPr>
        <w:t xml:space="preserve">. Le nouveau système de connexion automatique (ACS) assurera un accès fiable aux liaisons radioélectriques pour les marins. L'introduction du système numérique de données de navigation (NAVDAT) contribuera à fournir aux navires des alertes météorologiques et de navigation actualisées. L'utilisation des émetteurs AIS-SART (recherche et sauvetage </w:t>
      </w:r>
      <w:r w:rsidR="008711E6" w:rsidRPr="00A910E2">
        <w:rPr>
          <w:szCs w:val="24"/>
        </w:rPr>
        <w:t>–</w:t>
      </w:r>
      <w:r w:rsidRPr="00A910E2">
        <w:rPr>
          <w:szCs w:val="24"/>
        </w:rPr>
        <w:t xml:space="preserve"> système d'identification automatique) facilitera la localisation des engins en détresse pour les besoins des opérations de sauvetage.</w:t>
      </w:r>
    </w:p>
    <w:p w14:paraId="48434793" w14:textId="77777777" w:rsidR="004869F3" w:rsidRPr="00A910E2" w:rsidRDefault="004869F3" w:rsidP="009D7A5E">
      <w:r w:rsidRPr="00A910E2">
        <w:t>La Conférence a reconnu provisoirement le système du service de messagerie par satellite BeiDou en vue de son utilisation dans le cadre du SMDSM, sous réserve que la coordination avec les réseaux existants et l'élimination des brouillages soient menées à bonne fin.</w:t>
      </w:r>
    </w:p>
    <w:p w14:paraId="581DA293" w14:textId="14D9D770" w:rsidR="004869F3" w:rsidRPr="00A910E2" w:rsidRDefault="004869F3" w:rsidP="009D7A5E">
      <w:pPr>
        <w:pStyle w:val="Heading5"/>
        <w:rPr>
          <w:rFonts w:eastAsia="Arial Unicode MS"/>
          <w:bCs/>
        </w:rPr>
      </w:pPr>
      <w:r w:rsidRPr="00A910E2">
        <w:rPr>
          <w:bCs/>
        </w:rPr>
        <w:t>3.2.2.2.3</w:t>
      </w:r>
      <w:r w:rsidRPr="00A910E2">
        <w:tab/>
      </w:r>
      <w:bookmarkStart w:id="15" w:name="lt_pId323"/>
      <w:r w:rsidRPr="00A910E2">
        <w:t xml:space="preserve">Passage au numérique en ce qui concerne les fréquences aéronautiques </w:t>
      </w:r>
      <w:bookmarkEnd w:id="15"/>
      <w:r w:rsidRPr="00A910E2">
        <w:t>dans la bande d'ondes décamétriques</w:t>
      </w:r>
    </w:p>
    <w:p w14:paraId="03F2C8E2" w14:textId="67B8A76D" w:rsidR="004869F3" w:rsidRPr="00A910E2" w:rsidRDefault="004869F3" w:rsidP="009D7A5E">
      <w:r w:rsidRPr="00A910E2">
        <w:t xml:space="preserve">La CMR-23 a </w:t>
      </w:r>
      <w:r w:rsidR="003516EC" w:rsidRPr="00A910E2">
        <w:t>ajouté des dispositions dans le</w:t>
      </w:r>
      <w:r w:rsidRPr="00A910E2">
        <w:t xml:space="preserve"> Plan de fréquences aéronautiques pour le service mobile aéronautique (R) dans les bandes d'ondes décamétriques figurant dans l'Appendice </w:t>
      </w:r>
      <w:r w:rsidR="00DC3ABA" w:rsidRPr="00A910E2">
        <w:rPr>
          <w:b/>
          <w:bCs/>
        </w:rPr>
        <w:t>27</w:t>
      </w:r>
      <w:r w:rsidR="00DC3ABA" w:rsidRPr="00A910E2">
        <w:t xml:space="preserve"> </w:t>
      </w:r>
      <w:r w:rsidRPr="00A910E2">
        <w:t>du</w:t>
      </w:r>
      <w:r w:rsidR="007A583E" w:rsidRPr="00A910E2">
        <w:t> </w:t>
      </w:r>
      <w:r w:rsidRPr="00A910E2">
        <w:t>RR, afin de permettre l'introduction de nouveaux systèmes numériques large bande en ondes décamétriques.</w:t>
      </w:r>
    </w:p>
    <w:p w14:paraId="141133A9" w14:textId="5FEA0145" w:rsidR="004869F3" w:rsidRPr="00A910E2" w:rsidRDefault="004869F3" w:rsidP="009D7A5E">
      <w:pPr>
        <w:pStyle w:val="Heading5"/>
      </w:pPr>
      <w:r w:rsidRPr="00A910E2">
        <w:t>3.2.2.2.4</w:t>
      </w:r>
      <w:r w:rsidRPr="00A910E2">
        <w:tab/>
        <w:t>Spectre pour les applications aéronautiques non liées à la sécurité</w:t>
      </w:r>
    </w:p>
    <w:p w14:paraId="72F79EA7" w14:textId="3DD7F172" w:rsidR="004869F3" w:rsidRPr="00A910E2" w:rsidRDefault="004869F3" w:rsidP="009D7A5E">
      <w:r w:rsidRPr="00A910E2">
        <w:t>La CMR-23 a fait des attributions au service mobile aéronautique (OR) dans les bandes de fréquences 15,41-15,7 GHz à titre secondaire et 22-22,2 GHz à titre primaire dans la Région</w:t>
      </w:r>
      <w:r w:rsidR="00DC3ABA" w:rsidRPr="00A910E2">
        <w:t> </w:t>
      </w:r>
      <w:r w:rsidRPr="00A910E2">
        <w:t>1 et</w:t>
      </w:r>
      <w:r w:rsidR="00DC3ABA" w:rsidRPr="00A910E2">
        <w:t xml:space="preserve"> </w:t>
      </w:r>
      <w:r w:rsidRPr="00A910E2">
        <w:t>dans certains pays de la Région 3, sous réserves qu'aucun brouillage ne soit causé aux services existants.</w:t>
      </w:r>
    </w:p>
    <w:p w14:paraId="208E58B8" w14:textId="5854B428" w:rsidR="004869F3" w:rsidRPr="00A910E2" w:rsidRDefault="004869F3" w:rsidP="009D7A5E">
      <w:pPr>
        <w:pStyle w:val="Heading5"/>
        <w:rPr>
          <w:rFonts w:eastAsia="Arial Unicode MS"/>
        </w:rPr>
      </w:pPr>
      <w:r w:rsidRPr="00A910E2">
        <w:t>3.2.2.2.5</w:t>
      </w:r>
      <w:r w:rsidR="008711E6" w:rsidRPr="00A910E2">
        <w:tab/>
      </w:r>
      <w:r w:rsidRPr="00A910E2">
        <w:rPr>
          <w:bCs/>
        </w:rPr>
        <w:t>Services par satellite</w:t>
      </w:r>
    </w:p>
    <w:p w14:paraId="0FEE3BA0" w14:textId="1C672071" w:rsidR="004869F3" w:rsidRPr="00A910E2" w:rsidRDefault="004869F3" w:rsidP="00A910E2">
      <w:pPr>
        <w:rPr>
          <w:rFonts w:eastAsia="Arial Unicode MS"/>
        </w:rPr>
      </w:pPr>
      <w:r w:rsidRPr="00A910E2">
        <w:rPr>
          <w:rFonts w:eastAsia="Arial Unicode MS"/>
        </w:rPr>
        <w:t>La CMR-23 a adopté les conditions réglementaires, opérationnelles et techniques dans lesquelles les stations terriennes en mouvement (ESIM) peuvent communiquer avec des stations spatiales géostationnaires (OSG) du service fixe par satellite dans la bande de fréquences 12,75-13,25</w:t>
      </w:r>
      <w:r w:rsidR="00DC3ABA" w:rsidRPr="00A910E2">
        <w:rPr>
          <w:rFonts w:eastAsia="Arial Unicode MS"/>
        </w:rPr>
        <w:t> </w:t>
      </w:r>
      <w:r w:rsidRPr="00A910E2">
        <w:rPr>
          <w:rFonts w:eastAsia="Arial Unicode MS"/>
        </w:rPr>
        <w:t>GHz</w:t>
      </w:r>
      <w:r w:rsidR="00C501FF" w:rsidRPr="00A910E2">
        <w:rPr>
          <w:rFonts w:eastAsia="Arial Unicode MS"/>
        </w:rPr>
        <w:t xml:space="preserve"> </w:t>
      </w:r>
      <w:r w:rsidRPr="00A910E2">
        <w:rPr>
          <w:rFonts w:eastAsia="Arial Unicode MS"/>
        </w:rPr>
        <w:t>ou avec des systèmes à satellites non géostationnaires (non OSG) dans la gamme de fréquences des</w:t>
      </w:r>
      <w:r w:rsidR="00DC3ABA" w:rsidRPr="00A910E2">
        <w:rPr>
          <w:rFonts w:eastAsia="Arial Unicode MS"/>
        </w:rPr>
        <w:t> </w:t>
      </w:r>
      <w:r w:rsidRPr="00A910E2">
        <w:rPr>
          <w:rFonts w:eastAsia="Arial Unicode MS"/>
        </w:rPr>
        <w:t>30/20 GHz. Cette décision permettra d'accroître la largeur de bande disponible pour la connectivité des navires ou des avions.</w:t>
      </w:r>
    </w:p>
    <w:p w14:paraId="4172261E" w14:textId="65AB8218" w:rsidR="004869F3" w:rsidRPr="00A910E2" w:rsidRDefault="004869F3" w:rsidP="009D7A5E">
      <w:pPr>
        <w:rPr>
          <w:rFonts w:eastAsia="Arial Unicode MS"/>
        </w:rPr>
      </w:pPr>
      <w:r w:rsidRPr="00A910E2">
        <w:rPr>
          <w:rFonts w:eastAsia="Arial Unicode MS"/>
        </w:rPr>
        <w:t>La CMR-23 a également mis au point un nouveau mécanisme permettant d'exploiter des liaisons inter-satellites dans la gamme de fréquences des 30/20 GHz, qui permettra de transférer plus rapidement les données recueillies par des capteurs scientifiques ou expérimentaux vers le sol.</w:t>
      </w:r>
    </w:p>
    <w:p w14:paraId="532D2131" w14:textId="2A3C1365" w:rsidR="004869F3" w:rsidRPr="00A910E2" w:rsidRDefault="004869F3" w:rsidP="00EF464D">
      <w:pPr>
        <w:rPr>
          <w:rFonts w:eastAsia="Arial Unicode MS"/>
          <w:szCs w:val="24"/>
        </w:rPr>
      </w:pPr>
      <w:r w:rsidRPr="00A910E2">
        <w:rPr>
          <w:rFonts w:eastAsia="Arial Unicode MS"/>
        </w:rPr>
        <w:t>La CMR-23 a affiné le cadre réglementaire concernant la mise en service et la méthode par étape pour le déploiement de constellations de satellites non OSG dans certaines bandes de fréquences et certains services. En particulier, la CMR-23 a adopté un ensemble de tolérances orbitales autour des valeurs notifiées et a approuvé un mécanisme postérieur aux étapes. Cette approche permettra de mieux vérifier l'exactitude du Fichier de référence international des fréquences par rapport au déploiement effectif de systèmes à satellites non OSG. En prenant ces décisions, la CMR</w:t>
      </w:r>
      <w:r w:rsidR="00DC3ABA" w:rsidRPr="00A910E2">
        <w:rPr>
          <w:rFonts w:eastAsia="Arial Unicode MS"/>
        </w:rPr>
        <w:noBreakHyphen/>
      </w:r>
      <w:r w:rsidRPr="00A910E2">
        <w:rPr>
          <w:rFonts w:eastAsia="Arial Unicode MS"/>
        </w:rPr>
        <w:t>23 a renforcé l'équilibre trouvé par</w:t>
      </w:r>
      <w:r w:rsidRPr="00A910E2">
        <w:rPr>
          <w:rFonts w:eastAsia="Arial Unicode MS"/>
          <w:szCs w:val="24"/>
        </w:rPr>
        <w:t xml:space="preserve"> la CMR-19 entre la nécessité d'éviter toute mise en réserve de fréquences, d'assurer le bon fonctionnement des mécanismes de coordination, de notification et d'inscription, et de tenir compte des exigences opérationnelles liées au déploiement d'un système non géostationnaires.</w:t>
      </w:r>
    </w:p>
    <w:p w14:paraId="126737F7" w14:textId="7E333A45" w:rsidR="00AF2EDC" w:rsidRPr="00A910E2" w:rsidRDefault="004869F3" w:rsidP="009D7A5E">
      <w:pPr>
        <w:spacing w:after="120"/>
        <w:rPr>
          <w:rFonts w:eastAsia="Arial Unicode MS"/>
          <w:szCs w:val="24"/>
        </w:rPr>
      </w:pPr>
      <w:r w:rsidRPr="00A910E2">
        <w:rPr>
          <w:rFonts w:eastAsia="Arial Unicode MS"/>
          <w:szCs w:val="24"/>
        </w:rPr>
        <w:t>La CMR-23 a également adopté un certain nombre de mesures renforçant l'accès équitable aux ressources spectrales et orbitales, en garantissant la protection à long terme des ressources nationales planifiées dans le Plan pour le SRS, le Plan des liaisons de connexion du SRS et le Plan pour le</w:t>
      </w:r>
      <w:r w:rsidR="00DC3ABA" w:rsidRPr="00A910E2">
        <w:rPr>
          <w:rFonts w:eastAsia="Arial Unicode MS"/>
          <w:szCs w:val="24"/>
        </w:rPr>
        <w:t> </w:t>
      </w:r>
      <w:r w:rsidRPr="00A910E2">
        <w:rPr>
          <w:rFonts w:eastAsia="Arial Unicode MS"/>
          <w:szCs w:val="24"/>
        </w:rPr>
        <w:t xml:space="preserve">SFS et en facilitant l'obtention de ressources dans les Appendices </w:t>
      </w:r>
      <w:r w:rsidRPr="00A910E2">
        <w:rPr>
          <w:rFonts w:eastAsia="Arial Unicode MS"/>
          <w:b/>
          <w:bCs/>
          <w:szCs w:val="24"/>
        </w:rPr>
        <w:t>30</w:t>
      </w:r>
      <w:r w:rsidRPr="00A910E2">
        <w:rPr>
          <w:rFonts w:eastAsia="Arial Unicode MS"/>
          <w:szCs w:val="24"/>
        </w:rPr>
        <w:t xml:space="preserve">, </w:t>
      </w:r>
      <w:r w:rsidRPr="00A910E2">
        <w:rPr>
          <w:rFonts w:eastAsia="Arial Unicode MS"/>
          <w:b/>
          <w:bCs/>
          <w:szCs w:val="24"/>
        </w:rPr>
        <w:t>30A</w:t>
      </w:r>
      <w:r w:rsidRPr="00A910E2">
        <w:rPr>
          <w:rFonts w:eastAsia="Arial Unicode MS"/>
          <w:szCs w:val="24"/>
        </w:rPr>
        <w:t xml:space="preserve"> et </w:t>
      </w:r>
      <w:r w:rsidRPr="00A910E2">
        <w:rPr>
          <w:rFonts w:eastAsia="Arial Unicode MS"/>
          <w:b/>
          <w:bCs/>
          <w:szCs w:val="24"/>
        </w:rPr>
        <w:t>30B</w:t>
      </w:r>
      <w:r w:rsidRPr="00A910E2">
        <w:rPr>
          <w:rFonts w:eastAsia="Arial Unicode MS"/>
          <w:szCs w:val="24"/>
        </w:rPr>
        <w:t xml:space="preserve"> pour de nouveaux pays ou pour des pays n'utilisant pas encore les Listes. Dans le même ordre d'idées, la</w:t>
      </w:r>
      <w:r w:rsidR="00DC3ABA" w:rsidRPr="00A910E2">
        <w:rPr>
          <w:rFonts w:eastAsia="Arial Unicode MS"/>
          <w:szCs w:val="24"/>
        </w:rPr>
        <w:t> </w:t>
      </w:r>
      <w:r w:rsidRPr="00A910E2">
        <w:rPr>
          <w:rFonts w:eastAsia="Arial Unicode MS"/>
          <w:szCs w:val="24"/>
        </w:rPr>
        <w:t>CMR</w:t>
      </w:r>
      <w:r w:rsidR="00DC3ABA" w:rsidRPr="00A910E2">
        <w:rPr>
          <w:rFonts w:eastAsia="Arial Unicode MS"/>
          <w:szCs w:val="24"/>
        </w:rPr>
        <w:noBreakHyphen/>
      </w:r>
      <w:r w:rsidRPr="00A910E2">
        <w:rPr>
          <w:rFonts w:eastAsia="Arial Unicode MS"/>
          <w:szCs w:val="24"/>
        </w:rPr>
        <w:t>23 a décidé de remplacer les ressources planifiées du SRS pour 41 pays qui avaient précédemment des ressources dégradées dans le Plan pour le SRS ou dans le Plan des liaisons de connexion du SRS et a décidé d'inclure dans les Plans pour le SFS de nouveaux allotissements nationaux pour neuf pays.</w:t>
      </w:r>
      <w:bookmarkEnd w:id="14"/>
    </w:p>
    <w:p w14:paraId="1678CE78" w14:textId="77777777" w:rsidR="002F315F" w:rsidRPr="00A910E2" w:rsidRDefault="002F315F" w:rsidP="009D7A5E">
      <w:pPr>
        <w:pStyle w:val="Heading5"/>
        <w:rPr>
          <w:rFonts w:eastAsia="Arial Unicode MS"/>
        </w:rPr>
      </w:pPr>
      <w:r w:rsidRPr="00A910E2">
        <w:rPr>
          <w:rFonts w:eastAsia="Arial Unicode MS"/>
        </w:rPr>
        <w:t>3.2.2.2.6</w:t>
      </w:r>
      <w:r w:rsidRPr="00A910E2">
        <w:rPr>
          <w:rFonts w:eastAsia="Arial Unicode MS"/>
        </w:rPr>
        <w:tab/>
        <w:t>Appui aux services scientifiques</w:t>
      </w:r>
    </w:p>
    <w:p w14:paraId="3395879E" w14:textId="5450A3DC" w:rsidR="002F315F" w:rsidRPr="00A910E2" w:rsidRDefault="002F315F" w:rsidP="009D7A5E">
      <w:pPr>
        <w:rPr>
          <w:rFonts w:eastAsia="Arial Unicode MS"/>
        </w:rPr>
      </w:pPr>
      <w:r w:rsidRPr="00A910E2">
        <w:rPr>
          <w:rFonts w:eastAsia="Arial Unicode MS"/>
        </w:rPr>
        <w:t xml:space="preserve">La CMR-23 a attribué la bande de fréquences 40-50 MHz pour les capteurs du SETS (active) afin d'améliorer les capacités d'observation de l'épaisseur de glace </w:t>
      </w:r>
      <w:r w:rsidR="003516EC" w:rsidRPr="00A910E2">
        <w:rPr>
          <w:rFonts w:eastAsia="Arial Unicode MS"/>
        </w:rPr>
        <w:t>dans les régions polaires</w:t>
      </w:r>
      <w:r w:rsidRPr="00A910E2">
        <w:rPr>
          <w:rFonts w:eastAsia="Arial Unicode MS"/>
        </w:rPr>
        <w:t>.</w:t>
      </w:r>
    </w:p>
    <w:p w14:paraId="0A8090D1" w14:textId="6256B667" w:rsidR="002F315F" w:rsidRPr="00A910E2" w:rsidRDefault="002F315F" w:rsidP="009D7A5E">
      <w:pPr>
        <w:rPr>
          <w:rFonts w:eastAsia="Arial Unicode MS"/>
        </w:rPr>
      </w:pPr>
      <w:r w:rsidRPr="00A910E2">
        <w:rPr>
          <w:rFonts w:eastAsia="Arial Unicode MS"/>
        </w:rPr>
        <w:t>La CMR-23 a procédé au relèvement au statut primaire de l'attribution au service de recherche spatiale dans la bande de fréquences 14,8-15,35 GHz, afin d'améliorer le statut réglementaire des systèmes à satellites relais de données utilisant cette bande de fréquences.</w:t>
      </w:r>
    </w:p>
    <w:p w14:paraId="0140624B" w14:textId="45AFE239" w:rsidR="002F315F" w:rsidRPr="00A910E2" w:rsidRDefault="002F315F" w:rsidP="009D7A5E">
      <w:pPr>
        <w:rPr>
          <w:rFonts w:eastAsia="Arial Unicode MS"/>
        </w:rPr>
      </w:pPr>
      <w:r w:rsidRPr="00A910E2">
        <w:rPr>
          <w:rFonts w:eastAsia="Arial Unicode MS"/>
        </w:rPr>
        <w:t>La CMR-23 a réorganisé les attributions au SETS (passive) dans la gamme de fréquences</w:t>
      </w:r>
      <w:r w:rsidR="00054B17" w:rsidRPr="00A910E2">
        <w:rPr>
          <w:rFonts w:eastAsia="Arial Unicode MS"/>
        </w:rPr>
        <w:t xml:space="preserve"> </w:t>
      </w:r>
      <w:r w:rsidRPr="00A910E2">
        <w:rPr>
          <w:rFonts w:eastAsia="Arial Unicode MS"/>
        </w:rPr>
        <w:t>231,5</w:t>
      </w:r>
      <w:r w:rsidRPr="00A910E2">
        <w:rPr>
          <w:rFonts w:eastAsia="Arial Unicode MS"/>
        </w:rPr>
        <w:noBreakHyphen/>
        <w:t>252 GHz pour s'assurer qu'elles correspondent aux besoins les plus récents en matière d'observation des systèmes de télédétection. Cette réorganisation a supposé la modification en conséquence des attributions aux services fixe et mobile.</w:t>
      </w:r>
    </w:p>
    <w:p w14:paraId="1E078BD9" w14:textId="77777777" w:rsidR="002F315F" w:rsidRPr="00A910E2" w:rsidRDefault="002F315F" w:rsidP="009D7A5E">
      <w:pPr>
        <w:rPr>
          <w:rFonts w:eastAsia="Arial Unicode MS"/>
        </w:rPr>
      </w:pPr>
      <w:r w:rsidRPr="00A910E2">
        <w:rPr>
          <w:rFonts w:eastAsia="Arial Unicode MS"/>
        </w:rPr>
        <w:t>Concernant la météorologie spatiale, la CMR-23 a conclu que les capteurs de météorologie spatiale peuvent fonctionner dans le cadre du service des auxiliaires de la météorologie, dans les attributions spécifiques au sous-ensemble du service MetAids (météorologie spatiale). Les études se poursuivront jusqu'à la CMR-27 en vue de définir les bandes de fréquences appropriées pour ces attributions.</w:t>
      </w:r>
    </w:p>
    <w:p w14:paraId="228CCAF1" w14:textId="2AF48CAF" w:rsidR="002F315F" w:rsidRPr="00A910E2" w:rsidRDefault="002F315F" w:rsidP="009D7A5E">
      <w:pPr>
        <w:rPr>
          <w:rFonts w:eastAsia="Arial Unicode MS"/>
          <w:szCs w:val="24"/>
        </w:rPr>
      </w:pPr>
      <w:r w:rsidRPr="00A910E2">
        <w:rPr>
          <w:rFonts w:eastAsia="Arial Unicode MS"/>
        </w:rPr>
        <w:t>Enfin, la CMR-23 a adopté une limite de densité de p.i.r.e. par station spatiale non OSG visant à protéger les capteurs du SETS (passive) dans la bande de fréquences 36-37 GHz vis</w:t>
      </w:r>
      <w:r w:rsidRPr="00A910E2">
        <w:rPr>
          <w:rFonts w:eastAsia="Arial Unicode MS"/>
        </w:rPr>
        <w:noBreakHyphen/>
        <w:t>à</w:t>
      </w:r>
      <w:r w:rsidRPr="00A910E2">
        <w:rPr>
          <w:rFonts w:eastAsia="Arial Unicode MS"/>
        </w:rPr>
        <w:noBreakHyphen/>
        <w:t>vis des systèmes du SFS non OSG fonctionnant dans la bande de fréquences 37,5-38 GHz.</w:t>
      </w:r>
    </w:p>
    <w:p w14:paraId="0E524CFE" w14:textId="77777777" w:rsidR="002F315F" w:rsidRPr="00A910E2" w:rsidRDefault="002F315F" w:rsidP="009D7A5E">
      <w:pPr>
        <w:pStyle w:val="Heading5"/>
        <w:rPr>
          <w:rFonts w:eastAsia="Arial Unicode MS"/>
        </w:rPr>
      </w:pPr>
      <w:r w:rsidRPr="00A910E2">
        <w:rPr>
          <w:rFonts w:eastAsia="Arial Unicode MS"/>
        </w:rPr>
        <w:t>3.2.2.2.7</w:t>
      </w:r>
      <w:r w:rsidRPr="00A910E2">
        <w:rPr>
          <w:rFonts w:eastAsia="Arial Unicode MS"/>
        </w:rPr>
        <w:tab/>
        <w:t>Palestine</w:t>
      </w:r>
    </w:p>
    <w:p w14:paraId="06606868" w14:textId="7BE3A52E" w:rsidR="002F315F" w:rsidRPr="00A910E2" w:rsidRDefault="002F315F" w:rsidP="009D7A5E">
      <w:pPr>
        <w:spacing w:after="120"/>
        <w:rPr>
          <w:rFonts w:eastAsia="Arial Unicode MS"/>
        </w:rPr>
      </w:pPr>
      <w:r w:rsidRPr="00A910E2">
        <w:rPr>
          <w:rFonts w:eastAsia="Arial Unicode MS"/>
        </w:rPr>
        <w:t xml:space="preserve">La CMR-23 a pris des mesures dans le cadre de la Résolution </w:t>
      </w:r>
      <w:r w:rsidRPr="00A910E2">
        <w:rPr>
          <w:rFonts w:eastAsia="Arial Unicode MS"/>
          <w:b/>
        </w:rPr>
        <w:t>12 (Rév.CMR-23)</w:t>
      </w:r>
      <w:r w:rsidRPr="00A910E2">
        <w:rPr>
          <w:rFonts w:eastAsia="Arial Unicode MS"/>
          <w:bCs/>
        </w:rPr>
        <w:t xml:space="preserve"> pour garantir une assistance et un appui continus, en vue de permettre à la Palestine de gérer et d'exploiter ses ressources en termes de fréquences radioélectriques; de moderniser ses réseaux de télécommunication, notamment en construisant et en exploitant des réseaux 4G et 5G; d'obtenir et de gérer les fréquences nécessaires pour les liaisons hyperfréquences, que l'on considère comme indispensables au fonctionnement des services 4G et 5G; d'étendre, d'installer, de posséder, de gérer et d'exploiter des réseaux de télécommunication large bande à fibres optiques (et des liaisons à fibres optiques) entre les gouvernorats et les grandes villes, pour garantir une transformation numérique plus robuste; d'obtenir des fréquences en ondes métriques et décimétriques pour les services de télécommunication fixes et mobiles; et d'obtenir des fréquences MF pour le service de radiodiffusion</w:t>
      </w:r>
      <w:r w:rsidRPr="00A910E2">
        <w:rPr>
          <w:rFonts w:eastAsia="Arial Unicode MS"/>
        </w:rPr>
        <w:t>.</w:t>
      </w:r>
    </w:p>
    <w:p w14:paraId="3B921B7C" w14:textId="77777777" w:rsidR="002F315F" w:rsidRPr="00A910E2" w:rsidRDefault="002F315F" w:rsidP="009D7A5E">
      <w:pPr>
        <w:pStyle w:val="Heading5"/>
        <w:rPr>
          <w:rFonts w:eastAsia="Arial Unicode MS"/>
        </w:rPr>
      </w:pPr>
      <w:r w:rsidRPr="00A910E2">
        <w:rPr>
          <w:rFonts w:eastAsia="Arial Unicode MS"/>
        </w:rPr>
        <w:t>3.2.2.2.8</w:t>
      </w:r>
      <w:r w:rsidRPr="00A910E2">
        <w:rPr>
          <w:rFonts w:eastAsia="Arial Unicode MS"/>
        </w:rPr>
        <w:tab/>
        <w:t>Ordre du jour de la CMR-27 et ordre du jour préliminaire de la CMR-31</w:t>
      </w:r>
    </w:p>
    <w:p w14:paraId="6F3540FE" w14:textId="3A24EC48" w:rsidR="002F315F" w:rsidRPr="00A910E2" w:rsidRDefault="002F315F" w:rsidP="009D7A5E">
      <w:pPr>
        <w:spacing w:after="120"/>
        <w:rPr>
          <w:rFonts w:eastAsia="Arial Unicode MS"/>
          <w:szCs w:val="24"/>
        </w:rPr>
      </w:pPr>
      <w:r w:rsidRPr="00A910E2">
        <w:rPr>
          <w:rFonts w:eastAsia="Arial Unicode MS"/>
          <w:szCs w:val="24"/>
        </w:rPr>
        <w:t xml:space="preserve">La CMR-23 a adopté de nouvelles Résolutions contenant l'ordre du jour de la CMR-27 et l'ordre du jour préliminaire de la CMR-31, ainsi que des Résolutions nouvelles ou révisées associées aux points de l'ordre du jour. L'ordre du jour de la CMR-27 contient 19 points spécifiques de l'ordre du jour </w:t>
      </w:r>
      <w:r w:rsidR="003516EC" w:rsidRPr="00A910E2">
        <w:rPr>
          <w:rFonts w:eastAsia="Arial Unicode MS"/>
          <w:szCs w:val="24"/>
        </w:rPr>
        <w:t>visant à tenir compte de</w:t>
      </w:r>
      <w:r w:rsidRPr="00A910E2">
        <w:rPr>
          <w:rFonts w:eastAsia="Arial Unicode MS"/>
          <w:szCs w:val="24"/>
        </w:rPr>
        <w:t xml:space="preserve"> l'évolution </w:t>
      </w:r>
      <w:r w:rsidR="003516EC" w:rsidRPr="00A910E2">
        <w:rPr>
          <w:rFonts w:eastAsia="Arial Unicode MS"/>
          <w:szCs w:val="24"/>
        </w:rPr>
        <w:t xml:space="preserve">des </w:t>
      </w:r>
      <w:r w:rsidRPr="00A910E2">
        <w:rPr>
          <w:rFonts w:eastAsia="Arial Unicode MS"/>
          <w:szCs w:val="24"/>
        </w:rPr>
        <w:t>technologi</w:t>
      </w:r>
      <w:r w:rsidR="003516EC" w:rsidRPr="00A910E2">
        <w:rPr>
          <w:rFonts w:eastAsia="Arial Unicode MS"/>
          <w:szCs w:val="24"/>
        </w:rPr>
        <w:t>es émergentes</w:t>
      </w:r>
      <w:r w:rsidRPr="00A910E2">
        <w:rPr>
          <w:rFonts w:eastAsia="Arial Unicode MS"/>
          <w:szCs w:val="24"/>
        </w:rPr>
        <w:t xml:space="preserve"> et </w:t>
      </w:r>
      <w:r w:rsidR="003516EC" w:rsidRPr="00A910E2">
        <w:rPr>
          <w:rFonts w:eastAsia="Arial Unicode MS"/>
          <w:szCs w:val="24"/>
        </w:rPr>
        <w:t>d</w:t>
      </w:r>
      <w:r w:rsidRPr="00A910E2">
        <w:rPr>
          <w:rFonts w:eastAsia="Arial Unicode MS"/>
          <w:szCs w:val="24"/>
        </w:rPr>
        <w:t>es nouveaux besoins de spectre des utilisateurs des services de Terre, des services aéronautiques, du service de radiolocalisation, des services par satellite et des services scientifiques</w:t>
      </w:r>
      <w:r w:rsidR="003516EC" w:rsidRPr="00A910E2">
        <w:rPr>
          <w:rFonts w:eastAsia="Arial Unicode MS"/>
          <w:szCs w:val="24"/>
        </w:rPr>
        <w:t>, ainsi qu'à traiter des questions d'ordre réglementaires</w:t>
      </w:r>
      <w:r w:rsidRPr="00A910E2">
        <w:rPr>
          <w:rFonts w:eastAsia="Arial Unicode MS"/>
          <w:szCs w:val="24"/>
        </w:rPr>
        <w:t>. L'ordre du jour de la CMR-27 comporte également les points permanents qui figurent habituellement à l'ordre du jour</w:t>
      </w:r>
      <w:r w:rsidR="003516EC" w:rsidRPr="00A910E2">
        <w:rPr>
          <w:rFonts w:eastAsia="Arial Unicode MS"/>
          <w:szCs w:val="24"/>
        </w:rPr>
        <w:t xml:space="preserve"> et la conférence</w:t>
      </w:r>
      <w:r w:rsidRPr="00A910E2">
        <w:rPr>
          <w:rFonts w:eastAsia="Arial Unicode MS"/>
          <w:szCs w:val="24"/>
        </w:rPr>
        <w:t xml:space="preserve"> examinera plus avant l'ordre du jour préliminaire de la CMR-31. L'ordre du jour de la CMR-27 sera présenté au Conseil à sa session de 2024 dans un document distinct.</w:t>
      </w:r>
    </w:p>
    <w:p w14:paraId="690B49CE" w14:textId="77777777" w:rsidR="002F315F" w:rsidRPr="00A910E2" w:rsidRDefault="002F315F" w:rsidP="009D7A5E">
      <w:pPr>
        <w:pStyle w:val="Heading3"/>
        <w:rPr>
          <w:i/>
          <w:iCs/>
        </w:rPr>
      </w:pPr>
      <w:r w:rsidRPr="00A910E2">
        <w:t>3.2.3</w:t>
      </w:r>
      <w:r w:rsidRPr="00A910E2">
        <w:tab/>
        <w:t>Incidences financières des décisions de la CMR-23</w:t>
      </w:r>
    </w:p>
    <w:p w14:paraId="711B55A6" w14:textId="5A157D2D" w:rsidR="002F315F" w:rsidRPr="00A910E2" w:rsidRDefault="002F315F" w:rsidP="009D7A5E">
      <w:r w:rsidRPr="00A910E2">
        <w:t>La CMR-23 a identifié de nouvelles activités ou études à mener, ainsi que des améliorations à apporter, afin de mettre en œuvre les décisions de la Conférence. Les coûts estimés pour la réalisation de ces nouveaux travaux sont de l'ordre de 12,6 millions CHF et correspondent à la fois aux coûts ponctuels et aux coûts récurrents pour la période 2024-2027. La répartition des coûts telle qu'elle est estimée est reproduite dans les Tableaux 3.2.3-1 à 3.2.3-4, qui figurent dans le Document</w:t>
      </w:r>
      <w:r w:rsidR="004B1A12" w:rsidRPr="00A910E2">
        <w:t> </w:t>
      </w:r>
      <w:hyperlink r:id="rId43" w:history="1">
        <w:r w:rsidR="00054B17" w:rsidRPr="00A910E2">
          <w:rPr>
            <w:rStyle w:val="Hyperlink"/>
          </w:rPr>
          <w:t>C-460(Rév 1)</w:t>
        </w:r>
      </w:hyperlink>
      <w:r w:rsidRPr="00A910E2">
        <w:t xml:space="preserve"> de la CMR-23.</w:t>
      </w:r>
    </w:p>
    <w:p w14:paraId="40B1BE23" w14:textId="3F88D1A8" w:rsidR="002F315F" w:rsidRPr="00A910E2" w:rsidRDefault="002F315F" w:rsidP="009D7A5E">
      <w:r w:rsidRPr="00A910E2">
        <w:t>La CMR-23 a prié l</w:t>
      </w:r>
      <w:r w:rsidR="00F93282" w:rsidRPr="00A910E2">
        <w:t>a</w:t>
      </w:r>
      <w:r w:rsidRPr="00A910E2">
        <w:t xml:space="preserve"> Secrétaire général</w:t>
      </w:r>
      <w:r w:rsidR="00F93282" w:rsidRPr="00A910E2">
        <w:t>e</w:t>
      </w:r>
      <w:r w:rsidRPr="00A910E2">
        <w:t xml:space="preserve"> de porter cette question à l'attention de la session de</w:t>
      </w:r>
      <w:r w:rsidR="004B1A12" w:rsidRPr="00A910E2">
        <w:t> </w:t>
      </w:r>
      <w:r w:rsidRPr="00A910E2">
        <w:t>2024 du Conseil, afin d'examiner la méthode la plus efficace pour financer ces activités, celles-ci devant être menées à bien avant la prochaine Conférence mondiale des radiocommunications, qui se tiendra en</w:t>
      </w:r>
      <w:r w:rsidR="004B1A12" w:rsidRPr="00A910E2">
        <w:t xml:space="preserve"> </w:t>
      </w:r>
      <w:r w:rsidRPr="00A910E2">
        <w:t>2027.</w:t>
      </w:r>
    </w:p>
    <w:p w14:paraId="7DD80FDD" w14:textId="4D6AEDB8" w:rsidR="002F315F" w:rsidRPr="00A910E2" w:rsidRDefault="002F315F" w:rsidP="009D7A5E">
      <w:r w:rsidRPr="00A910E2">
        <w:t>Lors de sa réunion tenue en janvier 2024, le Groupe de travail du Conseil sur les ressources financières et les ressources humaines (GTC-FHR) a examiné cette question et a conclu que la demande serait présentée au Conseil à sa session de 2024. De plus amples renseignements sont fournis dans le Document 12 du Groupe GTC-FHR FHR (</w:t>
      </w:r>
      <w:hyperlink r:id="rId44" w:history="1">
        <w:r w:rsidR="007A583E" w:rsidRPr="00A910E2">
          <w:rPr>
            <w:rStyle w:val="Hyperlink"/>
          </w:rPr>
          <w:t>https://www.itu.int/md/S24</w:t>
        </w:r>
        <w:r w:rsidR="007A583E" w:rsidRPr="00A910E2">
          <w:rPr>
            <w:rStyle w:val="Hyperlink"/>
          </w:rPr>
          <w:noBreakHyphen/>
          <w:t>CWGFHR17-C-0012/en</w:t>
        </w:r>
      </w:hyperlink>
      <w:r w:rsidRPr="00A910E2">
        <w:t>).</w:t>
      </w:r>
    </w:p>
    <w:p w14:paraId="571C4DF2" w14:textId="77777777" w:rsidR="002F315F" w:rsidRPr="00A910E2" w:rsidRDefault="002F315F" w:rsidP="00C501FF">
      <w:pPr>
        <w:pStyle w:val="TableNotitle"/>
      </w:pPr>
      <w:r w:rsidRPr="00A910E2">
        <w:t>Tableau 3.2.3-1 – Coûts globaux estimés</w:t>
      </w:r>
    </w:p>
    <w:p w14:paraId="73E71C5F" w14:textId="77777777" w:rsidR="002F315F" w:rsidRPr="00A910E2" w:rsidRDefault="002F315F" w:rsidP="00C501FF">
      <w:pPr>
        <w:pStyle w:val="Figure"/>
      </w:pPr>
      <w:r w:rsidRPr="00A910E2">
        <w:drawing>
          <wp:inline distT="0" distB="0" distL="0" distR="0" wp14:anchorId="67890E9D" wp14:editId="100280FE">
            <wp:extent cx="6120765" cy="1182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1182370"/>
                    </a:xfrm>
                    <a:prstGeom prst="rect">
                      <a:avLst/>
                    </a:prstGeom>
                    <a:noFill/>
                    <a:ln>
                      <a:noFill/>
                    </a:ln>
                  </pic:spPr>
                </pic:pic>
              </a:graphicData>
            </a:graphic>
          </wp:inline>
        </w:drawing>
      </w:r>
    </w:p>
    <w:p w14:paraId="67E8D472" w14:textId="77777777" w:rsidR="002F315F" w:rsidRPr="00A910E2" w:rsidRDefault="002F315F" w:rsidP="00C501FF">
      <w:pPr>
        <w:pStyle w:val="TableNotitle"/>
      </w:pPr>
      <w:r w:rsidRPr="00A910E2">
        <w:t>Tableau 3.2.3-2 – Coûts estimés pour les commissions d'études</w:t>
      </w:r>
    </w:p>
    <w:p w14:paraId="1071ABDF" w14:textId="77777777" w:rsidR="002F315F" w:rsidRPr="00A910E2" w:rsidRDefault="002F315F" w:rsidP="009D7A5E">
      <w:pPr>
        <w:pStyle w:val="Figure"/>
      </w:pPr>
      <w:r w:rsidRPr="00A910E2">
        <w:drawing>
          <wp:inline distT="0" distB="0" distL="0" distR="0" wp14:anchorId="4B1B4F96" wp14:editId="71C919FC">
            <wp:extent cx="6120765" cy="2295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2295525"/>
                    </a:xfrm>
                    <a:prstGeom prst="rect">
                      <a:avLst/>
                    </a:prstGeom>
                    <a:noFill/>
                    <a:ln>
                      <a:noFill/>
                    </a:ln>
                  </pic:spPr>
                </pic:pic>
              </a:graphicData>
            </a:graphic>
          </wp:inline>
        </w:drawing>
      </w:r>
    </w:p>
    <w:p w14:paraId="33F7FECC" w14:textId="77777777" w:rsidR="002F315F" w:rsidRPr="00A910E2" w:rsidRDefault="002F315F" w:rsidP="009D7A5E">
      <w:pPr>
        <w:pStyle w:val="TableNotitle"/>
      </w:pPr>
      <w:r w:rsidRPr="00A910E2">
        <w:t>Tableau 3.2.3-3 – Coûts estimés pour les services de Terre</w:t>
      </w:r>
    </w:p>
    <w:p w14:paraId="4F04CC41" w14:textId="77777777" w:rsidR="002F315F" w:rsidRPr="00A910E2" w:rsidRDefault="002F315F" w:rsidP="009D7A5E">
      <w:pPr>
        <w:tabs>
          <w:tab w:val="clear" w:pos="794"/>
          <w:tab w:val="clear" w:pos="1191"/>
          <w:tab w:val="clear" w:pos="1588"/>
          <w:tab w:val="clear" w:pos="1985"/>
        </w:tabs>
        <w:overflowPunct/>
        <w:autoSpaceDE/>
        <w:autoSpaceDN/>
        <w:adjustRightInd/>
        <w:spacing w:before="0"/>
        <w:jc w:val="center"/>
        <w:textAlignment w:val="auto"/>
      </w:pPr>
      <w:r w:rsidRPr="00A910E2">
        <w:drawing>
          <wp:inline distT="0" distB="0" distL="0" distR="0" wp14:anchorId="4AF6D959" wp14:editId="7AFD0E75">
            <wp:extent cx="6120765" cy="1788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1788795"/>
                    </a:xfrm>
                    <a:prstGeom prst="rect">
                      <a:avLst/>
                    </a:prstGeom>
                    <a:noFill/>
                    <a:ln>
                      <a:noFill/>
                    </a:ln>
                  </pic:spPr>
                </pic:pic>
              </a:graphicData>
            </a:graphic>
          </wp:inline>
        </w:drawing>
      </w:r>
    </w:p>
    <w:p w14:paraId="54AEAF59" w14:textId="77777777" w:rsidR="002F315F" w:rsidRPr="00A910E2" w:rsidRDefault="002F315F" w:rsidP="009D7A5E">
      <w:pPr>
        <w:pStyle w:val="TableNotitle"/>
      </w:pPr>
      <w:r w:rsidRPr="00A910E2">
        <w:t>Tableau 3.2.3-4 – Coûts estimés pour les services spatiaux</w:t>
      </w:r>
    </w:p>
    <w:p w14:paraId="5D9DEECF" w14:textId="77777777" w:rsidR="002F315F" w:rsidRPr="00A910E2" w:rsidRDefault="002F315F" w:rsidP="009D7A5E">
      <w:pPr>
        <w:pStyle w:val="Figure"/>
      </w:pPr>
      <w:r w:rsidRPr="00A910E2">
        <w:drawing>
          <wp:inline distT="0" distB="0" distL="0" distR="0" wp14:anchorId="5920AA9E" wp14:editId="553E6303">
            <wp:extent cx="6120765" cy="5767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5767705"/>
                    </a:xfrm>
                    <a:prstGeom prst="rect">
                      <a:avLst/>
                    </a:prstGeom>
                    <a:noFill/>
                    <a:ln>
                      <a:noFill/>
                    </a:ln>
                  </pic:spPr>
                </pic:pic>
              </a:graphicData>
            </a:graphic>
          </wp:inline>
        </w:drawing>
      </w:r>
    </w:p>
    <w:p w14:paraId="29BFA771" w14:textId="77777777" w:rsidR="002F315F" w:rsidRPr="00A910E2" w:rsidRDefault="002F315F" w:rsidP="009D7A5E">
      <w:pPr>
        <w:pStyle w:val="Heading3"/>
      </w:pPr>
      <w:r w:rsidRPr="00A910E2">
        <w:t>3.2.4</w:t>
      </w:r>
      <w:r w:rsidRPr="00A910E2">
        <w:tab/>
        <w:t>Élaboration de logiciels en application des décisions de la CMR-23</w:t>
      </w:r>
    </w:p>
    <w:p w14:paraId="3887728B" w14:textId="77777777" w:rsidR="002F315F" w:rsidRPr="00A910E2" w:rsidRDefault="002F315F" w:rsidP="009D7A5E">
      <w:r w:rsidRPr="00A910E2">
        <w:t>Le BR poursuit ses activités liées à la conception et au développement de logiciels en application des décisions de la CMR-23.</w:t>
      </w:r>
    </w:p>
    <w:p w14:paraId="3F4205D4" w14:textId="7A2D1805" w:rsidR="002F315F" w:rsidRPr="00A910E2" w:rsidRDefault="002F315F" w:rsidP="009D7A5E">
      <w:r w:rsidRPr="00A910E2">
        <w:t>Au moment de l'élaboration du présent rapport, le Bureau était toujours en train d'évaluer l'ampleur du travail requis en matière de développement de logiciels afin d'appliquer les décisions de la</w:t>
      </w:r>
      <w:r w:rsidR="004B1A12" w:rsidRPr="00A910E2">
        <w:t> </w:t>
      </w:r>
      <w:r w:rsidRPr="00A910E2">
        <w:t>CMR</w:t>
      </w:r>
      <w:r w:rsidR="004B1A12" w:rsidRPr="00A910E2">
        <w:noBreakHyphen/>
      </w:r>
      <w:r w:rsidRPr="00A910E2">
        <w:t>23. Pour cette raison, il se pourrait que des besoins supplémentaires soient recensés en</w:t>
      </w:r>
      <w:r w:rsidR="00F93282" w:rsidRPr="00A910E2">
        <w:t> </w:t>
      </w:r>
      <w:r w:rsidRPr="00A910E2">
        <w:t>2024.</w:t>
      </w:r>
      <w:r w:rsidR="004B1A12" w:rsidRPr="00A910E2">
        <w:t xml:space="preserve"> </w:t>
      </w:r>
      <w:r w:rsidRPr="00A910E2">
        <w:t>On trouvera ci-dessous un résumé des principales tâches identifiées à ce jour.</w:t>
      </w:r>
    </w:p>
    <w:p w14:paraId="62E66CDB" w14:textId="2E33579F" w:rsidR="002F315F" w:rsidRPr="00A910E2" w:rsidRDefault="002F315F" w:rsidP="009D7A5E">
      <w:pPr>
        <w:pStyle w:val="Heading4"/>
        <w:rPr>
          <w:rFonts w:eastAsia="Verdana"/>
        </w:rPr>
      </w:pPr>
      <w:r w:rsidRPr="00A910E2">
        <w:rPr>
          <w:rFonts w:eastAsia="Verdana"/>
        </w:rPr>
        <w:t>3.2.4.1</w:t>
      </w:r>
      <w:r w:rsidR="00CC74A9" w:rsidRPr="00A910E2">
        <w:rPr>
          <w:rFonts w:eastAsia="Verdana"/>
        </w:rPr>
        <w:tab/>
      </w:r>
      <w:r w:rsidRPr="00A910E2">
        <w:rPr>
          <w:rFonts w:eastAsia="Verdana"/>
        </w:rPr>
        <w:t>Mise en œuvre des décisions de la CMR-23 se rapportant aux services de Terre:</w:t>
      </w:r>
    </w:p>
    <w:p w14:paraId="3CEAFB67" w14:textId="2CCEC391" w:rsidR="002F315F" w:rsidRPr="00A910E2" w:rsidRDefault="004B1A12" w:rsidP="009D7A5E">
      <w:pPr>
        <w:pStyle w:val="enumlev1"/>
        <w:keepLines/>
        <w:rPr>
          <w:rFonts w:eastAsia="Verdana"/>
        </w:rPr>
      </w:pPr>
      <w:r w:rsidRPr="00A910E2">
        <w:rPr>
          <w:rFonts w:eastAsia="Verdana"/>
        </w:rPr>
        <w:t>•</w:t>
      </w:r>
      <w:r w:rsidRPr="00A910E2">
        <w:rPr>
          <w:rFonts w:eastAsia="Verdana"/>
        </w:rPr>
        <w:tab/>
      </w:r>
      <w:r w:rsidR="002F315F" w:rsidRPr="00A910E2">
        <w:rPr>
          <w:rFonts w:eastAsia="Verdana"/>
        </w:rPr>
        <w:t>Examen et mise à jour des logiciels utilisés pour le traitement et la publication des notifications relatives aux services de Terre, pour une utilisation tant interne (</w:t>
      </w:r>
      <w:r w:rsidR="002F315F" w:rsidRPr="00A910E2">
        <w:rPr>
          <w:rFonts w:eastAsia="Verdana"/>
          <w:i/>
          <w:iCs/>
        </w:rPr>
        <w:t>TerRaSys</w:t>
      </w:r>
      <w:r w:rsidR="002F315F" w:rsidRPr="00A910E2">
        <w:rPr>
          <w:rFonts w:eastAsia="Verdana"/>
        </w:rPr>
        <w:t>) qu'externe (BR IFIC (services de Terre)), afin d'appliquer les décisions de la CMR-23 et les Règles de procédure afférentes. Il s'agit notamment d'apporter des changements dans les bases de données des services de Terre, les logiciels de validation et d'examen, et les tableaux de référence</w:t>
      </w:r>
      <w:r w:rsidR="002F315F" w:rsidRPr="00A910E2">
        <w:rPr>
          <w:rFonts w:eastAsia="Verdana"/>
          <w:lang w:eastAsia="es-CR"/>
        </w:rPr>
        <w:t>.</w:t>
      </w:r>
    </w:p>
    <w:p w14:paraId="1DBB8333" w14:textId="46BDD57B" w:rsidR="002F315F" w:rsidRPr="00A910E2" w:rsidRDefault="0031297D" w:rsidP="009D7A5E">
      <w:pPr>
        <w:pStyle w:val="enumlev1"/>
      </w:pPr>
      <w:r w:rsidRPr="00A910E2">
        <w:t>•</w:t>
      </w:r>
      <w:r w:rsidRPr="00A910E2">
        <w:tab/>
      </w:r>
      <w:r w:rsidR="002F315F" w:rsidRPr="00A910E2">
        <w:t xml:space="preserve">Élaboration de modules logiciels pour le traitement des notifications de stations HIBS (outils de validation, d'examen et de publication). Cette tâche comprend aussi l'élaboration de modules de calcul permettant de vérifier le respect des conditions techniques qui sont précisées dans les Résolutions </w:t>
      </w:r>
      <w:r w:rsidR="002F315F" w:rsidRPr="00A910E2">
        <w:rPr>
          <w:b/>
          <w:bCs/>
        </w:rPr>
        <w:t>213 [COM4/3] (CMR-23)</w:t>
      </w:r>
      <w:r w:rsidR="002F315F" w:rsidRPr="00A910E2">
        <w:t>,</w:t>
      </w:r>
      <w:r w:rsidR="002F315F" w:rsidRPr="00A910E2">
        <w:rPr>
          <w:b/>
          <w:bCs/>
        </w:rPr>
        <w:t xml:space="preserve"> 221 (Rév.CMR-23) </w:t>
      </w:r>
      <w:r w:rsidR="002F315F" w:rsidRPr="00A910E2">
        <w:t xml:space="preserve">et </w:t>
      </w:r>
      <w:r w:rsidR="002F315F" w:rsidRPr="00A910E2">
        <w:rPr>
          <w:b/>
          <w:bCs/>
        </w:rPr>
        <w:t>218 [COM4/4] (CMR-23)</w:t>
      </w:r>
      <w:r w:rsidR="002F315F" w:rsidRPr="00A910E2">
        <w:t>, les changements dans la base de données et la structure des notifications.</w:t>
      </w:r>
    </w:p>
    <w:p w14:paraId="3DA4FAC4" w14:textId="7D61C820" w:rsidR="002F315F" w:rsidRPr="00A910E2" w:rsidRDefault="002F315F" w:rsidP="009D7A5E">
      <w:pPr>
        <w:pStyle w:val="Heading4"/>
        <w:rPr>
          <w:rFonts w:eastAsia="Verdana"/>
        </w:rPr>
      </w:pPr>
      <w:r w:rsidRPr="00A910E2">
        <w:rPr>
          <w:rFonts w:eastAsia="Verdana"/>
        </w:rPr>
        <w:t>3.2.4.2</w:t>
      </w:r>
      <w:r w:rsidR="00CC74A9" w:rsidRPr="00A910E2">
        <w:rPr>
          <w:rFonts w:eastAsia="Verdana"/>
        </w:rPr>
        <w:tab/>
      </w:r>
      <w:r w:rsidRPr="00A910E2">
        <w:rPr>
          <w:rFonts w:eastAsia="Verdana"/>
        </w:rPr>
        <w:t>Mise en œuvre des décisions de la CMR-23 se rapportant aux services spatiaux:</w:t>
      </w:r>
    </w:p>
    <w:p w14:paraId="7D3516BA" w14:textId="7D727142" w:rsidR="002F315F" w:rsidRPr="00A910E2" w:rsidRDefault="0031297D" w:rsidP="009D7A5E">
      <w:pPr>
        <w:pStyle w:val="enumlev1"/>
      </w:pPr>
      <w:r w:rsidRPr="00A910E2">
        <w:t>•</w:t>
      </w:r>
      <w:r w:rsidRPr="00A910E2">
        <w:tab/>
      </w:r>
      <w:r w:rsidR="002F315F" w:rsidRPr="00A910E2">
        <w:t>Examen et mise à jour des logiciels utilisés pour le traitement et la publication des soumissions de réseaux à satellite, pour une utilisation tant interne qu'externe (BR</w:t>
      </w:r>
      <w:r w:rsidRPr="00A910E2">
        <w:t> </w:t>
      </w:r>
      <w:r w:rsidR="002F315F" w:rsidRPr="00A910E2">
        <w:t>IFIC (services spatiaux)). Il s'agit notamment d'apporter des changements dans les bases de données, les modules logiciels de validation et d'examen, et les tableaux de référence, afin d'appliquer les décisions de la CMR-23 et les Règles de procédure afférentes.</w:t>
      </w:r>
    </w:p>
    <w:p w14:paraId="78B5E27D" w14:textId="7FDC7677" w:rsidR="002F315F" w:rsidRPr="00A910E2" w:rsidRDefault="0031297D" w:rsidP="009D7A5E">
      <w:pPr>
        <w:pStyle w:val="enumlev1"/>
      </w:pPr>
      <w:r w:rsidRPr="00A910E2">
        <w:t>•</w:t>
      </w:r>
      <w:r w:rsidRPr="00A910E2">
        <w:tab/>
      </w:r>
      <w:r w:rsidR="002F315F" w:rsidRPr="00A910E2">
        <w:t>Étant donné que certaines modifications adoptées à la CMR-23 remplissaient les conditions énoncées dans la Règle de procédure relative à la date effective d'entrée en vigueur des décisions de la CMR, le système de soumission électronique a été modifié pour accepter de nouveaux éléments de l'Appendice 4 découlant de décisions adoptées au titre des points</w:t>
      </w:r>
      <w:r w:rsidRPr="00A910E2">
        <w:t> </w:t>
      </w:r>
      <w:r w:rsidR="002F315F" w:rsidRPr="00A910E2">
        <w:t>1.7, 1.12, 1.13, 1.14, 1.17 et 1.19 de l'ordre du jour. La version actualisée du système de soumission électronique a été publiée juste avant minuit le 15 décembre 2023 (heure de Genève). La totalité des changements apportés en vue d'appliquer les décisions de la</w:t>
      </w:r>
      <w:r w:rsidRPr="00A910E2">
        <w:t> </w:t>
      </w:r>
      <w:r w:rsidR="002F315F" w:rsidRPr="00A910E2">
        <w:t>CMR</w:t>
      </w:r>
      <w:r w:rsidRPr="00A910E2">
        <w:noBreakHyphen/>
      </w:r>
      <w:r w:rsidR="002F315F" w:rsidRPr="00A910E2">
        <w:t>23 seront disponibles en janvier 2025 dans la version 10 des logiciels du BR.</w:t>
      </w:r>
    </w:p>
    <w:p w14:paraId="74BEDE9A" w14:textId="4C8ED53C" w:rsidR="002F315F" w:rsidRPr="00A910E2" w:rsidRDefault="0031297D" w:rsidP="009D7A5E">
      <w:pPr>
        <w:pStyle w:val="enumlev1"/>
      </w:pPr>
      <w:r w:rsidRPr="00A910E2">
        <w:t>•</w:t>
      </w:r>
      <w:r w:rsidRPr="00A910E2">
        <w:tab/>
      </w:r>
      <w:r w:rsidR="002F315F" w:rsidRPr="00A910E2">
        <w:t>Voici une liste non exhaustive des modifications apportées aux logiciels pour les services spatiaux:</w:t>
      </w:r>
    </w:p>
    <w:p w14:paraId="596EAA43" w14:textId="285F2E2B" w:rsidR="002F315F"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 xml:space="preserve">406 [COM4/2] </w:t>
      </w:r>
      <w:r w:rsidR="002F315F" w:rsidRPr="00A910E2">
        <w:rPr>
          <w:b/>
          <w:bCs/>
        </w:rPr>
        <w:t>(CMR-23)</w:t>
      </w:r>
      <w:r w:rsidR="002F315F" w:rsidRPr="00A910E2">
        <w:t xml:space="preserve"> concernant le SMA(R) dans la bande de fréquences 117,975-137 MHz</w:t>
      </w:r>
      <w:r w:rsidRPr="00A910E2">
        <w:t>.</w:t>
      </w:r>
    </w:p>
    <w:p w14:paraId="0586B0F9" w14:textId="14114A4A" w:rsidR="002F315F"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 xml:space="preserve">678 [COM5/7] </w:t>
      </w:r>
      <w:r w:rsidR="002F315F" w:rsidRPr="00A910E2">
        <w:rPr>
          <w:b/>
          <w:bCs/>
        </w:rPr>
        <w:t>(CMR-23)</w:t>
      </w:r>
      <w:r w:rsidR="002F315F" w:rsidRPr="00A910E2">
        <w:t xml:space="preserve"> concernant le service de recherche spatiale dans la bande de fréquences 14,8-15,35 GHz</w:t>
      </w:r>
      <w:r w:rsidRPr="00A910E2">
        <w:t>.</w:t>
      </w:r>
    </w:p>
    <w:p w14:paraId="1B3FF1C3" w14:textId="36D60CC0" w:rsidR="002F315F"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 xml:space="preserve">121 [COM5/2] </w:t>
      </w:r>
      <w:r w:rsidR="002F315F" w:rsidRPr="00A910E2">
        <w:rPr>
          <w:b/>
          <w:bCs/>
        </w:rPr>
        <w:t>(CMR-23)</w:t>
      </w:r>
      <w:r w:rsidR="002F315F" w:rsidRPr="00A910E2">
        <w:t xml:space="preserve"> concernant les stations ESIM relevant de l'Appendice </w:t>
      </w:r>
      <w:r w:rsidR="002F315F" w:rsidRPr="00A910E2">
        <w:rPr>
          <w:b/>
          <w:bCs/>
        </w:rPr>
        <w:t>30B</w:t>
      </w:r>
      <w:r w:rsidRPr="00A910E2">
        <w:t>.</w:t>
      </w:r>
    </w:p>
    <w:p w14:paraId="7F2A8D3E" w14:textId="2C52495C" w:rsidR="002F315F"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 xml:space="preserve">123 [COM5/3] </w:t>
      </w:r>
      <w:r w:rsidR="002F315F" w:rsidRPr="00A910E2">
        <w:rPr>
          <w:b/>
          <w:bCs/>
        </w:rPr>
        <w:t>(CMR-23)</w:t>
      </w:r>
      <w:r w:rsidR="002F315F" w:rsidRPr="00A910E2">
        <w:t xml:space="preserve"> concernant les stations ESIM non OSG</w:t>
      </w:r>
      <w:r w:rsidRPr="00A910E2">
        <w:t>.</w:t>
      </w:r>
    </w:p>
    <w:p w14:paraId="1E7987B3" w14:textId="6BE39F18" w:rsidR="002F315F"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 xml:space="preserve">679 [COM5/8] </w:t>
      </w:r>
      <w:r w:rsidR="002F315F" w:rsidRPr="00A910E2">
        <w:rPr>
          <w:b/>
          <w:bCs/>
        </w:rPr>
        <w:t>(CMR-23)</w:t>
      </w:r>
      <w:r w:rsidR="002F315F" w:rsidRPr="00A910E2">
        <w:t xml:space="preserve"> concernant les liaisons inter-satellites (protection des services spatiaux et de Terre)</w:t>
      </w:r>
      <w:r w:rsidRPr="00A910E2">
        <w:t>.</w:t>
      </w:r>
    </w:p>
    <w:p w14:paraId="4941C75E" w14:textId="7B8A3CDB" w:rsidR="0031297D"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 xml:space="preserve">8 [COM5/4] </w:t>
      </w:r>
      <w:r w:rsidR="002F315F" w:rsidRPr="00A910E2">
        <w:rPr>
          <w:b/>
          <w:bCs/>
        </w:rPr>
        <w:t>(CMR-23)</w:t>
      </w:r>
      <w:r w:rsidR="002F315F" w:rsidRPr="00A910E2">
        <w:t xml:space="preserve"> concernant les tolérances pour certaines caractéristiques orbitales des stations spatiales non OSG</w:t>
      </w:r>
      <w:r w:rsidRPr="00A910E2">
        <w:t>.</w:t>
      </w:r>
    </w:p>
    <w:p w14:paraId="37D7381E" w14:textId="4405BFDE" w:rsidR="002F315F" w:rsidRPr="00A910E2" w:rsidRDefault="0031297D" w:rsidP="009D7A5E">
      <w:pPr>
        <w:pStyle w:val="enumlev2"/>
      </w:pPr>
      <w:r w:rsidRPr="00A910E2">
        <w:t>–</w:t>
      </w:r>
      <w:r w:rsidRPr="00A910E2">
        <w:tab/>
      </w:r>
      <w:r w:rsidR="002F315F" w:rsidRPr="00A910E2">
        <w:t>Modifications concernant la protection des réseaux OSG du SMS dans les bandes des</w:t>
      </w:r>
      <w:r w:rsidRPr="00A910E2">
        <w:t> </w:t>
      </w:r>
      <w:r w:rsidR="002F315F" w:rsidRPr="00A910E2">
        <w:t>7/8 GHz et des 20/30 GHz</w:t>
      </w:r>
      <w:r w:rsidRPr="00A910E2">
        <w:t>.</w:t>
      </w:r>
    </w:p>
    <w:p w14:paraId="5690B8FB" w14:textId="7CD3314D" w:rsidR="002F315F" w:rsidRPr="00A910E2" w:rsidRDefault="0031297D" w:rsidP="009D7A5E">
      <w:pPr>
        <w:pStyle w:val="enumlev2"/>
      </w:pPr>
      <w:r w:rsidRPr="00A910E2">
        <w:t>–</w:t>
      </w:r>
      <w:r w:rsidRPr="00A910E2">
        <w:tab/>
      </w:r>
      <w:r w:rsidR="002F315F" w:rsidRPr="00A910E2">
        <w:t>Modifications concernant la protection du SETS (passive) dans la bande des</w:t>
      </w:r>
      <w:r w:rsidRPr="00A910E2">
        <w:t> </w:t>
      </w:r>
      <w:r w:rsidR="002F315F" w:rsidRPr="00A910E2">
        <w:t>36</w:t>
      </w:r>
      <w:r w:rsidRPr="00A910E2">
        <w:noBreakHyphen/>
      </w:r>
      <w:r w:rsidR="002F315F" w:rsidRPr="00A910E2">
        <w:t>37</w:t>
      </w:r>
      <w:r w:rsidRPr="00A910E2">
        <w:t> </w:t>
      </w:r>
      <w:r w:rsidR="002F315F" w:rsidRPr="00A910E2">
        <w:t>GHz</w:t>
      </w:r>
      <w:r w:rsidRPr="00A910E2">
        <w:t>.</w:t>
      </w:r>
    </w:p>
    <w:p w14:paraId="0915461C" w14:textId="3ECBFBA4" w:rsidR="002F315F" w:rsidRPr="00A910E2" w:rsidRDefault="0031297D" w:rsidP="009D7A5E">
      <w:pPr>
        <w:pStyle w:val="enumlev2"/>
      </w:pPr>
      <w:r w:rsidRPr="00A910E2">
        <w:t>–</w:t>
      </w:r>
      <w:r w:rsidRPr="00A910E2">
        <w:tab/>
      </w:r>
      <w:r w:rsidR="002F315F" w:rsidRPr="00A910E2">
        <w:t xml:space="preserve">Modifications nécessaires à la mise en œuvre des numéros </w:t>
      </w:r>
      <w:r w:rsidR="002F315F" w:rsidRPr="00A910E2">
        <w:rPr>
          <w:b/>
          <w:bCs/>
        </w:rPr>
        <w:t>9.52.1</w:t>
      </w:r>
      <w:r w:rsidR="002F315F" w:rsidRPr="00A910E2">
        <w:t xml:space="preserve"> (brouillages inacceptables) et de l'Article </w:t>
      </w:r>
      <w:r w:rsidR="002F315F" w:rsidRPr="00A910E2">
        <w:rPr>
          <w:b/>
          <w:bCs/>
        </w:rPr>
        <w:t>21</w:t>
      </w:r>
      <w:r w:rsidR="002F315F" w:rsidRPr="00A910E2">
        <w:t xml:space="preserve"> du RR </w:t>
      </w:r>
      <w:r w:rsidR="002F315F" w:rsidRPr="00A910E2">
        <w:rPr>
          <w:b/>
          <w:bCs/>
        </w:rPr>
        <w:t>(Rév.CMR-23)</w:t>
      </w:r>
      <w:r w:rsidR="002F315F" w:rsidRPr="00A910E2">
        <w:t>, et amélioration du traitement au</w:t>
      </w:r>
      <w:r w:rsidRPr="00A910E2">
        <w:t> </w:t>
      </w:r>
      <w:r w:rsidR="002F315F" w:rsidRPr="00A910E2">
        <w:t>BR</w:t>
      </w:r>
      <w:r w:rsidRPr="00A910E2">
        <w:t>.</w:t>
      </w:r>
    </w:p>
    <w:p w14:paraId="102F5A3F" w14:textId="2DF0A4FD" w:rsidR="002F315F" w:rsidRPr="00A910E2" w:rsidRDefault="0031297D" w:rsidP="009D7A5E">
      <w:pPr>
        <w:pStyle w:val="enumlev2"/>
      </w:pPr>
      <w:r w:rsidRPr="00A910E2">
        <w:t>–</w:t>
      </w:r>
      <w:r w:rsidRPr="00A910E2">
        <w:tab/>
      </w:r>
      <w:r w:rsidR="002F315F" w:rsidRPr="00A910E2">
        <w:t>Modifications au titre de la Résolution</w:t>
      </w:r>
      <w:r w:rsidR="002F315F" w:rsidRPr="00A910E2">
        <w:rPr>
          <w:b/>
        </w:rPr>
        <w:t xml:space="preserve"> 677 [COM5/6] </w:t>
      </w:r>
      <w:r w:rsidR="002F315F" w:rsidRPr="00A910E2">
        <w:rPr>
          <w:b/>
          <w:bCs/>
        </w:rPr>
        <w:t>(CMR-23)</w:t>
      </w:r>
      <w:r w:rsidR="002F315F" w:rsidRPr="00A910E2">
        <w:t xml:space="preserve"> concernant les sondeurs radar spatioportés du SETS (active)</w:t>
      </w:r>
      <w:r w:rsidRPr="00A910E2">
        <w:t>.</w:t>
      </w:r>
    </w:p>
    <w:p w14:paraId="03A5CD9A" w14:textId="108609BF" w:rsidR="002F315F" w:rsidRPr="00A910E2" w:rsidRDefault="0031297D" w:rsidP="009D7A5E">
      <w:pPr>
        <w:pStyle w:val="enumlev2"/>
      </w:pPr>
      <w:r w:rsidRPr="00A910E2">
        <w:t>–</w:t>
      </w:r>
      <w:r w:rsidRPr="00A910E2">
        <w:tab/>
      </w:r>
      <w:r w:rsidR="002F315F" w:rsidRPr="00A910E2">
        <w:t>Modifications concernant le SFS (espace vers Terre) dans la bande de fréquences 17,3</w:t>
      </w:r>
      <w:r w:rsidRPr="00A910E2">
        <w:noBreakHyphen/>
      </w:r>
      <w:r w:rsidR="002F315F" w:rsidRPr="00A910E2">
        <w:t>17,7 GHz en Région 2</w:t>
      </w:r>
      <w:r w:rsidRPr="00A910E2">
        <w:t>.</w:t>
      </w:r>
    </w:p>
    <w:p w14:paraId="0ACD2E97" w14:textId="32819680" w:rsidR="002F315F" w:rsidRPr="00A910E2" w:rsidRDefault="0031297D" w:rsidP="009D7A5E">
      <w:pPr>
        <w:pStyle w:val="enumlev2"/>
      </w:pPr>
      <w:r w:rsidRPr="00A910E2">
        <w:t>–</w:t>
      </w:r>
      <w:r w:rsidRPr="00A910E2">
        <w:tab/>
      </w:r>
      <w:r w:rsidR="002F315F" w:rsidRPr="00A910E2">
        <w:t xml:space="preserve">Modifications au titre de la Résolution </w:t>
      </w:r>
      <w:r w:rsidR="002F315F" w:rsidRPr="00A910E2">
        <w:rPr>
          <w:b/>
        </w:rPr>
        <w:t>35 (Rév.CMR-23)</w:t>
      </w:r>
      <w:r w:rsidR="002F315F" w:rsidRPr="00A910E2">
        <w:t xml:space="preserve"> concernant la procédure à suivre après les étapes pour la mise en service des systèmes non OSG.</w:t>
      </w:r>
    </w:p>
    <w:p w14:paraId="7C811FAF" w14:textId="77777777" w:rsidR="002F315F" w:rsidRPr="00A910E2" w:rsidRDefault="002F315F" w:rsidP="009D7A5E">
      <w:pPr>
        <w:pStyle w:val="Heading3"/>
      </w:pPr>
      <w:bookmarkStart w:id="16" w:name="_Toc446060764"/>
      <w:r w:rsidRPr="00A910E2">
        <w:t>3.3</w:t>
      </w:r>
      <w:r w:rsidRPr="00A910E2">
        <w:tab/>
      </w:r>
      <w:bookmarkEnd w:id="16"/>
      <w:r w:rsidRPr="00A910E2">
        <w:t>Élaboration de logiciels en application des décisions de la CMR-19</w:t>
      </w:r>
    </w:p>
    <w:p w14:paraId="00A96BB2" w14:textId="77777777" w:rsidR="002F315F" w:rsidRPr="00A910E2" w:rsidRDefault="002F315F" w:rsidP="009D7A5E">
      <w:r w:rsidRPr="00A910E2">
        <w:t>Le BR procède actuellement aux derniers travaux de conception et de développement de logiciels en application des décisions de la CMR-19.</w:t>
      </w:r>
    </w:p>
    <w:p w14:paraId="7E954D86" w14:textId="77777777" w:rsidR="002F315F" w:rsidRPr="00A910E2" w:rsidRDefault="002F315F" w:rsidP="009D7A5E">
      <w:r w:rsidRPr="00A910E2">
        <w:t>On trouvera ci-dessous un résumé des tâches principales qui ont été achevées depuis le dernier rapport ou qui restent à achever.</w:t>
      </w:r>
    </w:p>
    <w:p w14:paraId="40CC00EC" w14:textId="77777777" w:rsidR="002F315F" w:rsidRPr="00A910E2" w:rsidRDefault="002F315F" w:rsidP="009D7A5E">
      <w:pPr>
        <w:pStyle w:val="Heading3"/>
        <w:rPr>
          <w:rFonts w:eastAsia="Verdana"/>
        </w:rPr>
      </w:pPr>
      <w:r w:rsidRPr="00A910E2">
        <w:rPr>
          <w:rFonts w:eastAsia="Verdana"/>
        </w:rPr>
        <w:t>3.3.1</w:t>
      </w:r>
      <w:r w:rsidRPr="00A910E2">
        <w:rPr>
          <w:rFonts w:eastAsia="Verdana"/>
        </w:rPr>
        <w:tab/>
        <w:t>Mise en œuvre des décisions de la CMR-19 se rapportant aux services de Terre:</w:t>
      </w:r>
    </w:p>
    <w:p w14:paraId="6D4C2AAF" w14:textId="581CD735" w:rsidR="002F315F" w:rsidRPr="00A910E2" w:rsidRDefault="002F315F" w:rsidP="009D7A5E">
      <w:r w:rsidRPr="00A910E2">
        <w:t>Poursuite de l'élaboration du module d'examen pour le traitement des fiches de notification au titre du numéro</w:t>
      </w:r>
      <w:r w:rsidR="0031297D" w:rsidRPr="00A910E2">
        <w:t> </w:t>
      </w:r>
      <w:r w:rsidRPr="00A910E2">
        <w:rPr>
          <w:b/>
          <w:bCs/>
        </w:rPr>
        <w:t>9.21</w:t>
      </w:r>
      <w:r w:rsidRPr="00A910E2">
        <w:t xml:space="preserve"> dans les bandes identifiées pour les IMT lors de la CMR-19.</w:t>
      </w:r>
    </w:p>
    <w:p w14:paraId="1E0E6A52" w14:textId="1AA6187A" w:rsidR="002F315F" w:rsidRPr="00A910E2" w:rsidRDefault="002F315F" w:rsidP="009D7A5E">
      <w:r w:rsidRPr="00A910E2">
        <w:t xml:space="preserve">Achèvement de l'élaboration de modules logiciels pour le traitement des fiches de notification des stations HAPS (outils de validation et de publication). Poursuite de l'élaboration de modules de calcul permettant de vérifier le respect des conditions techniques qui sont précisées dans les Résolutions </w:t>
      </w:r>
      <w:r w:rsidRPr="00A910E2">
        <w:rPr>
          <w:rFonts w:eastAsia="Verdana"/>
          <w:b/>
          <w:bCs/>
        </w:rPr>
        <w:t>122 (Rév.CMR-19)</w:t>
      </w:r>
      <w:r w:rsidRPr="00A910E2">
        <w:rPr>
          <w:rFonts w:eastAsia="Verdana"/>
        </w:rPr>
        <w:t xml:space="preserve">, </w:t>
      </w:r>
      <w:r w:rsidRPr="00A910E2">
        <w:rPr>
          <w:rFonts w:eastAsia="Verdana"/>
          <w:b/>
          <w:bCs/>
        </w:rPr>
        <w:t>145</w:t>
      </w:r>
      <w:r w:rsidR="0031297D" w:rsidRPr="00A910E2">
        <w:rPr>
          <w:rFonts w:eastAsia="Verdana"/>
        </w:rPr>
        <w:t xml:space="preserve"> </w:t>
      </w:r>
      <w:r w:rsidRPr="00A910E2">
        <w:rPr>
          <w:rFonts w:eastAsia="Verdana"/>
          <w:b/>
          <w:bCs/>
        </w:rPr>
        <w:t>(Rév.CMR-19)</w:t>
      </w:r>
      <w:r w:rsidRPr="00A910E2">
        <w:rPr>
          <w:rFonts w:eastAsia="Verdana"/>
        </w:rPr>
        <w:t xml:space="preserve">, </w:t>
      </w:r>
      <w:r w:rsidRPr="00A910E2">
        <w:rPr>
          <w:rFonts w:eastAsia="Verdana"/>
          <w:b/>
          <w:bCs/>
        </w:rPr>
        <w:t>165 (CMR-19)</w:t>
      </w:r>
      <w:r w:rsidRPr="00A910E2">
        <w:rPr>
          <w:rFonts w:eastAsia="Verdana"/>
        </w:rPr>
        <w:t xml:space="preserve">, </w:t>
      </w:r>
      <w:r w:rsidRPr="00A910E2">
        <w:rPr>
          <w:rFonts w:eastAsia="Verdana"/>
          <w:b/>
          <w:bCs/>
        </w:rPr>
        <w:t>166 (CMR-19)</w:t>
      </w:r>
      <w:r w:rsidRPr="00A910E2">
        <w:rPr>
          <w:rFonts w:eastAsia="Verdana"/>
        </w:rPr>
        <w:t xml:space="preserve">, </w:t>
      </w:r>
      <w:r w:rsidRPr="00A910E2">
        <w:rPr>
          <w:rFonts w:eastAsia="Verdana"/>
          <w:b/>
          <w:bCs/>
        </w:rPr>
        <w:t>167</w:t>
      </w:r>
      <w:r w:rsidR="00CC74A9" w:rsidRPr="00A910E2">
        <w:rPr>
          <w:rFonts w:eastAsia="Verdana"/>
          <w:b/>
          <w:bCs/>
        </w:rPr>
        <w:t> </w:t>
      </w:r>
      <w:r w:rsidRPr="00A910E2">
        <w:rPr>
          <w:rFonts w:eastAsia="Verdana"/>
          <w:b/>
          <w:bCs/>
        </w:rPr>
        <w:t>(CMR</w:t>
      </w:r>
      <w:r w:rsidR="0031297D" w:rsidRPr="00A910E2">
        <w:rPr>
          <w:rFonts w:eastAsia="Verdana"/>
          <w:b/>
          <w:bCs/>
        </w:rPr>
        <w:noBreakHyphen/>
      </w:r>
      <w:r w:rsidRPr="00A910E2">
        <w:rPr>
          <w:rFonts w:eastAsia="Verdana"/>
          <w:b/>
          <w:bCs/>
        </w:rPr>
        <w:t>19)</w:t>
      </w:r>
      <w:r w:rsidRPr="00A910E2">
        <w:rPr>
          <w:rFonts w:eastAsia="Verdana"/>
        </w:rPr>
        <w:t xml:space="preserve"> et </w:t>
      </w:r>
      <w:r w:rsidRPr="00A910E2">
        <w:rPr>
          <w:rFonts w:eastAsia="Verdana"/>
          <w:b/>
          <w:bCs/>
        </w:rPr>
        <w:t>168 (CMR-19)</w:t>
      </w:r>
      <w:r w:rsidRPr="00A910E2">
        <w:t>.</w:t>
      </w:r>
    </w:p>
    <w:p w14:paraId="2A119140" w14:textId="77777777" w:rsidR="002F315F" w:rsidRPr="00A910E2" w:rsidRDefault="002F315F" w:rsidP="009D7A5E">
      <w:pPr>
        <w:pStyle w:val="Heading1"/>
      </w:pPr>
      <w:bookmarkStart w:id="17" w:name="_Toc446060766"/>
      <w:r w:rsidRPr="00A910E2">
        <w:t>4</w:t>
      </w:r>
      <w:r w:rsidRPr="00A910E2">
        <w:tab/>
      </w:r>
      <w:bookmarkEnd w:id="17"/>
      <w:r w:rsidRPr="00A910E2">
        <w:t>Activités des commissions d'études</w:t>
      </w:r>
    </w:p>
    <w:p w14:paraId="7EFE0655" w14:textId="77777777" w:rsidR="002F315F" w:rsidRPr="00A910E2" w:rsidRDefault="002F315F" w:rsidP="009D7A5E">
      <w:pPr>
        <w:rPr>
          <w:rFonts w:eastAsia="SimSun"/>
        </w:rPr>
      </w:pPr>
      <w:bookmarkStart w:id="18" w:name="_Hlk158734394"/>
      <w:r w:rsidRPr="00A910E2">
        <w:rPr>
          <w:rFonts w:eastAsia="SimSun"/>
        </w:rPr>
        <w:t>Cette question fait l'objet de l'Addendum 1 au présent document.</w:t>
      </w:r>
    </w:p>
    <w:p w14:paraId="7245F305" w14:textId="77777777" w:rsidR="002F315F" w:rsidRPr="00A910E2" w:rsidRDefault="002F315F" w:rsidP="009D7A5E">
      <w:pPr>
        <w:pStyle w:val="Heading1"/>
      </w:pPr>
      <w:bookmarkStart w:id="19" w:name="_Toc446060768"/>
      <w:bookmarkEnd w:id="18"/>
      <w:r w:rsidRPr="00A910E2">
        <w:t>5</w:t>
      </w:r>
      <w:r w:rsidRPr="00A910E2">
        <w:tab/>
        <w:t>Travaux préparatoires en vue de la CMR-27</w:t>
      </w:r>
    </w:p>
    <w:p w14:paraId="008908AC" w14:textId="77777777" w:rsidR="002F315F" w:rsidRPr="00A910E2" w:rsidRDefault="002F315F" w:rsidP="009D7A5E">
      <w:r w:rsidRPr="00A910E2">
        <w:t>À sa session de 2024, le Conseil examinera l'ordre du jour de la CMR-27, tel qu'il figure dans la Résolution </w:t>
      </w:r>
      <w:r w:rsidRPr="00A910E2">
        <w:rPr>
          <w:b/>
          <w:bCs/>
        </w:rPr>
        <w:t>813 (CMR-23)</w:t>
      </w:r>
      <w:r w:rsidRPr="00A910E2">
        <w:t xml:space="preserve"> et sera invité à adopter une nouvelle Résolution, dans laquelle figureront l'ordre du jour de la CMR-27 ainsi que le lieu et les dates exactes de la CMR-27 et de l'AR-27.</w:t>
      </w:r>
    </w:p>
    <w:p w14:paraId="241E59B8" w14:textId="7F4776CB" w:rsidR="002F315F" w:rsidRPr="00A910E2" w:rsidRDefault="002F315F" w:rsidP="009D7A5E">
      <w:r w:rsidRPr="00A910E2">
        <w:t>La première session de la Réunion de préparation à la Conférence en vue de la CMR-27 (RPC27</w:t>
      </w:r>
      <w:r w:rsidR="0031297D" w:rsidRPr="00A910E2">
        <w:noBreakHyphen/>
      </w:r>
      <w:r w:rsidRPr="00A910E2">
        <w:t>1) s'est tenue les 18 et 19 décembre 2023 à Dubaï (Émirats arabes unis), afin d'organiser les études à mener en vue de la CMR-27.</w:t>
      </w:r>
    </w:p>
    <w:p w14:paraId="3B64BA44" w14:textId="241A8ECF" w:rsidR="002F315F" w:rsidRPr="00A910E2" w:rsidRDefault="002F315F" w:rsidP="009D7A5E">
      <w:bookmarkStart w:id="20" w:name="lt_pId393"/>
      <w:r w:rsidRPr="00A910E2">
        <w:t>Compte tenu de l'ordre du jour de la CMR-27, de l'ordre du jour préliminaire de la CMR</w:t>
      </w:r>
      <w:r w:rsidR="0031297D" w:rsidRPr="00A910E2">
        <w:noBreakHyphen/>
      </w:r>
      <w:r w:rsidRPr="00A910E2">
        <w:t>31, des Résolutions nouvelles ou révisées associées ainsi que des décisions pertinentes de la CMR</w:t>
      </w:r>
      <w:r w:rsidR="0031297D" w:rsidRPr="00A910E2">
        <w:noBreakHyphen/>
      </w:r>
      <w:r w:rsidRPr="00A910E2">
        <w:t>23, la</w:t>
      </w:r>
      <w:r w:rsidR="0031297D" w:rsidRPr="00A910E2">
        <w:t> </w:t>
      </w:r>
      <w:r w:rsidRPr="00A910E2">
        <w:t>RPC27</w:t>
      </w:r>
      <w:r w:rsidR="0031297D" w:rsidRPr="00A910E2">
        <w:noBreakHyphen/>
      </w:r>
      <w:r w:rsidRPr="00A910E2">
        <w:t>1 a préparé la structure et mis au point les procédures de travail en vue de l'élaboration du projet de Rapport de la RPC à la CMR-27.</w:t>
      </w:r>
      <w:bookmarkEnd w:id="20"/>
      <w:r w:rsidRPr="00A910E2">
        <w:t xml:space="preserve"> </w:t>
      </w:r>
      <w:bookmarkStart w:id="21" w:name="lt_pId394"/>
      <w:r w:rsidRPr="00A910E2">
        <w:t>La RPC27-1 a identifié les groupes de travail responsables et contributeurs existants de l'UIT-R pour chaque point de l'ordre du jour de la</w:t>
      </w:r>
      <w:r w:rsidR="0031297D" w:rsidRPr="00A910E2">
        <w:t> </w:t>
      </w:r>
      <w:r w:rsidRPr="00A910E2">
        <w:t>CMR</w:t>
      </w:r>
      <w:r w:rsidR="0031297D" w:rsidRPr="00A910E2">
        <w:noBreakHyphen/>
      </w:r>
      <w:r w:rsidRPr="00A910E2">
        <w:t>27. Elle a également identifié les groupes de travail responsables existants de l'UIT</w:t>
      </w:r>
      <w:r w:rsidR="0031297D" w:rsidRPr="00A910E2">
        <w:noBreakHyphen/>
      </w:r>
      <w:r w:rsidRPr="00A910E2">
        <w:t>R pour les points de l'ordre du jour préliminaire de la CMR-31, mais, compte tenu du caractère provisoire de l'ordre du jour de la CMR-31, aucun groupe contributeur n'a été identifié, sauf pour le point 2.14 de l'ordre du jour.</w:t>
      </w:r>
      <w:bookmarkEnd w:id="21"/>
      <w:r w:rsidRPr="00A910E2">
        <w:t xml:space="preserve"> </w:t>
      </w:r>
      <w:bookmarkStart w:id="22" w:name="lt_pId396"/>
      <w:r w:rsidRPr="00A910E2">
        <w:t xml:space="preserve">La RPC27-1 a désigné les </w:t>
      </w:r>
      <w:r w:rsidR="00615B7C" w:rsidRPr="00A910E2">
        <w:t>v</w:t>
      </w:r>
      <w:r w:rsidRPr="00A910E2">
        <w:t>ice-</w:t>
      </w:r>
      <w:r w:rsidR="00615B7C" w:rsidRPr="00A910E2">
        <w:t>p</w:t>
      </w:r>
      <w:r w:rsidRPr="00A910E2">
        <w:t xml:space="preserve">résidents de la RPC-27 ainsi que les </w:t>
      </w:r>
      <w:r w:rsidR="00615B7C" w:rsidRPr="00A910E2">
        <w:t>r</w:t>
      </w:r>
      <w:r w:rsidRPr="00A910E2">
        <w:t xml:space="preserve">apporteurs ou </w:t>
      </w:r>
      <w:r w:rsidR="00615B7C" w:rsidRPr="00A910E2">
        <w:t>c</w:t>
      </w:r>
      <w:r w:rsidRPr="00A910E2">
        <w:t>o</w:t>
      </w:r>
      <w:r w:rsidR="0031297D" w:rsidRPr="00A910E2">
        <w:t>r</w:t>
      </w:r>
      <w:r w:rsidRPr="00A910E2">
        <w:t xml:space="preserve">apporteurs pour les cinq chapitres du projet de Rapport de la RPC, qui aideront le </w:t>
      </w:r>
      <w:r w:rsidR="00615B7C" w:rsidRPr="00A910E2">
        <w:t>p</w:t>
      </w:r>
      <w:r w:rsidRPr="00A910E2">
        <w:t>résident à gérer le flux des contributions et l'élaboration des projets de texte de la RPC, conformément aux méthodes de travail de la RPC et aux lignes directrices relatives à l'élaboration de ces textes, telles qu'elles figurent dans les Annexes</w:t>
      </w:r>
      <w:r w:rsidR="00615B7C" w:rsidRPr="00A910E2">
        <w:t xml:space="preserve"> </w:t>
      </w:r>
      <w:r w:rsidRPr="00A910E2">
        <w:t>1 et 2 de la Résolution UIT-R 2-9.</w:t>
      </w:r>
      <w:bookmarkEnd w:id="22"/>
      <w:r w:rsidRPr="00A910E2">
        <w:t xml:space="preserve"> La RPC27-1 a également convenu de fixer un délai générale à fin 2024 pour ce qui est des critères, des caractéristiques et des méthodes à utiliser pour les études préparatoires de l'UIT-R en vue de la CMR-27. La Lettre circulaire </w:t>
      </w:r>
      <w:hyperlink r:id="rId49" w:history="1">
        <w:r w:rsidRPr="00A910E2">
          <w:rPr>
            <w:rStyle w:val="Hyperlink"/>
            <w:bCs/>
            <w:szCs w:val="24"/>
          </w:rPr>
          <w:t>CA/270</w:t>
        </w:r>
      </w:hyperlink>
      <w:r w:rsidRPr="00A910E2">
        <w:t xml:space="preserve"> du 26 janvier 2024 rend compte des résultats de la RPC27-1.</w:t>
      </w:r>
    </w:p>
    <w:p w14:paraId="224AA08E" w14:textId="681CFEE8" w:rsidR="002F315F" w:rsidRPr="00A910E2" w:rsidRDefault="002F315F" w:rsidP="009D7A5E">
      <w:r w:rsidRPr="00A910E2">
        <w:t xml:space="preserve">Dès que les dates exactes de la CMR-27 auront été décidées par le Conseil, la Commission de direction de la RPC-27, après consultation des </w:t>
      </w:r>
      <w:r w:rsidR="00615B7C" w:rsidRPr="00A910E2">
        <w:t>p</w:t>
      </w:r>
      <w:r w:rsidRPr="00A910E2">
        <w:t>résidents des commissions d'études de l'UIT</w:t>
      </w:r>
      <w:r w:rsidR="00615B7C" w:rsidRPr="00A910E2">
        <w:noBreakHyphen/>
      </w:r>
      <w:r w:rsidRPr="00A910E2">
        <w:t>R et des groupes de travail responsables, proposera des dates pour la seconde session de la RPC</w:t>
      </w:r>
      <w:r w:rsidR="00615B7C" w:rsidRPr="00A910E2">
        <w:noBreakHyphen/>
      </w:r>
      <w:r w:rsidRPr="00A910E2">
        <w:t>27 et fixera le délai pour l'achèvement des projets de texte de la RPC par les groupes responsables. Ces informations seront communiquées aux membres, comme il conviendra.</w:t>
      </w:r>
    </w:p>
    <w:p w14:paraId="23FE1B4A" w14:textId="77777777" w:rsidR="002F315F" w:rsidRPr="00A910E2" w:rsidRDefault="002F315F" w:rsidP="009D7A5E">
      <w:pPr>
        <w:pStyle w:val="Heading1"/>
        <w:rPr>
          <w:szCs w:val="24"/>
        </w:rPr>
      </w:pPr>
      <w:r w:rsidRPr="00A910E2">
        <w:rPr>
          <w:szCs w:val="24"/>
        </w:rPr>
        <w:t>6</w:t>
      </w:r>
      <w:r w:rsidRPr="00A910E2">
        <w:rPr>
          <w:szCs w:val="24"/>
        </w:rPr>
        <w:tab/>
      </w:r>
      <w:bookmarkEnd w:id="19"/>
      <w:r w:rsidRPr="00A910E2">
        <w:rPr>
          <w:szCs w:val="24"/>
        </w:rPr>
        <w:t>Planification opérationnelle</w:t>
      </w:r>
    </w:p>
    <w:p w14:paraId="6669A618" w14:textId="77777777" w:rsidR="002F315F" w:rsidRPr="00A910E2" w:rsidRDefault="002F315F" w:rsidP="009D7A5E">
      <w:r w:rsidRPr="00A910E2">
        <w:t xml:space="preserve">À sa session de 2023, le Conseil a adopté dans la </w:t>
      </w:r>
      <w:hyperlink r:id="rId50" w:history="1">
        <w:r w:rsidRPr="00A910E2">
          <w:t xml:space="preserve">Résolution </w:t>
        </w:r>
        <w:r w:rsidRPr="00A910E2">
          <w:rPr>
            <w:rStyle w:val="Hyperlink"/>
          </w:rPr>
          <w:t>1415</w:t>
        </w:r>
      </w:hyperlink>
      <w:r w:rsidRPr="00A910E2">
        <w:t xml:space="preserve"> le Plan opérationnel de l'Union pour la période 2024-2027 (</w:t>
      </w:r>
      <w:hyperlink r:id="rId51" w:history="1">
        <w:r w:rsidRPr="00A910E2">
          <w:t xml:space="preserve">disponible </w:t>
        </w:r>
        <w:r w:rsidRPr="00A910E2">
          <w:rPr>
            <w:rStyle w:val="Hyperlink"/>
          </w:rPr>
          <w:t>ici</w:t>
        </w:r>
      </w:hyperlink>
      <w:r w:rsidRPr="00A910E2">
        <w:t>) qui a été structuré sur la base de la méthode de gestion axée sur les résultats, afin d'assurer une parfaite coordination avec le budget et les autres outils financiers de l'Union, et est conforme aux limites financières fixées par la Conférence de plénipotentiaires de 2022 dans le plan financier pour la période 2024-2027.</w:t>
      </w:r>
    </w:p>
    <w:p w14:paraId="7E15DA1B" w14:textId="657B8C4F" w:rsidR="002F315F" w:rsidRPr="00A910E2" w:rsidRDefault="002F315F" w:rsidP="009D7A5E">
      <w:r w:rsidRPr="00A910E2">
        <w:t>Le Plan opérationnel de l'UIT(-R) pour la période 2024-2027 donne des détails sur les cinq priorités thématiques et les 43 produits de l'Union, tels qu'ils sont énoncés dans le Plan stratégique de</w:t>
      </w:r>
      <w:r w:rsidR="00615B7C" w:rsidRPr="00A910E2">
        <w:t> </w:t>
      </w:r>
      <w:r w:rsidRPr="00A910E2">
        <w:t>l'UIT adopté par la PP-22. Structuré selon des objectifs thématiques intersectoriels, le plan opérationnel ne comporte pas de parties spécialement consacrées à chaque Secteur/Bureau de l'UIT et au Secrétariat général. Des préoccupations ont été exprimées lors de la réunion de 2023 du GCR sur le fait que cette présentation n'aidait pas le GCR à examiner le plan opérationnel du Secteur/Bureau de</w:t>
      </w:r>
      <w:r w:rsidR="00615B7C" w:rsidRPr="00A910E2">
        <w:t> </w:t>
      </w:r>
      <w:r w:rsidRPr="00A910E2">
        <w:t>l'UIT</w:t>
      </w:r>
      <w:r w:rsidR="00615B7C" w:rsidRPr="00A910E2">
        <w:noBreakHyphen/>
      </w:r>
      <w:r w:rsidRPr="00A910E2">
        <w:t>R et l'empêchait de s'acquitter de son mandat au titre du numéro</w:t>
      </w:r>
      <w:r w:rsidR="00615B7C" w:rsidRPr="00A910E2">
        <w:t xml:space="preserve"> </w:t>
      </w:r>
      <w:r w:rsidRPr="00A910E2">
        <w:t>160CA de la Convention, qui consiste à examiner la mise en œuvre du plan opérationnel et à conseiller le Directeur du BR en ce qui concerne les mesures correctives nécessaires. Le Conseil a été informé du fait que le</w:t>
      </w:r>
      <w:r w:rsidR="00F93282" w:rsidRPr="00A910E2">
        <w:t> </w:t>
      </w:r>
      <w:r w:rsidRPr="00A910E2">
        <w:t>GCR estimait que, si la présentation ou la mise en œuvre du plan opérationnel soulève des difficultés, les États</w:t>
      </w:r>
      <w:r w:rsidR="00615B7C" w:rsidRPr="00A910E2">
        <w:t> </w:t>
      </w:r>
      <w:r w:rsidRPr="00A910E2">
        <w:t>Membres voudraient peut-être revoir la structure de la Résolution</w:t>
      </w:r>
      <w:r w:rsidR="00615B7C" w:rsidRPr="00A910E2">
        <w:t xml:space="preserve"> </w:t>
      </w:r>
      <w:r w:rsidRPr="00A910E2">
        <w:t>71 à la prochaine PP.</w:t>
      </w:r>
    </w:p>
    <w:p w14:paraId="275D3386" w14:textId="17FDEEB3" w:rsidR="002F315F" w:rsidRPr="00A910E2" w:rsidRDefault="002F315F" w:rsidP="009D7A5E">
      <w:r w:rsidRPr="00A910E2">
        <w:t>Le GCR a également demandé qu'à la présente réunion du GCR, un document distinct lui soit présenté afin d'expliciter les aspects relatifs au Secteur/Bureau de l'UIT-R dans le plan opérationnel combiné. Cette variante de présentation du Plan opérationnel de l'UIT-R pour la période 2024</w:t>
      </w:r>
      <w:r w:rsidR="00615B7C" w:rsidRPr="00A910E2">
        <w:noBreakHyphen/>
      </w:r>
      <w:r w:rsidRPr="00A910E2">
        <w:t xml:space="preserve">2027 fait l'objet du Document </w:t>
      </w:r>
      <w:hyperlink r:id="rId52" w:history="1">
        <w:r w:rsidRPr="00A910E2">
          <w:rPr>
            <w:rStyle w:val="Hyperlink"/>
          </w:rPr>
          <w:t>RAG/C-005</w:t>
        </w:r>
      </w:hyperlink>
      <w:r w:rsidRPr="00A910E2">
        <w:t xml:space="preserve"> soumis à la présente réunion.</w:t>
      </w:r>
    </w:p>
    <w:p w14:paraId="3D8E5CF1" w14:textId="77777777" w:rsidR="002F315F" w:rsidRPr="00A910E2" w:rsidRDefault="002F315F" w:rsidP="00A910E2">
      <w:pPr>
        <w:pStyle w:val="Heading1"/>
        <w:keepNext w:val="0"/>
        <w:keepLines w:val="0"/>
      </w:pPr>
      <w:bookmarkStart w:id="23" w:name="_Toc446060769"/>
      <w:r w:rsidRPr="00A910E2">
        <w:t>7</w:t>
      </w:r>
      <w:r w:rsidRPr="00A910E2">
        <w:tab/>
      </w:r>
      <w:bookmarkEnd w:id="23"/>
      <w:r w:rsidRPr="00A910E2">
        <w:t>Système d'information du BR</w:t>
      </w:r>
    </w:p>
    <w:p w14:paraId="19906B69" w14:textId="77777777" w:rsidR="002F315F" w:rsidRPr="00A910E2" w:rsidRDefault="002F315F" w:rsidP="00A910E2">
      <w:pPr>
        <w:pStyle w:val="Heading2"/>
        <w:keepNext w:val="0"/>
        <w:keepLines w:val="0"/>
      </w:pPr>
      <w:r w:rsidRPr="00A910E2">
        <w:t>7.1</w:t>
      </w:r>
      <w:r w:rsidRPr="00A910E2">
        <w:tab/>
        <w:t>Outils et logiciels pour les services de Terre</w:t>
      </w:r>
    </w:p>
    <w:p w14:paraId="54755729" w14:textId="77777777" w:rsidR="002F315F" w:rsidRPr="00A910E2" w:rsidRDefault="002F315F" w:rsidP="00A910E2">
      <w:pPr>
        <w:pStyle w:val="Heading3"/>
        <w:keepNext w:val="0"/>
        <w:keepLines w:val="0"/>
      </w:pPr>
      <w:r w:rsidRPr="00A910E2">
        <w:rPr>
          <w:rFonts w:eastAsia="Verdana"/>
        </w:rPr>
        <w:t>7.1.1</w:t>
      </w:r>
      <w:r w:rsidRPr="00A910E2">
        <w:rPr>
          <w:rFonts w:eastAsia="Verdana"/>
        </w:rPr>
        <w:tab/>
      </w:r>
      <w:r w:rsidRPr="00A910E2">
        <w:t>Traitement des demandes de coordination au titre du numéro 9.21 du RR</w:t>
      </w:r>
    </w:p>
    <w:p w14:paraId="349DACB1" w14:textId="0671EA44" w:rsidR="002F315F" w:rsidRPr="00A910E2" w:rsidRDefault="002F315F" w:rsidP="00A910E2">
      <w:r w:rsidRPr="00A910E2">
        <w:t>L'élaboration des modules logiciels et des outils associés pour le traitement des demandes de coordination au titre du numéro</w:t>
      </w:r>
      <w:r w:rsidR="00615B7C" w:rsidRPr="00A910E2">
        <w:t xml:space="preserve"> </w:t>
      </w:r>
      <w:r w:rsidRPr="00A910E2">
        <w:rPr>
          <w:b/>
          <w:bCs/>
        </w:rPr>
        <w:t>9.21</w:t>
      </w:r>
      <w:r w:rsidRPr="00A910E2">
        <w:t xml:space="preserve"> du RR s'est poursuivie pendant la période considérée. Il est prévu d'achever, en 2024, dans le contexte de la migration de l'ensemble du système, l'élaboration du logiciel pour la vérification des assignations correspondantes (visées au numéro</w:t>
      </w:r>
      <w:r w:rsidR="00615B7C" w:rsidRPr="00A910E2">
        <w:t xml:space="preserve"> </w:t>
      </w:r>
      <w:r w:rsidRPr="00A910E2">
        <w:rPr>
          <w:b/>
          <w:bCs/>
        </w:rPr>
        <w:t>9.21</w:t>
      </w:r>
      <w:r w:rsidRPr="00A910E2">
        <w:t>) notifiées au titre de l'Article</w:t>
      </w:r>
      <w:r w:rsidR="00615B7C" w:rsidRPr="00A910E2">
        <w:t xml:space="preserve"> </w:t>
      </w:r>
      <w:r w:rsidRPr="00A910E2">
        <w:rPr>
          <w:b/>
          <w:bCs/>
        </w:rPr>
        <w:t>11</w:t>
      </w:r>
      <w:r w:rsidRPr="00A910E2">
        <w:t xml:space="preserve"> du RR en vue de leur inscription dans le Fichier de référence ainsi que l'intégration du logiciel dans le système</w:t>
      </w:r>
      <w:r w:rsidR="00615B7C" w:rsidRPr="00A910E2">
        <w:t xml:space="preserve"> </w:t>
      </w:r>
      <w:r w:rsidRPr="00A910E2">
        <w:t>TerRaSys.</w:t>
      </w:r>
    </w:p>
    <w:p w14:paraId="1FF6D240" w14:textId="07457A5F" w:rsidR="002F315F" w:rsidRPr="00A910E2" w:rsidRDefault="002F315F" w:rsidP="009D7A5E">
      <w:pPr>
        <w:pStyle w:val="Heading3"/>
      </w:pPr>
      <w:r w:rsidRPr="00A910E2">
        <w:t>7.1.2</w:t>
      </w:r>
      <w:r w:rsidRPr="00A910E2">
        <w:tab/>
        <w:t xml:space="preserve">Horaires de radiodiffusion à ondes décamétriques (HFBC): </w:t>
      </w:r>
      <w:r w:rsidR="00D844A5" w:rsidRPr="00A910E2">
        <w:t>R</w:t>
      </w:r>
      <w:r w:rsidRPr="00A910E2">
        <w:t>estructuration logicielle</w:t>
      </w:r>
    </w:p>
    <w:p w14:paraId="5AECB3D2" w14:textId="77777777" w:rsidR="002F315F" w:rsidRPr="00A910E2" w:rsidRDefault="002F315F" w:rsidP="009D7A5E">
      <w:r w:rsidRPr="00A910E2">
        <w:t>Conformément aux dispositions de l'Article 12 du Règlement des radiocommunications (RR), le Bureau des radiocommunications (BR) établit et publie les horaires HFBC saisonniers ainsi que les résultats des analyses de compatibilité. Les horaires sont publiés sur le site web du BR.</w:t>
      </w:r>
    </w:p>
    <w:p w14:paraId="45BB5F92" w14:textId="6875AE9E" w:rsidR="002F315F" w:rsidRPr="00A910E2" w:rsidRDefault="002F315F" w:rsidP="009D7A5E">
      <w:r w:rsidRPr="00A910E2">
        <w:t>La version précédente du logiciel HFBC se compose d'un certain nombre d'applications bureautiques autonomes mises au point à l'aide de Visual Basic. Ces applications ne peuvent plus être prises en charge dans les systèmes d'exploitation utilisés par les systèmes informatiques du</w:t>
      </w:r>
      <w:r w:rsidR="00615B7C" w:rsidRPr="00A910E2">
        <w:t> </w:t>
      </w:r>
      <w:r w:rsidRPr="00A910E2">
        <w:t>BR et il faut les concevoir à nouveau à l'aide de technologies plus récentes.</w:t>
      </w:r>
    </w:p>
    <w:p w14:paraId="404E4D8A" w14:textId="7C3F1F9E" w:rsidR="002F315F" w:rsidRPr="00A910E2" w:rsidRDefault="002F315F" w:rsidP="009D7A5E">
      <w:r w:rsidRPr="00A910E2">
        <w:t>Afin d'assurer la cohérence avec d'autres logiciels et applications pour les services de Terre, le logiciel HFBC a fait l'objet d'une restructuration sous forme d'application unique en ligne avec le cadre</w:t>
      </w:r>
      <w:r w:rsidR="00D844A5" w:rsidRPr="00A910E2">
        <w:t> </w:t>
      </w:r>
      <w:r w:rsidRPr="00A910E2">
        <w:t>.NET en langage C#.</w:t>
      </w:r>
    </w:p>
    <w:p w14:paraId="17017762" w14:textId="1F37512F" w:rsidR="002F315F" w:rsidRPr="00A910E2" w:rsidRDefault="002F315F" w:rsidP="009D7A5E">
      <w:r w:rsidRPr="00A910E2">
        <w:t>La nouvelle application HFBC a été achevée et intégrée à la plate-forme en ligne pour les services de Terre «eTerrestrial/eBroadcasting». La publication officielle sur la page</w:t>
      </w:r>
      <w:r w:rsidR="00615B7C" w:rsidRPr="00A910E2">
        <w:t xml:space="preserve"> </w:t>
      </w:r>
      <w:r w:rsidRPr="00A910E2">
        <w:t>eHFBC a commencé avec la Saison</w:t>
      </w:r>
      <w:r w:rsidR="00615B7C" w:rsidRPr="00A910E2">
        <w:t xml:space="preserve"> </w:t>
      </w:r>
      <w:r w:rsidRPr="00A910E2">
        <w:t>B23-S1 en octobre 2023. La page</w:t>
      </w:r>
      <w:r w:rsidR="00615B7C" w:rsidRPr="00A910E2">
        <w:t xml:space="preserve"> </w:t>
      </w:r>
      <w:r w:rsidRPr="00A910E2">
        <w:t>eHFBC est actuellement dans une phase active de développement progressif, l'accent étant mis sur l'introduction d'une série de nouvelles fonctionnalités et d'améliorations au fil du temps.</w:t>
      </w:r>
    </w:p>
    <w:p w14:paraId="2E4DB2AF" w14:textId="77777777" w:rsidR="002F315F" w:rsidRPr="00A910E2" w:rsidRDefault="002F315F" w:rsidP="009D7A5E">
      <w:pPr>
        <w:pStyle w:val="Heading3"/>
      </w:pPr>
      <w:r w:rsidRPr="00A910E2">
        <w:t>7.1.3</w:t>
      </w:r>
      <w:r w:rsidRPr="00A910E2">
        <w:tab/>
        <w:t>Migration d'Ingres vers SQL Server</w:t>
      </w:r>
    </w:p>
    <w:p w14:paraId="75CCB35F" w14:textId="77777777" w:rsidR="002F315F" w:rsidRPr="00A910E2" w:rsidRDefault="002F315F" w:rsidP="009D7A5E">
      <w:r w:rsidRPr="00A910E2">
        <w:t>Les travaux concernant la migration du système TerRaSys se sont poursuivis en 2023 en ce qui concerne la migration de la base de données et la réécriture et les améliorations des modules du système au moyen de nouvelles techniques de codage. Cela inclut notamment, mais pas exclusivement, les éléments suivants:</w:t>
      </w:r>
    </w:p>
    <w:p w14:paraId="490A2E82" w14:textId="0207859E" w:rsidR="002F315F" w:rsidRPr="00A910E2" w:rsidRDefault="00615B7C" w:rsidP="009D7A5E">
      <w:pPr>
        <w:pStyle w:val="enumlev1"/>
      </w:pPr>
      <w:r w:rsidRPr="00A910E2">
        <w:t>•</w:t>
      </w:r>
      <w:r w:rsidRPr="00A910E2">
        <w:tab/>
      </w:r>
      <w:r w:rsidR="002F315F" w:rsidRPr="00A910E2">
        <w:t>Mener à terme la conception de la base de données pour les services de Terre, y compris les structures de bases de données nécessaires pour prendre en charge le traitement des stations HAPS, à la suite des décisions de la CMR-19.</w:t>
      </w:r>
    </w:p>
    <w:p w14:paraId="26A719C1" w14:textId="3C116352" w:rsidR="002F315F" w:rsidRPr="00A910E2" w:rsidRDefault="00615B7C" w:rsidP="009D7A5E">
      <w:pPr>
        <w:pStyle w:val="enumlev1"/>
      </w:pPr>
      <w:r w:rsidRPr="00A910E2">
        <w:t>•</w:t>
      </w:r>
      <w:r w:rsidRPr="00A910E2">
        <w:tab/>
      </w:r>
      <w:r w:rsidR="002F315F" w:rsidRPr="00A910E2">
        <w:t>Redéfinir en continu diverses applications et divers composants logiciels du système TerRaSys utilisés pour accéder à la base de données, en vue de tirer parti de la technologie moderne offerte par le nouveau SGBD et d'utiliser les applications web et les méthodes modernes de conception de logiciels.</w:t>
      </w:r>
    </w:p>
    <w:p w14:paraId="7393C37F" w14:textId="062BA48E" w:rsidR="002F315F" w:rsidRPr="00A910E2" w:rsidRDefault="002F315F" w:rsidP="009D7A5E">
      <w:r w:rsidRPr="00A910E2">
        <w:t>Le nouveau format pour les fiches de notification électroniques des assignations de fréquence des services de Terre, conforme aux normes XML et utilisé en sus du format SGML existant, a été établi sous sa forme définitive. Le nouveau système de base de données ainsi que les nouveaux modules logiciels pour le traitement et la validation des fiches de notification électroniques pour les services de Terre ont été arrêtés sous leur forme définitive, y compris s'agissant des stations HAPS. La migration des modules logiciels existants utilisés à des fins d'examen technique est achevée. Les travaux relatifs aux modules utilisés pour l'examen technique propre aux stations HAPS sont en cours. Les modules de présentation des résultats d'examen sont également achevés. Les travaux relatifs à la publication et à la préparation des nouvelles versions complètes de la BR</w:t>
      </w:r>
      <w:r w:rsidR="00615B7C" w:rsidRPr="00A910E2">
        <w:t> </w:t>
      </w:r>
      <w:r w:rsidRPr="00A910E2">
        <w:t>IFIC sont aussi achevés. Diverses applications web ont été conçues et mises en œuvre, et sont développées et soumises à des essais en continu, pour permettre l'accès en ligne à l'interrogation de la base de données et à d'autres outils logiciels, y compris à la validation en ligne les notifications d'assignations de fréquence aux services de Terre.</w:t>
      </w:r>
    </w:p>
    <w:p w14:paraId="06BFDCCC" w14:textId="03328DE3" w:rsidR="002F315F" w:rsidRPr="00A910E2" w:rsidRDefault="002F315F" w:rsidP="009D7A5E">
      <w:r w:rsidRPr="00A910E2">
        <w:t>Des copies de la base de données existante pour les services de Terre dans la nouvelle structure de la plate</w:t>
      </w:r>
      <w:r w:rsidR="00BD1D14" w:rsidRPr="00A910E2">
        <w:noBreakHyphen/>
      </w:r>
      <w:r w:rsidRPr="00A910E2">
        <w:t>forme SGBD sont maintenant disponibles et sont utilisées à l'heure actuelle par diverses applications web du BR, afin d'afficher, de valider et de traiter les notifications d'assignations de fréquence aux services de Terre. Des copies dédiées ont aussi été conçues et sont désormais disponibles, où figure l'image de données de la dernière BR IFIC (services de Terre) publiée accessible en ligne, y compris un accès aux BR IFIC (services de Terre) précédentes publiées pendant l'année en cours. La migration et la restructuration complètes du système actuel sont achevées. Une lettre circulaire décrivant les éléments nouveaux et modifiés de la structure et des outils de la base de données pour les services de Terre dans la BR IFIC, ainsi qu'une description du nouveau format de notification XML, est en cours de rédaction et sera envoyée aux administrations des États Membres et aux autres utilisateurs.</w:t>
      </w:r>
    </w:p>
    <w:p w14:paraId="098622C1" w14:textId="77777777" w:rsidR="002F315F" w:rsidRPr="00A910E2" w:rsidRDefault="002F315F" w:rsidP="009D7A5E">
      <w:pPr>
        <w:rPr>
          <w:szCs w:val="24"/>
        </w:rPr>
      </w:pPr>
      <w:r w:rsidRPr="00A910E2">
        <w:rPr>
          <w:szCs w:val="24"/>
        </w:rPr>
        <w:t>Comme le savent les États Membres et les utilisateurs extérieurs, une période de transition est prévue avant la date de retrait définitif du service du système existant et sera indiquée dans la lettre circulaire susmentionnée, afin que les logiciels élaborés par des tiers puissent être adaptés et ajustés en temps utile. Pendant cette période, la base de données BR IFIC sera accessible sous sa forme actuelle et sa nouvelle forme, ce qui garantira la continuité du service. Des outils de conversion vers l'avant seulement ont été mis au point et seront distribués pour permettre la conversion du format actuel de la base de données BR IFIC vers le nouveau format de la base de données système.</w:t>
      </w:r>
    </w:p>
    <w:p w14:paraId="79EFF2C4" w14:textId="77777777" w:rsidR="002F315F" w:rsidRPr="00A910E2" w:rsidRDefault="002F315F" w:rsidP="009D7A5E">
      <w:pPr>
        <w:pStyle w:val="Heading2"/>
      </w:pPr>
      <w:r w:rsidRPr="00A910E2">
        <w:t>7.2</w:t>
      </w:r>
      <w:r w:rsidRPr="00A910E2">
        <w:tab/>
        <w:t>Progrès accomplis dans la mise en œuvre de la feuille de route sur les systèmes informatiques du BR pour les services spatiaux (19ème réunion du GCR, 2012)</w:t>
      </w:r>
    </w:p>
    <w:p w14:paraId="0541534D" w14:textId="71C9C2F9" w:rsidR="002F315F" w:rsidRPr="00A910E2" w:rsidRDefault="002F315F" w:rsidP="009D7A5E">
      <w:r w:rsidRPr="00A910E2">
        <w:t>À sa 19ème réunion (2012), le GCR avait invité le Directeur à mettre en œuvre les mesures recommandées dans les délais proposés, comme indiqué dans la feuille de route approuvée, comprenant les phases suivantes: Phase 1 (Mise en œuvre des décisions de la CMR-12); Phase</w:t>
      </w:r>
      <w:r w:rsidR="00BD1D14" w:rsidRPr="00A910E2">
        <w:t> </w:t>
      </w:r>
      <w:r w:rsidRPr="00A910E2">
        <w:t>2 (Réécriture de certains logiciels existants) et Phase 3 (Création d'une équipe de projet chargée de mettre en place un cadre commun, un système de sécurité et une base de données centralisée sur les services spatiaux). Le GCR a encouragé les États Membres et les Membres de Secteur à soumettre leurs observations concernant la Phase 3.</w:t>
      </w:r>
    </w:p>
    <w:p w14:paraId="36255B75" w14:textId="794F451C" w:rsidR="002F315F" w:rsidRPr="00A910E2" w:rsidRDefault="002F315F" w:rsidP="009D7A5E">
      <w:r w:rsidRPr="00A910E2">
        <w:t>En 2023, le BR a continué de tenir à jour les logiciels existants, tout en s'employant à mettre en</w:t>
      </w:r>
      <w:r w:rsidR="00EF464D" w:rsidRPr="00A910E2">
        <w:t> </w:t>
      </w:r>
      <w:r w:rsidRPr="00A910E2">
        <w:t>œuvre de nouvelles versions des principales applications logicielles. Il a été nécessaire de déployer ces efforts en parallèle, compte tenu des besoins opérationnels, raison pour laquelle certains projets de modernisation sont encore en cours.</w:t>
      </w:r>
    </w:p>
    <w:p w14:paraId="523270F8" w14:textId="77777777" w:rsidR="002F315F" w:rsidRPr="00A910E2" w:rsidRDefault="002F315F" w:rsidP="009D7A5E">
      <w:pPr>
        <w:pStyle w:val="Heading3"/>
      </w:pPr>
      <w:r w:rsidRPr="00A910E2">
        <w:t>7.2.1</w:t>
      </w:r>
      <w:r w:rsidRPr="00A910E2">
        <w:tab/>
        <w:t>Progrès accomplis en vue de la réalisation des objectifs de la Phase 2 de la feuille de route</w:t>
      </w:r>
    </w:p>
    <w:p w14:paraId="7424AF49" w14:textId="77777777" w:rsidR="002F315F" w:rsidRPr="00A910E2" w:rsidRDefault="002F315F" w:rsidP="009D7A5E">
      <w:pPr>
        <w:pStyle w:val="Heading4"/>
      </w:pPr>
      <w:r w:rsidRPr="00A910E2">
        <w:rPr>
          <w:rFonts w:eastAsia="Verdana"/>
        </w:rPr>
        <w:t>7.2.1.1</w:t>
      </w:r>
      <w:r w:rsidRPr="00A910E2">
        <w:rPr>
          <w:rFonts w:eastAsia="Verdana"/>
        </w:rPr>
        <w:tab/>
        <w:t>Réécriture des logiciels existants pour les examens techniques</w:t>
      </w:r>
    </w:p>
    <w:p w14:paraId="3E657184" w14:textId="05ED56FF" w:rsidR="002F315F" w:rsidRPr="00A910E2" w:rsidRDefault="00BD1D14" w:rsidP="009D7A5E">
      <w:pPr>
        <w:pStyle w:val="enumlev1"/>
      </w:pPr>
      <w:r w:rsidRPr="00A910E2">
        <w:t>•</w:t>
      </w:r>
      <w:r w:rsidRPr="00A910E2">
        <w:tab/>
      </w:r>
      <w:r w:rsidR="002F315F" w:rsidRPr="00A910E2">
        <w:t>Réécriture du logiciel de calcul de la puissance surfacique pour la protection des services spatiaux: logiciel PXT modernisé actuellement à l'essai, à achever en 2024.</w:t>
      </w:r>
    </w:p>
    <w:p w14:paraId="54C0A14E" w14:textId="163F4568" w:rsidR="002F315F" w:rsidRPr="00A910E2" w:rsidRDefault="00BD1D14" w:rsidP="009D7A5E">
      <w:pPr>
        <w:pStyle w:val="enumlev1"/>
      </w:pPr>
      <w:r w:rsidRPr="00A910E2">
        <w:t>•</w:t>
      </w:r>
      <w:r w:rsidRPr="00A910E2">
        <w:tab/>
      </w:r>
      <w:r w:rsidR="002F315F" w:rsidRPr="00A910E2">
        <w:t>Migration des éléments du logiciel GIMS en Fortran: les travaux sont bien engagés, à achever en 2024.</w:t>
      </w:r>
    </w:p>
    <w:p w14:paraId="7CF90AB1" w14:textId="51DC901C" w:rsidR="002F315F" w:rsidRPr="00A910E2" w:rsidRDefault="00BD1D14" w:rsidP="009D7A5E">
      <w:pPr>
        <w:pStyle w:val="enumlev1"/>
      </w:pPr>
      <w:r w:rsidRPr="00A910E2">
        <w:t>•</w:t>
      </w:r>
      <w:r w:rsidRPr="00A910E2">
        <w:tab/>
      </w:r>
      <w:r w:rsidR="002F315F" w:rsidRPr="00A910E2">
        <w:t>Mspace – Migration des éléments du langage Visual Basic 6 au langage .NET: en cours.</w:t>
      </w:r>
    </w:p>
    <w:p w14:paraId="791C34F0" w14:textId="77777777" w:rsidR="002F315F" w:rsidRPr="00A910E2" w:rsidRDefault="002F315F" w:rsidP="009D7A5E">
      <w:pPr>
        <w:pStyle w:val="Heading4"/>
      </w:pPr>
      <w:r w:rsidRPr="00A910E2">
        <w:rPr>
          <w:rFonts w:eastAsia="Verdana"/>
        </w:rPr>
        <w:t>7.2.1.2</w:t>
      </w:r>
      <w:r w:rsidRPr="00A910E2">
        <w:rPr>
          <w:rFonts w:eastAsia="Verdana"/>
        </w:rPr>
        <w:tab/>
        <w:t>Conception et élaboration du système d'information du BR pour les systèmes spatiaux (BR SIS)</w:t>
      </w:r>
    </w:p>
    <w:p w14:paraId="4A27D924" w14:textId="3A276141" w:rsidR="002F315F" w:rsidRPr="00A910E2" w:rsidRDefault="00BD1D14" w:rsidP="009D7A5E">
      <w:pPr>
        <w:pStyle w:val="enumlev1"/>
      </w:pPr>
      <w:r w:rsidRPr="00A910E2">
        <w:t>•</w:t>
      </w:r>
      <w:r w:rsidRPr="00A910E2">
        <w:tab/>
      </w:r>
      <w:r w:rsidR="002F315F" w:rsidRPr="00A910E2">
        <w:t>Réécriture du logiciel SpaceCap en langage Visual Basic 6: en cours. En 2023, les travaux de base se sont poursuivis sur le cadre de la nouvelle application BRSIS-Capture, l'objectif étant une mise en œuvre partielle des décisions de la CMR-23 dans la version 10.5 (version intermédiaire du logiciel du BR pour les services spatiaux axée sur la modernisation des bases de données, conformément au §</w:t>
      </w:r>
      <w:r w:rsidRPr="00A910E2">
        <w:t xml:space="preserve"> </w:t>
      </w:r>
      <w:hyperlink w:anchor="_7.2.2￼Progress_toward_achieving">
        <w:r w:rsidR="002F315F" w:rsidRPr="00A910E2">
          <w:t>7.2.2</w:t>
        </w:r>
      </w:hyperlink>
      <w:r w:rsidR="002F315F" w:rsidRPr="00A910E2">
        <w:t xml:space="preserve"> ci-après).</w:t>
      </w:r>
    </w:p>
    <w:p w14:paraId="75C220F4" w14:textId="08C9DB89" w:rsidR="002F315F" w:rsidRPr="00A910E2" w:rsidRDefault="00BD1D14" w:rsidP="009D7A5E">
      <w:pPr>
        <w:pStyle w:val="enumlev1"/>
        <w:keepLines/>
      </w:pPr>
      <w:r w:rsidRPr="00A910E2">
        <w:t>•</w:t>
      </w:r>
      <w:r w:rsidRPr="00A910E2">
        <w:tab/>
      </w:r>
      <w:r w:rsidR="002F315F" w:rsidRPr="00A910E2">
        <w:t>Migration de la base de données SRS au format MDB vers une technologie plus moderne: bien que le choix de la technologie appelée à remplacer les fichiers MDB soit clair, la migration va produire des effets importants sur le traitement interne du BR pour les services spatiaux. En raison de nombreuses autres priorités urgentes à traiter en 2023 et en 2024, les travaux se poursuivront seulement après la mise en œuvre des décisions de la CMR</w:t>
      </w:r>
      <w:r w:rsidRPr="00A910E2">
        <w:noBreakHyphen/>
      </w:r>
      <w:r w:rsidR="002F315F" w:rsidRPr="00A910E2">
        <w:t>23. Même lorsque l'on aura opéré la migration des applications logicielles du BR pour les services spatiaux vers SQLite, la rétrocompatibilité avec le format MDB, ainsi que les outils de conversion, seront maintenus dans un avenir prévisible.</w:t>
      </w:r>
    </w:p>
    <w:p w14:paraId="3377198B" w14:textId="75855FED" w:rsidR="002F315F" w:rsidRPr="00A910E2" w:rsidRDefault="00BD1D14" w:rsidP="009D7A5E">
      <w:pPr>
        <w:pStyle w:val="enumlev1"/>
      </w:pPr>
      <w:r w:rsidRPr="00A910E2">
        <w:t>•</w:t>
      </w:r>
      <w:r w:rsidRPr="00A910E2">
        <w:tab/>
      </w:r>
      <w:r w:rsidR="002F315F" w:rsidRPr="00A910E2">
        <w:t>Migration de la base de données SNS d'Ingres vers SQL Server: la migration d'applications de traitement interne propres à l'environnement Ingres s'est poursuivie en 2023. Il a fallu apporter des changements internes majeurs et imprévus à l'application SpaceCap existante, ce qui a eu pour conséquence de reporter au deuxième trimestre de 2024 les essais bêta. Il est prévu que la migration soit achevée d'ici fin 2024.</w:t>
      </w:r>
    </w:p>
    <w:p w14:paraId="7B1BA85C" w14:textId="49765166" w:rsidR="002F315F" w:rsidRPr="00A910E2" w:rsidRDefault="00BD1D14" w:rsidP="009D7A5E">
      <w:pPr>
        <w:pStyle w:val="enumlev1"/>
      </w:pPr>
      <w:r w:rsidRPr="00A910E2">
        <w:t>•</w:t>
      </w:r>
      <w:r w:rsidRPr="00A910E2">
        <w:tab/>
      </w:r>
      <w:r w:rsidR="002F315F" w:rsidRPr="00A910E2">
        <w:t>Réexamen de SNTrack: en cours. SNTrack sera remplacé progressivement par un système informatique de gestion des systèmes spatiaux, afin de compléter la fonctionnalité administrative du système de soumission électronique.</w:t>
      </w:r>
    </w:p>
    <w:p w14:paraId="6F16BA78" w14:textId="0027CECB" w:rsidR="002F315F" w:rsidRPr="00A910E2" w:rsidRDefault="00BD1D14" w:rsidP="009D7A5E">
      <w:pPr>
        <w:pStyle w:val="enumlev1"/>
      </w:pPr>
      <w:r w:rsidRPr="00A910E2">
        <w:t>•</w:t>
      </w:r>
      <w:r w:rsidRPr="00A910E2">
        <w:tab/>
      </w:r>
      <w:r w:rsidR="002F315F" w:rsidRPr="00A910E2">
        <w:t xml:space="preserve">Réexamen du système SNS en ligne (et fusion avec le système SNL en ligne): en cours. Mise au point de l'application web «ITU Space Explorer» en vue de remplacer le système d'exploration des données qui figurait précédemment dans le système SNS Online. Le système SNL en ligne fait partie des produits visant à appliquer le point 4 du </w:t>
      </w:r>
      <w:r w:rsidR="002F315F" w:rsidRPr="00A910E2">
        <w:rPr>
          <w:i/>
          <w:iCs/>
        </w:rPr>
        <w:t xml:space="preserve">charge le Directeur du Bureau des radiocommunications </w:t>
      </w:r>
      <w:r w:rsidR="002F315F" w:rsidRPr="00A910E2">
        <w:t xml:space="preserve">de la Résolution </w:t>
      </w:r>
      <w:r w:rsidR="002F315F" w:rsidRPr="00A910E2">
        <w:rPr>
          <w:b/>
          <w:bCs/>
        </w:rPr>
        <w:t>186 (Rév.</w:t>
      </w:r>
      <w:r w:rsidRPr="00A910E2">
        <w:rPr>
          <w:b/>
          <w:bCs/>
        </w:rPr>
        <w:t> </w:t>
      </w:r>
      <w:r w:rsidR="002F315F" w:rsidRPr="00A910E2">
        <w:rPr>
          <w:b/>
          <w:bCs/>
        </w:rPr>
        <w:t>Bucarest,</w:t>
      </w:r>
      <w:r w:rsidRPr="00A910E2">
        <w:rPr>
          <w:b/>
          <w:bCs/>
        </w:rPr>
        <w:t> </w:t>
      </w:r>
      <w:r w:rsidR="002F315F" w:rsidRPr="00A910E2">
        <w:rPr>
          <w:b/>
          <w:bCs/>
        </w:rPr>
        <w:t>2022)</w:t>
      </w:r>
      <w:r w:rsidR="002F315F" w:rsidRPr="00A910E2">
        <w:t xml:space="preserve"> de la Conférence de plénipotentiaires. Des progrès ont été accomplis dans la Phase 1 du projet en 2023 et une nouvelle fonctionnalité a été mise à disposition à des fins d'essai à temps pour la CMR-23, avec des retours très positifs de la part des délégués. La version opérationnelle complète est attendue au deuxième trimestre de 2024.</w:t>
      </w:r>
    </w:p>
    <w:p w14:paraId="55FC80E8" w14:textId="77777777" w:rsidR="002F315F" w:rsidRPr="00A910E2" w:rsidRDefault="002F315F" w:rsidP="009D7A5E">
      <w:pPr>
        <w:pStyle w:val="Heading3"/>
      </w:pPr>
      <w:r w:rsidRPr="00A910E2">
        <w:t>7.2.2</w:t>
      </w:r>
      <w:r w:rsidRPr="00A910E2">
        <w:tab/>
        <w:t>Progrès accomplis en vue de la réalisation des objectifs de la Phase 3 de la feuille de route</w:t>
      </w:r>
    </w:p>
    <w:p w14:paraId="52EA3319" w14:textId="77777777" w:rsidR="002F315F" w:rsidRPr="00A910E2" w:rsidRDefault="002F315F" w:rsidP="009D7A5E">
      <w:r w:rsidRPr="00A910E2">
        <w:t>Les travaux menés au cours des phases précédentes, ainsi que les choix de conception et les choix techniques effectués, constituent une excellente base pour la mise en œuvre avec succès de la Phase 3:</w:t>
      </w:r>
    </w:p>
    <w:p w14:paraId="7DB738B8" w14:textId="54EA238A" w:rsidR="002F315F" w:rsidRPr="00A910E2" w:rsidRDefault="00BD1D14" w:rsidP="009D7A5E">
      <w:pPr>
        <w:pStyle w:val="enumlev1"/>
      </w:pPr>
      <w:r w:rsidRPr="00A910E2">
        <w:t>•</w:t>
      </w:r>
      <w:r w:rsidRPr="00A910E2">
        <w:tab/>
      </w:r>
      <w:r w:rsidR="002F315F" w:rsidRPr="00A910E2">
        <w:t>Une nouvelle conception de la structure, qui préservera l'équivalence des données, mais aura pour objectif de supprimer certaines redondances, sera déployée sous la forme d'une version 10.5 début 2027, à mi-chemin de la mise en œuvre des décisions de la CMR</w:t>
      </w:r>
      <w:r w:rsidRPr="00A910E2">
        <w:noBreakHyphen/>
      </w:r>
      <w:r w:rsidR="002F315F" w:rsidRPr="00A910E2">
        <w:t>23 et de la CMR-27, de façon à ne pas obliger à un changement trop fréquent de la structure de base de données.</w:t>
      </w:r>
    </w:p>
    <w:p w14:paraId="7907E799" w14:textId="34DCCC23" w:rsidR="002F315F" w:rsidRPr="00A910E2" w:rsidRDefault="00BD1D14" w:rsidP="009D7A5E">
      <w:pPr>
        <w:pStyle w:val="enumlev1"/>
      </w:pPr>
      <w:r w:rsidRPr="00A910E2">
        <w:t>•</w:t>
      </w:r>
      <w:r w:rsidRPr="00A910E2">
        <w:tab/>
      </w:r>
      <w:r w:rsidR="002F315F" w:rsidRPr="00A910E2">
        <w:t>Des activités visant à centraliser et à rationaliser la gestion des risques, de la reprise des activités et de la sécurité sont en cours.</w:t>
      </w:r>
    </w:p>
    <w:p w14:paraId="3F4CC30E" w14:textId="77777777" w:rsidR="002F315F" w:rsidRPr="00A910E2" w:rsidRDefault="002F315F" w:rsidP="009D7A5E">
      <w:pPr>
        <w:pStyle w:val="Heading2"/>
      </w:pPr>
      <w:r w:rsidRPr="00A910E2">
        <w:t>7.3</w:t>
      </w:r>
      <w:r w:rsidRPr="00A910E2">
        <w:tab/>
        <w:t>Élaboration de logiciels relatifs aux services spatiaux</w:t>
      </w:r>
    </w:p>
    <w:p w14:paraId="7EE3CE44" w14:textId="77777777" w:rsidR="002F315F" w:rsidRPr="00A910E2" w:rsidRDefault="002F315F" w:rsidP="009D7A5E">
      <w:pPr>
        <w:pStyle w:val="Heading3"/>
      </w:pPr>
      <w:r w:rsidRPr="00A910E2">
        <w:t>7.3.1</w:t>
      </w:r>
      <w:r w:rsidRPr="00A910E2">
        <w:tab/>
        <w:t>Mise en œuvre de la Résolution 907 (Rév.CMR-15) – Utilisation de moyens modernes de communication électroniques pour la correspondance administrative concernant les réseaux à satellite</w:t>
      </w:r>
    </w:p>
    <w:p w14:paraId="4A8FB670" w14:textId="3A6D3E60" w:rsidR="00A910E2" w:rsidRDefault="002F315F" w:rsidP="00A910E2">
      <w:pPr>
        <w:rPr>
          <w:rFonts w:eastAsia="Calibri"/>
        </w:rPr>
      </w:pPr>
      <w:r w:rsidRPr="00A910E2">
        <w:rPr>
          <w:rFonts w:eastAsia="Calibri"/>
        </w:rPr>
        <w:t xml:space="preserve">En 2023, les travaux visant à améliorer et à tenir à jour le système en ligne de communications électroniques conformément à la Résolution </w:t>
      </w:r>
      <w:r w:rsidRPr="00A910E2">
        <w:rPr>
          <w:rFonts w:eastAsia="Calibri"/>
          <w:b/>
          <w:bCs/>
        </w:rPr>
        <w:t>907 (Rév.CMR-15)</w:t>
      </w:r>
      <w:r w:rsidRPr="00A910E2">
        <w:rPr>
          <w:rFonts w:eastAsia="Calibri"/>
        </w:rPr>
        <w:t xml:space="preserve"> se sont poursuivis. Le nombre d'administrations enregistrées est en hausse et s'élève à 147, dont 127 avaient envoyé des correspondances via le système au 8</w:t>
      </w:r>
      <w:r w:rsidR="00BD1D14" w:rsidRPr="00A910E2">
        <w:rPr>
          <w:rFonts w:eastAsia="Calibri"/>
        </w:rPr>
        <w:t xml:space="preserve"> </w:t>
      </w:r>
      <w:r w:rsidRPr="00A910E2">
        <w:rPr>
          <w:rFonts w:eastAsia="Calibri"/>
        </w:rPr>
        <w:t>février</w:t>
      </w:r>
      <w:r w:rsidR="00BD1D14" w:rsidRPr="00A910E2">
        <w:rPr>
          <w:rFonts w:eastAsia="Calibri"/>
        </w:rPr>
        <w:t xml:space="preserve"> </w:t>
      </w:r>
      <w:r w:rsidRPr="00A910E2">
        <w:rPr>
          <w:rFonts w:eastAsia="Calibri"/>
        </w:rPr>
        <w:t>2024. La nouvelle fonction d'intégration au système de</w:t>
      </w:r>
      <w:r w:rsidR="00C501FF" w:rsidRPr="00A910E2">
        <w:rPr>
          <w:rFonts w:eastAsia="Calibri"/>
        </w:rPr>
        <w:t xml:space="preserve"> </w:t>
      </w:r>
      <w:r w:rsidR="00A910E2">
        <w:rPr>
          <w:rFonts w:eastAsia="Calibri"/>
        </w:rPr>
        <w:br w:type="page"/>
      </w:r>
    </w:p>
    <w:p w14:paraId="76A04DA5" w14:textId="0039F59A" w:rsidR="00537545" w:rsidRPr="00A910E2" w:rsidRDefault="002F315F" w:rsidP="00C501FF">
      <w:pPr>
        <w:rPr>
          <w:rFonts w:eastAsia="Calibri"/>
        </w:rPr>
      </w:pPr>
      <w:r w:rsidRPr="00A910E2">
        <w:rPr>
          <w:rFonts w:eastAsia="Calibri"/>
        </w:rPr>
        <w:t>soumission électronique, qui facilitera le suivi de correspondance entre le Bureau et l'administration notificatrice concernant les échanges relatifs à la recevabilité, est en cours de mise au point et devrait être installée au premier semestre de 2024.</w:t>
      </w:r>
    </w:p>
    <w:p w14:paraId="0EF1C379" w14:textId="77777777" w:rsidR="008F2CD5" w:rsidRPr="00A910E2" w:rsidRDefault="008F2CD5" w:rsidP="008F2CD5">
      <w:pPr>
        <w:pStyle w:val="Heading3"/>
      </w:pPr>
      <w:r w:rsidRPr="00A910E2">
        <w:t>7.3.2</w:t>
      </w:r>
      <w:r w:rsidRPr="00A910E2">
        <w:tab/>
        <w:t>Mise en œuvre de la Résolution 908 (Rév.CMR-15): Soumission par voie électronique des fiches de notification des réseaux à satellite</w:t>
      </w:r>
    </w:p>
    <w:p w14:paraId="6BE4BFFD" w14:textId="77777777" w:rsidR="008F2CD5" w:rsidRPr="00A910E2" w:rsidRDefault="008F2CD5" w:rsidP="008F2CD5">
      <w:r w:rsidRPr="00A910E2">
        <w:t>En 2023, le système de soumission par voie électronique était accessible 24 heures sur 24 pour les administrations et les entités exploitantes souhaitant soumettre des fiches de notification de réseaux à satellite. Au 8 février 2024, le nombre d'administrations enregistrées était en hausse et s'élevait à 154.</w:t>
      </w:r>
    </w:p>
    <w:p w14:paraId="41A62E3E" w14:textId="77777777" w:rsidR="008F2CD5" w:rsidRPr="00A910E2" w:rsidRDefault="008F2CD5" w:rsidP="008F2CD5">
      <w:r w:rsidRPr="00A910E2">
        <w:t>Le système de soumission par voie électronique a fait l'objet de quatre mises à jour importantes en 2023. Conformément à la Lettre circulaire CR/493, depuis le 16 janvier 2023, le système de soumission par voie électronique accepte uniquement les fiches de notification téléchargées au format SNS 9.1.</w:t>
      </w:r>
    </w:p>
    <w:p w14:paraId="1F48D891" w14:textId="77777777" w:rsidR="008F2CD5" w:rsidRPr="00A910E2" w:rsidRDefault="008F2CD5" w:rsidP="008F2CD5">
      <w:r w:rsidRPr="00A910E2">
        <w:t>En outre, le 17 septembre 2023, le nouveau statut «Published in BR IFIC» (publiée dans la BR IFIC) a été ajouté dans le système de soumission par voie électronique. Lorsqu'une fiche de notification est publiée dans une Section spéciale ou dans la Partie I-S d'une BR IFIC (Services spatiaux) conformément au Règlement des radiocommunications, le statut de cette fiche de notification dans le système de soumission électronique passera de «Published As-Received» (publiée telle que reçue) à «Published in BR IFIC» (publiée dans la BR IFIC).</w:t>
      </w:r>
    </w:p>
    <w:p w14:paraId="48A8F690" w14:textId="77777777" w:rsidR="008F2CD5" w:rsidRPr="00A910E2" w:rsidRDefault="008F2CD5" w:rsidP="008F2CD5">
      <w:r w:rsidRPr="00A910E2">
        <w:t>De plus, depuis le 1er octobre 2023, le nouvel outil d'examen «Examen électronique» est proposé dans le cadre du système de soumission par voie électronique. Cet outil aide les administrations à vérifier la conformité aux limites de puissance surfacique et de p.i.r.e. définies dans le Règlement des radiocommunications lorsqu'elles soumettent leurs fiches de notification de réseaux à satellite au Bureau ou à des administrations. Cette fonction est mise à disposition à des fins d'information et de commodité pour l'administration notificatrice/l'opérateur et n'a aucune incidence sur le statut réglementaire de la fiche de notification en ce qui concerne sa recevabilité ou les conclusions dont elle fait l'objet.</w:t>
      </w:r>
    </w:p>
    <w:p w14:paraId="1507BB85" w14:textId="77777777" w:rsidR="008F2CD5" w:rsidRPr="00A910E2" w:rsidRDefault="008F2CD5" w:rsidP="008F2CD5">
      <w:r w:rsidRPr="00A910E2">
        <w:t>Pour répondre aux besoins immédiats concernant les nouvelles soumissions sur la base des décisions de la CMR-23, le Bureau a mis en œuvre, le 16 décembre 2023, une nouvelle fonctionnalité permettant de saisir et de soumettre des éléments de données additionnels dans l'interface de soumission électronique.</w:t>
      </w:r>
    </w:p>
    <w:p w14:paraId="64B1A28C" w14:textId="77777777" w:rsidR="008F2CD5" w:rsidRPr="00A910E2" w:rsidRDefault="008F2CD5" w:rsidP="008F2CD5">
      <w:r w:rsidRPr="00A910E2">
        <w:t>De nouvelles évolutions sont en cours afin de mettre d'autres fonctions à disposition, dont l'intégration au système de communications électroniques, qui devrait être mise en place au premier trimestre de 2024. Le Bureau procédera en outre au développement du système de formulation d'observations en ligne, même si ce travail pourrait dépendre de la disponibilité de ressources supplémentaires.</w:t>
      </w:r>
    </w:p>
    <w:p w14:paraId="0DB5CEC5" w14:textId="77777777" w:rsidR="008F2CD5" w:rsidRPr="00A910E2" w:rsidRDefault="008F2CD5" w:rsidP="008F2CD5">
      <w:r w:rsidRPr="00A910E2">
        <w:t xml:space="preserve">Il convient de noter que la CMR-23 a fusionné les Résolutions </w:t>
      </w:r>
      <w:r w:rsidRPr="00A910E2">
        <w:rPr>
          <w:b/>
        </w:rPr>
        <w:t xml:space="preserve">907 </w:t>
      </w:r>
      <w:r w:rsidRPr="00A910E2">
        <w:t xml:space="preserve">et </w:t>
      </w:r>
      <w:r w:rsidRPr="00A910E2">
        <w:rPr>
          <w:b/>
        </w:rPr>
        <w:t xml:space="preserve">908 </w:t>
      </w:r>
      <w:r w:rsidRPr="00A910E2">
        <w:t xml:space="preserve">en une seule Résolution, à savoir la Résolution </w:t>
      </w:r>
      <w:r w:rsidRPr="00A910E2">
        <w:rPr>
          <w:b/>
        </w:rPr>
        <w:t>55 (Rév.CMR-23)</w:t>
      </w:r>
      <w:r w:rsidRPr="00A910E2">
        <w:t xml:space="preserve">; par conséquent, tous les futurs travaux concernant les systèmes de soumission électronique et de communications électroniques se poursuivront au titre de la Résolution </w:t>
      </w:r>
      <w:r w:rsidRPr="00A910E2">
        <w:rPr>
          <w:b/>
        </w:rPr>
        <w:t>55 (Rév.CMR-23)</w:t>
      </w:r>
      <w:r w:rsidRPr="00A910E2">
        <w:t>.</w:t>
      </w:r>
    </w:p>
    <w:p w14:paraId="12CA235A" w14:textId="77777777" w:rsidR="008F2CD5" w:rsidRPr="00A910E2" w:rsidRDefault="008F2CD5" w:rsidP="008F2CD5">
      <w:r w:rsidRPr="00A910E2">
        <w:t>Afin de faciliter les activités de développement et de tests de cet outil, l'Administration du Japon a apporté une contribution financière et a aussi mis à disposition au siège de l'UIT un expert technique et en réglementation dans le domaine des réseaux à satellite. Le Bureau des radiocommunications remercie à nouveau l'Administration du Japon de son appui constant et d'avoir bien voulu fournir une assistance concrète aux fins de l'élaboration de ce projet.</w:t>
      </w:r>
    </w:p>
    <w:p w14:paraId="6FBAE79E" w14:textId="77777777" w:rsidR="008F2CD5" w:rsidRPr="00A910E2" w:rsidRDefault="008F2CD5" w:rsidP="008F2CD5">
      <w:pPr>
        <w:pStyle w:val="Heading3"/>
      </w:pPr>
      <w:r w:rsidRPr="00A910E2">
        <w:t>7.3.3</w:t>
      </w:r>
      <w:r w:rsidRPr="00A910E2">
        <w:tab/>
        <w:t>Passage de la Circulaire BR IFIC (services spatiaux) du support DVD à un mécanisme en ligne</w:t>
      </w:r>
    </w:p>
    <w:p w14:paraId="705493E1" w14:textId="77777777" w:rsidR="008F2CD5" w:rsidRPr="00A910E2" w:rsidRDefault="008F2CD5" w:rsidP="008F2CD5">
      <w:r w:rsidRPr="00A910E2">
        <w:t>Compte tenu de l'obsolescence des technologies logicielles utilisées pour la mise en œuvre du DVD-ROM de la BR IFIC (services spatiaux), le Bureau travaille sur un projet visant à faire passer la BR IFIC (services spatiaux) du support DVD à un mécanisme de distribution en ligne. Après la mise à disposition d'une version bêta en mars 2023 à l'intention des abonnés à la BR IFIC pour permettre à ceux-ci de formuler des observations et de donner leur avis, l'application web BR IFIC (services spatiaux) en ligne a été publiée officiellement le 23 janvier 2024 sur un serveur sécurisé offrant un accès 24 heures sur 24, sept jours sur sept. Cette interface en ligne permet de parcourir en ligne le contenu de la BR IFIC (services spatiaux) et de télécharger les informations pertinentes (publications et bases de données), à partir de la BR IFIC N° 2987 datée du 10 janvier 2023. Les utilisateurs inscrits au mode de distribution sur le web de la BR IFIC (services spatiaux) ont pleinement accès à la BR IFIC (services spatiaux) en ligne.</w:t>
      </w:r>
    </w:p>
    <w:p w14:paraId="77BA05C3" w14:textId="77777777" w:rsidR="008F2CD5" w:rsidRPr="00A910E2" w:rsidRDefault="008F2CD5" w:rsidP="008F2CD5">
      <w:r w:rsidRPr="00A910E2">
        <w:t>La nouvelle application a également été déployée pour le DVD-ROM et le fichier ISO de la BR IFIC. Par conséquent, tous les modes de distribution de la BR IFIC (services spatiaux) (interface web, format ISO et DVD-ROM) sont fondés sur la nouvelle application, qui offre une nouvelle interface utilisateur. Cette nouvelle interface permet d'extraire plus facilement des informations de tous les fichiers de données et de publication correspondant à un réseau à satellite donné. En particulier, les fichiers techniques (résultats des examens, données relatives à l'epfd, etc.) contiennent maintenant un lien vers les publications réglementaires (Sections spéciales et parties), ce qui permet d'afficher tous les documents publiés pour un réseau à satellite donné.</w:t>
      </w:r>
    </w:p>
    <w:p w14:paraId="367C00C1" w14:textId="77777777" w:rsidR="008F2CD5" w:rsidRPr="00A910E2" w:rsidRDefault="008F2CD5" w:rsidP="008F2CD5">
      <w:r w:rsidRPr="00A910E2">
        <w:t>En outre, une nouvelle fonctionnalité dénommée «Requêtes avancées» a été ajoutée à l'application en ligne de la BR IFIC, permettant ainsi aux utilisateurs d'exécuter des requêtes sur les données SNS publiées dans une BR IFIC précise. Il est actuellement possible d'effectuer des requêtes avancées pour les trois éléments suivants: liste des administrations concernées par une demande de coordination, liste des réseaux concernés par une demande de coordination et liste des réseaux susceptibles de causer des brouillages à des réseaux d'une administration donnée. D'autres requêtes avancées seront mises au point à l'avenir.</w:t>
      </w:r>
    </w:p>
    <w:p w14:paraId="4E35A9C7" w14:textId="77777777" w:rsidR="008F2CD5" w:rsidRPr="00A910E2" w:rsidRDefault="008F2CD5" w:rsidP="008F2CD5">
      <w:r w:rsidRPr="00A910E2">
        <w:t>De nouvelles évolutions sont en cours afin de mettre à disposition des abonnés de la BR IFIC toutes les publications passées publiées dans les circulaires BR WIC et BR IFIC précédentes.</w:t>
      </w:r>
    </w:p>
    <w:p w14:paraId="7BBF23F0" w14:textId="77777777" w:rsidR="008F2CD5" w:rsidRPr="00A910E2" w:rsidRDefault="008F2CD5" w:rsidP="008F2CD5">
      <w:r w:rsidRPr="00A910E2">
        <w:t>Enfin, le Bureau étudie la possibilité de proposer une interface de programmation d'application (API) pour permettre aux utilisateurs de la BR IFIC d'interroger directement la base de données de la BR IFIC.</w:t>
      </w:r>
    </w:p>
    <w:p w14:paraId="6ED2968F" w14:textId="77777777" w:rsidR="008F2CD5" w:rsidRPr="00A910E2" w:rsidRDefault="008F2CD5" w:rsidP="008F2CD5">
      <w:pPr>
        <w:pStyle w:val="Heading2"/>
      </w:pPr>
      <w:r w:rsidRPr="00A910E2">
        <w:t>7.4</w:t>
      </w:r>
      <w:r w:rsidRPr="00A910E2">
        <w:tab/>
        <w:t>Élaboration de logiciels liés aux services de Terre et autres outils et logiciels du BR</w:t>
      </w:r>
    </w:p>
    <w:p w14:paraId="1FE6ED34" w14:textId="77777777" w:rsidR="008F2CD5" w:rsidRPr="00A910E2" w:rsidRDefault="008F2CD5" w:rsidP="008F2CD5">
      <w:pPr>
        <w:pStyle w:val="Heading3"/>
      </w:pPr>
      <w:r w:rsidRPr="00A910E2">
        <w:t>7.4.1</w:t>
      </w:r>
      <w:r w:rsidRPr="00A910E2">
        <w:tab/>
        <w:t>Outils concernant le Règlement des radiocommunications</w:t>
      </w:r>
    </w:p>
    <w:p w14:paraId="7926A41A" w14:textId="77777777" w:rsidR="008F2CD5" w:rsidRPr="00A910E2" w:rsidRDefault="008F2CD5" w:rsidP="008F2CD5">
      <w:r w:rsidRPr="00A910E2">
        <w:t>Le Bureau continue d'actualiser et de tenir à jour les outils logiciels pour faciliter l'utilisation et l'analyse du Règlement des radiocommunications (RR):</w:t>
      </w:r>
    </w:p>
    <w:p w14:paraId="5A726CD5" w14:textId="77777777" w:rsidR="008F2CD5" w:rsidRPr="00A910E2" w:rsidRDefault="008F2CD5" w:rsidP="008F2CD5">
      <w:pPr>
        <w:pStyle w:val="enumlev1"/>
      </w:pPr>
      <w:r w:rsidRPr="00A910E2">
        <w:t>a)</w:t>
      </w:r>
      <w:r w:rsidRPr="00A910E2">
        <w:tab/>
        <w:t>Une version utilisable sans licence et limitée dans le temps de l'outil de navigation du Règlement des radiocommunications a été publiée à temps pour l'AR-23/la CMR-23 afin de faciliter les travaux des délégués et de démontrer l'utilité de l'outil en vue de de vendre des licences d'utilisation dans le futur. L'outil sera mis à jour avec la version de 2024 du Règlement des radiocommunications dès que possible après la publication du RR.</w:t>
      </w:r>
    </w:p>
    <w:p w14:paraId="72C61D17" w14:textId="3DBCA271" w:rsidR="008F2CD5" w:rsidRPr="00A910E2" w:rsidRDefault="008F2CD5" w:rsidP="00A910E2">
      <w:pPr>
        <w:pStyle w:val="enumlev1"/>
      </w:pPr>
      <w:r w:rsidRPr="00A910E2">
        <w:t>b)</w:t>
      </w:r>
      <w:r w:rsidRPr="00A910E2">
        <w:tab/>
        <w:t>L'outil logiciel permettant d'effectuer des recherches et une analyse détaillées dans le Tableau d'attribution des bandes de fréquences de l'Article 5 du Règlement des radiocommunications, avec filtrage et reformatage en fonction de la gamme de fréquences, du service, de la catégorie de service, du renvoi, du pays, etc. Cet outil a été mis à jour compte tenu des résultats de la CMR-19 et de l'édition de 2020 du RR, afin d'apporter les changements concernant les attributions de fréquences, les renvois relatifs à des pays et les références connexes aux Résolutions et aux Recommandations concernées. La version mise à jour inclut désormais des liens renvoyant vers les Recommandations UIT-R pertinentes dont il est fait mention dans l'Article 5 du RR, ainsi que vers la version la plus récente des Règles de procédure qui s'appliquent. Elle est également équipée d'un utilitaire permettant d'extraire le Tableau national d'attribution des bandes de fréquences pour un pays donné, dans la mesure où ce tableau résulte d'une combinaison des diverses dispositions de l'Article 5 du RR. Tout au long de 2023, cet outil a été amélioré pour y intégrer des liens vers plusieurs dispositions de différents articles du RR. Il a fait l'objet de démonstrations durant plusieurs séminaires régionaux sur les radiocommunications. Il est disponible à la vente sur le site web du Service des ventes de l'UIT. Toutes les mises à jour logicielles et de données seront proposées aux abonnés gratuitement et à intervalles réguliers, jusqu'à la publication de la nouvelle version, compte tenu des décisions de la CMR-23. Une version utilisable sans licence et limitée dans le temps du Tableau d'attribution des bandes de fréquences de l'Article 5 du Règlement des radiocommunications a été publiée à temps pour l'AR-23/la CMR-23 afin de faciliter les travaux des délégués et de démontrer l'utilité de l'outil en vue de vendre des licences d'utilisation dans le futur. Cet outil a commencé à être mis à jour après la CMR-23, et la version mise à jour devrait être disponible au deuxième trimestre de 2024.</w:t>
      </w:r>
    </w:p>
    <w:p w14:paraId="3556E2E8" w14:textId="77777777" w:rsidR="008F2CD5" w:rsidRPr="00A910E2" w:rsidRDefault="008F2CD5" w:rsidP="008F2CD5">
      <w:pPr>
        <w:pStyle w:val="Heading3"/>
      </w:pPr>
      <w:r w:rsidRPr="00A910E2">
        <w:t>7.4.2</w:t>
      </w:r>
      <w:r w:rsidRPr="00A910E2">
        <w:tab/>
        <w:t>Nouvelles améliorations apportées aux outils web</w:t>
      </w:r>
    </w:p>
    <w:p w14:paraId="614BB951" w14:textId="77777777" w:rsidR="008F2CD5" w:rsidRPr="00A910E2" w:rsidRDefault="008F2CD5" w:rsidP="008F2CD5">
      <w:r w:rsidRPr="00A910E2">
        <w:t>Les outils en ligne eBroadcasting (anciennement eBCD2.0) et eMIFR ont été intégrés dans le portail des services de Terre en ligne, mis en œuvre au moyen des toutes dernières technologies web, et mis en exploitation en décembre 2020. L'outil de validation en ligne (rebaptisé eValidation) a été intégré au dernier trimestre de 2021 et de nouvelles fonctionnalités ont été introduites, notamment un tableau de bord, pour permettre au BR et aux utilisateurs de suivre leurs activités. Les outils de propagation sont désormais disponibles via l'outil ePropagation, qui intègre des capacités renforcées de mise en correspondance.</w:t>
      </w:r>
    </w:p>
    <w:p w14:paraId="31114CDE" w14:textId="77777777" w:rsidR="008F2CD5" w:rsidRPr="00A910E2" w:rsidRDefault="008F2CD5" w:rsidP="008F2CD5">
      <w:r w:rsidRPr="00A910E2">
        <w:t>Les outils eBroadcasting développés pour prendre en charge le processus d'optimisation du Plan GE84 ont contribué au succès de cette activité. Des cartes sont utilisées grâce à la bibliothèque à code source ouvert OpenLayers, qui a été choisie par le Groupe d'action du BR (voir la section 7.4.4). L'outil de simulation de modification du Plan au titre de l'Article 4 de l'Accord GE06 dans eTools utilise maintenant les services TerRaSys pour effectuer les calculs, tout en conservant le même aspect et la même convivialité qu'avant. L'intégration de l'examen de conformité relevant de l'Article 5 de l'Accord GE06 dans eTools est également en cours d'achèvement, ce qui permettra de désactiver prochainement l'outil actuellement disponible dans l'outil autonome GE06Calc.</w:t>
      </w:r>
    </w:p>
    <w:p w14:paraId="7FBE9E76" w14:textId="77777777" w:rsidR="008F2CD5" w:rsidRPr="00A910E2" w:rsidRDefault="008F2CD5" w:rsidP="008F2CD5">
      <w:r w:rsidRPr="00A910E2">
        <w:t>Les simulations P1546 dans ePropagation ont été améliorées grâce à la mise en œuvre du calcul point à point P1546 et à l'intégration de l'outil SRTM1/ASTER v3 pour déterminer la hauteur d'antenne effective, qui permettent d'effectuer des simulations P1546 dans l'intervalle [83° S, 83° N].</w:t>
      </w:r>
    </w:p>
    <w:p w14:paraId="4ED20F73" w14:textId="77777777" w:rsidR="008F2CD5" w:rsidRPr="00A910E2" w:rsidRDefault="008F2CD5" w:rsidP="008F2CD5">
      <w:r w:rsidRPr="00A910E2">
        <w:t>L'interface web pour la soumission des assignations de fréquence/allotissements à des services de Terre au BR (WISFAT) intègre désormais l'option de validation des fiches de notification via eValidation et est en cours de production. L'utilisation des cartes de navigation a été élargie à d'autres outils (eMIFR, myAdmin et ePub), et la fonctionnalité d'affichage des cartes a été intégrée à l'outil de propagation point-zone P1812. Le volet ePropagation a été amélioré grâce à un nouvel outil point à point P1546 et à une nouvelle fonctionnalité qui tient compte des affaiblissements de l'antenne dans les calculs pour tous les outils.</w:t>
      </w:r>
    </w:p>
    <w:p w14:paraId="6BA78EE8" w14:textId="77777777" w:rsidR="008F2CD5" w:rsidRPr="00A910E2" w:rsidRDefault="008F2CD5" w:rsidP="008F2CD5">
      <w:r w:rsidRPr="00A910E2">
        <w:t>La plate-forme en ligne pour les services fixes et mobiles (eFXM) a été mise au point à l'aide des technologies web les plus récentes et intégrée au portail eTerrestrial en 2022. Outre eQueryFXM, ePubFXM a été amélioré pour permettre aux administrations de consulter les sections spéciales FXM publiées annexées à la BR IFIC (services de Terre) et les renseignements de coordination connexes. Parmi les sections spéciales FXM, les sections RR9.21 et GE06L ont été élaborées et intégrées dans le portail des services de Terre en ligne en 2023.</w:t>
      </w:r>
    </w:p>
    <w:p w14:paraId="16225C36" w14:textId="77777777" w:rsidR="008F2CD5" w:rsidRPr="00A910E2" w:rsidRDefault="008F2CD5" w:rsidP="008F2CD5">
      <w:pPr>
        <w:pStyle w:val="Heading3"/>
      </w:pPr>
      <w:r w:rsidRPr="00A910E2">
        <w:t>7.4.3</w:t>
      </w:r>
      <w:r w:rsidRPr="00A910E2">
        <w:tab/>
        <w:t>Logiciel d'analyse de compatibilité pour la radiodiffusion sonore à modulation de fréquence</w:t>
      </w:r>
    </w:p>
    <w:p w14:paraId="3F3835E5" w14:textId="469502C2" w:rsidR="008F2CD5" w:rsidRPr="00A910E2" w:rsidRDefault="008F2CD5" w:rsidP="00A910E2">
      <w:r w:rsidRPr="00A910E2">
        <w:t>En 2021, le BR a déployé un outil en ligne eBroadcasting pour l'optimisation du Plan GE84 (radiodiffusion à modulation de fréquence) en Afrique, dans la bande de fréquences 87,5-108 MHz, à savoir l'outil d'optimisation du Plan GE84. Cet outil permet d'effectuer des calculs de compatibilité sur la base de l'Accord GE84 et d'évaluer les incompatibilités s'agissant de toutes les fréquences comprises dans la bande relevant du Plan GE84. Cet outil, qui sert de base à l'optimisation de la bande FM en Afrique, a été mis à la disposition de toutes les administrations parties à l'Accord GE84.</w:t>
      </w:r>
    </w:p>
    <w:p w14:paraId="6A786775" w14:textId="77777777" w:rsidR="008F2CD5" w:rsidRPr="00A910E2" w:rsidRDefault="008F2CD5" w:rsidP="008F2CD5">
      <w:r w:rsidRPr="00A910E2">
        <w:t>L'outil utilise les courbes de propagation figurant dans le Plan GE84 et la méthode de prévision de la propagation énoncée dans la Recommandation UIT-R P.1812, associées à une carte topographique numérique (SRTM3) dotée d'une résolution de 90 m. En 2023, de nouveaux modèles numériques de terrain (MNT) ont été ajoutés: SRTM1 et ASTER (dotés d'une résolution de 30 m). Contrairement aux modèles MNT de la SRTM, qui fournissent des informations sur l'altitude du terrain entre 56° S et 60° N, le modèle ASTER fournit des informations sur l'altitude du terrain entre 83° S et 83° N, ce qui permet de calculer le champ entre des sites situés au-dessus de 60° de latitude nord. Étant donné que le modèle SRTM1 est plus précis que le modèle ASTER, une option supplémentaire proposée aux utilisateurs (AUTO) permet que le logiciel sélectionne automatiquement le MNT approprié (SRTM1 ou ASTER) – les deux modèles utilisant une résolution de 30 m – afin d'évaluer la prévision des brouillages de point à point en fonction de l'emplacement des stations (émetteur/récepteur) visées dans les calculs. De nouveaux travaux ont été menés pour améliorer l'expérience utilisateur et résoudre les bugs.</w:t>
      </w:r>
    </w:p>
    <w:p w14:paraId="2825E878" w14:textId="77777777" w:rsidR="008F2CD5" w:rsidRPr="00A910E2" w:rsidRDefault="008F2CD5" w:rsidP="008F2CD5">
      <w:pPr>
        <w:pStyle w:val="Heading3"/>
      </w:pPr>
      <w:r w:rsidRPr="00A910E2">
        <w:t>7.4.4</w:t>
      </w:r>
      <w:r w:rsidRPr="00A910E2">
        <w:tab/>
        <w:t>Systèmes d'information géographique du BR</w:t>
      </w:r>
    </w:p>
    <w:p w14:paraId="51540BD3" w14:textId="77777777" w:rsidR="008F2CD5" w:rsidRPr="00A910E2" w:rsidRDefault="008F2CD5" w:rsidP="008F2CD5">
      <w:r w:rsidRPr="00A910E2">
        <w:t>Le Groupe d'action du BR sur les systèmes d'information géographique (GIS), composé de fonctionnaires issus de tous les départements du BR, a été mis sur pied afin d'harmoniser les activités relatives à ces systèmes au sein du BR. À l'aide de GeoServer, le Groupe d'action a mis en œuvre la plate-forme GIS du BR, qui est prête à être déployée. La conversion de tous les ensembles de données IDWM du format propriétaire au format géospatial a été menée à bien, tandis que le stockage des données radiométéorologiques de la CE 3 sur la plate-forme GIS du BR est en cours. Ces données seront mises à la disposition des utilisateurs via des services web homologués par l'Open Geospatial Consortium (OGC). À l'heure actuelle, le BR met en œuvre des fonctionnalités GIS dans ses outils web au moyen de la bibliothèque à code source ouvert OpenLayers.</w:t>
      </w:r>
    </w:p>
    <w:p w14:paraId="20567B64" w14:textId="77777777" w:rsidR="008F2CD5" w:rsidRPr="00A910E2" w:rsidRDefault="008F2CD5" w:rsidP="008F2CD5">
      <w:r w:rsidRPr="00A910E2">
        <w:t>L'UIT est membre du réseau du système des Nations Unies pour les questions géospatiales, une coalition de diverses entités du système des Nations Unies dont la tâche est de renforcer la coordination et la cohérence dans la gestion de l'information géospatiale à l'échelle des Nations Unies. Le BR participe à la commission de direction de ce réseau et dirige le Groupe d'action intersectoriel de l'UIT sur la gestion de l'information géospatiale.</w:t>
      </w:r>
    </w:p>
    <w:p w14:paraId="30C867B9" w14:textId="77777777" w:rsidR="008F2CD5" w:rsidRPr="00A910E2" w:rsidRDefault="008F2CD5" w:rsidP="008F2CD5">
      <w:pPr>
        <w:pStyle w:val="Heading3"/>
      </w:pPr>
      <w:r w:rsidRPr="00A910E2">
        <w:t>7.4.5</w:t>
      </w:r>
      <w:r w:rsidRPr="00A910E2">
        <w:tab/>
        <w:t>Projet de publications relatives au service maritime</w:t>
      </w:r>
    </w:p>
    <w:p w14:paraId="133FE71F" w14:textId="77777777" w:rsidR="008F2CD5" w:rsidRPr="00A910E2" w:rsidRDefault="008F2CD5" w:rsidP="008F2CD5">
      <w:pPr>
        <w:keepNext/>
        <w:keepLines/>
      </w:pPr>
      <w:r w:rsidRPr="00A910E2">
        <w:t>Le BR poursuit la mise en œuvre du projet de publications relatives au service maritime de l'UIT (Liste IV, Liste V et le Manuel maritime). Des progrès importants ont été accomplis en ce qui concerne les évolutions nécessaires. La création de la plate-forme de vente permettant d'acheter et de télécharger des publications numériques ainsi que la mise au point de l'application de bureau pour la Liste V et de l'application mobile d'inspection sont maintenant achevées. Parmi les évolutions en cours figurent notamment l'intégration de la Liste IV et des publications du Manuel maritime dans l'application de bureau et l'application mobile de la Liste V.</w:t>
      </w:r>
    </w:p>
    <w:p w14:paraId="13C5E59D" w14:textId="77777777" w:rsidR="007D29E8" w:rsidRPr="00A910E2" w:rsidRDefault="007D29E8" w:rsidP="007D29E8">
      <w:pPr>
        <w:pStyle w:val="Heading3"/>
      </w:pPr>
      <w:r w:rsidRPr="00A910E2">
        <w:t>7.4.6</w:t>
      </w:r>
      <w:r w:rsidRPr="00A910E2">
        <w:tab/>
        <w:t>HITS (brouillages préjudiciables causés aux services de Terre)</w:t>
      </w:r>
    </w:p>
    <w:p w14:paraId="2A066A8A" w14:textId="1CA9508D" w:rsidR="007D29E8" w:rsidRPr="00A910E2" w:rsidRDefault="007D29E8" w:rsidP="00A910E2">
      <w:r w:rsidRPr="00A910E2">
        <w:t>L'élaboration d'une nouvelle plate-forme en ligne dédiée au traitement des rapports sur les brouillages préjudiciables et les infractions concernant les services de Terre (HITS) s'est poursuivie. Pendant la période considérée, les travaux consacrés à l'authentification/autorisation, la soumission</w:t>
      </w:r>
      <w:r w:rsidR="00C501FF" w:rsidRPr="00A910E2">
        <w:t xml:space="preserve"> </w:t>
      </w:r>
      <w:r w:rsidRPr="00A910E2">
        <w:t>de rapport, l'intégration de Documentum et l'amélioration de l'interface utilisateur se sont eux aussi poursuivis. En outre, on a passé en revue les correspondances entre le BR et les administrations concernées. L'interface utilisateur est en cours de développement.</w:t>
      </w:r>
    </w:p>
    <w:p w14:paraId="5331F3F1" w14:textId="77777777" w:rsidR="007D29E8" w:rsidRPr="00A910E2" w:rsidRDefault="007D29E8" w:rsidP="007D29E8">
      <w:pPr>
        <w:pStyle w:val="Heading2"/>
      </w:pPr>
      <w:r w:rsidRPr="00A910E2">
        <w:t>7.5</w:t>
      </w:r>
      <w:r w:rsidRPr="00A910E2">
        <w:tab/>
        <w:t>Continuité des activités et rétablissement après une catastrophe (pour les services spatiaux et les services de Terre)</w:t>
      </w:r>
    </w:p>
    <w:p w14:paraId="3E684D27" w14:textId="47F47E3A" w:rsidR="007D29E8" w:rsidRPr="00A910E2" w:rsidRDefault="007D29E8" w:rsidP="007D29E8">
      <w:r w:rsidRPr="00A910E2">
        <w:t>Les travaux visant à renforcer davantage le cadre UIT de gestion des risques se sont poursuivis en</w:t>
      </w:r>
      <w:r w:rsidR="00B2278E" w:rsidRPr="00A910E2">
        <w:t> </w:t>
      </w:r>
      <w:r w:rsidRPr="00A910E2">
        <w:t>2023, et le BR a participé pleinement aux activités du Groupe de travail du Groupe d'action intersectoriel sur la gestion des risques. En outre, des fonctionnaires du BR s'occupant de la préparation de l'AR-23/de la CMR-23/de la RPC27-1 ont pris part à plusieurs exercices de simulation sur la résilience et sessions consacrées à la planification de la continuité des activités organisés par le Coordonnateur du Système de gestion de la résilience de l'organisation (ORMS) de l'UIT.</w:t>
      </w:r>
    </w:p>
    <w:p w14:paraId="42649A86" w14:textId="77777777" w:rsidR="007D29E8" w:rsidRPr="00A910E2" w:rsidRDefault="007D29E8" w:rsidP="007D29E8">
      <w:pPr>
        <w:pStyle w:val="Heading2"/>
      </w:pPr>
      <w:r w:rsidRPr="00A910E2">
        <w:rPr>
          <w:bCs/>
        </w:rPr>
        <w:t>7.6</w:t>
      </w:r>
      <w:r w:rsidRPr="00A910E2">
        <w:tab/>
        <w:t>Informatique en nuage</w:t>
      </w:r>
    </w:p>
    <w:p w14:paraId="2888D9DA" w14:textId="77777777" w:rsidR="007D29E8" w:rsidRPr="00A910E2" w:rsidRDefault="007D29E8" w:rsidP="007D29E8">
      <w:r w:rsidRPr="00A910E2">
        <w:t>Le Groupe d'action du BR sur la migration vers l'informatique en nuage a débuté ses travaux en mars 2023, en étroite collaboration avec le Département des services informatiques. La priorité du Groupe d'action pour 2024 est d'établir un inventaire et une classification des répertoires de données du BR, avec l'aide d'experts du Département des services informatiques, conformément aux politiques actuelles et futures de l'UIT en matière d'informatique en nuage et de données.</w:t>
      </w:r>
    </w:p>
    <w:p w14:paraId="251A4B80" w14:textId="77777777" w:rsidR="007D29E8" w:rsidRPr="00A910E2" w:rsidRDefault="007D29E8" w:rsidP="007D29E8">
      <w:pPr>
        <w:pStyle w:val="Heading1"/>
        <w:rPr>
          <w:i/>
          <w:iCs/>
        </w:rPr>
      </w:pPr>
      <w:bookmarkStart w:id="24" w:name="_Toc446060776"/>
      <w:r w:rsidRPr="00A910E2">
        <w:t>8</w:t>
      </w:r>
      <w:r w:rsidRPr="00A910E2">
        <w:tab/>
        <w:t>Sensibilisation des membres</w:t>
      </w:r>
      <w:bookmarkEnd w:id="24"/>
    </w:p>
    <w:p w14:paraId="7CCF3607" w14:textId="77777777" w:rsidR="007D29E8" w:rsidRPr="00A910E2" w:rsidRDefault="007D29E8" w:rsidP="007D29E8">
      <w:r w:rsidRPr="00A910E2">
        <w:t>Au nombre des activités d'ouverture sur l'extérieur figurent la diffusion d'informations et l'assistance aux membres, la publication des produits de l'UIT-R, l'organisation de séminaires et d'ateliers et la participation à ces manifestations ainsi que l'élaboration et la tenue à jour d'outils de communication et de promotion. L'objectif de ces activités est de faire en sorte que les produits résultant des activités menées par le Secteur de l'UIT-R (dispositions réglementaires, Recommandations, Rapports et Manuels) soient diffusés dans le monde entier afin de pouvoir servir de base à la formulation de politiques générales et à la prise de décisions aux niveaux national et régional concernant l'utilisation du spectre radioélectrique. Pour mener à bien ces activités, le BR assure une collaboration étroite avec les autres Bureaux et Secteurs, les bureaux régionaux et les bureaux de zone de l'UIT, ainsi que les organisations internationales ou les autorités nationales concernées.</w:t>
      </w:r>
    </w:p>
    <w:p w14:paraId="3458A427" w14:textId="77777777" w:rsidR="007D29E8" w:rsidRPr="00A910E2" w:rsidRDefault="007D29E8" w:rsidP="007D29E8">
      <w:pPr>
        <w:pStyle w:val="Heading2"/>
      </w:pPr>
      <w:bookmarkStart w:id="25" w:name="_Toc418163376"/>
      <w:bookmarkStart w:id="26" w:name="_Toc418232294"/>
      <w:bookmarkStart w:id="27" w:name="_Toc424047595"/>
      <w:bookmarkStart w:id="28" w:name="_Toc446060777"/>
      <w:r w:rsidRPr="00A910E2">
        <w:t>8.1</w:t>
      </w:r>
      <w:r w:rsidRPr="00A910E2">
        <w:tab/>
      </w:r>
      <w:bookmarkEnd w:id="25"/>
      <w:bookmarkEnd w:id="26"/>
      <w:bookmarkEnd w:id="27"/>
      <w:bookmarkEnd w:id="28"/>
      <w:r w:rsidRPr="00A910E2">
        <w:t>Publications</w:t>
      </w:r>
    </w:p>
    <w:p w14:paraId="479E3E84" w14:textId="77777777" w:rsidR="007D29E8" w:rsidRPr="00A910E2" w:rsidRDefault="007D29E8" w:rsidP="007D29E8">
      <w:pPr>
        <w:pStyle w:val="Heading3"/>
      </w:pPr>
      <w:bookmarkStart w:id="29" w:name="_Toc424047596"/>
      <w:bookmarkStart w:id="30" w:name="_Toc446060778"/>
      <w:r w:rsidRPr="00A910E2">
        <w:t>8.1.1</w:t>
      </w:r>
      <w:r w:rsidRPr="00A910E2">
        <w:tab/>
        <w:t>Publications réglementaires</w:t>
      </w:r>
      <w:bookmarkEnd w:id="29"/>
      <w:bookmarkEnd w:id="30"/>
    </w:p>
    <w:p w14:paraId="1CD11955" w14:textId="77777777" w:rsidR="007D29E8" w:rsidRPr="00A910E2" w:rsidRDefault="007D29E8" w:rsidP="00B2278E">
      <w:pPr>
        <w:pStyle w:val="Headingi"/>
      </w:pPr>
      <w:r w:rsidRPr="00A910E2">
        <w:t>Actes finals, Règlement des radiocommunications et Règles de procédure</w:t>
      </w:r>
    </w:p>
    <w:p w14:paraId="1CC5A161" w14:textId="77777777" w:rsidR="007D29E8" w:rsidRPr="00A910E2" w:rsidRDefault="007D29E8" w:rsidP="007D29E8">
      <w:r w:rsidRPr="00A910E2">
        <w:t>Suite à la Conférence mondiale des radiocommunications de 2023, la version finale des Actes finals devrait être publiée en mars 2024, suivie de l'édition du Règlement des radiocommunications en septembre 2024.</w:t>
      </w:r>
    </w:p>
    <w:p w14:paraId="64CCD55C" w14:textId="77777777" w:rsidR="007D29E8" w:rsidRPr="00A910E2" w:rsidRDefault="007D29E8" w:rsidP="007D29E8">
      <w:r w:rsidRPr="00A910E2">
        <w:t>Une troisième mise à jour de l'édition de 2021 des Règles de procédure a été publiée en juillet 2023.</w:t>
      </w:r>
    </w:p>
    <w:p w14:paraId="2122236F" w14:textId="77777777" w:rsidR="007D29E8" w:rsidRPr="00A910E2" w:rsidRDefault="007D29E8" w:rsidP="007D29E8">
      <w:r w:rsidRPr="00A910E2">
        <w:t xml:space="preserve">Le BR a aussi publié, chaque année, onze horaires saisonniers de radiodiffusion en ondes décamétriques (HFBC), conformément à l'Article </w:t>
      </w:r>
      <w:r w:rsidRPr="00A910E2">
        <w:rPr>
          <w:b/>
          <w:bCs/>
        </w:rPr>
        <w:t>12</w:t>
      </w:r>
      <w:r w:rsidRPr="00A910E2">
        <w:t xml:space="preserve"> du RR.</w:t>
      </w:r>
    </w:p>
    <w:p w14:paraId="35B61A37" w14:textId="77777777" w:rsidR="007D29E8" w:rsidRPr="00A910E2" w:rsidRDefault="007D29E8" w:rsidP="007D29E8">
      <w:pPr>
        <w:pStyle w:val="Heading3"/>
      </w:pPr>
      <w:bookmarkStart w:id="31" w:name="_Toc424047597"/>
      <w:bookmarkStart w:id="32" w:name="_Toc446060779"/>
      <w:r w:rsidRPr="00A910E2">
        <w:t>8.1.2</w:t>
      </w:r>
      <w:r w:rsidRPr="00A910E2">
        <w:tab/>
        <w:t>Publications de service</w:t>
      </w:r>
      <w:bookmarkEnd w:id="31"/>
      <w:bookmarkEnd w:id="32"/>
    </w:p>
    <w:p w14:paraId="26186EFF" w14:textId="77777777" w:rsidR="007D29E8" w:rsidRPr="00A910E2" w:rsidRDefault="007D29E8" w:rsidP="007D29E8">
      <w:pPr>
        <w:pStyle w:val="Heading4"/>
        <w:rPr>
          <w:i/>
          <w:iCs/>
        </w:rPr>
      </w:pPr>
      <w:r w:rsidRPr="00A910E2">
        <w:t>8.1.2.1</w:t>
      </w:r>
      <w:r w:rsidRPr="00A910E2">
        <w:tab/>
        <w:t>Rappel et observations générales</w:t>
      </w:r>
    </w:p>
    <w:p w14:paraId="1266FD43" w14:textId="77777777" w:rsidR="007D29E8" w:rsidRPr="00A910E2" w:rsidRDefault="007D29E8" w:rsidP="007D29E8">
      <w:pPr>
        <w:rPr>
          <w:bCs/>
        </w:rPr>
      </w:pPr>
      <w:r w:rsidRPr="00A910E2">
        <w:rPr>
          <w:bCs/>
        </w:rPr>
        <w:t>Le Bureau élabore et publie diverses publications de service, comme indiqué dans l'Article 20 du Règlement des radiocommunications.</w:t>
      </w:r>
    </w:p>
    <w:p w14:paraId="140EB7E7" w14:textId="63B7232F" w:rsidR="007D29E8" w:rsidRPr="00A910E2" w:rsidRDefault="007D29E8" w:rsidP="007D29E8">
      <w:pPr>
        <w:pStyle w:val="enumlev1"/>
      </w:pPr>
      <w:r w:rsidRPr="00A910E2">
        <w:t>•</w:t>
      </w:r>
      <w:r w:rsidRPr="00A910E2">
        <w:tab/>
        <w:t>BR IFIC – Circulaire internationale d'information sur les fréquences</w:t>
      </w:r>
    </w:p>
    <w:p w14:paraId="13B1D41D" w14:textId="0336ADD3" w:rsidR="007D29E8" w:rsidRPr="00A910E2" w:rsidRDefault="007D29E8" w:rsidP="007D29E8">
      <w:pPr>
        <w:pStyle w:val="enumlev1"/>
      </w:pPr>
      <w:r w:rsidRPr="00A910E2">
        <w:t>•</w:t>
      </w:r>
      <w:r w:rsidRPr="00A910E2">
        <w:tab/>
        <w:t>Liste IV – Nomenclature des stations côtières et des stations effectuant des services spéciaux</w:t>
      </w:r>
    </w:p>
    <w:p w14:paraId="2823230B" w14:textId="66206103" w:rsidR="007D29E8" w:rsidRPr="00A910E2" w:rsidRDefault="007D29E8" w:rsidP="007D29E8">
      <w:pPr>
        <w:pStyle w:val="enumlev1"/>
      </w:pPr>
      <w:r w:rsidRPr="00A910E2">
        <w:t>•</w:t>
      </w:r>
      <w:r w:rsidRPr="00A910E2">
        <w:tab/>
        <w:t>Liste V – Nomenclature des stations de navire et des identités du service mobile maritime assignées</w:t>
      </w:r>
    </w:p>
    <w:p w14:paraId="670433E9" w14:textId="0B62BE04" w:rsidR="007D29E8" w:rsidRPr="00A910E2" w:rsidRDefault="007D29E8" w:rsidP="007D29E8">
      <w:pPr>
        <w:pStyle w:val="enumlev1"/>
      </w:pPr>
      <w:r w:rsidRPr="00A910E2">
        <w:t>•</w:t>
      </w:r>
      <w:r w:rsidRPr="00A910E2">
        <w:tab/>
        <w:t>Liste VIII – Nomenclature des stations de contrôle international des émissions</w:t>
      </w:r>
    </w:p>
    <w:p w14:paraId="27486676" w14:textId="4281DF5D" w:rsidR="007D29E8" w:rsidRPr="00A910E2" w:rsidRDefault="007D29E8" w:rsidP="007D29E8">
      <w:pPr>
        <w:pStyle w:val="enumlev1"/>
      </w:pPr>
      <w:r w:rsidRPr="00A910E2">
        <w:t>•</w:t>
      </w:r>
      <w:r w:rsidRPr="00A910E2">
        <w:tab/>
        <w:t>Manuel à l'usage des services mobile maritime et mobile maritime par satellite</w:t>
      </w:r>
    </w:p>
    <w:p w14:paraId="1F8F772A" w14:textId="77777777" w:rsidR="007D29E8" w:rsidRPr="00A910E2" w:rsidRDefault="007D29E8" w:rsidP="007D29E8">
      <w:pPr>
        <w:pStyle w:val="Heading4"/>
        <w:rPr>
          <w:i/>
          <w:iCs/>
        </w:rPr>
      </w:pPr>
      <w:r w:rsidRPr="00A910E2">
        <w:t>8.1.2.2</w:t>
      </w:r>
      <w:r w:rsidRPr="00A910E2">
        <w:tab/>
        <w:t>Liste IV – Nomenclature des stations côtières et des stations effectuant des services spéciaux</w:t>
      </w:r>
    </w:p>
    <w:p w14:paraId="5DDB45DF" w14:textId="03CDB060" w:rsidR="007D29E8" w:rsidRPr="00A910E2" w:rsidRDefault="007D29E8" w:rsidP="007D29E8">
      <w:pPr>
        <w:rPr>
          <w:bCs/>
        </w:rPr>
      </w:pPr>
      <w:r w:rsidRPr="00A910E2">
        <w:rPr>
          <w:bCs/>
        </w:rPr>
        <w:t>Cette Liste contient les informations communiquées à l'UIT (indicatif d'appel, MMSI, coordonnées géographiques, fréquences d'émission et de réception, etc.) concernant les stations côtières qui assurent une veille en utilisant les techniques d'appel sélectif numérique, le service de correspondance publique, les avis médicaux, les avertissements concernant la navigation et la météorologie, les avis aux navigateurs et les signaux horaires, etc.</w:t>
      </w:r>
    </w:p>
    <w:p w14:paraId="40145E05" w14:textId="04F40561" w:rsidR="007D29E8" w:rsidRPr="00A910E2" w:rsidRDefault="007D29E8" w:rsidP="007D29E8">
      <w:pPr>
        <w:rPr>
          <w:bCs/>
        </w:rPr>
      </w:pPr>
      <w:r w:rsidRPr="00A910E2">
        <w:rPr>
          <w:bCs/>
        </w:rPr>
        <w:t>La Nomenclature des stations côtières et des stations effectuant des services spéciaux (Liste IV) est publiée tous les deux ans sur CD-ROM. Une édition de la Liste IV a été publiée en novembre 2023.</w:t>
      </w:r>
    </w:p>
    <w:p w14:paraId="6867AFC5" w14:textId="6C30C460" w:rsidR="007D29E8" w:rsidRPr="00A910E2" w:rsidRDefault="007D29E8" w:rsidP="007D29E8">
      <w:r w:rsidRPr="00A910E2">
        <w:t>Les renseignements relatifs à cette Liste sont mis à disposition via le système d'information en ligne</w:t>
      </w:r>
      <w:r w:rsidR="00B2278E" w:rsidRPr="00A910E2">
        <w:t> </w:t>
      </w:r>
      <w:r w:rsidRPr="00A910E2">
        <w:t>MARS (système d'accès et de consultation de la base de données du service mobile maritime) de l'UIT. Une compilation de tous les changements communiqués à l'UIT est fournie tous les six</w:t>
      </w:r>
      <w:r w:rsidR="00B2278E" w:rsidRPr="00A910E2">
        <w:t> </w:t>
      </w:r>
      <w:r w:rsidRPr="00A910E2">
        <w:t>mois sur le web.</w:t>
      </w:r>
    </w:p>
    <w:p w14:paraId="6CCEFD1E" w14:textId="77777777" w:rsidR="007D29E8" w:rsidRPr="00A910E2" w:rsidRDefault="007D29E8" w:rsidP="007D29E8">
      <w:pPr>
        <w:pStyle w:val="Heading4"/>
        <w:rPr>
          <w:i/>
          <w:iCs/>
        </w:rPr>
      </w:pPr>
      <w:r w:rsidRPr="00A910E2">
        <w:t>8.1.2.3</w:t>
      </w:r>
      <w:r w:rsidRPr="00A910E2">
        <w:tab/>
        <w:t>Nomenclature des stations de navire et des identités du service mobile maritime assignées (Liste V)</w:t>
      </w:r>
    </w:p>
    <w:p w14:paraId="5BD15EF5" w14:textId="77777777" w:rsidR="007D29E8" w:rsidRPr="00A910E2" w:rsidRDefault="007D29E8" w:rsidP="007D29E8">
      <w:r w:rsidRPr="00A910E2">
        <w:t>Cette Liste contient les informations communiquées à l'UIT concernant les stations de navire, les stations côtières et les stations d'aéronef de recherche et de sauvetage (SAR), les codes d'identification de l'autorité comptable (CIAC) et les coordonnées des points de contact pour les administrations notificatrices.</w:t>
      </w:r>
    </w:p>
    <w:p w14:paraId="0A34CEF9" w14:textId="055DFE92" w:rsidR="007D29E8" w:rsidRPr="00A910E2" w:rsidRDefault="007D29E8" w:rsidP="007D29E8">
      <w:r w:rsidRPr="00A910E2">
        <w:t>La Nomenclature des stations de navire et des identités du service mobile maritime assignées (Liste</w:t>
      </w:r>
      <w:r w:rsidR="00B2278E" w:rsidRPr="00A910E2">
        <w:t> </w:t>
      </w:r>
      <w:r w:rsidRPr="00A910E2">
        <w:t>V) est publiée chaque année sur CD-ROM. Une édition de la Liste V a été publiée en avril</w:t>
      </w:r>
      <w:r w:rsidR="00017CA9" w:rsidRPr="00A910E2">
        <w:t> </w:t>
      </w:r>
      <w:r w:rsidRPr="00A910E2">
        <w:t>2023.</w:t>
      </w:r>
    </w:p>
    <w:p w14:paraId="26F4E480" w14:textId="77777777" w:rsidR="007D29E8" w:rsidRPr="00A910E2" w:rsidRDefault="007D29E8" w:rsidP="007D29E8">
      <w:r w:rsidRPr="00A910E2">
        <w:t>Les renseignements relatifs à cette Liste sont également mis à disposition via le système d'information en ligne MARS. Une compilation de tous les changements communiqués à l'UIT est fournie tous les trois mois sur le web.</w:t>
      </w:r>
    </w:p>
    <w:p w14:paraId="1BEEC543" w14:textId="77777777" w:rsidR="007D29E8" w:rsidRPr="00A910E2" w:rsidRDefault="007D29E8" w:rsidP="00C501FF">
      <w:pPr>
        <w:pStyle w:val="Heading4"/>
        <w:rPr>
          <w:i/>
          <w:iCs/>
        </w:rPr>
      </w:pPr>
      <w:r w:rsidRPr="00A910E2">
        <w:t>8.1.2.4</w:t>
      </w:r>
      <w:r w:rsidRPr="00A910E2">
        <w:tab/>
        <w:t>Nomenclature des stations de contrôle international des émissions (Liste VIII)</w:t>
      </w:r>
    </w:p>
    <w:p w14:paraId="32126F1C" w14:textId="77777777" w:rsidR="007D29E8" w:rsidRPr="00A910E2" w:rsidRDefault="007D29E8" w:rsidP="00C501FF">
      <w:pPr>
        <w:keepNext/>
        <w:keepLines/>
        <w:rPr>
          <w:bCs/>
        </w:rPr>
      </w:pPr>
      <w:r w:rsidRPr="00A910E2">
        <w:rPr>
          <w:bCs/>
        </w:rPr>
        <w:t>La Nomenclature des stations de contrôle international des émissions (Liste VIII) contient les adresses et d'autres informations pertinentes des bureaux centralisateurs, y compris des informations détaillées concernant les stations de contrôle mesurant les émissions des stations de Terre et des stations spatiales. Un service de téléchargement direct est offert gratuitement aux titulaires d'un compte TIES.</w:t>
      </w:r>
    </w:p>
    <w:p w14:paraId="083D61DD" w14:textId="77777777" w:rsidR="007D29E8" w:rsidRPr="00A910E2" w:rsidRDefault="007D29E8" w:rsidP="007D29E8">
      <w:r w:rsidRPr="00A910E2">
        <w:t>Une édition de cette Liste a été publiée en décembre 2022.</w:t>
      </w:r>
    </w:p>
    <w:p w14:paraId="35E002D9" w14:textId="77777777" w:rsidR="007D29E8" w:rsidRPr="00A910E2" w:rsidRDefault="007D29E8" w:rsidP="007D29E8">
      <w:pPr>
        <w:pStyle w:val="Heading4"/>
      </w:pPr>
      <w:r w:rsidRPr="00A910E2">
        <w:t>8.1.2.5</w:t>
      </w:r>
      <w:r w:rsidRPr="00A910E2">
        <w:tab/>
        <w:t>Liste des publications de service diffusées</w:t>
      </w:r>
    </w:p>
    <w:p w14:paraId="6DDA1512" w14:textId="77777777" w:rsidR="007D29E8" w:rsidRPr="00A910E2" w:rsidRDefault="007D29E8" w:rsidP="007D29E8">
      <w:r w:rsidRPr="00A910E2">
        <w:t>Les différentes publications diffusées pendant la période 2020-2023 sont récapitulées dans le Tableau 8.1.2.5-1 ci-dessous:</w:t>
      </w:r>
    </w:p>
    <w:p w14:paraId="6267565D" w14:textId="77777777" w:rsidR="007D29E8" w:rsidRPr="00A910E2" w:rsidRDefault="007D29E8" w:rsidP="007D29E8">
      <w:pPr>
        <w:pStyle w:val="TableNotitle"/>
      </w:pPr>
      <w:r w:rsidRPr="00A910E2">
        <w:t>TABLEAU 8.1.2.5-1</w:t>
      </w:r>
    </w:p>
    <w:tbl>
      <w:tblPr>
        <w:tblStyle w:val="GridTable5Dark-Accent1"/>
        <w:tblW w:w="9634" w:type="dxa"/>
        <w:tblLayout w:type="fixed"/>
        <w:tblLook w:val="04A0" w:firstRow="1" w:lastRow="0" w:firstColumn="1" w:lastColumn="0" w:noHBand="0" w:noVBand="1"/>
      </w:tblPr>
      <w:tblGrid>
        <w:gridCol w:w="3688"/>
        <w:gridCol w:w="1552"/>
        <w:gridCol w:w="1276"/>
        <w:gridCol w:w="1559"/>
        <w:gridCol w:w="1559"/>
      </w:tblGrid>
      <w:tr w:rsidR="007D29E8" w:rsidRPr="00A910E2" w14:paraId="0A4D6106" w14:textId="77777777" w:rsidTr="00A910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31690D52" w14:textId="0672814F" w:rsidR="007D29E8" w:rsidRPr="00A910E2" w:rsidRDefault="007D29E8" w:rsidP="00FE2184">
            <w:pPr>
              <w:pStyle w:val="Tablehead"/>
              <w:rPr>
                <w:b/>
                <w:sz w:val="20"/>
              </w:rPr>
            </w:pPr>
          </w:p>
        </w:tc>
        <w:tc>
          <w:tcPr>
            <w:tcW w:w="1552" w:type="dxa"/>
          </w:tcPr>
          <w:p w14:paraId="2630CCF8" w14:textId="77777777" w:rsidR="007D29E8" w:rsidRPr="00A910E2" w:rsidRDefault="007D29E8" w:rsidP="00E60607">
            <w:pPr>
              <w:pStyle w:val="Tablehead"/>
              <w:cnfStyle w:val="100000000000" w:firstRow="1" w:lastRow="0" w:firstColumn="0" w:lastColumn="0" w:oddVBand="0" w:evenVBand="0" w:oddHBand="0" w:evenHBand="0" w:firstRowFirstColumn="0" w:firstRowLastColumn="0" w:lastRowFirstColumn="0" w:lastRowLastColumn="0"/>
              <w:rPr>
                <w:b/>
                <w:sz w:val="20"/>
              </w:rPr>
            </w:pPr>
            <w:r w:rsidRPr="00A910E2">
              <w:rPr>
                <w:b/>
                <w:sz w:val="20"/>
              </w:rPr>
              <w:t>2020</w:t>
            </w:r>
          </w:p>
        </w:tc>
        <w:tc>
          <w:tcPr>
            <w:tcW w:w="1276" w:type="dxa"/>
          </w:tcPr>
          <w:p w14:paraId="39341931" w14:textId="77777777" w:rsidR="007D29E8" w:rsidRPr="00A910E2" w:rsidRDefault="007D29E8" w:rsidP="00E60607">
            <w:pPr>
              <w:pStyle w:val="Tablehead"/>
              <w:cnfStyle w:val="100000000000" w:firstRow="1" w:lastRow="0" w:firstColumn="0" w:lastColumn="0" w:oddVBand="0" w:evenVBand="0" w:oddHBand="0" w:evenHBand="0" w:firstRowFirstColumn="0" w:firstRowLastColumn="0" w:lastRowFirstColumn="0" w:lastRowLastColumn="0"/>
              <w:rPr>
                <w:b/>
                <w:sz w:val="20"/>
              </w:rPr>
            </w:pPr>
            <w:r w:rsidRPr="00A910E2">
              <w:rPr>
                <w:b/>
                <w:sz w:val="20"/>
              </w:rPr>
              <w:t>2021</w:t>
            </w:r>
          </w:p>
        </w:tc>
        <w:tc>
          <w:tcPr>
            <w:tcW w:w="1559" w:type="dxa"/>
          </w:tcPr>
          <w:p w14:paraId="1EB73123" w14:textId="77777777" w:rsidR="007D29E8" w:rsidRPr="00A910E2" w:rsidRDefault="007D29E8" w:rsidP="00E60607">
            <w:pPr>
              <w:pStyle w:val="Tablehead"/>
              <w:cnfStyle w:val="100000000000" w:firstRow="1" w:lastRow="0" w:firstColumn="0" w:lastColumn="0" w:oddVBand="0" w:evenVBand="0" w:oddHBand="0" w:evenHBand="0" w:firstRowFirstColumn="0" w:firstRowLastColumn="0" w:lastRowFirstColumn="0" w:lastRowLastColumn="0"/>
              <w:rPr>
                <w:b/>
                <w:sz w:val="20"/>
              </w:rPr>
            </w:pPr>
            <w:r w:rsidRPr="00A910E2">
              <w:rPr>
                <w:b/>
                <w:sz w:val="20"/>
              </w:rPr>
              <w:t>2022</w:t>
            </w:r>
          </w:p>
        </w:tc>
        <w:tc>
          <w:tcPr>
            <w:tcW w:w="1559" w:type="dxa"/>
          </w:tcPr>
          <w:p w14:paraId="74E4D85D" w14:textId="77777777" w:rsidR="007D29E8" w:rsidRPr="00A910E2" w:rsidRDefault="007D29E8" w:rsidP="00E60607">
            <w:pPr>
              <w:pStyle w:val="Tablehead"/>
              <w:cnfStyle w:val="100000000000" w:firstRow="1" w:lastRow="0" w:firstColumn="0" w:lastColumn="0" w:oddVBand="0" w:evenVBand="0" w:oddHBand="0" w:evenHBand="0" w:firstRowFirstColumn="0" w:firstRowLastColumn="0" w:lastRowFirstColumn="0" w:lastRowLastColumn="0"/>
              <w:rPr>
                <w:b/>
                <w:sz w:val="20"/>
              </w:rPr>
            </w:pPr>
            <w:r w:rsidRPr="00A910E2">
              <w:rPr>
                <w:b/>
                <w:sz w:val="20"/>
              </w:rPr>
              <w:t>2023</w:t>
            </w:r>
          </w:p>
        </w:tc>
      </w:tr>
      <w:tr w:rsidR="007D29E8" w:rsidRPr="00A910E2" w14:paraId="0E937768" w14:textId="77777777" w:rsidTr="00A910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558FD2C2" w14:textId="77777777" w:rsidR="007D29E8" w:rsidRPr="00A910E2" w:rsidRDefault="007D29E8" w:rsidP="00FE2184">
            <w:pPr>
              <w:pStyle w:val="Tabletext"/>
              <w:jc w:val="center"/>
              <w:rPr>
                <w:sz w:val="20"/>
              </w:rPr>
            </w:pPr>
            <w:r w:rsidRPr="00A910E2">
              <w:rPr>
                <w:sz w:val="20"/>
              </w:rPr>
              <w:t>BR IFIC (Circulaire internationale d'information sur les fréquences)</w:t>
            </w:r>
          </w:p>
        </w:tc>
        <w:tc>
          <w:tcPr>
            <w:tcW w:w="1552" w:type="dxa"/>
          </w:tcPr>
          <w:p w14:paraId="0995436F"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25</w:t>
            </w:r>
          </w:p>
        </w:tc>
        <w:tc>
          <w:tcPr>
            <w:tcW w:w="1276" w:type="dxa"/>
          </w:tcPr>
          <w:p w14:paraId="3E489C77"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26</w:t>
            </w:r>
          </w:p>
        </w:tc>
        <w:tc>
          <w:tcPr>
            <w:tcW w:w="1559" w:type="dxa"/>
          </w:tcPr>
          <w:p w14:paraId="02A76257"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25</w:t>
            </w:r>
          </w:p>
        </w:tc>
        <w:tc>
          <w:tcPr>
            <w:tcW w:w="1559" w:type="dxa"/>
          </w:tcPr>
          <w:p w14:paraId="6A7466AA"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25</w:t>
            </w:r>
          </w:p>
        </w:tc>
      </w:tr>
      <w:tr w:rsidR="007D29E8" w:rsidRPr="00A910E2" w14:paraId="3339896A" w14:textId="77777777" w:rsidTr="00A910E2">
        <w:trPr>
          <w:trHeight w:val="300"/>
        </w:trPr>
        <w:tc>
          <w:tcPr>
            <w:cnfStyle w:val="001000000000" w:firstRow="0" w:lastRow="0" w:firstColumn="1" w:lastColumn="0" w:oddVBand="0" w:evenVBand="0" w:oddHBand="0" w:evenHBand="0" w:firstRowFirstColumn="0" w:firstRowLastColumn="0" w:lastRowFirstColumn="0" w:lastRowLastColumn="0"/>
            <w:tcW w:w="3688" w:type="dxa"/>
          </w:tcPr>
          <w:p w14:paraId="4A588D9F" w14:textId="77777777" w:rsidR="007D29E8" w:rsidRPr="00A910E2" w:rsidRDefault="007D29E8" w:rsidP="00FE2184">
            <w:pPr>
              <w:pStyle w:val="Tabletext"/>
              <w:jc w:val="center"/>
              <w:rPr>
                <w:sz w:val="20"/>
              </w:rPr>
            </w:pPr>
            <w:r w:rsidRPr="00A910E2">
              <w:rPr>
                <w:sz w:val="20"/>
              </w:rPr>
              <w:t>Liste IV (Nomenclature des stations côtières et des stations effectuant des services spéciaux)</w:t>
            </w:r>
          </w:p>
        </w:tc>
        <w:tc>
          <w:tcPr>
            <w:tcW w:w="1552" w:type="dxa"/>
          </w:tcPr>
          <w:p w14:paraId="423DF97C"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5E98D307"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A910E2">
              <w:rPr>
                <w:sz w:val="20"/>
              </w:rPr>
              <w:t>Édition de 2021 (décembre)</w:t>
            </w:r>
          </w:p>
        </w:tc>
        <w:tc>
          <w:tcPr>
            <w:tcW w:w="1559" w:type="dxa"/>
          </w:tcPr>
          <w:p w14:paraId="27E48A3D"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0597FFB5"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A910E2">
              <w:rPr>
                <w:sz w:val="20"/>
              </w:rPr>
              <w:t>Édition de 2023 (novembre)</w:t>
            </w:r>
          </w:p>
        </w:tc>
      </w:tr>
      <w:tr w:rsidR="007D29E8" w:rsidRPr="00A910E2" w14:paraId="61E6AB8C" w14:textId="77777777" w:rsidTr="00A910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41596600" w14:textId="77777777" w:rsidR="007D29E8" w:rsidRPr="00A910E2" w:rsidRDefault="007D29E8" w:rsidP="00FE2184">
            <w:pPr>
              <w:pStyle w:val="Tabletext"/>
              <w:jc w:val="center"/>
              <w:rPr>
                <w:sz w:val="20"/>
              </w:rPr>
            </w:pPr>
            <w:r w:rsidRPr="00A910E2">
              <w:rPr>
                <w:sz w:val="20"/>
              </w:rPr>
              <w:t>Liste V (Nomenclature des stations de navire et des identités du service mobile maritime assignées)</w:t>
            </w:r>
          </w:p>
        </w:tc>
        <w:tc>
          <w:tcPr>
            <w:tcW w:w="1552" w:type="dxa"/>
          </w:tcPr>
          <w:p w14:paraId="1DAAD436"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Édition de 2020 (avril)</w:t>
            </w:r>
          </w:p>
        </w:tc>
        <w:tc>
          <w:tcPr>
            <w:tcW w:w="1276" w:type="dxa"/>
          </w:tcPr>
          <w:p w14:paraId="3D9BD6A9"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Édition de 2021 (avril)</w:t>
            </w:r>
          </w:p>
        </w:tc>
        <w:tc>
          <w:tcPr>
            <w:tcW w:w="1559" w:type="dxa"/>
          </w:tcPr>
          <w:p w14:paraId="1E86F055"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Édition de 2022 (avril)</w:t>
            </w:r>
          </w:p>
        </w:tc>
        <w:tc>
          <w:tcPr>
            <w:tcW w:w="1559" w:type="dxa"/>
          </w:tcPr>
          <w:p w14:paraId="39BEA5AD"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Édition de 2023 (avril)</w:t>
            </w:r>
          </w:p>
        </w:tc>
      </w:tr>
      <w:tr w:rsidR="007D29E8" w:rsidRPr="00A910E2" w14:paraId="7BE85F68" w14:textId="77777777" w:rsidTr="00A910E2">
        <w:trPr>
          <w:trHeight w:val="300"/>
        </w:trPr>
        <w:tc>
          <w:tcPr>
            <w:cnfStyle w:val="001000000000" w:firstRow="0" w:lastRow="0" w:firstColumn="1" w:lastColumn="0" w:oddVBand="0" w:evenVBand="0" w:oddHBand="0" w:evenHBand="0" w:firstRowFirstColumn="0" w:firstRowLastColumn="0" w:lastRowFirstColumn="0" w:lastRowLastColumn="0"/>
            <w:tcW w:w="3688" w:type="dxa"/>
          </w:tcPr>
          <w:p w14:paraId="6950018F" w14:textId="77777777" w:rsidR="007D29E8" w:rsidRPr="00A910E2" w:rsidRDefault="007D29E8" w:rsidP="00FE2184">
            <w:pPr>
              <w:pStyle w:val="Tabletext"/>
              <w:jc w:val="center"/>
              <w:rPr>
                <w:sz w:val="20"/>
              </w:rPr>
            </w:pPr>
            <w:r w:rsidRPr="00A910E2">
              <w:rPr>
                <w:sz w:val="20"/>
              </w:rPr>
              <w:t>Liste VIII (Nomenclature des stations de contrôle international des émissions)</w:t>
            </w:r>
          </w:p>
        </w:tc>
        <w:tc>
          <w:tcPr>
            <w:tcW w:w="1552" w:type="dxa"/>
          </w:tcPr>
          <w:p w14:paraId="3D58B3C6"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0EF59131"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7DCFCB9B"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A910E2">
              <w:rPr>
                <w:sz w:val="20"/>
              </w:rPr>
              <w:t>Édition de 2022 (décembre)</w:t>
            </w:r>
          </w:p>
        </w:tc>
        <w:tc>
          <w:tcPr>
            <w:tcW w:w="1559" w:type="dxa"/>
          </w:tcPr>
          <w:p w14:paraId="27C2EC1A" w14:textId="77777777" w:rsidR="007D29E8" w:rsidRPr="00A910E2" w:rsidRDefault="007D29E8" w:rsidP="00E60607">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r>
      <w:tr w:rsidR="007D29E8" w:rsidRPr="00A910E2" w14:paraId="7246AB95" w14:textId="77777777" w:rsidTr="00A910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1CA1214E" w14:textId="77777777" w:rsidR="007D29E8" w:rsidRPr="00A910E2" w:rsidRDefault="007D29E8" w:rsidP="00FE2184">
            <w:pPr>
              <w:pStyle w:val="Tabletext"/>
              <w:jc w:val="center"/>
              <w:rPr>
                <w:sz w:val="20"/>
              </w:rPr>
            </w:pPr>
            <w:r w:rsidRPr="00A910E2">
              <w:rPr>
                <w:sz w:val="20"/>
              </w:rPr>
              <w:t>Manuel sur le service maritime</w:t>
            </w:r>
          </w:p>
        </w:tc>
        <w:tc>
          <w:tcPr>
            <w:tcW w:w="1552" w:type="dxa"/>
          </w:tcPr>
          <w:p w14:paraId="6C875F03"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A910E2">
              <w:rPr>
                <w:sz w:val="20"/>
              </w:rPr>
              <w:t>Édition de 2020 (novembre)</w:t>
            </w:r>
          </w:p>
        </w:tc>
        <w:tc>
          <w:tcPr>
            <w:tcW w:w="1276" w:type="dxa"/>
          </w:tcPr>
          <w:p w14:paraId="2054E057"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732F32F5"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74C2DA89" w14:textId="77777777" w:rsidR="007D29E8" w:rsidRPr="00A910E2" w:rsidRDefault="007D29E8" w:rsidP="00E60607">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r>
    </w:tbl>
    <w:p w14:paraId="7C73D3D3" w14:textId="77777777" w:rsidR="005B59FC" w:rsidRPr="00A910E2" w:rsidRDefault="005B59FC" w:rsidP="005B59FC">
      <w:pPr>
        <w:pStyle w:val="Heading3"/>
      </w:pPr>
      <w:bookmarkStart w:id="33" w:name="_Toc418163378"/>
      <w:bookmarkStart w:id="34" w:name="_Toc418232296"/>
      <w:bookmarkStart w:id="35" w:name="_Toc424047598"/>
      <w:bookmarkStart w:id="36" w:name="_Toc446060780"/>
      <w:r w:rsidRPr="00A910E2">
        <w:t>8.1.3</w:t>
      </w:r>
      <w:r w:rsidRPr="00A910E2">
        <w:tab/>
        <w:t>Publications des commissions d'études</w:t>
      </w:r>
    </w:p>
    <w:p w14:paraId="02923BF8" w14:textId="77777777" w:rsidR="005B59FC" w:rsidRPr="00A910E2" w:rsidRDefault="005B59FC" w:rsidP="005B59FC">
      <w:r w:rsidRPr="00A910E2">
        <w:t>Depuis la réunion de 2023 du GCR, l'élaboration des publications des Commissions d'études de l'UIT</w:t>
      </w:r>
      <w:r w:rsidRPr="00A910E2">
        <w:noBreakHyphen/>
        <w:t>R, y compris les Recommandations approuvées par l'AR-23, s'est poursuivie conformément à la Résolution UIT-R 1.</w:t>
      </w:r>
    </w:p>
    <w:p w14:paraId="3F134560" w14:textId="77777777" w:rsidR="005B59FC" w:rsidRPr="00A910E2" w:rsidRDefault="005B59FC" w:rsidP="005B59FC">
      <w:bookmarkStart w:id="37" w:name="_Toc424047599"/>
      <w:bookmarkStart w:id="38" w:name="_Toc446060781"/>
      <w:bookmarkEnd w:id="33"/>
      <w:bookmarkEnd w:id="34"/>
      <w:bookmarkEnd w:id="35"/>
      <w:bookmarkEnd w:id="36"/>
      <w:r w:rsidRPr="00A910E2">
        <w:t>La liste complète des Questions, des Recommandations et des Rapports de l'UIT-R approuvés depuis la réunion de 2023 du GCR est reproduite dans l'Addendum 1 au présent document.</w:t>
      </w:r>
    </w:p>
    <w:p w14:paraId="61595B20" w14:textId="77777777" w:rsidR="005B59FC" w:rsidRPr="00A910E2" w:rsidRDefault="005B59FC" w:rsidP="005B59FC">
      <w:pPr>
        <w:pStyle w:val="Heading3"/>
      </w:pPr>
      <w:r w:rsidRPr="00A910E2">
        <w:t>8.1.4</w:t>
      </w:r>
      <w:r w:rsidRPr="00A910E2">
        <w:tab/>
        <w:t>Téléchargement des publications de l'UIT-R</w:t>
      </w:r>
      <w:bookmarkEnd w:id="37"/>
      <w:bookmarkEnd w:id="38"/>
    </w:p>
    <w:p w14:paraId="3C09D702" w14:textId="77777777" w:rsidR="005B59FC" w:rsidRPr="00A910E2" w:rsidRDefault="005B59FC" w:rsidP="005B59FC">
      <w:pPr>
        <w:pStyle w:val="Heading4"/>
      </w:pPr>
      <w:bookmarkStart w:id="39" w:name="_Toc424047600"/>
      <w:bookmarkStart w:id="40" w:name="_Toc446060782"/>
      <w:r w:rsidRPr="00A910E2">
        <w:t>8.1.4.1</w:t>
      </w:r>
      <w:r w:rsidRPr="00A910E2">
        <w:tab/>
        <w:t xml:space="preserve">Règlement des radiocommunications et Règles de procédure </w:t>
      </w:r>
    </w:p>
    <w:p w14:paraId="608A2F48" w14:textId="77777777" w:rsidR="005B59FC" w:rsidRPr="00A910E2" w:rsidRDefault="005B59FC" w:rsidP="005B59FC">
      <w:r w:rsidRPr="00A910E2">
        <w:t xml:space="preserve">En ce qui concerne ces documents réglementaires, on trouvera dans le Tableau 8.1.4.1-1 le nombre de livraisons des éditions de 2016 et de 2020 du RR. Suite à une demande formulée à la réunion de 2021 du GCR, les versions pdf et Word de l'édition de 2020 du RR sont accessibles en téléchargement gratuit sur le site web de l'UIT </w:t>
      </w:r>
      <w:hyperlink r:id="rId53" w:history="1">
        <w:r w:rsidRPr="00A910E2">
          <w:rPr>
            <w:rStyle w:val="Hyperlink"/>
          </w:rPr>
          <w:t>ici</w:t>
        </w:r>
      </w:hyperlink>
      <w:r w:rsidRPr="00A910E2">
        <w:t xml:space="preserve">, les versions Word étant également accessibles en téléchargement gratuit </w:t>
      </w:r>
      <w:hyperlink r:id="rId54" w:anchor="/fr" w:history="1">
        <w:r w:rsidRPr="00A910E2">
          <w:rPr>
            <w:rStyle w:val="Hyperlink"/>
          </w:rPr>
          <w:t>ici</w:t>
        </w:r>
      </w:hyperlink>
      <w:r w:rsidRPr="00A910E2">
        <w:t>. Le Tableau 8.1.4.1-2 indique le nombre total de téléchargements au cours de la même période pour les Règles de procédure. La dernière édition des Règles de procédure, qui tient compte des décisions de la CMR-19, a été publiée en juin 2021. Cette édition a ultérieurement fait l'objet de trois mises à jour pour tenir compte des Règles de procédure nouvelles ou modifiées qui ont été approuvées par le Comité du Règlement des radiocommunications.</w:t>
      </w:r>
    </w:p>
    <w:p w14:paraId="3044C8E8" w14:textId="77777777" w:rsidR="005B59FC" w:rsidRPr="00A910E2" w:rsidRDefault="005B59FC" w:rsidP="00C501FF">
      <w:pPr>
        <w:pStyle w:val="TableNotitle"/>
        <w:spacing w:before="240"/>
      </w:pPr>
      <w:r w:rsidRPr="00A910E2">
        <w:t>Tableau 8.1.4.1-1</w:t>
      </w:r>
    </w:p>
    <w:p w14:paraId="59DC2766" w14:textId="77777777" w:rsidR="005B59FC" w:rsidRPr="00A910E2" w:rsidRDefault="005B59FC" w:rsidP="005B59FC">
      <w:pPr>
        <w:pStyle w:val="TableNotitle"/>
        <w:spacing w:before="120"/>
      </w:pPr>
      <w:r w:rsidRPr="00A910E2">
        <w:t>Nombre de livraisons du Règlement des radiocommunications</w:t>
      </w:r>
    </w:p>
    <w:tbl>
      <w:tblPr>
        <w:tblStyle w:val="GridTable5Dark-Accent1"/>
        <w:tblW w:w="9631" w:type="dxa"/>
        <w:tblLayout w:type="fixed"/>
        <w:tblLook w:val="04A0" w:firstRow="1" w:lastRow="0" w:firstColumn="1" w:lastColumn="0" w:noHBand="0" w:noVBand="1"/>
      </w:tblPr>
      <w:tblGrid>
        <w:gridCol w:w="2263"/>
        <w:gridCol w:w="2552"/>
        <w:gridCol w:w="1701"/>
        <w:gridCol w:w="1559"/>
        <w:gridCol w:w="1556"/>
      </w:tblGrid>
      <w:tr w:rsidR="005B59FC" w:rsidRPr="00A910E2" w14:paraId="717AA225" w14:textId="77777777" w:rsidTr="00D21486">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2263" w:type="dxa"/>
            <w:hideMark/>
          </w:tcPr>
          <w:p w14:paraId="6DE059F4" w14:textId="77777777" w:rsidR="005B59FC" w:rsidRPr="00A910E2" w:rsidRDefault="005B59FC" w:rsidP="00D21486">
            <w:pPr>
              <w:pStyle w:val="Tablehead"/>
              <w:rPr>
                <w:b/>
                <w:bCs w:val="0"/>
              </w:rPr>
            </w:pPr>
          </w:p>
        </w:tc>
        <w:tc>
          <w:tcPr>
            <w:tcW w:w="2552" w:type="dxa"/>
            <w:hideMark/>
          </w:tcPr>
          <w:p w14:paraId="52E7E70A"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 xml:space="preserve">2020 </w:t>
            </w:r>
            <w:r w:rsidRPr="00A910E2">
              <w:rPr>
                <w:b/>
                <w:bCs w:val="0"/>
              </w:rPr>
              <w:br/>
              <w:t>(RR-16 et RR-20)</w:t>
            </w:r>
          </w:p>
        </w:tc>
        <w:tc>
          <w:tcPr>
            <w:tcW w:w="1701" w:type="dxa"/>
          </w:tcPr>
          <w:p w14:paraId="25975F26"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2021</w:t>
            </w:r>
            <w:r w:rsidRPr="00A910E2">
              <w:rPr>
                <w:b/>
                <w:bCs w:val="0"/>
              </w:rPr>
              <w:br/>
              <w:t>RR-20</w:t>
            </w:r>
          </w:p>
        </w:tc>
        <w:tc>
          <w:tcPr>
            <w:tcW w:w="1559" w:type="dxa"/>
          </w:tcPr>
          <w:p w14:paraId="3B29F997"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2022</w:t>
            </w:r>
            <w:r w:rsidRPr="00A910E2">
              <w:rPr>
                <w:b/>
                <w:bCs w:val="0"/>
              </w:rPr>
              <w:br/>
              <w:t>RR-20</w:t>
            </w:r>
          </w:p>
        </w:tc>
        <w:tc>
          <w:tcPr>
            <w:tcW w:w="1556" w:type="dxa"/>
          </w:tcPr>
          <w:p w14:paraId="5458E5F4"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2023</w:t>
            </w:r>
            <w:r w:rsidRPr="00A910E2">
              <w:rPr>
                <w:b/>
                <w:bCs w:val="0"/>
              </w:rPr>
              <w:br/>
              <w:t>RR-20</w:t>
            </w:r>
          </w:p>
        </w:tc>
      </w:tr>
      <w:tr w:rsidR="005B59FC" w:rsidRPr="00A910E2" w14:paraId="7ADECC5F" w14:textId="77777777" w:rsidTr="00D21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08AB63D9" w14:textId="77777777" w:rsidR="005B59FC" w:rsidRPr="00A910E2" w:rsidRDefault="005B59FC" w:rsidP="00D21486">
            <w:pPr>
              <w:pStyle w:val="Tabletext"/>
              <w:jc w:val="center"/>
            </w:pPr>
            <w:r w:rsidRPr="00A910E2">
              <w:t>Exemplaires papier vendus</w:t>
            </w:r>
          </w:p>
        </w:tc>
        <w:tc>
          <w:tcPr>
            <w:tcW w:w="2552" w:type="dxa"/>
            <w:hideMark/>
          </w:tcPr>
          <w:p w14:paraId="32223FC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Édition de 2016: 59</w:t>
            </w:r>
            <w:r w:rsidRPr="00A910E2">
              <w:br/>
              <w:t>Édition de 2020: 1 170</w:t>
            </w:r>
          </w:p>
        </w:tc>
        <w:tc>
          <w:tcPr>
            <w:tcW w:w="1701" w:type="dxa"/>
          </w:tcPr>
          <w:p w14:paraId="66F61EE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274</w:t>
            </w:r>
          </w:p>
        </w:tc>
        <w:tc>
          <w:tcPr>
            <w:tcW w:w="1559" w:type="dxa"/>
          </w:tcPr>
          <w:p w14:paraId="0B0D04DA"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117</w:t>
            </w:r>
          </w:p>
        </w:tc>
        <w:tc>
          <w:tcPr>
            <w:tcW w:w="1556" w:type="dxa"/>
          </w:tcPr>
          <w:p w14:paraId="0D7FCCC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1611</w:t>
            </w:r>
          </w:p>
        </w:tc>
      </w:tr>
      <w:tr w:rsidR="005B59FC" w:rsidRPr="00A910E2" w14:paraId="2CDADB54" w14:textId="77777777" w:rsidTr="00D21486">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5053448F" w14:textId="77777777" w:rsidR="005B59FC" w:rsidRPr="00A910E2" w:rsidRDefault="005B59FC" w:rsidP="00D21486">
            <w:pPr>
              <w:pStyle w:val="Tabletext"/>
              <w:jc w:val="center"/>
            </w:pPr>
            <w:r w:rsidRPr="00A910E2">
              <w:t>DVD vendus</w:t>
            </w:r>
          </w:p>
        </w:tc>
        <w:tc>
          <w:tcPr>
            <w:tcW w:w="2552" w:type="dxa"/>
            <w:hideMark/>
          </w:tcPr>
          <w:p w14:paraId="2579F918"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Édition de 2016: 482</w:t>
            </w:r>
            <w:r w:rsidRPr="00A910E2">
              <w:br/>
              <w:t>Édition de 2020: 5 061</w:t>
            </w:r>
          </w:p>
        </w:tc>
        <w:tc>
          <w:tcPr>
            <w:tcW w:w="1701" w:type="dxa"/>
          </w:tcPr>
          <w:p w14:paraId="5355CAB6"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3 855</w:t>
            </w:r>
          </w:p>
        </w:tc>
        <w:tc>
          <w:tcPr>
            <w:tcW w:w="1559" w:type="dxa"/>
          </w:tcPr>
          <w:p w14:paraId="1D4E7C6A"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1 638</w:t>
            </w:r>
          </w:p>
        </w:tc>
        <w:tc>
          <w:tcPr>
            <w:tcW w:w="1556" w:type="dxa"/>
          </w:tcPr>
          <w:p w14:paraId="6707AF3E"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11 700</w:t>
            </w:r>
          </w:p>
        </w:tc>
      </w:tr>
      <w:tr w:rsidR="005B59FC" w:rsidRPr="00A910E2" w14:paraId="6863CA9D" w14:textId="77777777" w:rsidTr="00D21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631CFE61" w14:textId="77777777" w:rsidR="005B59FC" w:rsidRPr="00A910E2" w:rsidRDefault="005B59FC" w:rsidP="00D21486">
            <w:pPr>
              <w:pStyle w:val="Tabletext"/>
              <w:jc w:val="center"/>
            </w:pPr>
            <w:r w:rsidRPr="00A910E2">
              <w:t>Téléchargements gratuits</w:t>
            </w:r>
          </w:p>
        </w:tc>
        <w:tc>
          <w:tcPr>
            <w:tcW w:w="2552" w:type="dxa"/>
          </w:tcPr>
          <w:p w14:paraId="6A57B969"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Édition de 2016: 36 416</w:t>
            </w:r>
            <w:r w:rsidRPr="00A910E2">
              <w:br/>
              <w:t>Édition de 2020: 4 236</w:t>
            </w:r>
          </w:p>
        </w:tc>
        <w:tc>
          <w:tcPr>
            <w:tcW w:w="1701" w:type="dxa"/>
          </w:tcPr>
          <w:p w14:paraId="4270D9B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18 092</w:t>
            </w:r>
          </w:p>
        </w:tc>
        <w:tc>
          <w:tcPr>
            <w:tcW w:w="1559" w:type="dxa"/>
          </w:tcPr>
          <w:p w14:paraId="7E5E3DB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13 467</w:t>
            </w:r>
          </w:p>
        </w:tc>
        <w:tc>
          <w:tcPr>
            <w:tcW w:w="1556" w:type="dxa"/>
          </w:tcPr>
          <w:p w14:paraId="0073753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42 439</w:t>
            </w:r>
          </w:p>
        </w:tc>
      </w:tr>
    </w:tbl>
    <w:p w14:paraId="5760E5DE" w14:textId="77777777" w:rsidR="005B59FC" w:rsidRPr="00A910E2" w:rsidRDefault="005B59FC" w:rsidP="00C501FF">
      <w:pPr>
        <w:pStyle w:val="TableNotitle"/>
        <w:spacing w:before="240"/>
      </w:pPr>
      <w:r w:rsidRPr="00A910E2">
        <w:t>TABLEAU 8.1.4.1-2</w:t>
      </w:r>
    </w:p>
    <w:p w14:paraId="3B5F4C1E" w14:textId="77777777" w:rsidR="005B59FC" w:rsidRPr="00A910E2" w:rsidRDefault="005B59FC" w:rsidP="005B59FC">
      <w:pPr>
        <w:pStyle w:val="TableNotitle"/>
        <w:spacing w:before="120"/>
      </w:pPr>
      <w:r w:rsidRPr="00A910E2">
        <w:t>Téléchargements des Règles de procédure</w:t>
      </w:r>
    </w:p>
    <w:tbl>
      <w:tblPr>
        <w:tblStyle w:val="GridTable5Dark-Accent1"/>
        <w:tblW w:w="9606" w:type="dxa"/>
        <w:tblLayout w:type="fixed"/>
        <w:tblLook w:val="04A0" w:firstRow="1" w:lastRow="0" w:firstColumn="1" w:lastColumn="0" w:noHBand="0" w:noVBand="1"/>
      </w:tblPr>
      <w:tblGrid>
        <w:gridCol w:w="2263"/>
        <w:gridCol w:w="2552"/>
        <w:gridCol w:w="1701"/>
        <w:gridCol w:w="1559"/>
        <w:gridCol w:w="1531"/>
      </w:tblGrid>
      <w:tr w:rsidR="005B59FC" w:rsidRPr="00A910E2" w14:paraId="2E029481" w14:textId="77777777" w:rsidTr="00D2148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63" w:type="dxa"/>
            <w:hideMark/>
          </w:tcPr>
          <w:p w14:paraId="51F7E5E7" w14:textId="77777777" w:rsidR="005B59FC" w:rsidRPr="00A910E2" w:rsidRDefault="005B59FC" w:rsidP="00D21486">
            <w:pPr>
              <w:pStyle w:val="Tablehead"/>
              <w:rPr>
                <w:b/>
                <w:bCs w:val="0"/>
              </w:rPr>
            </w:pPr>
          </w:p>
        </w:tc>
        <w:tc>
          <w:tcPr>
            <w:tcW w:w="2552" w:type="dxa"/>
          </w:tcPr>
          <w:p w14:paraId="2E3BA1F1"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2020</w:t>
            </w:r>
          </w:p>
        </w:tc>
        <w:tc>
          <w:tcPr>
            <w:tcW w:w="1701" w:type="dxa"/>
          </w:tcPr>
          <w:p w14:paraId="40C057EB"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2021</w:t>
            </w:r>
          </w:p>
        </w:tc>
        <w:tc>
          <w:tcPr>
            <w:tcW w:w="1559" w:type="dxa"/>
          </w:tcPr>
          <w:p w14:paraId="2DF9A325"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2022</w:t>
            </w:r>
          </w:p>
        </w:tc>
        <w:tc>
          <w:tcPr>
            <w:tcW w:w="1531" w:type="dxa"/>
          </w:tcPr>
          <w:p w14:paraId="5CF494F0"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2023</w:t>
            </w:r>
          </w:p>
        </w:tc>
      </w:tr>
      <w:tr w:rsidR="005B59FC" w:rsidRPr="00A910E2" w14:paraId="663B04D9" w14:textId="77777777" w:rsidTr="00D21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3407E01F" w14:textId="77777777" w:rsidR="005B59FC" w:rsidRPr="00A910E2" w:rsidRDefault="005B59FC" w:rsidP="00D21486">
            <w:pPr>
              <w:pStyle w:val="Tabletext"/>
              <w:jc w:val="center"/>
            </w:pPr>
            <w:r w:rsidRPr="00A910E2">
              <w:t>Règles de procédure</w:t>
            </w:r>
          </w:p>
        </w:tc>
        <w:tc>
          <w:tcPr>
            <w:tcW w:w="2552" w:type="dxa"/>
            <w:vAlign w:val="center"/>
            <w:hideMark/>
          </w:tcPr>
          <w:p w14:paraId="2D2DD52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10 882</w:t>
            </w:r>
          </w:p>
        </w:tc>
        <w:tc>
          <w:tcPr>
            <w:tcW w:w="1701" w:type="dxa"/>
            <w:vAlign w:val="center"/>
          </w:tcPr>
          <w:p w14:paraId="52566B5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10 539</w:t>
            </w:r>
          </w:p>
        </w:tc>
        <w:tc>
          <w:tcPr>
            <w:tcW w:w="1559" w:type="dxa"/>
            <w:vAlign w:val="center"/>
          </w:tcPr>
          <w:p w14:paraId="585FE6D4"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11 887</w:t>
            </w:r>
          </w:p>
        </w:tc>
        <w:tc>
          <w:tcPr>
            <w:tcW w:w="1531" w:type="dxa"/>
            <w:vAlign w:val="center"/>
          </w:tcPr>
          <w:p w14:paraId="72273C2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16 875</w:t>
            </w:r>
          </w:p>
        </w:tc>
      </w:tr>
    </w:tbl>
    <w:p w14:paraId="0135D5AC" w14:textId="77777777" w:rsidR="005B59FC" w:rsidRPr="00A910E2" w:rsidRDefault="005B59FC" w:rsidP="005B59FC">
      <w:pPr>
        <w:pStyle w:val="Heading4"/>
      </w:pPr>
      <w:r w:rsidRPr="00A910E2">
        <w:t>8.1.4.2</w:t>
      </w:r>
      <w:r w:rsidRPr="00A910E2">
        <w:tab/>
        <w:t>Recommandations UIT-R</w:t>
      </w:r>
    </w:p>
    <w:p w14:paraId="0952DCFD" w14:textId="77777777" w:rsidR="005B59FC" w:rsidRPr="00A910E2" w:rsidRDefault="005B59FC" w:rsidP="005B59FC">
      <w:r w:rsidRPr="00A910E2">
        <w:t>Grâce à la politique d'accès en ligne gratuit, des utilisateurs du monde entier ont accès aux Recommandations UIT-R et peuvent les télécharger. Entre janvier 2020 et décembre 2023, près de sept millions de téléchargements de Recommandations UIT-R depuis le site web de l'UIT ont été enregistrés. Le Tableau 8.1.4.2-1 illustre la répartition de ces téléchargements par année et par série. On recense actuellement 1 190 Recommandations UIT-R en vigueur.</w:t>
      </w:r>
    </w:p>
    <w:p w14:paraId="4AF47D8C" w14:textId="77777777" w:rsidR="005B59FC" w:rsidRPr="00A910E2" w:rsidRDefault="005B59FC" w:rsidP="00C501FF">
      <w:pPr>
        <w:pStyle w:val="TableNotitle"/>
        <w:spacing w:before="240"/>
      </w:pPr>
      <w:r w:rsidRPr="00A910E2">
        <w:t>TABLEAU 8.1.4.2-1</w:t>
      </w:r>
    </w:p>
    <w:p w14:paraId="20814C93" w14:textId="77777777" w:rsidR="005B59FC" w:rsidRPr="00A910E2" w:rsidRDefault="005B59FC" w:rsidP="005B59FC">
      <w:pPr>
        <w:pStyle w:val="TableNotitle"/>
        <w:spacing w:before="120"/>
      </w:pPr>
      <w:r w:rsidRPr="00A910E2">
        <w:t>Répartition des téléchargements des Recommandations UIT-R</w:t>
      </w:r>
    </w:p>
    <w:tbl>
      <w:tblPr>
        <w:tblStyle w:val="GridTable5Dark-Accent1"/>
        <w:tblW w:w="8500" w:type="dxa"/>
        <w:jc w:val="center"/>
        <w:tblLayout w:type="fixed"/>
        <w:tblLook w:val="04A0" w:firstRow="1" w:lastRow="0" w:firstColumn="1" w:lastColumn="0" w:noHBand="0" w:noVBand="1"/>
      </w:tblPr>
      <w:tblGrid>
        <w:gridCol w:w="1217"/>
        <w:gridCol w:w="1177"/>
        <w:gridCol w:w="1202"/>
        <w:gridCol w:w="1219"/>
        <w:gridCol w:w="1276"/>
        <w:gridCol w:w="1134"/>
        <w:gridCol w:w="1275"/>
      </w:tblGrid>
      <w:tr w:rsidR="005B59FC" w:rsidRPr="00A910E2" w14:paraId="0A1CF269" w14:textId="77777777" w:rsidTr="00C501FF">
        <w:trPr>
          <w:cnfStyle w:val="100000000000" w:firstRow="1" w:lastRow="0" w:firstColumn="0" w:lastColumn="0" w:oddVBand="0" w:evenVBand="0" w:oddHBand="0" w:evenHBand="0" w:firstRowFirstColumn="0" w:firstRowLastColumn="0" w:lastRowFirstColumn="0" w:lastRowLastColumn="0"/>
          <w:trHeight w:val="465"/>
          <w:tblHeader/>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1B6363FE" w14:textId="77777777" w:rsidR="005B59FC" w:rsidRPr="00A910E2" w:rsidRDefault="005B59FC" w:rsidP="00D21486">
            <w:pPr>
              <w:pStyle w:val="Tablehead"/>
              <w:rPr>
                <w:b/>
                <w:bCs w:val="0"/>
              </w:rPr>
            </w:pPr>
            <w:r w:rsidRPr="00A910E2">
              <w:rPr>
                <w:b/>
                <w:bCs w:val="0"/>
              </w:rPr>
              <w:t>SÉRIE</w:t>
            </w:r>
          </w:p>
        </w:tc>
        <w:tc>
          <w:tcPr>
            <w:tcW w:w="1177" w:type="dxa"/>
            <w:vAlign w:val="center"/>
          </w:tcPr>
          <w:p w14:paraId="4EFFD0C7"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2020</w:t>
            </w:r>
          </w:p>
        </w:tc>
        <w:tc>
          <w:tcPr>
            <w:tcW w:w="1202" w:type="dxa"/>
            <w:vAlign w:val="center"/>
          </w:tcPr>
          <w:p w14:paraId="46F94366"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2021</w:t>
            </w:r>
          </w:p>
        </w:tc>
        <w:tc>
          <w:tcPr>
            <w:tcW w:w="1219" w:type="dxa"/>
            <w:vAlign w:val="center"/>
          </w:tcPr>
          <w:p w14:paraId="639B897A"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2022</w:t>
            </w:r>
          </w:p>
        </w:tc>
        <w:tc>
          <w:tcPr>
            <w:tcW w:w="1276" w:type="dxa"/>
            <w:vAlign w:val="center"/>
          </w:tcPr>
          <w:p w14:paraId="60F5FCF6"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2023</w:t>
            </w:r>
          </w:p>
        </w:tc>
        <w:tc>
          <w:tcPr>
            <w:tcW w:w="1134" w:type="dxa"/>
            <w:vAlign w:val="center"/>
          </w:tcPr>
          <w:p w14:paraId="57F65BEE"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TOTAL</w:t>
            </w:r>
          </w:p>
        </w:tc>
        <w:tc>
          <w:tcPr>
            <w:tcW w:w="1275" w:type="dxa"/>
            <w:vAlign w:val="center"/>
          </w:tcPr>
          <w:p w14:paraId="2131AF40" w14:textId="77777777" w:rsidR="005B59FC" w:rsidRPr="00A910E2" w:rsidRDefault="005B59FC" w:rsidP="00D21486">
            <w:pPr>
              <w:pStyle w:val="Tablehead"/>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w:t>
            </w:r>
          </w:p>
        </w:tc>
      </w:tr>
      <w:tr w:rsidR="005B59FC" w:rsidRPr="00A910E2" w14:paraId="0518E69B"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138C568D" w14:textId="77777777" w:rsidR="005B59FC" w:rsidRPr="00A910E2" w:rsidRDefault="005B59FC" w:rsidP="00D21486">
            <w:pPr>
              <w:pStyle w:val="Tabletext"/>
              <w:jc w:val="center"/>
            </w:pPr>
            <w:r w:rsidRPr="00A910E2">
              <w:t>P</w:t>
            </w:r>
          </w:p>
        </w:tc>
        <w:tc>
          <w:tcPr>
            <w:tcW w:w="1177" w:type="dxa"/>
            <w:vAlign w:val="center"/>
          </w:tcPr>
          <w:p w14:paraId="09E11FB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385 614</w:t>
            </w:r>
          </w:p>
        </w:tc>
        <w:tc>
          <w:tcPr>
            <w:tcW w:w="1202" w:type="dxa"/>
            <w:vAlign w:val="center"/>
          </w:tcPr>
          <w:p w14:paraId="1C8B583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410 918</w:t>
            </w:r>
          </w:p>
        </w:tc>
        <w:tc>
          <w:tcPr>
            <w:tcW w:w="1219" w:type="dxa"/>
            <w:vAlign w:val="center"/>
          </w:tcPr>
          <w:p w14:paraId="28C35B6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347 953</w:t>
            </w:r>
          </w:p>
        </w:tc>
        <w:tc>
          <w:tcPr>
            <w:tcW w:w="1276" w:type="dxa"/>
            <w:vAlign w:val="center"/>
          </w:tcPr>
          <w:p w14:paraId="6995F460"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401 927</w:t>
            </w:r>
          </w:p>
        </w:tc>
        <w:tc>
          <w:tcPr>
            <w:tcW w:w="1134" w:type="dxa"/>
            <w:vAlign w:val="center"/>
          </w:tcPr>
          <w:p w14:paraId="38CCFA0A"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1 546 412</w:t>
            </w:r>
          </w:p>
        </w:tc>
        <w:tc>
          <w:tcPr>
            <w:tcW w:w="1275" w:type="dxa"/>
            <w:vAlign w:val="center"/>
          </w:tcPr>
          <w:p w14:paraId="2AA1327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22,32%</w:t>
            </w:r>
          </w:p>
        </w:tc>
      </w:tr>
      <w:tr w:rsidR="005B59FC" w:rsidRPr="00A910E2" w14:paraId="216CBA83"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27537BB6" w14:textId="77777777" w:rsidR="005B59FC" w:rsidRPr="00A910E2" w:rsidRDefault="005B59FC" w:rsidP="00D21486">
            <w:pPr>
              <w:pStyle w:val="Tabletext"/>
              <w:jc w:val="center"/>
            </w:pPr>
            <w:r w:rsidRPr="00A910E2">
              <w:t>M</w:t>
            </w:r>
          </w:p>
        </w:tc>
        <w:tc>
          <w:tcPr>
            <w:tcW w:w="1177" w:type="dxa"/>
            <w:vAlign w:val="center"/>
          </w:tcPr>
          <w:p w14:paraId="48BDBFD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327 720</w:t>
            </w:r>
          </w:p>
        </w:tc>
        <w:tc>
          <w:tcPr>
            <w:tcW w:w="1202" w:type="dxa"/>
            <w:vAlign w:val="center"/>
          </w:tcPr>
          <w:p w14:paraId="3274B8CD"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365 675</w:t>
            </w:r>
          </w:p>
        </w:tc>
        <w:tc>
          <w:tcPr>
            <w:tcW w:w="1219" w:type="dxa"/>
            <w:vAlign w:val="center"/>
          </w:tcPr>
          <w:p w14:paraId="42E25E53"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314 920</w:t>
            </w:r>
          </w:p>
        </w:tc>
        <w:tc>
          <w:tcPr>
            <w:tcW w:w="1276" w:type="dxa"/>
            <w:vAlign w:val="center"/>
          </w:tcPr>
          <w:p w14:paraId="0149656E"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355 079</w:t>
            </w:r>
          </w:p>
        </w:tc>
        <w:tc>
          <w:tcPr>
            <w:tcW w:w="1134" w:type="dxa"/>
            <w:vAlign w:val="center"/>
          </w:tcPr>
          <w:p w14:paraId="77C4E72D"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1 363 394</w:t>
            </w:r>
          </w:p>
        </w:tc>
        <w:tc>
          <w:tcPr>
            <w:tcW w:w="1275" w:type="dxa"/>
            <w:vAlign w:val="center"/>
          </w:tcPr>
          <w:p w14:paraId="57E5AEB8"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19,68%</w:t>
            </w:r>
          </w:p>
        </w:tc>
      </w:tr>
      <w:tr w:rsidR="005B59FC" w:rsidRPr="00A910E2" w14:paraId="1FDD3032"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633BFC1E" w14:textId="77777777" w:rsidR="005B59FC" w:rsidRPr="00A910E2" w:rsidRDefault="005B59FC" w:rsidP="00D21486">
            <w:pPr>
              <w:pStyle w:val="Tabletext"/>
              <w:jc w:val="center"/>
            </w:pPr>
            <w:r w:rsidRPr="00A910E2">
              <w:t>BT</w:t>
            </w:r>
          </w:p>
        </w:tc>
        <w:tc>
          <w:tcPr>
            <w:tcW w:w="1177" w:type="dxa"/>
            <w:vAlign w:val="center"/>
          </w:tcPr>
          <w:p w14:paraId="0F44048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226 737</w:t>
            </w:r>
          </w:p>
        </w:tc>
        <w:tc>
          <w:tcPr>
            <w:tcW w:w="1202" w:type="dxa"/>
            <w:vAlign w:val="center"/>
          </w:tcPr>
          <w:p w14:paraId="3F6DC180"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231 981</w:t>
            </w:r>
          </w:p>
        </w:tc>
        <w:tc>
          <w:tcPr>
            <w:tcW w:w="1219" w:type="dxa"/>
            <w:vAlign w:val="center"/>
          </w:tcPr>
          <w:p w14:paraId="70A50FE8"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218 403</w:t>
            </w:r>
          </w:p>
        </w:tc>
        <w:tc>
          <w:tcPr>
            <w:tcW w:w="1276" w:type="dxa"/>
            <w:vAlign w:val="center"/>
          </w:tcPr>
          <w:p w14:paraId="0760314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240 031</w:t>
            </w:r>
          </w:p>
        </w:tc>
        <w:tc>
          <w:tcPr>
            <w:tcW w:w="1134" w:type="dxa"/>
            <w:vAlign w:val="center"/>
          </w:tcPr>
          <w:p w14:paraId="104ECC7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917 152</w:t>
            </w:r>
          </w:p>
        </w:tc>
        <w:tc>
          <w:tcPr>
            <w:tcW w:w="1275" w:type="dxa"/>
            <w:vAlign w:val="center"/>
          </w:tcPr>
          <w:p w14:paraId="3A06544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13,24%</w:t>
            </w:r>
          </w:p>
        </w:tc>
      </w:tr>
      <w:tr w:rsidR="005B59FC" w:rsidRPr="00A910E2" w14:paraId="116B2EF1"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038EAB4F" w14:textId="77777777" w:rsidR="005B59FC" w:rsidRPr="00A910E2" w:rsidRDefault="005B59FC" w:rsidP="00D21486">
            <w:pPr>
              <w:pStyle w:val="Tabletext"/>
              <w:jc w:val="center"/>
            </w:pPr>
            <w:r w:rsidRPr="00A910E2">
              <w:t>SM</w:t>
            </w:r>
          </w:p>
        </w:tc>
        <w:tc>
          <w:tcPr>
            <w:tcW w:w="1177" w:type="dxa"/>
            <w:vAlign w:val="center"/>
          </w:tcPr>
          <w:p w14:paraId="134EB19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171 165</w:t>
            </w:r>
          </w:p>
        </w:tc>
        <w:tc>
          <w:tcPr>
            <w:tcW w:w="1202" w:type="dxa"/>
            <w:vAlign w:val="center"/>
          </w:tcPr>
          <w:p w14:paraId="4CFEE689"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196 660</w:t>
            </w:r>
          </w:p>
        </w:tc>
        <w:tc>
          <w:tcPr>
            <w:tcW w:w="1219" w:type="dxa"/>
            <w:vAlign w:val="center"/>
          </w:tcPr>
          <w:p w14:paraId="69DEEDF5"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169 755</w:t>
            </w:r>
          </w:p>
        </w:tc>
        <w:tc>
          <w:tcPr>
            <w:tcW w:w="1276" w:type="dxa"/>
            <w:vAlign w:val="center"/>
          </w:tcPr>
          <w:p w14:paraId="285BC831"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177 372</w:t>
            </w:r>
          </w:p>
        </w:tc>
        <w:tc>
          <w:tcPr>
            <w:tcW w:w="1134" w:type="dxa"/>
            <w:vAlign w:val="center"/>
          </w:tcPr>
          <w:p w14:paraId="641BC0C3"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714 952</w:t>
            </w:r>
          </w:p>
        </w:tc>
        <w:tc>
          <w:tcPr>
            <w:tcW w:w="1275" w:type="dxa"/>
            <w:vAlign w:val="center"/>
          </w:tcPr>
          <w:p w14:paraId="17BEE530"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10,32%</w:t>
            </w:r>
          </w:p>
        </w:tc>
      </w:tr>
      <w:tr w:rsidR="005B59FC" w:rsidRPr="00A910E2" w14:paraId="7A6ECD0F"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57F4987C" w14:textId="77777777" w:rsidR="005B59FC" w:rsidRPr="00A910E2" w:rsidRDefault="005B59FC" w:rsidP="00D21486">
            <w:pPr>
              <w:pStyle w:val="Tabletext"/>
              <w:jc w:val="center"/>
            </w:pPr>
            <w:r w:rsidRPr="00A910E2">
              <w:t>BS</w:t>
            </w:r>
          </w:p>
        </w:tc>
        <w:tc>
          <w:tcPr>
            <w:tcW w:w="1177" w:type="dxa"/>
            <w:vAlign w:val="center"/>
          </w:tcPr>
          <w:p w14:paraId="5D8AAB1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142 699</w:t>
            </w:r>
          </w:p>
        </w:tc>
        <w:tc>
          <w:tcPr>
            <w:tcW w:w="1202" w:type="dxa"/>
            <w:vAlign w:val="center"/>
          </w:tcPr>
          <w:p w14:paraId="2BD21CE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166 563</w:t>
            </w:r>
          </w:p>
        </w:tc>
        <w:tc>
          <w:tcPr>
            <w:tcW w:w="1219" w:type="dxa"/>
            <w:vAlign w:val="center"/>
          </w:tcPr>
          <w:p w14:paraId="36AB55F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143 107</w:t>
            </w:r>
          </w:p>
        </w:tc>
        <w:tc>
          <w:tcPr>
            <w:tcW w:w="1276" w:type="dxa"/>
            <w:vAlign w:val="center"/>
          </w:tcPr>
          <w:p w14:paraId="660E616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158 493</w:t>
            </w:r>
          </w:p>
        </w:tc>
        <w:tc>
          <w:tcPr>
            <w:tcW w:w="1134" w:type="dxa"/>
            <w:vAlign w:val="center"/>
          </w:tcPr>
          <w:p w14:paraId="50BAFFA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610 862</w:t>
            </w:r>
          </w:p>
        </w:tc>
        <w:tc>
          <w:tcPr>
            <w:tcW w:w="1275" w:type="dxa"/>
            <w:vAlign w:val="center"/>
          </w:tcPr>
          <w:p w14:paraId="30EFCBE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8,82%</w:t>
            </w:r>
          </w:p>
        </w:tc>
      </w:tr>
      <w:tr w:rsidR="005B59FC" w:rsidRPr="00A910E2" w14:paraId="5AF472BF"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07BDBEB9" w14:textId="77777777" w:rsidR="005B59FC" w:rsidRPr="00A910E2" w:rsidRDefault="005B59FC" w:rsidP="00D21486">
            <w:pPr>
              <w:pStyle w:val="Tabletext"/>
              <w:jc w:val="center"/>
            </w:pPr>
            <w:r w:rsidRPr="00A910E2">
              <w:t>F</w:t>
            </w:r>
          </w:p>
        </w:tc>
        <w:tc>
          <w:tcPr>
            <w:tcW w:w="1177" w:type="dxa"/>
            <w:vAlign w:val="center"/>
          </w:tcPr>
          <w:p w14:paraId="154A85DE"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154 672</w:t>
            </w:r>
          </w:p>
        </w:tc>
        <w:tc>
          <w:tcPr>
            <w:tcW w:w="1202" w:type="dxa"/>
            <w:vAlign w:val="center"/>
          </w:tcPr>
          <w:p w14:paraId="66FE5423"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147 667</w:t>
            </w:r>
          </w:p>
        </w:tc>
        <w:tc>
          <w:tcPr>
            <w:tcW w:w="1219" w:type="dxa"/>
            <w:vAlign w:val="center"/>
          </w:tcPr>
          <w:p w14:paraId="45EEAF49"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116 539</w:t>
            </w:r>
          </w:p>
        </w:tc>
        <w:tc>
          <w:tcPr>
            <w:tcW w:w="1276" w:type="dxa"/>
            <w:vAlign w:val="center"/>
          </w:tcPr>
          <w:p w14:paraId="70C764EC"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139 580</w:t>
            </w:r>
          </w:p>
        </w:tc>
        <w:tc>
          <w:tcPr>
            <w:tcW w:w="1134" w:type="dxa"/>
            <w:vAlign w:val="center"/>
          </w:tcPr>
          <w:p w14:paraId="2C77B709"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558 458</w:t>
            </w:r>
          </w:p>
        </w:tc>
        <w:tc>
          <w:tcPr>
            <w:tcW w:w="1275" w:type="dxa"/>
            <w:vAlign w:val="center"/>
          </w:tcPr>
          <w:p w14:paraId="07B58D25"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8,06%</w:t>
            </w:r>
          </w:p>
        </w:tc>
      </w:tr>
      <w:tr w:rsidR="005B59FC" w:rsidRPr="00A910E2" w14:paraId="69E7F10E"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6EE2ECF7" w14:textId="77777777" w:rsidR="005B59FC" w:rsidRPr="00A910E2" w:rsidRDefault="005B59FC" w:rsidP="00D21486">
            <w:pPr>
              <w:pStyle w:val="Tabletext"/>
              <w:jc w:val="center"/>
            </w:pPr>
            <w:r w:rsidRPr="00A910E2">
              <w:t>S</w:t>
            </w:r>
          </w:p>
        </w:tc>
        <w:tc>
          <w:tcPr>
            <w:tcW w:w="1177" w:type="dxa"/>
            <w:vAlign w:val="center"/>
          </w:tcPr>
          <w:p w14:paraId="12A9A8E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108 174</w:t>
            </w:r>
          </w:p>
        </w:tc>
        <w:tc>
          <w:tcPr>
            <w:tcW w:w="1202" w:type="dxa"/>
            <w:vAlign w:val="center"/>
          </w:tcPr>
          <w:p w14:paraId="11C28D34"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123 593</w:t>
            </w:r>
          </w:p>
        </w:tc>
        <w:tc>
          <w:tcPr>
            <w:tcW w:w="1219" w:type="dxa"/>
            <w:vAlign w:val="center"/>
          </w:tcPr>
          <w:p w14:paraId="6FAFB617"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87 801</w:t>
            </w:r>
          </w:p>
        </w:tc>
        <w:tc>
          <w:tcPr>
            <w:tcW w:w="1276" w:type="dxa"/>
            <w:vAlign w:val="center"/>
          </w:tcPr>
          <w:p w14:paraId="42E9850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105 480</w:t>
            </w:r>
          </w:p>
        </w:tc>
        <w:tc>
          <w:tcPr>
            <w:tcW w:w="1134" w:type="dxa"/>
            <w:vAlign w:val="center"/>
          </w:tcPr>
          <w:p w14:paraId="13A0E39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425 048</w:t>
            </w:r>
          </w:p>
        </w:tc>
        <w:tc>
          <w:tcPr>
            <w:tcW w:w="1275" w:type="dxa"/>
            <w:vAlign w:val="center"/>
          </w:tcPr>
          <w:p w14:paraId="1E48CCD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6,13%</w:t>
            </w:r>
          </w:p>
        </w:tc>
      </w:tr>
      <w:tr w:rsidR="005B59FC" w:rsidRPr="00A910E2" w14:paraId="106F0357"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02179DD3" w14:textId="77777777" w:rsidR="005B59FC" w:rsidRPr="00A910E2" w:rsidRDefault="005B59FC" w:rsidP="00D21486">
            <w:pPr>
              <w:pStyle w:val="Tabletext"/>
              <w:jc w:val="center"/>
            </w:pPr>
            <w:r w:rsidRPr="00A910E2">
              <w:t>V</w:t>
            </w:r>
          </w:p>
        </w:tc>
        <w:tc>
          <w:tcPr>
            <w:tcW w:w="1177" w:type="dxa"/>
            <w:vAlign w:val="center"/>
          </w:tcPr>
          <w:p w14:paraId="5F0E652B"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40 634</w:t>
            </w:r>
          </w:p>
        </w:tc>
        <w:tc>
          <w:tcPr>
            <w:tcW w:w="1202" w:type="dxa"/>
            <w:vAlign w:val="center"/>
          </w:tcPr>
          <w:p w14:paraId="464C0155"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47 032</w:t>
            </w:r>
          </w:p>
        </w:tc>
        <w:tc>
          <w:tcPr>
            <w:tcW w:w="1219" w:type="dxa"/>
            <w:vAlign w:val="center"/>
          </w:tcPr>
          <w:p w14:paraId="6CDBFB2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44 707</w:t>
            </w:r>
          </w:p>
        </w:tc>
        <w:tc>
          <w:tcPr>
            <w:tcW w:w="1276" w:type="dxa"/>
            <w:vAlign w:val="center"/>
          </w:tcPr>
          <w:p w14:paraId="4E3E3EB6"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39 508</w:t>
            </w:r>
          </w:p>
        </w:tc>
        <w:tc>
          <w:tcPr>
            <w:tcW w:w="1134" w:type="dxa"/>
            <w:vAlign w:val="center"/>
          </w:tcPr>
          <w:p w14:paraId="44F8B398"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171 881</w:t>
            </w:r>
          </w:p>
        </w:tc>
        <w:tc>
          <w:tcPr>
            <w:tcW w:w="1275" w:type="dxa"/>
            <w:vAlign w:val="center"/>
          </w:tcPr>
          <w:p w14:paraId="140EA224"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2,48%</w:t>
            </w:r>
          </w:p>
        </w:tc>
      </w:tr>
      <w:tr w:rsidR="005B59FC" w:rsidRPr="00A910E2" w14:paraId="37203272"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0DDFE64B" w14:textId="77777777" w:rsidR="005B59FC" w:rsidRPr="00A910E2" w:rsidRDefault="005B59FC" w:rsidP="00D21486">
            <w:pPr>
              <w:pStyle w:val="Tabletext"/>
              <w:jc w:val="center"/>
            </w:pPr>
            <w:r w:rsidRPr="00A910E2">
              <w:t>SA</w:t>
            </w:r>
          </w:p>
        </w:tc>
        <w:tc>
          <w:tcPr>
            <w:tcW w:w="1177" w:type="dxa"/>
            <w:vAlign w:val="center"/>
          </w:tcPr>
          <w:p w14:paraId="61927BD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46 718</w:t>
            </w:r>
          </w:p>
        </w:tc>
        <w:tc>
          <w:tcPr>
            <w:tcW w:w="1202" w:type="dxa"/>
            <w:vAlign w:val="center"/>
          </w:tcPr>
          <w:p w14:paraId="4BA715C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43 137</w:t>
            </w:r>
          </w:p>
        </w:tc>
        <w:tc>
          <w:tcPr>
            <w:tcW w:w="1219" w:type="dxa"/>
            <w:vAlign w:val="center"/>
          </w:tcPr>
          <w:p w14:paraId="63FBE948"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33 274</w:t>
            </w:r>
          </w:p>
        </w:tc>
        <w:tc>
          <w:tcPr>
            <w:tcW w:w="1276" w:type="dxa"/>
            <w:vAlign w:val="center"/>
          </w:tcPr>
          <w:p w14:paraId="52315582"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46 373</w:t>
            </w:r>
          </w:p>
        </w:tc>
        <w:tc>
          <w:tcPr>
            <w:tcW w:w="1134" w:type="dxa"/>
            <w:vAlign w:val="center"/>
          </w:tcPr>
          <w:p w14:paraId="49AA3AB6"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169 502</w:t>
            </w:r>
          </w:p>
        </w:tc>
        <w:tc>
          <w:tcPr>
            <w:tcW w:w="1275" w:type="dxa"/>
            <w:vAlign w:val="center"/>
          </w:tcPr>
          <w:p w14:paraId="229B33D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2,45%</w:t>
            </w:r>
          </w:p>
        </w:tc>
      </w:tr>
      <w:tr w:rsidR="005B59FC" w:rsidRPr="00A910E2" w14:paraId="644D2930"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693BFE80" w14:textId="77777777" w:rsidR="005B59FC" w:rsidRPr="00A910E2" w:rsidRDefault="005B59FC" w:rsidP="00D21486">
            <w:pPr>
              <w:pStyle w:val="Tabletext"/>
              <w:jc w:val="center"/>
            </w:pPr>
            <w:r w:rsidRPr="00A910E2">
              <w:t>RS</w:t>
            </w:r>
          </w:p>
        </w:tc>
        <w:tc>
          <w:tcPr>
            <w:tcW w:w="1177" w:type="dxa"/>
            <w:vAlign w:val="center"/>
          </w:tcPr>
          <w:p w14:paraId="3D9F7274"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26 823</w:t>
            </w:r>
          </w:p>
        </w:tc>
        <w:tc>
          <w:tcPr>
            <w:tcW w:w="1202" w:type="dxa"/>
            <w:vAlign w:val="center"/>
          </w:tcPr>
          <w:p w14:paraId="28F6B2F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23 253</w:t>
            </w:r>
          </w:p>
        </w:tc>
        <w:tc>
          <w:tcPr>
            <w:tcW w:w="1219" w:type="dxa"/>
            <w:vAlign w:val="center"/>
          </w:tcPr>
          <w:p w14:paraId="1B3BA97C"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19 350</w:t>
            </w:r>
          </w:p>
        </w:tc>
        <w:tc>
          <w:tcPr>
            <w:tcW w:w="1276" w:type="dxa"/>
            <w:vAlign w:val="center"/>
          </w:tcPr>
          <w:p w14:paraId="5AE1BD08"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24 932</w:t>
            </w:r>
          </w:p>
        </w:tc>
        <w:tc>
          <w:tcPr>
            <w:tcW w:w="1134" w:type="dxa"/>
            <w:vAlign w:val="center"/>
          </w:tcPr>
          <w:p w14:paraId="211DC495"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94 358</w:t>
            </w:r>
          </w:p>
        </w:tc>
        <w:tc>
          <w:tcPr>
            <w:tcW w:w="1275" w:type="dxa"/>
            <w:vAlign w:val="center"/>
          </w:tcPr>
          <w:p w14:paraId="0E0B5875"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1,36%</w:t>
            </w:r>
          </w:p>
        </w:tc>
      </w:tr>
      <w:tr w:rsidR="005B59FC" w:rsidRPr="00A910E2" w14:paraId="31DC3D60"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7F32087A" w14:textId="77777777" w:rsidR="005B59FC" w:rsidRPr="00A910E2" w:rsidRDefault="005B59FC" w:rsidP="00D21486">
            <w:pPr>
              <w:pStyle w:val="Tabletext"/>
              <w:jc w:val="center"/>
            </w:pPr>
            <w:r w:rsidRPr="00A910E2">
              <w:t>BO</w:t>
            </w:r>
          </w:p>
        </w:tc>
        <w:tc>
          <w:tcPr>
            <w:tcW w:w="1177" w:type="dxa"/>
            <w:vAlign w:val="center"/>
          </w:tcPr>
          <w:p w14:paraId="3D7C1BB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26 816</w:t>
            </w:r>
          </w:p>
        </w:tc>
        <w:tc>
          <w:tcPr>
            <w:tcW w:w="1202" w:type="dxa"/>
            <w:vAlign w:val="center"/>
          </w:tcPr>
          <w:p w14:paraId="5D3F3A6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23 173</w:t>
            </w:r>
          </w:p>
        </w:tc>
        <w:tc>
          <w:tcPr>
            <w:tcW w:w="1219" w:type="dxa"/>
            <w:vAlign w:val="center"/>
          </w:tcPr>
          <w:p w14:paraId="5DAF7659"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16 489</w:t>
            </w:r>
          </w:p>
        </w:tc>
        <w:tc>
          <w:tcPr>
            <w:tcW w:w="1276" w:type="dxa"/>
            <w:vAlign w:val="center"/>
          </w:tcPr>
          <w:p w14:paraId="2F5C2FBE"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22 760</w:t>
            </w:r>
          </w:p>
        </w:tc>
        <w:tc>
          <w:tcPr>
            <w:tcW w:w="1134" w:type="dxa"/>
            <w:vAlign w:val="center"/>
          </w:tcPr>
          <w:p w14:paraId="7EA045B7"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89 238</w:t>
            </w:r>
          </w:p>
        </w:tc>
        <w:tc>
          <w:tcPr>
            <w:tcW w:w="1275" w:type="dxa"/>
            <w:vAlign w:val="center"/>
          </w:tcPr>
          <w:p w14:paraId="659F7870"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1,29%</w:t>
            </w:r>
          </w:p>
        </w:tc>
      </w:tr>
      <w:tr w:rsidR="005B59FC" w:rsidRPr="00A910E2" w14:paraId="6DF2E7D8"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692B59CC" w14:textId="77777777" w:rsidR="005B59FC" w:rsidRPr="00A910E2" w:rsidRDefault="005B59FC" w:rsidP="00D21486">
            <w:pPr>
              <w:pStyle w:val="Tabletext"/>
              <w:jc w:val="center"/>
            </w:pPr>
            <w:r w:rsidRPr="00A910E2">
              <w:t>TF</w:t>
            </w:r>
          </w:p>
        </w:tc>
        <w:tc>
          <w:tcPr>
            <w:tcW w:w="1177" w:type="dxa"/>
            <w:vAlign w:val="center"/>
          </w:tcPr>
          <w:p w14:paraId="3F20E3B7"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24 077</w:t>
            </w:r>
          </w:p>
        </w:tc>
        <w:tc>
          <w:tcPr>
            <w:tcW w:w="1202" w:type="dxa"/>
            <w:vAlign w:val="center"/>
          </w:tcPr>
          <w:p w14:paraId="6BCCBFF1"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22 729</w:t>
            </w:r>
          </w:p>
        </w:tc>
        <w:tc>
          <w:tcPr>
            <w:tcW w:w="1219" w:type="dxa"/>
            <w:vAlign w:val="center"/>
          </w:tcPr>
          <w:p w14:paraId="28EC5FF0"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18 211</w:t>
            </w:r>
          </w:p>
        </w:tc>
        <w:tc>
          <w:tcPr>
            <w:tcW w:w="1276" w:type="dxa"/>
            <w:vAlign w:val="center"/>
          </w:tcPr>
          <w:p w14:paraId="0F29368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20 903</w:t>
            </w:r>
          </w:p>
        </w:tc>
        <w:tc>
          <w:tcPr>
            <w:tcW w:w="1134" w:type="dxa"/>
            <w:vAlign w:val="center"/>
          </w:tcPr>
          <w:p w14:paraId="3B1CD52B"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85 920</w:t>
            </w:r>
          </w:p>
        </w:tc>
        <w:tc>
          <w:tcPr>
            <w:tcW w:w="1275" w:type="dxa"/>
            <w:vAlign w:val="center"/>
          </w:tcPr>
          <w:p w14:paraId="5C2AB87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1,24%</w:t>
            </w:r>
          </w:p>
        </w:tc>
      </w:tr>
      <w:tr w:rsidR="005B59FC" w:rsidRPr="00A910E2" w14:paraId="71612683"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1AB54208" w14:textId="77777777" w:rsidR="005B59FC" w:rsidRPr="00A910E2" w:rsidRDefault="005B59FC" w:rsidP="00D21486">
            <w:pPr>
              <w:pStyle w:val="Tabletext"/>
              <w:jc w:val="center"/>
            </w:pPr>
            <w:r w:rsidRPr="00A910E2">
              <w:t>SF</w:t>
            </w:r>
          </w:p>
        </w:tc>
        <w:tc>
          <w:tcPr>
            <w:tcW w:w="1177" w:type="dxa"/>
            <w:vAlign w:val="center"/>
          </w:tcPr>
          <w:p w14:paraId="36B2EA6C"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19 381</w:t>
            </w:r>
          </w:p>
        </w:tc>
        <w:tc>
          <w:tcPr>
            <w:tcW w:w="1202" w:type="dxa"/>
            <w:vAlign w:val="center"/>
          </w:tcPr>
          <w:p w14:paraId="08D80FF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16 720</w:t>
            </w:r>
          </w:p>
        </w:tc>
        <w:tc>
          <w:tcPr>
            <w:tcW w:w="1219" w:type="dxa"/>
            <w:vAlign w:val="center"/>
          </w:tcPr>
          <w:p w14:paraId="63E8812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13 102</w:t>
            </w:r>
          </w:p>
        </w:tc>
        <w:tc>
          <w:tcPr>
            <w:tcW w:w="1276" w:type="dxa"/>
            <w:vAlign w:val="center"/>
          </w:tcPr>
          <w:p w14:paraId="69B028A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15 980</w:t>
            </w:r>
          </w:p>
        </w:tc>
        <w:tc>
          <w:tcPr>
            <w:tcW w:w="1134" w:type="dxa"/>
            <w:vAlign w:val="center"/>
          </w:tcPr>
          <w:p w14:paraId="2615A827"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65 183</w:t>
            </w:r>
          </w:p>
        </w:tc>
        <w:tc>
          <w:tcPr>
            <w:tcW w:w="1275" w:type="dxa"/>
            <w:vAlign w:val="center"/>
          </w:tcPr>
          <w:p w14:paraId="27E0AD32"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0,94%</w:t>
            </w:r>
          </w:p>
        </w:tc>
      </w:tr>
      <w:tr w:rsidR="005B59FC" w:rsidRPr="00A910E2" w14:paraId="093842AB"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370F5724" w14:textId="77777777" w:rsidR="005B59FC" w:rsidRPr="00A910E2" w:rsidRDefault="005B59FC" w:rsidP="00D21486">
            <w:pPr>
              <w:pStyle w:val="Tabletext"/>
              <w:jc w:val="center"/>
            </w:pPr>
            <w:r w:rsidRPr="00A910E2">
              <w:t>BR</w:t>
            </w:r>
          </w:p>
        </w:tc>
        <w:tc>
          <w:tcPr>
            <w:tcW w:w="1177" w:type="dxa"/>
            <w:vAlign w:val="center"/>
          </w:tcPr>
          <w:p w14:paraId="628EDB1D"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17 101</w:t>
            </w:r>
          </w:p>
        </w:tc>
        <w:tc>
          <w:tcPr>
            <w:tcW w:w="1202" w:type="dxa"/>
            <w:vAlign w:val="center"/>
          </w:tcPr>
          <w:p w14:paraId="1D78DBFA"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15 009</w:t>
            </w:r>
          </w:p>
        </w:tc>
        <w:tc>
          <w:tcPr>
            <w:tcW w:w="1219" w:type="dxa"/>
            <w:vAlign w:val="center"/>
          </w:tcPr>
          <w:p w14:paraId="409BC3A3"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9 838</w:t>
            </w:r>
          </w:p>
        </w:tc>
        <w:tc>
          <w:tcPr>
            <w:tcW w:w="1276" w:type="dxa"/>
            <w:vAlign w:val="center"/>
          </w:tcPr>
          <w:p w14:paraId="32AD186F"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13 285</w:t>
            </w:r>
          </w:p>
        </w:tc>
        <w:tc>
          <w:tcPr>
            <w:tcW w:w="1134" w:type="dxa"/>
            <w:vAlign w:val="center"/>
          </w:tcPr>
          <w:p w14:paraId="358F3A75"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55 233</w:t>
            </w:r>
          </w:p>
        </w:tc>
        <w:tc>
          <w:tcPr>
            <w:tcW w:w="1275" w:type="dxa"/>
            <w:vAlign w:val="center"/>
          </w:tcPr>
          <w:p w14:paraId="52C27611"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0,80%</w:t>
            </w:r>
          </w:p>
        </w:tc>
      </w:tr>
      <w:tr w:rsidR="005B59FC" w:rsidRPr="00A910E2" w14:paraId="21F912C9"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4E626174" w14:textId="77777777" w:rsidR="005B59FC" w:rsidRPr="00A910E2" w:rsidRDefault="005B59FC" w:rsidP="00D21486">
            <w:pPr>
              <w:pStyle w:val="Tabletext"/>
              <w:jc w:val="center"/>
            </w:pPr>
            <w:r w:rsidRPr="00A910E2">
              <w:t>RA</w:t>
            </w:r>
          </w:p>
        </w:tc>
        <w:tc>
          <w:tcPr>
            <w:tcW w:w="1177" w:type="dxa"/>
            <w:vAlign w:val="center"/>
          </w:tcPr>
          <w:p w14:paraId="2F4175FC"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12 315</w:t>
            </w:r>
          </w:p>
        </w:tc>
        <w:tc>
          <w:tcPr>
            <w:tcW w:w="1202" w:type="dxa"/>
            <w:vAlign w:val="center"/>
          </w:tcPr>
          <w:p w14:paraId="7D580C06"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10 777</w:t>
            </w:r>
          </w:p>
        </w:tc>
        <w:tc>
          <w:tcPr>
            <w:tcW w:w="1219" w:type="dxa"/>
            <w:vAlign w:val="center"/>
          </w:tcPr>
          <w:p w14:paraId="35D24D5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9 169</w:t>
            </w:r>
          </w:p>
        </w:tc>
        <w:tc>
          <w:tcPr>
            <w:tcW w:w="1276" w:type="dxa"/>
            <w:vAlign w:val="center"/>
          </w:tcPr>
          <w:p w14:paraId="5FED2877"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11 546</w:t>
            </w:r>
          </w:p>
        </w:tc>
        <w:tc>
          <w:tcPr>
            <w:tcW w:w="1134" w:type="dxa"/>
            <w:vAlign w:val="center"/>
          </w:tcPr>
          <w:p w14:paraId="283649BA"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43 807</w:t>
            </w:r>
          </w:p>
        </w:tc>
        <w:tc>
          <w:tcPr>
            <w:tcW w:w="1275" w:type="dxa"/>
            <w:vAlign w:val="center"/>
          </w:tcPr>
          <w:p w14:paraId="45B73F02"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0,63%</w:t>
            </w:r>
          </w:p>
        </w:tc>
      </w:tr>
      <w:tr w:rsidR="005B59FC" w:rsidRPr="00A910E2" w14:paraId="02C789D4"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6B526170" w14:textId="77777777" w:rsidR="005B59FC" w:rsidRPr="00A910E2" w:rsidRDefault="005B59FC" w:rsidP="00D21486">
            <w:pPr>
              <w:pStyle w:val="Tabletext"/>
              <w:jc w:val="center"/>
            </w:pPr>
            <w:r w:rsidRPr="00A910E2">
              <w:t>GNS</w:t>
            </w:r>
          </w:p>
        </w:tc>
        <w:tc>
          <w:tcPr>
            <w:tcW w:w="1177" w:type="dxa"/>
            <w:vAlign w:val="center"/>
          </w:tcPr>
          <w:p w14:paraId="5270FD46"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3 319</w:t>
            </w:r>
          </w:p>
        </w:tc>
        <w:tc>
          <w:tcPr>
            <w:tcW w:w="1202" w:type="dxa"/>
            <w:vAlign w:val="center"/>
          </w:tcPr>
          <w:p w14:paraId="53B13C5F"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2 548</w:t>
            </w:r>
          </w:p>
        </w:tc>
        <w:tc>
          <w:tcPr>
            <w:tcW w:w="1219" w:type="dxa"/>
            <w:vAlign w:val="center"/>
          </w:tcPr>
          <w:p w14:paraId="5165EF76"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1 987</w:t>
            </w:r>
          </w:p>
        </w:tc>
        <w:tc>
          <w:tcPr>
            <w:tcW w:w="1276" w:type="dxa"/>
            <w:vAlign w:val="center"/>
          </w:tcPr>
          <w:p w14:paraId="4EA071BC"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3 045</w:t>
            </w:r>
          </w:p>
        </w:tc>
        <w:tc>
          <w:tcPr>
            <w:tcW w:w="1134" w:type="dxa"/>
            <w:vAlign w:val="center"/>
          </w:tcPr>
          <w:p w14:paraId="7C381A67"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10 899</w:t>
            </w:r>
          </w:p>
        </w:tc>
        <w:tc>
          <w:tcPr>
            <w:tcW w:w="1275" w:type="dxa"/>
            <w:vAlign w:val="center"/>
          </w:tcPr>
          <w:p w14:paraId="0F59CAD8"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0,16%</w:t>
            </w:r>
          </w:p>
        </w:tc>
      </w:tr>
      <w:tr w:rsidR="005B59FC" w:rsidRPr="00A910E2" w14:paraId="310938F0"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3BFF36D3" w14:textId="77777777" w:rsidR="005B59FC" w:rsidRPr="00A910E2" w:rsidRDefault="005B59FC" w:rsidP="00D21486">
            <w:pPr>
              <w:pStyle w:val="Tabletext"/>
              <w:jc w:val="center"/>
            </w:pPr>
            <w:r w:rsidRPr="00A910E2">
              <w:t>IS</w:t>
            </w:r>
          </w:p>
        </w:tc>
        <w:tc>
          <w:tcPr>
            <w:tcW w:w="1177" w:type="dxa"/>
            <w:vAlign w:val="center"/>
          </w:tcPr>
          <w:p w14:paraId="48E707F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1 280</w:t>
            </w:r>
          </w:p>
        </w:tc>
        <w:tc>
          <w:tcPr>
            <w:tcW w:w="1202" w:type="dxa"/>
            <w:vAlign w:val="center"/>
          </w:tcPr>
          <w:p w14:paraId="62292189"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1 366</w:t>
            </w:r>
          </w:p>
        </w:tc>
        <w:tc>
          <w:tcPr>
            <w:tcW w:w="1219" w:type="dxa"/>
            <w:vAlign w:val="center"/>
          </w:tcPr>
          <w:p w14:paraId="5EF8754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1 203</w:t>
            </w:r>
          </w:p>
        </w:tc>
        <w:tc>
          <w:tcPr>
            <w:tcW w:w="1276" w:type="dxa"/>
            <w:vAlign w:val="center"/>
          </w:tcPr>
          <w:p w14:paraId="7CB95128"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1 416</w:t>
            </w:r>
          </w:p>
        </w:tc>
        <w:tc>
          <w:tcPr>
            <w:tcW w:w="1134" w:type="dxa"/>
            <w:vAlign w:val="center"/>
          </w:tcPr>
          <w:p w14:paraId="6C6B563A"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5</w:t>
            </w:r>
            <w:r w:rsidRPr="00A910E2">
              <w:t> </w:t>
            </w:r>
            <w:r w:rsidRPr="00A910E2">
              <w:rPr>
                <w:b/>
                <w:bCs/>
              </w:rPr>
              <w:t>265</w:t>
            </w:r>
          </w:p>
        </w:tc>
        <w:tc>
          <w:tcPr>
            <w:tcW w:w="1275" w:type="dxa"/>
            <w:vAlign w:val="center"/>
          </w:tcPr>
          <w:p w14:paraId="6CD7E21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0,08%</w:t>
            </w:r>
          </w:p>
        </w:tc>
      </w:tr>
      <w:tr w:rsidR="005B59FC" w:rsidRPr="00A910E2" w14:paraId="1871B8FB"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49DA2C06" w14:textId="77777777" w:rsidR="005B59FC" w:rsidRPr="00A910E2" w:rsidRDefault="005B59FC" w:rsidP="00D21486">
            <w:pPr>
              <w:pStyle w:val="Tabletext"/>
              <w:jc w:val="center"/>
            </w:pPr>
            <w:r w:rsidRPr="00A910E2">
              <w:t>PI</w:t>
            </w:r>
          </w:p>
        </w:tc>
        <w:tc>
          <w:tcPr>
            <w:tcW w:w="1177" w:type="dxa"/>
            <w:vAlign w:val="center"/>
          </w:tcPr>
          <w:p w14:paraId="51D7BE0A"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372</w:t>
            </w:r>
          </w:p>
        </w:tc>
        <w:tc>
          <w:tcPr>
            <w:tcW w:w="1202" w:type="dxa"/>
            <w:vAlign w:val="center"/>
          </w:tcPr>
          <w:p w14:paraId="5CA279FF"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206</w:t>
            </w:r>
          </w:p>
        </w:tc>
        <w:tc>
          <w:tcPr>
            <w:tcW w:w="1219" w:type="dxa"/>
            <w:vAlign w:val="center"/>
          </w:tcPr>
          <w:p w14:paraId="602F08D9"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143</w:t>
            </w:r>
          </w:p>
        </w:tc>
        <w:tc>
          <w:tcPr>
            <w:tcW w:w="1276" w:type="dxa"/>
            <w:vAlign w:val="center"/>
          </w:tcPr>
          <w:p w14:paraId="0773452D"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288</w:t>
            </w:r>
          </w:p>
        </w:tc>
        <w:tc>
          <w:tcPr>
            <w:tcW w:w="1134" w:type="dxa"/>
            <w:vAlign w:val="center"/>
          </w:tcPr>
          <w:p w14:paraId="6C3188BE"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1</w:t>
            </w:r>
            <w:r w:rsidRPr="00A910E2">
              <w:t> </w:t>
            </w:r>
            <w:r w:rsidRPr="00A910E2">
              <w:rPr>
                <w:b/>
                <w:bCs/>
              </w:rPr>
              <w:t>009</w:t>
            </w:r>
          </w:p>
        </w:tc>
        <w:tc>
          <w:tcPr>
            <w:tcW w:w="1275" w:type="dxa"/>
            <w:vAlign w:val="center"/>
          </w:tcPr>
          <w:p w14:paraId="4357C01C"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0,01%</w:t>
            </w:r>
          </w:p>
        </w:tc>
      </w:tr>
      <w:tr w:rsidR="005B59FC" w:rsidRPr="00A910E2" w14:paraId="6F9D99A9" w14:textId="77777777" w:rsidTr="00D214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5DD2419C" w14:textId="77777777" w:rsidR="005B59FC" w:rsidRPr="00A910E2" w:rsidRDefault="005B59FC" w:rsidP="00D21486">
            <w:pPr>
              <w:pStyle w:val="Tabletext"/>
              <w:jc w:val="center"/>
            </w:pPr>
            <w:r w:rsidRPr="00A910E2">
              <w:t>TOTAL</w:t>
            </w:r>
          </w:p>
        </w:tc>
        <w:tc>
          <w:tcPr>
            <w:tcW w:w="1177" w:type="dxa"/>
            <w:vAlign w:val="center"/>
          </w:tcPr>
          <w:p w14:paraId="662BE200"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1 735 617</w:t>
            </w:r>
          </w:p>
        </w:tc>
        <w:tc>
          <w:tcPr>
            <w:tcW w:w="1202" w:type="dxa"/>
            <w:vAlign w:val="center"/>
          </w:tcPr>
          <w:p w14:paraId="3C89FC28"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1 849 007</w:t>
            </w:r>
          </w:p>
        </w:tc>
        <w:tc>
          <w:tcPr>
            <w:tcW w:w="1219" w:type="dxa"/>
            <w:vAlign w:val="center"/>
          </w:tcPr>
          <w:p w14:paraId="149B626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1 565 951</w:t>
            </w:r>
          </w:p>
        </w:tc>
        <w:tc>
          <w:tcPr>
            <w:tcW w:w="1276" w:type="dxa"/>
            <w:vAlign w:val="center"/>
          </w:tcPr>
          <w:p w14:paraId="281BA58C"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1 777 998</w:t>
            </w:r>
          </w:p>
        </w:tc>
        <w:tc>
          <w:tcPr>
            <w:tcW w:w="1134" w:type="dxa"/>
            <w:vAlign w:val="center"/>
          </w:tcPr>
          <w:p w14:paraId="47AABD4E"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6 928 573</w:t>
            </w:r>
          </w:p>
        </w:tc>
        <w:tc>
          <w:tcPr>
            <w:tcW w:w="1275" w:type="dxa"/>
            <w:vAlign w:val="center"/>
          </w:tcPr>
          <w:p w14:paraId="7C2D442E"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100%</w:t>
            </w:r>
          </w:p>
        </w:tc>
      </w:tr>
    </w:tbl>
    <w:p w14:paraId="0C1CD977" w14:textId="77777777" w:rsidR="005B59FC" w:rsidRPr="00A910E2" w:rsidRDefault="005B59FC" w:rsidP="005B59FC">
      <w:pPr>
        <w:pStyle w:val="Heading4"/>
      </w:pPr>
      <w:r w:rsidRPr="00A910E2">
        <w:t>8.1.4.3</w:t>
      </w:r>
      <w:r w:rsidRPr="00A910E2">
        <w:tab/>
        <w:t>Rapports UIT-R</w:t>
      </w:r>
    </w:p>
    <w:p w14:paraId="49CF6174" w14:textId="77777777" w:rsidR="005B59FC" w:rsidRPr="00A910E2" w:rsidRDefault="005B59FC" w:rsidP="005B59FC">
      <w:r w:rsidRPr="00A910E2">
        <w:t>Comme pour les Recommandations UIT-R, les Rapports UIT-R ont été mis en œuvre dans le monde entier, touchant la plupart des publics et contribuant à l'application de bonnes pratiques techniques dans certains domaines des radiocommunications. Entre janvier 2020 et décembre 2023, plus d'un million de téléchargements de Rapports UIT-R depuis le site web de l'UIT ont été enregistrés. Le Tableau 8.1.4.3-1 illustre la répartition de ces téléchargements par année et par série. On recense actuellement 632 Rapports UIT-R en vigueur.</w:t>
      </w:r>
    </w:p>
    <w:p w14:paraId="33DA73F6" w14:textId="77777777" w:rsidR="005B59FC" w:rsidRPr="00A910E2" w:rsidRDefault="005B59FC" w:rsidP="005B59FC">
      <w:pPr>
        <w:pStyle w:val="TableNotitle"/>
        <w:widowControl w:val="0"/>
      </w:pPr>
      <w:r w:rsidRPr="00A910E2">
        <w:t>TABLEAU 8.1.4.3-1</w:t>
      </w:r>
    </w:p>
    <w:p w14:paraId="5E9F6F85" w14:textId="77777777" w:rsidR="005B59FC" w:rsidRPr="00A910E2" w:rsidRDefault="005B59FC" w:rsidP="005B59FC">
      <w:pPr>
        <w:pStyle w:val="TableNotitle"/>
        <w:widowControl w:val="0"/>
        <w:spacing w:before="120"/>
      </w:pPr>
      <w:r w:rsidRPr="00A910E2">
        <w:t>Répartition des téléchargements des Rapports UIT-R</w:t>
      </w:r>
    </w:p>
    <w:tbl>
      <w:tblPr>
        <w:tblStyle w:val="GridTable5Dark-Accent1"/>
        <w:tblW w:w="8780" w:type="dxa"/>
        <w:jc w:val="center"/>
        <w:tblLayout w:type="fixed"/>
        <w:tblLook w:val="04A0" w:firstRow="1" w:lastRow="0" w:firstColumn="1" w:lastColumn="0" w:noHBand="0" w:noVBand="1"/>
      </w:tblPr>
      <w:tblGrid>
        <w:gridCol w:w="1555"/>
        <w:gridCol w:w="992"/>
        <w:gridCol w:w="1276"/>
        <w:gridCol w:w="1275"/>
        <w:gridCol w:w="1276"/>
        <w:gridCol w:w="1276"/>
        <w:gridCol w:w="1130"/>
      </w:tblGrid>
      <w:tr w:rsidR="005B59FC" w:rsidRPr="00A910E2" w14:paraId="2722EB62" w14:textId="77777777" w:rsidTr="00D21486">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25862247" w14:textId="77777777" w:rsidR="005B59FC" w:rsidRPr="00A910E2" w:rsidRDefault="005B59FC" w:rsidP="00D21486">
            <w:pPr>
              <w:pStyle w:val="Tablehead"/>
              <w:keepLines/>
              <w:widowControl w:val="0"/>
              <w:rPr>
                <w:b/>
                <w:bCs w:val="0"/>
              </w:rPr>
            </w:pPr>
            <w:r w:rsidRPr="00A910E2">
              <w:rPr>
                <w:b/>
                <w:bCs w:val="0"/>
              </w:rPr>
              <w:t>SÉRIE</w:t>
            </w:r>
          </w:p>
        </w:tc>
        <w:tc>
          <w:tcPr>
            <w:tcW w:w="992" w:type="dxa"/>
            <w:noWrap/>
            <w:vAlign w:val="bottom"/>
          </w:tcPr>
          <w:p w14:paraId="25DDB2EB" w14:textId="77777777" w:rsidR="005B59FC" w:rsidRPr="00A910E2" w:rsidRDefault="005B59FC" w:rsidP="00D21486">
            <w:pPr>
              <w:pStyle w:val="Tablehead"/>
              <w:keepLines/>
              <w:widowControl w:val="0"/>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2020</w:t>
            </w:r>
          </w:p>
        </w:tc>
        <w:tc>
          <w:tcPr>
            <w:tcW w:w="1276" w:type="dxa"/>
            <w:noWrap/>
            <w:vAlign w:val="bottom"/>
          </w:tcPr>
          <w:p w14:paraId="4525B2E5" w14:textId="77777777" w:rsidR="005B59FC" w:rsidRPr="00A910E2" w:rsidRDefault="005B59FC" w:rsidP="00D21486">
            <w:pPr>
              <w:pStyle w:val="Tablehead"/>
              <w:keepLines/>
              <w:widowControl w:val="0"/>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2021</w:t>
            </w:r>
          </w:p>
        </w:tc>
        <w:tc>
          <w:tcPr>
            <w:tcW w:w="1275" w:type="dxa"/>
            <w:vAlign w:val="bottom"/>
          </w:tcPr>
          <w:p w14:paraId="524CC6A5" w14:textId="77777777" w:rsidR="005B59FC" w:rsidRPr="00A910E2" w:rsidRDefault="005B59FC" w:rsidP="00D21486">
            <w:pPr>
              <w:pStyle w:val="Tablehead"/>
              <w:keepLines/>
              <w:widowControl w:val="0"/>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2022</w:t>
            </w:r>
          </w:p>
        </w:tc>
        <w:tc>
          <w:tcPr>
            <w:tcW w:w="1276" w:type="dxa"/>
            <w:vAlign w:val="bottom"/>
          </w:tcPr>
          <w:p w14:paraId="666D7E68" w14:textId="77777777" w:rsidR="005B59FC" w:rsidRPr="00A910E2" w:rsidRDefault="005B59FC" w:rsidP="00D21486">
            <w:pPr>
              <w:pStyle w:val="Tablehead"/>
              <w:keepLines/>
              <w:widowControl w:val="0"/>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2023</w:t>
            </w:r>
          </w:p>
        </w:tc>
        <w:tc>
          <w:tcPr>
            <w:tcW w:w="1276" w:type="dxa"/>
            <w:noWrap/>
            <w:vAlign w:val="bottom"/>
          </w:tcPr>
          <w:p w14:paraId="11974D27" w14:textId="77777777" w:rsidR="005B59FC" w:rsidRPr="00A910E2" w:rsidRDefault="005B59FC" w:rsidP="00D21486">
            <w:pPr>
              <w:pStyle w:val="Tablehead"/>
              <w:keepLines/>
              <w:widowControl w:val="0"/>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TOTAL</w:t>
            </w:r>
          </w:p>
        </w:tc>
        <w:tc>
          <w:tcPr>
            <w:tcW w:w="1130" w:type="dxa"/>
            <w:vAlign w:val="bottom"/>
          </w:tcPr>
          <w:p w14:paraId="74777DD3" w14:textId="77777777" w:rsidR="005B59FC" w:rsidRPr="00A910E2" w:rsidRDefault="005B59FC" w:rsidP="00D21486">
            <w:pPr>
              <w:pStyle w:val="Tablehead"/>
              <w:keepLines/>
              <w:widowControl w:val="0"/>
              <w:cnfStyle w:val="100000000000" w:firstRow="1" w:lastRow="0" w:firstColumn="0" w:lastColumn="0" w:oddVBand="0" w:evenVBand="0" w:oddHBand="0" w:evenHBand="0" w:firstRowFirstColumn="0" w:firstRowLastColumn="0" w:lastRowFirstColumn="0" w:lastRowLastColumn="0"/>
              <w:rPr>
                <w:b/>
                <w:bCs w:val="0"/>
              </w:rPr>
            </w:pPr>
            <w:r w:rsidRPr="00A910E2">
              <w:rPr>
                <w:b/>
                <w:bCs w:val="0"/>
              </w:rPr>
              <w:t>%</w:t>
            </w:r>
          </w:p>
        </w:tc>
      </w:tr>
      <w:tr w:rsidR="005B59FC" w:rsidRPr="00A910E2" w14:paraId="6DE3552F"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1ACDF74" w14:textId="77777777" w:rsidR="005B59FC" w:rsidRPr="00A910E2" w:rsidRDefault="005B59FC" w:rsidP="00D21486">
            <w:pPr>
              <w:pStyle w:val="Tabletext"/>
              <w:keepNext/>
              <w:keepLines/>
              <w:widowControl w:val="0"/>
              <w:jc w:val="center"/>
            </w:pPr>
            <w:r w:rsidRPr="00A910E2">
              <w:t>SM</w:t>
            </w:r>
          </w:p>
        </w:tc>
        <w:tc>
          <w:tcPr>
            <w:tcW w:w="992" w:type="dxa"/>
            <w:noWrap/>
            <w:vAlign w:val="center"/>
          </w:tcPr>
          <w:p w14:paraId="6005183D"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101 965</w:t>
            </w:r>
          </w:p>
        </w:tc>
        <w:tc>
          <w:tcPr>
            <w:tcW w:w="1276" w:type="dxa"/>
            <w:noWrap/>
            <w:vAlign w:val="center"/>
          </w:tcPr>
          <w:p w14:paraId="3E7FD7B8"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149 392</w:t>
            </w:r>
          </w:p>
        </w:tc>
        <w:tc>
          <w:tcPr>
            <w:tcW w:w="1275" w:type="dxa"/>
            <w:vAlign w:val="center"/>
          </w:tcPr>
          <w:p w14:paraId="49838C7A"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105 880</w:t>
            </w:r>
          </w:p>
        </w:tc>
        <w:tc>
          <w:tcPr>
            <w:tcW w:w="1276" w:type="dxa"/>
            <w:vAlign w:val="center"/>
          </w:tcPr>
          <w:p w14:paraId="56B10DF8"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116 282</w:t>
            </w:r>
          </w:p>
        </w:tc>
        <w:tc>
          <w:tcPr>
            <w:tcW w:w="1276" w:type="dxa"/>
            <w:noWrap/>
            <w:vAlign w:val="center"/>
          </w:tcPr>
          <w:p w14:paraId="6171C147"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473 519</w:t>
            </w:r>
          </w:p>
        </w:tc>
        <w:tc>
          <w:tcPr>
            <w:tcW w:w="1130" w:type="dxa"/>
            <w:vAlign w:val="center"/>
          </w:tcPr>
          <w:p w14:paraId="6410A6FE"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29,08%</w:t>
            </w:r>
          </w:p>
        </w:tc>
      </w:tr>
      <w:tr w:rsidR="005B59FC" w:rsidRPr="00A910E2" w14:paraId="1322D30D" w14:textId="77777777" w:rsidTr="00D21486">
        <w:trPr>
          <w:trHeight w:val="51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547D007" w14:textId="77777777" w:rsidR="005B59FC" w:rsidRPr="00A910E2" w:rsidRDefault="005B59FC" w:rsidP="00D21486">
            <w:pPr>
              <w:pStyle w:val="Tabletext"/>
              <w:keepNext/>
              <w:keepLines/>
              <w:widowControl w:val="0"/>
              <w:jc w:val="center"/>
            </w:pPr>
            <w:r w:rsidRPr="00A910E2">
              <w:t>M</w:t>
            </w:r>
          </w:p>
        </w:tc>
        <w:tc>
          <w:tcPr>
            <w:tcW w:w="992" w:type="dxa"/>
            <w:noWrap/>
            <w:vAlign w:val="center"/>
          </w:tcPr>
          <w:p w14:paraId="6F04825E"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105 681</w:t>
            </w:r>
          </w:p>
        </w:tc>
        <w:tc>
          <w:tcPr>
            <w:tcW w:w="1276" w:type="dxa"/>
            <w:noWrap/>
            <w:vAlign w:val="center"/>
          </w:tcPr>
          <w:p w14:paraId="1B0A4A95"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118 785</w:t>
            </w:r>
          </w:p>
        </w:tc>
        <w:tc>
          <w:tcPr>
            <w:tcW w:w="1275" w:type="dxa"/>
            <w:vAlign w:val="center"/>
          </w:tcPr>
          <w:p w14:paraId="74DC0879"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102 742</w:t>
            </w:r>
          </w:p>
        </w:tc>
        <w:tc>
          <w:tcPr>
            <w:tcW w:w="1276" w:type="dxa"/>
            <w:vAlign w:val="center"/>
          </w:tcPr>
          <w:p w14:paraId="383DFBB3"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121 622</w:t>
            </w:r>
          </w:p>
        </w:tc>
        <w:tc>
          <w:tcPr>
            <w:tcW w:w="1276" w:type="dxa"/>
            <w:noWrap/>
            <w:vAlign w:val="center"/>
          </w:tcPr>
          <w:p w14:paraId="3CEDD1AD"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448 830</w:t>
            </w:r>
          </w:p>
        </w:tc>
        <w:tc>
          <w:tcPr>
            <w:tcW w:w="1130" w:type="dxa"/>
            <w:vAlign w:val="center"/>
          </w:tcPr>
          <w:p w14:paraId="0A91B6EA"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27,57%</w:t>
            </w:r>
          </w:p>
        </w:tc>
      </w:tr>
      <w:tr w:rsidR="005B59FC" w:rsidRPr="00A910E2" w14:paraId="0C6EEA0F"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3A075B5C" w14:textId="77777777" w:rsidR="005B59FC" w:rsidRPr="00A910E2" w:rsidRDefault="005B59FC" w:rsidP="00D21486">
            <w:pPr>
              <w:pStyle w:val="Tabletext"/>
              <w:keepNext/>
              <w:keepLines/>
              <w:widowControl w:val="0"/>
              <w:jc w:val="center"/>
            </w:pPr>
            <w:r w:rsidRPr="00A910E2">
              <w:t>BT</w:t>
            </w:r>
          </w:p>
        </w:tc>
        <w:tc>
          <w:tcPr>
            <w:tcW w:w="992" w:type="dxa"/>
            <w:noWrap/>
            <w:vAlign w:val="center"/>
          </w:tcPr>
          <w:p w14:paraId="4748B6C2"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59 805</w:t>
            </w:r>
          </w:p>
        </w:tc>
        <w:tc>
          <w:tcPr>
            <w:tcW w:w="1276" w:type="dxa"/>
            <w:noWrap/>
            <w:vAlign w:val="center"/>
          </w:tcPr>
          <w:p w14:paraId="4B97FE40"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75 168</w:t>
            </w:r>
          </w:p>
        </w:tc>
        <w:tc>
          <w:tcPr>
            <w:tcW w:w="1275" w:type="dxa"/>
            <w:vAlign w:val="center"/>
          </w:tcPr>
          <w:p w14:paraId="2101CBEC"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76 421</w:t>
            </w:r>
          </w:p>
        </w:tc>
        <w:tc>
          <w:tcPr>
            <w:tcW w:w="1276" w:type="dxa"/>
            <w:vAlign w:val="center"/>
          </w:tcPr>
          <w:p w14:paraId="5CF8DB13"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83 612</w:t>
            </w:r>
          </w:p>
        </w:tc>
        <w:tc>
          <w:tcPr>
            <w:tcW w:w="1276" w:type="dxa"/>
            <w:noWrap/>
            <w:vAlign w:val="center"/>
          </w:tcPr>
          <w:p w14:paraId="51F94689"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295 006</w:t>
            </w:r>
          </w:p>
        </w:tc>
        <w:tc>
          <w:tcPr>
            <w:tcW w:w="1130" w:type="dxa"/>
            <w:vAlign w:val="center"/>
          </w:tcPr>
          <w:p w14:paraId="6313DF6B"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18,12%</w:t>
            </w:r>
          </w:p>
        </w:tc>
      </w:tr>
      <w:tr w:rsidR="005B59FC" w:rsidRPr="00A910E2" w14:paraId="3CECDC29"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1616014A" w14:textId="77777777" w:rsidR="005B59FC" w:rsidRPr="00A910E2" w:rsidRDefault="005B59FC" w:rsidP="00D21486">
            <w:pPr>
              <w:pStyle w:val="Tabletext"/>
              <w:keepNext/>
              <w:keepLines/>
              <w:widowControl w:val="0"/>
              <w:jc w:val="center"/>
            </w:pPr>
            <w:r w:rsidRPr="00A910E2">
              <w:t>BS</w:t>
            </w:r>
          </w:p>
        </w:tc>
        <w:tc>
          <w:tcPr>
            <w:tcW w:w="992" w:type="dxa"/>
            <w:noWrap/>
            <w:vAlign w:val="center"/>
          </w:tcPr>
          <w:p w14:paraId="653C446E"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28 707</w:t>
            </w:r>
          </w:p>
        </w:tc>
        <w:tc>
          <w:tcPr>
            <w:tcW w:w="1276" w:type="dxa"/>
            <w:noWrap/>
            <w:vAlign w:val="center"/>
          </w:tcPr>
          <w:p w14:paraId="541A13EA"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35 392</w:t>
            </w:r>
          </w:p>
        </w:tc>
        <w:tc>
          <w:tcPr>
            <w:tcW w:w="1275" w:type="dxa"/>
            <w:vAlign w:val="center"/>
          </w:tcPr>
          <w:p w14:paraId="077ADDB0"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30 002</w:t>
            </w:r>
          </w:p>
        </w:tc>
        <w:tc>
          <w:tcPr>
            <w:tcW w:w="1276" w:type="dxa"/>
            <w:vAlign w:val="center"/>
          </w:tcPr>
          <w:p w14:paraId="0F976F13"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31 013</w:t>
            </w:r>
          </w:p>
        </w:tc>
        <w:tc>
          <w:tcPr>
            <w:tcW w:w="1276" w:type="dxa"/>
            <w:noWrap/>
            <w:vAlign w:val="center"/>
          </w:tcPr>
          <w:p w14:paraId="3F8CDFFA"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125 114</w:t>
            </w:r>
          </w:p>
        </w:tc>
        <w:tc>
          <w:tcPr>
            <w:tcW w:w="1130" w:type="dxa"/>
            <w:vAlign w:val="center"/>
          </w:tcPr>
          <w:p w14:paraId="1A795CE1"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7,68%</w:t>
            </w:r>
          </w:p>
        </w:tc>
      </w:tr>
      <w:tr w:rsidR="005B59FC" w:rsidRPr="00A910E2" w14:paraId="57A6C4D2"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65C6E21D" w14:textId="77777777" w:rsidR="005B59FC" w:rsidRPr="00A910E2" w:rsidRDefault="005B59FC" w:rsidP="00D21486">
            <w:pPr>
              <w:pStyle w:val="Tabletext"/>
              <w:keepNext/>
              <w:keepLines/>
              <w:widowControl w:val="0"/>
              <w:jc w:val="center"/>
            </w:pPr>
            <w:r w:rsidRPr="00A910E2">
              <w:t>BO</w:t>
            </w:r>
          </w:p>
        </w:tc>
        <w:tc>
          <w:tcPr>
            <w:tcW w:w="992" w:type="dxa"/>
            <w:noWrap/>
            <w:vAlign w:val="center"/>
          </w:tcPr>
          <w:p w14:paraId="19DD6ED8"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14 003</w:t>
            </w:r>
          </w:p>
        </w:tc>
        <w:tc>
          <w:tcPr>
            <w:tcW w:w="1276" w:type="dxa"/>
            <w:noWrap/>
            <w:vAlign w:val="center"/>
          </w:tcPr>
          <w:p w14:paraId="5EF2150E"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16 812</w:t>
            </w:r>
          </w:p>
        </w:tc>
        <w:tc>
          <w:tcPr>
            <w:tcW w:w="1275" w:type="dxa"/>
            <w:vAlign w:val="center"/>
          </w:tcPr>
          <w:p w14:paraId="081EA9F5"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16 721</w:t>
            </w:r>
          </w:p>
        </w:tc>
        <w:tc>
          <w:tcPr>
            <w:tcW w:w="1276" w:type="dxa"/>
            <w:vAlign w:val="center"/>
          </w:tcPr>
          <w:p w14:paraId="1B6AD6C0"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16 993</w:t>
            </w:r>
          </w:p>
        </w:tc>
        <w:tc>
          <w:tcPr>
            <w:tcW w:w="1276" w:type="dxa"/>
            <w:noWrap/>
            <w:vAlign w:val="center"/>
          </w:tcPr>
          <w:p w14:paraId="6CBD46CF"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64 529</w:t>
            </w:r>
          </w:p>
        </w:tc>
        <w:tc>
          <w:tcPr>
            <w:tcW w:w="1130" w:type="dxa"/>
            <w:vAlign w:val="center"/>
          </w:tcPr>
          <w:p w14:paraId="345262D8" w14:textId="77777777" w:rsidR="005B59FC" w:rsidRPr="00A910E2" w:rsidRDefault="005B59FC" w:rsidP="00D21486">
            <w:pPr>
              <w:pStyle w:val="Tabletext"/>
              <w:keepNext/>
              <w:keepLines/>
              <w:widowControl w:val="0"/>
              <w:jc w:val="center"/>
              <w:cnfStyle w:val="000000100000" w:firstRow="0" w:lastRow="0" w:firstColumn="0" w:lastColumn="0" w:oddVBand="0" w:evenVBand="0" w:oddHBand="1" w:evenHBand="0" w:firstRowFirstColumn="0" w:firstRowLastColumn="0" w:lastRowFirstColumn="0" w:lastRowLastColumn="0"/>
            </w:pPr>
            <w:r w:rsidRPr="00A910E2">
              <w:t>3,96%</w:t>
            </w:r>
          </w:p>
        </w:tc>
      </w:tr>
      <w:tr w:rsidR="005B59FC" w:rsidRPr="00A910E2" w14:paraId="3919F06E"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33D989A7" w14:textId="77777777" w:rsidR="005B59FC" w:rsidRPr="00A910E2" w:rsidRDefault="005B59FC" w:rsidP="00D21486">
            <w:pPr>
              <w:pStyle w:val="Tabletext"/>
              <w:keepNext/>
              <w:keepLines/>
              <w:widowControl w:val="0"/>
              <w:jc w:val="center"/>
            </w:pPr>
            <w:r w:rsidRPr="00A910E2">
              <w:t>P</w:t>
            </w:r>
          </w:p>
        </w:tc>
        <w:tc>
          <w:tcPr>
            <w:tcW w:w="992" w:type="dxa"/>
            <w:noWrap/>
            <w:vAlign w:val="center"/>
          </w:tcPr>
          <w:p w14:paraId="3B828B95"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14 785</w:t>
            </w:r>
          </w:p>
        </w:tc>
        <w:tc>
          <w:tcPr>
            <w:tcW w:w="1276" w:type="dxa"/>
            <w:noWrap/>
            <w:vAlign w:val="center"/>
          </w:tcPr>
          <w:p w14:paraId="1A31AAA6"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18 142</w:t>
            </w:r>
          </w:p>
        </w:tc>
        <w:tc>
          <w:tcPr>
            <w:tcW w:w="1275" w:type="dxa"/>
            <w:vAlign w:val="center"/>
          </w:tcPr>
          <w:p w14:paraId="7E6C5BC5"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15 647</w:t>
            </w:r>
          </w:p>
        </w:tc>
        <w:tc>
          <w:tcPr>
            <w:tcW w:w="1276" w:type="dxa"/>
            <w:vAlign w:val="center"/>
          </w:tcPr>
          <w:p w14:paraId="1E09A0FC"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15 536</w:t>
            </w:r>
          </w:p>
        </w:tc>
        <w:tc>
          <w:tcPr>
            <w:tcW w:w="1276" w:type="dxa"/>
            <w:noWrap/>
            <w:vAlign w:val="center"/>
          </w:tcPr>
          <w:p w14:paraId="7271A64E"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64 110</w:t>
            </w:r>
          </w:p>
        </w:tc>
        <w:tc>
          <w:tcPr>
            <w:tcW w:w="1130" w:type="dxa"/>
            <w:vAlign w:val="center"/>
          </w:tcPr>
          <w:p w14:paraId="0D05F879" w14:textId="77777777" w:rsidR="005B59FC" w:rsidRPr="00A910E2" w:rsidRDefault="005B59FC" w:rsidP="00D21486">
            <w:pPr>
              <w:pStyle w:val="Tabletext"/>
              <w:keepNext/>
              <w:keepLines/>
              <w:widowControl w:val="0"/>
              <w:jc w:val="center"/>
              <w:cnfStyle w:val="000000000000" w:firstRow="0" w:lastRow="0" w:firstColumn="0" w:lastColumn="0" w:oddVBand="0" w:evenVBand="0" w:oddHBand="0" w:evenHBand="0" w:firstRowFirstColumn="0" w:firstRowLastColumn="0" w:lastRowFirstColumn="0" w:lastRowLastColumn="0"/>
            </w:pPr>
            <w:r w:rsidRPr="00A910E2">
              <w:t>3,94%</w:t>
            </w:r>
          </w:p>
        </w:tc>
      </w:tr>
      <w:tr w:rsidR="005B59FC" w:rsidRPr="00A910E2" w14:paraId="02C9A726"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332987D3" w14:textId="77777777" w:rsidR="005B59FC" w:rsidRPr="00A910E2" w:rsidRDefault="005B59FC" w:rsidP="00D21486">
            <w:pPr>
              <w:pStyle w:val="Tabletext"/>
              <w:jc w:val="center"/>
            </w:pPr>
            <w:r w:rsidRPr="00A910E2">
              <w:t>F</w:t>
            </w:r>
          </w:p>
        </w:tc>
        <w:tc>
          <w:tcPr>
            <w:tcW w:w="992" w:type="dxa"/>
            <w:noWrap/>
            <w:vAlign w:val="center"/>
          </w:tcPr>
          <w:p w14:paraId="5B4C77A7"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12 411</w:t>
            </w:r>
          </w:p>
        </w:tc>
        <w:tc>
          <w:tcPr>
            <w:tcW w:w="1276" w:type="dxa"/>
            <w:noWrap/>
            <w:vAlign w:val="center"/>
          </w:tcPr>
          <w:p w14:paraId="1F971EE2"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15 138</w:t>
            </w:r>
          </w:p>
        </w:tc>
        <w:tc>
          <w:tcPr>
            <w:tcW w:w="1275" w:type="dxa"/>
            <w:vAlign w:val="center"/>
          </w:tcPr>
          <w:p w14:paraId="0388761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8 623</w:t>
            </w:r>
          </w:p>
        </w:tc>
        <w:tc>
          <w:tcPr>
            <w:tcW w:w="1276" w:type="dxa"/>
            <w:vAlign w:val="center"/>
          </w:tcPr>
          <w:p w14:paraId="2526BD07"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9 397</w:t>
            </w:r>
          </w:p>
        </w:tc>
        <w:tc>
          <w:tcPr>
            <w:tcW w:w="1276" w:type="dxa"/>
            <w:noWrap/>
            <w:vAlign w:val="center"/>
          </w:tcPr>
          <w:p w14:paraId="5A2E6E4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45 569</w:t>
            </w:r>
          </w:p>
        </w:tc>
        <w:tc>
          <w:tcPr>
            <w:tcW w:w="1130" w:type="dxa"/>
            <w:vAlign w:val="center"/>
          </w:tcPr>
          <w:p w14:paraId="4248ED70"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2,80%</w:t>
            </w:r>
          </w:p>
        </w:tc>
      </w:tr>
      <w:tr w:rsidR="005B59FC" w:rsidRPr="00A910E2" w14:paraId="14779679"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D1E1EE5" w14:textId="77777777" w:rsidR="005B59FC" w:rsidRPr="00A910E2" w:rsidRDefault="005B59FC" w:rsidP="00D21486">
            <w:pPr>
              <w:pStyle w:val="Tabletext"/>
              <w:jc w:val="center"/>
            </w:pPr>
            <w:r w:rsidRPr="00A910E2">
              <w:t>S</w:t>
            </w:r>
          </w:p>
        </w:tc>
        <w:tc>
          <w:tcPr>
            <w:tcW w:w="992" w:type="dxa"/>
            <w:noWrap/>
            <w:vAlign w:val="center"/>
          </w:tcPr>
          <w:p w14:paraId="5793F29C"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10 001</w:t>
            </w:r>
          </w:p>
        </w:tc>
        <w:tc>
          <w:tcPr>
            <w:tcW w:w="1276" w:type="dxa"/>
            <w:noWrap/>
            <w:vAlign w:val="center"/>
          </w:tcPr>
          <w:p w14:paraId="61CF3D14"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9 918</w:t>
            </w:r>
          </w:p>
        </w:tc>
        <w:tc>
          <w:tcPr>
            <w:tcW w:w="1275" w:type="dxa"/>
            <w:vAlign w:val="center"/>
          </w:tcPr>
          <w:p w14:paraId="666700D4"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9 170</w:t>
            </w:r>
          </w:p>
        </w:tc>
        <w:tc>
          <w:tcPr>
            <w:tcW w:w="1276" w:type="dxa"/>
            <w:vAlign w:val="center"/>
          </w:tcPr>
          <w:p w14:paraId="1897B9AF"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10 174</w:t>
            </w:r>
          </w:p>
        </w:tc>
        <w:tc>
          <w:tcPr>
            <w:tcW w:w="1276" w:type="dxa"/>
            <w:noWrap/>
            <w:vAlign w:val="center"/>
          </w:tcPr>
          <w:p w14:paraId="0FBB1AEF"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39 263</w:t>
            </w:r>
          </w:p>
        </w:tc>
        <w:tc>
          <w:tcPr>
            <w:tcW w:w="1130" w:type="dxa"/>
            <w:vAlign w:val="center"/>
          </w:tcPr>
          <w:p w14:paraId="18050AAF"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2,41%</w:t>
            </w:r>
          </w:p>
        </w:tc>
      </w:tr>
      <w:tr w:rsidR="005B59FC" w:rsidRPr="00A910E2" w14:paraId="6EF931FD"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AD44A97" w14:textId="77777777" w:rsidR="005B59FC" w:rsidRPr="00A910E2" w:rsidRDefault="005B59FC" w:rsidP="00D21486">
            <w:pPr>
              <w:pStyle w:val="Tabletext"/>
              <w:jc w:val="center"/>
            </w:pPr>
            <w:r w:rsidRPr="00A910E2">
              <w:t>SA</w:t>
            </w:r>
          </w:p>
        </w:tc>
        <w:tc>
          <w:tcPr>
            <w:tcW w:w="992" w:type="dxa"/>
            <w:noWrap/>
            <w:vAlign w:val="center"/>
          </w:tcPr>
          <w:p w14:paraId="4D3E6A42"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5 547</w:t>
            </w:r>
          </w:p>
        </w:tc>
        <w:tc>
          <w:tcPr>
            <w:tcW w:w="1276" w:type="dxa"/>
            <w:noWrap/>
            <w:vAlign w:val="center"/>
          </w:tcPr>
          <w:p w14:paraId="6E7F32E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9 042</w:t>
            </w:r>
          </w:p>
        </w:tc>
        <w:tc>
          <w:tcPr>
            <w:tcW w:w="1275" w:type="dxa"/>
            <w:vAlign w:val="center"/>
          </w:tcPr>
          <w:p w14:paraId="20D19CD8"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5 346</w:t>
            </w:r>
          </w:p>
        </w:tc>
        <w:tc>
          <w:tcPr>
            <w:tcW w:w="1276" w:type="dxa"/>
            <w:vAlign w:val="center"/>
          </w:tcPr>
          <w:p w14:paraId="247ACFEE"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6 856</w:t>
            </w:r>
          </w:p>
        </w:tc>
        <w:tc>
          <w:tcPr>
            <w:tcW w:w="1276" w:type="dxa"/>
            <w:noWrap/>
            <w:vAlign w:val="center"/>
          </w:tcPr>
          <w:p w14:paraId="16879F8D"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26 791</w:t>
            </w:r>
          </w:p>
        </w:tc>
        <w:tc>
          <w:tcPr>
            <w:tcW w:w="1130" w:type="dxa"/>
            <w:vAlign w:val="center"/>
          </w:tcPr>
          <w:p w14:paraId="6C009FA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1,65%</w:t>
            </w:r>
          </w:p>
        </w:tc>
      </w:tr>
      <w:tr w:rsidR="005B59FC" w:rsidRPr="00A910E2" w14:paraId="3E8319A0"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68FFA7D3" w14:textId="77777777" w:rsidR="005B59FC" w:rsidRPr="00A910E2" w:rsidRDefault="005B59FC" w:rsidP="00D21486">
            <w:pPr>
              <w:pStyle w:val="Tabletext"/>
              <w:jc w:val="center"/>
            </w:pPr>
            <w:r w:rsidRPr="00A910E2">
              <w:t>RS</w:t>
            </w:r>
          </w:p>
        </w:tc>
        <w:tc>
          <w:tcPr>
            <w:tcW w:w="992" w:type="dxa"/>
            <w:noWrap/>
            <w:vAlign w:val="center"/>
          </w:tcPr>
          <w:p w14:paraId="32D63FAA"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4 796</w:t>
            </w:r>
          </w:p>
        </w:tc>
        <w:tc>
          <w:tcPr>
            <w:tcW w:w="1276" w:type="dxa"/>
            <w:noWrap/>
            <w:vAlign w:val="center"/>
          </w:tcPr>
          <w:p w14:paraId="605539D1"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6 343</w:t>
            </w:r>
          </w:p>
        </w:tc>
        <w:tc>
          <w:tcPr>
            <w:tcW w:w="1275" w:type="dxa"/>
            <w:vAlign w:val="center"/>
          </w:tcPr>
          <w:p w14:paraId="4097F7B1"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4 486</w:t>
            </w:r>
          </w:p>
        </w:tc>
        <w:tc>
          <w:tcPr>
            <w:tcW w:w="1276" w:type="dxa"/>
            <w:vAlign w:val="center"/>
          </w:tcPr>
          <w:p w14:paraId="2106294E"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6 236</w:t>
            </w:r>
          </w:p>
        </w:tc>
        <w:tc>
          <w:tcPr>
            <w:tcW w:w="1276" w:type="dxa"/>
            <w:noWrap/>
            <w:vAlign w:val="center"/>
          </w:tcPr>
          <w:p w14:paraId="046B4D50"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21 861</w:t>
            </w:r>
          </w:p>
        </w:tc>
        <w:tc>
          <w:tcPr>
            <w:tcW w:w="1130" w:type="dxa"/>
            <w:vAlign w:val="center"/>
          </w:tcPr>
          <w:p w14:paraId="23819D7A"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1,34%</w:t>
            </w:r>
          </w:p>
        </w:tc>
      </w:tr>
      <w:tr w:rsidR="005B59FC" w:rsidRPr="00A910E2" w14:paraId="2B8C2342" w14:textId="77777777" w:rsidTr="00D2148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67AF3D4" w14:textId="77777777" w:rsidR="005B59FC" w:rsidRPr="00A910E2" w:rsidRDefault="005B59FC" w:rsidP="00D21486">
            <w:pPr>
              <w:pStyle w:val="Tabletext"/>
              <w:jc w:val="center"/>
            </w:pPr>
            <w:r w:rsidRPr="00A910E2">
              <w:t>RA</w:t>
            </w:r>
          </w:p>
        </w:tc>
        <w:tc>
          <w:tcPr>
            <w:tcW w:w="992" w:type="dxa"/>
            <w:noWrap/>
            <w:vAlign w:val="center"/>
          </w:tcPr>
          <w:p w14:paraId="75E8EAA6"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4 222</w:t>
            </w:r>
          </w:p>
        </w:tc>
        <w:tc>
          <w:tcPr>
            <w:tcW w:w="1276" w:type="dxa"/>
            <w:noWrap/>
            <w:vAlign w:val="center"/>
          </w:tcPr>
          <w:p w14:paraId="037ECBF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4 834</w:t>
            </w:r>
          </w:p>
        </w:tc>
        <w:tc>
          <w:tcPr>
            <w:tcW w:w="1275" w:type="dxa"/>
            <w:vAlign w:val="center"/>
          </w:tcPr>
          <w:p w14:paraId="32632DFA"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4 840</w:t>
            </w:r>
          </w:p>
        </w:tc>
        <w:tc>
          <w:tcPr>
            <w:tcW w:w="1276" w:type="dxa"/>
            <w:vAlign w:val="center"/>
          </w:tcPr>
          <w:p w14:paraId="21E79D99"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6 463</w:t>
            </w:r>
          </w:p>
        </w:tc>
        <w:tc>
          <w:tcPr>
            <w:tcW w:w="1276" w:type="dxa"/>
            <w:noWrap/>
            <w:vAlign w:val="center"/>
          </w:tcPr>
          <w:p w14:paraId="4D95BEE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20 359</w:t>
            </w:r>
          </w:p>
        </w:tc>
        <w:tc>
          <w:tcPr>
            <w:tcW w:w="1130" w:type="dxa"/>
            <w:vAlign w:val="center"/>
          </w:tcPr>
          <w:p w14:paraId="04C8EF2C"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1,25%</w:t>
            </w:r>
          </w:p>
        </w:tc>
      </w:tr>
      <w:tr w:rsidR="005B59FC" w:rsidRPr="00A910E2" w14:paraId="031CEFB3" w14:textId="77777777" w:rsidTr="00D21486">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3A315E43" w14:textId="77777777" w:rsidR="005B59FC" w:rsidRPr="00A910E2" w:rsidRDefault="005B59FC" w:rsidP="00D21486">
            <w:pPr>
              <w:pStyle w:val="Tabletext"/>
              <w:jc w:val="center"/>
            </w:pPr>
            <w:r w:rsidRPr="00A910E2">
              <w:t>TF</w:t>
            </w:r>
          </w:p>
        </w:tc>
        <w:tc>
          <w:tcPr>
            <w:tcW w:w="992" w:type="dxa"/>
            <w:noWrap/>
            <w:vAlign w:val="center"/>
          </w:tcPr>
          <w:p w14:paraId="12FA0E87"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w:t>
            </w:r>
          </w:p>
        </w:tc>
        <w:tc>
          <w:tcPr>
            <w:tcW w:w="1276" w:type="dxa"/>
            <w:noWrap/>
            <w:vAlign w:val="center"/>
          </w:tcPr>
          <w:p w14:paraId="1E0C10E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97</w:t>
            </w:r>
          </w:p>
        </w:tc>
        <w:tc>
          <w:tcPr>
            <w:tcW w:w="1275" w:type="dxa"/>
            <w:vAlign w:val="center"/>
          </w:tcPr>
          <w:p w14:paraId="4FF07EA6"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466</w:t>
            </w:r>
          </w:p>
        </w:tc>
        <w:tc>
          <w:tcPr>
            <w:tcW w:w="1276" w:type="dxa"/>
            <w:vAlign w:val="center"/>
          </w:tcPr>
          <w:p w14:paraId="58378A42"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948</w:t>
            </w:r>
          </w:p>
        </w:tc>
        <w:tc>
          <w:tcPr>
            <w:tcW w:w="1276" w:type="dxa"/>
            <w:noWrap/>
            <w:vAlign w:val="center"/>
          </w:tcPr>
          <w:p w14:paraId="65BFEBA7"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1</w:t>
            </w:r>
            <w:r w:rsidRPr="00A910E2">
              <w:t> </w:t>
            </w:r>
            <w:r w:rsidRPr="00A910E2">
              <w:rPr>
                <w:b/>
                <w:bCs/>
              </w:rPr>
              <w:t>511</w:t>
            </w:r>
          </w:p>
        </w:tc>
        <w:tc>
          <w:tcPr>
            <w:tcW w:w="1130" w:type="dxa"/>
            <w:vAlign w:val="center"/>
          </w:tcPr>
          <w:p w14:paraId="0EC0522B"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0,09%</w:t>
            </w:r>
          </w:p>
        </w:tc>
      </w:tr>
      <w:tr w:rsidR="005B59FC" w:rsidRPr="00A910E2" w14:paraId="444C640D" w14:textId="77777777" w:rsidTr="00D21486">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82462B9" w14:textId="77777777" w:rsidR="005B59FC" w:rsidRPr="00A910E2" w:rsidRDefault="005B59FC" w:rsidP="00D21486">
            <w:pPr>
              <w:pStyle w:val="Tabletext"/>
              <w:jc w:val="center"/>
            </w:pPr>
            <w:r w:rsidRPr="00A910E2">
              <w:t>SF</w:t>
            </w:r>
          </w:p>
        </w:tc>
        <w:tc>
          <w:tcPr>
            <w:tcW w:w="992" w:type="dxa"/>
            <w:noWrap/>
            <w:vAlign w:val="center"/>
          </w:tcPr>
          <w:p w14:paraId="76EC0BA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387</w:t>
            </w:r>
          </w:p>
        </w:tc>
        <w:tc>
          <w:tcPr>
            <w:tcW w:w="1276" w:type="dxa"/>
            <w:noWrap/>
            <w:vAlign w:val="center"/>
          </w:tcPr>
          <w:p w14:paraId="588707B4"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397</w:t>
            </w:r>
          </w:p>
        </w:tc>
        <w:tc>
          <w:tcPr>
            <w:tcW w:w="1275" w:type="dxa"/>
            <w:vAlign w:val="center"/>
          </w:tcPr>
          <w:p w14:paraId="4F3F686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326</w:t>
            </w:r>
          </w:p>
        </w:tc>
        <w:tc>
          <w:tcPr>
            <w:tcW w:w="1276" w:type="dxa"/>
            <w:vAlign w:val="center"/>
          </w:tcPr>
          <w:p w14:paraId="4E95BD84"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345</w:t>
            </w:r>
          </w:p>
        </w:tc>
        <w:tc>
          <w:tcPr>
            <w:tcW w:w="1276" w:type="dxa"/>
            <w:noWrap/>
            <w:vAlign w:val="center"/>
          </w:tcPr>
          <w:p w14:paraId="61945954"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w:t>
            </w:r>
            <w:r w:rsidRPr="00A910E2">
              <w:t> </w:t>
            </w:r>
            <w:r w:rsidRPr="00A910E2">
              <w:rPr>
                <w:b/>
                <w:bCs/>
              </w:rPr>
              <w:t>455</w:t>
            </w:r>
          </w:p>
        </w:tc>
        <w:tc>
          <w:tcPr>
            <w:tcW w:w="1130" w:type="dxa"/>
            <w:vAlign w:val="center"/>
          </w:tcPr>
          <w:p w14:paraId="1333C655"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pPr>
            <w:r w:rsidRPr="00A910E2">
              <w:t>0,09%</w:t>
            </w:r>
          </w:p>
        </w:tc>
      </w:tr>
      <w:tr w:rsidR="005B59FC" w:rsidRPr="00A910E2" w14:paraId="5FE61C4A" w14:textId="77777777" w:rsidTr="00D21486">
        <w:trPr>
          <w:trHeight w:val="361"/>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41A710E7" w14:textId="77777777" w:rsidR="005B59FC" w:rsidRPr="00A910E2" w:rsidRDefault="005B59FC" w:rsidP="00D21486">
            <w:pPr>
              <w:pStyle w:val="Tabletext"/>
              <w:jc w:val="center"/>
            </w:pPr>
            <w:r w:rsidRPr="00A910E2">
              <w:t>BR</w:t>
            </w:r>
          </w:p>
        </w:tc>
        <w:tc>
          <w:tcPr>
            <w:tcW w:w="992" w:type="dxa"/>
            <w:noWrap/>
            <w:vAlign w:val="center"/>
          </w:tcPr>
          <w:p w14:paraId="41404104"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72</w:t>
            </w:r>
          </w:p>
        </w:tc>
        <w:tc>
          <w:tcPr>
            <w:tcW w:w="1276" w:type="dxa"/>
            <w:noWrap/>
            <w:vAlign w:val="center"/>
          </w:tcPr>
          <w:p w14:paraId="590AFAC9"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61</w:t>
            </w:r>
          </w:p>
        </w:tc>
        <w:tc>
          <w:tcPr>
            <w:tcW w:w="1275" w:type="dxa"/>
            <w:vAlign w:val="center"/>
          </w:tcPr>
          <w:p w14:paraId="1543E40A"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88</w:t>
            </w:r>
          </w:p>
        </w:tc>
        <w:tc>
          <w:tcPr>
            <w:tcW w:w="1276" w:type="dxa"/>
            <w:vAlign w:val="center"/>
          </w:tcPr>
          <w:p w14:paraId="68900023"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97</w:t>
            </w:r>
          </w:p>
        </w:tc>
        <w:tc>
          <w:tcPr>
            <w:tcW w:w="1276" w:type="dxa"/>
            <w:noWrap/>
            <w:vAlign w:val="center"/>
          </w:tcPr>
          <w:p w14:paraId="77623ADE"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910E2">
              <w:rPr>
                <w:b/>
                <w:bCs/>
              </w:rPr>
              <w:t>318</w:t>
            </w:r>
          </w:p>
        </w:tc>
        <w:tc>
          <w:tcPr>
            <w:tcW w:w="1130" w:type="dxa"/>
            <w:vAlign w:val="center"/>
          </w:tcPr>
          <w:p w14:paraId="0E795608" w14:textId="77777777" w:rsidR="005B59FC" w:rsidRPr="00A910E2" w:rsidRDefault="005B59FC" w:rsidP="00D21486">
            <w:pPr>
              <w:pStyle w:val="Tabletext"/>
              <w:jc w:val="center"/>
              <w:cnfStyle w:val="000000000000" w:firstRow="0" w:lastRow="0" w:firstColumn="0" w:lastColumn="0" w:oddVBand="0" w:evenVBand="0" w:oddHBand="0" w:evenHBand="0" w:firstRowFirstColumn="0" w:firstRowLastColumn="0" w:lastRowFirstColumn="0" w:lastRowLastColumn="0"/>
            </w:pPr>
            <w:r w:rsidRPr="00A910E2">
              <w:t>0,02%</w:t>
            </w:r>
          </w:p>
        </w:tc>
      </w:tr>
      <w:tr w:rsidR="005B59FC" w:rsidRPr="00A910E2" w14:paraId="295B63E5" w14:textId="77777777" w:rsidTr="00D21486">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9D8233E" w14:textId="77777777" w:rsidR="005B59FC" w:rsidRPr="00A910E2" w:rsidRDefault="005B59FC" w:rsidP="00D21486">
            <w:pPr>
              <w:pStyle w:val="Tabletext"/>
              <w:jc w:val="center"/>
            </w:pPr>
            <w:r w:rsidRPr="00A910E2">
              <w:t>TOTAL</w:t>
            </w:r>
          </w:p>
        </w:tc>
        <w:tc>
          <w:tcPr>
            <w:tcW w:w="992" w:type="dxa"/>
            <w:noWrap/>
            <w:vAlign w:val="center"/>
          </w:tcPr>
          <w:p w14:paraId="13CCCBA1"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362 382</w:t>
            </w:r>
          </w:p>
        </w:tc>
        <w:tc>
          <w:tcPr>
            <w:tcW w:w="1276" w:type="dxa"/>
            <w:noWrap/>
            <w:vAlign w:val="center"/>
          </w:tcPr>
          <w:p w14:paraId="32ACAB9E"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459 521</w:t>
            </w:r>
          </w:p>
        </w:tc>
        <w:tc>
          <w:tcPr>
            <w:tcW w:w="1275" w:type="dxa"/>
            <w:vAlign w:val="center"/>
          </w:tcPr>
          <w:p w14:paraId="254094DB"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380 758</w:t>
            </w:r>
          </w:p>
        </w:tc>
        <w:tc>
          <w:tcPr>
            <w:tcW w:w="1276" w:type="dxa"/>
            <w:vAlign w:val="center"/>
          </w:tcPr>
          <w:p w14:paraId="399B61D6"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425 574</w:t>
            </w:r>
          </w:p>
        </w:tc>
        <w:tc>
          <w:tcPr>
            <w:tcW w:w="1276" w:type="dxa"/>
            <w:noWrap/>
            <w:vAlign w:val="center"/>
          </w:tcPr>
          <w:p w14:paraId="19052523"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1 628 235</w:t>
            </w:r>
          </w:p>
        </w:tc>
        <w:tc>
          <w:tcPr>
            <w:tcW w:w="1130" w:type="dxa"/>
            <w:vAlign w:val="center"/>
          </w:tcPr>
          <w:p w14:paraId="756E73BF" w14:textId="77777777" w:rsidR="005B59FC" w:rsidRPr="00A910E2" w:rsidRDefault="005B59FC" w:rsidP="00D21486">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A910E2">
              <w:rPr>
                <w:b/>
                <w:bCs/>
              </w:rPr>
              <w:t>100%</w:t>
            </w:r>
          </w:p>
        </w:tc>
      </w:tr>
    </w:tbl>
    <w:p w14:paraId="32140542" w14:textId="77777777" w:rsidR="005B59FC" w:rsidRPr="00A910E2" w:rsidRDefault="005B59FC" w:rsidP="005B59FC">
      <w:pPr>
        <w:pStyle w:val="Heading4"/>
      </w:pPr>
      <w:r w:rsidRPr="00A910E2">
        <w:t>8.1.4.4</w:t>
      </w:r>
      <w:r w:rsidRPr="00A910E2">
        <w:tab/>
        <w:t>Manuels</w:t>
      </w:r>
    </w:p>
    <w:p w14:paraId="451A903D" w14:textId="77777777" w:rsidR="005B59FC" w:rsidRPr="00A910E2" w:rsidRDefault="005B59FC" w:rsidP="005B59FC">
      <w:r w:rsidRPr="00A910E2">
        <w:t>Suite à la décision prise par le Directeur du BR en 2017, tous les Manuels de l'UIT-R peuvent désormais être téléchargés gratuitement depuis le site web de l'UIT. Depuis, le nombre de téléchargements a augmenté de façon constante et plus de 140 000 téléchargements ont été enregistrés en 2023. Le Tableau 8.1.4.4-1 illustre la répartition des ventes de Manuels de l'UIT R de la série sur la gestion du spectre et d'autres Manuels.</w:t>
      </w:r>
    </w:p>
    <w:p w14:paraId="271C5724" w14:textId="77777777" w:rsidR="005B59FC" w:rsidRPr="00A910E2" w:rsidRDefault="005B59FC" w:rsidP="005B59FC">
      <w:r w:rsidRPr="00A910E2">
        <w:t>À ce jour, 48 Manuels de l'UIT-R au total ont été publiés, notamment dans la série sur la gestion du spectre.</w:t>
      </w:r>
    </w:p>
    <w:p w14:paraId="0547D7E6" w14:textId="77777777" w:rsidR="005B59FC" w:rsidRPr="00A910E2" w:rsidRDefault="005B59FC" w:rsidP="005B59FC">
      <w:pPr>
        <w:pStyle w:val="TableNotitle"/>
      </w:pPr>
      <w:r w:rsidRPr="00A910E2">
        <w:t>TABLEAU 8.1.4.4-1</w:t>
      </w:r>
    </w:p>
    <w:p w14:paraId="30324189" w14:textId="77777777" w:rsidR="005B59FC" w:rsidRPr="00A910E2" w:rsidRDefault="005B59FC" w:rsidP="005B59FC">
      <w:pPr>
        <w:pStyle w:val="TableNotitle"/>
        <w:spacing w:before="120"/>
      </w:pPr>
      <w:r w:rsidRPr="00A910E2">
        <w:t>Répartition des Manuels de l'UIT-R de la série sur la gestion du spectre et des autres Manuels</w:t>
      </w:r>
    </w:p>
    <w:tbl>
      <w:tblPr>
        <w:tblW w:w="9411" w:type="dxa"/>
        <w:jc w:val="center"/>
        <w:tblLayout w:type="fixed"/>
        <w:tblCellMar>
          <w:left w:w="0" w:type="dxa"/>
          <w:right w:w="0" w:type="dxa"/>
        </w:tblCellMar>
        <w:tblLook w:val="04A0" w:firstRow="1" w:lastRow="0" w:firstColumn="1" w:lastColumn="0" w:noHBand="0" w:noVBand="1"/>
      </w:tblPr>
      <w:tblGrid>
        <w:gridCol w:w="3879"/>
        <w:gridCol w:w="1461"/>
        <w:gridCol w:w="1357"/>
        <w:gridCol w:w="1357"/>
        <w:gridCol w:w="1357"/>
      </w:tblGrid>
      <w:tr w:rsidR="005B59FC" w:rsidRPr="00A910E2" w14:paraId="22ED55C3" w14:textId="77777777" w:rsidTr="00D21486">
        <w:trPr>
          <w:trHeight w:val="295"/>
          <w:jc w:val="center"/>
        </w:trPr>
        <w:tc>
          <w:tcPr>
            <w:tcW w:w="3879" w:type="dxa"/>
            <w:tcBorders>
              <w:top w:val="single" w:sz="8" w:space="0" w:color="FFFFFF" w:themeColor="background1"/>
              <w:left w:val="single" w:sz="8" w:space="0" w:color="FFFFFF" w:themeColor="background1"/>
              <w:bottom w:val="single" w:sz="8" w:space="0" w:color="FFFFFF" w:themeColor="background1"/>
              <w:right w:val="nil"/>
            </w:tcBorders>
            <w:shd w:val="clear" w:color="auto" w:fill="4472C4"/>
            <w:tcMar>
              <w:top w:w="0" w:type="dxa"/>
              <w:left w:w="108" w:type="dxa"/>
              <w:bottom w:w="0" w:type="dxa"/>
              <w:right w:w="108" w:type="dxa"/>
            </w:tcMar>
            <w:vAlign w:val="center"/>
            <w:hideMark/>
          </w:tcPr>
          <w:p w14:paraId="1308FA57" w14:textId="77777777" w:rsidR="005B59FC" w:rsidRPr="00A910E2" w:rsidRDefault="005B59FC" w:rsidP="00D21486">
            <w:pPr>
              <w:pStyle w:val="Tablehead"/>
              <w:spacing w:before="60" w:after="60"/>
              <w:rPr>
                <w:color w:val="FFFFFF" w:themeColor="background1"/>
              </w:rPr>
            </w:pPr>
            <w:r w:rsidRPr="00A910E2">
              <w:rPr>
                <w:color w:val="FFFFFF" w:themeColor="background1"/>
              </w:rPr>
              <w:t>Manuel</w:t>
            </w:r>
          </w:p>
        </w:tc>
        <w:tc>
          <w:tcPr>
            <w:tcW w:w="1461" w:type="dxa"/>
            <w:tcBorders>
              <w:top w:val="single" w:sz="8" w:space="0" w:color="FFFFFF" w:themeColor="background1"/>
              <w:left w:val="nil"/>
              <w:bottom w:val="single" w:sz="8" w:space="0" w:color="FFFFFF" w:themeColor="background1"/>
            </w:tcBorders>
            <w:shd w:val="clear" w:color="auto" w:fill="4472C4"/>
            <w:tcMar>
              <w:top w:w="0" w:type="dxa"/>
              <w:left w:w="108" w:type="dxa"/>
              <w:bottom w:w="0" w:type="dxa"/>
              <w:right w:w="108" w:type="dxa"/>
            </w:tcMar>
            <w:vAlign w:val="center"/>
            <w:hideMark/>
          </w:tcPr>
          <w:p w14:paraId="5A789FB7" w14:textId="77777777" w:rsidR="005B59FC" w:rsidRPr="00A910E2" w:rsidRDefault="005B59FC" w:rsidP="00D21486">
            <w:pPr>
              <w:pStyle w:val="Tablehead"/>
              <w:spacing w:before="60" w:after="60"/>
              <w:rPr>
                <w:color w:val="FFFFFF" w:themeColor="background1"/>
              </w:rPr>
            </w:pPr>
            <w:r w:rsidRPr="00A910E2">
              <w:rPr>
                <w:color w:val="FFFFFF" w:themeColor="background1"/>
              </w:rPr>
              <w:t>2020</w:t>
            </w:r>
          </w:p>
        </w:tc>
        <w:tc>
          <w:tcPr>
            <w:tcW w:w="1357" w:type="dxa"/>
            <w:tcBorders>
              <w:top w:val="single" w:sz="8" w:space="0" w:color="FFFFFF" w:themeColor="background1"/>
              <w:bottom w:val="single" w:sz="8" w:space="0" w:color="FFFFFF" w:themeColor="background1"/>
            </w:tcBorders>
            <w:shd w:val="clear" w:color="auto" w:fill="4472C4"/>
          </w:tcPr>
          <w:p w14:paraId="60940D97" w14:textId="77777777" w:rsidR="005B59FC" w:rsidRPr="00A910E2" w:rsidRDefault="005B59FC" w:rsidP="00D21486">
            <w:pPr>
              <w:pStyle w:val="Tablehead"/>
              <w:spacing w:before="60" w:after="60"/>
              <w:rPr>
                <w:color w:val="FFFFFF" w:themeColor="background1"/>
              </w:rPr>
            </w:pPr>
            <w:r w:rsidRPr="00A910E2">
              <w:rPr>
                <w:color w:val="FFFFFF" w:themeColor="background1"/>
              </w:rPr>
              <w:t>2021</w:t>
            </w:r>
          </w:p>
        </w:tc>
        <w:tc>
          <w:tcPr>
            <w:tcW w:w="1357" w:type="dxa"/>
            <w:tcBorders>
              <w:top w:val="single" w:sz="8" w:space="0" w:color="FFFFFF" w:themeColor="background1"/>
              <w:bottom w:val="single" w:sz="8" w:space="0" w:color="FFFFFF" w:themeColor="background1"/>
              <w:right w:val="single" w:sz="8" w:space="0" w:color="FFFFFF" w:themeColor="background1"/>
            </w:tcBorders>
            <w:shd w:val="clear" w:color="auto" w:fill="4472C4"/>
          </w:tcPr>
          <w:p w14:paraId="2ADA3917" w14:textId="77777777" w:rsidR="005B59FC" w:rsidRPr="00A910E2" w:rsidRDefault="005B59FC" w:rsidP="00D21486">
            <w:pPr>
              <w:pStyle w:val="Tablehead"/>
              <w:spacing w:before="60" w:after="60"/>
              <w:rPr>
                <w:color w:val="FFFFFF" w:themeColor="background1"/>
              </w:rPr>
            </w:pPr>
            <w:r w:rsidRPr="00A910E2">
              <w:rPr>
                <w:color w:val="FFFFFF" w:themeColor="background1"/>
              </w:rPr>
              <w:t>2022</w:t>
            </w:r>
          </w:p>
        </w:tc>
        <w:tc>
          <w:tcPr>
            <w:tcW w:w="1357" w:type="dxa"/>
            <w:tcBorders>
              <w:top w:val="single" w:sz="8" w:space="0" w:color="FFFFFF" w:themeColor="background1"/>
              <w:bottom w:val="single" w:sz="8" w:space="0" w:color="FFFFFF" w:themeColor="background1"/>
              <w:right w:val="single" w:sz="8" w:space="0" w:color="FFFFFF" w:themeColor="background1"/>
            </w:tcBorders>
            <w:shd w:val="clear" w:color="auto" w:fill="4472C4"/>
          </w:tcPr>
          <w:p w14:paraId="10CCFC07" w14:textId="77777777" w:rsidR="005B59FC" w:rsidRPr="00A910E2" w:rsidRDefault="005B59FC" w:rsidP="00D21486">
            <w:pPr>
              <w:pStyle w:val="Tablehead"/>
              <w:spacing w:before="60" w:after="60"/>
              <w:rPr>
                <w:color w:val="FFFFFF" w:themeColor="background1"/>
              </w:rPr>
            </w:pPr>
            <w:r w:rsidRPr="00A910E2">
              <w:rPr>
                <w:color w:val="FFFFFF" w:themeColor="background1"/>
              </w:rPr>
              <w:t>2023</w:t>
            </w:r>
          </w:p>
        </w:tc>
      </w:tr>
      <w:tr w:rsidR="005B59FC" w:rsidRPr="00A910E2" w14:paraId="5DE8F8C2" w14:textId="77777777" w:rsidTr="00D21486">
        <w:trPr>
          <w:trHeight w:val="510"/>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hideMark/>
          </w:tcPr>
          <w:p w14:paraId="05FFDCAE" w14:textId="77777777" w:rsidR="005B59FC" w:rsidRPr="00A910E2" w:rsidRDefault="005B59FC" w:rsidP="00D21486">
            <w:pPr>
              <w:pStyle w:val="Tabletext"/>
              <w:jc w:val="center"/>
              <w:rPr>
                <w:b/>
                <w:bCs/>
                <w:color w:val="FFFFFF" w:themeColor="background1"/>
              </w:rPr>
            </w:pPr>
            <w:r w:rsidRPr="00A910E2">
              <w:rPr>
                <w:b/>
                <w:bCs/>
                <w:color w:val="FFFFFF" w:themeColor="background1"/>
              </w:rPr>
              <w:t>Série sur la gestion du spectre (Exemplaires papier vendus)</w:t>
            </w:r>
          </w:p>
        </w:tc>
        <w:tc>
          <w:tcPr>
            <w:tcW w:w="1461" w:type="dxa"/>
            <w:tcBorders>
              <w:top w:val="nil"/>
              <w:left w:val="nil"/>
              <w:bottom w:val="single" w:sz="8" w:space="0" w:color="FFFFFF" w:themeColor="background1"/>
              <w:right w:val="single" w:sz="8" w:space="0" w:color="FFFFFF" w:themeColor="background1"/>
            </w:tcBorders>
            <w:shd w:val="clear" w:color="auto" w:fill="B4C6E7"/>
            <w:tcMar>
              <w:top w:w="0" w:type="dxa"/>
              <w:left w:w="108" w:type="dxa"/>
              <w:bottom w:w="0" w:type="dxa"/>
              <w:right w:w="108" w:type="dxa"/>
            </w:tcMar>
            <w:hideMark/>
          </w:tcPr>
          <w:p w14:paraId="43C1B396" w14:textId="77777777" w:rsidR="005B59FC" w:rsidRPr="00A910E2" w:rsidRDefault="005B59FC" w:rsidP="00D21486">
            <w:pPr>
              <w:pStyle w:val="Tabletext"/>
              <w:jc w:val="center"/>
            </w:pPr>
            <w:r w:rsidRPr="00A910E2">
              <w:t>3</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79135A0E" w14:textId="77777777" w:rsidR="005B59FC" w:rsidRPr="00A910E2" w:rsidRDefault="005B59FC" w:rsidP="00D21486">
            <w:pPr>
              <w:pStyle w:val="Tabletext"/>
              <w:jc w:val="center"/>
            </w:pPr>
            <w:r w:rsidRPr="00A910E2">
              <w:t>5</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7672BFBF" w14:textId="77777777" w:rsidR="005B59FC" w:rsidRPr="00A910E2" w:rsidRDefault="005B59FC" w:rsidP="00D21486">
            <w:pPr>
              <w:pStyle w:val="Tabletext"/>
              <w:jc w:val="center"/>
            </w:pPr>
            <w:r w:rsidRPr="00A910E2">
              <w:t>0</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2B32FB8C" w14:textId="77777777" w:rsidR="005B59FC" w:rsidRPr="00A910E2" w:rsidRDefault="005B59FC" w:rsidP="00D21486">
            <w:pPr>
              <w:pStyle w:val="Tabletext"/>
              <w:jc w:val="center"/>
            </w:pPr>
            <w:r w:rsidRPr="00A910E2">
              <w:t>–</w:t>
            </w:r>
          </w:p>
        </w:tc>
      </w:tr>
      <w:tr w:rsidR="005B59FC" w:rsidRPr="00A910E2" w14:paraId="654C11F4" w14:textId="77777777" w:rsidTr="00D21486">
        <w:trPr>
          <w:trHeight w:val="441"/>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hideMark/>
          </w:tcPr>
          <w:p w14:paraId="4D9C0E95" w14:textId="77777777" w:rsidR="005B59FC" w:rsidRPr="00A910E2" w:rsidRDefault="005B59FC" w:rsidP="00D21486">
            <w:pPr>
              <w:pStyle w:val="Tabletext"/>
              <w:jc w:val="center"/>
              <w:rPr>
                <w:b/>
                <w:bCs/>
                <w:color w:val="FFFFFF" w:themeColor="background1"/>
              </w:rPr>
            </w:pPr>
            <w:r w:rsidRPr="00A910E2">
              <w:rPr>
                <w:b/>
                <w:bCs/>
                <w:color w:val="FFFFFF" w:themeColor="background1"/>
              </w:rPr>
              <w:t>Autres Manuels (Exemplaires papier vendus)</w:t>
            </w:r>
          </w:p>
        </w:tc>
        <w:tc>
          <w:tcPr>
            <w:tcW w:w="1461" w:type="dxa"/>
            <w:tcBorders>
              <w:top w:val="nil"/>
              <w:left w:val="nil"/>
              <w:bottom w:val="single" w:sz="8" w:space="0" w:color="FFFFFF" w:themeColor="background1"/>
              <w:right w:val="single" w:sz="8" w:space="0" w:color="FFFFFF" w:themeColor="background1"/>
            </w:tcBorders>
            <w:shd w:val="clear" w:color="auto" w:fill="D9E2F3"/>
            <w:tcMar>
              <w:top w:w="0" w:type="dxa"/>
              <w:left w:w="108" w:type="dxa"/>
              <w:bottom w:w="0" w:type="dxa"/>
              <w:right w:w="108" w:type="dxa"/>
            </w:tcMar>
            <w:hideMark/>
          </w:tcPr>
          <w:p w14:paraId="76E83760" w14:textId="77777777" w:rsidR="005B59FC" w:rsidRPr="00A910E2" w:rsidRDefault="005B59FC" w:rsidP="00D21486">
            <w:pPr>
              <w:pStyle w:val="Tabletext"/>
              <w:jc w:val="center"/>
            </w:pPr>
            <w:r w:rsidRPr="00A910E2">
              <w:t>4</w:t>
            </w:r>
          </w:p>
        </w:tc>
        <w:tc>
          <w:tcPr>
            <w:tcW w:w="1357" w:type="dxa"/>
            <w:tcBorders>
              <w:top w:val="nil"/>
              <w:left w:val="nil"/>
              <w:bottom w:val="single" w:sz="8" w:space="0" w:color="FFFFFF" w:themeColor="background1"/>
              <w:right w:val="single" w:sz="8" w:space="0" w:color="FFFFFF" w:themeColor="background1"/>
            </w:tcBorders>
            <w:shd w:val="clear" w:color="auto" w:fill="D9E2F3"/>
          </w:tcPr>
          <w:p w14:paraId="45A1687E" w14:textId="77777777" w:rsidR="005B59FC" w:rsidRPr="00A910E2" w:rsidRDefault="005B59FC" w:rsidP="00D21486">
            <w:pPr>
              <w:pStyle w:val="Tabletext"/>
              <w:jc w:val="center"/>
            </w:pPr>
            <w:r w:rsidRPr="00A910E2">
              <w:t>5</w:t>
            </w:r>
          </w:p>
        </w:tc>
        <w:tc>
          <w:tcPr>
            <w:tcW w:w="1357" w:type="dxa"/>
            <w:tcBorders>
              <w:top w:val="nil"/>
              <w:left w:val="nil"/>
              <w:bottom w:val="single" w:sz="8" w:space="0" w:color="FFFFFF" w:themeColor="background1"/>
              <w:right w:val="single" w:sz="8" w:space="0" w:color="FFFFFF" w:themeColor="background1"/>
            </w:tcBorders>
            <w:shd w:val="clear" w:color="auto" w:fill="D9E2F3"/>
          </w:tcPr>
          <w:p w14:paraId="5C32851C" w14:textId="77777777" w:rsidR="005B59FC" w:rsidRPr="00A910E2" w:rsidRDefault="005B59FC" w:rsidP="00D21486">
            <w:pPr>
              <w:pStyle w:val="Tabletext"/>
              <w:jc w:val="center"/>
            </w:pPr>
            <w:r w:rsidRPr="00A910E2">
              <w:t>4</w:t>
            </w:r>
          </w:p>
        </w:tc>
        <w:tc>
          <w:tcPr>
            <w:tcW w:w="1357" w:type="dxa"/>
            <w:tcBorders>
              <w:top w:val="nil"/>
              <w:left w:val="nil"/>
              <w:bottom w:val="single" w:sz="8" w:space="0" w:color="FFFFFF" w:themeColor="background1"/>
              <w:right w:val="single" w:sz="8" w:space="0" w:color="FFFFFF" w:themeColor="background1"/>
            </w:tcBorders>
            <w:shd w:val="clear" w:color="auto" w:fill="D9E2F3"/>
          </w:tcPr>
          <w:p w14:paraId="19296D20" w14:textId="77777777" w:rsidR="005B59FC" w:rsidRPr="00A910E2" w:rsidRDefault="005B59FC" w:rsidP="00D21486">
            <w:pPr>
              <w:pStyle w:val="Tabletext"/>
              <w:jc w:val="center"/>
            </w:pPr>
            <w:r w:rsidRPr="00A910E2">
              <w:t>–</w:t>
            </w:r>
          </w:p>
        </w:tc>
      </w:tr>
      <w:tr w:rsidR="005B59FC" w:rsidRPr="00A910E2" w14:paraId="34B2F61F" w14:textId="77777777" w:rsidTr="00D21486">
        <w:trPr>
          <w:trHeight w:val="248"/>
          <w:jc w:val="center"/>
        </w:trPr>
        <w:tc>
          <w:tcPr>
            <w:tcW w:w="3879" w:type="dxa"/>
            <w:tcBorders>
              <w:top w:val="nil"/>
              <w:left w:val="single" w:sz="8" w:space="0" w:color="FFFFFF" w:themeColor="background1"/>
              <w:right w:val="single" w:sz="8" w:space="0" w:color="FFFFFF" w:themeColor="background1"/>
            </w:tcBorders>
            <w:shd w:val="clear" w:color="auto" w:fill="4472C4"/>
            <w:tcMar>
              <w:top w:w="0" w:type="dxa"/>
              <w:left w:w="108" w:type="dxa"/>
              <w:bottom w:w="0" w:type="dxa"/>
              <w:right w:w="108" w:type="dxa"/>
            </w:tcMar>
            <w:hideMark/>
          </w:tcPr>
          <w:p w14:paraId="3259B9B9" w14:textId="77777777" w:rsidR="005B59FC" w:rsidRPr="00A910E2" w:rsidRDefault="005B59FC" w:rsidP="00D21486">
            <w:pPr>
              <w:pStyle w:val="Tabletext"/>
              <w:jc w:val="center"/>
              <w:rPr>
                <w:b/>
                <w:bCs/>
                <w:color w:val="FFFFFF" w:themeColor="background1"/>
              </w:rPr>
            </w:pPr>
            <w:r w:rsidRPr="00A910E2">
              <w:rPr>
                <w:b/>
                <w:bCs/>
                <w:color w:val="FFFFFF" w:themeColor="background1"/>
              </w:rPr>
              <w:t>TOTAL GÉNÉRAL</w:t>
            </w:r>
          </w:p>
        </w:tc>
        <w:tc>
          <w:tcPr>
            <w:tcW w:w="1461" w:type="dxa"/>
            <w:tcBorders>
              <w:top w:val="nil"/>
              <w:left w:val="nil"/>
              <w:right w:val="single" w:sz="8" w:space="0" w:color="FFFFFF" w:themeColor="background1"/>
            </w:tcBorders>
            <w:shd w:val="clear" w:color="auto" w:fill="B4C6E7"/>
            <w:tcMar>
              <w:top w:w="0" w:type="dxa"/>
              <w:left w:w="108" w:type="dxa"/>
              <w:bottom w:w="0" w:type="dxa"/>
              <w:right w:w="108" w:type="dxa"/>
            </w:tcMar>
            <w:hideMark/>
          </w:tcPr>
          <w:p w14:paraId="3736C041" w14:textId="77777777" w:rsidR="005B59FC" w:rsidRPr="00A910E2" w:rsidRDefault="005B59FC" w:rsidP="00D21486">
            <w:pPr>
              <w:pStyle w:val="Tabletext"/>
              <w:jc w:val="center"/>
              <w:rPr>
                <w:b/>
                <w:bCs/>
              </w:rPr>
            </w:pPr>
            <w:r w:rsidRPr="00A910E2">
              <w:rPr>
                <w:b/>
                <w:bCs/>
              </w:rPr>
              <w:t>7</w:t>
            </w:r>
          </w:p>
        </w:tc>
        <w:tc>
          <w:tcPr>
            <w:tcW w:w="1357" w:type="dxa"/>
            <w:tcBorders>
              <w:top w:val="nil"/>
              <w:left w:val="nil"/>
              <w:right w:val="single" w:sz="8" w:space="0" w:color="FFFFFF" w:themeColor="background1"/>
            </w:tcBorders>
            <w:shd w:val="clear" w:color="auto" w:fill="B4C6E7"/>
          </w:tcPr>
          <w:p w14:paraId="4A7A537B" w14:textId="77777777" w:rsidR="005B59FC" w:rsidRPr="00A910E2" w:rsidRDefault="005B59FC" w:rsidP="00D21486">
            <w:pPr>
              <w:pStyle w:val="Tabletext"/>
              <w:jc w:val="center"/>
              <w:rPr>
                <w:b/>
                <w:bCs/>
              </w:rPr>
            </w:pPr>
            <w:r w:rsidRPr="00A910E2">
              <w:rPr>
                <w:b/>
                <w:bCs/>
              </w:rPr>
              <w:t>10</w:t>
            </w:r>
          </w:p>
        </w:tc>
        <w:tc>
          <w:tcPr>
            <w:tcW w:w="1357" w:type="dxa"/>
            <w:tcBorders>
              <w:top w:val="nil"/>
              <w:left w:val="nil"/>
              <w:right w:val="single" w:sz="8" w:space="0" w:color="FFFFFF" w:themeColor="background1"/>
            </w:tcBorders>
            <w:shd w:val="clear" w:color="auto" w:fill="B4C6E7"/>
          </w:tcPr>
          <w:p w14:paraId="51E175AA" w14:textId="77777777" w:rsidR="005B59FC" w:rsidRPr="00A910E2" w:rsidRDefault="005B59FC" w:rsidP="00D21486">
            <w:pPr>
              <w:pStyle w:val="Tabletext"/>
              <w:jc w:val="center"/>
              <w:rPr>
                <w:b/>
                <w:bCs/>
              </w:rPr>
            </w:pPr>
            <w:r w:rsidRPr="00A910E2">
              <w:rPr>
                <w:b/>
                <w:bCs/>
              </w:rPr>
              <w:t>4</w:t>
            </w:r>
          </w:p>
        </w:tc>
        <w:tc>
          <w:tcPr>
            <w:tcW w:w="1357" w:type="dxa"/>
            <w:tcBorders>
              <w:top w:val="nil"/>
              <w:left w:val="nil"/>
              <w:right w:val="single" w:sz="8" w:space="0" w:color="FFFFFF" w:themeColor="background1"/>
            </w:tcBorders>
            <w:shd w:val="clear" w:color="auto" w:fill="B4C6E7"/>
          </w:tcPr>
          <w:p w14:paraId="516BEEBF" w14:textId="77777777" w:rsidR="005B59FC" w:rsidRPr="00A910E2" w:rsidRDefault="005B59FC" w:rsidP="00D21486">
            <w:pPr>
              <w:pStyle w:val="Tabletext"/>
              <w:jc w:val="center"/>
            </w:pPr>
            <w:r w:rsidRPr="00A910E2">
              <w:t>–</w:t>
            </w:r>
          </w:p>
        </w:tc>
      </w:tr>
      <w:tr w:rsidR="005B59FC" w:rsidRPr="00A910E2" w14:paraId="70429344" w14:textId="77777777" w:rsidTr="00D21486">
        <w:trPr>
          <w:trHeight w:val="248"/>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tcPr>
          <w:p w14:paraId="5098C9D8" w14:textId="77777777" w:rsidR="005B59FC" w:rsidRPr="00A910E2" w:rsidRDefault="005B59FC" w:rsidP="00D21486">
            <w:pPr>
              <w:pStyle w:val="Tabletext"/>
              <w:jc w:val="center"/>
              <w:rPr>
                <w:b/>
                <w:bCs/>
                <w:color w:val="FFFFFF" w:themeColor="background1"/>
              </w:rPr>
            </w:pPr>
          </w:p>
        </w:tc>
        <w:tc>
          <w:tcPr>
            <w:tcW w:w="1461" w:type="dxa"/>
            <w:tcBorders>
              <w:top w:val="nil"/>
              <w:left w:val="nil"/>
              <w:bottom w:val="single" w:sz="8" w:space="0" w:color="FFFFFF" w:themeColor="background1"/>
              <w:right w:val="single" w:sz="8" w:space="0" w:color="FFFFFF" w:themeColor="background1"/>
            </w:tcBorders>
            <w:shd w:val="clear" w:color="auto" w:fill="B4C6E7"/>
            <w:tcMar>
              <w:top w:w="0" w:type="dxa"/>
              <w:left w:w="108" w:type="dxa"/>
              <w:bottom w:w="0" w:type="dxa"/>
              <w:right w:w="108" w:type="dxa"/>
            </w:tcMar>
          </w:tcPr>
          <w:p w14:paraId="1084415B" w14:textId="77777777" w:rsidR="005B59FC" w:rsidRPr="00A910E2" w:rsidRDefault="005B59FC" w:rsidP="00D21486">
            <w:pPr>
              <w:pStyle w:val="Tabletext"/>
              <w:jc w:val="center"/>
            </w:pP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3CCC0A63" w14:textId="77777777" w:rsidR="005B59FC" w:rsidRPr="00A910E2" w:rsidRDefault="005B59FC" w:rsidP="00D21486">
            <w:pPr>
              <w:pStyle w:val="Tabletext"/>
              <w:jc w:val="center"/>
            </w:pP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7AB758FE" w14:textId="77777777" w:rsidR="005B59FC" w:rsidRPr="00A910E2" w:rsidRDefault="005B59FC" w:rsidP="00D21486">
            <w:pPr>
              <w:pStyle w:val="Tabletext"/>
              <w:jc w:val="center"/>
            </w:pP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66DE1117" w14:textId="77777777" w:rsidR="005B59FC" w:rsidRPr="00A910E2" w:rsidRDefault="005B59FC" w:rsidP="00D21486">
            <w:pPr>
              <w:pStyle w:val="Tabletext"/>
              <w:jc w:val="center"/>
            </w:pPr>
          </w:p>
        </w:tc>
      </w:tr>
      <w:tr w:rsidR="005B59FC" w:rsidRPr="00A910E2" w14:paraId="513A629E" w14:textId="77777777" w:rsidTr="00D21486">
        <w:trPr>
          <w:trHeight w:val="248"/>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tcPr>
          <w:p w14:paraId="451897D5" w14:textId="77777777" w:rsidR="005B59FC" w:rsidRPr="00A910E2" w:rsidRDefault="005B59FC" w:rsidP="00D21486">
            <w:pPr>
              <w:pStyle w:val="Tabletext"/>
              <w:jc w:val="center"/>
              <w:rPr>
                <w:b/>
                <w:bCs/>
                <w:color w:val="FFFFFF" w:themeColor="background1"/>
              </w:rPr>
            </w:pPr>
            <w:r w:rsidRPr="00A910E2">
              <w:rPr>
                <w:b/>
                <w:bCs/>
                <w:color w:val="FFFFFF" w:themeColor="background1"/>
              </w:rPr>
              <w:t>Téléchargements GRATUITS</w:t>
            </w:r>
          </w:p>
        </w:tc>
        <w:tc>
          <w:tcPr>
            <w:tcW w:w="1461" w:type="dxa"/>
            <w:tcBorders>
              <w:top w:val="nil"/>
              <w:left w:val="nil"/>
              <w:bottom w:val="single" w:sz="8" w:space="0" w:color="FFFFFF" w:themeColor="background1"/>
              <w:right w:val="single" w:sz="8" w:space="0" w:color="FFFFFF" w:themeColor="background1"/>
            </w:tcBorders>
            <w:shd w:val="clear" w:color="auto" w:fill="B4C6E7"/>
            <w:tcMar>
              <w:top w:w="0" w:type="dxa"/>
              <w:left w:w="108" w:type="dxa"/>
              <w:bottom w:w="0" w:type="dxa"/>
              <w:right w:w="108" w:type="dxa"/>
            </w:tcMar>
          </w:tcPr>
          <w:p w14:paraId="5B85913B" w14:textId="77777777" w:rsidR="005B59FC" w:rsidRPr="00A910E2" w:rsidRDefault="005B59FC" w:rsidP="00D21486">
            <w:pPr>
              <w:pStyle w:val="Tabletext"/>
              <w:jc w:val="center"/>
              <w:rPr>
                <w:b/>
                <w:bCs/>
              </w:rPr>
            </w:pPr>
            <w:r w:rsidRPr="00A910E2">
              <w:rPr>
                <w:b/>
                <w:bCs/>
              </w:rPr>
              <w:t>79 961</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2E216FE2" w14:textId="77777777" w:rsidR="005B59FC" w:rsidRPr="00A910E2" w:rsidRDefault="005B59FC" w:rsidP="00D21486">
            <w:pPr>
              <w:pStyle w:val="Tabletext"/>
              <w:jc w:val="center"/>
              <w:rPr>
                <w:b/>
                <w:bCs/>
              </w:rPr>
            </w:pPr>
            <w:r w:rsidRPr="00A910E2">
              <w:rPr>
                <w:b/>
                <w:bCs/>
              </w:rPr>
              <w:t>126 201</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53CDF6B6" w14:textId="77777777" w:rsidR="005B59FC" w:rsidRPr="00A910E2" w:rsidRDefault="005B59FC" w:rsidP="00D21486">
            <w:pPr>
              <w:pStyle w:val="Tabletext"/>
              <w:jc w:val="center"/>
              <w:rPr>
                <w:b/>
                <w:bCs/>
              </w:rPr>
            </w:pPr>
            <w:r w:rsidRPr="00A910E2">
              <w:rPr>
                <w:b/>
                <w:bCs/>
              </w:rPr>
              <w:t>134 159</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1F7E7425" w14:textId="77777777" w:rsidR="005B59FC" w:rsidRPr="00A910E2" w:rsidRDefault="005B59FC" w:rsidP="00D21486">
            <w:pPr>
              <w:pStyle w:val="Tabletext"/>
              <w:jc w:val="center"/>
              <w:rPr>
                <w:b/>
                <w:bCs/>
              </w:rPr>
            </w:pPr>
            <w:r w:rsidRPr="00A910E2">
              <w:rPr>
                <w:b/>
                <w:bCs/>
              </w:rPr>
              <w:t>143 478</w:t>
            </w:r>
          </w:p>
        </w:tc>
      </w:tr>
    </w:tbl>
    <w:p w14:paraId="47E6238F" w14:textId="77777777" w:rsidR="005B59FC" w:rsidRPr="00A910E2" w:rsidRDefault="005B59FC" w:rsidP="005B59FC">
      <w:pPr>
        <w:pStyle w:val="Heading2"/>
        <w:rPr>
          <w:i/>
        </w:rPr>
      </w:pPr>
      <w:bookmarkStart w:id="41" w:name="_Toc424047601"/>
      <w:bookmarkStart w:id="42" w:name="_Toc446060783"/>
      <w:bookmarkEnd w:id="39"/>
      <w:bookmarkEnd w:id="40"/>
      <w:r w:rsidRPr="00A910E2">
        <w:t>8.2</w:t>
      </w:r>
      <w:r w:rsidRPr="00A910E2">
        <w:tab/>
        <w:t>Séminaires, ateliers et autres manifestations</w:t>
      </w:r>
      <w:bookmarkEnd w:id="41"/>
      <w:bookmarkEnd w:id="42"/>
    </w:p>
    <w:p w14:paraId="62EF0ED2" w14:textId="77777777" w:rsidR="005B59FC" w:rsidRPr="00A910E2" w:rsidRDefault="005B59FC" w:rsidP="005B59FC">
      <w:r w:rsidRPr="00A910E2">
        <w:t>Durant la période d'études 2019-2023, des séminaires mondiaux et régionaux des radiocommunications se sont tenus en vue de diffuser, à l'échelle mondiale, les mises à jour figurant dans l'édition de 2020 du RR, ainsi que les Règles de procédure associées. Durant cette période, le BR a organisé deux séminaires mondiaux des radiocommunications (WRS) (un tous les deux ans), complétés par dix séminaires régionaux des radiocommunications (RRS), qui sont organisés dans chaque Région à tour de rôle, dans la mesure du possible.</w:t>
      </w:r>
    </w:p>
    <w:p w14:paraId="08188162" w14:textId="77777777" w:rsidR="005B59FC" w:rsidRPr="00A910E2" w:rsidRDefault="005B59FC" w:rsidP="005B59FC">
      <w:r w:rsidRPr="00A910E2">
        <w:t>Les chiffres ci-dessous indiquent la participation durant la période d'études 2019-2023:</w:t>
      </w:r>
    </w:p>
    <w:p w14:paraId="2F284014" w14:textId="77777777" w:rsidR="005B59FC" w:rsidRPr="00A910E2" w:rsidRDefault="005B59FC" w:rsidP="005B59FC">
      <w:pPr>
        <w:pStyle w:val="enumlev1"/>
      </w:pPr>
      <w:r w:rsidRPr="00A910E2">
        <w:t>•</w:t>
      </w:r>
      <w:r w:rsidRPr="00A910E2">
        <w:tab/>
        <w:t>pour les deux séminaires mondiaux des radiocommunications: 1 773 participants de plus de 156 pays;</w:t>
      </w:r>
    </w:p>
    <w:p w14:paraId="362F10F0" w14:textId="77777777" w:rsidR="005B59FC" w:rsidRPr="00A910E2" w:rsidRDefault="005B59FC" w:rsidP="005B59FC">
      <w:pPr>
        <w:pStyle w:val="enumlev1"/>
      </w:pPr>
      <w:r w:rsidRPr="00A910E2">
        <w:t>•</w:t>
      </w:r>
      <w:r w:rsidRPr="00A910E2">
        <w:tab/>
        <w:t>pour les dix séminaires régionaux des radiocommunications: 906 participants de plus de 165 pays.</w:t>
      </w:r>
    </w:p>
    <w:p w14:paraId="46A9A094" w14:textId="77777777" w:rsidR="005B59FC" w:rsidRPr="00A910E2" w:rsidRDefault="005B59FC" w:rsidP="005B59FC">
      <w:r w:rsidRPr="00A910E2">
        <w:t>Total: 12 séminaires, 3 039 participants de plus de 180 pays.</w:t>
      </w:r>
    </w:p>
    <w:p w14:paraId="74821BFD" w14:textId="77777777" w:rsidR="005B59FC" w:rsidRPr="00A910E2" w:rsidRDefault="005B59FC" w:rsidP="005B59FC">
      <w:r w:rsidRPr="00A910E2">
        <w:t>Les séminaires WRS et RRS se sont tenus sans document papier. Les rapports respectifs de ces manifestations sont disponibles sur le site web de l'UIT, à l'adresse</w:t>
      </w:r>
      <w:r w:rsidRPr="00A910E2">
        <w:br/>
      </w:r>
      <w:hyperlink r:id="rId55" w:history="1">
        <w:r w:rsidRPr="00A910E2">
          <w:rPr>
            <w:rStyle w:val="Hyperlink"/>
          </w:rPr>
          <w:t>https://www.itu.int/fr/ITU-R/seminars/Pages/default.aspx</w:t>
        </w:r>
      </w:hyperlink>
      <w:r w:rsidRPr="00A910E2">
        <w:t>.</w:t>
      </w:r>
    </w:p>
    <w:p w14:paraId="3E78AB07" w14:textId="77777777" w:rsidR="005B59FC" w:rsidRPr="00A910E2" w:rsidRDefault="005B59FC" w:rsidP="005B59FC">
      <w:r w:rsidRPr="00A910E2">
        <w:t>Pendant cette période, le BR a accordé plus de 30 bourses pour la participation aux séminaires régionaux des radiocommunications tenus en présentiel et 23 bourses pour la participation aux séminaires mondiaux des radiocommunications (une bourse par pays remplissant les conditions requises).</w:t>
      </w:r>
    </w:p>
    <w:p w14:paraId="3645F799" w14:textId="77777777" w:rsidR="005B59FC" w:rsidRPr="00A910E2" w:rsidRDefault="005B59FC" w:rsidP="005B59FC">
      <w:r w:rsidRPr="00A910E2">
        <w:t>Depuis 2024, une nouvelle série de séminaires WRS/RRS a été lancé pour l'intervalle entre deux CMR correspondant à la période 2024-2027. Ces séminaires visent à diffuser, à l'échelle mondiale, les mises à jour figurant dans l'édition de 2024 du Règlement des radiocommunications (et les décisions prises par la CMR-23), ainsi que les Règles de procédure associées. Compte tenu de l'expérience acquise précédemment dans le cadre des séminaires WRS/RRS, le BR prévoit d'organiser pour la période 2024-2027 deux séminaires WRS (un tous les deux ans), complétés par onze séminaires RRS (chacun ciblant une sous-région différente), conformément au calendrier suivant:</w:t>
      </w:r>
    </w:p>
    <w:p w14:paraId="35386A12" w14:textId="77777777" w:rsidR="005B59FC" w:rsidRPr="00A910E2" w:rsidRDefault="005B59FC" w:rsidP="005B59FC">
      <w:pPr>
        <w:pStyle w:val="TableNotitle"/>
      </w:pPr>
      <w:r w:rsidRPr="00A910E2">
        <w:t>TABLEAU 8.2.2-1</w:t>
      </w:r>
    </w:p>
    <w:tbl>
      <w:tblPr>
        <w:tblStyle w:val="TableGrid"/>
        <w:tblW w:w="5155" w:type="pct"/>
        <w:jc w:val="center"/>
        <w:tblLayout w:type="fixed"/>
        <w:tblLook w:val="04A0" w:firstRow="1" w:lastRow="0" w:firstColumn="1" w:lastColumn="0" w:noHBand="0" w:noVBand="1"/>
      </w:tblPr>
      <w:tblGrid>
        <w:gridCol w:w="2688"/>
        <w:gridCol w:w="1843"/>
        <w:gridCol w:w="1562"/>
        <w:gridCol w:w="1419"/>
        <w:gridCol w:w="1278"/>
        <w:gridCol w:w="1137"/>
      </w:tblGrid>
      <w:tr w:rsidR="005B59FC" w:rsidRPr="00A910E2" w14:paraId="5EEBAC41" w14:textId="77777777" w:rsidTr="00D21486">
        <w:trPr>
          <w:trHeight w:val="300"/>
          <w:tblHeader/>
          <w:jc w:val="center"/>
        </w:trPr>
        <w:tc>
          <w:tcPr>
            <w:tcW w:w="2755" w:type="dxa"/>
            <w:noWrap/>
            <w:hideMark/>
          </w:tcPr>
          <w:p w14:paraId="504A04F0" w14:textId="77777777" w:rsidR="005B59FC" w:rsidRPr="00A910E2" w:rsidRDefault="005B59FC" w:rsidP="00D21486">
            <w:pPr>
              <w:pStyle w:val="Tablehead"/>
              <w:keepLines/>
            </w:pPr>
          </w:p>
        </w:tc>
        <w:tc>
          <w:tcPr>
            <w:tcW w:w="1887" w:type="dxa"/>
            <w:noWrap/>
            <w:hideMark/>
          </w:tcPr>
          <w:p w14:paraId="42AC4135" w14:textId="77777777" w:rsidR="005B59FC" w:rsidRPr="00A910E2" w:rsidRDefault="005B59FC" w:rsidP="00D21486">
            <w:pPr>
              <w:pStyle w:val="Tablehead"/>
              <w:keepLines/>
              <w:rPr>
                <w:bCs/>
              </w:rPr>
            </w:pPr>
            <w:r w:rsidRPr="00A910E2">
              <w:rPr>
                <w:bCs/>
              </w:rPr>
              <w:t>Langue</w:t>
            </w:r>
          </w:p>
        </w:tc>
        <w:tc>
          <w:tcPr>
            <w:tcW w:w="1598" w:type="dxa"/>
            <w:noWrap/>
            <w:hideMark/>
          </w:tcPr>
          <w:p w14:paraId="654E55CF" w14:textId="77777777" w:rsidR="005B59FC" w:rsidRPr="00A910E2" w:rsidRDefault="005B59FC" w:rsidP="00D21486">
            <w:pPr>
              <w:pStyle w:val="Tablehead"/>
              <w:keepLines/>
              <w:rPr>
                <w:bCs/>
              </w:rPr>
            </w:pPr>
            <w:r w:rsidRPr="00A910E2">
              <w:rPr>
                <w:bCs/>
              </w:rPr>
              <w:t>2024</w:t>
            </w:r>
          </w:p>
        </w:tc>
        <w:tc>
          <w:tcPr>
            <w:tcW w:w="1452" w:type="dxa"/>
            <w:noWrap/>
            <w:hideMark/>
          </w:tcPr>
          <w:p w14:paraId="093ED1F3" w14:textId="77777777" w:rsidR="005B59FC" w:rsidRPr="00A910E2" w:rsidRDefault="005B59FC" w:rsidP="00D21486">
            <w:pPr>
              <w:pStyle w:val="Tablehead"/>
              <w:keepLines/>
              <w:rPr>
                <w:bCs/>
              </w:rPr>
            </w:pPr>
            <w:r w:rsidRPr="00A910E2">
              <w:rPr>
                <w:bCs/>
              </w:rPr>
              <w:t>2025</w:t>
            </w:r>
          </w:p>
        </w:tc>
        <w:tc>
          <w:tcPr>
            <w:tcW w:w="1307" w:type="dxa"/>
            <w:noWrap/>
            <w:hideMark/>
          </w:tcPr>
          <w:p w14:paraId="4A091265" w14:textId="77777777" w:rsidR="005B59FC" w:rsidRPr="00A910E2" w:rsidRDefault="005B59FC" w:rsidP="00D21486">
            <w:pPr>
              <w:pStyle w:val="Tablehead"/>
              <w:keepLines/>
              <w:rPr>
                <w:bCs/>
              </w:rPr>
            </w:pPr>
            <w:r w:rsidRPr="00A910E2">
              <w:rPr>
                <w:bCs/>
              </w:rPr>
              <w:t>2026</w:t>
            </w:r>
          </w:p>
        </w:tc>
        <w:tc>
          <w:tcPr>
            <w:tcW w:w="1162" w:type="dxa"/>
            <w:noWrap/>
            <w:hideMark/>
          </w:tcPr>
          <w:p w14:paraId="59139298" w14:textId="77777777" w:rsidR="005B59FC" w:rsidRPr="00A910E2" w:rsidRDefault="005B59FC" w:rsidP="00D21486">
            <w:pPr>
              <w:pStyle w:val="Tablehead"/>
              <w:keepLines/>
              <w:rPr>
                <w:bCs/>
              </w:rPr>
            </w:pPr>
            <w:r w:rsidRPr="00A910E2">
              <w:rPr>
                <w:bCs/>
              </w:rPr>
              <w:t>2027</w:t>
            </w:r>
          </w:p>
        </w:tc>
      </w:tr>
      <w:tr w:rsidR="005B59FC" w:rsidRPr="00A910E2" w14:paraId="2E638AAF" w14:textId="77777777" w:rsidTr="00D21486">
        <w:trPr>
          <w:trHeight w:val="300"/>
          <w:jc w:val="center"/>
        </w:trPr>
        <w:tc>
          <w:tcPr>
            <w:tcW w:w="2755" w:type="dxa"/>
            <w:shd w:val="clear" w:color="auto" w:fill="DAEEF3" w:themeFill="accent5" w:themeFillTint="33"/>
            <w:noWrap/>
          </w:tcPr>
          <w:p w14:paraId="123C2E0E" w14:textId="77777777" w:rsidR="005B59FC" w:rsidRPr="00A910E2" w:rsidRDefault="005B59FC" w:rsidP="00D21486">
            <w:pPr>
              <w:pStyle w:val="Tabletext"/>
              <w:rPr>
                <w:b/>
                <w:bCs/>
              </w:rPr>
            </w:pPr>
            <w:r w:rsidRPr="00A910E2">
              <w:rPr>
                <w:b/>
                <w:bCs/>
              </w:rPr>
              <w:t>Séminaire WRS (2)</w:t>
            </w:r>
          </w:p>
        </w:tc>
        <w:tc>
          <w:tcPr>
            <w:tcW w:w="1887" w:type="dxa"/>
            <w:noWrap/>
          </w:tcPr>
          <w:p w14:paraId="29BF8CE7" w14:textId="77777777" w:rsidR="005B59FC" w:rsidRPr="00A910E2" w:rsidRDefault="005B59FC" w:rsidP="00D21486">
            <w:pPr>
              <w:pStyle w:val="Tabletext"/>
              <w:jc w:val="center"/>
              <w:rPr>
                <w:bCs/>
              </w:rPr>
            </w:pPr>
            <w:r w:rsidRPr="00A910E2">
              <w:t>ONU</w:t>
            </w:r>
          </w:p>
        </w:tc>
        <w:tc>
          <w:tcPr>
            <w:tcW w:w="1598" w:type="dxa"/>
            <w:noWrap/>
          </w:tcPr>
          <w:p w14:paraId="348D4E23" w14:textId="77777777" w:rsidR="005B59FC" w:rsidRPr="00A910E2" w:rsidRDefault="005B59FC" w:rsidP="00D21486">
            <w:pPr>
              <w:pStyle w:val="Tabletext"/>
              <w:jc w:val="center"/>
            </w:pPr>
            <w:r w:rsidRPr="00A910E2">
              <w:t>2-6 décembre</w:t>
            </w:r>
          </w:p>
          <w:p w14:paraId="2BFB74D9" w14:textId="77777777" w:rsidR="005B59FC" w:rsidRPr="00A910E2" w:rsidRDefault="005B59FC" w:rsidP="00D21486">
            <w:pPr>
              <w:pStyle w:val="Tabletext"/>
              <w:jc w:val="center"/>
              <w:rPr>
                <w:bCs/>
              </w:rPr>
            </w:pPr>
            <w:r w:rsidRPr="00A910E2">
              <w:t>Genève</w:t>
            </w:r>
          </w:p>
        </w:tc>
        <w:tc>
          <w:tcPr>
            <w:tcW w:w="1452" w:type="dxa"/>
            <w:noWrap/>
          </w:tcPr>
          <w:p w14:paraId="68BE8464" w14:textId="77777777" w:rsidR="005B59FC" w:rsidRPr="00A910E2" w:rsidRDefault="005B59FC" w:rsidP="00D21486">
            <w:pPr>
              <w:pStyle w:val="Tabletext"/>
              <w:jc w:val="center"/>
              <w:rPr>
                <w:bCs/>
              </w:rPr>
            </w:pPr>
            <w:r w:rsidRPr="00A910E2">
              <w:t>−</w:t>
            </w:r>
          </w:p>
        </w:tc>
        <w:tc>
          <w:tcPr>
            <w:tcW w:w="1307" w:type="dxa"/>
            <w:noWrap/>
          </w:tcPr>
          <w:p w14:paraId="6FE9EF2E" w14:textId="77777777" w:rsidR="005B59FC" w:rsidRPr="00A910E2" w:rsidRDefault="005B59FC" w:rsidP="00D21486">
            <w:pPr>
              <w:pStyle w:val="Tabletext"/>
              <w:jc w:val="center"/>
            </w:pPr>
            <w:r w:rsidRPr="00A910E2">
              <w:t>Décembre</w:t>
            </w:r>
          </w:p>
          <w:p w14:paraId="7C89A567" w14:textId="77777777" w:rsidR="005B59FC" w:rsidRPr="00A910E2" w:rsidRDefault="005B59FC" w:rsidP="00D21486">
            <w:pPr>
              <w:pStyle w:val="Tabletext"/>
              <w:jc w:val="center"/>
              <w:rPr>
                <w:bCs/>
              </w:rPr>
            </w:pPr>
            <w:r w:rsidRPr="00A910E2">
              <w:t>Genève</w:t>
            </w:r>
          </w:p>
        </w:tc>
        <w:tc>
          <w:tcPr>
            <w:tcW w:w="1162" w:type="dxa"/>
            <w:noWrap/>
          </w:tcPr>
          <w:p w14:paraId="479B5D9F" w14:textId="77777777" w:rsidR="005B59FC" w:rsidRPr="00A910E2" w:rsidRDefault="005B59FC" w:rsidP="00D21486">
            <w:pPr>
              <w:pStyle w:val="Tabletext"/>
              <w:jc w:val="center"/>
              <w:rPr>
                <w:bCs/>
              </w:rPr>
            </w:pPr>
            <w:r w:rsidRPr="00A910E2">
              <w:t>−</w:t>
            </w:r>
          </w:p>
        </w:tc>
      </w:tr>
      <w:tr w:rsidR="005B59FC" w:rsidRPr="00A910E2" w14:paraId="2119387D" w14:textId="77777777" w:rsidTr="00D21486">
        <w:trPr>
          <w:trHeight w:val="324"/>
          <w:jc w:val="center"/>
        </w:trPr>
        <w:tc>
          <w:tcPr>
            <w:tcW w:w="10161" w:type="dxa"/>
            <w:gridSpan w:val="6"/>
            <w:shd w:val="clear" w:color="auto" w:fill="E6E6E6"/>
            <w:noWrap/>
            <w:hideMark/>
          </w:tcPr>
          <w:p w14:paraId="3BCC20F5" w14:textId="77777777" w:rsidR="005B59FC" w:rsidRPr="00A910E2" w:rsidRDefault="005B59FC" w:rsidP="00D21486">
            <w:pPr>
              <w:pStyle w:val="Tabletext"/>
              <w:rPr>
                <w:color w:val="E0E0E0"/>
              </w:rPr>
            </w:pPr>
            <w:r w:rsidRPr="00A910E2">
              <w:rPr>
                <w:b/>
              </w:rPr>
              <w:t>RRS (11)</w:t>
            </w:r>
          </w:p>
        </w:tc>
      </w:tr>
      <w:tr w:rsidR="005B59FC" w:rsidRPr="00A910E2" w14:paraId="04E18F52" w14:textId="77777777" w:rsidTr="00D21486">
        <w:trPr>
          <w:trHeight w:val="429"/>
          <w:jc w:val="center"/>
        </w:trPr>
        <w:tc>
          <w:tcPr>
            <w:tcW w:w="10161" w:type="dxa"/>
            <w:gridSpan w:val="6"/>
            <w:shd w:val="clear" w:color="auto" w:fill="E6E6E6"/>
            <w:hideMark/>
          </w:tcPr>
          <w:p w14:paraId="5F98D2F3" w14:textId="77777777" w:rsidR="005B59FC" w:rsidRPr="00A910E2" w:rsidRDefault="005B59FC" w:rsidP="00D21486">
            <w:pPr>
              <w:pStyle w:val="Tabletext"/>
              <w:rPr>
                <w:b/>
                <w:bCs/>
                <w:i/>
                <w:iCs/>
              </w:rPr>
            </w:pPr>
            <w:r w:rsidRPr="00A910E2">
              <w:rPr>
                <w:b/>
                <w:bCs/>
              </w:rPr>
              <w:t>Afrique:</w:t>
            </w:r>
            <w:r w:rsidRPr="00A910E2">
              <w:rPr>
                <w:b/>
                <w:bCs/>
                <w:i/>
                <w:iCs/>
              </w:rPr>
              <w:t xml:space="preserve"> </w:t>
            </w:r>
            <w:r w:rsidRPr="00A910E2">
              <w:rPr>
                <w:b/>
                <w:bCs/>
              </w:rPr>
              <w:t>AFR (2)</w:t>
            </w:r>
          </w:p>
        </w:tc>
      </w:tr>
      <w:tr w:rsidR="005B59FC" w:rsidRPr="00A910E2" w14:paraId="6946E6A2" w14:textId="77777777" w:rsidTr="00D21486">
        <w:trPr>
          <w:trHeight w:val="383"/>
          <w:jc w:val="center"/>
        </w:trPr>
        <w:tc>
          <w:tcPr>
            <w:tcW w:w="2755" w:type="dxa"/>
            <w:noWrap/>
            <w:hideMark/>
          </w:tcPr>
          <w:p w14:paraId="5C43E480" w14:textId="77777777" w:rsidR="005B59FC" w:rsidRPr="00A910E2" w:rsidRDefault="005B59FC" w:rsidP="00D21486">
            <w:pPr>
              <w:pStyle w:val="Tabletext"/>
            </w:pPr>
            <w:r w:rsidRPr="00A910E2">
              <w:t>Afrique</w:t>
            </w:r>
          </w:p>
        </w:tc>
        <w:tc>
          <w:tcPr>
            <w:tcW w:w="1887" w:type="dxa"/>
            <w:noWrap/>
            <w:hideMark/>
          </w:tcPr>
          <w:p w14:paraId="33A1E6AE" w14:textId="77777777" w:rsidR="005B59FC" w:rsidRPr="00A910E2" w:rsidRDefault="005B59FC" w:rsidP="00D21486">
            <w:pPr>
              <w:pStyle w:val="Tabletext"/>
              <w:jc w:val="center"/>
            </w:pPr>
            <w:r w:rsidRPr="00A910E2">
              <w:t>Anglais/Français</w:t>
            </w:r>
          </w:p>
        </w:tc>
        <w:tc>
          <w:tcPr>
            <w:tcW w:w="1598" w:type="dxa"/>
            <w:noWrap/>
            <w:hideMark/>
          </w:tcPr>
          <w:p w14:paraId="651B756E" w14:textId="77777777" w:rsidR="005B59FC" w:rsidRPr="00A910E2" w:rsidRDefault="005B59FC" w:rsidP="00D21486">
            <w:pPr>
              <w:pStyle w:val="Tabletext"/>
              <w:jc w:val="center"/>
            </w:pPr>
            <w:r w:rsidRPr="00A910E2">
              <w:t>−</w:t>
            </w:r>
          </w:p>
        </w:tc>
        <w:tc>
          <w:tcPr>
            <w:tcW w:w="1452" w:type="dxa"/>
            <w:hideMark/>
          </w:tcPr>
          <w:p w14:paraId="6974DD17" w14:textId="77777777" w:rsidR="005B59FC" w:rsidRPr="00A910E2" w:rsidRDefault="005B59FC" w:rsidP="00D21486">
            <w:pPr>
              <w:pStyle w:val="Tabletext"/>
              <w:jc w:val="center"/>
            </w:pPr>
            <w:r w:rsidRPr="00A910E2">
              <w:t>Avril</w:t>
            </w:r>
          </w:p>
        </w:tc>
        <w:tc>
          <w:tcPr>
            <w:tcW w:w="1307" w:type="dxa"/>
            <w:noWrap/>
            <w:hideMark/>
          </w:tcPr>
          <w:p w14:paraId="4352BD48" w14:textId="77777777" w:rsidR="005B59FC" w:rsidRPr="00A910E2" w:rsidRDefault="005B59FC" w:rsidP="00D21486">
            <w:pPr>
              <w:pStyle w:val="Tabletext"/>
              <w:jc w:val="center"/>
            </w:pPr>
            <w:r w:rsidRPr="00A910E2">
              <w:t>−</w:t>
            </w:r>
          </w:p>
        </w:tc>
        <w:tc>
          <w:tcPr>
            <w:tcW w:w="1162" w:type="dxa"/>
            <w:noWrap/>
            <w:hideMark/>
          </w:tcPr>
          <w:p w14:paraId="58344BA5" w14:textId="77777777" w:rsidR="005B59FC" w:rsidRPr="00A910E2" w:rsidRDefault="005B59FC" w:rsidP="00D21486">
            <w:pPr>
              <w:pStyle w:val="Tabletext"/>
              <w:jc w:val="center"/>
            </w:pPr>
            <w:r w:rsidRPr="00A910E2">
              <w:t>−</w:t>
            </w:r>
          </w:p>
        </w:tc>
      </w:tr>
      <w:tr w:rsidR="005B59FC" w:rsidRPr="00A910E2" w14:paraId="7708104D" w14:textId="77777777" w:rsidTr="00D21486">
        <w:trPr>
          <w:trHeight w:val="300"/>
          <w:jc w:val="center"/>
        </w:trPr>
        <w:tc>
          <w:tcPr>
            <w:tcW w:w="2755" w:type="dxa"/>
            <w:noWrap/>
            <w:hideMark/>
          </w:tcPr>
          <w:p w14:paraId="600AD20E" w14:textId="77777777" w:rsidR="005B59FC" w:rsidRPr="00A910E2" w:rsidRDefault="005B59FC" w:rsidP="00D21486">
            <w:pPr>
              <w:pStyle w:val="Tabletext"/>
            </w:pPr>
            <w:r w:rsidRPr="00A910E2">
              <w:t>Afrique</w:t>
            </w:r>
          </w:p>
        </w:tc>
        <w:tc>
          <w:tcPr>
            <w:tcW w:w="1887" w:type="dxa"/>
            <w:noWrap/>
            <w:hideMark/>
          </w:tcPr>
          <w:p w14:paraId="1A2950EF" w14:textId="77777777" w:rsidR="005B59FC" w:rsidRPr="00A910E2" w:rsidRDefault="005B59FC" w:rsidP="00D21486">
            <w:pPr>
              <w:pStyle w:val="Tabletext"/>
              <w:jc w:val="center"/>
            </w:pPr>
            <w:r w:rsidRPr="00A910E2">
              <w:t>Anglais/Français</w:t>
            </w:r>
          </w:p>
        </w:tc>
        <w:tc>
          <w:tcPr>
            <w:tcW w:w="1598" w:type="dxa"/>
            <w:noWrap/>
            <w:hideMark/>
          </w:tcPr>
          <w:p w14:paraId="3E129F3D" w14:textId="77777777" w:rsidR="005B59FC" w:rsidRPr="00A910E2" w:rsidRDefault="005B59FC" w:rsidP="00D21486">
            <w:pPr>
              <w:pStyle w:val="Tabletext"/>
              <w:jc w:val="center"/>
            </w:pPr>
            <w:r w:rsidRPr="00A910E2">
              <w:t>−</w:t>
            </w:r>
          </w:p>
        </w:tc>
        <w:tc>
          <w:tcPr>
            <w:tcW w:w="1452" w:type="dxa"/>
            <w:noWrap/>
            <w:hideMark/>
          </w:tcPr>
          <w:p w14:paraId="6B73CCC3" w14:textId="77777777" w:rsidR="005B59FC" w:rsidRPr="00A910E2" w:rsidRDefault="005B59FC" w:rsidP="00D21486">
            <w:pPr>
              <w:pStyle w:val="Tabletext"/>
              <w:jc w:val="center"/>
            </w:pPr>
            <w:r w:rsidRPr="00A910E2">
              <w:t>−</w:t>
            </w:r>
          </w:p>
        </w:tc>
        <w:tc>
          <w:tcPr>
            <w:tcW w:w="1307" w:type="dxa"/>
            <w:noWrap/>
            <w:hideMark/>
          </w:tcPr>
          <w:p w14:paraId="54833A5E" w14:textId="77777777" w:rsidR="005B59FC" w:rsidRPr="00A910E2" w:rsidRDefault="005B59FC" w:rsidP="00D21486">
            <w:pPr>
              <w:pStyle w:val="Tabletext"/>
              <w:jc w:val="center"/>
            </w:pPr>
            <w:r w:rsidRPr="00A910E2">
              <w:t>−</w:t>
            </w:r>
          </w:p>
        </w:tc>
        <w:tc>
          <w:tcPr>
            <w:tcW w:w="1162" w:type="dxa"/>
            <w:hideMark/>
          </w:tcPr>
          <w:p w14:paraId="496306C8" w14:textId="77777777" w:rsidR="005B59FC" w:rsidRPr="00A910E2" w:rsidRDefault="005B59FC" w:rsidP="00D21486">
            <w:pPr>
              <w:pStyle w:val="Tabletext"/>
              <w:jc w:val="center"/>
            </w:pPr>
            <w:r w:rsidRPr="00A910E2">
              <w:t>Juillet</w:t>
            </w:r>
          </w:p>
        </w:tc>
      </w:tr>
      <w:tr w:rsidR="005B59FC" w:rsidRPr="00A910E2" w14:paraId="7144FA97" w14:textId="77777777" w:rsidTr="00D21486">
        <w:trPr>
          <w:trHeight w:val="300"/>
          <w:jc w:val="center"/>
        </w:trPr>
        <w:tc>
          <w:tcPr>
            <w:tcW w:w="10161" w:type="dxa"/>
            <w:gridSpan w:val="6"/>
            <w:shd w:val="clear" w:color="auto" w:fill="E6E6E6"/>
            <w:noWrap/>
            <w:vAlign w:val="bottom"/>
          </w:tcPr>
          <w:p w14:paraId="0B665E86" w14:textId="77777777" w:rsidR="005B59FC" w:rsidRPr="00A910E2" w:rsidRDefault="005B59FC" w:rsidP="00D21486">
            <w:pPr>
              <w:pStyle w:val="Tabletext"/>
              <w:keepNext/>
              <w:keepLines/>
              <w:rPr>
                <w:b/>
                <w:bCs/>
              </w:rPr>
            </w:pPr>
            <w:r w:rsidRPr="00A910E2">
              <w:rPr>
                <w:b/>
                <w:bCs/>
              </w:rPr>
              <w:t>Amériques: AMS (3)</w:t>
            </w:r>
          </w:p>
        </w:tc>
      </w:tr>
      <w:tr w:rsidR="005B59FC" w:rsidRPr="00A910E2" w14:paraId="0BE190EE" w14:textId="77777777" w:rsidTr="00D21486">
        <w:trPr>
          <w:trHeight w:val="576"/>
          <w:jc w:val="center"/>
        </w:trPr>
        <w:tc>
          <w:tcPr>
            <w:tcW w:w="2755" w:type="dxa"/>
            <w:noWrap/>
          </w:tcPr>
          <w:p w14:paraId="7E4E70BB" w14:textId="77777777" w:rsidR="005B59FC" w:rsidRPr="00A910E2" w:rsidRDefault="005B59FC" w:rsidP="00D21486">
            <w:pPr>
              <w:pStyle w:val="Tabletext"/>
              <w:keepNext/>
              <w:keepLines/>
            </w:pPr>
            <w:r w:rsidRPr="00A910E2">
              <w:t>Caraïbes</w:t>
            </w:r>
          </w:p>
        </w:tc>
        <w:tc>
          <w:tcPr>
            <w:tcW w:w="1887" w:type="dxa"/>
            <w:noWrap/>
          </w:tcPr>
          <w:p w14:paraId="2247BC22" w14:textId="77777777" w:rsidR="005B59FC" w:rsidRPr="00A910E2" w:rsidRDefault="005B59FC" w:rsidP="00D21486">
            <w:pPr>
              <w:pStyle w:val="Tabletext"/>
              <w:keepNext/>
              <w:keepLines/>
              <w:jc w:val="center"/>
            </w:pPr>
            <w:r w:rsidRPr="00A910E2">
              <w:t>Anglais</w:t>
            </w:r>
          </w:p>
        </w:tc>
        <w:tc>
          <w:tcPr>
            <w:tcW w:w="1598" w:type="dxa"/>
          </w:tcPr>
          <w:p w14:paraId="3509241E" w14:textId="77777777" w:rsidR="005B59FC" w:rsidRPr="00A910E2" w:rsidRDefault="005B59FC" w:rsidP="00D21486">
            <w:pPr>
              <w:pStyle w:val="Tabletext"/>
              <w:keepNext/>
              <w:keepLines/>
              <w:jc w:val="center"/>
            </w:pPr>
            <w:r w:rsidRPr="00A910E2">
              <w:t>22-26 juillet</w:t>
            </w:r>
          </w:p>
          <w:p w14:paraId="3ABB5C7B" w14:textId="77777777" w:rsidR="005B59FC" w:rsidRPr="00A910E2" w:rsidRDefault="005B59FC" w:rsidP="00D21486">
            <w:pPr>
              <w:pStyle w:val="Tabletext"/>
              <w:keepNext/>
              <w:keepLines/>
              <w:jc w:val="center"/>
            </w:pPr>
            <w:r w:rsidRPr="00A910E2">
              <w:t>Lieu à définir</w:t>
            </w:r>
          </w:p>
        </w:tc>
        <w:tc>
          <w:tcPr>
            <w:tcW w:w="1452" w:type="dxa"/>
            <w:noWrap/>
          </w:tcPr>
          <w:p w14:paraId="40D79C65" w14:textId="77777777" w:rsidR="005B59FC" w:rsidRPr="00A910E2" w:rsidRDefault="005B59FC" w:rsidP="00D21486">
            <w:pPr>
              <w:pStyle w:val="Tabletext"/>
              <w:keepNext/>
              <w:keepLines/>
              <w:jc w:val="center"/>
            </w:pPr>
            <w:r w:rsidRPr="00A910E2">
              <w:t>−</w:t>
            </w:r>
          </w:p>
        </w:tc>
        <w:tc>
          <w:tcPr>
            <w:tcW w:w="1307" w:type="dxa"/>
            <w:noWrap/>
          </w:tcPr>
          <w:p w14:paraId="2A97B3FF" w14:textId="77777777" w:rsidR="005B59FC" w:rsidRPr="00A910E2" w:rsidRDefault="005B59FC" w:rsidP="00D21486">
            <w:pPr>
              <w:pStyle w:val="Tabletext"/>
              <w:keepNext/>
              <w:keepLines/>
              <w:jc w:val="center"/>
            </w:pPr>
            <w:r w:rsidRPr="00A910E2">
              <w:t>−</w:t>
            </w:r>
          </w:p>
        </w:tc>
        <w:tc>
          <w:tcPr>
            <w:tcW w:w="1162" w:type="dxa"/>
            <w:noWrap/>
          </w:tcPr>
          <w:p w14:paraId="18E1074B" w14:textId="77777777" w:rsidR="005B59FC" w:rsidRPr="00A910E2" w:rsidRDefault="005B59FC" w:rsidP="00D21486">
            <w:pPr>
              <w:pStyle w:val="Tabletext"/>
              <w:keepNext/>
              <w:keepLines/>
              <w:jc w:val="center"/>
            </w:pPr>
            <w:r w:rsidRPr="00A910E2">
              <w:t>−</w:t>
            </w:r>
          </w:p>
        </w:tc>
      </w:tr>
      <w:tr w:rsidR="005B59FC" w:rsidRPr="00A910E2" w14:paraId="63BDE405" w14:textId="77777777" w:rsidTr="00D21486">
        <w:trPr>
          <w:trHeight w:val="227"/>
          <w:jc w:val="center"/>
        </w:trPr>
        <w:tc>
          <w:tcPr>
            <w:tcW w:w="2755" w:type="dxa"/>
            <w:noWrap/>
            <w:hideMark/>
          </w:tcPr>
          <w:p w14:paraId="6781B547" w14:textId="77777777" w:rsidR="005B59FC" w:rsidRPr="00A910E2" w:rsidRDefault="005B59FC" w:rsidP="00D21486">
            <w:pPr>
              <w:pStyle w:val="Tabletext"/>
              <w:keepNext/>
              <w:keepLines/>
            </w:pPr>
            <w:r w:rsidRPr="00A910E2">
              <w:t>Amérique du Sud</w:t>
            </w:r>
          </w:p>
        </w:tc>
        <w:tc>
          <w:tcPr>
            <w:tcW w:w="1887" w:type="dxa"/>
            <w:noWrap/>
            <w:hideMark/>
          </w:tcPr>
          <w:p w14:paraId="7614552F" w14:textId="77777777" w:rsidR="005B59FC" w:rsidRPr="00A910E2" w:rsidRDefault="005B59FC" w:rsidP="00D21486">
            <w:pPr>
              <w:pStyle w:val="Tabletext"/>
              <w:keepNext/>
              <w:keepLines/>
              <w:jc w:val="center"/>
            </w:pPr>
            <w:r w:rsidRPr="00A910E2">
              <w:t>Espagnol</w:t>
            </w:r>
          </w:p>
        </w:tc>
        <w:tc>
          <w:tcPr>
            <w:tcW w:w="1598" w:type="dxa"/>
            <w:hideMark/>
          </w:tcPr>
          <w:p w14:paraId="0514D79A" w14:textId="77777777" w:rsidR="005B59FC" w:rsidRPr="00A910E2" w:rsidRDefault="005B59FC" w:rsidP="00D21486">
            <w:pPr>
              <w:pStyle w:val="Tabletext"/>
              <w:keepNext/>
              <w:keepLines/>
              <w:jc w:val="center"/>
            </w:pPr>
            <w:r w:rsidRPr="00A910E2">
              <w:t>−</w:t>
            </w:r>
          </w:p>
        </w:tc>
        <w:tc>
          <w:tcPr>
            <w:tcW w:w="1452" w:type="dxa"/>
            <w:noWrap/>
            <w:hideMark/>
          </w:tcPr>
          <w:p w14:paraId="0B9FD53D" w14:textId="77777777" w:rsidR="005B59FC" w:rsidRPr="00A910E2" w:rsidRDefault="005B59FC" w:rsidP="00D21486">
            <w:pPr>
              <w:pStyle w:val="Tabletext"/>
              <w:keepNext/>
              <w:keepLines/>
              <w:jc w:val="center"/>
            </w:pPr>
            <w:r w:rsidRPr="00A910E2">
              <w:t>Juillet</w:t>
            </w:r>
          </w:p>
        </w:tc>
        <w:tc>
          <w:tcPr>
            <w:tcW w:w="1307" w:type="dxa"/>
            <w:noWrap/>
            <w:hideMark/>
          </w:tcPr>
          <w:p w14:paraId="0DC431AC" w14:textId="77777777" w:rsidR="005B59FC" w:rsidRPr="00A910E2" w:rsidRDefault="005B59FC" w:rsidP="00D21486">
            <w:pPr>
              <w:pStyle w:val="Tabletext"/>
              <w:keepNext/>
              <w:keepLines/>
              <w:jc w:val="center"/>
            </w:pPr>
            <w:r w:rsidRPr="00A910E2">
              <w:t>−</w:t>
            </w:r>
          </w:p>
        </w:tc>
        <w:tc>
          <w:tcPr>
            <w:tcW w:w="1162" w:type="dxa"/>
            <w:noWrap/>
            <w:hideMark/>
          </w:tcPr>
          <w:p w14:paraId="3AB242EA" w14:textId="77777777" w:rsidR="005B59FC" w:rsidRPr="00A910E2" w:rsidRDefault="005B59FC" w:rsidP="00D21486">
            <w:pPr>
              <w:pStyle w:val="Tabletext"/>
              <w:keepNext/>
              <w:keepLines/>
              <w:jc w:val="center"/>
            </w:pPr>
            <w:r w:rsidRPr="00A910E2">
              <w:t>−</w:t>
            </w:r>
          </w:p>
        </w:tc>
      </w:tr>
      <w:tr w:rsidR="005B59FC" w:rsidRPr="00A910E2" w14:paraId="15F67C0E" w14:textId="77777777" w:rsidTr="00D21486">
        <w:trPr>
          <w:trHeight w:val="300"/>
          <w:jc w:val="center"/>
        </w:trPr>
        <w:tc>
          <w:tcPr>
            <w:tcW w:w="2755" w:type="dxa"/>
            <w:noWrap/>
            <w:hideMark/>
          </w:tcPr>
          <w:p w14:paraId="06E18BEE" w14:textId="77777777" w:rsidR="005B59FC" w:rsidRPr="00A910E2" w:rsidRDefault="005B59FC" w:rsidP="00D21486">
            <w:pPr>
              <w:pStyle w:val="Tabletext"/>
              <w:keepNext/>
              <w:keepLines/>
            </w:pPr>
            <w:r w:rsidRPr="00A910E2">
              <w:t>Mésoamérique</w:t>
            </w:r>
          </w:p>
        </w:tc>
        <w:tc>
          <w:tcPr>
            <w:tcW w:w="1887" w:type="dxa"/>
            <w:noWrap/>
            <w:hideMark/>
          </w:tcPr>
          <w:p w14:paraId="15C1E375" w14:textId="77777777" w:rsidR="005B59FC" w:rsidRPr="00A910E2" w:rsidRDefault="005B59FC" w:rsidP="00D21486">
            <w:pPr>
              <w:pStyle w:val="Tabletext"/>
              <w:keepNext/>
              <w:keepLines/>
              <w:jc w:val="center"/>
            </w:pPr>
            <w:r w:rsidRPr="00A910E2">
              <w:t>Espagnol</w:t>
            </w:r>
          </w:p>
        </w:tc>
        <w:tc>
          <w:tcPr>
            <w:tcW w:w="1598" w:type="dxa"/>
            <w:noWrap/>
            <w:hideMark/>
          </w:tcPr>
          <w:p w14:paraId="4A3FC99C" w14:textId="77777777" w:rsidR="005B59FC" w:rsidRPr="00A910E2" w:rsidRDefault="005B59FC" w:rsidP="00D21486">
            <w:pPr>
              <w:pStyle w:val="Tabletext"/>
              <w:keepNext/>
              <w:keepLines/>
              <w:jc w:val="center"/>
            </w:pPr>
            <w:r w:rsidRPr="00A910E2">
              <w:t>−</w:t>
            </w:r>
          </w:p>
        </w:tc>
        <w:tc>
          <w:tcPr>
            <w:tcW w:w="1452" w:type="dxa"/>
            <w:noWrap/>
            <w:hideMark/>
          </w:tcPr>
          <w:p w14:paraId="0C2631CD" w14:textId="77777777" w:rsidR="005B59FC" w:rsidRPr="00A910E2" w:rsidRDefault="005B59FC" w:rsidP="00D21486">
            <w:pPr>
              <w:pStyle w:val="Tabletext"/>
              <w:keepNext/>
              <w:keepLines/>
              <w:jc w:val="center"/>
            </w:pPr>
            <w:r w:rsidRPr="00A910E2">
              <w:t>−</w:t>
            </w:r>
          </w:p>
        </w:tc>
        <w:tc>
          <w:tcPr>
            <w:tcW w:w="1307" w:type="dxa"/>
            <w:noWrap/>
            <w:hideMark/>
          </w:tcPr>
          <w:p w14:paraId="30514DEE" w14:textId="77777777" w:rsidR="005B59FC" w:rsidRPr="00A910E2" w:rsidRDefault="005B59FC" w:rsidP="00D21486">
            <w:pPr>
              <w:pStyle w:val="Tabletext"/>
              <w:keepNext/>
              <w:keepLines/>
              <w:jc w:val="center"/>
            </w:pPr>
            <w:r w:rsidRPr="00A910E2">
              <w:t>Juin</w:t>
            </w:r>
          </w:p>
        </w:tc>
        <w:tc>
          <w:tcPr>
            <w:tcW w:w="1162" w:type="dxa"/>
            <w:hideMark/>
          </w:tcPr>
          <w:p w14:paraId="3A276FBD" w14:textId="77777777" w:rsidR="005B59FC" w:rsidRPr="00A910E2" w:rsidRDefault="005B59FC" w:rsidP="00D21486">
            <w:pPr>
              <w:pStyle w:val="Tabletext"/>
              <w:keepNext/>
              <w:keepLines/>
              <w:jc w:val="center"/>
            </w:pPr>
            <w:r w:rsidRPr="00A910E2">
              <w:t>−</w:t>
            </w:r>
          </w:p>
        </w:tc>
      </w:tr>
      <w:tr w:rsidR="005B59FC" w:rsidRPr="00A910E2" w14:paraId="60592167" w14:textId="77777777" w:rsidTr="00D21486">
        <w:trPr>
          <w:trHeight w:val="300"/>
          <w:jc w:val="center"/>
        </w:trPr>
        <w:tc>
          <w:tcPr>
            <w:tcW w:w="10161" w:type="dxa"/>
            <w:gridSpan w:val="6"/>
            <w:shd w:val="clear" w:color="auto" w:fill="E6E6E6"/>
            <w:hideMark/>
          </w:tcPr>
          <w:p w14:paraId="2C01E91F" w14:textId="77777777" w:rsidR="005B59FC" w:rsidRPr="00A910E2" w:rsidRDefault="005B59FC" w:rsidP="00D21486">
            <w:pPr>
              <w:pStyle w:val="Tabletext"/>
              <w:keepNext/>
              <w:keepLines/>
              <w:rPr>
                <w:b/>
                <w:bCs/>
              </w:rPr>
            </w:pPr>
            <w:r w:rsidRPr="00A910E2">
              <w:rPr>
                <w:b/>
                <w:bCs/>
              </w:rPr>
              <w:t>Asie-Pacifique: APC (3)</w:t>
            </w:r>
          </w:p>
        </w:tc>
      </w:tr>
      <w:tr w:rsidR="005B59FC" w:rsidRPr="00A910E2" w14:paraId="028CF7EE" w14:textId="77777777" w:rsidTr="00D21486">
        <w:trPr>
          <w:trHeight w:val="288"/>
          <w:jc w:val="center"/>
        </w:trPr>
        <w:tc>
          <w:tcPr>
            <w:tcW w:w="2755" w:type="dxa"/>
            <w:noWrap/>
          </w:tcPr>
          <w:p w14:paraId="56634FC6" w14:textId="77777777" w:rsidR="005B59FC" w:rsidRPr="00A910E2" w:rsidRDefault="005B59FC" w:rsidP="00D21486">
            <w:pPr>
              <w:pStyle w:val="Tabletext"/>
            </w:pPr>
            <w:r w:rsidRPr="00A910E2">
              <w:t>États insulaires du Pacifique</w:t>
            </w:r>
          </w:p>
        </w:tc>
        <w:tc>
          <w:tcPr>
            <w:tcW w:w="1887" w:type="dxa"/>
            <w:noWrap/>
          </w:tcPr>
          <w:p w14:paraId="3AF8333A" w14:textId="77777777" w:rsidR="005B59FC" w:rsidRPr="00A910E2" w:rsidRDefault="005B59FC" w:rsidP="00D21486">
            <w:pPr>
              <w:pStyle w:val="Tabletext"/>
              <w:jc w:val="center"/>
            </w:pPr>
            <w:r w:rsidRPr="00A910E2">
              <w:t>Anglais</w:t>
            </w:r>
          </w:p>
        </w:tc>
        <w:tc>
          <w:tcPr>
            <w:tcW w:w="1598" w:type="dxa"/>
            <w:noWrap/>
            <w:hideMark/>
          </w:tcPr>
          <w:p w14:paraId="5ED1F8CF" w14:textId="77777777" w:rsidR="005B59FC" w:rsidRPr="00A910E2" w:rsidRDefault="005B59FC" w:rsidP="00D21486">
            <w:pPr>
              <w:pStyle w:val="Tabletext"/>
              <w:jc w:val="center"/>
            </w:pPr>
            <w:r w:rsidRPr="00A910E2">
              <w:t>23-27 septembre</w:t>
            </w:r>
          </w:p>
          <w:p w14:paraId="3842F4A4" w14:textId="77777777" w:rsidR="005B59FC" w:rsidRPr="00A910E2" w:rsidRDefault="005B59FC" w:rsidP="00D21486">
            <w:pPr>
              <w:pStyle w:val="Tabletext"/>
              <w:jc w:val="center"/>
            </w:pPr>
            <w:r w:rsidRPr="00A910E2">
              <w:t>Apia, Samoa</w:t>
            </w:r>
          </w:p>
        </w:tc>
        <w:tc>
          <w:tcPr>
            <w:tcW w:w="1452" w:type="dxa"/>
            <w:noWrap/>
            <w:hideMark/>
          </w:tcPr>
          <w:p w14:paraId="7BB01071" w14:textId="77777777" w:rsidR="005B59FC" w:rsidRPr="00A910E2" w:rsidRDefault="005B59FC" w:rsidP="00D21486">
            <w:pPr>
              <w:pStyle w:val="Tabletext"/>
              <w:jc w:val="center"/>
            </w:pPr>
            <w:r w:rsidRPr="00A910E2">
              <w:t>−</w:t>
            </w:r>
          </w:p>
        </w:tc>
        <w:tc>
          <w:tcPr>
            <w:tcW w:w="1307" w:type="dxa"/>
            <w:hideMark/>
          </w:tcPr>
          <w:p w14:paraId="2C73A93A" w14:textId="77777777" w:rsidR="005B59FC" w:rsidRPr="00A910E2" w:rsidRDefault="005B59FC" w:rsidP="00D21486">
            <w:pPr>
              <w:pStyle w:val="Tabletext"/>
              <w:jc w:val="center"/>
            </w:pPr>
            <w:r w:rsidRPr="00A910E2">
              <w:t>−</w:t>
            </w:r>
          </w:p>
        </w:tc>
        <w:tc>
          <w:tcPr>
            <w:tcW w:w="1162" w:type="dxa"/>
            <w:noWrap/>
            <w:hideMark/>
          </w:tcPr>
          <w:p w14:paraId="6C2FD861" w14:textId="77777777" w:rsidR="005B59FC" w:rsidRPr="00A910E2" w:rsidRDefault="005B59FC" w:rsidP="00D21486">
            <w:pPr>
              <w:pStyle w:val="Tabletext"/>
              <w:jc w:val="center"/>
            </w:pPr>
            <w:r w:rsidRPr="00A910E2">
              <w:t>−</w:t>
            </w:r>
          </w:p>
        </w:tc>
      </w:tr>
      <w:tr w:rsidR="005B59FC" w:rsidRPr="00A910E2" w14:paraId="362B835A" w14:textId="77777777" w:rsidTr="00D21486">
        <w:trPr>
          <w:trHeight w:val="409"/>
          <w:jc w:val="center"/>
        </w:trPr>
        <w:tc>
          <w:tcPr>
            <w:tcW w:w="2755" w:type="dxa"/>
            <w:noWrap/>
            <w:hideMark/>
          </w:tcPr>
          <w:p w14:paraId="75100E25" w14:textId="77777777" w:rsidR="005B59FC" w:rsidRPr="00A910E2" w:rsidRDefault="005B59FC" w:rsidP="00D21486">
            <w:pPr>
              <w:pStyle w:val="Tabletext"/>
            </w:pPr>
            <w:r w:rsidRPr="00A910E2">
              <w:t>Asie méridionale</w:t>
            </w:r>
          </w:p>
        </w:tc>
        <w:tc>
          <w:tcPr>
            <w:tcW w:w="1887" w:type="dxa"/>
            <w:noWrap/>
            <w:hideMark/>
          </w:tcPr>
          <w:p w14:paraId="03FB937D" w14:textId="77777777" w:rsidR="005B59FC" w:rsidRPr="00A910E2" w:rsidRDefault="005B59FC" w:rsidP="00D21486">
            <w:pPr>
              <w:pStyle w:val="Tabletext"/>
              <w:jc w:val="center"/>
            </w:pPr>
            <w:r w:rsidRPr="00A910E2">
              <w:t>Anglais</w:t>
            </w:r>
          </w:p>
        </w:tc>
        <w:tc>
          <w:tcPr>
            <w:tcW w:w="1598" w:type="dxa"/>
            <w:hideMark/>
          </w:tcPr>
          <w:p w14:paraId="6555D822" w14:textId="77777777" w:rsidR="005B59FC" w:rsidRPr="00A910E2" w:rsidRDefault="005B59FC" w:rsidP="00D21486">
            <w:pPr>
              <w:pStyle w:val="Tabletext"/>
              <w:jc w:val="center"/>
            </w:pPr>
            <w:r w:rsidRPr="00A910E2">
              <w:t>−</w:t>
            </w:r>
          </w:p>
        </w:tc>
        <w:tc>
          <w:tcPr>
            <w:tcW w:w="1452" w:type="dxa"/>
            <w:noWrap/>
            <w:hideMark/>
          </w:tcPr>
          <w:p w14:paraId="29517342" w14:textId="77777777" w:rsidR="005B59FC" w:rsidRPr="00A910E2" w:rsidRDefault="005B59FC" w:rsidP="00D21486">
            <w:pPr>
              <w:pStyle w:val="Tabletext"/>
              <w:jc w:val="center"/>
            </w:pPr>
            <w:r w:rsidRPr="00A910E2">
              <w:t>Octobre</w:t>
            </w:r>
          </w:p>
          <w:p w14:paraId="34BF7BD3" w14:textId="77777777" w:rsidR="005B59FC" w:rsidRPr="00A910E2" w:rsidRDefault="005B59FC" w:rsidP="00D21486">
            <w:pPr>
              <w:pStyle w:val="Tabletext"/>
              <w:jc w:val="center"/>
            </w:pPr>
          </w:p>
        </w:tc>
        <w:tc>
          <w:tcPr>
            <w:tcW w:w="1307" w:type="dxa"/>
            <w:noWrap/>
            <w:hideMark/>
          </w:tcPr>
          <w:p w14:paraId="30FE271E" w14:textId="77777777" w:rsidR="005B59FC" w:rsidRPr="00A910E2" w:rsidRDefault="005B59FC" w:rsidP="00D21486">
            <w:pPr>
              <w:pStyle w:val="Tabletext"/>
              <w:jc w:val="center"/>
            </w:pPr>
            <w:r w:rsidRPr="00A910E2">
              <w:t>−</w:t>
            </w:r>
          </w:p>
        </w:tc>
        <w:tc>
          <w:tcPr>
            <w:tcW w:w="1162" w:type="dxa"/>
            <w:noWrap/>
            <w:hideMark/>
          </w:tcPr>
          <w:p w14:paraId="212F7F18" w14:textId="77777777" w:rsidR="005B59FC" w:rsidRPr="00A910E2" w:rsidRDefault="005B59FC" w:rsidP="00D21486">
            <w:pPr>
              <w:pStyle w:val="Tabletext"/>
              <w:jc w:val="center"/>
            </w:pPr>
            <w:r w:rsidRPr="00A910E2">
              <w:t>−</w:t>
            </w:r>
          </w:p>
        </w:tc>
      </w:tr>
      <w:tr w:rsidR="005B59FC" w:rsidRPr="00A910E2" w14:paraId="2D4C4EB2" w14:textId="77777777" w:rsidTr="00D21486">
        <w:trPr>
          <w:trHeight w:val="415"/>
          <w:jc w:val="center"/>
        </w:trPr>
        <w:tc>
          <w:tcPr>
            <w:tcW w:w="2755" w:type="dxa"/>
            <w:noWrap/>
          </w:tcPr>
          <w:p w14:paraId="3E5AE00C" w14:textId="77777777" w:rsidR="005B59FC" w:rsidRPr="00A910E2" w:rsidRDefault="005B59FC" w:rsidP="00D21486">
            <w:pPr>
              <w:pStyle w:val="Tabletext"/>
            </w:pPr>
            <w:r w:rsidRPr="00A910E2">
              <w:t>Asie centrale</w:t>
            </w:r>
          </w:p>
        </w:tc>
        <w:tc>
          <w:tcPr>
            <w:tcW w:w="1887" w:type="dxa"/>
            <w:noWrap/>
          </w:tcPr>
          <w:p w14:paraId="3F5209B8" w14:textId="77777777" w:rsidR="005B59FC" w:rsidRPr="00A910E2" w:rsidRDefault="005B59FC" w:rsidP="00D21486">
            <w:pPr>
              <w:pStyle w:val="Tabletext"/>
              <w:jc w:val="center"/>
            </w:pPr>
            <w:r w:rsidRPr="00A910E2">
              <w:t>Anglais</w:t>
            </w:r>
          </w:p>
        </w:tc>
        <w:tc>
          <w:tcPr>
            <w:tcW w:w="1598" w:type="dxa"/>
            <w:noWrap/>
          </w:tcPr>
          <w:p w14:paraId="494BBE1F" w14:textId="77777777" w:rsidR="005B59FC" w:rsidRPr="00A910E2" w:rsidRDefault="005B59FC" w:rsidP="00D21486">
            <w:pPr>
              <w:pStyle w:val="Tabletext"/>
              <w:jc w:val="center"/>
              <w:rPr>
                <w:b/>
                <w:bCs/>
              </w:rPr>
            </w:pPr>
            <w:r w:rsidRPr="00A910E2">
              <w:t>−</w:t>
            </w:r>
          </w:p>
        </w:tc>
        <w:tc>
          <w:tcPr>
            <w:tcW w:w="1452" w:type="dxa"/>
          </w:tcPr>
          <w:p w14:paraId="79C982C6" w14:textId="77777777" w:rsidR="005B59FC" w:rsidRPr="00A910E2" w:rsidRDefault="005B59FC" w:rsidP="00D21486">
            <w:pPr>
              <w:pStyle w:val="Tabletext"/>
              <w:jc w:val="center"/>
              <w:rPr>
                <w:b/>
                <w:bCs/>
              </w:rPr>
            </w:pPr>
            <w:r w:rsidRPr="00A910E2">
              <w:t>−</w:t>
            </w:r>
          </w:p>
        </w:tc>
        <w:tc>
          <w:tcPr>
            <w:tcW w:w="1307" w:type="dxa"/>
            <w:noWrap/>
          </w:tcPr>
          <w:p w14:paraId="42AAEC20" w14:textId="77777777" w:rsidR="005B59FC" w:rsidRPr="00A910E2" w:rsidRDefault="005B59FC" w:rsidP="00D21486">
            <w:pPr>
              <w:pStyle w:val="Tabletext"/>
              <w:jc w:val="center"/>
            </w:pPr>
            <w:r w:rsidRPr="00A910E2">
              <w:t>Septembre</w:t>
            </w:r>
          </w:p>
        </w:tc>
        <w:tc>
          <w:tcPr>
            <w:tcW w:w="1162" w:type="dxa"/>
            <w:noWrap/>
          </w:tcPr>
          <w:p w14:paraId="32316DC1" w14:textId="77777777" w:rsidR="005B59FC" w:rsidRPr="00A910E2" w:rsidRDefault="005B59FC" w:rsidP="00D21486">
            <w:pPr>
              <w:pStyle w:val="Tabletext"/>
              <w:jc w:val="center"/>
            </w:pPr>
            <w:r w:rsidRPr="00A910E2">
              <w:t>−</w:t>
            </w:r>
          </w:p>
        </w:tc>
      </w:tr>
      <w:tr w:rsidR="005B59FC" w:rsidRPr="00A910E2" w14:paraId="1389BF0F" w14:textId="77777777" w:rsidTr="00D21486">
        <w:trPr>
          <w:trHeight w:val="300"/>
          <w:jc w:val="center"/>
        </w:trPr>
        <w:tc>
          <w:tcPr>
            <w:tcW w:w="2755" w:type="dxa"/>
            <w:shd w:val="clear" w:color="auto" w:fill="E6E6E6"/>
            <w:hideMark/>
          </w:tcPr>
          <w:p w14:paraId="6373C460" w14:textId="77777777" w:rsidR="005B59FC" w:rsidRPr="00A910E2" w:rsidRDefault="005B59FC" w:rsidP="00D21486">
            <w:pPr>
              <w:pStyle w:val="Tabletext"/>
              <w:rPr>
                <w:b/>
                <w:bCs/>
              </w:rPr>
            </w:pPr>
            <w:r w:rsidRPr="00A910E2">
              <w:rPr>
                <w:b/>
                <w:bCs/>
              </w:rPr>
              <w:t>États arabes: ARB (1)</w:t>
            </w:r>
          </w:p>
        </w:tc>
        <w:tc>
          <w:tcPr>
            <w:tcW w:w="1887" w:type="dxa"/>
            <w:hideMark/>
          </w:tcPr>
          <w:p w14:paraId="6B417C2D" w14:textId="77777777" w:rsidR="005B59FC" w:rsidRPr="00A910E2" w:rsidRDefault="005B59FC" w:rsidP="00D21486">
            <w:pPr>
              <w:pStyle w:val="Tabletext"/>
              <w:jc w:val="center"/>
            </w:pPr>
            <w:r w:rsidRPr="00A910E2">
              <w:t>Arabe/Anglais</w:t>
            </w:r>
          </w:p>
        </w:tc>
        <w:tc>
          <w:tcPr>
            <w:tcW w:w="1598" w:type="dxa"/>
            <w:noWrap/>
          </w:tcPr>
          <w:p w14:paraId="4A45BA5D" w14:textId="77777777" w:rsidR="005B59FC" w:rsidRPr="00A910E2" w:rsidRDefault="005B59FC" w:rsidP="00D21486">
            <w:pPr>
              <w:pStyle w:val="Tabletext"/>
              <w:jc w:val="center"/>
            </w:pPr>
            <w:r w:rsidRPr="00A910E2">
              <w:t>−</w:t>
            </w:r>
          </w:p>
        </w:tc>
        <w:tc>
          <w:tcPr>
            <w:tcW w:w="1452" w:type="dxa"/>
            <w:noWrap/>
            <w:hideMark/>
          </w:tcPr>
          <w:p w14:paraId="700B70E7" w14:textId="77777777" w:rsidR="005B59FC" w:rsidRPr="00A910E2" w:rsidRDefault="005B59FC" w:rsidP="00D21486">
            <w:pPr>
              <w:pStyle w:val="Tabletext"/>
              <w:jc w:val="center"/>
            </w:pPr>
            <w:r w:rsidRPr="00A910E2">
              <w:t>−</w:t>
            </w:r>
          </w:p>
        </w:tc>
        <w:tc>
          <w:tcPr>
            <w:tcW w:w="1307" w:type="dxa"/>
            <w:noWrap/>
            <w:hideMark/>
          </w:tcPr>
          <w:p w14:paraId="01F73613" w14:textId="77777777" w:rsidR="005B59FC" w:rsidRPr="00A910E2" w:rsidRDefault="005B59FC" w:rsidP="00D21486">
            <w:pPr>
              <w:pStyle w:val="Tabletext"/>
              <w:jc w:val="center"/>
            </w:pPr>
            <w:r w:rsidRPr="00A910E2">
              <w:t>−</w:t>
            </w:r>
          </w:p>
        </w:tc>
        <w:tc>
          <w:tcPr>
            <w:tcW w:w="1162" w:type="dxa"/>
            <w:noWrap/>
            <w:hideMark/>
          </w:tcPr>
          <w:p w14:paraId="03E2169A" w14:textId="77777777" w:rsidR="005B59FC" w:rsidRPr="00A910E2" w:rsidRDefault="005B59FC" w:rsidP="00D21486">
            <w:pPr>
              <w:pStyle w:val="Tabletext"/>
              <w:jc w:val="center"/>
            </w:pPr>
            <w:r w:rsidRPr="00A910E2">
              <w:t>Février</w:t>
            </w:r>
          </w:p>
        </w:tc>
      </w:tr>
      <w:tr w:rsidR="005B59FC" w:rsidRPr="00A910E2" w14:paraId="2E1D9A3A" w14:textId="77777777" w:rsidTr="00D21486">
        <w:trPr>
          <w:trHeight w:val="300"/>
          <w:jc w:val="center"/>
        </w:trPr>
        <w:tc>
          <w:tcPr>
            <w:tcW w:w="2755" w:type="dxa"/>
            <w:shd w:val="clear" w:color="auto" w:fill="E6E6E6"/>
            <w:hideMark/>
          </w:tcPr>
          <w:p w14:paraId="267353E5" w14:textId="77777777" w:rsidR="005B59FC" w:rsidRPr="00A910E2" w:rsidRDefault="005B59FC" w:rsidP="00D21486">
            <w:pPr>
              <w:pStyle w:val="Tabletext"/>
              <w:rPr>
                <w:b/>
                <w:bCs/>
              </w:rPr>
            </w:pPr>
            <w:r w:rsidRPr="00A910E2">
              <w:rPr>
                <w:b/>
                <w:bCs/>
              </w:rPr>
              <w:t>CEI et Europe de l'Est (1)</w:t>
            </w:r>
          </w:p>
        </w:tc>
        <w:tc>
          <w:tcPr>
            <w:tcW w:w="1887" w:type="dxa"/>
            <w:hideMark/>
          </w:tcPr>
          <w:p w14:paraId="31663E4A" w14:textId="77777777" w:rsidR="005B59FC" w:rsidRPr="00A910E2" w:rsidRDefault="005B59FC" w:rsidP="00D21486">
            <w:pPr>
              <w:pStyle w:val="Tabletext"/>
              <w:jc w:val="center"/>
            </w:pPr>
            <w:r w:rsidRPr="00A910E2">
              <w:t>Russe</w:t>
            </w:r>
          </w:p>
        </w:tc>
        <w:tc>
          <w:tcPr>
            <w:tcW w:w="1598" w:type="dxa"/>
            <w:noWrap/>
            <w:hideMark/>
          </w:tcPr>
          <w:p w14:paraId="3A7060A8" w14:textId="77777777" w:rsidR="005B59FC" w:rsidRPr="00A910E2" w:rsidRDefault="005B59FC" w:rsidP="00D21486">
            <w:pPr>
              <w:pStyle w:val="Tabletext"/>
              <w:jc w:val="center"/>
            </w:pPr>
            <w:r w:rsidRPr="00A910E2">
              <w:t>15-19 avril</w:t>
            </w:r>
          </w:p>
          <w:p w14:paraId="0438DEF8" w14:textId="77777777" w:rsidR="005B59FC" w:rsidRPr="00A910E2" w:rsidRDefault="005B59FC" w:rsidP="00D21486">
            <w:pPr>
              <w:pStyle w:val="Tabletext"/>
              <w:jc w:val="center"/>
            </w:pPr>
            <w:r w:rsidRPr="00A910E2">
              <w:t>Astana, Kazakhstan</w:t>
            </w:r>
          </w:p>
        </w:tc>
        <w:tc>
          <w:tcPr>
            <w:tcW w:w="1452" w:type="dxa"/>
            <w:noWrap/>
            <w:hideMark/>
          </w:tcPr>
          <w:p w14:paraId="14CE884B" w14:textId="77777777" w:rsidR="005B59FC" w:rsidRPr="00A910E2" w:rsidRDefault="005B59FC" w:rsidP="00D21486">
            <w:pPr>
              <w:pStyle w:val="Tabletext"/>
              <w:jc w:val="center"/>
            </w:pPr>
            <w:r w:rsidRPr="00A910E2">
              <w:t>−</w:t>
            </w:r>
          </w:p>
        </w:tc>
        <w:tc>
          <w:tcPr>
            <w:tcW w:w="1307" w:type="dxa"/>
            <w:hideMark/>
          </w:tcPr>
          <w:p w14:paraId="524F6190" w14:textId="77777777" w:rsidR="005B59FC" w:rsidRPr="00A910E2" w:rsidRDefault="005B59FC" w:rsidP="00D21486">
            <w:pPr>
              <w:pStyle w:val="Tabletext"/>
              <w:jc w:val="center"/>
            </w:pPr>
            <w:r w:rsidRPr="00A910E2">
              <w:t>−</w:t>
            </w:r>
          </w:p>
        </w:tc>
        <w:tc>
          <w:tcPr>
            <w:tcW w:w="1162" w:type="dxa"/>
            <w:noWrap/>
            <w:hideMark/>
          </w:tcPr>
          <w:p w14:paraId="4A5EB39E" w14:textId="77777777" w:rsidR="005B59FC" w:rsidRPr="00A910E2" w:rsidRDefault="005B59FC" w:rsidP="00D21486">
            <w:pPr>
              <w:pStyle w:val="Tabletext"/>
              <w:jc w:val="center"/>
            </w:pPr>
            <w:r w:rsidRPr="00A910E2">
              <w:t>−</w:t>
            </w:r>
          </w:p>
        </w:tc>
      </w:tr>
      <w:tr w:rsidR="005B59FC" w:rsidRPr="00A910E2" w14:paraId="7CD708DD" w14:textId="77777777" w:rsidTr="00D21486">
        <w:trPr>
          <w:trHeight w:val="300"/>
          <w:jc w:val="center"/>
        </w:trPr>
        <w:tc>
          <w:tcPr>
            <w:tcW w:w="2755" w:type="dxa"/>
            <w:shd w:val="clear" w:color="auto" w:fill="E6E6E6"/>
            <w:hideMark/>
          </w:tcPr>
          <w:p w14:paraId="40B27724" w14:textId="77777777" w:rsidR="005B59FC" w:rsidRPr="00A910E2" w:rsidRDefault="005B59FC" w:rsidP="00D21486">
            <w:pPr>
              <w:pStyle w:val="Tabletext"/>
              <w:rPr>
                <w:b/>
                <w:bCs/>
              </w:rPr>
            </w:pPr>
            <w:r w:rsidRPr="00A910E2">
              <w:rPr>
                <w:b/>
                <w:bCs/>
              </w:rPr>
              <w:t>Europe (1)</w:t>
            </w:r>
          </w:p>
        </w:tc>
        <w:tc>
          <w:tcPr>
            <w:tcW w:w="1887" w:type="dxa"/>
            <w:hideMark/>
          </w:tcPr>
          <w:p w14:paraId="19917247" w14:textId="77777777" w:rsidR="005B59FC" w:rsidRPr="00A910E2" w:rsidRDefault="005B59FC" w:rsidP="00D21486">
            <w:pPr>
              <w:pStyle w:val="Tabletext"/>
              <w:jc w:val="center"/>
            </w:pPr>
            <w:r w:rsidRPr="00A910E2">
              <w:t>Anglais</w:t>
            </w:r>
          </w:p>
        </w:tc>
        <w:tc>
          <w:tcPr>
            <w:tcW w:w="1598" w:type="dxa"/>
            <w:noWrap/>
            <w:hideMark/>
          </w:tcPr>
          <w:p w14:paraId="7BD9CB3B" w14:textId="77777777" w:rsidR="005B59FC" w:rsidRPr="00A910E2" w:rsidRDefault="005B59FC" w:rsidP="00D21486">
            <w:pPr>
              <w:pStyle w:val="Tabletext"/>
              <w:jc w:val="center"/>
            </w:pPr>
            <w:r w:rsidRPr="00A910E2">
              <w:t>−</w:t>
            </w:r>
          </w:p>
        </w:tc>
        <w:tc>
          <w:tcPr>
            <w:tcW w:w="1452" w:type="dxa"/>
            <w:noWrap/>
            <w:hideMark/>
          </w:tcPr>
          <w:p w14:paraId="6D569489" w14:textId="77777777" w:rsidR="005B59FC" w:rsidRPr="00A910E2" w:rsidRDefault="005B59FC" w:rsidP="00D21486">
            <w:pPr>
              <w:pStyle w:val="Tabletext"/>
              <w:jc w:val="center"/>
            </w:pPr>
            <w:r w:rsidRPr="00A910E2">
              <w:t>−</w:t>
            </w:r>
          </w:p>
        </w:tc>
        <w:tc>
          <w:tcPr>
            <w:tcW w:w="1307" w:type="dxa"/>
            <w:noWrap/>
            <w:hideMark/>
          </w:tcPr>
          <w:p w14:paraId="2D8D4096" w14:textId="77777777" w:rsidR="005B59FC" w:rsidRPr="00A910E2" w:rsidRDefault="005B59FC" w:rsidP="00D21486">
            <w:pPr>
              <w:pStyle w:val="Tabletext"/>
              <w:jc w:val="center"/>
            </w:pPr>
            <w:r w:rsidRPr="00A910E2">
              <w:t>−</w:t>
            </w:r>
          </w:p>
        </w:tc>
        <w:tc>
          <w:tcPr>
            <w:tcW w:w="1162" w:type="dxa"/>
            <w:hideMark/>
          </w:tcPr>
          <w:p w14:paraId="1EF374DD" w14:textId="77777777" w:rsidR="005B59FC" w:rsidRPr="00A910E2" w:rsidRDefault="005B59FC" w:rsidP="00D21486">
            <w:pPr>
              <w:pStyle w:val="Tabletext"/>
              <w:jc w:val="center"/>
            </w:pPr>
            <w:r w:rsidRPr="00A910E2">
              <w:t>Avril</w:t>
            </w:r>
          </w:p>
        </w:tc>
      </w:tr>
    </w:tbl>
    <w:p w14:paraId="607C0A88" w14:textId="77777777" w:rsidR="005B59FC" w:rsidRPr="00A910E2" w:rsidRDefault="005B59FC" w:rsidP="005B59FC">
      <w:r w:rsidRPr="00A910E2">
        <w:t>Comme lors des périodes précédentes, afin d'optimiser les ressources nécessaires, le calendrier ci</w:t>
      </w:r>
      <w:r w:rsidRPr="00A910E2">
        <w:noBreakHyphen/>
        <w:t>dessus est établi selon les principes suivants:</w:t>
      </w:r>
    </w:p>
    <w:p w14:paraId="11ACF42D" w14:textId="77777777" w:rsidR="005B59FC" w:rsidRPr="00A910E2" w:rsidRDefault="005B59FC" w:rsidP="005B59FC">
      <w:pPr>
        <w:pStyle w:val="enumlev1"/>
      </w:pPr>
      <w:r w:rsidRPr="00A910E2">
        <w:t>•</w:t>
      </w:r>
      <w:r w:rsidRPr="00A910E2">
        <w:tab/>
        <w:t>Premier trimestre de 2024: aucun séminaire RRS/WRS, mise à jour du RR et des outils logiciels associés.</w:t>
      </w:r>
    </w:p>
    <w:p w14:paraId="332023FC" w14:textId="77777777" w:rsidR="005B59FC" w:rsidRPr="00A910E2" w:rsidRDefault="005B59FC" w:rsidP="005B59FC">
      <w:pPr>
        <w:pStyle w:val="enumlev1"/>
      </w:pPr>
      <w:r w:rsidRPr="00A910E2">
        <w:t>•</w:t>
      </w:r>
      <w:r w:rsidRPr="00A910E2">
        <w:tab/>
        <w:t>Second semestre de 2027: aucun séminaire RRS/WRS, préparation de la CMR-27.</w:t>
      </w:r>
    </w:p>
    <w:p w14:paraId="731158E1" w14:textId="77777777" w:rsidR="005B59FC" w:rsidRPr="00A910E2" w:rsidRDefault="005B59FC" w:rsidP="005B59FC">
      <w:pPr>
        <w:pStyle w:val="enumlev1"/>
      </w:pPr>
      <w:r w:rsidRPr="00A910E2">
        <w:t>•</w:t>
      </w:r>
      <w:r w:rsidRPr="00A910E2">
        <w:tab/>
        <w:t>Deux séminaires WRS seront organisés pendant la période (un tous les deux ans): WRS</w:t>
      </w:r>
      <w:r w:rsidRPr="00A910E2">
        <w:noBreakHyphen/>
        <w:t>24 et WRS-26.</w:t>
      </w:r>
    </w:p>
    <w:p w14:paraId="7B8BA3E0" w14:textId="77777777" w:rsidR="005B59FC" w:rsidRPr="00A910E2" w:rsidRDefault="005B59FC" w:rsidP="005B59FC">
      <w:pPr>
        <w:pStyle w:val="enumlev1"/>
      </w:pPr>
      <w:r w:rsidRPr="00A910E2">
        <w:t>•</w:t>
      </w:r>
      <w:r w:rsidRPr="00A910E2">
        <w:tab/>
        <w:t>Le premier séminaire WRS suivant une CMR (WRS-24) comprendra une session spéciale au cours de laquelle les modifications apportées au RR par la CMR seront expliquées de manière détaillée.</w:t>
      </w:r>
    </w:p>
    <w:p w14:paraId="371AB732" w14:textId="77777777" w:rsidR="005B59FC" w:rsidRPr="00A910E2" w:rsidRDefault="005B59FC" w:rsidP="005B59FC">
      <w:pPr>
        <w:pStyle w:val="enumlev1"/>
      </w:pPr>
      <w:r w:rsidRPr="00A910E2">
        <w:t>•</w:t>
      </w:r>
      <w:r w:rsidRPr="00A910E2">
        <w:tab/>
        <w:t>Les deux séminaires RRS pour l'Afrique ne se tiennent pas la même année que le séminaire WRS, étant donné que la participation aux séminaires RRS pour l'Afrique est près de deux fois supérieure à celle des autres séminaires RRS, et afin de tenir compte de la nécessité d'assurer une répartition uniforme du budget alloué aux bourses.</w:t>
      </w:r>
    </w:p>
    <w:p w14:paraId="16F2C585" w14:textId="77777777" w:rsidR="005B59FC" w:rsidRPr="00A910E2" w:rsidRDefault="005B59FC" w:rsidP="005B59FC">
      <w:pPr>
        <w:pStyle w:val="enumlev1"/>
      </w:pPr>
      <w:r w:rsidRPr="00A910E2">
        <w:t>•</w:t>
      </w:r>
      <w:r w:rsidRPr="00A910E2">
        <w:tab/>
        <w:t>Les séminaires RRS se déroulent dans la ou les langues principales de la région, ce qui permettra de réduire les coûts liés à l'interprétation et de faciliter l'échange d'informations pendant la manifestation.</w:t>
      </w:r>
    </w:p>
    <w:p w14:paraId="7A90364F" w14:textId="77777777" w:rsidR="005B59FC" w:rsidRPr="00A910E2" w:rsidRDefault="005B59FC" w:rsidP="005B59FC">
      <w:pPr>
        <w:pStyle w:val="enumlev1"/>
      </w:pPr>
      <w:r w:rsidRPr="00A910E2">
        <w:t>•</w:t>
      </w:r>
      <w:r w:rsidRPr="00A910E2">
        <w:tab/>
        <w:t>Les programmes des séminaires RRS sont adaptés aux besoins particuliers de la région concernée.</w:t>
      </w:r>
    </w:p>
    <w:p w14:paraId="09808158" w14:textId="77777777" w:rsidR="005B59FC" w:rsidRPr="00A910E2" w:rsidRDefault="005B59FC" w:rsidP="005B59FC">
      <w:pPr>
        <w:pStyle w:val="enumlev1"/>
      </w:pPr>
      <w:r w:rsidRPr="00A910E2">
        <w:t>•</w:t>
      </w:r>
      <w:r w:rsidRPr="00A910E2">
        <w:tab/>
        <w:t>Le(s) dernier(s) jour(s) de chaque séminaire RRS, une séance de type «forum» est organisée, au cours de laquelle des intervenants extérieurs à la région peuvent être invités à élargir le champ des discussions (il faudra peut-être prévoir des services d'interprétation de/vers l'anglais pour ces journées).</w:t>
      </w:r>
    </w:p>
    <w:p w14:paraId="21EEBE33" w14:textId="77777777" w:rsidR="005B59FC" w:rsidRPr="00A910E2" w:rsidRDefault="005B59FC" w:rsidP="005B59FC">
      <w:r w:rsidRPr="00A910E2">
        <w:t>Le programme ci-dessus a été dûment coordonné et adapté en collaboration avec les Bureaux régionaux de l'UIT ainsi qu'avec les groupes régionaux compétents, compte tenu des difficultés liées à la crise actuelle et des changements de format (manifestations en ligne) qui en résultent, ainsi que des incidences pour le personnel de l'UIT concerné (BR et bureaux régionaux).</w:t>
      </w:r>
    </w:p>
    <w:p w14:paraId="5F036AF7" w14:textId="77777777" w:rsidR="005B59FC" w:rsidRPr="00A910E2" w:rsidRDefault="005B59FC" w:rsidP="005B59FC">
      <w:pPr>
        <w:pStyle w:val="Heading3"/>
      </w:pPr>
      <w:r w:rsidRPr="00A910E2">
        <w:t>8.2.1</w:t>
      </w:r>
      <w:r w:rsidRPr="00A910E2">
        <w:tab/>
        <w:t>Séminaires mondiaux des radiocommunications (WRS)</w:t>
      </w:r>
    </w:p>
    <w:p w14:paraId="212B67AA" w14:textId="77777777" w:rsidR="005B59FC" w:rsidRPr="00A910E2" w:rsidRDefault="005B59FC" w:rsidP="005B59FC">
      <w:pPr>
        <w:pStyle w:val="enumlev1"/>
      </w:pPr>
      <w:r w:rsidRPr="00A910E2">
        <w:t>•</w:t>
      </w:r>
      <w:r w:rsidRPr="00A910E2">
        <w:tab/>
        <w:t>WRS-20, du 30 novembre au 11 décembre 2020, en présence de 2 183 participants de 159 pays;</w:t>
      </w:r>
    </w:p>
    <w:p w14:paraId="1934A7BF" w14:textId="77777777" w:rsidR="005B59FC" w:rsidRPr="00A910E2" w:rsidRDefault="005B59FC" w:rsidP="005B59FC">
      <w:pPr>
        <w:pStyle w:val="enumlev1"/>
      </w:pPr>
      <w:r w:rsidRPr="00A910E2">
        <w:t>•</w:t>
      </w:r>
      <w:r w:rsidRPr="00A910E2">
        <w:tab/>
        <w:t>WRS-22, du 24 au 28 octobre 2022, en présence de 540 participants de 123 pays.</w:t>
      </w:r>
    </w:p>
    <w:p w14:paraId="14140CB4" w14:textId="77777777" w:rsidR="005B59FC" w:rsidRPr="00A910E2" w:rsidRDefault="005B59FC" w:rsidP="005B59FC">
      <w:r w:rsidRPr="00A910E2">
        <w:t xml:space="preserve">Le séminaire </w:t>
      </w:r>
      <w:r w:rsidRPr="00A910E2">
        <w:rPr>
          <w:b/>
          <w:bCs/>
        </w:rPr>
        <w:t>WRS-20</w:t>
      </w:r>
      <w:r w:rsidRPr="00A910E2">
        <w:t>, prévu initialement la première semaine de décembre 2020 à Genève, s'est déroulé sous une forme virtuelle en raison des restrictions de voyage liées à la pandémie de COVID</w:t>
      </w:r>
      <w:r w:rsidRPr="00A910E2">
        <w:noBreakHyphen/>
        <w:t>19. Les changements suivants ont été appliqués:</w:t>
      </w:r>
    </w:p>
    <w:p w14:paraId="6037FF59" w14:textId="77777777" w:rsidR="005B59FC" w:rsidRPr="00A910E2" w:rsidRDefault="005B59FC" w:rsidP="005B59FC">
      <w:pPr>
        <w:pStyle w:val="enumlev1"/>
      </w:pPr>
      <w:r w:rsidRPr="00A910E2">
        <w:t>•</w:t>
      </w:r>
      <w:r w:rsidRPr="00A910E2">
        <w:tab/>
        <w:t>Le séminaire WRS-20 s'est déroulé sur deux semaines, du 30 novembre au 11 décembre, avec des sessions quotidiennes de trois heures.</w:t>
      </w:r>
    </w:p>
    <w:p w14:paraId="5F4BEEBE" w14:textId="77777777" w:rsidR="005B59FC" w:rsidRPr="00A910E2" w:rsidRDefault="005B59FC" w:rsidP="005B59FC">
      <w:pPr>
        <w:pStyle w:val="enumlev1"/>
      </w:pPr>
      <w:r w:rsidRPr="00A910E2">
        <w:t>•</w:t>
      </w:r>
      <w:r w:rsidRPr="00A910E2">
        <w:tab/>
        <w:t>Afin de permettre aux participants se trouvant dans différents fuseaux horaires de suivre la manifestation, les sessions du séminaire WRS-20 se sont tenues deux fois par jour:</w:t>
      </w:r>
    </w:p>
    <w:p w14:paraId="7F12E110" w14:textId="77777777" w:rsidR="005B59FC" w:rsidRPr="00A910E2" w:rsidRDefault="005B59FC" w:rsidP="005B59FC">
      <w:pPr>
        <w:pStyle w:val="enumlev1"/>
      </w:pPr>
      <w:r w:rsidRPr="00A910E2">
        <w:t>•</w:t>
      </w:r>
      <w:r w:rsidRPr="00A910E2">
        <w:tab/>
        <w:t xml:space="preserve">Les séances du matin (heure de Genève) ont été organisées pour les participants se trouvant dans les régions suivantes: Asie-Pacifique, Afrique de l'Est et Afrique australe. </w:t>
      </w:r>
    </w:p>
    <w:p w14:paraId="12510E30" w14:textId="77777777" w:rsidR="005B59FC" w:rsidRPr="00A910E2" w:rsidRDefault="005B59FC" w:rsidP="005B59FC">
      <w:pPr>
        <w:pStyle w:val="enumlev1"/>
      </w:pPr>
      <w:r w:rsidRPr="00A910E2">
        <w:t>•</w:t>
      </w:r>
      <w:r w:rsidRPr="00A910E2">
        <w:tab/>
        <w:t>Les séances de l'après-midi (heure de Genève) ont été organisées pour les participants se trouvant dans les régions suivantes: Amériques, Europe, CEI, États arabes et Afrique de l'Ouest.</w:t>
      </w:r>
    </w:p>
    <w:p w14:paraId="4A9A0627" w14:textId="77777777" w:rsidR="005B59FC" w:rsidRPr="00A910E2" w:rsidRDefault="005B59FC" w:rsidP="005B59FC">
      <w:pPr>
        <w:pStyle w:val="enumlev1"/>
      </w:pPr>
      <w:r w:rsidRPr="00A910E2">
        <w:t>•</w:t>
      </w:r>
      <w:r w:rsidRPr="00A910E2">
        <w:tab/>
        <w:t>Des enregistrements des sessions organisées dans le cadre du séminaire ont aussi été mis à disposition sur le site web de la manifestation.</w:t>
      </w:r>
    </w:p>
    <w:p w14:paraId="11EAE149" w14:textId="77777777" w:rsidR="005B59FC" w:rsidRPr="00A910E2" w:rsidRDefault="005B59FC" w:rsidP="005B59FC">
      <w:pPr>
        <w:pStyle w:val="enumlev1"/>
      </w:pPr>
      <w:r w:rsidRPr="00A910E2">
        <w:t>•</w:t>
      </w:r>
      <w:r w:rsidRPr="00A910E2">
        <w:tab/>
        <w:t>Les activités de la seconde semaine, réservées aux membres de l'UIT uniquement, consistaient en des ateliers de formation de base sur la manière d'utiliser les outils élaborés par l'UIT pour les notifications de fréquences et les examens techniques.</w:t>
      </w:r>
    </w:p>
    <w:p w14:paraId="7AD15C32" w14:textId="77777777" w:rsidR="005B59FC" w:rsidRPr="00A910E2" w:rsidRDefault="005B59FC" w:rsidP="005B59FC">
      <w:pPr>
        <w:pStyle w:val="enumlev1"/>
      </w:pPr>
      <w:r w:rsidRPr="00A910E2">
        <w:t>•</w:t>
      </w:r>
      <w:r w:rsidRPr="00A910E2">
        <w:tab/>
        <w:t>Grâce à des exercices didactiques sur le web, les participants aux ateliers ont eu la possibilité de maîtriser à la fois les procédures et les logiciels que l'UIT-R utilise pour le traitement des fiches de notification. Les participants ont pu alterner entre services spatiaux et services de Terre.</w:t>
      </w:r>
    </w:p>
    <w:p w14:paraId="4CCAF096" w14:textId="77777777" w:rsidR="005B59FC" w:rsidRPr="00A910E2" w:rsidRDefault="005B59FC" w:rsidP="005B59FC">
      <w:r w:rsidRPr="00A910E2">
        <w:t xml:space="preserve">La </w:t>
      </w:r>
      <w:r w:rsidRPr="00A910E2">
        <w:rPr>
          <w:b/>
          <w:bCs/>
        </w:rPr>
        <w:t>séance</w:t>
      </w:r>
      <w:r w:rsidRPr="00A910E2">
        <w:t xml:space="preserve"> </w:t>
      </w:r>
      <w:r w:rsidRPr="00A910E2">
        <w:rPr>
          <w:b/>
          <w:bCs/>
        </w:rPr>
        <w:t>plénière du WRS-22</w:t>
      </w:r>
      <w:r w:rsidRPr="00A910E2">
        <w:t xml:space="preserve"> s'est tenue sous la forme d'une manifestation physique avec participation à distance.</w:t>
      </w:r>
    </w:p>
    <w:p w14:paraId="207C7F3D" w14:textId="77777777" w:rsidR="005B59FC" w:rsidRPr="00A910E2" w:rsidRDefault="005B59FC" w:rsidP="005B59FC">
      <w:r w:rsidRPr="00A910E2">
        <w:t>Les</w:t>
      </w:r>
      <w:r w:rsidRPr="00A910E2">
        <w:rPr>
          <w:b/>
          <w:bCs/>
        </w:rPr>
        <w:t xml:space="preserve"> ateliers sur les services de Terre et les services spatiaux du WRS-22</w:t>
      </w:r>
      <w:r w:rsidRPr="00A910E2">
        <w:t xml:space="preserve"> se sont déroulés en parallèle et en présentiel uniquement, et étaient réservés à la participation des membres de l'UIT</w:t>
      </w:r>
      <w:r w:rsidRPr="00A910E2">
        <w:noBreakHyphen/>
        <w:t>R. À l'occasion des ateliers sur les services spatiaux et les services de Terre qui ont été organisés durant quatre jours dans le cadre du WRS-22, les participants ont pu se familiariser directement avec les procédures de notification de l'UIT, ainsi qu'avec les logiciels, les bases de données et les publications électroniques que le Bureau des radiocommunications met à la disposition des membres de l'UIT. Des séances spécialement conçues pour les utilisateurs débutants et les utilisateurs de niveau avancé des outils logiciels du BR ont aussi été proposées. Les séances se sont tenues essentiellement en anglais et en français. Le BR a accordé 23 bourses pour la participation au WRS-22.</w:t>
      </w:r>
    </w:p>
    <w:p w14:paraId="632A0B58" w14:textId="77777777" w:rsidR="005B59FC" w:rsidRPr="00A910E2" w:rsidRDefault="005B59FC" w:rsidP="005B59FC">
      <w:pPr>
        <w:keepLines/>
      </w:pPr>
      <w:r w:rsidRPr="00A910E2">
        <w:t>Compte tenu du fait qu'un nombre grandissant de personnes utilisent et déploient actuellement des systèmes de radiocommunication, et eu égard au rôle du BR de donner des informations à toutes les personnes et organisations, partout dans le monde, concernant le Règlement des radiocommunications et les modalités de sa mise en œuvre, pour la toute première fois lors de ces manifestations, la participation aux séances plénières du séminaire WRS a été ouverte à tous, membres ou non de l'UIT.</w:t>
      </w:r>
    </w:p>
    <w:p w14:paraId="5F02140C" w14:textId="77777777" w:rsidR="005B59FC" w:rsidRPr="00A910E2" w:rsidRDefault="005B59FC" w:rsidP="005B59FC">
      <w:pPr>
        <w:pStyle w:val="Heading3"/>
      </w:pPr>
      <w:r w:rsidRPr="00A910E2">
        <w:t>8.2.2</w:t>
      </w:r>
      <w:r w:rsidRPr="00A910E2">
        <w:tab/>
        <w:t>Séminaires régionaux des radiocommunications (RRS)</w:t>
      </w:r>
    </w:p>
    <w:p w14:paraId="6DC7EB78" w14:textId="77777777" w:rsidR="005B59FC" w:rsidRPr="00A910E2" w:rsidRDefault="005B59FC" w:rsidP="005B59FC">
      <w:r w:rsidRPr="00A910E2">
        <w:t>En complément des séminaires mondiaux des radiocommunications qui se tiennent tous les deux ans, le BR a continué d'organiser, dans le cadre d'une stratégie de sensibilisation sur le plan régional, des séminaires régionaux des radiocommunications (RRS) dans les différentes régions du monde, en vue de promouvoir le renforcement des capacités humaines en ce qui concerne l'utilisation du spectre des fréquences radioélectriques et des orbites de satellites et, en particulier, l'application des dispositions du Règlement des radiocommunications de l'UIT.</w:t>
      </w:r>
    </w:p>
    <w:p w14:paraId="29A15601" w14:textId="77777777" w:rsidR="005B59FC" w:rsidRPr="00A910E2" w:rsidRDefault="005B59FC" w:rsidP="005B59FC">
      <w:r w:rsidRPr="00A910E2">
        <w:t>Ces séminaires sont organisés conjointement avec l'autorité chargée de la gestion du spectre des pays hôtes, en coopération étroite avec les organisations régionales concernées et les bureaux régionaux ou bureaux de zone de l'UIT. Le programme de ces séminaires comporte un volet technique, d'une durée de deux jours, et des ateliers d'une durée d'un ou deux jours consacrés aux services de Terre et aux services spatiaux. Ces séminaires sont complétés par un forum d'une journée axé sur un thème relatif au spectre qui présente un intérêt particulier pour la région.</w:t>
      </w:r>
    </w:p>
    <w:p w14:paraId="2D6D1E22" w14:textId="735D2EB4" w:rsidR="005B59FC" w:rsidRPr="00A910E2" w:rsidRDefault="005B59FC" w:rsidP="005B59FC">
      <w:r w:rsidRPr="00A910E2">
        <w:t>On trouvera dans le Tableau 8.2.2-2 un récapitulatif des séminaires RRS organisés depuis la CMR</w:t>
      </w:r>
      <w:r w:rsidRPr="00A910E2">
        <w:noBreakHyphen/>
        <w:t>19. Ces séminaires se sont tenus principalement en ligne pendant la pandémie de COVID</w:t>
      </w:r>
      <w:r w:rsidRPr="00A910E2">
        <w:noBreakHyphen/>
        <w:t>19 et par la suite, à l'invitation des administrations, du régulateur ou de l'Autorité chargée de la gestion du spectre du pays, en coopération avec les organisations régionales concernées et les bureaux régionaux ou bureaux de zone de l'UIT.</w:t>
      </w:r>
    </w:p>
    <w:p w14:paraId="4E29D9EA" w14:textId="77777777" w:rsidR="005B59FC" w:rsidRPr="00A910E2" w:rsidRDefault="005B59FC" w:rsidP="005B59FC">
      <w:pPr>
        <w:sectPr w:rsidR="005B59FC" w:rsidRPr="00A910E2" w:rsidSect="00A910E2">
          <w:headerReference w:type="default" r:id="rId56"/>
          <w:footerReference w:type="default" r:id="rId57"/>
          <w:footerReference w:type="first" r:id="rId58"/>
          <w:pgSz w:w="11907" w:h="16834"/>
          <w:pgMar w:top="1418" w:right="1134" w:bottom="1418" w:left="1134" w:header="720" w:footer="720" w:gutter="0"/>
          <w:paperSrc w:first="1516" w:other="1516"/>
          <w:cols w:space="720"/>
          <w:titlePg/>
          <w:docGrid w:linePitch="326"/>
        </w:sectPr>
      </w:pPr>
    </w:p>
    <w:p w14:paraId="3699BE80" w14:textId="77777777" w:rsidR="005B59FC" w:rsidRPr="00A910E2" w:rsidRDefault="005B59FC" w:rsidP="005B59FC">
      <w:pPr>
        <w:pStyle w:val="TableNotitle"/>
      </w:pPr>
      <w:r w:rsidRPr="00A910E2">
        <w:t>TABLEAU 8.2.2-2</w:t>
      </w:r>
    </w:p>
    <w:p w14:paraId="432DFBD5" w14:textId="77777777" w:rsidR="005B59FC" w:rsidRPr="00A910E2" w:rsidRDefault="005B59FC" w:rsidP="005B59FC">
      <w:pPr>
        <w:pStyle w:val="TableNotitle"/>
        <w:spacing w:before="120"/>
      </w:pPr>
      <w:r w:rsidRPr="00A910E2">
        <w:t>Séminaires régionaux des radiocommunications de l'UIT (2020-2023)</w:t>
      </w:r>
    </w:p>
    <w:tbl>
      <w:tblPr>
        <w:tblStyle w:val="TableGrid"/>
        <w:tblW w:w="5000" w:type="pct"/>
        <w:jc w:val="center"/>
        <w:tblLayout w:type="fixed"/>
        <w:tblLook w:val="04A0" w:firstRow="1" w:lastRow="0" w:firstColumn="1" w:lastColumn="0" w:noHBand="0" w:noVBand="1"/>
      </w:tblPr>
      <w:tblGrid>
        <w:gridCol w:w="2263"/>
        <w:gridCol w:w="1418"/>
        <w:gridCol w:w="1136"/>
        <w:gridCol w:w="1555"/>
        <w:gridCol w:w="2691"/>
        <w:gridCol w:w="2129"/>
        <w:gridCol w:w="850"/>
        <w:gridCol w:w="1281"/>
        <w:gridCol w:w="1238"/>
      </w:tblGrid>
      <w:tr w:rsidR="005B59FC" w:rsidRPr="00A910E2" w14:paraId="0440E102" w14:textId="77777777" w:rsidTr="00D21486">
        <w:trPr>
          <w:tblHeader/>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5622F138" w14:textId="77777777" w:rsidR="005B59FC" w:rsidRPr="00A910E2" w:rsidRDefault="005B59FC" w:rsidP="00D21486">
            <w:pPr>
              <w:pStyle w:val="Tablehead"/>
              <w:rPr>
                <w:sz w:val="18"/>
                <w:szCs w:val="18"/>
              </w:rPr>
            </w:pPr>
            <w:r w:rsidRPr="00A910E2">
              <w:rPr>
                <w:sz w:val="18"/>
                <w:szCs w:val="18"/>
              </w:rPr>
              <w:t>Date</w:t>
            </w:r>
          </w:p>
        </w:tc>
        <w:tc>
          <w:tcPr>
            <w:tcW w:w="487" w:type="pct"/>
            <w:tcBorders>
              <w:top w:val="single" w:sz="4" w:space="0" w:color="auto"/>
              <w:left w:val="single" w:sz="4" w:space="0" w:color="auto"/>
              <w:bottom w:val="single" w:sz="4" w:space="0" w:color="auto"/>
              <w:right w:val="single" w:sz="4" w:space="0" w:color="auto"/>
            </w:tcBorders>
            <w:vAlign w:val="center"/>
            <w:hideMark/>
          </w:tcPr>
          <w:p w14:paraId="158CDF31" w14:textId="77777777" w:rsidR="005B59FC" w:rsidRPr="00A910E2" w:rsidRDefault="005B59FC" w:rsidP="00D21486">
            <w:pPr>
              <w:pStyle w:val="Tablehead"/>
              <w:rPr>
                <w:sz w:val="18"/>
                <w:szCs w:val="18"/>
              </w:rPr>
            </w:pPr>
            <w:r w:rsidRPr="00A910E2">
              <w:rPr>
                <w:sz w:val="18"/>
                <w:szCs w:val="18"/>
              </w:rPr>
              <w:t>RRS</w:t>
            </w:r>
          </w:p>
        </w:tc>
        <w:tc>
          <w:tcPr>
            <w:tcW w:w="390" w:type="pct"/>
            <w:tcBorders>
              <w:top w:val="single" w:sz="4" w:space="0" w:color="auto"/>
              <w:left w:val="single" w:sz="4" w:space="0" w:color="auto"/>
              <w:bottom w:val="single" w:sz="4" w:space="0" w:color="auto"/>
              <w:right w:val="single" w:sz="4" w:space="0" w:color="auto"/>
            </w:tcBorders>
            <w:vAlign w:val="center"/>
            <w:hideMark/>
          </w:tcPr>
          <w:p w14:paraId="585B1937" w14:textId="77777777" w:rsidR="005B59FC" w:rsidRPr="00A910E2" w:rsidRDefault="005B59FC" w:rsidP="00D21486">
            <w:pPr>
              <w:pStyle w:val="Tablehead"/>
              <w:rPr>
                <w:sz w:val="18"/>
                <w:szCs w:val="18"/>
              </w:rPr>
            </w:pPr>
            <w:r w:rsidRPr="00A910E2">
              <w:rPr>
                <w:sz w:val="18"/>
                <w:szCs w:val="18"/>
              </w:rPr>
              <w:t>Lieu</w:t>
            </w:r>
          </w:p>
        </w:tc>
        <w:tc>
          <w:tcPr>
            <w:tcW w:w="534" w:type="pct"/>
            <w:tcBorders>
              <w:top w:val="single" w:sz="4" w:space="0" w:color="auto"/>
              <w:left w:val="single" w:sz="4" w:space="0" w:color="auto"/>
              <w:bottom w:val="single" w:sz="4" w:space="0" w:color="auto"/>
              <w:right w:val="single" w:sz="4" w:space="0" w:color="auto"/>
            </w:tcBorders>
            <w:vAlign w:val="center"/>
            <w:hideMark/>
          </w:tcPr>
          <w:p w14:paraId="39E33895" w14:textId="77777777" w:rsidR="005B59FC" w:rsidRPr="00A910E2" w:rsidRDefault="005B59FC" w:rsidP="00D21486">
            <w:pPr>
              <w:pStyle w:val="Tablehead"/>
              <w:rPr>
                <w:sz w:val="18"/>
                <w:szCs w:val="18"/>
              </w:rPr>
            </w:pPr>
            <w:r w:rsidRPr="00A910E2">
              <w:rPr>
                <w:sz w:val="18"/>
                <w:szCs w:val="18"/>
              </w:rPr>
              <w:t>Hôte</w:t>
            </w:r>
          </w:p>
        </w:tc>
        <w:tc>
          <w:tcPr>
            <w:tcW w:w="924" w:type="pct"/>
            <w:tcBorders>
              <w:top w:val="single" w:sz="4" w:space="0" w:color="auto"/>
              <w:left w:val="single" w:sz="4" w:space="0" w:color="auto"/>
              <w:bottom w:val="single" w:sz="4" w:space="0" w:color="auto"/>
              <w:right w:val="single" w:sz="4" w:space="0" w:color="auto"/>
            </w:tcBorders>
            <w:vAlign w:val="center"/>
            <w:hideMark/>
          </w:tcPr>
          <w:p w14:paraId="5CFE91A8" w14:textId="77777777" w:rsidR="005B59FC" w:rsidRPr="00A910E2" w:rsidRDefault="005B59FC" w:rsidP="00D21486">
            <w:pPr>
              <w:pStyle w:val="Tablehead"/>
              <w:rPr>
                <w:sz w:val="18"/>
                <w:szCs w:val="18"/>
              </w:rPr>
            </w:pPr>
            <w:r w:rsidRPr="00A910E2">
              <w:rPr>
                <w:sz w:val="18"/>
                <w:szCs w:val="18"/>
              </w:rPr>
              <w:t>Coopération</w:t>
            </w:r>
          </w:p>
        </w:tc>
        <w:tc>
          <w:tcPr>
            <w:tcW w:w="731" w:type="pct"/>
            <w:tcBorders>
              <w:top w:val="single" w:sz="4" w:space="0" w:color="auto"/>
              <w:left w:val="single" w:sz="4" w:space="0" w:color="auto"/>
              <w:bottom w:val="single" w:sz="4" w:space="0" w:color="auto"/>
              <w:right w:val="single" w:sz="4" w:space="0" w:color="auto"/>
            </w:tcBorders>
            <w:vAlign w:val="center"/>
            <w:hideMark/>
          </w:tcPr>
          <w:p w14:paraId="2D26B898" w14:textId="77777777" w:rsidR="005B59FC" w:rsidRPr="00A910E2" w:rsidRDefault="005B59FC" w:rsidP="00D21486">
            <w:pPr>
              <w:pStyle w:val="Tablehead"/>
              <w:rPr>
                <w:sz w:val="18"/>
                <w:szCs w:val="18"/>
              </w:rPr>
            </w:pPr>
            <w:r w:rsidRPr="00A910E2">
              <w:rPr>
                <w:sz w:val="18"/>
                <w:szCs w:val="18"/>
              </w:rPr>
              <w:t>Thèmes du forum</w:t>
            </w:r>
          </w:p>
        </w:tc>
        <w:tc>
          <w:tcPr>
            <w:tcW w:w="292" w:type="pct"/>
            <w:tcBorders>
              <w:top w:val="single" w:sz="4" w:space="0" w:color="auto"/>
              <w:left w:val="single" w:sz="4" w:space="0" w:color="auto"/>
              <w:bottom w:val="single" w:sz="4" w:space="0" w:color="auto"/>
              <w:right w:val="single" w:sz="4" w:space="0" w:color="auto"/>
            </w:tcBorders>
            <w:vAlign w:val="center"/>
            <w:hideMark/>
          </w:tcPr>
          <w:p w14:paraId="41845B89" w14:textId="77777777" w:rsidR="005B59FC" w:rsidRPr="00A910E2" w:rsidRDefault="005B59FC" w:rsidP="00D21486">
            <w:pPr>
              <w:pStyle w:val="Tablehead"/>
              <w:rPr>
                <w:sz w:val="18"/>
                <w:szCs w:val="18"/>
              </w:rPr>
            </w:pPr>
            <w:r w:rsidRPr="00A910E2">
              <w:rPr>
                <w:sz w:val="18"/>
                <w:szCs w:val="18"/>
              </w:rPr>
              <w:t>Langue</w:t>
            </w:r>
          </w:p>
        </w:tc>
        <w:tc>
          <w:tcPr>
            <w:tcW w:w="440" w:type="pct"/>
            <w:tcBorders>
              <w:top w:val="single" w:sz="4" w:space="0" w:color="auto"/>
              <w:left w:val="single" w:sz="4" w:space="0" w:color="auto"/>
              <w:bottom w:val="single" w:sz="4" w:space="0" w:color="auto"/>
              <w:right w:val="single" w:sz="4" w:space="0" w:color="auto"/>
            </w:tcBorders>
            <w:vAlign w:val="center"/>
            <w:hideMark/>
          </w:tcPr>
          <w:p w14:paraId="0DB87914" w14:textId="77777777" w:rsidR="005B59FC" w:rsidRPr="00A910E2" w:rsidRDefault="005B59FC" w:rsidP="00D21486">
            <w:pPr>
              <w:pStyle w:val="Tablehead"/>
              <w:tabs>
                <w:tab w:val="clear" w:pos="1418"/>
              </w:tabs>
              <w:ind w:left="-106" w:right="-105"/>
              <w:rPr>
                <w:sz w:val="18"/>
                <w:szCs w:val="18"/>
              </w:rPr>
            </w:pPr>
            <w:r w:rsidRPr="00A910E2">
              <w:rPr>
                <w:sz w:val="18"/>
                <w:szCs w:val="18"/>
              </w:rPr>
              <w:t>Participants/</w:t>
            </w:r>
            <w:r w:rsidRPr="00A910E2">
              <w:rPr>
                <w:sz w:val="18"/>
                <w:szCs w:val="18"/>
              </w:rPr>
              <w:br/>
              <w:t>administrations</w:t>
            </w:r>
          </w:p>
        </w:tc>
        <w:tc>
          <w:tcPr>
            <w:tcW w:w="425" w:type="pct"/>
            <w:tcBorders>
              <w:top w:val="single" w:sz="4" w:space="0" w:color="auto"/>
              <w:left w:val="single" w:sz="4" w:space="0" w:color="auto"/>
              <w:bottom w:val="single" w:sz="4" w:space="0" w:color="auto"/>
              <w:right w:val="single" w:sz="4" w:space="0" w:color="auto"/>
            </w:tcBorders>
          </w:tcPr>
          <w:p w14:paraId="7909B3BA" w14:textId="77777777" w:rsidR="005B59FC" w:rsidRPr="00A910E2" w:rsidRDefault="005B59FC" w:rsidP="00D21486">
            <w:pPr>
              <w:pStyle w:val="Tablehead"/>
              <w:rPr>
                <w:sz w:val="18"/>
                <w:szCs w:val="18"/>
              </w:rPr>
            </w:pPr>
            <w:r w:rsidRPr="00A910E2">
              <w:rPr>
                <w:sz w:val="18"/>
                <w:szCs w:val="18"/>
              </w:rPr>
              <w:t>Bourses</w:t>
            </w:r>
          </w:p>
        </w:tc>
      </w:tr>
      <w:tr w:rsidR="005B59FC" w:rsidRPr="00A910E2" w14:paraId="77BBD27E" w14:textId="77777777" w:rsidTr="00D21486">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04B5B6" w14:textId="77777777" w:rsidR="005B59FC" w:rsidRPr="00A910E2" w:rsidRDefault="005B59FC" w:rsidP="00D21486">
            <w:pPr>
              <w:pStyle w:val="Tabletext"/>
              <w:spacing w:before="120" w:after="120"/>
              <w:jc w:val="center"/>
              <w:rPr>
                <w:b/>
                <w:bCs/>
                <w:sz w:val="18"/>
                <w:szCs w:val="18"/>
              </w:rPr>
            </w:pPr>
            <w:r w:rsidRPr="00A910E2">
              <w:rPr>
                <w:b/>
                <w:bCs/>
                <w:sz w:val="18"/>
                <w:szCs w:val="18"/>
              </w:rPr>
              <w:t>2020</w:t>
            </w:r>
          </w:p>
        </w:tc>
      </w:tr>
      <w:tr w:rsidR="005B59FC" w:rsidRPr="00A910E2" w14:paraId="0B339CB6"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7B8721A2" w14:textId="77777777" w:rsidR="005B59FC" w:rsidRPr="00A910E2" w:rsidRDefault="005B59FC" w:rsidP="00D21486">
            <w:pPr>
              <w:pStyle w:val="Tabletext"/>
              <w:rPr>
                <w:sz w:val="18"/>
                <w:szCs w:val="18"/>
              </w:rPr>
            </w:pPr>
            <w:r w:rsidRPr="00A910E2">
              <w:rPr>
                <w:sz w:val="18"/>
                <w:szCs w:val="18"/>
              </w:rPr>
              <w:t>13-24 juillet 2020</w:t>
            </w:r>
          </w:p>
        </w:tc>
        <w:tc>
          <w:tcPr>
            <w:tcW w:w="487" w:type="pct"/>
            <w:tcBorders>
              <w:top w:val="single" w:sz="4" w:space="0" w:color="auto"/>
              <w:left w:val="single" w:sz="4" w:space="0" w:color="auto"/>
              <w:bottom w:val="single" w:sz="4" w:space="0" w:color="auto"/>
              <w:right w:val="single" w:sz="4" w:space="0" w:color="auto"/>
            </w:tcBorders>
            <w:vAlign w:val="center"/>
            <w:hideMark/>
          </w:tcPr>
          <w:p w14:paraId="0A22396B" w14:textId="77777777" w:rsidR="005B59FC" w:rsidRPr="00A910E2" w:rsidRDefault="005B59FC" w:rsidP="00D21486">
            <w:pPr>
              <w:pStyle w:val="Tabletext"/>
              <w:rPr>
                <w:b/>
                <w:bCs/>
                <w:sz w:val="18"/>
                <w:szCs w:val="18"/>
              </w:rPr>
            </w:pPr>
            <w:r w:rsidRPr="00A910E2">
              <w:rPr>
                <w:b/>
                <w:bCs/>
                <w:sz w:val="18"/>
                <w:szCs w:val="18"/>
              </w:rPr>
              <w:t>RRS-20-Amériques</w:t>
            </w:r>
          </w:p>
        </w:tc>
        <w:tc>
          <w:tcPr>
            <w:tcW w:w="390" w:type="pct"/>
            <w:tcBorders>
              <w:top w:val="single" w:sz="4" w:space="0" w:color="auto"/>
              <w:left w:val="single" w:sz="4" w:space="0" w:color="auto"/>
              <w:bottom w:val="single" w:sz="4" w:space="0" w:color="auto"/>
              <w:right w:val="single" w:sz="4" w:space="0" w:color="auto"/>
            </w:tcBorders>
            <w:vAlign w:val="center"/>
            <w:hideMark/>
          </w:tcPr>
          <w:p w14:paraId="5E017132" w14:textId="77777777" w:rsidR="005B59FC" w:rsidRPr="00A910E2" w:rsidRDefault="005B59FC" w:rsidP="00D21486">
            <w:pPr>
              <w:pStyle w:val="Tabletext"/>
              <w:jc w:val="center"/>
              <w:rPr>
                <w:bCs/>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78607542" w14:textId="77777777" w:rsidR="005B59FC" w:rsidRPr="00A910E2" w:rsidRDefault="005B59FC" w:rsidP="00D21486">
            <w:pPr>
              <w:pStyle w:val="Tabletext"/>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277F6CF9" w14:textId="77777777" w:rsidR="005B59FC" w:rsidRPr="00A910E2" w:rsidRDefault="005B59FC" w:rsidP="00D21486">
            <w:pPr>
              <w:pStyle w:val="Tabletext"/>
              <w:jc w:val="center"/>
              <w:rPr>
                <w:sz w:val="18"/>
                <w:szCs w:val="18"/>
              </w:rPr>
            </w:pPr>
            <w:r w:rsidRPr="00A910E2">
              <w:rPr>
                <w:sz w:val="18"/>
                <w:szCs w:val="18"/>
              </w:rPr>
              <w:t>Union des télécommunications des Caraïbes (CTU)</w:t>
            </w:r>
          </w:p>
          <w:p w14:paraId="5E845A02" w14:textId="77777777" w:rsidR="005B59FC" w:rsidRPr="00A910E2" w:rsidRDefault="005B59FC" w:rsidP="00D21486">
            <w:pPr>
              <w:pStyle w:val="Tabletext"/>
              <w:jc w:val="center"/>
              <w:rPr>
                <w:sz w:val="18"/>
                <w:szCs w:val="18"/>
              </w:rPr>
            </w:pPr>
            <w:r w:rsidRPr="00A910E2">
              <w:rPr>
                <w:sz w:val="18"/>
                <w:szCs w:val="18"/>
              </w:rPr>
              <w:t>Bureau de l'UIT pour la région Amériques</w:t>
            </w:r>
          </w:p>
        </w:tc>
        <w:tc>
          <w:tcPr>
            <w:tcW w:w="731" w:type="pct"/>
            <w:tcBorders>
              <w:top w:val="single" w:sz="4" w:space="0" w:color="auto"/>
              <w:left w:val="single" w:sz="4" w:space="0" w:color="auto"/>
              <w:bottom w:val="single" w:sz="4" w:space="0" w:color="auto"/>
              <w:right w:val="single" w:sz="4" w:space="0" w:color="auto"/>
            </w:tcBorders>
            <w:vAlign w:val="center"/>
            <w:hideMark/>
          </w:tcPr>
          <w:p w14:paraId="167DD87E" w14:textId="77777777" w:rsidR="005B59FC" w:rsidRPr="00A910E2" w:rsidRDefault="005B59FC" w:rsidP="00D21486">
            <w:pPr>
              <w:pStyle w:val="Tabletext"/>
              <w:jc w:val="center"/>
              <w:rPr>
                <w:sz w:val="18"/>
                <w:szCs w:val="18"/>
              </w:rPr>
            </w:pPr>
            <w:r w:rsidRPr="00A910E2">
              <w:rPr>
                <w:sz w:val="18"/>
                <w:szCs w:val="18"/>
              </w:rPr>
              <w:t>Résultats de la CMR-19: enjeux et perspectives pour la région</w:t>
            </w:r>
          </w:p>
        </w:tc>
        <w:tc>
          <w:tcPr>
            <w:tcW w:w="292" w:type="pct"/>
            <w:tcBorders>
              <w:top w:val="single" w:sz="4" w:space="0" w:color="auto"/>
              <w:left w:val="single" w:sz="4" w:space="0" w:color="auto"/>
              <w:bottom w:val="single" w:sz="4" w:space="0" w:color="auto"/>
              <w:right w:val="single" w:sz="4" w:space="0" w:color="auto"/>
            </w:tcBorders>
            <w:vAlign w:val="center"/>
            <w:hideMark/>
          </w:tcPr>
          <w:p w14:paraId="74E72479" w14:textId="77777777" w:rsidR="005B59FC" w:rsidRPr="00A910E2" w:rsidRDefault="005B59FC" w:rsidP="00D21486">
            <w:pPr>
              <w:pStyle w:val="Tabletext"/>
              <w:jc w:val="center"/>
              <w:rPr>
                <w:sz w:val="18"/>
                <w:szCs w:val="18"/>
              </w:rPr>
            </w:pPr>
            <w:r w:rsidRPr="00A910E2">
              <w:rPr>
                <w:sz w:val="18"/>
                <w:szCs w:val="18"/>
              </w:rPr>
              <w:t>E</w:t>
            </w:r>
          </w:p>
        </w:tc>
        <w:tc>
          <w:tcPr>
            <w:tcW w:w="440" w:type="pct"/>
            <w:tcBorders>
              <w:top w:val="single" w:sz="4" w:space="0" w:color="auto"/>
              <w:left w:val="single" w:sz="4" w:space="0" w:color="auto"/>
              <w:bottom w:val="single" w:sz="4" w:space="0" w:color="auto"/>
              <w:right w:val="single" w:sz="4" w:space="0" w:color="auto"/>
            </w:tcBorders>
            <w:vAlign w:val="center"/>
            <w:hideMark/>
          </w:tcPr>
          <w:p w14:paraId="626F39D4" w14:textId="77777777" w:rsidR="005B59FC" w:rsidRPr="00A910E2" w:rsidRDefault="005B59FC" w:rsidP="00D21486">
            <w:pPr>
              <w:pStyle w:val="Tabletext"/>
              <w:jc w:val="center"/>
              <w:rPr>
                <w:sz w:val="18"/>
                <w:szCs w:val="18"/>
              </w:rPr>
            </w:pPr>
            <w:r w:rsidRPr="00A910E2">
              <w:rPr>
                <w:sz w:val="18"/>
                <w:szCs w:val="18"/>
              </w:rPr>
              <w:t>350/38</w:t>
            </w:r>
          </w:p>
        </w:tc>
        <w:tc>
          <w:tcPr>
            <w:tcW w:w="425" w:type="pct"/>
            <w:tcBorders>
              <w:top w:val="single" w:sz="4" w:space="0" w:color="auto"/>
              <w:left w:val="single" w:sz="4" w:space="0" w:color="auto"/>
              <w:bottom w:val="single" w:sz="4" w:space="0" w:color="auto"/>
              <w:right w:val="single" w:sz="4" w:space="0" w:color="auto"/>
            </w:tcBorders>
            <w:vAlign w:val="center"/>
          </w:tcPr>
          <w:p w14:paraId="600A6E3A" w14:textId="77777777" w:rsidR="005B59FC" w:rsidRPr="00A910E2" w:rsidDel="00203E0B" w:rsidRDefault="005B59FC" w:rsidP="00D21486">
            <w:pPr>
              <w:pStyle w:val="Tabletext"/>
              <w:jc w:val="center"/>
              <w:rPr>
                <w:sz w:val="18"/>
                <w:szCs w:val="18"/>
              </w:rPr>
            </w:pPr>
            <w:r w:rsidRPr="00A910E2">
              <w:rPr>
                <w:sz w:val="18"/>
                <w:szCs w:val="18"/>
              </w:rPr>
              <w:t>S/O</w:t>
            </w:r>
          </w:p>
        </w:tc>
      </w:tr>
      <w:tr w:rsidR="005B59FC" w:rsidRPr="00A910E2" w14:paraId="386D0F04"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560FAC56" w14:textId="77777777" w:rsidR="005B59FC" w:rsidRPr="00A910E2" w:rsidRDefault="005B59FC" w:rsidP="00D21486">
            <w:pPr>
              <w:pStyle w:val="Tabletext"/>
              <w:rPr>
                <w:sz w:val="18"/>
                <w:szCs w:val="18"/>
              </w:rPr>
            </w:pPr>
            <w:r w:rsidRPr="00A910E2">
              <w:rPr>
                <w:sz w:val="18"/>
                <w:szCs w:val="18"/>
              </w:rPr>
              <w:t>19-30 octobre 2020</w:t>
            </w:r>
          </w:p>
        </w:tc>
        <w:tc>
          <w:tcPr>
            <w:tcW w:w="487" w:type="pct"/>
            <w:tcBorders>
              <w:top w:val="single" w:sz="4" w:space="0" w:color="auto"/>
              <w:left w:val="single" w:sz="4" w:space="0" w:color="auto"/>
              <w:bottom w:val="single" w:sz="4" w:space="0" w:color="auto"/>
              <w:right w:val="single" w:sz="4" w:space="0" w:color="auto"/>
            </w:tcBorders>
            <w:vAlign w:val="center"/>
            <w:hideMark/>
          </w:tcPr>
          <w:p w14:paraId="32533E41" w14:textId="77777777" w:rsidR="005B59FC" w:rsidRPr="00A910E2" w:rsidRDefault="005B59FC" w:rsidP="00D21486">
            <w:pPr>
              <w:pStyle w:val="Tabletext"/>
              <w:rPr>
                <w:b/>
                <w:bCs/>
                <w:sz w:val="18"/>
                <w:szCs w:val="18"/>
              </w:rPr>
            </w:pPr>
            <w:r w:rsidRPr="00A910E2">
              <w:rPr>
                <w:b/>
                <w:bCs/>
                <w:sz w:val="18"/>
                <w:szCs w:val="18"/>
              </w:rPr>
              <w:t>RRS-20-Asie</w:t>
            </w:r>
            <w:r w:rsidRPr="00A910E2">
              <w:rPr>
                <w:b/>
                <w:bCs/>
                <w:sz w:val="18"/>
                <w:szCs w:val="18"/>
              </w:rPr>
              <w:noBreakHyphen/>
              <w:t>Pacifique</w:t>
            </w:r>
          </w:p>
        </w:tc>
        <w:tc>
          <w:tcPr>
            <w:tcW w:w="390" w:type="pct"/>
            <w:tcBorders>
              <w:top w:val="single" w:sz="4" w:space="0" w:color="auto"/>
              <w:left w:val="single" w:sz="4" w:space="0" w:color="auto"/>
              <w:bottom w:val="single" w:sz="4" w:space="0" w:color="auto"/>
              <w:right w:val="single" w:sz="4" w:space="0" w:color="auto"/>
            </w:tcBorders>
            <w:vAlign w:val="center"/>
            <w:hideMark/>
          </w:tcPr>
          <w:p w14:paraId="3E880361" w14:textId="77777777" w:rsidR="005B59FC" w:rsidRPr="00A910E2" w:rsidRDefault="005B59FC" w:rsidP="00D21486">
            <w:pPr>
              <w:pStyle w:val="Tabletext"/>
              <w:jc w:val="center"/>
              <w:rPr>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02F669D2" w14:textId="77777777" w:rsidR="005B59FC" w:rsidRPr="00A910E2" w:rsidRDefault="005B59FC" w:rsidP="00D21486">
            <w:pPr>
              <w:pStyle w:val="Tabletext"/>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42465F00" w14:textId="77777777" w:rsidR="005B59FC" w:rsidRPr="00A910E2" w:rsidRDefault="005B59FC" w:rsidP="00D21486">
            <w:pPr>
              <w:pStyle w:val="Tabletext"/>
              <w:jc w:val="center"/>
              <w:rPr>
                <w:sz w:val="18"/>
                <w:szCs w:val="18"/>
              </w:rPr>
            </w:pPr>
            <w:r w:rsidRPr="00A910E2">
              <w:rPr>
                <w:sz w:val="18"/>
                <w:szCs w:val="18"/>
              </w:rPr>
              <w:t>Télécommunauté Asie-Pacifique (APT)</w:t>
            </w:r>
          </w:p>
          <w:p w14:paraId="20B7684F" w14:textId="77777777" w:rsidR="005B59FC" w:rsidRPr="00A910E2" w:rsidRDefault="005B59FC" w:rsidP="00D21486">
            <w:pPr>
              <w:pStyle w:val="Tabletext"/>
              <w:jc w:val="center"/>
              <w:rPr>
                <w:sz w:val="18"/>
                <w:szCs w:val="18"/>
              </w:rPr>
            </w:pPr>
            <w:r w:rsidRPr="00A910E2">
              <w:rPr>
                <w:sz w:val="18"/>
                <w:szCs w:val="18"/>
              </w:rPr>
              <w:t>Bureau de l'UIT pour la région Asie</w:t>
            </w:r>
            <w:r w:rsidRPr="00A910E2">
              <w:rPr>
                <w:sz w:val="18"/>
                <w:szCs w:val="18"/>
              </w:rPr>
              <w:noBreakHyphen/>
              <w:t>Pacifique</w:t>
            </w:r>
          </w:p>
        </w:tc>
        <w:tc>
          <w:tcPr>
            <w:tcW w:w="731" w:type="pct"/>
            <w:tcBorders>
              <w:top w:val="single" w:sz="4" w:space="0" w:color="auto"/>
              <w:left w:val="single" w:sz="4" w:space="0" w:color="auto"/>
              <w:bottom w:val="single" w:sz="4" w:space="0" w:color="auto"/>
              <w:right w:val="single" w:sz="4" w:space="0" w:color="auto"/>
            </w:tcBorders>
            <w:vAlign w:val="center"/>
            <w:hideMark/>
          </w:tcPr>
          <w:p w14:paraId="372958FF" w14:textId="77777777" w:rsidR="005B59FC" w:rsidRPr="00A910E2" w:rsidRDefault="005B59FC" w:rsidP="00D21486">
            <w:pPr>
              <w:pStyle w:val="Tabletext"/>
              <w:jc w:val="center"/>
              <w:rPr>
                <w:sz w:val="18"/>
                <w:szCs w:val="18"/>
              </w:rPr>
            </w:pPr>
            <w:r w:rsidRPr="00A910E2">
              <w:rPr>
                <w:sz w:val="18"/>
                <w:szCs w:val="18"/>
              </w:rPr>
              <w:t>Résultats de la CMR-19: enjeux et perspectives pour la région</w:t>
            </w:r>
          </w:p>
        </w:tc>
        <w:tc>
          <w:tcPr>
            <w:tcW w:w="292" w:type="pct"/>
            <w:tcBorders>
              <w:top w:val="single" w:sz="4" w:space="0" w:color="auto"/>
              <w:left w:val="single" w:sz="4" w:space="0" w:color="auto"/>
              <w:bottom w:val="single" w:sz="4" w:space="0" w:color="auto"/>
              <w:right w:val="single" w:sz="4" w:space="0" w:color="auto"/>
            </w:tcBorders>
            <w:vAlign w:val="center"/>
            <w:hideMark/>
          </w:tcPr>
          <w:p w14:paraId="4847EE40" w14:textId="77777777" w:rsidR="005B59FC" w:rsidRPr="00A910E2" w:rsidRDefault="005B59FC" w:rsidP="00D21486">
            <w:pPr>
              <w:pStyle w:val="Tabletext"/>
              <w:jc w:val="center"/>
              <w:rPr>
                <w:sz w:val="18"/>
                <w:szCs w:val="18"/>
              </w:rPr>
            </w:pPr>
            <w:r w:rsidRPr="00A910E2">
              <w:rPr>
                <w:sz w:val="18"/>
                <w:szCs w:val="18"/>
              </w:rPr>
              <w:t>E</w:t>
            </w:r>
          </w:p>
        </w:tc>
        <w:tc>
          <w:tcPr>
            <w:tcW w:w="440" w:type="pct"/>
            <w:tcBorders>
              <w:top w:val="single" w:sz="4" w:space="0" w:color="auto"/>
              <w:left w:val="single" w:sz="4" w:space="0" w:color="auto"/>
              <w:bottom w:val="single" w:sz="4" w:space="0" w:color="auto"/>
              <w:right w:val="single" w:sz="4" w:space="0" w:color="auto"/>
            </w:tcBorders>
            <w:vAlign w:val="center"/>
            <w:hideMark/>
          </w:tcPr>
          <w:p w14:paraId="0A8BEF43" w14:textId="77777777" w:rsidR="005B59FC" w:rsidRPr="00A910E2" w:rsidRDefault="005B59FC" w:rsidP="00D21486">
            <w:pPr>
              <w:pStyle w:val="Tabletext"/>
              <w:jc w:val="center"/>
              <w:rPr>
                <w:sz w:val="18"/>
                <w:szCs w:val="18"/>
              </w:rPr>
            </w:pPr>
            <w:r w:rsidRPr="00A910E2">
              <w:rPr>
                <w:sz w:val="18"/>
                <w:szCs w:val="18"/>
              </w:rPr>
              <w:t>300/30</w:t>
            </w:r>
          </w:p>
        </w:tc>
        <w:tc>
          <w:tcPr>
            <w:tcW w:w="425" w:type="pct"/>
            <w:tcBorders>
              <w:top w:val="single" w:sz="4" w:space="0" w:color="auto"/>
              <w:left w:val="single" w:sz="4" w:space="0" w:color="auto"/>
              <w:bottom w:val="single" w:sz="4" w:space="0" w:color="auto"/>
              <w:right w:val="single" w:sz="4" w:space="0" w:color="auto"/>
            </w:tcBorders>
            <w:vAlign w:val="center"/>
          </w:tcPr>
          <w:p w14:paraId="356680EF" w14:textId="77777777" w:rsidR="005B59FC" w:rsidRPr="00A910E2" w:rsidDel="00203E0B" w:rsidRDefault="005B59FC" w:rsidP="00D21486">
            <w:pPr>
              <w:pStyle w:val="Tabletext"/>
              <w:jc w:val="center"/>
              <w:rPr>
                <w:sz w:val="18"/>
                <w:szCs w:val="18"/>
              </w:rPr>
            </w:pPr>
            <w:r w:rsidRPr="00A910E2">
              <w:rPr>
                <w:sz w:val="18"/>
                <w:szCs w:val="18"/>
              </w:rPr>
              <w:t>S/O</w:t>
            </w:r>
          </w:p>
        </w:tc>
      </w:tr>
      <w:tr w:rsidR="005B59FC" w:rsidRPr="00A910E2" w14:paraId="6F61ECB1" w14:textId="77777777" w:rsidTr="00D21486">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E5DD27" w14:textId="77777777" w:rsidR="005B59FC" w:rsidRPr="00A910E2" w:rsidRDefault="005B59FC" w:rsidP="00D21486">
            <w:pPr>
              <w:pStyle w:val="Tabletext"/>
              <w:spacing w:before="120" w:after="120"/>
              <w:jc w:val="center"/>
              <w:rPr>
                <w:b/>
                <w:bCs/>
                <w:sz w:val="18"/>
                <w:szCs w:val="18"/>
              </w:rPr>
            </w:pPr>
            <w:r w:rsidRPr="00A910E2">
              <w:rPr>
                <w:b/>
                <w:bCs/>
                <w:sz w:val="18"/>
                <w:szCs w:val="18"/>
              </w:rPr>
              <w:t>2021</w:t>
            </w:r>
          </w:p>
        </w:tc>
      </w:tr>
      <w:tr w:rsidR="005B59FC" w:rsidRPr="00A910E2" w14:paraId="58C68B3B"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1AC2461A" w14:textId="77777777" w:rsidR="005B59FC" w:rsidRPr="00A910E2" w:rsidRDefault="005B59FC" w:rsidP="00D21486">
            <w:pPr>
              <w:pStyle w:val="Tabletext"/>
              <w:rPr>
                <w:sz w:val="18"/>
                <w:szCs w:val="18"/>
              </w:rPr>
            </w:pPr>
            <w:r w:rsidRPr="00A910E2">
              <w:rPr>
                <w:sz w:val="18"/>
                <w:szCs w:val="18"/>
              </w:rPr>
              <w:t>26 avril – 7 mai 2021</w:t>
            </w:r>
          </w:p>
        </w:tc>
        <w:tc>
          <w:tcPr>
            <w:tcW w:w="487" w:type="pct"/>
            <w:tcBorders>
              <w:top w:val="single" w:sz="4" w:space="0" w:color="auto"/>
              <w:left w:val="single" w:sz="4" w:space="0" w:color="auto"/>
              <w:bottom w:val="single" w:sz="4" w:space="0" w:color="auto"/>
              <w:right w:val="single" w:sz="4" w:space="0" w:color="auto"/>
            </w:tcBorders>
            <w:vAlign w:val="center"/>
            <w:hideMark/>
          </w:tcPr>
          <w:p w14:paraId="2A081A67" w14:textId="77777777" w:rsidR="005B59FC" w:rsidRPr="00A910E2" w:rsidRDefault="005B59FC" w:rsidP="00D21486">
            <w:pPr>
              <w:pStyle w:val="Tabletext"/>
              <w:rPr>
                <w:b/>
                <w:bCs/>
                <w:sz w:val="18"/>
                <w:szCs w:val="18"/>
              </w:rPr>
            </w:pPr>
            <w:r w:rsidRPr="00A910E2">
              <w:rPr>
                <w:b/>
                <w:bCs/>
                <w:sz w:val="18"/>
                <w:szCs w:val="18"/>
              </w:rPr>
              <w:t>RRS-21-Amériques</w:t>
            </w:r>
          </w:p>
        </w:tc>
        <w:tc>
          <w:tcPr>
            <w:tcW w:w="390" w:type="pct"/>
            <w:tcBorders>
              <w:top w:val="single" w:sz="4" w:space="0" w:color="auto"/>
              <w:left w:val="single" w:sz="4" w:space="0" w:color="auto"/>
              <w:bottom w:val="single" w:sz="4" w:space="0" w:color="auto"/>
              <w:right w:val="single" w:sz="4" w:space="0" w:color="auto"/>
            </w:tcBorders>
            <w:vAlign w:val="center"/>
            <w:hideMark/>
          </w:tcPr>
          <w:p w14:paraId="13E9BBC9" w14:textId="77777777" w:rsidR="005B59FC" w:rsidRPr="00A910E2" w:rsidRDefault="005B59FC" w:rsidP="00D21486">
            <w:pPr>
              <w:pStyle w:val="Tabletext"/>
              <w:jc w:val="center"/>
              <w:rPr>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08D5C3BF" w14:textId="77777777" w:rsidR="005B59FC" w:rsidRPr="00A910E2" w:rsidRDefault="005B59FC" w:rsidP="00D21486">
            <w:pPr>
              <w:pStyle w:val="Tabletext"/>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0BC332EF" w14:textId="77777777" w:rsidR="005B59FC" w:rsidRPr="00A910E2" w:rsidRDefault="005B59FC" w:rsidP="00D21486">
            <w:pPr>
              <w:pStyle w:val="Tabletext"/>
              <w:jc w:val="center"/>
              <w:rPr>
                <w:sz w:val="18"/>
                <w:szCs w:val="18"/>
              </w:rPr>
            </w:pPr>
            <w:r w:rsidRPr="00A910E2">
              <w:rPr>
                <w:sz w:val="18"/>
                <w:szCs w:val="18"/>
              </w:rPr>
              <w:t>Commission interaméricaine des télécommunications (CITEL)</w:t>
            </w:r>
          </w:p>
          <w:p w14:paraId="5A85A54F" w14:textId="77777777" w:rsidR="005B59FC" w:rsidRPr="00A910E2" w:rsidRDefault="005B59FC" w:rsidP="00D21486">
            <w:pPr>
              <w:pStyle w:val="Tabletext"/>
              <w:jc w:val="center"/>
              <w:rPr>
                <w:sz w:val="18"/>
                <w:szCs w:val="18"/>
              </w:rPr>
            </w:pPr>
            <w:r w:rsidRPr="00A910E2">
              <w:rPr>
                <w:sz w:val="18"/>
                <w:szCs w:val="18"/>
              </w:rPr>
              <w:t>Agence nationale du spectre de la Colombie (ANE)</w:t>
            </w:r>
          </w:p>
          <w:p w14:paraId="5423A12A" w14:textId="77777777" w:rsidR="005B59FC" w:rsidRPr="00A910E2" w:rsidRDefault="005B59FC" w:rsidP="00D21486">
            <w:pPr>
              <w:pStyle w:val="Tabletext"/>
              <w:jc w:val="center"/>
              <w:rPr>
                <w:sz w:val="18"/>
                <w:szCs w:val="18"/>
              </w:rPr>
            </w:pPr>
            <w:r w:rsidRPr="00A910E2">
              <w:rPr>
                <w:sz w:val="18"/>
                <w:szCs w:val="18"/>
              </w:rPr>
              <w:t>Bureau de l'UIT pour la région Amériques</w:t>
            </w:r>
          </w:p>
        </w:tc>
        <w:tc>
          <w:tcPr>
            <w:tcW w:w="731" w:type="pct"/>
            <w:tcBorders>
              <w:top w:val="single" w:sz="4" w:space="0" w:color="auto"/>
              <w:left w:val="single" w:sz="4" w:space="0" w:color="auto"/>
              <w:bottom w:val="single" w:sz="4" w:space="0" w:color="auto"/>
              <w:right w:val="single" w:sz="4" w:space="0" w:color="auto"/>
            </w:tcBorders>
            <w:vAlign w:val="center"/>
            <w:hideMark/>
          </w:tcPr>
          <w:p w14:paraId="75EA9D73" w14:textId="77777777" w:rsidR="005B59FC" w:rsidRPr="00A910E2" w:rsidRDefault="005B59FC" w:rsidP="00D21486">
            <w:pPr>
              <w:pStyle w:val="Tabletext"/>
              <w:jc w:val="center"/>
              <w:rPr>
                <w:sz w:val="18"/>
                <w:szCs w:val="18"/>
              </w:rPr>
            </w:pPr>
            <w:r w:rsidRPr="00A910E2">
              <w:rPr>
                <w:sz w:val="18"/>
                <w:szCs w:val="18"/>
              </w:rPr>
              <w:t>Gestion moderne du spectre dans la région</w:t>
            </w:r>
          </w:p>
        </w:tc>
        <w:tc>
          <w:tcPr>
            <w:tcW w:w="292" w:type="pct"/>
            <w:tcBorders>
              <w:top w:val="single" w:sz="4" w:space="0" w:color="auto"/>
              <w:left w:val="single" w:sz="4" w:space="0" w:color="auto"/>
              <w:bottom w:val="single" w:sz="4" w:space="0" w:color="auto"/>
              <w:right w:val="single" w:sz="4" w:space="0" w:color="auto"/>
            </w:tcBorders>
            <w:vAlign w:val="center"/>
            <w:hideMark/>
          </w:tcPr>
          <w:p w14:paraId="44A732C6" w14:textId="77777777" w:rsidR="005B59FC" w:rsidRPr="00A910E2" w:rsidRDefault="005B59FC" w:rsidP="00D21486">
            <w:pPr>
              <w:pStyle w:val="Tabletext"/>
              <w:jc w:val="center"/>
              <w:rPr>
                <w:sz w:val="18"/>
                <w:szCs w:val="18"/>
              </w:rPr>
            </w:pPr>
            <w:r w:rsidRPr="00A910E2">
              <w:rPr>
                <w:sz w:val="18"/>
                <w:szCs w:val="18"/>
              </w:rPr>
              <w:t>S</w:t>
            </w:r>
          </w:p>
        </w:tc>
        <w:tc>
          <w:tcPr>
            <w:tcW w:w="440" w:type="pct"/>
            <w:tcBorders>
              <w:top w:val="single" w:sz="4" w:space="0" w:color="auto"/>
              <w:left w:val="single" w:sz="4" w:space="0" w:color="auto"/>
              <w:bottom w:val="single" w:sz="4" w:space="0" w:color="auto"/>
              <w:right w:val="single" w:sz="4" w:space="0" w:color="auto"/>
            </w:tcBorders>
            <w:vAlign w:val="center"/>
            <w:hideMark/>
          </w:tcPr>
          <w:p w14:paraId="5D53A248" w14:textId="77777777" w:rsidR="005B59FC" w:rsidRPr="00A910E2" w:rsidRDefault="005B59FC" w:rsidP="00D21486">
            <w:pPr>
              <w:pStyle w:val="Tabletext"/>
              <w:jc w:val="center"/>
              <w:rPr>
                <w:sz w:val="18"/>
                <w:szCs w:val="18"/>
              </w:rPr>
            </w:pPr>
            <w:r w:rsidRPr="00A910E2">
              <w:rPr>
                <w:sz w:val="18"/>
                <w:szCs w:val="18"/>
              </w:rPr>
              <w:t>238/49</w:t>
            </w:r>
          </w:p>
        </w:tc>
        <w:tc>
          <w:tcPr>
            <w:tcW w:w="425" w:type="pct"/>
            <w:tcBorders>
              <w:top w:val="single" w:sz="4" w:space="0" w:color="auto"/>
              <w:left w:val="single" w:sz="4" w:space="0" w:color="auto"/>
              <w:bottom w:val="single" w:sz="4" w:space="0" w:color="auto"/>
              <w:right w:val="single" w:sz="4" w:space="0" w:color="auto"/>
            </w:tcBorders>
            <w:vAlign w:val="center"/>
          </w:tcPr>
          <w:p w14:paraId="6C858184" w14:textId="77777777" w:rsidR="005B59FC" w:rsidRPr="00A910E2" w:rsidDel="007F228A" w:rsidRDefault="005B59FC" w:rsidP="00D21486">
            <w:pPr>
              <w:pStyle w:val="Tabletext"/>
              <w:jc w:val="center"/>
              <w:rPr>
                <w:sz w:val="18"/>
                <w:szCs w:val="18"/>
              </w:rPr>
            </w:pPr>
            <w:r w:rsidRPr="00A910E2">
              <w:rPr>
                <w:sz w:val="18"/>
                <w:szCs w:val="18"/>
              </w:rPr>
              <w:t>S/O</w:t>
            </w:r>
          </w:p>
        </w:tc>
      </w:tr>
      <w:tr w:rsidR="005B59FC" w:rsidRPr="00A910E2" w14:paraId="6E3CCF16"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53D82E06" w14:textId="77777777" w:rsidR="005B59FC" w:rsidRPr="00A910E2" w:rsidRDefault="005B59FC" w:rsidP="00D21486">
            <w:pPr>
              <w:pStyle w:val="Tabletext"/>
              <w:rPr>
                <w:sz w:val="18"/>
                <w:szCs w:val="18"/>
              </w:rPr>
            </w:pPr>
            <w:r w:rsidRPr="00A910E2">
              <w:rPr>
                <w:sz w:val="18"/>
                <w:szCs w:val="18"/>
              </w:rPr>
              <w:t>5-16 juillet 2021</w:t>
            </w:r>
          </w:p>
        </w:tc>
        <w:tc>
          <w:tcPr>
            <w:tcW w:w="487" w:type="pct"/>
            <w:tcBorders>
              <w:top w:val="single" w:sz="4" w:space="0" w:color="auto"/>
              <w:left w:val="single" w:sz="4" w:space="0" w:color="auto"/>
              <w:bottom w:val="single" w:sz="4" w:space="0" w:color="auto"/>
              <w:right w:val="single" w:sz="4" w:space="0" w:color="auto"/>
            </w:tcBorders>
            <w:vAlign w:val="center"/>
            <w:hideMark/>
          </w:tcPr>
          <w:p w14:paraId="276A82FC" w14:textId="77777777" w:rsidR="005B59FC" w:rsidRPr="00A910E2" w:rsidRDefault="005B59FC" w:rsidP="00D21486">
            <w:pPr>
              <w:pStyle w:val="Tabletext"/>
              <w:rPr>
                <w:b/>
                <w:bCs/>
                <w:sz w:val="18"/>
                <w:szCs w:val="18"/>
              </w:rPr>
            </w:pPr>
            <w:r w:rsidRPr="00A910E2">
              <w:rPr>
                <w:b/>
                <w:bCs/>
                <w:sz w:val="18"/>
                <w:szCs w:val="18"/>
              </w:rPr>
              <w:t>RRS-21-Afrique</w:t>
            </w:r>
          </w:p>
        </w:tc>
        <w:tc>
          <w:tcPr>
            <w:tcW w:w="390" w:type="pct"/>
            <w:tcBorders>
              <w:top w:val="single" w:sz="4" w:space="0" w:color="auto"/>
              <w:left w:val="single" w:sz="4" w:space="0" w:color="auto"/>
              <w:bottom w:val="single" w:sz="4" w:space="0" w:color="auto"/>
              <w:right w:val="single" w:sz="4" w:space="0" w:color="auto"/>
            </w:tcBorders>
            <w:vAlign w:val="center"/>
            <w:hideMark/>
          </w:tcPr>
          <w:p w14:paraId="3C2FB91E" w14:textId="77777777" w:rsidR="005B59FC" w:rsidRPr="00A910E2" w:rsidRDefault="005B59FC" w:rsidP="00D21486">
            <w:pPr>
              <w:pStyle w:val="Tabletext"/>
              <w:jc w:val="center"/>
              <w:rPr>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0DDD76E3" w14:textId="77777777" w:rsidR="005B59FC" w:rsidRPr="00A910E2" w:rsidRDefault="005B59FC" w:rsidP="00D21486">
            <w:pPr>
              <w:pStyle w:val="Tabletext"/>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0426A4C8" w14:textId="77777777" w:rsidR="005B59FC" w:rsidRPr="00A910E2" w:rsidRDefault="005B59FC" w:rsidP="00D21486">
            <w:pPr>
              <w:pStyle w:val="Tabletext"/>
              <w:jc w:val="center"/>
              <w:rPr>
                <w:sz w:val="18"/>
                <w:szCs w:val="18"/>
              </w:rPr>
            </w:pPr>
            <w:r w:rsidRPr="00A910E2">
              <w:rPr>
                <w:sz w:val="18"/>
                <w:szCs w:val="18"/>
              </w:rPr>
              <w:t>Union africaine des télécommunications (UAT)</w:t>
            </w:r>
          </w:p>
          <w:p w14:paraId="598C369D" w14:textId="77777777" w:rsidR="005B59FC" w:rsidRPr="00A910E2" w:rsidRDefault="005B59FC" w:rsidP="00D21486">
            <w:pPr>
              <w:pStyle w:val="Tabletext"/>
              <w:jc w:val="center"/>
              <w:rPr>
                <w:sz w:val="18"/>
                <w:szCs w:val="18"/>
              </w:rPr>
            </w:pPr>
            <w:r w:rsidRPr="00A910E2">
              <w:rPr>
                <w:sz w:val="18"/>
                <w:szCs w:val="18"/>
              </w:rPr>
              <w:t>Bureau de l'UIT pour la région Afrique</w:t>
            </w:r>
          </w:p>
        </w:tc>
        <w:tc>
          <w:tcPr>
            <w:tcW w:w="731" w:type="pct"/>
            <w:tcBorders>
              <w:top w:val="single" w:sz="4" w:space="0" w:color="auto"/>
              <w:left w:val="single" w:sz="4" w:space="0" w:color="auto"/>
              <w:bottom w:val="single" w:sz="4" w:space="0" w:color="auto"/>
              <w:right w:val="single" w:sz="4" w:space="0" w:color="auto"/>
            </w:tcBorders>
            <w:vAlign w:val="center"/>
            <w:hideMark/>
          </w:tcPr>
          <w:p w14:paraId="73181A72" w14:textId="77777777" w:rsidR="005B59FC" w:rsidRPr="00A910E2" w:rsidRDefault="005B59FC" w:rsidP="00D21486">
            <w:pPr>
              <w:pStyle w:val="Tabletext"/>
              <w:jc w:val="center"/>
              <w:rPr>
                <w:sz w:val="18"/>
                <w:szCs w:val="18"/>
              </w:rPr>
            </w:pPr>
            <w:r w:rsidRPr="00A910E2">
              <w:rPr>
                <w:sz w:val="18"/>
                <w:szCs w:val="18"/>
              </w:rPr>
              <w:t>Tendances dans le secteur des radiocommunications: enjeux et perspectives pour la région</w:t>
            </w:r>
          </w:p>
        </w:tc>
        <w:tc>
          <w:tcPr>
            <w:tcW w:w="292" w:type="pct"/>
            <w:tcBorders>
              <w:top w:val="single" w:sz="4" w:space="0" w:color="auto"/>
              <w:left w:val="single" w:sz="4" w:space="0" w:color="auto"/>
              <w:bottom w:val="single" w:sz="4" w:space="0" w:color="auto"/>
              <w:right w:val="single" w:sz="4" w:space="0" w:color="auto"/>
            </w:tcBorders>
            <w:vAlign w:val="center"/>
            <w:hideMark/>
          </w:tcPr>
          <w:p w14:paraId="7EBB7974" w14:textId="77777777" w:rsidR="005B59FC" w:rsidRPr="00A910E2" w:rsidRDefault="005B59FC" w:rsidP="00D21486">
            <w:pPr>
              <w:pStyle w:val="Tabletext"/>
              <w:jc w:val="center"/>
              <w:rPr>
                <w:sz w:val="18"/>
                <w:szCs w:val="18"/>
              </w:rPr>
            </w:pPr>
            <w:r w:rsidRPr="00A910E2">
              <w:rPr>
                <w:sz w:val="18"/>
                <w:szCs w:val="18"/>
              </w:rPr>
              <w:t>E, F</w:t>
            </w:r>
          </w:p>
        </w:tc>
        <w:tc>
          <w:tcPr>
            <w:tcW w:w="440" w:type="pct"/>
            <w:tcBorders>
              <w:top w:val="single" w:sz="4" w:space="0" w:color="auto"/>
              <w:left w:val="single" w:sz="4" w:space="0" w:color="auto"/>
              <w:bottom w:val="single" w:sz="4" w:space="0" w:color="auto"/>
              <w:right w:val="single" w:sz="4" w:space="0" w:color="auto"/>
            </w:tcBorders>
            <w:vAlign w:val="center"/>
            <w:hideMark/>
          </w:tcPr>
          <w:p w14:paraId="792F42A9" w14:textId="77777777" w:rsidR="005B59FC" w:rsidRPr="00A910E2" w:rsidRDefault="005B59FC" w:rsidP="00D21486">
            <w:pPr>
              <w:pStyle w:val="Tabletext"/>
              <w:jc w:val="center"/>
              <w:rPr>
                <w:sz w:val="18"/>
                <w:szCs w:val="18"/>
              </w:rPr>
            </w:pPr>
            <w:r w:rsidRPr="00A910E2">
              <w:rPr>
                <w:sz w:val="18"/>
                <w:szCs w:val="18"/>
              </w:rPr>
              <w:t>217/68</w:t>
            </w:r>
          </w:p>
        </w:tc>
        <w:tc>
          <w:tcPr>
            <w:tcW w:w="425" w:type="pct"/>
            <w:tcBorders>
              <w:top w:val="single" w:sz="4" w:space="0" w:color="auto"/>
              <w:left w:val="single" w:sz="4" w:space="0" w:color="auto"/>
              <w:bottom w:val="single" w:sz="4" w:space="0" w:color="auto"/>
              <w:right w:val="single" w:sz="4" w:space="0" w:color="auto"/>
            </w:tcBorders>
            <w:vAlign w:val="center"/>
          </w:tcPr>
          <w:p w14:paraId="251D4069" w14:textId="77777777" w:rsidR="005B59FC" w:rsidRPr="00A910E2" w:rsidDel="002832A3" w:rsidRDefault="005B59FC" w:rsidP="00D21486">
            <w:pPr>
              <w:pStyle w:val="Tabletext"/>
              <w:jc w:val="center"/>
              <w:rPr>
                <w:sz w:val="18"/>
                <w:szCs w:val="18"/>
              </w:rPr>
            </w:pPr>
            <w:r w:rsidRPr="00A910E2">
              <w:rPr>
                <w:sz w:val="18"/>
                <w:szCs w:val="18"/>
              </w:rPr>
              <w:t>S/O</w:t>
            </w:r>
          </w:p>
        </w:tc>
      </w:tr>
      <w:tr w:rsidR="005B59FC" w:rsidRPr="00A910E2" w14:paraId="3E171489"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2DE1821E" w14:textId="77777777" w:rsidR="005B59FC" w:rsidRPr="00A910E2" w:rsidRDefault="005B59FC" w:rsidP="00D21486">
            <w:pPr>
              <w:pStyle w:val="Tabletext"/>
              <w:rPr>
                <w:sz w:val="18"/>
                <w:szCs w:val="18"/>
              </w:rPr>
            </w:pPr>
            <w:r w:rsidRPr="00A910E2">
              <w:rPr>
                <w:sz w:val="18"/>
                <w:szCs w:val="18"/>
              </w:rPr>
              <w:t>11-22 octobre 2021</w:t>
            </w:r>
          </w:p>
        </w:tc>
        <w:tc>
          <w:tcPr>
            <w:tcW w:w="487" w:type="pct"/>
            <w:tcBorders>
              <w:top w:val="single" w:sz="4" w:space="0" w:color="auto"/>
              <w:left w:val="single" w:sz="4" w:space="0" w:color="auto"/>
              <w:bottom w:val="single" w:sz="4" w:space="0" w:color="auto"/>
              <w:right w:val="single" w:sz="4" w:space="0" w:color="auto"/>
            </w:tcBorders>
            <w:vAlign w:val="center"/>
            <w:hideMark/>
          </w:tcPr>
          <w:p w14:paraId="3F498DF1" w14:textId="77777777" w:rsidR="005B59FC" w:rsidRPr="00A910E2" w:rsidRDefault="005B59FC" w:rsidP="00D21486">
            <w:pPr>
              <w:pStyle w:val="Tabletext"/>
              <w:rPr>
                <w:b/>
                <w:bCs/>
                <w:sz w:val="18"/>
                <w:szCs w:val="18"/>
              </w:rPr>
            </w:pPr>
            <w:r w:rsidRPr="00A910E2">
              <w:rPr>
                <w:b/>
                <w:bCs/>
                <w:sz w:val="18"/>
                <w:szCs w:val="18"/>
              </w:rPr>
              <w:t>RRS-21-Asie</w:t>
            </w:r>
            <w:r w:rsidRPr="00A910E2">
              <w:rPr>
                <w:b/>
                <w:bCs/>
                <w:sz w:val="18"/>
                <w:szCs w:val="18"/>
              </w:rPr>
              <w:noBreakHyphen/>
              <w:t>Pacifique</w:t>
            </w:r>
          </w:p>
        </w:tc>
        <w:tc>
          <w:tcPr>
            <w:tcW w:w="390" w:type="pct"/>
            <w:tcBorders>
              <w:top w:val="single" w:sz="4" w:space="0" w:color="auto"/>
              <w:left w:val="single" w:sz="4" w:space="0" w:color="auto"/>
              <w:bottom w:val="single" w:sz="4" w:space="0" w:color="auto"/>
              <w:right w:val="single" w:sz="4" w:space="0" w:color="auto"/>
            </w:tcBorders>
            <w:vAlign w:val="center"/>
            <w:hideMark/>
          </w:tcPr>
          <w:p w14:paraId="03D7369D" w14:textId="77777777" w:rsidR="005B59FC" w:rsidRPr="00A910E2" w:rsidRDefault="005B59FC" w:rsidP="00D21486">
            <w:pPr>
              <w:pStyle w:val="Tabletext"/>
              <w:jc w:val="center"/>
              <w:rPr>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7256D343" w14:textId="77777777" w:rsidR="005B59FC" w:rsidRPr="00A910E2" w:rsidRDefault="005B59FC" w:rsidP="00D21486">
            <w:pPr>
              <w:pStyle w:val="Tabletext"/>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07F3B451" w14:textId="77777777" w:rsidR="005B59FC" w:rsidRPr="00A910E2" w:rsidRDefault="005B59FC" w:rsidP="00D21486">
            <w:pPr>
              <w:pStyle w:val="Tabletext"/>
              <w:jc w:val="center"/>
              <w:rPr>
                <w:sz w:val="18"/>
                <w:szCs w:val="18"/>
              </w:rPr>
            </w:pPr>
            <w:r w:rsidRPr="00A910E2">
              <w:rPr>
                <w:sz w:val="18"/>
                <w:szCs w:val="18"/>
              </w:rPr>
              <w:t>Télécommunauté Asie-Pacifique (APT)</w:t>
            </w:r>
          </w:p>
          <w:p w14:paraId="2B594E62" w14:textId="77777777" w:rsidR="005B59FC" w:rsidRPr="00A910E2" w:rsidRDefault="005B59FC" w:rsidP="00D21486">
            <w:pPr>
              <w:pStyle w:val="Tabletext"/>
              <w:jc w:val="center"/>
              <w:rPr>
                <w:sz w:val="18"/>
                <w:szCs w:val="18"/>
              </w:rPr>
            </w:pPr>
            <w:r w:rsidRPr="00A910E2">
              <w:rPr>
                <w:sz w:val="18"/>
                <w:szCs w:val="18"/>
              </w:rPr>
              <w:t>Bureau de l'UIT pour la région Asie</w:t>
            </w:r>
            <w:r w:rsidRPr="00A910E2">
              <w:rPr>
                <w:sz w:val="18"/>
                <w:szCs w:val="18"/>
              </w:rPr>
              <w:noBreakHyphen/>
              <w:t>Pacifique</w:t>
            </w:r>
          </w:p>
        </w:tc>
        <w:tc>
          <w:tcPr>
            <w:tcW w:w="731" w:type="pct"/>
            <w:tcBorders>
              <w:top w:val="single" w:sz="4" w:space="0" w:color="auto"/>
              <w:left w:val="single" w:sz="4" w:space="0" w:color="auto"/>
              <w:bottom w:val="single" w:sz="4" w:space="0" w:color="auto"/>
              <w:right w:val="single" w:sz="4" w:space="0" w:color="auto"/>
            </w:tcBorders>
            <w:vAlign w:val="center"/>
            <w:hideMark/>
          </w:tcPr>
          <w:p w14:paraId="1C20DFF8" w14:textId="77777777" w:rsidR="005B59FC" w:rsidRPr="00A910E2" w:rsidRDefault="005B59FC" w:rsidP="00D21486">
            <w:pPr>
              <w:pStyle w:val="Tabletext"/>
              <w:jc w:val="center"/>
              <w:rPr>
                <w:sz w:val="18"/>
                <w:szCs w:val="18"/>
              </w:rPr>
            </w:pPr>
            <w:r w:rsidRPr="00A910E2">
              <w:rPr>
                <w:sz w:val="18"/>
                <w:szCs w:val="18"/>
              </w:rPr>
              <w:t>Tendances dans le secteur des radiocommunications: enjeux et perspectives pour la région</w:t>
            </w:r>
          </w:p>
        </w:tc>
        <w:tc>
          <w:tcPr>
            <w:tcW w:w="292" w:type="pct"/>
            <w:tcBorders>
              <w:top w:val="single" w:sz="4" w:space="0" w:color="auto"/>
              <w:left w:val="single" w:sz="4" w:space="0" w:color="auto"/>
              <w:bottom w:val="single" w:sz="4" w:space="0" w:color="auto"/>
              <w:right w:val="single" w:sz="4" w:space="0" w:color="auto"/>
            </w:tcBorders>
            <w:vAlign w:val="center"/>
            <w:hideMark/>
          </w:tcPr>
          <w:p w14:paraId="343CE2D2" w14:textId="77777777" w:rsidR="005B59FC" w:rsidRPr="00A910E2" w:rsidRDefault="005B59FC" w:rsidP="00D21486">
            <w:pPr>
              <w:pStyle w:val="Tabletext"/>
              <w:jc w:val="center"/>
              <w:rPr>
                <w:sz w:val="18"/>
                <w:szCs w:val="18"/>
              </w:rPr>
            </w:pPr>
            <w:r w:rsidRPr="00A910E2">
              <w:rPr>
                <w:sz w:val="18"/>
                <w:szCs w:val="18"/>
              </w:rPr>
              <w:t>E</w:t>
            </w:r>
          </w:p>
        </w:tc>
        <w:tc>
          <w:tcPr>
            <w:tcW w:w="440" w:type="pct"/>
            <w:tcBorders>
              <w:top w:val="single" w:sz="4" w:space="0" w:color="auto"/>
              <w:left w:val="single" w:sz="4" w:space="0" w:color="auto"/>
              <w:bottom w:val="single" w:sz="4" w:space="0" w:color="auto"/>
              <w:right w:val="single" w:sz="4" w:space="0" w:color="auto"/>
            </w:tcBorders>
            <w:vAlign w:val="center"/>
            <w:hideMark/>
          </w:tcPr>
          <w:p w14:paraId="1ED64ED5" w14:textId="77777777" w:rsidR="005B59FC" w:rsidRPr="00A910E2" w:rsidRDefault="005B59FC" w:rsidP="00D21486">
            <w:pPr>
              <w:pStyle w:val="Tabletext"/>
              <w:jc w:val="center"/>
              <w:rPr>
                <w:sz w:val="18"/>
                <w:szCs w:val="18"/>
              </w:rPr>
            </w:pPr>
            <w:r w:rsidRPr="00A910E2">
              <w:rPr>
                <w:sz w:val="18"/>
                <w:szCs w:val="18"/>
              </w:rPr>
              <w:t>287/58</w:t>
            </w:r>
          </w:p>
        </w:tc>
        <w:tc>
          <w:tcPr>
            <w:tcW w:w="425" w:type="pct"/>
            <w:tcBorders>
              <w:top w:val="single" w:sz="4" w:space="0" w:color="auto"/>
              <w:left w:val="single" w:sz="4" w:space="0" w:color="auto"/>
              <w:bottom w:val="single" w:sz="4" w:space="0" w:color="auto"/>
              <w:right w:val="single" w:sz="4" w:space="0" w:color="auto"/>
            </w:tcBorders>
            <w:vAlign w:val="center"/>
          </w:tcPr>
          <w:p w14:paraId="1E9B123B" w14:textId="77777777" w:rsidR="005B59FC" w:rsidRPr="00A910E2" w:rsidDel="002832A3" w:rsidRDefault="005B59FC" w:rsidP="00D21486">
            <w:pPr>
              <w:pStyle w:val="Tabletext"/>
              <w:jc w:val="center"/>
              <w:rPr>
                <w:sz w:val="18"/>
                <w:szCs w:val="18"/>
              </w:rPr>
            </w:pPr>
            <w:r w:rsidRPr="00A910E2">
              <w:rPr>
                <w:sz w:val="18"/>
                <w:szCs w:val="18"/>
              </w:rPr>
              <w:t>S/O</w:t>
            </w:r>
          </w:p>
        </w:tc>
      </w:tr>
      <w:tr w:rsidR="005B59FC" w:rsidRPr="00A910E2" w14:paraId="1FDAEB5D" w14:textId="77777777" w:rsidTr="00D21486">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7BA0F7" w14:textId="77777777" w:rsidR="005B59FC" w:rsidRPr="00A910E2" w:rsidRDefault="005B59FC" w:rsidP="00D21486">
            <w:pPr>
              <w:pStyle w:val="Tabletext"/>
              <w:keepNext/>
              <w:keepLines/>
              <w:spacing w:before="120" w:after="120"/>
              <w:jc w:val="center"/>
              <w:rPr>
                <w:b/>
                <w:bCs/>
                <w:sz w:val="18"/>
                <w:szCs w:val="18"/>
              </w:rPr>
            </w:pPr>
            <w:r w:rsidRPr="00A910E2">
              <w:rPr>
                <w:b/>
                <w:bCs/>
                <w:sz w:val="18"/>
                <w:szCs w:val="18"/>
              </w:rPr>
              <w:t>2022</w:t>
            </w:r>
          </w:p>
        </w:tc>
      </w:tr>
      <w:tr w:rsidR="005B59FC" w:rsidRPr="00A910E2" w14:paraId="71E2D951"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tcPr>
          <w:p w14:paraId="2C841B23" w14:textId="77777777" w:rsidR="005B59FC" w:rsidRPr="00A910E2" w:rsidRDefault="005B59FC" w:rsidP="00D21486">
            <w:pPr>
              <w:pStyle w:val="Tabletext"/>
              <w:keepNext/>
              <w:keepLines/>
              <w:rPr>
                <w:sz w:val="18"/>
                <w:szCs w:val="18"/>
              </w:rPr>
            </w:pPr>
            <w:r w:rsidRPr="00A910E2">
              <w:rPr>
                <w:sz w:val="18"/>
                <w:szCs w:val="18"/>
              </w:rPr>
              <w:t>13-24 mars 2022</w:t>
            </w:r>
          </w:p>
        </w:tc>
        <w:tc>
          <w:tcPr>
            <w:tcW w:w="487" w:type="pct"/>
            <w:tcBorders>
              <w:top w:val="single" w:sz="4" w:space="0" w:color="auto"/>
              <w:left w:val="single" w:sz="4" w:space="0" w:color="auto"/>
              <w:bottom w:val="single" w:sz="4" w:space="0" w:color="auto"/>
              <w:right w:val="single" w:sz="4" w:space="0" w:color="auto"/>
            </w:tcBorders>
            <w:vAlign w:val="center"/>
            <w:hideMark/>
          </w:tcPr>
          <w:p w14:paraId="6311EB13" w14:textId="77777777" w:rsidR="005B59FC" w:rsidRPr="00A910E2" w:rsidRDefault="005B59FC" w:rsidP="00D21486">
            <w:pPr>
              <w:pStyle w:val="Tabletext"/>
              <w:keepNext/>
              <w:keepLines/>
              <w:rPr>
                <w:b/>
                <w:bCs/>
                <w:sz w:val="18"/>
                <w:szCs w:val="18"/>
              </w:rPr>
            </w:pPr>
            <w:r w:rsidRPr="00A910E2">
              <w:rPr>
                <w:b/>
                <w:bCs/>
                <w:sz w:val="18"/>
                <w:szCs w:val="18"/>
              </w:rPr>
              <w:t>RRS-22-États arabes</w:t>
            </w:r>
          </w:p>
        </w:tc>
        <w:tc>
          <w:tcPr>
            <w:tcW w:w="390" w:type="pct"/>
            <w:tcBorders>
              <w:top w:val="single" w:sz="4" w:space="0" w:color="auto"/>
              <w:left w:val="single" w:sz="4" w:space="0" w:color="auto"/>
              <w:bottom w:val="single" w:sz="4" w:space="0" w:color="auto"/>
              <w:right w:val="single" w:sz="4" w:space="0" w:color="auto"/>
            </w:tcBorders>
            <w:vAlign w:val="center"/>
            <w:hideMark/>
          </w:tcPr>
          <w:p w14:paraId="41741E2E" w14:textId="77777777" w:rsidR="005B59FC" w:rsidRPr="00A910E2" w:rsidRDefault="005B59FC" w:rsidP="00D21486">
            <w:pPr>
              <w:pStyle w:val="Tabletext"/>
              <w:keepNext/>
              <w:keepLines/>
              <w:jc w:val="center"/>
              <w:rPr>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1EB6A23B" w14:textId="77777777" w:rsidR="005B59FC" w:rsidRPr="00A910E2" w:rsidRDefault="005B59FC" w:rsidP="00D21486">
            <w:pPr>
              <w:pStyle w:val="Tabletext"/>
              <w:keepNext/>
              <w:keepLines/>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5F7A6AE7" w14:textId="77777777" w:rsidR="005B59FC" w:rsidRPr="00A910E2" w:rsidRDefault="005B59FC" w:rsidP="00D21486">
            <w:pPr>
              <w:pStyle w:val="Tabletext"/>
              <w:keepNext/>
              <w:keepLines/>
              <w:jc w:val="center"/>
              <w:rPr>
                <w:sz w:val="18"/>
                <w:szCs w:val="18"/>
              </w:rPr>
            </w:pPr>
            <w:r w:rsidRPr="00A910E2">
              <w:rPr>
                <w:sz w:val="18"/>
                <w:szCs w:val="18"/>
              </w:rPr>
              <w:t>Groupe chargé de la gestion du spectre dans les États arabes (ASMG)</w:t>
            </w:r>
          </w:p>
          <w:p w14:paraId="766405F8" w14:textId="77777777" w:rsidR="005B59FC" w:rsidRPr="00A910E2" w:rsidRDefault="005B59FC" w:rsidP="00D21486">
            <w:pPr>
              <w:pStyle w:val="Tabletext"/>
              <w:keepNext/>
              <w:keepLines/>
              <w:jc w:val="center"/>
              <w:rPr>
                <w:sz w:val="18"/>
                <w:szCs w:val="18"/>
              </w:rPr>
            </w:pPr>
            <w:r w:rsidRPr="00A910E2">
              <w:rPr>
                <w:sz w:val="18"/>
                <w:szCs w:val="18"/>
              </w:rPr>
              <w:t>Bureau régional de l'UIT pour les États arabes</w:t>
            </w:r>
          </w:p>
        </w:tc>
        <w:tc>
          <w:tcPr>
            <w:tcW w:w="731" w:type="pct"/>
            <w:tcBorders>
              <w:top w:val="single" w:sz="4" w:space="0" w:color="auto"/>
              <w:left w:val="single" w:sz="4" w:space="0" w:color="auto"/>
              <w:bottom w:val="single" w:sz="4" w:space="0" w:color="auto"/>
              <w:right w:val="single" w:sz="4" w:space="0" w:color="auto"/>
            </w:tcBorders>
            <w:vAlign w:val="center"/>
            <w:hideMark/>
          </w:tcPr>
          <w:p w14:paraId="7645E411" w14:textId="77777777" w:rsidR="005B59FC" w:rsidRPr="00A910E2" w:rsidRDefault="005B59FC" w:rsidP="00D21486">
            <w:pPr>
              <w:pStyle w:val="Tabletext"/>
              <w:keepNext/>
              <w:keepLines/>
              <w:jc w:val="center"/>
              <w:rPr>
                <w:sz w:val="18"/>
                <w:szCs w:val="18"/>
              </w:rPr>
            </w:pPr>
            <w:r w:rsidRPr="00A910E2">
              <w:rPr>
                <w:sz w:val="18"/>
                <w:szCs w:val="18"/>
              </w:rPr>
              <w:t>Tendances dans le secteur des radiocommunications: enjeux et perspectives pour la région</w:t>
            </w:r>
          </w:p>
        </w:tc>
        <w:tc>
          <w:tcPr>
            <w:tcW w:w="292" w:type="pct"/>
            <w:tcBorders>
              <w:top w:val="single" w:sz="4" w:space="0" w:color="auto"/>
              <w:left w:val="single" w:sz="4" w:space="0" w:color="auto"/>
              <w:bottom w:val="single" w:sz="4" w:space="0" w:color="auto"/>
              <w:right w:val="single" w:sz="4" w:space="0" w:color="auto"/>
            </w:tcBorders>
            <w:vAlign w:val="center"/>
            <w:hideMark/>
          </w:tcPr>
          <w:p w14:paraId="724B4C72" w14:textId="77777777" w:rsidR="005B59FC" w:rsidRPr="00A910E2" w:rsidRDefault="005B59FC" w:rsidP="00D21486">
            <w:pPr>
              <w:pStyle w:val="Tabletext"/>
              <w:keepNext/>
              <w:keepLines/>
              <w:jc w:val="center"/>
              <w:rPr>
                <w:sz w:val="18"/>
                <w:szCs w:val="18"/>
              </w:rPr>
            </w:pPr>
            <w:r w:rsidRPr="00A910E2">
              <w:rPr>
                <w:sz w:val="18"/>
                <w:szCs w:val="18"/>
              </w:rPr>
              <w:t>A, E</w:t>
            </w:r>
          </w:p>
        </w:tc>
        <w:tc>
          <w:tcPr>
            <w:tcW w:w="440" w:type="pct"/>
            <w:tcBorders>
              <w:top w:val="single" w:sz="4" w:space="0" w:color="auto"/>
              <w:left w:val="single" w:sz="4" w:space="0" w:color="auto"/>
              <w:bottom w:val="single" w:sz="4" w:space="0" w:color="auto"/>
              <w:right w:val="single" w:sz="4" w:space="0" w:color="auto"/>
            </w:tcBorders>
            <w:vAlign w:val="center"/>
            <w:hideMark/>
          </w:tcPr>
          <w:p w14:paraId="4DC09D63" w14:textId="77777777" w:rsidR="005B59FC" w:rsidRPr="00A910E2" w:rsidRDefault="005B59FC" w:rsidP="00D21486">
            <w:pPr>
              <w:pStyle w:val="Tabletext"/>
              <w:keepNext/>
              <w:keepLines/>
              <w:jc w:val="center"/>
              <w:rPr>
                <w:sz w:val="18"/>
                <w:szCs w:val="18"/>
              </w:rPr>
            </w:pPr>
            <w:r w:rsidRPr="00A910E2">
              <w:rPr>
                <w:sz w:val="18"/>
                <w:szCs w:val="18"/>
              </w:rPr>
              <w:t>185/51</w:t>
            </w:r>
          </w:p>
        </w:tc>
        <w:tc>
          <w:tcPr>
            <w:tcW w:w="425" w:type="pct"/>
            <w:tcBorders>
              <w:top w:val="single" w:sz="4" w:space="0" w:color="auto"/>
              <w:left w:val="single" w:sz="4" w:space="0" w:color="auto"/>
              <w:bottom w:val="single" w:sz="4" w:space="0" w:color="auto"/>
              <w:right w:val="single" w:sz="4" w:space="0" w:color="auto"/>
            </w:tcBorders>
            <w:vAlign w:val="center"/>
          </w:tcPr>
          <w:p w14:paraId="7162AF0F" w14:textId="77777777" w:rsidR="005B59FC" w:rsidRPr="00A910E2" w:rsidDel="002456D8" w:rsidRDefault="005B59FC" w:rsidP="00D21486">
            <w:pPr>
              <w:pStyle w:val="Tabletext"/>
              <w:keepNext/>
              <w:keepLines/>
              <w:jc w:val="center"/>
              <w:rPr>
                <w:sz w:val="18"/>
                <w:szCs w:val="18"/>
              </w:rPr>
            </w:pPr>
            <w:r w:rsidRPr="00A910E2">
              <w:rPr>
                <w:sz w:val="18"/>
                <w:szCs w:val="18"/>
              </w:rPr>
              <w:t>S/O</w:t>
            </w:r>
          </w:p>
        </w:tc>
      </w:tr>
      <w:tr w:rsidR="005B59FC" w:rsidRPr="00A910E2" w14:paraId="04288DFD"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tcPr>
          <w:p w14:paraId="26B7F6D5" w14:textId="77777777" w:rsidR="005B59FC" w:rsidRPr="00A910E2" w:rsidRDefault="005B59FC" w:rsidP="00D21486">
            <w:pPr>
              <w:pStyle w:val="Tabletext"/>
              <w:keepNext/>
              <w:keepLines/>
              <w:rPr>
                <w:sz w:val="18"/>
                <w:szCs w:val="18"/>
              </w:rPr>
            </w:pPr>
            <w:r w:rsidRPr="00A910E2">
              <w:rPr>
                <w:sz w:val="18"/>
                <w:szCs w:val="18"/>
              </w:rPr>
              <w:t>30 août – 8 septembre 2022</w:t>
            </w:r>
          </w:p>
        </w:tc>
        <w:tc>
          <w:tcPr>
            <w:tcW w:w="487" w:type="pct"/>
            <w:tcBorders>
              <w:top w:val="single" w:sz="4" w:space="0" w:color="auto"/>
              <w:left w:val="single" w:sz="4" w:space="0" w:color="auto"/>
              <w:bottom w:val="single" w:sz="4" w:space="0" w:color="auto"/>
              <w:right w:val="single" w:sz="4" w:space="0" w:color="auto"/>
            </w:tcBorders>
            <w:vAlign w:val="center"/>
            <w:hideMark/>
          </w:tcPr>
          <w:p w14:paraId="7A850D56" w14:textId="77777777" w:rsidR="005B59FC" w:rsidRPr="00A910E2" w:rsidRDefault="005B59FC" w:rsidP="00D21486">
            <w:pPr>
              <w:pStyle w:val="Tabletext"/>
              <w:keepNext/>
              <w:keepLines/>
              <w:rPr>
                <w:b/>
                <w:bCs/>
                <w:sz w:val="18"/>
                <w:szCs w:val="18"/>
              </w:rPr>
            </w:pPr>
            <w:r w:rsidRPr="00A910E2">
              <w:rPr>
                <w:b/>
                <w:bCs/>
                <w:sz w:val="18"/>
                <w:szCs w:val="18"/>
              </w:rPr>
              <w:t>RRS-22-Europe</w:t>
            </w:r>
          </w:p>
        </w:tc>
        <w:tc>
          <w:tcPr>
            <w:tcW w:w="390" w:type="pct"/>
            <w:tcBorders>
              <w:top w:val="single" w:sz="4" w:space="0" w:color="auto"/>
              <w:left w:val="single" w:sz="4" w:space="0" w:color="auto"/>
              <w:bottom w:val="single" w:sz="4" w:space="0" w:color="auto"/>
              <w:right w:val="single" w:sz="4" w:space="0" w:color="auto"/>
            </w:tcBorders>
            <w:vAlign w:val="center"/>
            <w:hideMark/>
          </w:tcPr>
          <w:p w14:paraId="5D5D92C7" w14:textId="77777777" w:rsidR="005B59FC" w:rsidRPr="00A910E2" w:rsidRDefault="005B59FC" w:rsidP="00D21486">
            <w:pPr>
              <w:pStyle w:val="Tabletext"/>
              <w:keepNext/>
              <w:keepLines/>
              <w:jc w:val="center"/>
              <w:rPr>
                <w:sz w:val="18"/>
                <w:szCs w:val="18"/>
              </w:rPr>
            </w:pPr>
            <w:r w:rsidRPr="00A910E2">
              <w:rPr>
                <w:sz w:val="18"/>
                <w:szCs w:val="18"/>
              </w:rPr>
              <w:t>Réunion virtuelle</w:t>
            </w:r>
          </w:p>
        </w:tc>
        <w:tc>
          <w:tcPr>
            <w:tcW w:w="534" w:type="pct"/>
            <w:tcBorders>
              <w:top w:val="single" w:sz="4" w:space="0" w:color="auto"/>
              <w:left w:val="single" w:sz="4" w:space="0" w:color="auto"/>
              <w:bottom w:val="single" w:sz="4" w:space="0" w:color="auto"/>
              <w:right w:val="single" w:sz="4" w:space="0" w:color="auto"/>
            </w:tcBorders>
            <w:vAlign w:val="center"/>
            <w:hideMark/>
          </w:tcPr>
          <w:p w14:paraId="69D4C3EB" w14:textId="77777777" w:rsidR="005B59FC" w:rsidRPr="00A910E2" w:rsidRDefault="005B59FC" w:rsidP="00D21486">
            <w:pPr>
              <w:pStyle w:val="Tabletext"/>
              <w:keepNext/>
              <w:keepLines/>
              <w:jc w:val="center"/>
              <w:rPr>
                <w:sz w:val="18"/>
                <w:szCs w:val="18"/>
              </w:rPr>
            </w:pPr>
            <w:r w:rsidRPr="00A910E2">
              <w:rPr>
                <w:sz w:val="18"/>
                <w:szCs w:val="18"/>
              </w:rPr>
              <w:t>−</w:t>
            </w:r>
          </w:p>
        </w:tc>
        <w:tc>
          <w:tcPr>
            <w:tcW w:w="924" w:type="pct"/>
            <w:tcBorders>
              <w:top w:val="single" w:sz="4" w:space="0" w:color="auto"/>
              <w:left w:val="single" w:sz="4" w:space="0" w:color="auto"/>
              <w:bottom w:val="single" w:sz="4" w:space="0" w:color="auto"/>
              <w:right w:val="single" w:sz="4" w:space="0" w:color="auto"/>
            </w:tcBorders>
            <w:vAlign w:val="center"/>
            <w:hideMark/>
          </w:tcPr>
          <w:p w14:paraId="226CF03B" w14:textId="77777777" w:rsidR="005B59FC" w:rsidRPr="00A910E2" w:rsidRDefault="005B59FC" w:rsidP="00D21486">
            <w:pPr>
              <w:pStyle w:val="Tabletext"/>
              <w:keepNext/>
              <w:keepLines/>
              <w:jc w:val="center"/>
              <w:rPr>
                <w:sz w:val="18"/>
                <w:szCs w:val="18"/>
              </w:rPr>
            </w:pPr>
            <w:r w:rsidRPr="00A910E2">
              <w:rPr>
                <w:sz w:val="18"/>
                <w:szCs w:val="18"/>
              </w:rPr>
              <w:t>Bureau régional de l'UIT pour l'Europe</w:t>
            </w:r>
          </w:p>
        </w:tc>
        <w:tc>
          <w:tcPr>
            <w:tcW w:w="731" w:type="pct"/>
            <w:tcBorders>
              <w:top w:val="single" w:sz="4" w:space="0" w:color="auto"/>
              <w:left w:val="single" w:sz="4" w:space="0" w:color="auto"/>
              <w:bottom w:val="single" w:sz="4" w:space="0" w:color="auto"/>
              <w:right w:val="single" w:sz="4" w:space="0" w:color="auto"/>
            </w:tcBorders>
            <w:vAlign w:val="center"/>
            <w:hideMark/>
          </w:tcPr>
          <w:p w14:paraId="4848C373" w14:textId="77777777" w:rsidR="005B59FC" w:rsidRPr="00A910E2" w:rsidRDefault="005B59FC" w:rsidP="00D21486">
            <w:pPr>
              <w:pStyle w:val="Tabletext"/>
              <w:keepNext/>
              <w:keepLines/>
              <w:jc w:val="center"/>
              <w:rPr>
                <w:sz w:val="18"/>
                <w:szCs w:val="18"/>
              </w:rPr>
            </w:pPr>
            <w:r w:rsidRPr="00A910E2">
              <w:rPr>
                <w:sz w:val="18"/>
                <w:szCs w:val="18"/>
              </w:rPr>
              <w:t>Gestion du spectre</w:t>
            </w:r>
          </w:p>
        </w:tc>
        <w:tc>
          <w:tcPr>
            <w:tcW w:w="292" w:type="pct"/>
            <w:tcBorders>
              <w:top w:val="single" w:sz="4" w:space="0" w:color="auto"/>
              <w:left w:val="single" w:sz="4" w:space="0" w:color="auto"/>
              <w:bottom w:val="single" w:sz="4" w:space="0" w:color="auto"/>
              <w:right w:val="single" w:sz="4" w:space="0" w:color="auto"/>
            </w:tcBorders>
            <w:vAlign w:val="center"/>
            <w:hideMark/>
          </w:tcPr>
          <w:p w14:paraId="2A7EFF93" w14:textId="77777777" w:rsidR="005B59FC" w:rsidRPr="00A910E2" w:rsidRDefault="005B59FC" w:rsidP="00D21486">
            <w:pPr>
              <w:pStyle w:val="Tabletext"/>
              <w:keepNext/>
              <w:keepLines/>
              <w:jc w:val="center"/>
              <w:rPr>
                <w:sz w:val="18"/>
                <w:szCs w:val="18"/>
              </w:rPr>
            </w:pPr>
            <w:r w:rsidRPr="00A910E2">
              <w:rPr>
                <w:sz w:val="18"/>
                <w:szCs w:val="18"/>
              </w:rPr>
              <w:t>E</w:t>
            </w:r>
          </w:p>
        </w:tc>
        <w:tc>
          <w:tcPr>
            <w:tcW w:w="440" w:type="pct"/>
            <w:tcBorders>
              <w:top w:val="single" w:sz="4" w:space="0" w:color="auto"/>
              <w:left w:val="single" w:sz="4" w:space="0" w:color="auto"/>
              <w:bottom w:val="single" w:sz="4" w:space="0" w:color="auto"/>
              <w:right w:val="single" w:sz="4" w:space="0" w:color="auto"/>
            </w:tcBorders>
            <w:vAlign w:val="center"/>
            <w:hideMark/>
          </w:tcPr>
          <w:p w14:paraId="651F7A59" w14:textId="77777777" w:rsidR="005B59FC" w:rsidRPr="00A910E2" w:rsidRDefault="005B59FC" w:rsidP="00D21486">
            <w:pPr>
              <w:pStyle w:val="Tabletext"/>
              <w:keepNext/>
              <w:keepLines/>
              <w:jc w:val="center"/>
              <w:rPr>
                <w:sz w:val="18"/>
                <w:szCs w:val="18"/>
              </w:rPr>
            </w:pPr>
            <w:r w:rsidRPr="00A910E2">
              <w:rPr>
                <w:sz w:val="18"/>
                <w:szCs w:val="18"/>
              </w:rPr>
              <w:t>286/83</w:t>
            </w:r>
          </w:p>
        </w:tc>
        <w:tc>
          <w:tcPr>
            <w:tcW w:w="425" w:type="pct"/>
            <w:tcBorders>
              <w:top w:val="single" w:sz="4" w:space="0" w:color="auto"/>
              <w:left w:val="single" w:sz="4" w:space="0" w:color="auto"/>
              <w:bottom w:val="single" w:sz="4" w:space="0" w:color="auto"/>
              <w:right w:val="single" w:sz="4" w:space="0" w:color="auto"/>
            </w:tcBorders>
            <w:vAlign w:val="center"/>
          </w:tcPr>
          <w:p w14:paraId="03A5A145" w14:textId="77777777" w:rsidR="005B59FC" w:rsidRPr="00A910E2" w:rsidDel="003D5530" w:rsidRDefault="005B59FC" w:rsidP="00D21486">
            <w:pPr>
              <w:pStyle w:val="Tabletext"/>
              <w:keepNext/>
              <w:keepLines/>
              <w:jc w:val="center"/>
              <w:rPr>
                <w:sz w:val="18"/>
                <w:szCs w:val="18"/>
              </w:rPr>
            </w:pPr>
            <w:r w:rsidRPr="00A910E2">
              <w:rPr>
                <w:sz w:val="18"/>
                <w:szCs w:val="18"/>
              </w:rPr>
              <w:t>S/O</w:t>
            </w:r>
          </w:p>
        </w:tc>
      </w:tr>
      <w:tr w:rsidR="005B59FC" w:rsidRPr="00A910E2" w14:paraId="3B8D48E4"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tcPr>
          <w:p w14:paraId="22DBE60C" w14:textId="77777777" w:rsidR="005B59FC" w:rsidRPr="00A910E2" w:rsidRDefault="005B59FC" w:rsidP="00D21486">
            <w:pPr>
              <w:pStyle w:val="Tabletext"/>
              <w:keepNext/>
              <w:keepLines/>
              <w:rPr>
                <w:sz w:val="18"/>
                <w:szCs w:val="18"/>
              </w:rPr>
            </w:pPr>
            <w:r w:rsidRPr="00A910E2">
              <w:rPr>
                <w:sz w:val="18"/>
                <w:szCs w:val="18"/>
              </w:rPr>
              <w:t>15-20 décembre 2022</w:t>
            </w:r>
          </w:p>
        </w:tc>
        <w:tc>
          <w:tcPr>
            <w:tcW w:w="487" w:type="pct"/>
            <w:tcBorders>
              <w:top w:val="single" w:sz="4" w:space="0" w:color="auto"/>
              <w:left w:val="single" w:sz="4" w:space="0" w:color="auto"/>
              <w:bottom w:val="single" w:sz="4" w:space="0" w:color="auto"/>
              <w:right w:val="single" w:sz="4" w:space="0" w:color="auto"/>
            </w:tcBorders>
          </w:tcPr>
          <w:p w14:paraId="69152A9B" w14:textId="77777777" w:rsidR="005B59FC" w:rsidRPr="00A910E2" w:rsidRDefault="005B59FC" w:rsidP="00D21486">
            <w:pPr>
              <w:pStyle w:val="Tabletext"/>
              <w:keepNext/>
              <w:keepLines/>
              <w:rPr>
                <w:b/>
                <w:bCs/>
                <w:sz w:val="18"/>
                <w:szCs w:val="18"/>
              </w:rPr>
            </w:pPr>
            <w:r w:rsidRPr="00A910E2">
              <w:rPr>
                <w:b/>
                <w:bCs/>
                <w:sz w:val="18"/>
                <w:szCs w:val="18"/>
              </w:rPr>
              <w:t>RRS-22-Asie</w:t>
            </w:r>
            <w:r w:rsidRPr="00A910E2">
              <w:rPr>
                <w:b/>
                <w:bCs/>
                <w:sz w:val="18"/>
                <w:szCs w:val="18"/>
              </w:rPr>
              <w:noBreakHyphen/>
              <w:t>Pacifique</w:t>
            </w:r>
          </w:p>
        </w:tc>
        <w:tc>
          <w:tcPr>
            <w:tcW w:w="390" w:type="pct"/>
            <w:tcBorders>
              <w:top w:val="single" w:sz="4" w:space="0" w:color="auto"/>
              <w:left w:val="single" w:sz="4" w:space="0" w:color="auto"/>
              <w:bottom w:val="single" w:sz="4" w:space="0" w:color="auto"/>
              <w:right w:val="single" w:sz="4" w:space="0" w:color="auto"/>
            </w:tcBorders>
          </w:tcPr>
          <w:p w14:paraId="6C106AC0" w14:textId="77777777" w:rsidR="005B59FC" w:rsidRPr="00A910E2" w:rsidRDefault="005B59FC" w:rsidP="00D21486">
            <w:pPr>
              <w:pStyle w:val="Tabletext"/>
              <w:keepNext/>
              <w:keepLines/>
              <w:jc w:val="center"/>
              <w:rPr>
                <w:sz w:val="18"/>
                <w:szCs w:val="18"/>
              </w:rPr>
            </w:pPr>
            <w:r w:rsidRPr="00A910E2">
              <w:rPr>
                <w:sz w:val="18"/>
                <w:szCs w:val="18"/>
              </w:rPr>
              <w:t xml:space="preserve">Nadi </w:t>
            </w:r>
            <w:r w:rsidRPr="00A910E2">
              <w:rPr>
                <w:sz w:val="18"/>
                <w:szCs w:val="18"/>
              </w:rPr>
              <w:br/>
              <w:t>(Fidji)</w:t>
            </w:r>
          </w:p>
        </w:tc>
        <w:tc>
          <w:tcPr>
            <w:tcW w:w="534" w:type="pct"/>
            <w:tcBorders>
              <w:top w:val="single" w:sz="4" w:space="0" w:color="auto"/>
              <w:left w:val="single" w:sz="4" w:space="0" w:color="auto"/>
              <w:bottom w:val="single" w:sz="4" w:space="0" w:color="auto"/>
              <w:right w:val="single" w:sz="4" w:space="0" w:color="auto"/>
            </w:tcBorders>
          </w:tcPr>
          <w:p w14:paraId="4CDC3DE9" w14:textId="77777777" w:rsidR="005B59FC" w:rsidRPr="00A910E2" w:rsidRDefault="007F13FC" w:rsidP="00D21486">
            <w:pPr>
              <w:pStyle w:val="Tabletext"/>
              <w:keepNext/>
              <w:keepLines/>
              <w:jc w:val="center"/>
              <w:rPr>
                <w:sz w:val="18"/>
                <w:szCs w:val="18"/>
              </w:rPr>
            </w:pPr>
            <w:hyperlink r:id="rId59" w:tgtFrame="_blank" w:history="1">
              <w:r w:rsidR="005B59FC" w:rsidRPr="00A910E2">
                <w:rPr>
                  <w:rStyle w:val="Hyperlink"/>
                  <w:sz w:val="18"/>
                  <w:szCs w:val="18"/>
                </w:rPr>
                <w:t>Ministère des communications (MOC) des Fidji</w:t>
              </w:r>
            </w:hyperlink>
          </w:p>
        </w:tc>
        <w:tc>
          <w:tcPr>
            <w:tcW w:w="924" w:type="pct"/>
            <w:tcBorders>
              <w:top w:val="single" w:sz="4" w:space="0" w:color="auto"/>
              <w:left w:val="single" w:sz="4" w:space="0" w:color="auto"/>
              <w:bottom w:val="single" w:sz="4" w:space="0" w:color="auto"/>
              <w:right w:val="single" w:sz="4" w:space="0" w:color="auto"/>
            </w:tcBorders>
          </w:tcPr>
          <w:p w14:paraId="383FFEB8" w14:textId="77777777" w:rsidR="005B59FC" w:rsidRPr="00A910E2" w:rsidRDefault="007F13FC" w:rsidP="00D21486">
            <w:pPr>
              <w:pStyle w:val="Tabletext"/>
              <w:keepNext/>
              <w:keepLines/>
              <w:jc w:val="center"/>
              <w:rPr>
                <w:sz w:val="18"/>
                <w:szCs w:val="18"/>
              </w:rPr>
            </w:pPr>
            <w:hyperlink r:id="rId60" w:tgtFrame="_blank" w:history="1">
              <w:r w:rsidR="005B59FC" w:rsidRPr="00A910E2">
                <w:rPr>
                  <w:rStyle w:val="Hyperlink"/>
                  <w:sz w:val="18"/>
                  <w:szCs w:val="18"/>
                </w:rPr>
                <w:t>Association des télécommunications des îles du Pacifique (PITA)</w:t>
              </w:r>
            </w:hyperlink>
          </w:p>
          <w:p w14:paraId="0A1BA1FA" w14:textId="77777777" w:rsidR="005B59FC" w:rsidRPr="00A910E2" w:rsidRDefault="007F13FC" w:rsidP="00D21486">
            <w:pPr>
              <w:pStyle w:val="Tabletext"/>
              <w:keepNext/>
              <w:keepLines/>
              <w:jc w:val="center"/>
              <w:rPr>
                <w:sz w:val="18"/>
                <w:szCs w:val="18"/>
              </w:rPr>
            </w:pPr>
            <w:hyperlink r:id="rId61" w:history="1">
              <w:r w:rsidR="005B59FC" w:rsidRPr="00A910E2">
                <w:rPr>
                  <w:rStyle w:val="Hyperlink"/>
                  <w:sz w:val="18"/>
                  <w:szCs w:val="18"/>
                </w:rPr>
                <w:t>Département des infrastructures, des transports, du développement régional, de la communication et des arts</w:t>
              </w:r>
            </w:hyperlink>
            <w:r w:rsidR="005B59FC" w:rsidRPr="00A910E2">
              <w:rPr>
                <w:sz w:val="18"/>
                <w:szCs w:val="18"/>
              </w:rPr>
              <w:t xml:space="preserve"> (DITRDCA) du Gouvernement australien</w:t>
            </w:r>
          </w:p>
          <w:p w14:paraId="6121B216" w14:textId="77777777" w:rsidR="005B59FC" w:rsidRPr="00A910E2" w:rsidRDefault="005B59FC" w:rsidP="00D21486">
            <w:pPr>
              <w:pStyle w:val="Tabletext"/>
              <w:keepNext/>
              <w:keepLines/>
              <w:jc w:val="center"/>
              <w:rPr>
                <w:sz w:val="18"/>
                <w:szCs w:val="18"/>
              </w:rPr>
            </w:pPr>
            <w:r w:rsidRPr="00A910E2">
              <w:rPr>
                <w:sz w:val="18"/>
                <w:szCs w:val="18"/>
              </w:rPr>
              <w:t>Bureau régional de l'UIT pour la région Asie-Pacifique</w:t>
            </w:r>
          </w:p>
        </w:tc>
        <w:tc>
          <w:tcPr>
            <w:tcW w:w="731" w:type="pct"/>
            <w:tcBorders>
              <w:top w:val="single" w:sz="4" w:space="0" w:color="auto"/>
              <w:left w:val="single" w:sz="4" w:space="0" w:color="auto"/>
              <w:bottom w:val="single" w:sz="4" w:space="0" w:color="auto"/>
              <w:right w:val="single" w:sz="4" w:space="0" w:color="auto"/>
            </w:tcBorders>
            <w:vAlign w:val="center"/>
          </w:tcPr>
          <w:p w14:paraId="64B9CDA8" w14:textId="77777777" w:rsidR="005B59FC" w:rsidRPr="00A910E2" w:rsidRDefault="005B59FC" w:rsidP="00D21486">
            <w:pPr>
              <w:pStyle w:val="Tabletext"/>
              <w:keepNext/>
              <w:keepLines/>
              <w:jc w:val="center"/>
              <w:rPr>
                <w:sz w:val="18"/>
                <w:szCs w:val="18"/>
              </w:rPr>
            </w:pPr>
            <w:r w:rsidRPr="00A910E2">
              <w:rPr>
                <w:sz w:val="18"/>
                <w:szCs w:val="18"/>
              </w:rPr>
              <w:t>Tendances dans le secteur des radiocommunications: enjeux et perspectives pour la région Asie</w:t>
            </w:r>
            <w:r w:rsidRPr="00A910E2">
              <w:rPr>
                <w:sz w:val="18"/>
                <w:szCs w:val="18"/>
              </w:rPr>
              <w:noBreakHyphen/>
              <w:t>Pacifique</w:t>
            </w:r>
          </w:p>
        </w:tc>
        <w:tc>
          <w:tcPr>
            <w:tcW w:w="292" w:type="pct"/>
            <w:tcBorders>
              <w:top w:val="single" w:sz="4" w:space="0" w:color="auto"/>
              <w:left w:val="single" w:sz="4" w:space="0" w:color="auto"/>
              <w:bottom w:val="single" w:sz="4" w:space="0" w:color="auto"/>
              <w:right w:val="single" w:sz="4" w:space="0" w:color="auto"/>
            </w:tcBorders>
            <w:vAlign w:val="center"/>
          </w:tcPr>
          <w:p w14:paraId="471393CD" w14:textId="77777777" w:rsidR="005B59FC" w:rsidRPr="00A910E2" w:rsidRDefault="005B59FC" w:rsidP="00D21486">
            <w:pPr>
              <w:pStyle w:val="Tabletext"/>
              <w:keepNext/>
              <w:keepLines/>
              <w:jc w:val="center"/>
              <w:rPr>
                <w:sz w:val="18"/>
                <w:szCs w:val="18"/>
              </w:rPr>
            </w:pPr>
            <w:r w:rsidRPr="00A910E2">
              <w:rPr>
                <w:sz w:val="18"/>
                <w:szCs w:val="18"/>
              </w:rPr>
              <w:t>E</w:t>
            </w:r>
          </w:p>
        </w:tc>
        <w:tc>
          <w:tcPr>
            <w:tcW w:w="440" w:type="pct"/>
            <w:tcBorders>
              <w:top w:val="single" w:sz="4" w:space="0" w:color="auto"/>
              <w:left w:val="single" w:sz="4" w:space="0" w:color="auto"/>
              <w:bottom w:val="single" w:sz="4" w:space="0" w:color="auto"/>
              <w:right w:val="single" w:sz="4" w:space="0" w:color="auto"/>
            </w:tcBorders>
            <w:vAlign w:val="center"/>
          </w:tcPr>
          <w:p w14:paraId="5519FD48" w14:textId="77777777" w:rsidR="005B59FC" w:rsidRPr="00A910E2" w:rsidRDefault="005B59FC" w:rsidP="00D21486">
            <w:pPr>
              <w:pStyle w:val="Tabletext"/>
              <w:keepNext/>
              <w:keepLines/>
              <w:jc w:val="center"/>
              <w:rPr>
                <w:sz w:val="18"/>
                <w:szCs w:val="18"/>
              </w:rPr>
            </w:pPr>
            <w:r w:rsidRPr="00A910E2">
              <w:rPr>
                <w:sz w:val="18"/>
                <w:szCs w:val="18"/>
              </w:rPr>
              <w:t>80/40</w:t>
            </w:r>
          </w:p>
        </w:tc>
        <w:tc>
          <w:tcPr>
            <w:tcW w:w="425" w:type="pct"/>
            <w:tcBorders>
              <w:top w:val="single" w:sz="4" w:space="0" w:color="auto"/>
              <w:left w:val="single" w:sz="4" w:space="0" w:color="auto"/>
              <w:bottom w:val="single" w:sz="4" w:space="0" w:color="auto"/>
              <w:right w:val="single" w:sz="4" w:space="0" w:color="auto"/>
            </w:tcBorders>
          </w:tcPr>
          <w:p w14:paraId="61169CE1" w14:textId="77777777" w:rsidR="005B59FC" w:rsidRPr="00A910E2" w:rsidRDefault="005B59FC" w:rsidP="00D21486">
            <w:pPr>
              <w:pStyle w:val="Tabletext"/>
              <w:keepNext/>
              <w:keepLines/>
              <w:jc w:val="center"/>
              <w:rPr>
                <w:sz w:val="18"/>
                <w:szCs w:val="18"/>
              </w:rPr>
            </w:pPr>
            <w:r w:rsidRPr="00A910E2">
              <w:rPr>
                <w:sz w:val="18"/>
                <w:szCs w:val="18"/>
              </w:rPr>
              <w:t>11 (financées et accordées par le BR et le DITRDCA Australie)</w:t>
            </w:r>
          </w:p>
        </w:tc>
      </w:tr>
      <w:tr w:rsidR="005B59FC" w:rsidRPr="00A910E2" w14:paraId="3F249F91" w14:textId="77777777" w:rsidTr="00D21486">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3234E9" w14:textId="77777777" w:rsidR="005B59FC" w:rsidRPr="00A910E2" w:rsidRDefault="005B59FC" w:rsidP="00D21486">
            <w:pPr>
              <w:pStyle w:val="Tabletext"/>
              <w:spacing w:before="120" w:after="120"/>
              <w:jc w:val="center"/>
              <w:rPr>
                <w:sz w:val="18"/>
                <w:szCs w:val="18"/>
              </w:rPr>
            </w:pPr>
            <w:r w:rsidRPr="00A910E2">
              <w:rPr>
                <w:b/>
                <w:bCs/>
                <w:sz w:val="18"/>
                <w:szCs w:val="18"/>
              </w:rPr>
              <w:t>2023</w:t>
            </w:r>
          </w:p>
        </w:tc>
      </w:tr>
      <w:tr w:rsidR="005B59FC" w:rsidRPr="00A910E2" w14:paraId="21B3E01E"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7B0A5E1B" w14:textId="77777777" w:rsidR="005B59FC" w:rsidRPr="00A910E2" w:rsidRDefault="005B59FC" w:rsidP="00D21486">
            <w:pPr>
              <w:pStyle w:val="Tabletext"/>
              <w:rPr>
                <w:sz w:val="18"/>
                <w:szCs w:val="18"/>
              </w:rPr>
            </w:pPr>
            <w:r w:rsidRPr="00A910E2">
              <w:rPr>
                <w:sz w:val="18"/>
                <w:szCs w:val="18"/>
              </w:rPr>
              <w:t>8-12 mai 2023</w:t>
            </w:r>
          </w:p>
        </w:tc>
        <w:tc>
          <w:tcPr>
            <w:tcW w:w="487" w:type="pct"/>
            <w:tcBorders>
              <w:top w:val="single" w:sz="4" w:space="0" w:color="auto"/>
              <w:left w:val="single" w:sz="4" w:space="0" w:color="auto"/>
              <w:bottom w:val="single" w:sz="4" w:space="0" w:color="auto"/>
              <w:right w:val="single" w:sz="4" w:space="0" w:color="auto"/>
            </w:tcBorders>
            <w:vAlign w:val="center"/>
            <w:hideMark/>
          </w:tcPr>
          <w:p w14:paraId="57C9293E" w14:textId="77777777" w:rsidR="005B59FC" w:rsidRPr="00A910E2" w:rsidRDefault="005B59FC" w:rsidP="00D21486">
            <w:pPr>
              <w:pStyle w:val="Tabletext"/>
              <w:rPr>
                <w:b/>
                <w:bCs/>
                <w:sz w:val="18"/>
                <w:szCs w:val="18"/>
              </w:rPr>
            </w:pPr>
            <w:r w:rsidRPr="00A910E2">
              <w:rPr>
                <w:b/>
                <w:bCs/>
                <w:sz w:val="18"/>
                <w:szCs w:val="18"/>
              </w:rPr>
              <w:t>RRS-23-Amériques</w:t>
            </w:r>
          </w:p>
        </w:tc>
        <w:tc>
          <w:tcPr>
            <w:tcW w:w="390" w:type="pct"/>
            <w:tcBorders>
              <w:top w:val="single" w:sz="4" w:space="0" w:color="auto"/>
              <w:left w:val="single" w:sz="4" w:space="0" w:color="auto"/>
              <w:bottom w:val="single" w:sz="4" w:space="0" w:color="auto"/>
              <w:right w:val="single" w:sz="4" w:space="0" w:color="auto"/>
            </w:tcBorders>
            <w:vAlign w:val="center"/>
            <w:hideMark/>
          </w:tcPr>
          <w:p w14:paraId="5B401E0B" w14:textId="77777777" w:rsidR="005B59FC" w:rsidRPr="00A910E2" w:rsidRDefault="005B59FC" w:rsidP="00D21486">
            <w:pPr>
              <w:pStyle w:val="Tabletext"/>
              <w:jc w:val="center"/>
              <w:rPr>
                <w:sz w:val="18"/>
                <w:szCs w:val="18"/>
              </w:rPr>
            </w:pPr>
            <w:r w:rsidRPr="00A910E2">
              <w:rPr>
                <w:sz w:val="18"/>
                <w:szCs w:val="18"/>
              </w:rPr>
              <w:t>La Havane (Cuba)</w:t>
            </w:r>
          </w:p>
        </w:tc>
        <w:tc>
          <w:tcPr>
            <w:tcW w:w="534" w:type="pct"/>
            <w:tcBorders>
              <w:top w:val="single" w:sz="4" w:space="0" w:color="auto"/>
              <w:left w:val="single" w:sz="4" w:space="0" w:color="auto"/>
              <w:bottom w:val="single" w:sz="4" w:space="0" w:color="auto"/>
              <w:right w:val="single" w:sz="4" w:space="0" w:color="auto"/>
            </w:tcBorders>
            <w:vAlign w:val="center"/>
            <w:hideMark/>
          </w:tcPr>
          <w:p w14:paraId="45CD62C3" w14:textId="77777777" w:rsidR="005B59FC" w:rsidRPr="00A910E2" w:rsidRDefault="007F13FC" w:rsidP="00D21486">
            <w:pPr>
              <w:pStyle w:val="Tabletext"/>
              <w:jc w:val="center"/>
              <w:rPr>
                <w:sz w:val="18"/>
                <w:szCs w:val="18"/>
                <w:u w:val="single"/>
              </w:rPr>
            </w:pPr>
            <w:hyperlink r:id="rId62" w:history="1">
              <w:r w:rsidR="005B59FC" w:rsidRPr="00A910E2">
                <w:rPr>
                  <w:rStyle w:val="Hyperlink"/>
                  <w:sz w:val="18"/>
                  <w:szCs w:val="18"/>
                </w:rPr>
                <w:t>Ministerio de Comunicaciones de Cuba</w:t>
              </w:r>
            </w:hyperlink>
          </w:p>
        </w:tc>
        <w:tc>
          <w:tcPr>
            <w:tcW w:w="924" w:type="pct"/>
            <w:tcBorders>
              <w:top w:val="single" w:sz="4" w:space="0" w:color="auto"/>
              <w:left w:val="single" w:sz="4" w:space="0" w:color="auto"/>
              <w:bottom w:val="single" w:sz="4" w:space="0" w:color="auto"/>
              <w:right w:val="single" w:sz="4" w:space="0" w:color="auto"/>
            </w:tcBorders>
            <w:vAlign w:val="center"/>
          </w:tcPr>
          <w:p w14:paraId="7352B9B7" w14:textId="77777777" w:rsidR="005B59FC" w:rsidRPr="00A910E2" w:rsidRDefault="007F13FC" w:rsidP="00D21486">
            <w:pPr>
              <w:pStyle w:val="Tabletext"/>
              <w:jc w:val="center"/>
              <w:rPr>
                <w:sz w:val="18"/>
                <w:szCs w:val="18"/>
              </w:rPr>
            </w:pPr>
            <w:hyperlink r:id="rId63" w:tgtFrame="_blank" w:history="1">
              <w:r w:rsidR="005B59FC" w:rsidRPr="00A910E2">
                <w:rPr>
                  <w:rStyle w:val="Hyperlink"/>
                  <w:sz w:val="18"/>
                  <w:szCs w:val="18"/>
                </w:rPr>
                <w:t>Comisión Técnica Regional de Telecomunicaciones</w:t>
              </w:r>
            </w:hyperlink>
          </w:p>
          <w:p w14:paraId="47AB8A61" w14:textId="77777777" w:rsidR="005B59FC" w:rsidRPr="00A910E2" w:rsidRDefault="005B59FC" w:rsidP="00D21486">
            <w:pPr>
              <w:pStyle w:val="Tabletext"/>
              <w:jc w:val="center"/>
              <w:rPr>
                <w:sz w:val="18"/>
                <w:szCs w:val="18"/>
              </w:rPr>
            </w:pPr>
            <w:r w:rsidRPr="00A910E2">
              <w:rPr>
                <w:sz w:val="18"/>
                <w:szCs w:val="18"/>
              </w:rPr>
              <w:t>Bureau de l'UIT pour la région Amériques</w:t>
            </w:r>
          </w:p>
        </w:tc>
        <w:tc>
          <w:tcPr>
            <w:tcW w:w="731" w:type="pct"/>
            <w:tcBorders>
              <w:top w:val="single" w:sz="4" w:space="0" w:color="auto"/>
              <w:left w:val="single" w:sz="4" w:space="0" w:color="auto"/>
              <w:bottom w:val="single" w:sz="4" w:space="0" w:color="auto"/>
              <w:right w:val="single" w:sz="4" w:space="0" w:color="auto"/>
            </w:tcBorders>
            <w:vAlign w:val="center"/>
            <w:hideMark/>
          </w:tcPr>
          <w:p w14:paraId="1AE89078" w14:textId="77777777" w:rsidR="005B59FC" w:rsidRPr="00A910E2" w:rsidRDefault="005B59FC" w:rsidP="00D21486">
            <w:pPr>
              <w:pStyle w:val="Tabletext"/>
              <w:jc w:val="center"/>
              <w:rPr>
                <w:sz w:val="18"/>
                <w:szCs w:val="18"/>
              </w:rPr>
            </w:pPr>
            <w:r w:rsidRPr="00A910E2">
              <w:rPr>
                <w:sz w:val="18"/>
                <w:szCs w:val="18"/>
              </w:rPr>
              <w:t>Gestion du spectre: enjeux pour la région Amérique</w:t>
            </w:r>
          </w:p>
        </w:tc>
        <w:tc>
          <w:tcPr>
            <w:tcW w:w="292" w:type="pct"/>
            <w:tcBorders>
              <w:top w:val="single" w:sz="4" w:space="0" w:color="auto"/>
              <w:left w:val="single" w:sz="4" w:space="0" w:color="auto"/>
              <w:bottom w:val="single" w:sz="4" w:space="0" w:color="auto"/>
              <w:right w:val="single" w:sz="4" w:space="0" w:color="auto"/>
            </w:tcBorders>
            <w:vAlign w:val="center"/>
            <w:hideMark/>
          </w:tcPr>
          <w:p w14:paraId="66FB0E47" w14:textId="77777777" w:rsidR="005B59FC" w:rsidRPr="00A910E2" w:rsidRDefault="005B59FC" w:rsidP="00D21486">
            <w:pPr>
              <w:pStyle w:val="Tabletext"/>
              <w:jc w:val="center"/>
              <w:rPr>
                <w:sz w:val="18"/>
                <w:szCs w:val="18"/>
              </w:rPr>
            </w:pPr>
            <w:r w:rsidRPr="00A910E2">
              <w:rPr>
                <w:sz w:val="18"/>
                <w:szCs w:val="18"/>
              </w:rPr>
              <w:t>S</w:t>
            </w:r>
          </w:p>
        </w:tc>
        <w:tc>
          <w:tcPr>
            <w:tcW w:w="440" w:type="pct"/>
            <w:tcBorders>
              <w:top w:val="single" w:sz="4" w:space="0" w:color="auto"/>
              <w:left w:val="single" w:sz="4" w:space="0" w:color="auto"/>
              <w:bottom w:val="single" w:sz="4" w:space="0" w:color="auto"/>
              <w:right w:val="single" w:sz="4" w:space="0" w:color="auto"/>
            </w:tcBorders>
            <w:vAlign w:val="center"/>
            <w:hideMark/>
          </w:tcPr>
          <w:p w14:paraId="485FACF5" w14:textId="77777777" w:rsidR="005B59FC" w:rsidRPr="00A910E2" w:rsidRDefault="005B59FC" w:rsidP="00D21486">
            <w:pPr>
              <w:pStyle w:val="Tabletext"/>
              <w:jc w:val="center"/>
              <w:rPr>
                <w:sz w:val="18"/>
                <w:szCs w:val="18"/>
              </w:rPr>
            </w:pPr>
            <w:r w:rsidRPr="00A910E2">
              <w:rPr>
                <w:sz w:val="18"/>
                <w:szCs w:val="18"/>
              </w:rPr>
              <w:t>87/26</w:t>
            </w:r>
          </w:p>
        </w:tc>
        <w:tc>
          <w:tcPr>
            <w:tcW w:w="425" w:type="pct"/>
            <w:tcBorders>
              <w:top w:val="single" w:sz="4" w:space="0" w:color="auto"/>
              <w:left w:val="single" w:sz="4" w:space="0" w:color="auto"/>
              <w:bottom w:val="single" w:sz="4" w:space="0" w:color="auto"/>
              <w:right w:val="single" w:sz="4" w:space="0" w:color="auto"/>
            </w:tcBorders>
            <w:vAlign w:val="center"/>
          </w:tcPr>
          <w:p w14:paraId="197B13D0" w14:textId="77777777" w:rsidR="005B59FC" w:rsidRPr="00A910E2" w:rsidDel="00A35D37" w:rsidRDefault="005B59FC" w:rsidP="00D21486">
            <w:pPr>
              <w:pStyle w:val="Tabletext"/>
              <w:jc w:val="center"/>
              <w:rPr>
                <w:sz w:val="18"/>
                <w:szCs w:val="18"/>
              </w:rPr>
            </w:pPr>
            <w:r w:rsidRPr="00A910E2">
              <w:rPr>
                <w:sz w:val="18"/>
                <w:szCs w:val="18"/>
              </w:rPr>
              <w:t>3</w:t>
            </w:r>
          </w:p>
        </w:tc>
      </w:tr>
      <w:tr w:rsidR="005B59FC" w:rsidRPr="00A910E2" w14:paraId="57235DB0" w14:textId="77777777" w:rsidTr="00D21486">
        <w:trPr>
          <w:jc w:val="center"/>
        </w:trPr>
        <w:tc>
          <w:tcPr>
            <w:tcW w:w="777" w:type="pct"/>
            <w:tcBorders>
              <w:top w:val="single" w:sz="4" w:space="0" w:color="auto"/>
              <w:left w:val="single" w:sz="4" w:space="0" w:color="auto"/>
              <w:bottom w:val="single" w:sz="4" w:space="0" w:color="auto"/>
              <w:right w:val="single" w:sz="4" w:space="0" w:color="auto"/>
            </w:tcBorders>
            <w:vAlign w:val="center"/>
          </w:tcPr>
          <w:p w14:paraId="0CA9924D" w14:textId="77777777" w:rsidR="005B59FC" w:rsidRPr="00A910E2" w:rsidRDefault="005B59FC" w:rsidP="00D21486">
            <w:pPr>
              <w:pStyle w:val="Tabletext"/>
              <w:rPr>
                <w:sz w:val="18"/>
                <w:szCs w:val="18"/>
              </w:rPr>
            </w:pPr>
            <w:r w:rsidRPr="00A910E2">
              <w:rPr>
                <w:sz w:val="18"/>
                <w:szCs w:val="18"/>
              </w:rPr>
              <w:t>20-23 juin 2023</w:t>
            </w:r>
          </w:p>
        </w:tc>
        <w:tc>
          <w:tcPr>
            <w:tcW w:w="487" w:type="pct"/>
            <w:tcBorders>
              <w:top w:val="single" w:sz="4" w:space="0" w:color="auto"/>
              <w:left w:val="single" w:sz="4" w:space="0" w:color="auto"/>
              <w:bottom w:val="single" w:sz="4" w:space="0" w:color="auto"/>
              <w:right w:val="single" w:sz="4" w:space="0" w:color="auto"/>
            </w:tcBorders>
            <w:vAlign w:val="center"/>
            <w:hideMark/>
          </w:tcPr>
          <w:p w14:paraId="605E5EAD" w14:textId="77777777" w:rsidR="005B59FC" w:rsidRPr="00A910E2" w:rsidRDefault="005B59FC" w:rsidP="00D21486">
            <w:pPr>
              <w:pStyle w:val="Tabletext"/>
              <w:rPr>
                <w:b/>
                <w:bCs/>
                <w:sz w:val="18"/>
                <w:szCs w:val="18"/>
              </w:rPr>
            </w:pPr>
            <w:r w:rsidRPr="00A910E2">
              <w:rPr>
                <w:b/>
                <w:bCs/>
                <w:sz w:val="18"/>
                <w:szCs w:val="18"/>
              </w:rPr>
              <w:t>RRS-23-Afrique</w:t>
            </w:r>
          </w:p>
        </w:tc>
        <w:tc>
          <w:tcPr>
            <w:tcW w:w="390" w:type="pct"/>
            <w:tcBorders>
              <w:top w:val="single" w:sz="4" w:space="0" w:color="auto"/>
              <w:left w:val="single" w:sz="4" w:space="0" w:color="auto"/>
              <w:bottom w:val="single" w:sz="4" w:space="0" w:color="auto"/>
              <w:right w:val="single" w:sz="4" w:space="0" w:color="auto"/>
            </w:tcBorders>
            <w:vAlign w:val="center"/>
            <w:hideMark/>
          </w:tcPr>
          <w:p w14:paraId="1F62F05C" w14:textId="77777777" w:rsidR="005B59FC" w:rsidRPr="00A910E2" w:rsidRDefault="005B59FC" w:rsidP="00D21486">
            <w:pPr>
              <w:pStyle w:val="Tabletext"/>
              <w:jc w:val="center"/>
              <w:rPr>
                <w:sz w:val="18"/>
                <w:szCs w:val="18"/>
              </w:rPr>
            </w:pPr>
            <w:r w:rsidRPr="00A910E2">
              <w:rPr>
                <w:sz w:val="18"/>
                <w:szCs w:val="18"/>
              </w:rPr>
              <w:t>Brazzaville (Congo)</w:t>
            </w:r>
          </w:p>
        </w:tc>
        <w:tc>
          <w:tcPr>
            <w:tcW w:w="534" w:type="pct"/>
            <w:tcBorders>
              <w:top w:val="single" w:sz="4" w:space="0" w:color="auto"/>
              <w:left w:val="single" w:sz="4" w:space="0" w:color="auto"/>
              <w:bottom w:val="single" w:sz="4" w:space="0" w:color="auto"/>
              <w:right w:val="single" w:sz="4" w:space="0" w:color="auto"/>
            </w:tcBorders>
            <w:vAlign w:val="center"/>
            <w:hideMark/>
          </w:tcPr>
          <w:p w14:paraId="31ABC746" w14:textId="77777777" w:rsidR="005B59FC" w:rsidRPr="00A910E2" w:rsidRDefault="007F13FC" w:rsidP="00D21486">
            <w:pPr>
              <w:pStyle w:val="Tabletext"/>
              <w:jc w:val="center"/>
              <w:rPr>
                <w:sz w:val="18"/>
                <w:szCs w:val="18"/>
              </w:rPr>
            </w:pPr>
            <w:hyperlink r:id="rId64" w:tgtFrame="_blank" w:history="1">
              <w:r w:rsidR="005B59FC" w:rsidRPr="00A910E2">
                <w:rPr>
                  <w:rStyle w:val="Hyperlink"/>
                  <w:sz w:val="18"/>
                  <w:szCs w:val="18"/>
                </w:rPr>
                <w:t>Agence de Régulation des Postes et des Communications Électroniques (ARPCE)</w:t>
              </w:r>
            </w:hyperlink>
          </w:p>
        </w:tc>
        <w:tc>
          <w:tcPr>
            <w:tcW w:w="924" w:type="pct"/>
            <w:tcBorders>
              <w:top w:val="single" w:sz="4" w:space="0" w:color="auto"/>
              <w:left w:val="single" w:sz="4" w:space="0" w:color="auto"/>
              <w:bottom w:val="single" w:sz="4" w:space="0" w:color="auto"/>
              <w:right w:val="single" w:sz="4" w:space="0" w:color="auto"/>
            </w:tcBorders>
            <w:vAlign w:val="center"/>
            <w:hideMark/>
          </w:tcPr>
          <w:p w14:paraId="260897B5" w14:textId="77777777" w:rsidR="005B59FC" w:rsidRPr="00A910E2" w:rsidRDefault="007F13FC" w:rsidP="00D21486">
            <w:pPr>
              <w:pStyle w:val="Tabletext"/>
              <w:jc w:val="center"/>
              <w:rPr>
                <w:sz w:val="18"/>
                <w:szCs w:val="18"/>
              </w:rPr>
            </w:pPr>
            <w:hyperlink r:id="rId65" w:tgtFrame="_blank" w:history="1">
              <w:r w:rsidR="005B59FC" w:rsidRPr="00A910E2">
                <w:rPr>
                  <w:rStyle w:val="Hyperlink"/>
                  <w:sz w:val="18"/>
                  <w:szCs w:val="18"/>
                </w:rPr>
                <w:t>Initiative de politique et de régulation pour le numérique en Afrique (PRIDA)</w:t>
              </w:r>
            </w:hyperlink>
          </w:p>
          <w:p w14:paraId="32B0B4F9" w14:textId="77777777" w:rsidR="005B59FC" w:rsidRPr="00A910E2" w:rsidRDefault="007F13FC" w:rsidP="00D21486">
            <w:pPr>
              <w:pStyle w:val="Tabletext"/>
              <w:jc w:val="center"/>
              <w:rPr>
                <w:sz w:val="18"/>
                <w:szCs w:val="18"/>
              </w:rPr>
            </w:pPr>
            <w:hyperlink r:id="rId66" w:history="1">
              <w:r w:rsidR="005B59FC" w:rsidRPr="00A910E2">
                <w:rPr>
                  <w:rStyle w:val="Hyperlink"/>
                  <w:sz w:val="18"/>
                  <w:szCs w:val="18"/>
                </w:rPr>
                <w:t>Union africaine des télécommunications (UAT)</w:t>
              </w:r>
            </w:hyperlink>
          </w:p>
          <w:p w14:paraId="401B9377" w14:textId="77777777" w:rsidR="005B59FC" w:rsidRPr="00A910E2" w:rsidRDefault="005B59FC" w:rsidP="00D21486">
            <w:pPr>
              <w:pStyle w:val="Tabletext"/>
              <w:jc w:val="center"/>
              <w:rPr>
                <w:sz w:val="18"/>
                <w:szCs w:val="18"/>
              </w:rPr>
            </w:pPr>
            <w:r w:rsidRPr="00A910E2">
              <w:rPr>
                <w:sz w:val="18"/>
                <w:szCs w:val="18"/>
              </w:rPr>
              <w:t>Bureau de l'UIT pour la région Afrique</w:t>
            </w:r>
          </w:p>
        </w:tc>
        <w:tc>
          <w:tcPr>
            <w:tcW w:w="731" w:type="pct"/>
            <w:tcBorders>
              <w:top w:val="single" w:sz="4" w:space="0" w:color="auto"/>
              <w:left w:val="single" w:sz="4" w:space="0" w:color="auto"/>
              <w:bottom w:val="single" w:sz="4" w:space="0" w:color="auto"/>
              <w:right w:val="single" w:sz="4" w:space="0" w:color="auto"/>
            </w:tcBorders>
            <w:vAlign w:val="center"/>
          </w:tcPr>
          <w:p w14:paraId="7CF5225B" w14:textId="77777777" w:rsidR="005B59FC" w:rsidRPr="00A910E2" w:rsidRDefault="005B59FC" w:rsidP="00D21486">
            <w:pPr>
              <w:pStyle w:val="Tabletext"/>
              <w:jc w:val="center"/>
              <w:rPr>
                <w:sz w:val="18"/>
                <w:szCs w:val="18"/>
              </w:rPr>
            </w:pPr>
            <w:r w:rsidRPr="00A910E2">
              <w:rPr>
                <w:sz w:val="18"/>
                <w:szCs w:val="18"/>
              </w:rPr>
              <w:t>Atelier UIT-PRIDA: Le large bande hertzien (de Terre et par satellite)</w:t>
            </w:r>
          </w:p>
        </w:tc>
        <w:tc>
          <w:tcPr>
            <w:tcW w:w="292" w:type="pct"/>
            <w:tcBorders>
              <w:top w:val="single" w:sz="4" w:space="0" w:color="auto"/>
              <w:left w:val="single" w:sz="4" w:space="0" w:color="auto"/>
              <w:bottom w:val="single" w:sz="4" w:space="0" w:color="auto"/>
              <w:right w:val="single" w:sz="4" w:space="0" w:color="auto"/>
            </w:tcBorders>
            <w:vAlign w:val="center"/>
            <w:hideMark/>
          </w:tcPr>
          <w:p w14:paraId="6333ED00" w14:textId="77777777" w:rsidR="005B59FC" w:rsidRPr="00A910E2" w:rsidRDefault="005B59FC" w:rsidP="00D21486">
            <w:pPr>
              <w:pStyle w:val="Tabletext"/>
              <w:jc w:val="center"/>
              <w:rPr>
                <w:sz w:val="18"/>
                <w:szCs w:val="18"/>
              </w:rPr>
            </w:pPr>
            <w:r w:rsidRPr="00A910E2">
              <w:rPr>
                <w:sz w:val="18"/>
                <w:szCs w:val="18"/>
              </w:rPr>
              <w:t>E, F</w:t>
            </w:r>
          </w:p>
        </w:tc>
        <w:tc>
          <w:tcPr>
            <w:tcW w:w="440" w:type="pct"/>
            <w:tcBorders>
              <w:top w:val="single" w:sz="4" w:space="0" w:color="auto"/>
              <w:left w:val="single" w:sz="4" w:space="0" w:color="auto"/>
              <w:bottom w:val="single" w:sz="4" w:space="0" w:color="auto"/>
              <w:right w:val="single" w:sz="4" w:space="0" w:color="auto"/>
            </w:tcBorders>
            <w:vAlign w:val="center"/>
            <w:hideMark/>
          </w:tcPr>
          <w:p w14:paraId="5A180139" w14:textId="77777777" w:rsidR="005B59FC" w:rsidRPr="00A910E2" w:rsidRDefault="005B59FC" w:rsidP="00D21486">
            <w:pPr>
              <w:pStyle w:val="Tabletext"/>
              <w:jc w:val="center"/>
              <w:rPr>
                <w:sz w:val="18"/>
                <w:szCs w:val="18"/>
              </w:rPr>
            </w:pPr>
            <w:r w:rsidRPr="00A910E2">
              <w:rPr>
                <w:sz w:val="18"/>
                <w:szCs w:val="18"/>
              </w:rPr>
              <w:t>103/46</w:t>
            </w:r>
          </w:p>
        </w:tc>
        <w:tc>
          <w:tcPr>
            <w:tcW w:w="425" w:type="pct"/>
            <w:tcBorders>
              <w:top w:val="single" w:sz="4" w:space="0" w:color="auto"/>
              <w:left w:val="single" w:sz="4" w:space="0" w:color="auto"/>
              <w:bottom w:val="single" w:sz="4" w:space="0" w:color="auto"/>
              <w:right w:val="single" w:sz="4" w:space="0" w:color="auto"/>
            </w:tcBorders>
            <w:vAlign w:val="center"/>
          </w:tcPr>
          <w:p w14:paraId="65F3DAF2" w14:textId="77777777" w:rsidR="005B59FC" w:rsidRPr="00A910E2" w:rsidDel="00940AB8" w:rsidRDefault="005B59FC" w:rsidP="00D21486">
            <w:pPr>
              <w:pStyle w:val="Tabletext"/>
              <w:jc w:val="center"/>
              <w:rPr>
                <w:sz w:val="18"/>
                <w:szCs w:val="18"/>
              </w:rPr>
            </w:pPr>
            <w:r w:rsidRPr="00A910E2">
              <w:rPr>
                <w:sz w:val="18"/>
                <w:szCs w:val="18"/>
              </w:rPr>
              <w:t>11 (financées et accordées par le BR et PRIDA (UE))</w:t>
            </w:r>
          </w:p>
        </w:tc>
      </w:tr>
    </w:tbl>
    <w:p w14:paraId="02CE18BC" w14:textId="77777777" w:rsidR="005B59FC" w:rsidRPr="00A910E2" w:rsidRDefault="005B59FC" w:rsidP="005B59FC">
      <w:r w:rsidRPr="00A910E2">
        <w:t>Le BR, avec ses partenaires régionaux, a accordé 11 bourses complètes et 24 bourses partielles pour la participation aux séminaires RRS (une bourse par pays remplissant les conditions requises).</w:t>
      </w:r>
    </w:p>
    <w:p w14:paraId="37979813" w14:textId="77777777" w:rsidR="005B59FC" w:rsidRPr="00A910E2" w:rsidRDefault="005B59FC" w:rsidP="005B59FC">
      <w:pPr>
        <w:sectPr w:rsidR="005B59FC" w:rsidRPr="00A910E2" w:rsidSect="00741587">
          <w:headerReference w:type="default" r:id="rId67"/>
          <w:footerReference w:type="default" r:id="rId68"/>
          <w:headerReference w:type="first" r:id="rId69"/>
          <w:footerReference w:type="first" r:id="rId70"/>
          <w:pgSz w:w="16840" w:h="11907" w:orient="landscape" w:code="9"/>
          <w:pgMar w:top="1134" w:right="1418" w:bottom="1134" w:left="851" w:header="720" w:footer="720" w:gutter="0"/>
          <w:paperSrc w:first="15" w:other="15"/>
          <w:cols w:space="720"/>
          <w:docGrid w:linePitch="326"/>
        </w:sectPr>
      </w:pPr>
    </w:p>
    <w:p w14:paraId="4DB1D816" w14:textId="77777777" w:rsidR="005B59FC" w:rsidRPr="00A910E2" w:rsidRDefault="005B59FC" w:rsidP="005B59FC">
      <w:pPr>
        <w:pStyle w:val="Heading3"/>
        <w:rPr>
          <w:i/>
          <w:iCs/>
        </w:rPr>
      </w:pPr>
      <w:bookmarkStart w:id="43" w:name="_Toc446060786"/>
      <w:bookmarkStart w:id="44" w:name="_Toc424047604"/>
      <w:r w:rsidRPr="00A910E2">
        <w:t>8.2.3</w:t>
      </w:r>
      <w:r w:rsidRPr="00A910E2">
        <w:tab/>
        <w:t>Séminaires mondiaux et régionaux des radiocommunications prévus durant la période 2024-2027</w:t>
      </w:r>
    </w:p>
    <w:bookmarkEnd w:id="43"/>
    <w:p w14:paraId="3ABBA3E7" w14:textId="77777777" w:rsidR="005B59FC" w:rsidRPr="00A910E2" w:rsidRDefault="005B59FC" w:rsidP="005B59FC">
      <w:r w:rsidRPr="00A910E2">
        <w:t>Compte tenu du calendrier de séminaires WRS/RRS pour la période 2024-2027 (Tableau 8.2.2-1), il est prévu d'organiser les séminaires suivants en 2024:</w:t>
      </w:r>
    </w:p>
    <w:p w14:paraId="4B8B9B93" w14:textId="77777777" w:rsidR="005B59FC" w:rsidRPr="00A910E2" w:rsidRDefault="005B59FC" w:rsidP="005B59FC">
      <w:pPr>
        <w:pStyle w:val="enumlev1"/>
      </w:pPr>
      <w:r w:rsidRPr="00A910E2">
        <w:t>•</w:t>
      </w:r>
      <w:r w:rsidRPr="00A910E2">
        <w:tab/>
        <w:t>RRS-24-CEI: 14-19 avril, Astana (Kazakhstan) (en russe);</w:t>
      </w:r>
    </w:p>
    <w:p w14:paraId="45DC3B41" w14:textId="77777777" w:rsidR="005B59FC" w:rsidRPr="00A910E2" w:rsidRDefault="005B59FC" w:rsidP="005B59FC">
      <w:pPr>
        <w:pStyle w:val="enumlev1"/>
      </w:pPr>
      <w:r w:rsidRPr="00A910E2">
        <w:t>•</w:t>
      </w:r>
      <w:r w:rsidRPr="00A910E2">
        <w:tab/>
        <w:t>RRS-24-Amériques (axé sur les États des Caraïbes): 22-26 juillet, lieu à déterminer;</w:t>
      </w:r>
    </w:p>
    <w:p w14:paraId="2CDA1930" w14:textId="77777777" w:rsidR="005B59FC" w:rsidRPr="00A910E2" w:rsidRDefault="005B59FC" w:rsidP="005B59FC">
      <w:pPr>
        <w:pStyle w:val="enumlev1"/>
      </w:pPr>
      <w:r w:rsidRPr="00A910E2">
        <w:t>•</w:t>
      </w:r>
      <w:r w:rsidRPr="00A910E2">
        <w:tab/>
        <w:t>RRS-24-Asie-Pacifique: 23-27 septembre, Apia (Samoa);</w:t>
      </w:r>
    </w:p>
    <w:p w14:paraId="4605017B" w14:textId="77777777" w:rsidR="005B59FC" w:rsidRPr="00A910E2" w:rsidRDefault="005B59FC" w:rsidP="005B59FC">
      <w:pPr>
        <w:pStyle w:val="enumlev1"/>
      </w:pPr>
      <w:r w:rsidRPr="00A910E2">
        <w:t>•</w:t>
      </w:r>
      <w:r w:rsidRPr="00A910E2">
        <w:tab/>
        <w:t>WRS-24: 6-12 décembre 2024, [Genève (Suisse)].</w:t>
      </w:r>
    </w:p>
    <w:p w14:paraId="4916AA9E" w14:textId="77777777" w:rsidR="005B59FC" w:rsidRPr="00A910E2" w:rsidRDefault="005B59FC" w:rsidP="005B59FC">
      <w:pPr>
        <w:pStyle w:val="Heading3"/>
      </w:pPr>
      <w:r w:rsidRPr="00A910E2">
        <w:rPr>
          <w:bCs/>
        </w:rPr>
        <w:t>8.2.4</w:t>
      </w:r>
      <w:r w:rsidRPr="00A910E2">
        <w:tab/>
        <w:t>Ateliers sur les Tableaux nationaux d'attribution des fréquences (NFAT)</w:t>
      </w:r>
    </w:p>
    <w:p w14:paraId="059C4E90" w14:textId="77777777" w:rsidR="005B59FC" w:rsidRPr="00A910E2" w:rsidRDefault="005B59FC" w:rsidP="005B59FC">
      <w:r w:rsidRPr="00A910E2">
        <w:t>Au cours des différents séminaires RRS, les participants ont souligné qu'il était nécessaire d'améliorer et de mettre à jour d'urgence leurs tableaux nationaux d'attribution des fréquences, et de garantir leur harmonisation avec le RR, en dépit de l'immense défi à relever pour y parvenir, notamment en ce qui concerne:</w:t>
      </w:r>
    </w:p>
    <w:p w14:paraId="587E91A6" w14:textId="77777777" w:rsidR="005B59FC" w:rsidRPr="00A910E2" w:rsidRDefault="005B59FC" w:rsidP="005B59FC">
      <w:pPr>
        <w:pStyle w:val="enumlev1"/>
      </w:pPr>
      <w:r w:rsidRPr="00A910E2">
        <w:t>•</w:t>
      </w:r>
      <w:r w:rsidRPr="00A910E2">
        <w:tab/>
        <w:t>le manque de sensibilisation à l'importance des tableaux nationaux d'attribution des fréquences;</w:t>
      </w:r>
    </w:p>
    <w:p w14:paraId="0AA67502" w14:textId="77777777" w:rsidR="005B59FC" w:rsidRPr="00A910E2" w:rsidRDefault="005B59FC" w:rsidP="005B59FC">
      <w:pPr>
        <w:pStyle w:val="enumlev1"/>
      </w:pPr>
      <w:r w:rsidRPr="00A910E2">
        <w:t>•</w:t>
      </w:r>
      <w:r w:rsidRPr="00A910E2">
        <w:tab/>
        <w:t>le manque de ressources humaines qualifiées et spécialisées pour actualiser et tenir à jour ces tableaux;</w:t>
      </w:r>
    </w:p>
    <w:p w14:paraId="2EE39030" w14:textId="77777777" w:rsidR="005B59FC" w:rsidRPr="00A910E2" w:rsidRDefault="005B59FC" w:rsidP="005B59FC">
      <w:pPr>
        <w:pStyle w:val="enumlev1"/>
      </w:pPr>
      <w:r w:rsidRPr="00A910E2">
        <w:t>•</w:t>
      </w:r>
      <w:r w:rsidRPr="00A910E2">
        <w:tab/>
        <w:t xml:space="preserve">la connaissance insuffisante des questions relatives au RR (en particulier l'Article </w:t>
      </w:r>
      <w:r w:rsidRPr="00A910E2">
        <w:rPr>
          <w:b/>
          <w:bCs/>
        </w:rPr>
        <w:t>5</w:t>
      </w:r>
      <w:r w:rsidRPr="00A910E2">
        <w:t xml:space="preserve"> du RR) et au processus des CMR; même constat en ce qui concerne les structures et les publications des CE de l'UIT-R;</w:t>
      </w:r>
    </w:p>
    <w:p w14:paraId="6B1F5FB2" w14:textId="77777777" w:rsidR="005B59FC" w:rsidRPr="00A910E2" w:rsidRDefault="005B59FC" w:rsidP="005B59FC">
      <w:pPr>
        <w:pStyle w:val="enumlev1"/>
      </w:pPr>
      <w:r w:rsidRPr="00A910E2">
        <w:t>•</w:t>
      </w:r>
      <w:r w:rsidRPr="00A910E2">
        <w:tab/>
        <w:t>les outils informatiques limités (et dépassés) de gestion du spectre (et de mise à jour des tableaux nationaux d'attribution des fréquences).</w:t>
      </w:r>
    </w:p>
    <w:p w14:paraId="2DA71CD6" w14:textId="77777777" w:rsidR="005B59FC" w:rsidRPr="00A910E2" w:rsidRDefault="005B59FC" w:rsidP="005B59FC">
      <w:r w:rsidRPr="00A910E2">
        <w:t>Bien que les séminaires WRS et RRS portent sur cette question, ils restent principalement axés sur:</w:t>
      </w:r>
    </w:p>
    <w:p w14:paraId="7F0A0A3E" w14:textId="77777777" w:rsidR="005B59FC" w:rsidRPr="00A910E2" w:rsidRDefault="005B59FC" w:rsidP="005B59FC">
      <w:pPr>
        <w:pStyle w:val="enumlev1"/>
      </w:pPr>
      <w:r w:rsidRPr="00A910E2">
        <w:t>•</w:t>
      </w:r>
      <w:r w:rsidRPr="00A910E2">
        <w:tab/>
        <w:t>la préparation de fiches de notification pour l'inscription des stations (WRS);</w:t>
      </w:r>
    </w:p>
    <w:p w14:paraId="3F37D7D2" w14:textId="77777777" w:rsidR="005B59FC" w:rsidRPr="00A910E2" w:rsidRDefault="005B59FC" w:rsidP="005B59FC">
      <w:pPr>
        <w:pStyle w:val="enumlev1"/>
      </w:pPr>
      <w:r w:rsidRPr="00A910E2">
        <w:t>•</w:t>
      </w:r>
      <w:r w:rsidRPr="00A910E2">
        <w:tab/>
        <w:t>les questions les plus pertinentes du programme des régions pour la gestion du spectre (par exemple la 5G, la TNT, les grandes constellations, les communications d'urgence, etc.).</w:t>
      </w:r>
    </w:p>
    <w:p w14:paraId="5C5F7153" w14:textId="77777777" w:rsidR="005B59FC" w:rsidRPr="00A910E2" w:rsidRDefault="005B59FC" w:rsidP="005B59FC">
      <w:r w:rsidRPr="00A910E2">
        <w:t>Par conséquent, il a été jugé nécessaire de compléter les séminaires WRS/RRS par une formation spécifiquement consacrée au tableaux nationaux d'attribution des fréquences et à leur mise à jour compte tenu du RR de l'UIT et des publications de l'UIT-R.</w:t>
      </w:r>
    </w:p>
    <w:p w14:paraId="548B556B" w14:textId="77777777" w:rsidR="005B59FC" w:rsidRPr="00A910E2" w:rsidRDefault="005B59FC" w:rsidP="005B59FC">
      <w:r w:rsidRPr="00A910E2">
        <w:t>Pour combler les insuffisances identifiées ci-dessus et répondre aux demandes d'assistance technique, en mai 2021, dans le cadre de l'Initiative de politique et de régulation pour l'Afrique numérique (PRIDA), l'UIT a organisé l'</w:t>
      </w:r>
      <w:hyperlink r:id="rId71" w:history="1">
        <w:r w:rsidRPr="00A910E2">
          <w:rPr>
            <w:rStyle w:val="Hyperlink"/>
          </w:rPr>
          <w:t xml:space="preserve">Atelier sur la préparation du Tableau national d'attribution des fréquences </w:t>
        </w:r>
      </w:hyperlink>
      <w:r w:rsidRPr="00A910E2">
        <w:t>(en ligne, en anglais et en français, du 24 au 27 mai 2021).</w:t>
      </w:r>
    </w:p>
    <w:p w14:paraId="0058C2AA" w14:textId="77777777" w:rsidR="005B59FC" w:rsidRPr="00A910E2" w:rsidRDefault="005B59FC" w:rsidP="005B59FC">
      <w:r w:rsidRPr="00A910E2">
        <w:t>Cet atelier a connu un succès retentissant et a suscité un grand nombre de retours positifs. De ce fait, lors de la récente réunion de coordination entre le BR et les bureaux régionaux, ces derniers ont demandé que cet atelier sur les activités de renforcement des capacités en matière de gestion du spectre soit organisé dans leurs régions respectives.</w:t>
      </w:r>
    </w:p>
    <w:p w14:paraId="6830B099" w14:textId="77777777" w:rsidR="005B59FC" w:rsidRPr="00A910E2" w:rsidRDefault="005B59FC" w:rsidP="005B59FC">
      <w:r w:rsidRPr="00A910E2">
        <w:t>En réponse à cette demande, le BR organisera les ateliers suivants consacrés aux tableaux nationaux d'attribution des fréquences (un atelier par Région du RR):</w:t>
      </w:r>
    </w:p>
    <w:p w14:paraId="2EF3CA4E" w14:textId="77777777" w:rsidR="005B59FC" w:rsidRPr="00A910E2" w:rsidRDefault="005B59FC" w:rsidP="005B59FC">
      <w:pPr>
        <w:pStyle w:val="enumlev1"/>
      </w:pPr>
      <w:r w:rsidRPr="00A910E2">
        <w:t>•</w:t>
      </w:r>
      <w:r w:rsidRPr="00A910E2">
        <w:tab/>
        <w:t>Atelier sur les tableaux nationaux d'attribution des fréquences pour la Région 1: 14-17 mai, Addis-Abeba (Éthiopie) (à déterminer) en coopération avec l'UAT et l'ASMG</w:t>
      </w:r>
    </w:p>
    <w:p w14:paraId="59A4E9B3" w14:textId="77777777" w:rsidR="005B59FC" w:rsidRPr="00A910E2" w:rsidRDefault="005B59FC" w:rsidP="005B59FC">
      <w:pPr>
        <w:pStyle w:val="enumlev1"/>
      </w:pPr>
      <w:r w:rsidRPr="00A910E2">
        <w:t>•</w:t>
      </w:r>
      <w:r w:rsidRPr="00A910E2">
        <w:tab/>
        <w:t>Atelier sur les tableaux nationaux d'attribution des fréquences pour la Région 3: 28-31 mai: Shenzhen (Chine), en coopération avec l'APT et la PITA</w:t>
      </w:r>
    </w:p>
    <w:p w14:paraId="26A6704A" w14:textId="77777777" w:rsidR="005B59FC" w:rsidRPr="00A910E2" w:rsidRDefault="005B59FC" w:rsidP="005B59FC">
      <w:pPr>
        <w:pStyle w:val="enumlev1"/>
      </w:pPr>
      <w:r w:rsidRPr="00A910E2">
        <w:t>•</w:t>
      </w:r>
      <w:r w:rsidRPr="00A910E2">
        <w:tab/>
        <w:t>Atelier sur les tableaux nationaux d'attribution des fréquences pour la Région 2: 18-21 juin: (lieu à déterminer), en coopération avec la CITEL, la CTU et la COMTELCA</w:t>
      </w:r>
    </w:p>
    <w:p w14:paraId="5A2E8ED0" w14:textId="77777777" w:rsidR="005B59FC" w:rsidRPr="00A910E2" w:rsidRDefault="005B59FC" w:rsidP="005B59FC">
      <w:pPr>
        <w:pStyle w:val="Heading2"/>
      </w:pPr>
      <w:bookmarkStart w:id="45" w:name="_Toc424047610"/>
      <w:bookmarkStart w:id="46" w:name="_Toc446060788"/>
      <w:bookmarkEnd w:id="44"/>
      <w:r w:rsidRPr="00A910E2">
        <w:t>8.3</w:t>
      </w:r>
      <w:r w:rsidRPr="00A910E2">
        <w:tab/>
        <w:t>Assistance fournie aux États Membres, en particulier aux pays en développement et aux pays les moins avancés (PMA)</w:t>
      </w:r>
      <w:bookmarkEnd w:id="45"/>
      <w:bookmarkEnd w:id="46"/>
    </w:p>
    <w:p w14:paraId="4729A9CA" w14:textId="77777777" w:rsidR="005B59FC" w:rsidRPr="00A910E2" w:rsidRDefault="005B59FC" w:rsidP="005B59FC">
      <w:pPr>
        <w:pStyle w:val="Heading3"/>
      </w:pPr>
      <w:bookmarkStart w:id="47" w:name="_Toc424047611"/>
      <w:bookmarkStart w:id="48" w:name="_Toc446060789"/>
      <w:r w:rsidRPr="00A910E2">
        <w:t>8.3.1</w:t>
      </w:r>
      <w:r w:rsidRPr="00A910E2">
        <w:tab/>
        <w:t>Assistance fournie aux administrations des pays en développement</w:t>
      </w:r>
      <w:bookmarkEnd w:id="47"/>
      <w:bookmarkEnd w:id="48"/>
    </w:p>
    <w:p w14:paraId="24637743" w14:textId="77777777" w:rsidR="005B59FC" w:rsidRPr="00A910E2" w:rsidRDefault="005B59FC" w:rsidP="005B59FC">
      <w:r w:rsidRPr="00A910E2">
        <w:t>Entre la CMR-19 et la CMR-23, le Bureau a fourni une assistance aux administrations des pays en développement dans les domaines suivants:</w:t>
      </w:r>
    </w:p>
    <w:p w14:paraId="16E306C1" w14:textId="77777777" w:rsidR="005B59FC" w:rsidRPr="00A910E2" w:rsidRDefault="005B59FC" w:rsidP="005B59FC">
      <w:pPr>
        <w:pStyle w:val="enumlev1"/>
      </w:pPr>
      <w:r w:rsidRPr="00A910E2">
        <w:t>•</w:t>
      </w:r>
      <w:r w:rsidRPr="00A910E2">
        <w:tab/>
        <w:t>soutien des activités de gestion du spectre au niveau national et fourniture d'une assistance technique dans le domaine des radiocommunications spatiales;</w:t>
      </w:r>
    </w:p>
    <w:p w14:paraId="1E86E38C" w14:textId="77777777" w:rsidR="005B59FC" w:rsidRPr="00A910E2" w:rsidRDefault="005B59FC" w:rsidP="005B59FC">
      <w:pPr>
        <w:pStyle w:val="enumlev1"/>
      </w:pPr>
      <w:r w:rsidRPr="00A910E2">
        <w:t>•</w:t>
      </w:r>
      <w:r w:rsidRPr="00A910E2">
        <w:tab/>
        <w:t>participation aux réunions des groupes de coordination régionaux, conformément à l'Article 12 du Règlement des radiocommunications;</w:t>
      </w:r>
    </w:p>
    <w:p w14:paraId="37D425A3" w14:textId="77777777" w:rsidR="005B59FC" w:rsidRPr="00A910E2" w:rsidRDefault="005B59FC" w:rsidP="005B59FC">
      <w:pPr>
        <w:pStyle w:val="enumlev1"/>
      </w:pPr>
      <w:r w:rsidRPr="00A910E2">
        <w:t>•</w:t>
      </w:r>
      <w:r w:rsidRPr="00A910E2">
        <w:tab/>
        <w:t>fourniture d'une assistance concernant la gestion des fréquences à long terme et les attributions au large bande mobile (IMT);</w:t>
      </w:r>
    </w:p>
    <w:p w14:paraId="60B4A565" w14:textId="77777777" w:rsidR="005B59FC" w:rsidRPr="00A910E2" w:rsidRDefault="005B59FC" w:rsidP="005B59FC">
      <w:pPr>
        <w:pStyle w:val="enumlev1"/>
      </w:pPr>
      <w:r w:rsidRPr="00A910E2">
        <w:t>•</w:t>
      </w:r>
      <w:r w:rsidRPr="00A910E2">
        <w:tab/>
        <w:t>fourniture d'avis et d'une assistance technique pour le passage à la radiodiffusion télévisuelle numérique et la répartition du dividende numérique;</w:t>
      </w:r>
    </w:p>
    <w:p w14:paraId="0D3A02F7" w14:textId="77777777" w:rsidR="005B59FC" w:rsidRPr="00A910E2" w:rsidRDefault="005B59FC" w:rsidP="005B59FC">
      <w:pPr>
        <w:pStyle w:val="enumlev1"/>
      </w:pPr>
      <w:r w:rsidRPr="00A910E2">
        <w:t>•</w:t>
      </w:r>
      <w:r w:rsidRPr="00A910E2">
        <w:tab/>
        <w:t>participation à des séminaires de renforcement des capacités sur les communications par satellite;</w:t>
      </w:r>
    </w:p>
    <w:p w14:paraId="05906718" w14:textId="77777777" w:rsidR="005B59FC" w:rsidRPr="00A910E2" w:rsidRDefault="005B59FC" w:rsidP="005B59FC">
      <w:pPr>
        <w:pStyle w:val="enumlev1"/>
      </w:pPr>
      <w:r w:rsidRPr="00A910E2">
        <w:t>•</w:t>
      </w:r>
      <w:r w:rsidRPr="00A910E2">
        <w:tab/>
        <w:t>fourniture d'une assistance concernant les procédures de coordination au titre des numéros </w:t>
      </w:r>
      <w:r w:rsidRPr="00A910E2">
        <w:rPr>
          <w:b/>
          <w:bCs/>
        </w:rPr>
        <w:t>9.18</w:t>
      </w:r>
      <w:r w:rsidRPr="00A910E2">
        <w:t xml:space="preserve">, </w:t>
      </w:r>
      <w:r w:rsidRPr="00A910E2">
        <w:rPr>
          <w:b/>
          <w:bCs/>
        </w:rPr>
        <w:t>9.19</w:t>
      </w:r>
      <w:r w:rsidRPr="00A910E2">
        <w:t xml:space="preserve"> et </w:t>
      </w:r>
      <w:r w:rsidRPr="00A910E2">
        <w:rPr>
          <w:b/>
          <w:bCs/>
        </w:rPr>
        <w:t>9.21</w:t>
      </w:r>
      <w:r w:rsidRPr="00A910E2">
        <w:t xml:space="preserve"> du RR;</w:t>
      </w:r>
    </w:p>
    <w:p w14:paraId="0FCFC163" w14:textId="77777777" w:rsidR="005B59FC" w:rsidRPr="00A910E2" w:rsidRDefault="005B59FC" w:rsidP="005B59FC">
      <w:pPr>
        <w:pStyle w:val="enumlev1"/>
      </w:pPr>
      <w:r w:rsidRPr="00A910E2">
        <w:t>•</w:t>
      </w:r>
      <w:r w:rsidRPr="00A910E2">
        <w:tab/>
        <w:t>fourniture d'une assistance concernant les procédures de modification du Plan au titre de l'Accord GE06;</w:t>
      </w:r>
    </w:p>
    <w:p w14:paraId="303AB940" w14:textId="77777777" w:rsidR="005B59FC" w:rsidRPr="00A910E2" w:rsidRDefault="005B59FC" w:rsidP="005B59FC">
      <w:pPr>
        <w:pStyle w:val="enumlev1"/>
      </w:pPr>
      <w:r w:rsidRPr="00A910E2">
        <w:t>•</w:t>
      </w:r>
      <w:r w:rsidRPr="00A910E2">
        <w:tab/>
        <w:t>fourniture d'une assistance concernant l'assignation des indicatifs d'appel et des identités MMSI;</w:t>
      </w:r>
    </w:p>
    <w:p w14:paraId="57E18E43" w14:textId="77777777" w:rsidR="005B59FC" w:rsidRPr="00A910E2" w:rsidRDefault="005B59FC" w:rsidP="005B59FC">
      <w:pPr>
        <w:pStyle w:val="enumlev1"/>
      </w:pPr>
      <w:r w:rsidRPr="00A910E2">
        <w:t>•</w:t>
      </w:r>
      <w:r w:rsidRPr="00A910E2">
        <w:tab/>
        <w:t>fourniture d'une assistance concernant les procédures applicables aux systèmes spatiaux;</w:t>
      </w:r>
    </w:p>
    <w:p w14:paraId="031B7B28" w14:textId="77777777" w:rsidR="005B59FC" w:rsidRPr="00A910E2" w:rsidRDefault="005B59FC" w:rsidP="005B59FC">
      <w:pPr>
        <w:pStyle w:val="enumlev1"/>
      </w:pPr>
      <w:r w:rsidRPr="00A910E2">
        <w:t>•</w:t>
      </w:r>
      <w:r w:rsidRPr="00A910E2">
        <w:tab/>
        <w:t xml:space="preserve">fourniture d'une assistance ciblée concernant la mise en œuvre de la Résolution </w:t>
      </w:r>
      <w:r w:rsidRPr="00A910E2">
        <w:rPr>
          <w:b/>
          <w:bCs/>
        </w:rPr>
        <w:t>559 (CMR</w:t>
      </w:r>
      <w:r w:rsidRPr="00A910E2">
        <w:rPr>
          <w:b/>
          <w:bCs/>
        </w:rPr>
        <w:noBreakHyphen/>
        <w:t>19)</w:t>
      </w:r>
      <w:r w:rsidRPr="00A910E2">
        <w:t>.</w:t>
      </w:r>
    </w:p>
    <w:p w14:paraId="505066B3" w14:textId="77777777" w:rsidR="005B59FC" w:rsidRPr="00A910E2" w:rsidRDefault="005B59FC" w:rsidP="005B59FC">
      <w:pPr>
        <w:pStyle w:val="Heading3"/>
      </w:pPr>
      <w:bookmarkStart w:id="49" w:name="_Toc424047612"/>
      <w:bookmarkStart w:id="50" w:name="_Toc446060790"/>
      <w:r w:rsidRPr="00A910E2">
        <w:t>8.3.2</w:t>
      </w:r>
      <w:r w:rsidRPr="00A910E2">
        <w:tab/>
        <w:t>Assistance aux groupes régionaux</w:t>
      </w:r>
      <w:bookmarkEnd w:id="49"/>
      <w:bookmarkEnd w:id="50"/>
    </w:p>
    <w:p w14:paraId="3780D193" w14:textId="77777777" w:rsidR="005B59FC" w:rsidRPr="00A910E2" w:rsidRDefault="005B59FC" w:rsidP="005B59FC">
      <w:bookmarkStart w:id="51" w:name="_Toc424047613"/>
      <w:r w:rsidRPr="00A910E2">
        <w:t>En 2021-2022, le BR a analysé minutieusement une série de documents et de recommandations en rapport avec le spectre élaborés par l'Union africaine des télécommunications (UAT), par exemple le plan d'attribution de spectre en Afrique, les Recommandations UAT-R sur la mise en œuvre de la 5G en Afrique, la publication sur l'état de la radiodiffusion sonore numérique en Afrique et des Recommandations relatives à la gestion du spectre (octroi de licences, gestion du spectre, évolution du spectre), et a proposé des modifications pertinentes à apporter à ces documents et recommandations.</w:t>
      </w:r>
    </w:p>
    <w:p w14:paraId="63F4B823" w14:textId="77777777" w:rsidR="005B59FC" w:rsidRPr="00A910E2" w:rsidRDefault="005B59FC" w:rsidP="005B59FC">
      <w:r w:rsidRPr="00A910E2">
        <w:t>Le Bureau a participé activement à diverses activités dans le cadre de l'Initiative de politique et de régulation pour le numérique en Afrique (PRIDA) de l'Union africaine, de l'Union européenne et de l'UIT. Parmi ces activités, on peut citer:</w:t>
      </w:r>
    </w:p>
    <w:p w14:paraId="3E48F859" w14:textId="77777777" w:rsidR="005B59FC" w:rsidRPr="00A910E2" w:rsidRDefault="005B59FC" w:rsidP="005B59FC">
      <w:pPr>
        <w:pStyle w:val="enumlev1"/>
      </w:pPr>
      <w:r w:rsidRPr="00A910E2">
        <w:t>•</w:t>
      </w:r>
      <w:r w:rsidRPr="00A910E2">
        <w:tab/>
        <w:t>un atelier de renforcement des capacités sur la gestion moderne du spectre et le logiciel de gestion du spectre de l'UIT pour les pays en développement (SMS4DC) (mai 2020);</w:t>
      </w:r>
    </w:p>
    <w:p w14:paraId="106C3BD0" w14:textId="77777777" w:rsidR="005B59FC" w:rsidRPr="00A910E2" w:rsidRDefault="005B59FC" w:rsidP="005B59FC">
      <w:pPr>
        <w:pStyle w:val="enumlev1"/>
      </w:pPr>
      <w:r w:rsidRPr="00A910E2">
        <w:t>•</w:t>
      </w:r>
      <w:r w:rsidRPr="00A910E2">
        <w:tab/>
        <w:t>un atelier de renforcement des capacités sur l'Internet des objets et les services numériques (août 2020);</w:t>
      </w:r>
    </w:p>
    <w:p w14:paraId="233F46FF" w14:textId="77777777" w:rsidR="005B59FC" w:rsidRPr="00A910E2" w:rsidRDefault="005B59FC" w:rsidP="005B59FC">
      <w:pPr>
        <w:pStyle w:val="enumlev1"/>
      </w:pPr>
      <w:r w:rsidRPr="00A910E2">
        <w:t>•</w:t>
      </w:r>
      <w:r w:rsidRPr="00A910E2">
        <w:tab/>
        <w:t>une réunion en ligne du Comité technique (novembre 2020);</w:t>
      </w:r>
    </w:p>
    <w:p w14:paraId="4D937376" w14:textId="77777777" w:rsidR="005B59FC" w:rsidRPr="00A910E2" w:rsidRDefault="005B59FC" w:rsidP="005B59FC">
      <w:pPr>
        <w:pStyle w:val="enumlev1"/>
      </w:pPr>
      <w:r w:rsidRPr="00A910E2">
        <w:t>•</w:t>
      </w:r>
      <w:r w:rsidRPr="00A910E2">
        <w:tab/>
        <w:t>un atelier en ligne pour la validation des rapports techniques et des lignes directrices, 9</w:t>
      </w:r>
      <w:r w:rsidRPr="00A910E2">
        <w:noBreakHyphen/>
        <w:t>11 mars 2021;</w:t>
      </w:r>
    </w:p>
    <w:p w14:paraId="2CC15301" w14:textId="77777777" w:rsidR="005B59FC" w:rsidRPr="00A910E2" w:rsidRDefault="005B59FC" w:rsidP="005B59FC">
      <w:pPr>
        <w:pStyle w:val="enumlev1"/>
      </w:pPr>
      <w:r w:rsidRPr="00A910E2">
        <w:t>•</w:t>
      </w:r>
      <w:r w:rsidRPr="00A910E2">
        <w:tab/>
        <w:t>un atelier en ligne sur l'élaboration du Tableau national d'attribution des bandes de fréquences, mai 2021;</w:t>
      </w:r>
    </w:p>
    <w:p w14:paraId="0F9A1EBD" w14:textId="77777777" w:rsidR="005B59FC" w:rsidRPr="00A910E2" w:rsidRDefault="005B59FC" w:rsidP="005B59FC">
      <w:pPr>
        <w:pStyle w:val="enumlev1"/>
      </w:pPr>
      <w:r w:rsidRPr="00A910E2">
        <w:t>•</w:t>
      </w:r>
      <w:r w:rsidRPr="00A910E2">
        <w:tab/>
        <w:t>un atelier en ligne sur la méthode de calcul harmonisée pour l'Afrique (HCM4A), novembre 2021;</w:t>
      </w:r>
    </w:p>
    <w:p w14:paraId="2699F62E" w14:textId="77777777" w:rsidR="005B59FC" w:rsidRPr="00A910E2" w:rsidRDefault="005B59FC" w:rsidP="005B59FC">
      <w:pPr>
        <w:pStyle w:val="enumlev1"/>
      </w:pPr>
      <w:r w:rsidRPr="00A910E2">
        <w:t>•</w:t>
      </w:r>
      <w:r w:rsidRPr="00A910E2">
        <w:tab/>
        <w:t>une réunion en ligne des coordonnateurs, octobre 2021;</w:t>
      </w:r>
    </w:p>
    <w:p w14:paraId="7B85FB0E" w14:textId="77777777" w:rsidR="005B59FC" w:rsidRPr="00A910E2" w:rsidRDefault="005B59FC" w:rsidP="005B59FC">
      <w:pPr>
        <w:pStyle w:val="enumlev1"/>
      </w:pPr>
      <w:r w:rsidRPr="00A910E2">
        <w:t>•</w:t>
      </w:r>
      <w:r w:rsidRPr="00A910E2">
        <w:tab/>
        <w:t>une réunion du Comité technique, juin 2022;</w:t>
      </w:r>
    </w:p>
    <w:p w14:paraId="5DFD38B4" w14:textId="77777777" w:rsidR="005B59FC" w:rsidRPr="00A910E2" w:rsidRDefault="005B59FC" w:rsidP="005B59FC">
      <w:pPr>
        <w:pStyle w:val="enumlev1"/>
      </w:pPr>
      <w:r w:rsidRPr="00A910E2">
        <w:t>•</w:t>
      </w:r>
      <w:r w:rsidRPr="00A910E2">
        <w:tab/>
        <w:t>une formation sur les services de communications aéronautiques et maritimes, avril 2023 (en anglais);</w:t>
      </w:r>
    </w:p>
    <w:p w14:paraId="56752B87" w14:textId="77777777" w:rsidR="005B59FC" w:rsidRPr="00A910E2" w:rsidRDefault="005B59FC" w:rsidP="005B59FC">
      <w:pPr>
        <w:pStyle w:val="enumlev1"/>
      </w:pPr>
      <w:r w:rsidRPr="00A910E2">
        <w:t>•</w:t>
      </w:r>
      <w:r w:rsidRPr="00A910E2">
        <w:tab/>
        <w:t>une formation sur les services de communications aéronautiques et maritimes, mai 2023 (en français).</w:t>
      </w:r>
    </w:p>
    <w:p w14:paraId="6813C796" w14:textId="77777777" w:rsidR="005B59FC" w:rsidRPr="00A910E2" w:rsidRDefault="005B59FC" w:rsidP="005B59FC">
      <w:r w:rsidRPr="00A910E2">
        <w:t xml:space="preserve">Le Bureau a également participé à plusieurs ateliers organisés par l'UAT ou la Communauté de développement de l'Afrique australe (SADC) sur la mise en œuvre de la Résolution </w:t>
      </w:r>
      <w:r w:rsidRPr="00A910E2">
        <w:rPr>
          <w:b/>
          <w:bCs/>
        </w:rPr>
        <w:t>559 (CMR-19)</w:t>
      </w:r>
      <w:r w:rsidRPr="00A910E2">
        <w:t xml:space="preserve"> et d'autres procédures applicables aux systèmes spatiaux.</w:t>
      </w:r>
    </w:p>
    <w:p w14:paraId="59DCB4C2" w14:textId="77777777" w:rsidR="005B59FC" w:rsidRPr="00A910E2" w:rsidRDefault="005B59FC" w:rsidP="005B59FC">
      <w:pPr>
        <w:pStyle w:val="Heading4"/>
      </w:pPr>
      <w:r w:rsidRPr="00A910E2">
        <w:t>8.3.2.1</w:t>
      </w:r>
      <w:r w:rsidRPr="00A910E2">
        <w:tab/>
        <w:t>Assistance à l'UAT</w:t>
      </w:r>
      <w:bookmarkEnd w:id="51"/>
    </w:p>
    <w:p w14:paraId="030F6C91" w14:textId="77777777" w:rsidR="005B59FC" w:rsidRPr="00A910E2" w:rsidRDefault="005B59FC" w:rsidP="005B59FC">
      <w:r w:rsidRPr="00A910E2">
        <w:t>Entre 2019 et 2022, le Bureau des radiocommunications, en collaboration avec l'Union africaine des télécommunications (UAT), a organisé et mené à bien le projet d'optimisation du Plan GE84 pour l'Afrique.</w:t>
      </w:r>
    </w:p>
    <w:p w14:paraId="01C4B459" w14:textId="77777777" w:rsidR="005B59FC" w:rsidRPr="00A910E2" w:rsidRDefault="005B59FC" w:rsidP="005B59FC">
      <w:r w:rsidRPr="00A910E2">
        <w:t>Le projet avait pour objectif de garantir une utilisation efficace et équitable de la bande 87,5</w:t>
      </w:r>
      <w:r w:rsidRPr="00A910E2">
        <w:noBreakHyphen/>
        <w:t>108 MHz (MF) pour la radiodiffusion sonore analogique et de trouver de nouvelles fréquences pour la radiodiffusion MF pour les administrations africaines.</w:t>
      </w:r>
    </w:p>
    <w:p w14:paraId="72475A40" w14:textId="77777777" w:rsidR="005B59FC" w:rsidRPr="00A910E2" w:rsidRDefault="005B59FC" w:rsidP="005B59FC">
      <w:r w:rsidRPr="00A910E2">
        <w:t>Cette assistance a été fournie dans le cadre de plusieurs ateliers préparatoires et de trois réunions virtuelles de coordination des fréquences, qui ont eu lieu entre février 2021 et janvier 2022. Il en a résulté qu'environ 85% des besoins de fréquences ont été satisfaits; en d'autres termes, 18 326 canaux de fréquence MF ont fait l'objet d'une coordination réussie.</w:t>
      </w:r>
    </w:p>
    <w:p w14:paraId="365E48A0" w14:textId="77777777" w:rsidR="005B59FC" w:rsidRPr="00A910E2" w:rsidRDefault="005B59FC" w:rsidP="005B59FC">
      <w:pPr>
        <w:pStyle w:val="Heading2"/>
      </w:pPr>
      <w:bookmarkStart w:id="52" w:name="_Toc418163382"/>
      <w:bookmarkStart w:id="53" w:name="_Toc418232300"/>
      <w:bookmarkStart w:id="54" w:name="_Toc424047620"/>
      <w:bookmarkStart w:id="55" w:name="_Toc446060792"/>
      <w:r w:rsidRPr="00A910E2">
        <w:t>8.4</w:t>
      </w:r>
      <w:r w:rsidRPr="00A910E2">
        <w:tab/>
        <w:t>Partenariats stratégiques, y compris la coopération intersectorielle</w:t>
      </w:r>
      <w:bookmarkEnd w:id="52"/>
      <w:bookmarkEnd w:id="53"/>
      <w:bookmarkEnd w:id="54"/>
      <w:bookmarkEnd w:id="55"/>
    </w:p>
    <w:p w14:paraId="5A14EC61" w14:textId="77777777" w:rsidR="005B59FC" w:rsidRPr="00A910E2" w:rsidRDefault="005B59FC" w:rsidP="005B59FC">
      <w:pPr>
        <w:pStyle w:val="Heading3"/>
      </w:pPr>
      <w:bookmarkStart w:id="56" w:name="_Toc424047621"/>
      <w:bookmarkStart w:id="57" w:name="_Toc446060793"/>
      <w:r w:rsidRPr="00A910E2">
        <w:t>8.4.1</w:t>
      </w:r>
      <w:r w:rsidRPr="00A910E2">
        <w:tab/>
        <w:t>Coopération avec l'UIT-D</w:t>
      </w:r>
      <w:bookmarkStart w:id="58" w:name="_Toc424047622"/>
      <w:bookmarkEnd w:id="56"/>
      <w:bookmarkEnd w:id="57"/>
    </w:p>
    <w:p w14:paraId="6FBD1F4D" w14:textId="77777777" w:rsidR="005B59FC" w:rsidRPr="00A910E2" w:rsidRDefault="005B59FC" w:rsidP="005B59FC">
      <w:r w:rsidRPr="00A910E2">
        <w:t>Le BR a entretenu une collaboration étroite avec le BDT sur les questions présentant un intérêt mutuel pour l'UIT-R et l'UIT-D. Le BR a participé aux réunions pertinentes des commissions d'études et des Groupes du Rapporteur de l'UIT-D ainsi que du GCDT, lorsque les activités de liaison portaient sur des thèmes comme la gestion du spectre, la radiodiffusion numérique, le passage de l'analogique au numérique, le passage aux IMT et la mise en œuvre des IMT et les technologies d'accès hertzien large bande.</w:t>
      </w:r>
    </w:p>
    <w:p w14:paraId="674FCA2B" w14:textId="675BFEAA" w:rsidR="00C501FF" w:rsidRPr="00A910E2" w:rsidRDefault="005B59FC" w:rsidP="00C501FF">
      <w:r w:rsidRPr="00A910E2">
        <w:t xml:space="preserve">Afin de faciliter la collaboration en utilisant les mécanismes existants, le Département des commissions d'études du BR fournit des résumés des réalisations récentes de ses commissions d'études ou de ses groupes de travail aux commissions d'études de l'UIT-D concernées en tenant à jour tous les produits récemment approuvés. Ces renseignements sont publiés régulièrement sur le </w:t>
      </w:r>
      <w:hyperlink r:id="rId72" w:history="1">
        <w:r w:rsidRPr="00A910E2">
          <w:rPr>
            <w:rStyle w:val="Hyperlink"/>
          </w:rPr>
          <w:t>site web des CE de l'UIT-R</w:t>
        </w:r>
      </w:hyperlink>
      <w:r w:rsidRPr="00A910E2">
        <w:t xml:space="preserve">. Le fichier correspondant contient une liste des textes approuvés récemment, par ordre chronologique pour la période d'études 2019-2023, ainsi qu'une brève description du contenu de chaque document. Le Département des commissions d'études du BR a établi une correspondance avec les questions confiées aux commissions d'études de l'UIT-D et/ou </w:t>
      </w:r>
      <w:r w:rsidR="00C501FF" w:rsidRPr="00A910E2">
        <w:br w:type="page"/>
      </w:r>
    </w:p>
    <w:p w14:paraId="4566B38D" w14:textId="02DCAFC5" w:rsidR="005B59FC" w:rsidRPr="00A910E2" w:rsidRDefault="005B59FC" w:rsidP="005B59FC">
      <w:r w:rsidRPr="00A910E2">
        <w:t>de l'UIT-T pour lesquelles chaque document de l'UIT-R pourrait présenter un intérêt. Cela permet également d'éviter les doubles emplois et d'utiliser les résultats des travaux effectués par les commissions d'études de l'UIT-R.</w:t>
      </w:r>
    </w:p>
    <w:p w14:paraId="1002F554" w14:textId="77777777" w:rsidR="005B59FC" w:rsidRPr="00A910E2" w:rsidRDefault="005B59FC" w:rsidP="005B59FC">
      <w:r w:rsidRPr="00A910E2">
        <w:t>En réponse à des demandes du BDT, des experts de l'UIT-R et du BR ont participé à des séminaires et ateliers de l'UIT organisés par l'UIT-D.</w:t>
      </w:r>
    </w:p>
    <w:p w14:paraId="5C8A4778" w14:textId="77777777" w:rsidR="005B59FC" w:rsidRPr="00A910E2" w:rsidRDefault="005B59FC" w:rsidP="005B59FC">
      <w:r w:rsidRPr="00A910E2">
        <w:t>Le BR continue de s'employer à informer les membres de l'UIT et à leur prêter une assistance, en particulier dans les pays en développement, pour l'examen des sujets se rapportant à des questions de radiocommunication. À cette fin, le BR organise un certain nombre d'ateliers, de séminaires et de réunions consacrés au spectre des fréquences et d'activités en matière de renforcement des capacités, y compris des sessions de formation, ou y participe. Par exemple, la formation nationale IMT-2020/5G du BDT/BR a été organisée dans quatre pays de la CEI, à savoir l'Azerbaïdjan, le Kirghizstan, le Kazakhstan et l'Ouzbékistan en 2022.</w:t>
      </w:r>
      <w:bookmarkStart w:id="59" w:name="_Hlk140483846"/>
      <w:bookmarkEnd w:id="59"/>
    </w:p>
    <w:p w14:paraId="3FE4AA06" w14:textId="77777777" w:rsidR="005B59FC" w:rsidRPr="00A910E2" w:rsidRDefault="005B59FC" w:rsidP="005B59FC">
      <w:pPr>
        <w:pStyle w:val="Heading4"/>
        <w:rPr>
          <w:i/>
          <w:iCs/>
        </w:rPr>
      </w:pPr>
      <w:r w:rsidRPr="00A910E2">
        <w:t>8.4.1.1</w:t>
      </w:r>
      <w:r w:rsidRPr="00A910E2">
        <w:tab/>
        <w:t>Colloque mondial des régulateurs (GSR)</w:t>
      </w:r>
    </w:p>
    <w:p w14:paraId="425B8371" w14:textId="77777777" w:rsidR="005B59FC" w:rsidRPr="00A910E2" w:rsidRDefault="005B59FC" w:rsidP="005B59FC">
      <w:bookmarkStart w:id="60" w:name="_Toc424047623"/>
      <w:bookmarkEnd w:id="58"/>
      <w:r w:rsidRPr="00A910E2">
        <w:t>Conscient de l'importance de la fourniture d'une assistance spécialisée aux États Membres, le BR continue de mettre à la disposition du BDT des compétences techniques sur les aspects relatifs à la gestion du spectre, à la radiodiffusion numérique et au dividende numérique. Le BR a contribué aux travaux du Colloque mondial des régulateurs de l'UIT (en 2020, 2021, 2022 et 2023), en organisant des sessions relatives à la gestion du spectre et en y participant.</w:t>
      </w:r>
    </w:p>
    <w:p w14:paraId="4BCE6908" w14:textId="77777777" w:rsidR="005B59FC" w:rsidRPr="00A910E2" w:rsidRDefault="005B59FC" w:rsidP="005B59FC">
      <w:pPr>
        <w:pStyle w:val="Heading4"/>
        <w:rPr>
          <w:i/>
        </w:rPr>
      </w:pPr>
      <w:r w:rsidRPr="00A910E2">
        <w:t>8.4.1.2</w:t>
      </w:r>
      <w:r w:rsidRPr="00A910E2">
        <w:tab/>
        <w:t>Colloque sur les indicateurs des télécommunications/TIC dans le monde (WTIS)</w:t>
      </w:r>
      <w:bookmarkEnd w:id="60"/>
    </w:p>
    <w:p w14:paraId="48A02FB9" w14:textId="77777777" w:rsidR="005B59FC" w:rsidRPr="00A910E2" w:rsidRDefault="005B59FC" w:rsidP="005B59FC">
      <w:r w:rsidRPr="00A910E2">
        <w:t>Le BR a coopéré avec le BDT en ce qui concerne les indicateurs et les définitions pour la collecte de données sur les technologies mobiles large bande, en particulier lorsqu'il est fait référence à des normes.</w:t>
      </w:r>
    </w:p>
    <w:p w14:paraId="4453A18D" w14:textId="77777777" w:rsidR="005B59FC" w:rsidRPr="00A910E2" w:rsidRDefault="005B59FC" w:rsidP="005B59FC">
      <w:r w:rsidRPr="00A910E2">
        <w:t>Le WTIS 2020 s'est tenu en ligne du 1er au 3 décembre 2020. Le BR et le BDT ont participé conjointement aux discussions relatives à l'attribution et à l'assignation au niveau national de fréquences pour les IMT.</w:t>
      </w:r>
    </w:p>
    <w:p w14:paraId="576973CA" w14:textId="77777777" w:rsidR="005B59FC" w:rsidRPr="00A910E2" w:rsidRDefault="005B59FC" w:rsidP="005B59FC">
      <w:r w:rsidRPr="00A910E2">
        <w:t>Le WTIS n'a eu lieu ni en 2021 ni en 2022.</w:t>
      </w:r>
    </w:p>
    <w:p w14:paraId="038BF6DC" w14:textId="77777777" w:rsidR="005B59FC" w:rsidRPr="00A910E2" w:rsidRDefault="005B59FC" w:rsidP="005B59FC">
      <w:r w:rsidRPr="00A910E2">
        <w:t>En 2023, aucune session consacrée à des questions liées au spectre ne figurait à l'ordre du jour du WTIS.</w:t>
      </w:r>
    </w:p>
    <w:p w14:paraId="2B8A0DAC" w14:textId="77777777" w:rsidR="005B59FC" w:rsidRPr="00A910E2" w:rsidRDefault="005B59FC" w:rsidP="005B59FC">
      <w:pPr>
        <w:pStyle w:val="Heading4"/>
      </w:pPr>
      <w:bookmarkStart w:id="61" w:name="_Toc424047624"/>
      <w:r w:rsidRPr="00A910E2">
        <w:t>8.4.1.3</w:t>
      </w:r>
      <w:r w:rsidRPr="00A910E2">
        <w:tab/>
        <w:t>Programme de formation sur la gestion du spectre (SMTP)</w:t>
      </w:r>
      <w:bookmarkEnd w:id="61"/>
    </w:p>
    <w:p w14:paraId="6A3B385A" w14:textId="77777777" w:rsidR="005B59FC" w:rsidRPr="00A910E2" w:rsidRDefault="005B59FC" w:rsidP="005B59FC">
      <w:r w:rsidRPr="00A910E2">
        <w:t>Depuis 2013, le BR participe activement à un projet commun avec le BDT qui vise à perfectionner le Programme de formation sur la gestion du spectre (SMTP) durant ses différentes phases: conception, élaboration de ressources didactiques, examen par les pairs et essai pilote. Plusieurs mises à jour ont été apportées au fil des ans et le BR a effectué régulièrement un examen des ressources qui composent la version actuelle du Programme SMTP. Des mises à jour ont été apportées récemment afin de prendre en considération les résultats de la CMR-19 et de l'AR-19.</w:t>
      </w:r>
    </w:p>
    <w:p w14:paraId="7CEDCFB9" w14:textId="77777777" w:rsidR="005B59FC" w:rsidRPr="00A910E2" w:rsidRDefault="005B59FC" w:rsidP="005B59FC">
      <w:pPr>
        <w:rPr>
          <w:b/>
          <w:bCs/>
        </w:rPr>
      </w:pPr>
      <w:bookmarkStart w:id="62" w:name="_Toc446060796"/>
      <w:r w:rsidRPr="00A910E2">
        <w:t>Compte tenu des ressources nécessaires pour tenir/mettre à jour cet outil et de son importance pour de nombreuses administrations, des discussions sont en cours au sein du BDT pour vérifier si le Programme SMTP pourrait être encore amélioré ou transféré sur un outil différent.</w:t>
      </w:r>
    </w:p>
    <w:p w14:paraId="4A46F626" w14:textId="77777777" w:rsidR="005B59FC" w:rsidRPr="00A910E2" w:rsidRDefault="005B59FC" w:rsidP="00C501FF">
      <w:pPr>
        <w:pStyle w:val="Heading2"/>
      </w:pPr>
      <w:r w:rsidRPr="00A910E2">
        <w:t>8.5</w:t>
      </w:r>
      <w:r w:rsidRPr="00A910E2">
        <w:tab/>
        <w:t>Membres</w:t>
      </w:r>
      <w:bookmarkEnd w:id="62"/>
    </w:p>
    <w:p w14:paraId="1F5DF915" w14:textId="77777777" w:rsidR="005B59FC" w:rsidRPr="00A910E2" w:rsidRDefault="005B59FC" w:rsidP="00C501FF">
      <w:pPr>
        <w:pStyle w:val="Heading3"/>
      </w:pPr>
      <w:r w:rsidRPr="00A910E2">
        <w:rPr>
          <w:bCs/>
        </w:rPr>
        <w:t>8.5.1</w:t>
      </w:r>
      <w:r w:rsidRPr="00A910E2">
        <w:tab/>
        <w:t>Membres de l'UIT</w:t>
      </w:r>
    </w:p>
    <w:p w14:paraId="732955F8" w14:textId="77777777" w:rsidR="005B59FC" w:rsidRPr="00A910E2" w:rsidRDefault="005B59FC" w:rsidP="00C501FF">
      <w:pPr>
        <w:keepNext/>
        <w:keepLines/>
      </w:pPr>
      <w:r w:rsidRPr="00A910E2">
        <w:t>Les Tableaux 8.5.1-1 à 8.5.1-3 indiquent la répartition des membres, par Secteur et par Région, ainsi que les contributions associées qui ont été versées en 2023, et l'évolution du nombre de Membres du Secteur de l'UIT-R, d'Associés et d'établissements universitaires participant aux travaux de ce Secteur, durant la période 2019-2023.</w:t>
      </w:r>
    </w:p>
    <w:p w14:paraId="13D405E7" w14:textId="77777777" w:rsidR="005B59FC" w:rsidRPr="00A910E2" w:rsidRDefault="005B59FC" w:rsidP="005B59FC">
      <w:pPr>
        <w:pStyle w:val="TableNotitle"/>
      </w:pPr>
      <w:r w:rsidRPr="00A910E2">
        <w:t>TABLEAU 8.5.1-1</w:t>
      </w:r>
    </w:p>
    <w:p w14:paraId="47F33DAB" w14:textId="77777777" w:rsidR="005B59FC" w:rsidRPr="00A910E2" w:rsidRDefault="005B59FC" w:rsidP="005B59FC">
      <w:pPr>
        <w:pStyle w:val="Figure"/>
        <w:spacing w:before="120"/>
      </w:pPr>
      <w:r w:rsidRPr="00A910E2">
        <w:drawing>
          <wp:inline distT="0" distB="0" distL="0" distR="0" wp14:anchorId="508F74BE" wp14:editId="2A7E6C4D">
            <wp:extent cx="5986130" cy="3508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90208" cy="3511222"/>
                    </a:xfrm>
                    <a:prstGeom prst="rect">
                      <a:avLst/>
                    </a:prstGeom>
                  </pic:spPr>
                </pic:pic>
              </a:graphicData>
            </a:graphic>
          </wp:inline>
        </w:drawing>
      </w:r>
    </w:p>
    <w:p w14:paraId="59919F4A" w14:textId="77777777" w:rsidR="005B59FC" w:rsidRPr="00A910E2" w:rsidRDefault="005B59FC" w:rsidP="005B59FC">
      <w:pPr>
        <w:pStyle w:val="TableNotitle"/>
      </w:pPr>
      <w:r w:rsidRPr="00A910E2">
        <w:t>TABLEAU 8.5.1-2</w:t>
      </w:r>
    </w:p>
    <w:p w14:paraId="4298AF60" w14:textId="77777777" w:rsidR="005B59FC" w:rsidRPr="00A910E2" w:rsidRDefault="005B59FC" w:rsidP="005B59FC">
      <w:pPr>
        <w:pStyle w:val="Figure"/>
        <w:spacing w:before="120"/>
      </w:pPr>
      <w:r w:rsidRPr="00A910E2">
        <w:drawing>
          <wp:inline distT="0" distB="0" distL="0" distR="0" wp14:anchorId="4F0D8031" wp14:editId="53FBB6CF">
            <wp:extent cx="6209414" cy="1305143"/>
            <wp:effectExtent l="0" t="0" r="1270" b="9525"/>
            <wp:docPr id="1838710727" name="Picture 18387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47039" cy="1313051"/>
                    </a:xfrm>
                    <a:prstGeom prst="rect">
                      <a:avLst/>
                    </a:prstGeom>
                  </pic:spPr>
                </pic:pic>
              </a:graphicData>
            </a:graphic>
          </wp:inline>
        </w:drawing>
      </w:r>
    </w:p>
    <w:p w14:paraId="768CD960" w14:textId="77777777" w:rsidR="005B59FC" w:rsidRPr="00A910E2" w:rsidRDefault="005B59FC" w:rsidP="005B59FC">
      <w:pPr>
        <w:pStyle w:val="Note"/>
      </w:pPr>
      <w:r w:rsidRPr="00A910E2">
        <w:rPr>
          <w:sz w:val="20"/>
          <w:szCs w:val="16"/>
        </w:rPr>
        <w:t>Note: Les établissements universitaires participent automatiquement aux travaux des trois Secteurs de l'UIT.</w:t>
      </w:r>
    </w:p>
    <w:p w14:paraId="147C4079" w14:textId="77777777" w:rsidR="005B59FC" w:rsidRPr="00A910E2" w:rsidRDefault="005B59FC" w:rsidP="005B59FC">
      <w:r w:rsidRPr="00A910E2">
        <w:t>Les chiffres présentés sont théoriques et reposent sur l'hypothèse que tous les membres versent leurs contributions.</w:t>
      </w:r>
    </w:p>
    <w:p w14:paraId="7DC21A86" w14:textId="77777777" w:rsidR="005B59FC" w:rsidRPr="00A910E2" w:rsidRDefault="005B59FC" w:rsidP="005B59FC">
      <w:pPr>
        <w:pStyle w:val="Figure"/>
        <w:spacing w:before="120"/>
      </w:pPr>
      <w:r w:rsidRPr="00A910E2">
        <w:drawing>
          <wp:inline distT="0" distB="0" distL="0" distR="0" wp14:anchorId="7AA10953" wp14:editId="0EEFA519">
            <wp:extent cx="6261187" cy="230726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0963" cy="2318237"/>
                    </a:xfrm>
                    <a:prstGeom prst="rect">
                      <a:avLst/>
                    </a:prstGeom>
                  </pic:spPr>
                </pic:pic>
              </a:graphicData>
            </a:graphic>
          </wp:inline>
        </w:drawing>
      </w:r>
    </w:p>
    <w:p w14:paraId="46BC709D" w14:textId="77777777" w:rsidR="008E52A1" w:rsidRPr="00A910E2" w:rsidRDefault="008E52A1" w:rsidP="008E52A1">
      <w:pPr>
        <w:pStyle w:val="TableNotitle"/>
      </w:pPr>
      <w:r w:rsidRPr="00A910E2">
        <w:t>TABLEAU 8.5.1-3</w:t>
      </w:r>
    </w:p>
    <w:p w14:paraId="46391EE3" w14:textId="1818C8CF" w:rsidR="008E52A1" w:rsidRPr="00A910E2" w:rsidRDefault="008E52A1" w:rsidP="001C5937">
      <w:pPr>
        <w:pStyle w:val="Figurelegend"/>
        <w:rPr>
          <w:u w:val="single"/>
        </w:rPr>
      </w:pPr>
      <w:r w:rsidRPr="00A910E2">
        <w:drawing>
          <wp:inline distT="0" distB="0" distL="0" distR="0" wp14:anchorId="761F4F77" wp14:editId="64D6E9C9">
            <wp:extent cx="6086246" cy="2104827"/>
            <wp:effectExtent l="0" t="0" r="0" b="0"/>
            <wp:docPr id="1753490617" name="Picture 17534906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0617" name="Picture 1753490617" descr="A screenshot of a compu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6126025" cy="2118584"/>
                    </a:xfrm>
                    <a:prstGeom prst="rect">
                      <a:avLst/>
                    </a:prstGeom>
                  </pic:spPr>
                </pic:pic>
              </a:graphicData>
            </a:graphic>
          </wp:inline>
        </w:drawing>
      </w:r>
    </w:p>
    <w:p w14:paraId="09DC5C55" w14:textId="60DDDF4B" w:rsidR="001C5937" w:rsidRPr="00A910E2" w:rsidRDefault="001C5937" w:rsidP="001C5937">
      <w:pPr>
        <w:pStyle w:val="Figurelegend"/>
        <w:spacing w:before="240" w:after="120"/>
        <w:rPr>
          <w:u w:val="single"/>
        </w:rPr>
      </w:pPr>
      <w:r w:rsidRPr="00A910E2">
        <w:rPr>
          <w:u w:val="single"/>
        </w:rPr>
        <w:t>Légende de la Figure</w:t>
      </w:r>
      <w:r w:rsidRPr="00A910E2">
        <w:t>:</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1239"/>
        <w:gridCol w:w="931"/>
        <w:gridCol w:w="865"/>
        <w:gridCol w:w="1040"/>
      </w:tblGrid>
      <w:tr w:rsidR="008E52A1" w:rsidRPr="00A910E2" w14:paraId="1BD825E5" w14:textId="77777777" w:rsidTr="000E4B48">
        <w:trPr>
          <w:jc w:val="center"/>
        </w:trPr>
        <w:tc>
          <w:tcPr>
            <w:tcW w:w="9639" w:type="dxa"/>
            <w:gridSpan w:val="5"/>
            <w:shd w:val="clear" w:color="auto" w:fill="0099FF"/>
          </w:tcPr>
          <w:p w14:paraId="1862BADE" w14:textId="095755BE" w:rsidR="008E52A1" w:rsidRPr="00A910E2" w:rsidRDefault="001C5937" w:rsidP="001C5937">
            <w:pPr>
              <w:pStyle w:val="Figurelegend"/>
              <w:keepNext w:val="0"/>
              <w:keepLines w:val="0"/>
              <w:spacing w:before="60"/>
              <w:rPr>
                <w:b/>
                <w:bCs/>
                <w:sz w:val="20"/>
              </w:rPr>
            </w:pPr>
            <w:bookmarkStart w:id="63" w:name="_Hlk160537328"/>
            <w:r w:rsidRPr="00A910E2">
              <w:rPr>
                <w:sz w:val="20"/>
                <w:szCs w:val="22"/>
              </w:rPr>
              <w:drawing>
                <wp:anchor distT="0" distB="0" distL="114300" distR="114300" simplePos="0" relativeHeight="251658240" behindDoc="0" locked="0" layoutInCell="1" allowOverlap="1" wp14:anchorId="7681057B" wp14:editId="46FD6565">
                  <wp:simplePos x="0" y="0"/>
                  <wp:positionH relativeFrom="column">
                    <wp:posOffset>1372</wp:posOffset>
                  </wp:positionH>
                  <wp:positionV relativeFrom="paragraph">
                    <wp:posOffset>13335</wp:posOffset>
                  </wp:positionV>
                  <wp:extent cx="514350" cy="409575"/>
                  <wp:effectExtent l="0" t="0" r="0" b="9525"/>
                  <wp:wrapThrough wrapText="bothSides">
                    <wp:wrapPolygon edited="0">
                      <wp:start x="0" y="0"/>
                      <wp:lineTo x="0" y="21098"/>
                      <wp:lineTo x="20800" y="21098"/>
                      <wp:lineTo x="208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409575"/>
                          </a:xfrm>
                          <a:prstGeom prst="rect">
                            <a:avLst/>
                          </a:prstGeom>
                        </pic:spPr>
                      </pic:pic>
                    </a:graphicData>
                  </a:graphic>
                </wp:anchor>
              </w:drawing>
            </w:r>
            <w:r w:rsidR="008E52A1" w:rsidRPr="00A910E2">
              <w:rPr>
                <w:b/>
                <w:bCs/>
                <w:color w:val="FFFFFF" w:themeColor="background1"/>
                <w:sz w:val="22"/>
                <w:szCs w:val="22"/>
              </w:rPr>
              <w:t>Rapport annuel sur les membres de 2023</w:t>
            </w:r>
          </w:p>
          <w:p w14:paraId="1EA7864E" w14:textId="77777777" w:rsidR="008E52A1" w:rsidRPr="00A910E2" w:rsidRDefault="008E52A1" w:rsidP="001A7E72">
            <w:pPr>
              <w:pStyle w:val="Figurelegend"/>
              <w:keepNext w:val="0"/>
              <w:keepLines w:val="0"/>
            </w:pPr>
            <w:r w:rsidRPr="00A910E2">
              <w:rPr>
                <w:color w:val="FFFFFF" w:themeColor="background1"/>
                <w:szCs w:val="18"/>
              </w:rPr>
              <w:t>Évolution par Secteur</w:t>
            </w:r>
            <w:bookmarkEnd w:id="63"/>
          </w:p>
        </w:tc>
      </w:tr>
      <w:tr w:rsidR="000E4B48" w:rsidRPr="00A910E2" w14:paraId="07D8941F" w14:textId="77777777" w:rsidTr="000E4B48">
        <w:trPr>
          <w:trHeight w:val="451"/>
          <w:jc w:val="center"/>
        </w:trPr>
        <w:tc>
          <w:tcPr>
            <w:tcW w:w="5949" w:type="dxa"/>
            <w:vMerge w:val="restart"/>
          </w:tcPr>
          <w:p w14:paraId="4E80ACBB" w14:textId="77777777" w:rsidR="000E4B48" w:rsidRPr="00A910E2" w:rsidRDefault="000E4B48" w:rsidP="001A7E72">
            <w:pPr>
              <w:pStyle w:val="Figurelegend"/>
              <w:keepNext w:val="0"/>
              <w:keepLines w:val="0"/>
              <w:rPr>
                <w:b/>
                <w:bCs/>
                <w:sz w:val="20"/>
              </w:rPr>
            </w:pPr>
            <w:r w:rsidRPr="00A910E2">
              <w:rPr>
                <w:b/>
                <w:bCs/>
                <w:sz w:val="22"/>
                <w:szCs w:val="22"/>
              </w:rPr>
              <w:t>Principaux points</w:t>
            </w:r>
          </w:p>
          <w:p w14:paraId="396F5FF8" w14:textId="77777777" w:rsidR="000E4B48" w:rsidRPr="00A910E2" w:rsidRDefault="000E4B48" w:rsidP="001A7E72">
            <w:pPr>
              <w:pStyle w:val="Figurelegend"/>
              <w:keepNext w:val="0"/>
              <w:keepLines w:val="0"/>
              <w:rPr>
                <w:b/>
                <w:bCs/>
              </w:rPr>
            </w:pPr>
            <w:r w:rsidRPr="00A910E2">
              <w:rPr>
                <w:b/>
                <w:bCs/>
                <w:sz w:val="20"/>
              </w:rPr>
              <w:t>Évolution de la composition des Secteurs sur l'année.</w:t>
            </w:r>
          </w:p>
          <w:p w14:paraId="00C1855D" w14:textId="77777777" w:rsidR="000E4B48" w:rsidRPr="00A910E2" w:rsidRDefault="000E4B48" w:rsidP="008E52A1">
            <w:pPr>
              <w:pStyle w:val="Figurelegend"/>
              <w:keepNext w:val="0"/>
              <w:keepLines w:val="0"/>
              <w:numPr>
                <w:ilvl w:val="0"/>
                <w:numId w:val="17"/>
              </w:numPr>
              <w:ind w:left="170" w:hanging="170"/>
            </w:pPr>
            <w:r w:rsidRPr="00A910E2">
              <w:t>Le Secteur de l'UIT-R a accueilli 16 nouveaux Membres de Secteur, 6 Membres de Secteur ont dénoncé leur participation et 2 Membres de Secteur ont été exclus pour défaut de paiement des droits. L'UIT-R a accueilli 10 nouveaux Associés, 1 Associé a dénoncé sa participation et aucun Associé n'a été exclu pour défaut de paiement des droits.</w:t>
            </w:r>
          </w:p>
          <w:p w14:paraId="1B25F337" w14:textId="77777777" w:rsidR="000E4B48" w:rsidRPr="00A910E2" w:rsidRDefault="000E4B48" w:rsidP="008E52A1">
            <w:pPr>
              <w:pStyle w:val="Figurelegend"/>
              <w:keepNext w:val="0"/>
              <w:keepLines w:val="0"/>
              <w:numPr>
                <w:ilvl w:val="0"/>
                <w:numId w:val="17"/>
              </w:numPr>
              <w:ind w:left="170" w:hanging="170"/>
            </w:pPr>
            <w:r w:rsidRPr="00A910E2">
              <w:t>Le Secteur de l'UIT-T a accueilli 18 nouveaux Membres de Secteur, 9 Membres de Secteur ont dénoncé leur participation et 2 Membres de Secteur ont été exclus pour défaut de paiement des droits. L'UIT-T a accueilli 23 nouveaux Associés, 13 Associés ont dénoncé leur participation et 4 Associés ont été exclus pour défaut de paiement des droits.</w:t>
            </w:r>
          </w:p>
          <w:p w14:paraId="19F041D3" w14:textId="77777777" w:rsidR="000E4B48" w:rsidRPr="00A910E2" w:rsidRDefault="000E4B48" w:rsidP="008E52A1">
            <w:pPr>
              <w:pStyle w:val="Figurelegend"/>
              <w:keepNext w:val="0"/>
              <w:keepLines w:val="0"/>
              <w:numPr>
                <w:ilvl w:val="0"/>
                <w:numId w:val="17"/>
              </w:numPr>
              <w:ind w:left="170" w:hanging="170"/>
            </w:pPr>
            <w:r w:rsidRPr="00A910E2">
              <w:t>Le Secteur de l'UIT-D a accueilli 21 nouveaux Membres de Secteur, 9 Membres de Secteur ont dénoncé leur participation et 1 Membre de Secteur a été exclu pour défaut de paiement des droits. L'UIT-D a accueilli 6 nouveaux Associés, 1 Associé a dénoncé sa participation et aucun Associé n'a été exclu pour défaut de paiement des droits.</w:t>
            </w:r>
          </w:p>
          <w:p w14:paraId="64ED9730" w14:textId="311A0D83" w:rsidR="000E4B48" w:rsidRPr="00A910E2" w:rsidRDefault="000E4B48" w:rsidP="008E52A1">
            <w:pPr>
              <w:pStyle w:val="Figurelegend"/>
              <w:numPr>
                <w:ilvl w:val="0"/>
                <w:numId w:val="17"/>
              </w:numPr>
              <w:ind w:left="170" w:hanging="170"/>
              <w:rPr>
                <w:b/>
                <w:bCs/>
                <w:sz w:val="22"/>
                <w:szCs w:val="22"/>
              </w:rPr>
            </w:pPr>
            <w:r w:rsidRPr="00A910E2">
              <w:t>Dix-sept nouveaux établissements universitaires participent aux travaux de l'UIT, 13 établissements universitaires ont dénoncé leur participation et 5 ont été exclus pour défaut de paiement des droits.</w:t>
            </w:r>
          </w:p>
        </w:tc>
        <w:tc>
          <w:tcPr>
            <w:tcW w:w="3690" w:type="dxa"/>
            <w:gridSpan w:val="4"/>
            <w:tcBorders>
              <w:bottom w:val="single" w:sz="4" w:space="0" w:color="auto"/>
            </w:tcBorders>
          </w:tcPr>
          <w:p w14:paraId="7A0408F5" w14:textId="77777777" w:rsidR="000E4B48" w:rsidRPr="00A910E2" w:rsidRDefault="000E4B48" w:rsidP="001A7E72">
            <w:pPr>
              <w:pStyle w:val="Figurelegend"/>
              <w:keepNext w:val="0"/>
              <w:keepLines w:val="0"/>
              <w:jc w:val="center"/>
              <w:rPr>
                <w:b/>
                <w:bCs/>
              </w:rPr>
            </w:pPr>
          </w:p>
        </w:tc>
      </w:tr>
      <w:tr w:rsidR="000E4B48" w:rsidRPr="00A910E2" w14:paraId="1C91DADD" w14:textId="77777777" w:rsidTr="000E4B48">
        <w:trPr>
          <w:jc w:val="center"/>
        </w:trPr>
        <w:tc>
          <w:tcPr>
            <w:tcW w:w="5949" w:type="dxa"/>
            <w:vMerge/>
            <w:tcBorders>
              <w:right w:val="single" w:sz="4" w:space="0" w:color="auto"/>
            </w:tcBorders>
          </w:tcPr>
          <w:p w14:paraId="0387F3E3" w14:textId="2B53F23C" w:rsidR="000E4B48" w:rsidRPr="00A910E2" w:rsidRDefault="000E4B48" w:rsidP="008E52A1">
            <w:pPr>
              <w:pStyle w:val="Figurelegend"/>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11A40B02" w14:textId="77777777" w:rsidR="000E4B48" w:rsidRPr="00A910E2" w:rsidRDefault="000E4B48" w:rsidP="001A7E72">
            <w:pPr>
              <w:pStyle w:val="Figurelegend"/>
              <w:keepNext w:val="0"/>
              <w:keepLines w:val="0"/>
              <w:jc w:val="center"/>
              <w:rPr>
                <w:b/>
                <w:bCs/>
                <w:sz w:val="16"/>
                <w:szCs w:val="18"/>
              </w:rPr>
            </w:pPr>
            <w:r w:rsidRPr="00A910E2">
              <w:rPr>
                <w:b/>
                <w:bCs/>
                <w:sz w:val="16"/>
                <w:szCs w:val="18"/>
              </w:rPr>
              <w:t>Secteur</w:t>
            </w:r>
          </w:p>
        </w:tc>
        <w:tc>
          <w:tcPr>
            <w:tcW w:w="934" w:type="dxa"/>
            <w:tcBorders>
              <w:top w:val="single" w:sz="4" w:space="0" w:color="auto"/>
              <w:left w:val="single" w:sz="4" w:space="0" w:color="auto"/>
              <w:bottom w:val="single" w:sz="4" w:space="0" w:color="auto"/>
              <w:right w:val="single" w:sz="4" w:space="0" w:color="auto"/>
            </w:tcBorders>
          </w:tcPr>
          <w:p w14:paraId="5D470066" w14:textId="77777777" w:rsidR="000E4B48" w:rsidRPr="00A910E2" w:rsidRDefault="000E4B48" w:rsidP="001A7E72">
            <w:pPr>
              <w:pStyle w:val="Figurelegend"/>
              <w:keepNext w:val="0"/>
              <w:keepLines w:val="0"/>
              <w:jc w:val="center"/>
              <w:rPr>
                <w:b/>
                <w:bCs/>
                <w:sz w:val="16"/>
                <w:szCs w:val="18"/>
              </w:rPr>
            </w:pPr>
            <w:r w:rsidRPr="00A910E2">
              <w:rPr>
                <w:b/>
                <w:bCs/>
                <w:sz w:val="16"/>
                <w:szCs w:val="18"/>
              </w:rPr>
              <w:t>Nouveaux Membres</w:t>
            </w:r>
          </w:p>
        </w:tc>
        <w:tc>
          <w:tcPr>
            <w:tcW w:w="865" w:type="dxa"/>
            <w:tcBorders>
              <w:top w:val="single" w:sz="4" w:space="0" w:color="auto"/>
              <w:left w:val="single" w:sz="4" w:space="0" w:color="auto"/>
              <w:bottom w:val="single" w:sz="4" w:space="0" w:color="auto"/>
              <w:right w:val="single" w:sz="4" w:space="0" w:color="auto"/>
            </w:tcBorders>
          </w:tcPr>
          <w:p w14:paraId="07E73D7F" w14:textId="77777777" w:rsidR="000E4B48" w:rsidRPr="00A910E2" w:rsidRDefault="000E4B48" w:rsidP="001A7E72">
            <w:pPr>
              <w:pStyle w:val="Figurelegend"/>
              <w:keepNext w:val="0"/>
              <w:keepLines w:val="0"/>
              <w:jc w:val="center"/>
              <w:rPr>
                <w:b/>
                <w:bCs/>
                <w:sz w:val="16"/>
                <w:szCs w:val="18"/>
              </w:rPr>
            </w:pPr>
            <w:r w:rsidRPr="00A910E2">
              <w:rPr>
                <w:b/>
                <w:bCs/>
                <w:sz w:val="16"/>
                <w:szCs w:val="18"/>
              </w:rPr>
              <w:t>Membres ayant quitté le Secteur</w:t>
            </w:r>
          </w:p>
        </w:tc>
        <w:tc>
          <w:tcPr>
            <w:tcW w:w="1041" w:type="dxa"/>
            <w:tcBorders>
              <w:top w:val="single" w:sz="4" w:space="0" w:color="auto"/>
              <w:left w:val="single" w:sz="4" w:space="0" w:color="auto"/>
              <w:bottom w:val="single" w:sz="4" w:space="0" w:color="auto"/>
              <w:right w:val="single" w:sz="4" w:space="0" w:color="auto"/>
            </w:tcBorders>
          </w:tcPr>
          <w:p w14:paraId="4D2EEEF4" w14:textId="77777777" w:rsidR="000E4B48" w:rsidRPr="00A910E2" w:rsidRDefault="000E4B48" w:rsidP="001A7E72">
            <w:pPr>
              <w:pStyle w:val="Figurelegend"/>
              <w:keepNext w:val="0"/>
              <w:keepLines w:val="0"/>
              <w:jc w:val="center"/>
              <w:rPr>
                <w:b/>
                <w:bCs/>
                <w:sz w:val="16"/>
                <w:szCs w:val="18"/>
              </w:rPr>
            </w:pPr>
            <w:r w:rsidRPr="00A910E2">
              <w:rPr>
                <w:b/>
                <w:bCs/>
                <w:sz w:val="16"/>
                <w:szCs w:val="18"/>
              </w:rPr>
              <w:t>Mouvement net</w:t>
            </w:r>
          </w:p>
        </w:tc>
      </w:tr>
      <w:tr w:rsidR="000E4B48" w:rsidRPr="00A910E2" w14:paraId="114898AD" w14:textId="77777777" w:rsidTr="000E4B48">
        <w:trPr>
          <w:jc w:val="center"/>
        </w:trPr>
        <w:tc>
          <w:tcPr>
            <w:tcW w:w="5949" w:type="dxa"/>
            <w:vMerge/>
            <w:tcBorders>
              <w:right w:val="single" w:sz="4" w:space="0" w:color="auto"/>
            </w:tcBorders>
          </w:tcPr>
          <w:p w14:paraId="22860A0F" w14:textId="55D5C726" w:rsidR="000E4B48" w:rsidRPr="00A910E2" w:rsidRDefault="000E4B48" w:rsidP="008E52A1">
            <w:pPr>
              <w:pStyle w:val="Figurelegend"/>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0B3C96A7" w14:textId="77777777" w:rsidR="000E4B48" w:rsidRPr="00A910E2" w:rsidRDefault="000E4B48" w:rsidP="001C5937">
            <w:pPr>
              <w:pStyle w:val="Figurelegend"/>
              <w:keepNext w:val="0"/>
              <w:keepLines w:val="0"/>
              <w:rPr>
                <w:b/>
                <w:bCs/>
                <w:sz w:val="16"/>
                <w:szCs w:val="18"/>
              </w:rPr>
            </w:pPr>
            <w:r w:rsidRPr="00A910E2">
              <w:rPr>
                <w:b/>
                <w:bCs/>
                <w:sz w:val="16"/>
                <w:szCs w:val="18"/>
              </w:rPr>
              <w:t>UIT-R</w:t>
            </w:r>
          </w:p>
        </w:tc>
        <w:tc>
          <w:tcPr>
            <w:tcW w:w="934" w:type="dxa"/>
            <w:tcBorders>
              <w:top w:val="single" w:sz="4" w:space="0" w:color="auto"/>
              <w:left w:val="single" w:sz="4" w:space="0" w:color="auto"/>
              <w:bottom w:val="single" w:sz="4" w:space="0" w:color="auto"/>
              <w:right w:val="single" w:sz="4" w:space="0" w:color="auto"/>
            </w:tcBorders>
          </w:tcPr>
          <w:p w14:paraId="2E6C36CC"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23</w:t>
            </w:r>
          </w:p>
        </w:tc>
        <w:tc>
          <w:tcPr>
            <w:tcW w:w="865" w:type="dxa"/>
            <w:tcBorders>
              <w:top w:val="single" w:sz="4" w:space="0" w:color="auto"/>
              <w:left w:val="single" w:sz="4" w:space="0" w:color="auto"/>
              <w:bottom w:val="single" w:sz="4" w:space="0" w:color="auto"/>
              <w:right w:val="single" w:sz="4" w:space="0" w:color="auto"/>
            </w:tcBorders>
          </w:tcPr>
          <w:p w14:paraId="087EF772" w14:textId="77777777" w:rsidR="000E4B48" w:rsidRPr="00A910E2" w:rsidRDefault="000E4B48" w:rsidP="001A7E72">
            <w:pPr>
              <w:pStyle w:val="Figurelegend"/>
              <w:keepNext w:val="0"/>
              <w:keepLines w:val="0"/>
              <w:jc w:val="center"/>
              <w:rPr>
                <w:b/>
                <w:bCs/>
                <w:color w:val="FF0000"/>
                <w:sz w:val="16"/>
                <w:szCs w:val="18"/>
              </w:rPr>
            </w:pPr>
            <w:r w:rsidRPr="00A910E2">
              <w:rPr>
                <w:b/>
                <w:bCs/>
                <w:color w:val="FF0000"/>
                <w:sz w:val="16"/>
                <w:szCs w:val="18"/>
              </w:rPr>
              <w:t>8</w:t>
            </w:r>
          </w:p>
        </w:tc>
        <w:tc>
          <w:tcPr>
            <w:tcW w:w="1041" w:type="dxa"/>
            <w:tcBorders>
              <w:top w:val="single" w:sz="4" w:space="0" w:color="auto"/>
              <w:left w:val="single" w:sz="4" w:space="0" w:color="auto"/>
              <w:bottom w:val="single" w:sz="4" w:space="0" w:color="auto"/>
              <w:right w:val="single" w:sz="4" w:space="0" w:color="auto"/>
            </w:tcBorders>
          </w:tcPr>
          <w:p w14:paraId="09E780E5"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15</w:t>
            </w:r>
          </w:p>
        </w:tc>
      </w:tr>
      <w:tr w:rsidR="000E4B48" w:rsidRPr="00A910E2" w14:paraId="572E562F" w14:textId="77777777" w:rsidTr="000E4B48">
        <w:trPr>
          <w:jc w:val="center"/>
        </w:trPr>
        <w:tc>
          <w:tcPr>
            <w:tcW w:w="5949" w:type="dxa"/>
            <w:vMerge/>
            <w:tcBorders>
              <w:right w:val="single" w:sz="4" w:space="0" w:color="auto"/>
            </w:tcBorders>
          </w:tcPr>
          <w:p w14:paraId="2915E344" w14:textId="00B61532" w:rsidR="000E4B48" w:rsidRPr="00A910E2" w:rsidRDefault="000E4B48" w:rsidP="008E52A1">
            <w:pPr>
              <w:pStyle w:val="Figurelegend"/>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47BC66F1" w14:textId="77777777" w:rsidR="000E4B48" w:rsidRPr="00A910E2" w:rsidRDefault="000E4B48" w:rsidP="001C5937">
            <w:pPr>
              <w:pStyle w:val="Figurelegend"/>
              <w:keepNext w:val="0"/>
              <w:keepLines w:val="0"/>
              <w:rPr>
                <w:b/>
                <w:bCs/>
                <w:sz w:val="16"/>
                <w:szCs w:val="18"/>
              </w:rPr>
            </w:pPr>
            <w:r w:rsidRPr="00A910E2">
              <w:rPr>
                <w:b/>
                <w:bCs/>
                <w:sz w:val="16"/>
                <w:szCs w:val="18"/>
              </w:rPr>
              <w:t>UIT-T</w:t>
            </w:r>
          </w:p>
        </w:tc>
        <w:tc>
          <w:tcPr>
            <w:tcW w:w="934" w:type="dxa"/>
            <w:tcBorders>
              <w:top w:val="single" w:sz="4" w:space="0" w:color="auto"/>
              <w:left w:val="single" w:sz="4" w:space="0" w:color="auto"/>
              <w:bottom w:val="single" w:sz="4" w:space="0" w:color="auto"/>
              <w:right w:val="single" w:sz="4" w:space="0" w:color="auto"/>
            </w:tcBorders>
          </w:tcPr>
          <w:p w14:paraId="21C61115"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41</w:t>
            </w:r>
          </w:p>
        </w:tc>
        <w:tc>
          <w:tcPr>
            <w:tcW w:w="865" w:type="dxa"/>
            <w:tcBorders>
              <w:top w:val="single" w:sz="4" w:space="0" w:color="auto"/>
              <w:left w:val="single" w:sz="4" w:space="0" w:color="auto"/>
              <w:bottom w:val="single" w:sz="4" w:space="0" w:color="auto"/>
              <w:right w:val="single" w:sz="4" w:space="0" w:color="auto"/>
            </w:tcBorders>
          </w:tcPr>
          <w:p w14:paraId="468A0AD3" w14:textId="77777777" w:rsidR="000E4B48" w:rsidRPr="00A910E2" w:rsidRDefault="000E4B48" w:rsidP="001A7E72">
            <w:pPr>
              <w:pStyle w:val="Figurelegend"/>
              <w:keepNext w:val="0"/>
              <w:keepLines w:val="0"/>
              <w:jc w:val="center"/>
              <w:rPr>
                <w:b/>
                <w:bCs/>
                <w:color w:val="FF0000"/>
                <w:sz w:val="16"/>
                <w:szCs w:val="18"/>
              </w:rPr>
            </w:pPr>
            <w:r w:rsidRPr="00A910E2">
              <w:rPr>
                <w:b/>
                <w:bCs/>
                <w:color w:val="FF0000"/>
                <w:sz w:val="16"/>
                <w:szCs w:val="18"/>
              </w:rPr>
              <w:t>28</w:t>
            </w:r>
          </w:p>
        </w:tc>
        <w:tc>
          <w:tcPr>
            <w:tcW w:w="1041" w:type="dxa"/>
            <w:tcBorders>
              <w:top w:val="single" w:sz="4" w:space="0" w:color="auto"/>
              <w:left w:val="single" w:sz="4" w:space="0" w:color="auto"/>
              <w:bottom w:val="single" w:sz="4" w:space="0" w:color="auto"/>
              <w:right w:val="single" w:sz="4" w:space="0" w:color="auto"/>
            </w:tcBorders>
          </w:tcPr>
          <w:p w14:paraId="38CE2355"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13</w:t>
            </w:r>
          </w:p>
        </w:tc>
      </w:tr>
      <w:tr w:rsidR="000E4B48" w:rsidRPr="00A910E2" w14:paraId="233EF0AC" w14:textId="77777777" w:rsidTr="000E4B48">
        <w:trPr>
          <w:jc w:val="center"/>
        </w:trPr>
        <w:tc>
          <w:tcPr>
            <w:tcW w:w="5949" w:type="dxa"/>
            <w:vMerge/>
            <w:tcBorders>
              <w:right w:val="single" w:sz="4" w:space="0" w:color="auto"/>
            </w:tcBorders>
          </w:tcPr>
          <w:p w14:paraId="27AD2EE7" w14:textId="2D5D4DA7" w:rsidR="000E4B48" w:rsidRPr="00A910E2" w:rsidRDefault="000E4B48" w:rsidP="008E52A1">
            <w:pPr>
              <w:pStyle w:val="Figurelegend"/>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39ED27FD" w14:textId="77777777" w:rsidR="000E4B48" w:rsidRPr="00A910E2" w:rsidRDefault="000E4B48" w:rsidP="001C5937">
            <w:pPr>
              <w:pStyle w:val="Figurelegend"/>
              <w:keepNext w:val="0"/>
              <w:keepLines w:val="0"/>
              <w:rPr>
                <w:b/>
                <w:bCs/>
                <w:sz w:val="16"/>
                <w:szCs w:val="18"/>
              </w:rPr>
            </w:pPr>
            <w:r w:rsidRPr="00A910E2">
              <w:rPr>
                <w:b/>
                <w:bCs/>
                <w:sz w:val="16"/>
                <w:szCs w:val="18"/>
              </w:rPr>
              <w:t>UIT-D</w:t>
            </w:r>
          </w:p>
        </w:tc>
        <w:tc>
          <w:tcPr>
            <w:tcW w:w="934" w:type="dxa"/>
            <w:tcBorders>
              <w:top w:val="single" w:sz="4" w:space="0" w:color="auto"/>
              <w:left w:val="single" w:sz="4" w:space="0" w:color="auto"/>
              <w:bottom w:val="single" w:sz="4" w:space="0" w:color="auto"/>
              <w:right w:val="single" w:sz="4" w:space="0" w:color="auto"/>
            </w:tcBorders>
          </w:tcPr>
          <w:p w14:paraId="5A23E71B"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27</w:t>
            </w:r>
          </w:p>
        </w:tc>
        <w:tc>
          <w:tcPr>
            <w:tcW w:w="865" w:type="dxa"/>
            <w:tcBorders>
              <w:top w:val="single" w:sz="4" w:space="0" w:color="auto"/>
              <w:left w:val="single" w:sz="4" w:space="0" w:color="auto"/>
              <w:bottom w:val="single" w:sz="4" w:space="0" w:color="auto"/>
              <w:right w:val="single" w:sz="4" w:space="0" w:color="auto"/>
            </w:tcBorders>
          </w:tcPr>
          <w:p w14:paraId="2E65DA9D" w14:textId="77777777" w:rsidR="000E4B48" w:rsidRPr="00A910E2" w:rsidRDefault="000E4B48" w:rsidP="001A7E72">
            <w:pPr>
              <w:pStyle w:val="Figurelegend"/>
              <w:keepNext w:val="0"/>
              <w:keepLines w:val="0"/>
              <w:jc w:val="center"/>
              <w:rPr>
                <w:b/>
                <w:bCs/>
                <w:color w:val="FF0000"/>
                <w:sz w:val="16"/>
                <w:szCs w:val="18"/>
              </w:rPr>
            </w:pPr>
            <w:r w:rsidRPr="00A910E2">
              <w:rPr>
                <w:b/>
                <w:bCs/>
                <w:color w:val="FF0000"/>
                <w:sz w:val="16"/>
                <w:szCs w:val="18"/>
              </w:rPr>
              <w:t>12</w:t>
            </w:r>
          </w:p>
        </w:tc>
        <w:tc>
          <w:tcPr>
            <w:tcW w:w="1041" w:type="dxa"/>
            <w:tcBorders>
              <w:top w:val="single" w:sz="4" w:space="0" w:color="auto"/>
              <w:left w:val="single" w:sz="4" w:space="0" w:color="auto"/>
              <w:bottom w:val="single" w:sz="4" w:space="0" w:color="auto"/>
              <w:right w:val="single" w:sz="4" w:space="0" w:color="auto"/>
            </w:tcBorders>
          </w:tcPr>
          <w:p w14:paraId="148090C7"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15</w:t>
            </w:r>
          </w:p>
        </w:tc>
      </w:tr>
      <w:tr w:rsidR="000E4B48" w:rsidRPr="00A910E2" w14:paraId="77313A53" w14:textId="77777777" w:rsidTr="000E4B48">
        <w:trPr>
          <w:trHeight w:val="337"/>
          <w:jc w:val="center"/>
        </w:trPr>
        <w:tc>
          <w:tcPr>
            <w:tcW w:w="5949" w:type="dxa"/>
            <w:vMerge/>
          </w:tcPr>
          <w:p w14:paraId="380B9F73" w14:textId="77777777" w:rsidR="000E4B48" w:rsidRPr="00A910E2" w:rsidRDefault="000E4B48" w:rsidP="008E52A1">
            <w:pPr>
              <w:pStyle w:val="Figurelegend"/>
              <w:numPr>
                <w:ilvl w:val="0"/>
                <w:numId w:val="17"/>
              </w:numPr>
              <w:ind w:left="170" w:hanging="170"/>
            </w:pPr>
          </w:p>
        </w:tc>
        <w:tc>
          <w:tcPr>
            <w:tcW w:w="3690" w:type="dxa"/>
            <w:gridSpan w:val="4"/>
            <w:tcBorders>
              <w:top w:val="single" w:sz="4" w:space="0" w:color="auto"/>
              <w:bottom w:val="single" w:sz="4" w:space="0" w:color="auto"/>
            </w:tcBorders>
          </w:tcPr>
          <w:p w14:paraId="50375E80" w14:textId="77777777" w:rsidR="000E4B48" w:rsidRPr="00A910E2" w:rsidRDefault="000E4B48" w:rsidP="001A7E72">
            <w:pPr>
              <w:pStyle w:val="Figurelegend"/>
              <w:keepNext w:val="0"/>
              <w:keepLines w:val="0"/>
              <w:jc w:val="center"/>
              <w:rPr>
                <w:sz w:val="16"/>
                <w:szCs w:val="18"/>
              </w:rPr>
            </w:pPr>
          </w:p>
        </w:tc>
      </w:tr>
      <w:tr w:rsidR="000E4B48" w:rsidRPr="00A910E2" w14:paraId="50186FEF" w14:textId="77777777" w:rsidTr="000E4B48">
        <w:trPr>
          <w:jc w:val="center"/>
        </w:trPr>
        <w:tc>
          <w:tcPr>
            <w:tcW w:w="5949" w:type="dxa"/>
            <w:vMerge/>
            <w:tcBorders>
              <w:right w:val="single" w:sz="4" w:space="0" w:color="auto"/>
            </w:tcBorders>
          </w:tcPr>
          <w:p w14:paraId="40A3A9CF" w14:textId="444677AF" w:rsidR="000E4B48" w:rsidRPr="00A910E2" w:rsidRDefault="000E4B48" w:rsidP="008E52A1">
            <w:pPr>
              <w:pStyle w:val="Figurelegend"/>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61B6544C" w14:textId="77777777" w:rsidR="000E4B48" w:rsidRPr="00A910E2" w:rsidRDefault="000E4B48" w:rsidP="001A7E72">
            <w:pPr>
              <w:pStyle w:val="Figurelegend"/>
              <w:keepNext w:val="0"/>
              <w:keepLines w:val="0"/>
              <w:jc w:val="center"/>
              <w:rPr>
                <w:b/>
                <w:bCs/>
                <w:sz w:val="16"/>
                <w:szCs w:val="18"/>
              </w:rPr>
            </w:pPr>
            <w:r w:rsidRPr="00A910E2">
              <w:rPr>
                <w:b/>
                <w:bCs/>
                <w:sz w:val="16"/>
                <w:szCs w:val="18"/>
              </w:rPr>
              <w:t>Catégorie de membre</w:t>
            </w:r>
          </w:p>
        </w:tc>
        <w:tc>
          <w:tcPr>
            <w:tcW w:w="934" w:type="dxa"/>
            <w:tcBorders>
              <w:top w:val="single" w:sz="4" w:space="0" w:color="auto"/>
              <w:left w:val="single" w:sz="4" w:space="0" w:color="auto"/>
              <w:bottom w:val="single" w:sz="4" w:space="0" w:color="auto"/>
              <w:right w:val="single" w:sz="4" w:space="0" w:color="auto"/>
            </w:tcBorders>
          </w:tcPr>
          <w:p w14:paraId="2ACCC93E" w14:textId="77777777" w:rsidR="000E4B48" w:rsidRPr="00A910E2" w:rsidRDefault="000E4B48" w:rsidP="001A7E72">
            <w:pPr>
              <w:pStyle w:val="Figurelegend"/>
              <w:keepNext w:val="0"/>
              <w:keepLines w:val="0"/>
              <w:jc w:val="center"/>
              <w:rPr>
                <w:b/>
                <w:bCs/>
                <w:sz w:val="16"/>
                <w:szCs w:val="18"/>
              </w:rPr>
            </w:pPr>
            <w:r w:rsidRPr="00A910E2">
              <w:rPr>
                <w:b/>
                <w:bCs/>
                <w:sz w:val="16"/>
                <w:szCs w:val="18"/>
              </w:rPr>
              <w:t>Nouveaux Membres</w:t>
            </w:r>
          </w:p>
        </w:tc>
        <w:tc>
          <w:tcPr>
            <w:tcW w:w="865" w:type="dxa"/>
            <w:tcBorders>
              <w:top w:val="single" w:sz="4" w:space="0" w:color="auto"/>
              <w:left w:val="single" w:sz="4" w:space="0" w:color="auto"/>
              <w:bottom w:val="single" w:sz="4" w:space="0" w:color="auto"/>
              <w:right w:val="single" w:sz="4" w:space="0" w:color="auto"/>
            </w:tcBorders>
          </w:tcPr>
          <w:p w14:paraId="0D511D01" w14:textId="77777777" w:rsidR="000E4B48" w:rsidRPr="00A910E2" w:rsidRDefault="000E4B48" w:rsidP="001A7E72">
            <w:pPr>
              <w:pStyle w:val="Figurelegend"/>
              <w:keepNext w:val="0"/>
              <w:keepLines w:val="0"/>
              <w:jc w:val="center"/>
              <w:rPr>
                <w:b/>
                <w:bCs/>
                <w:sz w:val="16"/>
                <w:szCs w:val="18"/>
              </w:rPr>
            </w:pPr>
            <w:r w:rsidRPr="00A910E2">
              <w:rPr>
                <w:b/>
                <w:bCs/>
                <w:sz w:val="16"/>
                <w:szCs w:val="18"/>
              </w:rPr>
              <w:t>Membres ayant quitté le Secteur</w:t>
            </w:r>
          </w:p>
        </w:tc>
        <w:tc>
          <w:tcPr>
            <w:tcW w:w="1041" w:type="dxa"/>
            <w:tcBorders>
              <w:top w:val="single" w:sz="4" w:space="0" w:color="auto"/>
              <w:left w:val="single" w:sz="4" w:space="0" w:color="auto"/>
              <w:bottom w:val="single" w:sz="4" w:space="0" w:color="auto"/>
              <w:right w:val="single" w:sz="4" w:space="0" w:color="auto"/>
            </w:tcBorders>
          </w:tcPr>
          <w:p w14:paraId="7BD25BCB" w14:textId="77777777" w:rsidR="000E4B48" w:rsidRPr="00A910E2" w:rsidRDefault="000E4B48" w:rsidP="001A7E72">
            <w:pPr>
              <w:pStyle w:val="Figurelegend"/>
              <w:keepNext w:val="0"/>
              <w:keepLines w:val="0"/>
              <w:jc w:val="center"/>
              <w:rPr>
                <w:b/>
                <w:bCs/>
                <w:sz w:val="16"/>
                <w:szCs w:val="18"/>
              </w:rPr>
            </w:pPr>
            <w:r w:rsidRPr="00A910E2">
              <w:rPr>
                <w:b/>
                <w:bCs/>
                <w:sz w:val="16"/>
                <w:szCs w:val="18"/>
              </w:rPr>
              <w:t>Mouvement net</w:t>
            </w:r>
          </w:p>
        </w:tc>
      </w:tr>
      <w:tr w:rsidR="000E4B48" w:rsidRPr="00A910E2" w14:paraId="27B78D2A" w14:textId="77777777" w:rsidTr="000E4B48">
        <w:trPr>
          <w:jc w:val="center"/>
        </w:trPr>
        <w:tc>
          <w:tcPr>
            <w:tcW w:w="5949" w:type="dxa"/>
            <w:vMerge/>
            <w:tcBorders>
              <w:right w:val="single" w:sz="4" w:space="0" w:color="auto"/>
            </w:tcBorders>
          </w:tcPr>
          <w:p w14:paraId="548B00F6" w14:textId="06C9255A" w:rsidR="000E4B48" w:rsidRPr="00A910E2" w:rsidRDefault="000E4B48" w:rsidP="008E52A1">
            <w:pPr>
              <w:pStyle w:val="Figurelegend"/>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73B0AEBD" w14:textId="77777777" w:rsidR="000E4B48" w:rsidRPr="00A910E2" w:rsidRDefault="000E4B48" w:rsidP="001C5937">
            <w:pPr>
              <w:pStyle w:val="Figurelegend"/>
              <w:keepNext w:val="0"/>
              <w:keepLines w:val="0"/>
              <w:rPr>
                <w:b/>
                <w:bCs/>
                <w:sz w:val="16"/>
                <w:szCs w:val="18"/>
              </w:rPr>
            </w:pPr>
            <w:r w:rsidRPr="00A910E2">
              <w:rPr>
                <w:b/>
                <w:bCs/>
                <w:sz w:val="16"/>
                <w:szCs w:val="18"/>
              </w:rPr>
              <w:t>Membre de Secteur</w:t>
            </w:r>
          </w:p>
        </w:tc>
        <w:tc>
          <w:tcPr>
            <w:tcW w:w="934" w:type="dxa"/>
            <w:tcBorders>
              <w:top w:val="single" w:sz="4" w:space="0" w:color="auto"/>
              <w:left w:val="single" w:sz="4" w:space="0" w:color="auto"/>
              <w:bottom w:val="single" w:sz="4" w:space="0" w:color="auto"/>
              <w:right w:val="single" w:sz="4" w:space="0" w:color="auto"/>
            </w:tcBorders>
          </w:tcPr>
          <w:p w14:paraId="5C2C6C8A"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52</w:t>
            </w:r>
          </w:p>
        </w:tc>
        <w:tc>
          <w:tcPr>
            <w:tcW w:w="865" w:type="dxa"/>
            <w:tcBorders>
              <w:top w:val="single" w:sz="4" w:space="0" w:color="auto"/>
              <w:left w:val="single" w:sz="4" w:space="0" w:color="auto"/>
              <w:bottom w:val="single" w:sz="4" w:space="0" w:color="auto"/>
              <w:right w:val="single" w:sz="4" w:space="0" w:color="auto"/>
            </w:tcBorders>
          </w:tcPr>
          <w:p w14:paraId="2F4CC8EB" w14:textId="77777777" w:rsidR="000E4B48" w:rsidRPr="00A910E2" w:rsidRDefault="000E4B48" w:rsidP="001A7E72">
            <w:pPr>
              <w:pStyle w:val="Figurelegend"/>
              <w:keepNext w:val="0"/>
              <w:keepLines w:val="0"/>
              <w:jc w:val="center"/>
              <w:rPr>
                <w:b/>
                <w:bCs/>
                <w:color w:val="FF0000"/>
                <w:sz w:val="16"/>
                <w:szCs w:val="18"/>
              </w:rPr>
            </w:pPr>
            <w:r w:rsidRPr="00A910E2">
              <w:rPr>
                <w:b/>
                <w:bCs/>
                <w:color w:val="FF0000"/>
                <w:sz w:val="16"/>
                <w:szCs w:val="18"/>
              </w:rPr>
              <w:t>29</w:t>
            </w:r>
          </w:p>
        </w:tc>
        <w:tc>
          <w:tcPr>
            <w:tcW w:w="1041" w:type="dxa"/>
            <w:tcBorders>
              <w:top w:val="single" w:sz="4" w:space="0" w:color="auto"/>
              <w:left w:val="single" w:sz="4" w:space="0" w:color="auto"/>
              <w:bottom w:val="single" w:sz="4" w:space="0" w:color="auto"/>
              <w:right w:val="single" w:sz="4" w:space="0" w:color="auto"/>
            </w:tcBorders>
          </w:tcPr>
          <w:p w14:paraId="2FC4B098"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23</w:t>
            </w:r>
          </w:p>
        </w:tc>
      </w:tr>
      <w:tr w:rsidR="000E4B48" w:rsidRPr="00A910E2" w14:paraId="03305AAF" w14:textId="77777777" w:rsidTr="000E4B48">
        <w:trPr>
          <w:jc w:val="center"/>
        </w:trPr>
        <w:tc>
          <w:tcPr>
            <w:tcW w:w="5949" w:type="dxa"/>
            <w:vMerge/>
            <w:tcBorders>
              <w:right w:val="single" w:sz="4" w:space="0" w:color="auto"/>
            </w:tcBorders>
          </w:tcPr>
          <w:p w14:paraId="47AF44D9" w14:textId="39B82B8A" w:rsidR="000E4B48" w:rsidRPr="00A910E2" w:rsidRDefault="000E4B48" w:rsidP="008E52A1">
            <w:pPr>
              <w:pStyle w:val="Figurelegend"/>
              <w:keepNext w:val="0"/>
              <w:keepLines w:val="0"/>
              <w:numPr>
                <w:ilvl w:val="0"/>
                <w:numId w:val="17"/>
              </w:numPr>
              <w:ind w:left="170" w:hanging="170"/>
            </w:pPr>
          </w:p>
        </w:tc>
        <w:tc>
          <w:tcPr>
            <w:tcW w:w="850" w:type="dxa"/>
            <w:tcBorders>
              <w:top w:val="single" w:sz="4" w:space="0" w:color="auto"/>
              <w:left w:val="single" w:sz="4" w:space="0" w:color="auto"/>
              <w:bottom w:val="single" w:sz="4" w:space="0" w:color="auto"/>
              <w:right w:val="single" w:sz="4" w:space="0" w:color="auto"/>
            </w:tcBorders>
          </w:tcPr>
          <w:p w14:paraId="29F10257" w14:textId="77777777" w:rsidR="000E4B48" w:rsidRPr="00A910E2" w:rsidRDefault="000E4B48" w:rsidP="001C5937">
            <w:pPr>
              <w:pStyle w:val="Figurelegend"/>
              <w:keepNext w:val="0"/>
              <w:keepLines w:val="0"/>
              <w:rPr>
                <w:b/>
                <w:bCs/>
                <w:sz w:val="16"/>
                <w:szCs w:val="18"/>
              </w:rPr>
            </w:pPr>
            <w:r w:rsidRPr="00A910E2">
              <w:rPr>
                <w:b/>
                <w:bCs/>
                <w:sz w:val="16"/>
                <w:szCs w:val="18"/>
              </w:rPr>
              <w:t>Associé</w:t>
            </w:r>
          </w:p>
        </w:tc>
        <w:tc>
          <w:tcPr>
            <w:tcW w:w="934" w:type="dxa"/>
            <w:tcBorders>
              <w:top w:val="single" w:sz="4" w:space="0" w:color="auto"/>
              <w:left w:val="single" w:sz="4" w:space="0" w:color="auto"/>
              <w:bottom w:val="single" w:sz="4" w:space="0" w:color="auto"/>
              <w:right w:val="single" w:sz="4" w:space="0" w:color="auto"/>
            </w:tcBorders>
          </w:tcPr>
          <w:p w14:paraId="1DF37E5A"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39</w:t>
            </w:r>
          </w:p>
        </w:tc>
        <w:tc>
          <w:tcPr>
            <w:tcW w:w="865" w:type="dxa"/>
            <w:tcBorders>
              <w:top w:val="single" w:sz="4" w:space="0" w:color="auto"/>
              <w:left w:val="single" w:sz="4" w:space="0" w:color="auto"/>
              <w:bottom w:val="single" w:sz="4" w:space="0" w:color="auto"/>
              <w:right w:val="single" w:sz="4" w:space="0" w:color="auto"/>
            </w:tcBorders>
          </w:tcPr>
          <w:p w14:paraId="214305C2" w14:textId="77777777" w:rsidR="000E4B48" w:rsidRPr="00A910E2" w:rsidRDefault="000E4B48" w:rsidP="001A7E72">
            <w:pPr>
              <w:pStyle w:val="Figurelegend"/>
              <w:keepNext w:val="0"/>
              <w:keepLines w:val="0"/>
              <w:jc w:val="center"/>
              <w:rPr>
                <w:b/>
                <w:bCs/>
                <w:color w:val="FF0000"/>
                <w:sz w:val="16"/>
                <w:szCs w:val="18"/>
              </w:rPr>
            </w:pPr>
            <w:r w:rsidRPr="00A910E2">
              <w:rPr>
                <w:b/>
                <w:bCs/>
                <w:color w:val="FF0000"/>
                <w:sz w:val="16"/>
                <w:szCs w:val="18"/>
              </w:rPr>
              <w:t>19</w:t>
            </w:r>
          </w:p>
        </w:tc>
        <w:tc>
          <w:tcPr>
            <w:tcW w:w="1041" w:type="dxa"/>
            <w:tcBorders>
              <w:top w:val="single" w:sz="4" w:space="0" w:color="auto"/>
              <w:left w:val="single" w:sz="4" w:space="0" w:color="auto"/>
              <w:bottom w:val="single" w:sz="4" w:space="0" w:color="auto"/>
              <w:right w:val="single" w:sz="4" w:space="0" w:color="auto"/>
            </w:tcBorders>
          </w:tcPr>
          <w:p w14:paraId="2340ACC2"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20</w:t>
            </w:r>
          </w:p>
        </w:tc>
      </w:tr>
      <w:tr w:rsidR="000E4B48" w:rsidRPr="00A910E2" w14:paraId="02279A4C" w14:textId="77777777" w:rsidTr="000E4B48">
        <w:trPr>
          <w:jc w:val="center"/>
        </w:trPr>
        <w:tc>
          <w:tcPr>
            <w:tcW w:w="5949" w:type="dxa"/>
            <w:vMerge/>
            <w:tcBorders>
              <w:right w:val="single" w:sz="4" w:space="0" w:color="auto"/>
            </w:tcBorders>
          </w:tcPr>
          <w:p w14:paraId="711394A2" w14:textId="77777777" w:rsidR="000E4B48" w:rsidRPr="00A910E2" w:rsidRDefault="000E4B48" w:rsidP="001A7E72">
            <w:pPr>
              <w:pStyle w:val="Figurelegend"/>
              <w:keepNext w:val="0"/>
              <w:keepLines w:val="0"/>
            </w:pPr>
          </w:p>
        </w:tc>
        <w:tc>
          <w:tcPr>
            <w:tcW w:w="850" w:type="dxa"/>
            <w:tcBorders>
              <w:top w:val="single" w:sz="4" w:space="0" w:color="auto"/>
              <w:left w:val="single" w:sz="4" w:space="0" w:color="auto"/>
              <w:bottom w:val="single" w:sz="4" w:space="0" w:color="auto"/>
              <w:right w:val="single" w:sz="4" w:space="0" w:color="auto"/>
            </w:tcBorders>
          </w:tcPr>
          <w:p w14:paraId="1739F960" w14:textId="77777777" w:rsidR="000E4B48" w:rsidRPr="00A910E2" w:rsidRDefault="000E4B48" w:rsidP="001C5937">
            <w:pPr>
              <w:pStyle w:val="Figurelegend"/>
              <w:keepNext w:val="0"/>
              <w:keepLines w:val="0"/>
              <w:rPr>
                <w:b/>
                <w:bCs/>
                <w:sz w:val="16"/>
                <w:szCs w:val="18"/>
              </w:rPr>
            </w:pPr>
            <w:r w:rsidRPr="00A910E2">
              <w:rPr>
                <w:b/>
                <w:bCs/>
                <w:sz w:val="16"/>
                <w:szCs w:val="18"/>
              </w:rPr>
              <w:t>Établissements universitaires</w:t>
            </w:r>
          </w:p>
        </w:tc>
        <w:tc>
          <w:tcPr>
            <w:tcW w:w="934" w:type="dxa"/>
            <w:tcBorders>
              <w:top w:val="single" w:sz="4" w:space="0" w:color="auto"/>
              <w:left w:val="single" w:sz="4" w:space="0" w:color="auto"/>
              <w:bottom w:val="single" w:sz="4" w:space="0" w:color="auto"/>
              <w:right w:val="single" w:sz="4" w:space="0" w:color="auto"/>
            </w:tcBorders>
          </w:tcPr>
          <w:p w14:paraId="26209F49" w14:textId="77777777" w:rsidR="000E4B48" w:rsidRPr="00A910E2" w:rsidRDefault="000E4B48" w:rsidP="001A7E72">
            <w:pPr>
              <w:pStyle w:val="Figurelegend"/>
              <w:keepNext w:val="0"/>
              <w:keepLines w:val="0"/>
              <w:jc w:val="center"/>
              <w:rPr>
                <w:b/>
                <w:bCs/>
                <w:color w:val="00B050"/>
                <w:sz w:val="16"/>
                <w:szCs w:val="18"/>
              </w:rPr>
            </w:pPr>
            <w:r w:rsidRPr="00A910E2">
              <w:rPr>
                <w:b/>
                <w:bCs/>
                <w:color w:val="00B050"/>
                <w:sz w:val="16"/>
                <w:szCs w:val="18"/>
              </w:rPr>
              <w:t>17</w:t>
            </w:r>
          </w:p>
        </w:tc>
        <w:tc>
          <w:tcPr>
            <w:tcW w:w="865" w:type="dxa"/>
            <w:tcBorders>
              <w:top w:val="single" w:sz="4" w:space="0" w:color="auto"/>
              <w:left w:val="single" w:sz="4" w:space="0" w:color="auto"/>
              <w:bottom w:val="single" w:sz="4" w:space="0" w:color="auto"/>
              <w:right w:val="single" w:sz="4" w:space="0" w:color="auto"/>
            </w:tcBorders>
          </w:tcPr>
          <w:p w14:paraId="4C8B6AF7" w14:textId="77777777" w:rsidR="000E4B48" w:rsidRPr="00A910E2" w:rsidRDefault="000E4B48" w:rsidP="001A7E72">
            <w:pPr>
              <w:pStyle w:val="Figurelegend"/>
              <w:keepNext w:val="0"/>
              <w:keepLines w:val="0"/>
              <w:jc w:val="center"/>
              <w:rPr>
                <w:b/>
                <w:bCs/>
                <w:color w:val="FF0000"/>
                <w:sz w:val="16"/>
                <w:szCs w:val="18"/>
              </w:rPr>
            </w:pPr>
            <w:r w:rsidRPr="00A910E2">
              <w:rPr>
                <w:b/>
                <w:bCs/>
                <w:color w:val="FF0000"/>
                <w:sz w:val="16"/>
                <w:szCs w:val="18"/>
              </w:rPr>
              <w:t>18</w:t>
            </w:r>
          </w:p>
        </w:tc>
        <w:tc>
          <w:tcPr>
            <w:tcW w:w="1041" w:type="dxa"/>
            <w:tcBorders>
              <w:top w:val="single" w:sz="4" w:space="0" w:color="auto"/>
              <w:left w:val="single" w:sz="4" w:space="0" w:color="auto"/>
              <w:bottom w:val="single" w:sz="4" w:space="0" w:color="auto"/>
              <w:right w:val="single" w:sz="4" w:space="0" w:color="auto"/>
            </w:tcBorders>
          </w:tcPr>
          <w:p w14:paraId="1B936F75" w14:textId="77777777" w:rsidR="000E4B48" w:rsidRPr="00A910E2" w:rsidRDefault="000E4B48" w:rsidP="001A7E72">
            <w:pPr>
              <w:pStyle w:val="Figurelegend"/>
              <w:keepNext w:val="0"/>
              <w:keepLines w:val="0"/>
              <w:jc w:val="center"/>
              <w:rPr>
                <w:b/>
                <w:bCs/>
                <w:sz w:val="16"/>
                <w:szCs w:val="18"/>
              </w:rPr>
            </w:pPr>
            <w:r w:rsidRPr="00A910E2">
              <w:rPr>
                <w:b/>
                <w:bCs/>
                <w:color w:val="FF0000"/>
                <w:sz w:val="16"/>
                <w:szCs w:val="18"/>
              </w:rPr>
              <w:t>–1</w:t>
            </w:r>
          </w:p>
        </w:tc>
      </w:tr>
      <w:tr w:rsidR="000E4B48" w:rsidRPr="00A910E2" w14:paraId="6AFF773F" w14:textId="77777777" w:rsidTr="000E4B48">
        <w:trPr>
          <w:trHeight w:val="339"/>
          <w:jc w:val="center"/>
        </w:trPr>
        <w:tc>
          <w:tcPr>
            <w:tcW w:w="5949" w:type="dxa"/>
            <w:vMerge/>
          </w:tcPr>
          <w:p w14:paraId="4F7AC2A0" w14:textId="77777777" w:rsidR="000E4B48" w:rsidRPr="00A910E2" w:rsidRDefault="000E4B48" w:rsidP="001A7E72">
            <w:pPr>
              <w:pStyle w:val="Figurelegend"/>
              <w:keepNext w:val="0"/>
              <w:keepLines w:val="0"/>
            </w:pPr>
          </w:p>
        </w:tc>
        <w:tc>
          <w:tcPr>
            <w:tcW w:w="3690" w:type="dxa"/>
            <w:gridSpan w:val="4"/>
            <w:tcBorders>
              <w:top w:val="single" w:sz="4" w:space="0" w:color="auto"/>
            </w:tcBorders>
          </w:tcPr>
          <w:p w14:paraId="3D290DB4" w14:textId="77777777" w:rsidR="000E4B48" w:rsidRPr="00A910E2" w:rsidRDefault="000E4B48" w:rsidP="001A7E72">
            <w:pPr>
              <w:pStyle w:val="Figurelegend"/>
              <w:keepNext w:val="0"/>
              <w:keepLines w:val="0"/>
              <w:jc w:val="center"/>
              <w:rPr>
                <w:b/>
                <w:bCs/>
                <w:color w:val="FF0000"/>
              </w:rPr>
            </w:pPr>
          </w:p>
        </w:tc>
      </w:tr>
    </w:tbl>
    <w:p w14:paraId="44571154" w14:textId="635EA215" w:rsidR="008E52A1" w:rsidRPr="00A910E2" w:rsidRDefault="008E52A1" w:rsidP="00A85C2D">
      <w:pPr>
        <w:keepNext/>
        <w:keepLines/>
        <w:spacing w:before="240"/>
        <w:jc w:val="center"/>
      </w:pPr>
      <w:r w:rsidRPr="00A910E2">
        <w:drawing>
          <wp:inline distT="0" distB="0" distL="0" distR="0" wp14:anchorId="52E5BDF4" wp14:editId="4EEFA2EF">
            <wp:extent cx="6152083" cy="1294725"/>
            <wp:effectExtent l="0" t="0" r="1270" b="1270"/>
            <wp:docPr id="132178392" name="Picture 13217839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8392" name="Picture 132178392" descr="A screenshot of a tab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196693" cy="1304113"/>
                    </a:xfrm>
                    <a:prstGeom prst="rect">
                      <a:avLst/>
                    </a:prstGeom>
                  </pic:spPr>
                </pic:pic>
              </a:graphicData>
            </a:graphic>
          </wp:inline>
        </w:drawing>
      </w:r>
    </w:p>
    <w:p w14:paraId="407CE681" w14:textId="12A3CBC4" w:rsidR="000E4B48" w:rsidRPr="00A910E2" w:rsidRDefault="000E4B48" w:rsidP="00A85C2D">
      <w:pPr>
        <w:pStyle w:val="Figurelegend"/>
        <w:spacing w:before="240" w:after="120"/>
      </w:pPr>
      <w:r w:rsidRPr="00A910E2">
        <w:rPr>
          <w:u w:val="single"/>
        </w:rPr>
        <w:t>Légende de la Figure</w:t>
      </w:r>
      <w:r w:rsidRPr="00A910E2">
        <w:t>:</w:t>
      </w:r>
    </w:p>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1176"/>
        <w:gridCol w:w="668"/>
        <w:gridCol w:w="659"/>
        <w:gridCol w:w="535"/>
        <w:gridCol w:w="528"/>
        <w:gridCol w:w="496"/>
        <w:gridCol w:w="496"/>
        <w:gridCol w:w="590"/>
        <w:gridCol w:w="512"/>
        <w:gridCol w:w="862"/>
        <w:gridCol w:w="706"/>
        <w:gridCol w:w="839"/>
        <w:gridCol w:w="823"/>
      </w:tblGrid>
      <w:tr w:rsidR="008E52A1" w:rsidRPr="00A910E2" w14:paraId="578B841F" w14:textId="77777777" w:rsidTr="00A85C2D">
        <w:trPr>
          <w:jc w:val="center"/>
        </w:trPr>
        <w:tc>
          <w:tcPr>
            <w:tcW w:w="10066" w:type="dxa"/>
            <w:gridSpan w:val="14"/>
          </w:tcPr>
          <w:p w14:paraId="5B409470" w14:textId="77777777" w:rsidR="008E52A1" w:rsidRPr="00A910E2" w:rsidRDefault="008E52A1" w:rsidP="00A85C2D">
            <w:pPr>
              <w:pStyle w:val="Figurelegend"/>
              <w:spacing w:before="60" w:after="60"/>
              <w:rPr>
                <w:sz w:val="16"/>
                <w:szCs w:val="16"/>
              </w:rPr>
            </w:pPr>
            <w:r w:rsidRPr="00A910E2">
              <w:rPr>
                <w:szCs w:val="18"/>
              </w:rPr>
              <w:t>Nombre net de membres par Secteur et par catégorie</w:t>
            </w:r>
          </w:p>
        </w:tc>
      </w:tr>
      <w:tr w:rsidR="00A85C2D" w:rsidRPr="00A910E2" w14:paraId="3CE53871" w14:textId="77777777" w:rsidTr="00A85C2D">
        <w:trPr>
          <w:jc w:val="center"/>
        </w:trPr>
        <w:tc>
          <w:tcPr>
            <w:tcW w:w="1176" w:type="dxa"/>
            <w:tcBorders>
              <w:bottom w:val="single" w:sz="4" w:space="0" w:color="auto"/>
              <w:right w:val="single" w:sz="4" w:space="0" w:color="808080" w:themeColor="background1" w:themeShade="80"/>
            </w:tcBorders>
          </w:tcPr>
          <w:p w14:paraId="1E5887A2" w14:textId="77777777" w:rsidR="00A85C2D" w:rsidRPr="00A910E2" w:rsidRDefault="00A85C2D" w:rsidP="00A85C2D">
            <w:pPr>
              <w:pStyle w:val="Figurelegend"/>
              <w:jc w:val="center"/>
              <w:rPr>
                <w:b/>
                <w:bCs/>
                <w:sz w:val="16"/>
                <w:szCs w:val="16"/>
              </w:rPr>
            </w:pPr>
            <w:r w:rsidRPr="00A910E2">
              <w:rPr>
                <w:b/>
                <w:bCs/>
                <w:sz w:val="16"/>
                <w:szCs w:val="16"/>
              </w:rPr>
              <w:t>Secteur</w:t>
            </w:r>
          </w:p>
        </w:tc>
        <w:tc>
          <w:tcPr>
            <w:tcW w:w="1176" w:type="dxa"/>
            <w:tcBorders>
              <w:left w:val="single" w:sz="4" w:space="0" w:color="808080" w:themeColor="background1" w:themeShade="80"/>
              <w:bottom w:val="single" w:sz="4" w:space="0" w:color="auto"/>
              <w:right w:val="single" w:sz="4" w:space="0" w:color="808080" w:themeColor="background1" w:themeShade="80"/>
            </w:tcBorders>
          </w:tcPr>
          <w:p w14:paraId="45581AAF" w14:textId="77777777" w:rsidR="00A85C2D" w:rsidRPr="00A910E2" w:rsidRDefault="00A85C2D" w:rsidP="00A85C2D">
            <w:pPr>
              <w:pStyle w:val="Figurelegend"/>
              <w:jc w:val="center"/>
              <w:rPr>
                <w:b/>
                <w:bCs/>
                <w:sz w:val="16"/>
                <w:szCs w:val="16"/>
              </w:rPr>
            </w:pPr>
            <w:r w:rsidRPr="00A910E2">
              <w:rPr>
                <w:b/>
                <w:bCs/>
                <w:sz w:val="16"/>
                <w:szCs w:val="16"/>
              </w:rPr>
              <w:t>Catégorie de membre</w:t>
            </w:r>
          </w:p>
        </w:tc>
        <w:tc>
          <w:tcPr>
            <w:tcW w:w="668" w:type="dxa"/>
            <w:tcBorders>
              <w:left w:val="single" w:sz="4" w:space="0" w:color="808080" w:themeColor="background1" w:themeShade="80"/>
              <w:bottom w:val="single" w:sz="4" w:space="0" w:color="auto"/>
              <w:right w:val="single" w:sz="4" w:space="0" w:color="808080" w:themeColor="background1" w:themeShade="80"/>
            </w:tcBorders>
            <w:vAlign w:val="center"/>
          </w:tcPr>
          <w:p w14:paraId="156053E2" w14:textId="1C672F14" w:rsidR="00A85C2D" w:rsidRPr="00A910E2" w:rsidRDefault="00A85C2D" w:rsidP="00A85C2D">
            <w:pPr>
              <w:pStyle w:val="Figurelegend"/>
              <w:jc w:val="center"/>
              <w:rPr>
                <w:b/>
                <w:bCs/>
                <w:sz w:val="14"/>
                <w:szCs w:val="14"/>
              </w:rPr>
            </w:pPr>
            <w:r w:rsidRPr="00A910E2">
              <w:rPr>
                <w:b/>
                <w:bCs/>
                <w:sz w:val="14"/>
                <w:szCs w:val="14"/>
              </w:rPr>
              <w:t>Janvier 2023</w:t>
            </w:r>
          </w:p>
        </w:tc>
        <w:tc>
          <w:tcPr>
            <w:tcW w:w="659" w:type="dxa"/>
            <w:tcBorders>
              <w:left w:val="single" w:sz="4" w:space="0" w:color="808080" w:themeColor="background1" w:themeShade="80"/>
              <w:bottom w:val="single" w:sz="4" w:space="0" w:color="auto"/>
              <w:right w:val="single" w:sz="4" w:space="0" w:color="808080" w:themeColor="background1" w:themeShade="80"/>
            </w:tcBorders>
            <w:vAlign w:val="center"/>
          </w:tcPr>
          <w:p w14:paraId="2B7EAFBD" w14:textId="5AAE99D6" w:rsidR="00A85C2D" w:rsidRPr="00A910E2" w:rsidRDefault="00A85C2D" w:rsidP="00A85C2D">
            <w:pPr>
              <w:pStyle w:val="Figurelegend"/>
              <w:jc w:val="center"/>
              <w:rPr>
                <w:b/>
                <w:bCs/>
                <w:sz w:val="14"/>
                <w:szCs w:val="14"/>
              </w:rPr>
            </w:pPr>
            <w:r w:rsidRPr="00A910E2">
              <w:rPr>
                <w:b/>
                <w:bCs/>
                <w:sz w:val="14"/>
                <w:szCs w:val="14"/>
              </w:rPr>
              <w:t>Février 2023</w:t>
            </w:r>
          </w:p>
        </w:tc>
        <w:tc>
          <w:tcPr>
            <w:tcW w:w="535" w:type="dxa"/>
            <w:tcBorders>
              <w:left w:val="single" w:sz="4" w:space="0" w:color="808080" w:themeColor="background1" w:themeShade="80"/>
              <w:bottom w:val="single" w:sz="4" w:space="0" w:color="auto"/>
              <w:right w:val="single" w:sz="4" w:space="0" w:color="808080" w:themeColor="background1" w:themeShade="80"/>
            </w:tcBorders>
            <w:vAlign w:val="center"/>
          </w:tcPr>
          <w:p w14:paraId="3628A6B3" w14:textId="22FA5C84" w:rsidR="00A85C2D" w:rsidRPr="00A910E2" w:rsidRDefault="00A85C2D" w:rsidP="00A85C2D">
            <w:pPr>
              <w:pStyle w:val="Figurelegend"/>
              <w:jc w:val="center"/>
              <w:rPr>
                <w:b/>
                <w:bCs/>
                <w:sz w:val="14"/>
                <w:szCs w:val="14"/>
              </w:rPr>
            </w:pPr>
            <w:r w:rsidRPr="00A910E2">
              <w:rPr>
                <w:b/>
                <w:bCs/>
                <w:sz w:val="14"/>
                <w:szCs w:val="14"/>
              </w:rPr>
              <w:t>Mars 2023</w:t>
            </w:r>
          </w:p>
        </w:tc>
        <w:tc>
          <w:tcPr>
            <w:tcW w:w="528" w:type="dxa"/>
            <w:tcBorders>
              <w:left w:val="single" w:sz="4" w:space="0" w:color="808080" w:themeColor="background1" w:themeShade="80"/>
              <w:bottom w:val="single" w:sz="4" w:space="0" w:color="auto"/>
              <w:right w:val="single" w:sz="4" w:space="0" w:color="808080" w:themeColor="background1" w:themeShade="80"/>
            </w:tcBorders>
            <w:vAlign w:val="center"/>
          </w:tcPr>
          <w:p w14:paraId="508FEDFA" w14:textId="0E176254" w:rsidR="00A85C2D" w:rsidRPr="00A910E2" w:rsidRDefault="00A85C2D" w:rsidP="00A85C2D">
            <w:pPr>
              <w:pStyle w:val="Figurelegend"/>
              <w:jc w:val="center"/>
              <w:rPr>
                <w:b/>
                <w:bCs/>
                <w:sz w:val="14"/>
                <w:szCs w:val="14"/>
              </w:rPr>
            </w:pPr>
            <w:r w:rsidRPr="00A910E2">
              <w:rPr>
                <w:b/>
                <w:bCs/>
                <w:sz w:val="14"/>
                <w:szCs w:val="14"/>
              </w:rPr>
              <w:t>Avril 2023</w:t>
            </w:r>
          </w:p>
        </w:tc>
        <w:tc>
          <w:tcPr>
            <w:tcW w:w="496" w:type="dxa"/>
            <w:tcBorders>
              <w:left w:val="single" w:sz="4" w:space="0" w:color="808080" w:themeColor="background1" w:themeShade="80"/>
              <w:bottom w:val="single" w:sz="4" w:space="0" w:color="auto"/>
              <w:right w:val="single" w:sz="4" w:space="0" w:color="808080" w:themeColor="background1" w:themeShade="80"/>
            </w:tcBorders>
            <w:vAlign w:val="center"/>
          </w:tcPr>
          <w:p w14:paraId="3CA97E91" w14:textId="71993C9D" w:rsidR="00A85C2D" w:rsidRPr="00A910E2" w:rsidRDefault="00A85C2D" w:rsidP="00A85C2D">
            <w:pPr>
              <w:pStyle w:val="Figurelegend"/>
              <w:jc w:val="center"/>
              <w:rPr>
                <w:b/>
                <w:bCs/>
                <w:sz w:val="14"/>
                <w:szCs w:val="14"/>
              </w:rPr>
            </w:pPr>
            <w:r w:rsidRPr="00A910E2">
              <w:rPr>
                <w:b/>
                <w:bCs/>
                <w:sz w:val="14"/>
                <w:szCs w:val="14"/>
              </w:rPr>
              <w:t>Mai 2023</w:t>
            </w:r>
          </w:p>
        </w:tc>
        <w:tc>
          <w:tcPr>
            <w:tcW w:w="496" w:type="dxa"/>
            <w:tcBorders>
              <w:left w:val="single" w:sz="4" w:space="0" w:color="808080" w:themeColor="background1" w:themeShade="80"/>
              <w:bottom w:val="single" w:sz="4" w:space="0" w:color="auto"/>
              <w:right w:val="single" w:sz="4" w:space="0" w:color="808080" w:themeColor="background1" w:themeShade="80"/>
            </w:tcBorders>
            <w:vAlign w:val="center"/>
          </w:tcPr>
          <w:p w14:paraId="4D6945FC" w14:textId="60D3485A" w:rsidR="00A85C2D" w:rsidRPr="00A910E2" w:rsidRDefault="00A85C2D" w:rsidP="00A85C2D">
            <w:pPr>
              <w:pStyle w:val="Figurelegend"/>
              <w:jc w:val="center"/>
              <w:rPr>
                <w:b/>
                <w:bCs/>
                <w:sz w:val="14"/>
                <w:szCs w:val="14"/>
              </w:rPr>
            </w:pPr>
            <w:r w:rsidRPr="00A910E2">
              <w:rPr>
                <w:b/>
                <w:bCs/>
                <w:sz w:val="14"/>
                <w:szCs w:val="14"/>
              </w:rPr>
              <w:t>Juin 2023</w:t>
            </w:r>
          </w:p>
        </w:tc>
        <w:tc>
          <w:tcPr>
            <w:tcW w:w="590" w:type="dxa"/>
            <w:tcBorders>
              <w:left w:val="single" w:sz="4" w:space="0" w:color="808080" w:themeColor="background1" w:themeShade="80"/>
              <w:bottom w:val="single" w:sz="4" w:space="0" w:color="auto"/>
              <w:right w:val="single" w:sz="4" w:space="0" w:color="808080" w:themeColor="background1" w:themeShade="80"/>
            </w:tcBorders>
            <w:vAlign w:val="center"/>
          </w:tcPr>
          <w:p w14:paraId="5AAEAF0F" w14:textId="6F8BBD52" w:rsidR="00A85C2D" w:rsidRPr="00A910E2" w:rsidRDefault="00A85C2D" w:rsidP="00A85C2D">
            <w:pPr>
              <w:pStyle w:val="Figurelegend"/>
              <w:jc w:val="center"/>
              <w:rPr>
                <w:b/>
                <w:bCs/>
                <w:sz w:val="14"/>
                <w:szCs w:val="14"/>
              </w:rPr>
            </w:pPr>
            <w:r w:rsidRPr="00A910E2">
              <w:rPr>
                <w:b/>
                <w:bCs/>
                <w:sz w:val="14"/>
                <w:szCs w:val="14"/>
              </w:rPr>
              <w:t>Juillet 2023</w:t>
            </w:r>
          </w:p>
        </w:tc>
        <w:tc>
          <w:tcPr>
            <w:tcW w:w="512" w:type="dxa"/>
            <w:tcBorders>
              <w:left w:val="single" w:sz="4" w:space="0" w:color="808080" w:themeColor="background1" w:themeShade="80"/>
              <w:bottom w:val="single" w:sz="4" w:space="0" w:color="auto"/>
              <w:right w:val="single" w:sz="4" w:space="0" w:color="808080" w:themeColor="background1" w:themeShade="80"/>
            </w:tcBorders>
            <w:vAlign w:val="center"/>
          </w:tcPr>
          <w:p w14:paraId="7A7EBC78" w14:textId="534C46B1" w:rsidR="00A85C2D" w:rsidRPr="00A910E2" w:rsidRDefault="00A85C2D" w:rsidP="00A85C2D">
            <w:pPr>
              <w:pStyle w:val="Figurelegend"/>
              <w:jc w:val="center"/>
              <w:rPr>
                <w:b/>
                <w:bCs/>
                <w:sz w:val="14"/>
                <w:szCs w:val="14"/>
              </w:rPr>
            </w:pPr>
            <w:r w:rsidRPr="00A910E2">
              <w:rPr>
                <w:b/>
                <w:bCs/>
                <w:sz w:val="14"/>
                <w:szCs w:val="14"/>
              </w:rPr>
              <w:t>Août 2023</w:t>
            </w:r>
          </w:p>
        </w:tc>
        <w:tc>
          <w:tcPr>
            <w:tcW w:w="862" w:type="dxa"/>
            <w:tcBorders>
              <w:left w:val="single" w:sz="4" w:space="0" w:color="808080" w:themeColor="background1" w:themeShade="80"/>
              <w:bottom w:val="single" w:sz="4" w:space="0" w:color="auto"/>
              <w:right w:val="single" w:sz="4" w:space="0" w:color="808080" w:themeColor="background1" w:themeShade="80"/>
            </w:tcBorders>
            <w:vAlign w:val="center"/>
          </w:tcPr>
          <w:p w14:paraId="6B11489E" w14:textId="3FC73F62" w:rsidR="00A85C2D" w:rsidRPr="00A910E2" w:rsidRDefault="00A85C2D" w:rsidP="00A85C2D">
            <w:pPr>
              <w:pStyle w:val="Figurelegend"/>
              <w:jc w:val="center"/>
              <w:rPr>
                <w:b/>
                <w:bCs/>
                <w:sz w:val="14"/>
                <w:szCs w:val="14"/>
              </w:rPr>
            </w:pPr>
            <w:r w:rsidRPr="00A910E2">
              <w:rPr>
                <w:b/>
                <w:bCs/>
                <w:sz w:val="14"/>
                <w:szCs w:val="14"/>
              </w:rPr>
              <w:t>Septembre 2023</w:t>
            </w:r>
          </w:p>
        </w:tc>
        <w:tc>
          <w:tcPr>
            <w:tcW w:w="706" w:type="dxa"/>
            <w:tcBorders>
              <w:left w:val="single" w:sz="4" w:space="0" w:color="808080" w:themeColor="background1" w:themeShade="80"/>
              <w:bottom w:val="single" w:sz="4" w:space="0" w:color="auto"/>
              <w:right w:val="single" w:sz="4" w:space="0" w:color="808080" w:themeColor="background1" w:themeShade="80"/>
            </w:tcBorders>
            <w:vAlign w:val="center"/>
          </w:tcPr>
          <w:p w14:paraId="111BCD83" w14:textId="5A2EBACB" w:rsidR="00A85C2D" w:rsidRPr="00A910E2" w:rsidRDefault="00A85C2D" w:rsidP="00A85C2D">
            <w:pPr>
              <w:pStyle w:val="Figurelegend"/>
              <w:jc w:val="center"/>
              <w:rPr>
                <w:b/>
                <w:bCs/>
                <w:sz w:val="14"/>
                <w:szCs w:val="14"/>
              </w:rPr>
            </w:pPr>
            <w:r w:rsidRPr="00A910E2">
              <w:rPr>
                <w:b/>
                <w:bCs/>
                <w:sz w:val="14"/>
                <w:szCs w:val="14"/>
              </w:rPr>
              <w:t>Octobre 2023</w:t>
            </w:r>
          </w:p>
        </w:tc>
        <w:tc>
          <w:tcPr>
            <w:tcW w:w="839" w:type="dxa"/>
            <w:tcBorders>
              <w:left w:val="single" w:sz="4" w:space="0" w:color="808080" w:themeColor="background1" w:themeShade="80"/>
              <w:bottom w:val="single" w:sz="4" w:space="0" w:color="auto"/>
              <w:right w:val="single" w:sz="4" w:space="0" w:color="808080" w:themeColor="background1" w:themeShade="80"/>
            </w:tcBorders>
            <w:vAlign w:val="center"/>
          </w:tcPr>
          <w:p w14:paraId="72A7D4A8" w14:textId="58E8CF41" w:rsidR="00A85C2D" w:rsidRPr="00A910E2" w:rsidRDefault="00A85C2D" w:rsidP="00A85C2D">
            <w:pPr>
              <w:pStyle w:val="Figurelegend"/>
              <w:jc w:val="center"/>
              <w:rPr>
                <w:b/>
                <w:bCs/>
                <w:sz w:val="14"/>
                <w:szCs w:val="14"/>
              </w:rPr>
            </w:pPr>
            <w:r w:rsidRPr="00A910E2">
              <w:rPr>
                <w:b/>
                <w:bCs/>
                <w:sz w:val="14"/>
                <w:szCs w:val="14"/>
              </w:rPr>
              <w:t>Novembre 202</w:t>
            </w:r>
            <w:r w:rsidRPr="00A910E2">
              <w:rPr>
                <w:b/>
                <w:bCs/>
                <w:sz w:val="14"/>
                <w:szCs w:val="14"/>
              </w:rPr>
              <w:t>3</w:t>
            </w:r>
          </w:p>
        </w:tc>
        <w:tc>
          <w:tcPr>
            <w:tcW w:w="823" w:type="dxa"/>
            <w:tcBorders>
              <w:left w:val="single" w:sz="4" w:space="0" w:color="808080" w:themeColor="background1" w:themeShade="80"/>
              <w:bottom w:val="single" w:sz="4" w:space="0" w:color="auto"/>
            </w:tcBorders>
            <w:vAlign w:val="center"/>
          </w:tcPr>
          <w:p w14:paraId="75404007" w14:textId="2F78B97D" w:rsidR="00A85C2D" w:rsidRPr="00A910E2" w:rsidRDefault="00A85C2D" w:rsidP="00A85C2D">
            <w:pPr>
              <w:pStyle w:val="Figurelegend"/>
              <w:jc w:val="center"/>
              <w:rPr>
                <w:b/>
                <w:bCs/>
                <w:sz w:val="14"/>
                <w:szCs w:val="14"/>
              </w:rPr>
            </w:pPr>
            <w:r w:rsidRPr="00A910E2">
              <w:rPr>
                <w:b/>
                <w:bCs/>
                <w:sz w:val="14"/>
                <w:szCs w:val="14"/>
              </w:rPr>
              <w:t>Décembre 2023</w:t>
            </w:r>
          </w:p>
        </w:tc>
      </w:tr>
      <w:tr w:rsidR="00A85C2D" w:rsidRPr="00A910E2" w14:paraId="34D64D1E" w14:textId="77777777" w:rsidTr="00A85C2D">
        <w:trPr>
          <w:jc w:val="center"/>
        </w:trPr>
        <w:tc>
          <w:tcPr>
            <w:tcW w:w="1176" w:type="dxa"/>
            <w:tcBorders>
              <w:top w:val="single" w:sz="4" w:space="0" w:color="auto"/>
              <w:bottom w:val="single" w:sz="4" w:space="0" w:color="808080" w:themeColor="background1" w:themeShade="80"/>
              <w:right w:val="single" w:sz="4" w:space="0" w:color="808080" w:themeColor="background1" w:themeShade="80"/>
            </w:tcBorders>
          </w:tcPr>
          <w:p w14:paraId="40B3101B" w14:textId="77777777" w:rsidR="00A85C2D" w:rsidRPr="00A910E2" w:rsidRDefault="00A85C2D" w:rsidP="00A85C2D">
            <w:pPr>
              <w:pStyle w:val="Figurelegend"/>
              <w:rPr>
                <w:sz w:val="16"/>
                <w:szCs w:val="16"/>
              </w:rPr>
            </w:pPr>
            <w:r w:rsidRPr="00A910E2">
              <w:rPr>
                <w:sz w:val="16"/>
                <w:szCs w:val="16"/>
              </w:rPr>
              <w:t>UIT-R</w:t>
            </w:r>
          </w:p>
        </w:tc>
        <w:tc>
          <w:tcPr>
            <w:tcW w:w="1176" w:type="dxa"/>
            <w:tcBorders>
              <w:top w:val="single" w:sz="4" w:space="0" w:color="auto"/>
              <w:left w:val="single" w:sz="4" w:space="0" w:color="808080" w:themeColor="background1" w:themeShade="80"/>
              <w:bottom w:val="single" w:sz="4" w:space="0" w:color="808080" w:themeColor="background1" w:themeShade="80"/>
              <w:right w:val="single" w:sz="4" w:space="0" w:color="auto"/>
            </w:tcBorders>
          </w:tcPr>
          <w:p w14:paraId="307DB978" w14:textId="77777777" w:rsidR="00A85C2D" w:rsidRPr="00A910E2" w:rsidRDefault="00A85C2D" w:rsidP="00A85C2D">
            <w:pPr>
              <w:pStyle w:val="Figurelegend"/>
              <w:rPr>
                <w:sz w:val="16"/>
                <w:szCs w:val="16"/>
              </w:rPr>
            </w:pPr>
            <w:r w:rsidRPr="00A910E2">
              <w:rPr>
                <w:sz w:val="16"/>
                <w:szCs w:val="16"/>
              </w:rPr>
              <w:t>Membre de Secteur</w:t>
            </w:r>
            <w:r w:rsidRPr="00A910E2">
              <w:rPr>
                <w:sz w:val="16"/>
                <w:szCs w:val="16"/>
              </w:rPr>
              <w:br/>
              <w:t>Associé</w:t>
            </w:r>
          </w:p>
        </w:tc>
        <w:tc>
          <w:tcPr>
            <w:tcW w:w="7714" w:type="dxa"/>
            <w:gridSpan w:val="12"/>
            <w:vMerge w:val="restart"/>
            <w:tcBorders>
              <w:top w:val="single" w:sz="4" w:space="0" w:color="auto"/>
              <w:left w:val="single" w:sz="4" w:space="0" w:color="auto"/>
            </w:tcBorders>
          </w:tcPr>
          <w:p w14:paraId="2691722F" w14:textId="16D6FB99" w:rsidR="00A85C2D" w:rsidRPr="00A910E2" w:rsidRDefault="00A85C2D" w:rsidP="0017031D">
            <w:pPr>
              <w:pStyle w:val="Figurelegend"/>
              <w:spacing w:before="0" w:after="0"/>
              <w:jc w:val="center"/>
              <w:rPr>
                <w:sz w:val="16"/>
                <w:szCs w:val="16"/>
              </w:rPr>
            </w:pPr>
          </w:p>
        </w:tc>
      </w:tr>
      <w:tr w:rsidR="00A85C2D" w:rsidRPr="00A910E2" w14:paraId="6281B942" w14:textId="77777777" w:rsidTr="00A85C2D">
        <w:trPr>
          <w:jc w:val="center"/>
        </w:trPr>
        <w:tc>
          <w:tcPr>
            <w:tcW w:w="1176"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C593BC9" w14:textId="77777777" w:rsidR="00A85C2D" w:rsidRPr="00A910E2" w:rsidRDefault="00A85C2D" w:rsidP="00A85C2D">
            <w:pPr>
              <w:pStyle w:val="Figurelegend"/>
              <w:rPr>
                <w:sz w:val="16"/>
                <w:szCs w:val="16"/>
              </w:rPr>
            </w:pPr>
            <w:r w:rsidRPr="00A910E2">
              <w:rPr>
                <w:sz w:val="16"/>
                <w:szCs w:val="16"/>
              </w:rPr>
              <w:t xml:space="preserve">UIT-T </w:t>
            </w:r>
          </w:p>
        </w:tc>
        <w:tc>
          <w:tcPr>
            <w:tcW w:w="11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tcPr>
          <w:p w14:paraId="2657573A" w14:textId="77777777" w:rsidR="00A85C2D" w:rsidRPr="00A910E2" w:rsidRDefault="00A85C2D" w:rsidP="00A85C2D">
            <w:pPr>
              <w:pStyle w:val="Figurelegend"/>
              <w:rPr>
                <w:sz w:val="16"/>
                <w:szCs w:val="16"/>
              </w:rPr>
            </w:pPr>
            <w:r w:rsidRPr="00A910E2">
              <w:rPr>
                <w:sz w:val="16"/>
                <w:szCs w:val="16"/>
              </w:rPr>
              <w:t>Membre de Secteur</w:t>
            </w:r>
            <w:r w:rsidRPr="00A910E2">
              <w:rPr>
                <w:sz w:val="16"/>
                <w:szCs w:val="16"/>
              </w:rPr>
              <w:br/>
              <w:t>Associé</w:t>
            </w:r>
          </w:p>
        </w:tc>
        <w:tc>
          <w:tcPr>
            <w:tcW w:w="7714" w:type="dxa"/>
            <w:gridSpan w:val="12"/>
            <w:vMerge/>
            <w:tcBorders>
              <w:left w:val="single" w:sz="4" w:space="0" w:color="auto"/>
            </w:tcBorders>
          </w:tcPr>
          <w:p w14:paraId="6D2C95F5" w14:textId="77777777" w:rsidR="00A85C2D" w:rsidRPr="00A910E2" w:rsidRDefault="00A85C2D" w:rsidP="00A85C2D">
            <w:pPr>
              <w:pStyle w:val="Figurelegend"/>
              <w:jc w:val="center"/>
              <w:rPr>
                <w:sz w:val="16"/>
                <w:szCs w:val="16"/>
              </w:rPr>
            </w:pPr>
          </w:p>
        </w:tc>
      </w:tr>
      <w:tr w:rsidR="00A85C2D" w:rsidRPr="00A910E2" w14:paraId="48510534" w14:textId="77777777" w:rsidTr="00A85C2D">
        <w:trPr>
          <w:jc w:val="center"/>
        </w:trPr>
        <w:tc>
          <w:tcPr>
            <w:tcW w:w="1176"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5AD107D" w14:textId="77777777" w:rsidR="00A85C2D" w:rsidRPr="00A910E2" w:rsidRDefault="00A85C2D" w:rsidP="00A85C2D">
            <w:pPr>
              <w:pStyle w:val="Figurelegend"/>
              <w:rPr>
                <w:sz w:val="16"/>
                <w:szCs w:val="16"/>
              </w:rPr>
            </w:pPr>
            <w:r w:rsidRPr="00A910E2">
              <w:rPr>
                <w:sz w:val="16"/>
                <w:szCs w:val="16"/>
              </w:rPr>
              <w:t>UIT-D</w:t>
            </w:r>
          </w:p>
        </w:tc>
        <w:tc>
          <w:tcPr>
            <w:tcW w:w="11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tcPr>
          <w:p w14:paraId="7B5E5A62" w14:textId="77777777" w:rsidR="00A85C2D" w:rsidRPr="00A910E2" w:rsidRDefault="00A85C2D" w:rsidP="00A85C2D">
            <w:pPr>
              <w:pStyle w:val="Figurelegend"/>
              <w:rPr>
                <w:sz w:val="16"/>
                <w:szCs w:val="16"/>
              </w:rPr>
            </w:pPr>
            <w:r w:rsidRPr="00A910E2">
              <w:rPr>
                <w:sz w:val="16"/>
                <w:szCs w:val="16"/>
              </w:rPr>
              <w:t>Membre de Secteur</w:t>
            </w:r>
            <w:r w:rsidRPr="00A910E2">
              <w:rPr>
                <w:sz w:val="16"/>
                <w:szCs w:val="16"/>
              </w:rPr>
              <w:br/>
              <w:t>Associé</w:t>
            </w:r>
          </w:p>
        </w:tc>
        <w:tc>
          <w:tcPr>
            <w:tcW w:w="7714" w:type="dxa"/>
            <w:gridSpan w:val="12"/>
            <w:vMerge/>
            <w:tcBorders>
              <w:left w:val="single" w:sz="4" w:space="0" w:color="auto"/>
            </w:tcBorders>
          </w:tcPr>
          <w:p w14:paraId="13A8A866" w14:textId="77777777" w:rsidR="00A85C2D" w:rsidRPr="00A910E2" w:rsidRDefault="00A85C2D" w:rsidP="00A85C2D">
            <w:pPr>
              <w:pStyle w:val="Figurelegend"/>
              <w:jc w:val="center"/>
              <w:rPr>
                <w:sz w:val="16"/>
                <w:szCs w:val="16"/>
              </w:rPr>
            </w:pPr>
          </w:p>
        </w:tc>
      </w:tr>
      <w:tr w:rsidR="00A85C2D" w:rsidRPr="00A910E2" w14:paraId="1DCDBAEB" w14:textId="77777777" w:rsidTr="00A85C2D">
        <w:trPr>
          <w:jc w:val="center"/>
        </w:trPr>
        <w:tc>
          <w:tcPr>
            <w:tcW w:w="1176" w:type="dxa"/>
            <w:tcBorders>
              <w:top w:val="single" w:sz="4" w:space="0" w:color="808080" w:themeColor="background1" w:themeShade="80"/>
              <w:right w:val="single" w:sz="4" w:space="0" w:color="808080" w:themeColor="background1" w:themeShade="80"/>
            </w:tcBorders>
          </w:tcPr>
          <w:p w14:paraId="674185E9" w14:textId="77777777" w:rsidR="00A85C2D" w:rsidRPr="00A910E2" w:rsidRDefault="00A85C2D" w:rsidP="001A7E72">
            <w:pPr>
              <w:pStyle w:val="Figurelegend"/>
              <w:keepNext w:val="0"/>
              <w:keepLines w:val="0"/>
              <w:rPr>
                <w:sz w:val="16"/>
                <w:szCs w:val="16"/>
              </w:rPr>
            </w:pPr>
            <w:r w:rsidRPr="00A910E2">
              <w:rPr>
                <w:sz w:val="16"/>
                <w:szCs w:val="16"/>
              </w:rPr>
              <w:t>Établissements universitaires</w:t>
            </w:r>
          </w:p>
        </w:tc>
        <w:tc>
          <w:tcPr>
            <w:tcW w:w="1176" w:type="dxa"/>
            <w:tcBorders>
              <w:top w:val="single" w:sz="4" w:space="0" w:color="808080" w:themeColor="background1" w:themeShade="80"/>
              <w:left w:val="single" w:sz="4" w:space="0" w:color="808080" w:themeColor="background1" w:themeShade="80"/>
              <w:right w:val="single" w:sz="4" w:space="0" w:color="auto"/>
            </w:tcBorders>
          </w:tcPr>
          <w:p w14:paraId="57BB3CAC" w14:textId="77777777" w:rsidR="00A85C2D" w:rsidRPr="00A910E2" w:rsidRDefault="00A85C2D" w:rsidP="001A7E72">
            <w:pPr>
              <w:pStyle w:val="Figurelegend"/>
              <w:keepNext w:val="0"/>
              <w:keepLines w:val="0"/>
              <w:rPr>
                <w:sz w:val="16"/>
                <w:szCs w:val="16"/>
              </w:rPr>
            </w:pPr>
            <w:r w:rsidRPr="00A910E2">
              <w:rPr>
                <w:sz w:val="16"/>
                <w:szCs w:val="16"/>
              </w:rPr>
              <w:t>Établissements universitaires</w:t>
            </w:r>
          </w:p>
        </w:tc>
        <w:tc>
          <w:tcPr>
            <w:tcW w:w="7714" w:type="dxa"/>
            <w:gridSpan w:val="12"/>
            <w:vMerge/>
            <w:tcBorders>
              <w:left w:val="single" w:sz="4" w:space="0" w:color="auto"/>
            </w:tcBorders>
          </w:tcPr>
          <w:p w14:paraId="77B96111" w14:textId="77777777" w:rsidR="00A85C2D" w:rsidRPr="00A910E2" w:rsidRDefault="00A85C2D" w:rsidP="001A7E72">
            <w:pPr>
              <w:pStyle w:val="Figurelegend"/>
              <w:keepNext w:val="0"/>
              <w:keepLines w:val="0"/>
              <w:jc w:val="center"/>
              <w:rPr>
                <w:sz w:val="16"/>
                <w:szCs w:val="16"/>
              </w:rPr>
            </w:pPr>
          </w:p>
        </w:tc>
      </w:tr>
    </w:tbl>
    <w:p w14:paraId="177D4F4B" w14:textId="77777777" w:rsidR="008E52A1" w:rsidRPr="00A910E2" w:rsidRDefault="008E52A1" w:rsidP="008E52A1">
      <w:pPr>
        <w:pStyle w:val="Heading3"/>
      </w:pPr>
      <w:r w:rsidRPr="00A910E2">
        <w:t>8.5.2</w:t>
      </w:r>
      <w:r w:rsidRPr="00A910E2">
        <w:tab/>
        <w:t>Membres de l'UIT</w:t>
      </w:r>
    </w:p>
    <w:p w14:paraId="3D57BFD2" w14:textId="77777777" w:rsidR="008E52A1" w:rsidRPr="00A910E2" w:rsidRDefault="008E52A1" w:rsidP="008E52A1">
      <w:r w:rsidRPr="00A910E2">
        <w:t>Le Tableau 8.5.2 indique l'évolution du nombre de Membres du Secteur de l'UIT-R, d'Associés et d'établissements universitaires ayant participé aux travaux de ce Secteur au cours de la période allant de 2019 à 2023.</w:t>
      </w:r>
    </w:p>
    <w:p w14:paraId="7C55B703" w14:textId="77777777" w:rsidR="00387997" w:rsidRPr="00A910E2" w:rsidRDefault="008E52A1" w:rsidP="008E52A1">
      <w:pPr>
        <w:pStyle w:val="TableNotitle"/>
      </w:pPr>
      <w:r w:rsidRPr="00A910E2">
        <w:t>TABLEAU 8.5.2</w:t>
      </w:r>
    </w:p>
    <w:p w14:paraId="00AFCB21" w14:textId="0160DEF3" w:rsidR="008E52A1" w:rsidRPr="00A910E2" w:rsidRDefault="008E52A1" w:rsidP="00387997">
      <w:pPr>
        <w:pStyle w:val="TableNotitle"/>
        <w:spacing w:before="120"/>
      </w:pPr>
      <w:r w:rsidRPr="00A910E2">
        <w:t>Évolution du nombre de Membres du Secteur de l'UIT-R depuis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51"/>
        <w:gridCol w:w="850"/>
        <w:gridCol w:w="851"/>
        <w:gridCol w:w="850"/>
        <w:gridCol w:w="851"/>
        <w:gridCol w:w="1701"/>
        <w:gridCol w:w="1837"/>
      </w:tblGrid>
      <w:tr w:rsidR="008E52A1" w:rsidRPr="00A910E2" w14:paraId="03C0FDBA" w14:textId="77777777" w:rsidTr="001A7E72">
        <w:trPr>
          <w:trHeight w:val="300"/>
          <w:jc w:val="center"/>
        </w:trPr>
        <w:tc>
          <w:tcPr>
            <w:tcW w:w="1838" w:type="dxa"/>
          </w:tcPr>
          <w:p w14:paraId="7310723F" w14:textId="77777777" w:rsidR="008E52A1" w:rsidRPr="00A910E2" w:rsidRDefault="008E52A1" w:rsidP="001A7E72">
            <w:pPr>
              <w:pStyle w:val="Tablehead"/>
            </w:pPr>
          </w:p>
        </w:tc>
        <w:tc>
          <w:tcPr>
            <w:tcW w:w="851" w:type="dxa"/>
          </w:tcPr>
          <w:p w14:paraId="58FBE31B" w14:textId="77777777" w:rsidR="008E52A1" w:rsidRPr="00A910E2" w:rsidRDefault="008E52A1" w:rsidP="001A7E72">
            <w:pPr>
              <w:pStyle w:val="Tablehead"/>
              <w:rPr>
                <w:bCs/>
              </w:rPr>
            </w:pPr>
            <w:r w:rsidRPr="00A910E2">
              <w:rPr>
                <w:bCs/>
              </w:rPr>
              <w:t>2019</w:t>
            </w:r>
          </w:p>
        </w:tc>
        <w:tc>
          <w:tcPr>
            <w:tcW w:w="850" w:type="dxa"/>
          </w:tcPr>
          <w:p w14:paraId="524470BA" w14:textId="77777777" w:rsidR="008E52A1" w:rsidRPr="00A910E2" w:rsidRDefault="008E52A1" w:rsidP="001A7E72">
            <w:pPr>
              <w:pStyle w:val="Tablehead"/>
              <w:rPr>
                <w:bCs/>
              </w:rPr>
            </w:pPr>
            <w:r w:rsidRPr="00A910E2">
              <w:rPr>
                <w:bCs/>
              </w:rPr>
              <w:t>2020</w:t>
            </w:r>
          </w:p>
        </w:tc>
        <w:tc>
          <w:tcPr>
            <w:tcW w:w="851" w:type="dxa"/>
          </w:tcPr>
          <w:p w14:paraId="26A57B52" w14:textId="77777777" w:rsidR="008E52A1" w:rsidRPr="00A910E2" w:rsidRDefault="008E52A1" w:rsidP="001A7E72">
            <w:pPr>
              <w:pStyle w:val="Tablehead"/>
              <w:rPr>
                <w:bCs/>
              </w:rPr>
            </w:pPr>
            <w:r w:rsidRPr="00A910E2">
              <w:rPr>
                <w:bCs/>
              </w:rPr>
              <w:t>2021</w:t>
            </w:r>
          </w:p>
        </w:tc>
        <w:tc>
          <w:tcPr>
            <w:tcW w:w="850" w:type="dxa"/>
          </w:tcPr>
          <w:p w14:paraId="3578B3E9" w14:textId="77777777" w:rsidR="008E52A1" w:rsidRPr="00A910E2" w:rsidRDefault="008E52A1" w:rsidP="001A7E72">
            <w:pPr>
              <w:pStyle w:val="Tablehead"/>
              <w:rPr>
                <w:bCs/>
              </w:rPr>
            </w:pPr>
            <w:r w:rsidRPr="00A910E2">
              <w:rPr>
                <w:bCs/>
              </w:rPr>
              <w:t>2022</w:t>
            </w:r>
          </w:p>
        </w:tc>
        <w:tc>
          <w:tcPr>
            <w:tcW w:w="851" w:type="dxa"/>
          </w:tcPr>
          <w:p w14:paraId="729AB12E" w14:textId="77777777" w:rsidR="008E52A1" w:rsidRPr="00A910E2" w:rsidRDefault="008E52A1" w:rsidP="001A7E72">
            <w:pPr>
              <w:pStyle w:val="Tablehead"/>
              <w:rPr>
                <w:bCs/>
              </w:rPr>
            </w:pPr>
            <w:r w:rsidRPr="00A910E2">
              <w:rPr>
                <w:bCs/>
              </w:rPr>
              <w:t>2023</w:t>
            </w:r>
          </w:p>
        </w:tc>
        <w:tc>
          <w:tcPr>
            <w:tcW w:w="1701" w:type="dxa"/>
          </w:tcPr>
          <w:p w14:paraId="338C331D" w14:textId="77777777" w:rsidR="008E52A1" w:rsidRPr="00A910E2" w:rsidRDefault="008E52A1" w:rsidP="001A7E72">
            <w:pPr>
              <w:pStyle w:val="Tablehead"/>
              <w:rPr>
                <w:bCs/>
              </w:rPr>
            </w:pPr>
            <w:r w:rsidRPr="00A910E2">
              <w:rPr>
                <w:bCs/>
              </w:rPr>
              <w:t>2023 par rapport à 2019</w:t>
            </w:r>
          </w:p>
        </w:tc>
        <w:tc>
          <w:tcPr>
            <w:tcW w:w="1837" w:type="dxa"/>
          </w:tcPr>
          <w:p w14:paraId="2491ADB0" w14:textId="77777777" w:rsidR="008E52A1" w:rsidRPr="00A910E2" w:rsidRDefault="008E52A1" w:rsidP="001A7E72">
            <w:pPr>
              <w:pStyle w:val="Tablehead"/>
              <w:rPr>
                <w:bCs/>
              </w:rPr>
            </w:pPr>
            <w:r w:rsidRPr="00A910E2">
              <w:rPr>
                <w:bCs/>
              </w:rPr>
              <w:t>Augmentation en pourcentage</w:t>
            </w:r>
          </w:p>
        </w:tc>
      </w:tr>
      <w:tr w:rsidR="008E52A1" w:rsidRPr="00A910E2" w14:paraId="7BE89F3B" w14:textId="77777777" w:rsidTr="001A7E72">
        <w:trPr>
          <w:trHeight w:val="300"/>
          <w:jc w:val="center"/>
        </w:trPr>
        <w:tc>
          <w:tcPr>
            <w:tcW w:w="1838" w:type="dxa"/>
          </w:tcPr>
          <w:p w14:paraId="1DD2724F" w14:textId="77777777" w:rsidR="008E52A1" w:rsidRPr="00A910E2" w:rsidRDefault="008E52A1" w:rsidP="001A7E72">
            <w:pPr>
              <w:pStyle w:val="Tabletext"/>
              <w:jc w:val="center"/>
              <w:rPr>
                <w:b/>
                <w:bCs/>
              </w:rPr>
            </w:pPr>
            <w:r w:rsidRPr="00A910E2">
              <w:rPr>
                <w:b/>
                <w:bCs/>
              </w:rPr>
              <w:t>Membres de Secteur Membres</w:t>
            </w:r>
          </w:p>
        </w:tc>
        <w:tc>
          <w:tcPr>
            <w:tcW w:w="851" w:type="dxa"/>
          </w:tcPr>
          <w:p w14:paraId="2D77FAD8" w14:textId="77777777" w:rsidR="008E52A1" w:rsidRPr="00A910E2" w:rsidRDefault="008E52A1" w:rsidP="001A7E72">
            <w:pPr>
              <w:pStyle w:val="Tabletext"/>
              <w:jc w:val="center"/>
            </w:pPr>
            <w:r w:rsidRPr="00A910E2">
              <w:t>272</w:t>
            </w:r>
          </w:p>
        </w:tc>
        <w:tc>
          <w:tcPr>
            <w:tcW w:w="850" w:type="dxa"/>
          </w:tcPr>
          <w:p w14:paraId="6EDF0882" w14:textId="77777777" w:rsidR="008E52A1" w:rsidRPr="00A910E2" w:rsidRDefault="008E52A1" w:rsidP="001A7E72">
            <w:pPr>
              <w:pStyle w:val="Tabletext"/>
              <w:jc w:val="center"/>
            </w:pPr>
            <w:r w:rsidRPr="00A910E2">
              <w:t>275</w:t>
            </w:r>
          </w:p>
        </w:tc>
        <w:tc>
          <w:tcPr>
            <w:tcW w:w="851" w:type="dxa"/>
          </w:tcPr>
          <w:p w14:paraId="7D564D79" w14:textId="77777777" w:rsidR="008E52A1" w:rsidRPr="00A910E2" w:rsidRDefault="008E52A1" w:rsidP="001A7E72">
            <w:pPr>
              <w:pStyle w:val="Tabletext"/>
              <w:jc w:val="center"/>
            </w:pPr>
            <w:r w:rsidRPr="00A910E2">
              <w:t>278</w:t>
            </w:r>
          </w:p>
        </w:tc>
        <w:tc>
          <w:tcPr>
            <w:tcW w:w="850" w:type="dxa"/>
          </w:tcPr>
          <w:p w14:paraId="72E70AAC" w14:textId="77777777" w:rsidR="008E52A1" w:rsidRPr="00A910E2" w:rsidRDefault="008E52A1" w:rsidP="001A7E72">
            <w:pPr>
              <w:pStyle w:val="Tabletext"/>
              <w:jc w:val="center"/>
            </w:pPr>
            <w:r w:rsidRPr="00A910E2">
              <w:t>278</w:t>
            </w:r>
          </w:p>
        </w:tc>
        <w:tc>
          <w:tcPr>
            <w:tcW w:w="851" w:type="dxa"/>
          </w:tcPr>
          <w:p w14:paraId="24916218" w14:textId="77777777" w:rsidR="008E52A1" w:rsidRPr="00A910E2" w:rsidRDefault="008E52A1" w:rsidP="001A7E72">
            <w:pPr>
              <w:pStyle w:val="Tabletext"/>
              <w:jc w:val="center"/>
            </w:pPr>
            <w:r w:rsidRPr="00A910E2">
              <w:t>283</w:t>
            </w:r>
          </w:p>
        </w:tc>
        <w:tc>
          <w:tcPr>
            <w:tcW w:w="1701" w:type="dxa"/>
          </w:tcPr>
          <w:p w14:paraId="786D0510" w14:textId="77777777" w:rsidR="008E52A1" w:rsidRPr="00A910E2" w:rsidRDefault="008E52A1" w:rsidP="001A7E72">
            <w:pPr>
              <w:pStyle w:val="Tabletext"/>
              <w:jc w:val="center"/>
            </w:pPr>
            <w:r w:rsidRPr="00A910E2">
              <w:t>11</w:t>
            </w:r>
          </w:p>
        </w:tc>
        <w:tc>
          <w:tcPr>
            <w:tcW w:w="1837" w:type="dxa"/>
          </w:tcPr>
          <w:p w14:paraId="0968288F" w14:textId="77777777" w:rsidR="008E52A1" w:rsidRPr="00A910E2" w:rsidRDefault="008E52A1" w:rsidP="001A7E72">
            <w:pPr>
              <w:pStyle w:val="Tabletext"/>
              <w:jc w:val="center"/>
            </w:pPr>
            <w:r w:rsidRPr="00A910E2">
              <w:t>4,04%</w:t>
            </w:r>
          </w:p>
        </w:tc>
      </w:tr>
      <w:tr w:rsidR="008E52A1" w:rsidRPr="00A910E2" w14:paraId="7B1B8016" w14:textId="77777777" w:rsidTr="001A7E72">
        <w:trPr>
          <w:trHeight w:val="300"/>
          <w:jc w:val="center"/>
        </w:trPr>
        <w:tc>
          <w:tcPr>
            <w:tcW w:w="1838" w:type="dxa"/>
          </w:tcPr>
          <w:p w14:paraId="26319DDC" w14:textId="77777777" w:rsidR="008E52A1" w:rsidRPr="00A910E2" w:rsidRDefault="008E52A1" w:rsidP="001A7E72">
            <w:pPr>
              <w:pStyle w:val="Tabletext"/>
              <w:jc w:val="center"/>
              <w:rPr>
                <w:b/>
                <w:bCs/>
              </w:rPr>
            </w:pPr>
            <w:r w:rsidRPr="00A910E2">
              <w:rPr>
                <w:b/>
                <w:bCs/>
              </w:rPr>
              <w:t>Associés</w:t>
            </w:r>
          </w:p>
        </w:tc>
        <w:tc>
          <w:tcPr>
            <w:tcW w:w="851" w:type="dxa"/>
          </w:tcPr>
          <w:p w14:paraId="5881CB79" w14:textId="77777777" w:rsidR="008E52A1" w:rsidRPr="00A910E2" w:rsidRDefault="008E52A1" w:rsidP="001A7E72">
            <w:pPr>
              <w:pStyle w:val="Tabletext"/>
              <w:jc w:val="center"/>
            </w:pPr>
            <w:r w:rsidRPr="00A910E2">
              <w:t>21</w:t>
            </w:r>
          </w:p>
        </w:tc>
        <w:tc>
          <w:tcPr>
            <w:tcW w:w="850" w:type="dxa"/>
          </w:tcPr>
          <w:p w14:paraId="0667D6E6" w14:textId="77777777" w:rsidR="008E52A1" w:rsidRPr="00A910E2" w:rsidRDefault="008E52A1" w:rsidP="001A7E72">
            <w:pPr>
              <w:pStyle w:val="Tabletext"/>
              <w:jc w:val="center"/>
            </w:pPr>
            <w:r w:rsidRPr="00A910E2">
              <w:t>22</w:t>
            </w:r>
          </w:p>
        </w:tc>
        <w:tc>
          <w:tcPr>
            <w:tcW w:w="851" w:type="dxa"/>
          </w:tcPr>
          <w:p w14:paraId="58ABE548" w14:textId="77777777" w:rsidR="008E52A1" w:rsidRPr="00A910E2" w:rsidRDefault="008E52A1" w:rsidP="001A7E72">
            <w:pPr>
              <w:pStyle w:val="Tabletext"/>
              <w:jc w:val="center"/>
            </w:pPr>
            <w:r w:rsidRPr="00A910E2">
              <w:t>28</w:t>
            </w:r>
          </w:p>
        </w:tc>
        <w:tc>
          <w:tcPr>
            <w:tcW w:w="850" w:type="dxa"/>
          </w:tcPr>
          <w:p w14:paraId="5587F00B" w14:textId="77777777" w:rsidR="008E52A1" w:rsidRPr="00A910E2" w:rsidRDefault="008E52A1" w:rsidP="001A7E72">
            <w:pPr>
              <w:pStyle w:val="Tabletext"/>
              <w:jc w:val="center"/>
            </w:pPr>
            <w:r w:rsidRPr="00A910E2">
              <w:t>38</w:t>
            </w:r>
          </w:p>
        </w:tc>
        <w:tc>
          <w:tcPr>
            <w:tcW w:w="851" w:type="dxa"/>
          </w:tcPr>
          <w:p w14:paraId="5B10BD9F" w14:textId="77777777" w:rsidR="008E52A1" w:rsidRPr="00A910E2" w:rsidRDefault="008E52A1" w:rsidP="001A7E72">
            <w:pPr>
              <w:pStyle w:val="Tabletext"/>
              <w:jc w:val="center"/>
            </w:pPr>
            <w:r w:rsidRPr="00A910E2">
              <w:t>44</w:t>
            </w:r>
          </w:p>
        </w:tc>
        <w:tc>
          <w:tcPr>
            <w:tcW w:w="1701" w:type="dxa"/>
          </w:tcPr>
          <w:p w14:paraId="2C475E9F" w14:textId="77777777" w:rsidR="008E52A1" w:rsidRPr="00A910E2" w:rsidRDefault="008E52A1" w:rsidP="001A7E72">
            <w:pPr>
              <w:pStyle w:val="Tabletext"/>
              <w:jc w:val="center"/>
            </w:pPr>
            <w:r w:rsidRPr="00A910E2">
              <w:t>23</w:t>
            </w:r>
          </w:p>
        </w:tc>
        <w:tc>
          <w:tcPr>
            <w:tcW w:w="1837" w:type="dxa"/>
          </w:tcPr>
          <w:p w14:paraId="4905B5C7" w14:textId="77777777" w:rsidR="008E52A1" w:rsidRPr="00A910E2" w:rsidRDefault="008E52A1" w:rsidP="001A7E72">
            <w:pPr>
              <w:pStyle w:val="Tabletext"/>
              <w:jc w:val="center"/>
            </w:pPr>
            <w:r w:rsidRPr="00A910E2">
              <w:t>109,5%</w:t>
            </w:r>
          </w:p>
        </w:tc>
      </w:tr>
      <w:tr w:rsidR="008E52A1" w:rsidRPr="00A910E2" w14:paraId="713146B7" w14:textId="77777777" w:rsidTr="001A7E72">
        <w:trPr>
          <w:trHeight w:val="315"/>
          <w:jc w:val="center"/>
        </w:trPr>
        <w:tc>
          <w:tcPr>
            <w:tcW w:w="1838" w:type="dxa"/>
          </w:tcPr>
          <w:p w14:paraId="690DC24D" w14:textId="77777777" w:rsidR="008E52A1" w:rsidRPr="00A910E2" w:rsidRDefault="008E52A1" w:rsidP="001A7E72">
            <w:pPr>
              <w:pStyle w:val="Tabletext"/>
              <w:jc w:val="center"/>
              <w:rPr>
                <w:b/>
                <w:bCs/>
              </w:rPr>
            </w:pPr>
            <w:r w:rsidRPr="00A910E2">
              <w:rPr>
                <w:b/>
                <w:bCs/>
              </w:rPr>
              <w:t>Établissements universitaires*</w:t>
            </w:r>
          </w:p>
        </w:tc>
        <w:tc>
          <w:tcPr>
            <w:tcW w:w="851" w:type="dxa"/>
          </w:tcPr>
          <w:p w14:paraId="4FE3FCFB" w14:textId="77777777" w:rsidR="008E52A1" w:rsidRPr="00A910E2" w:rsidRDefault="008E52A1" w:rsidP="001A7E72">
            <w:pPr>
              <w:pStyle w:val="Tabletext"/>
              <w:jc w:val="center"/>
            </w:pPr>
            <w:r w:rsidRPr="00A910E2">
              <w:t>156</w:t>
            </w:r>
          </w:p>
        </w:tc>
        <w:tc>
          <w:tcPr>
            <w:tcW w:w="850" w:type="dxa"/>
          </w:tcPr>
          <w:p w14:paraId="786D106F" w14:textId="77777777" w:rsidR="008E52A1" w:rsidRPr="00A910E2" w:rsidRDefault="008E52A1" w:rsidP="001A7E72">
            <w:pPr>
              <w:pStyle w:val="Tabletext"/>
              <w:jc w:val="center"/>
            </w:pPr>
            <w:r w:rsidRPr="00A910E2">
              <w:t>161</w:t>
            </w:r>
          </w:p>
        </w:tc>
        <w:tc>
          <w:tcPr>
            <w:tcW w:w="851" w:type="dxa"/>
          </w:tcPr>
          <w:p w14:paraId="0B1C57B5" w14:textId="77777777" w:rsidR="008E52A1" w:rsidRPr="00A910E2" w:rsidRDefault="008E52A1" w:rsidP="001A7E72">
            <w:pPr>
              <w:pStyle w:val="Tabletext"/>
              <w:jc w:val="center"/>
            </w:pPr>
            <w:r w:rsidRPr="00A910E2">
              <w:t>161</w:t>
            </w:r>
          </w:p>
        </w:tc>
        <w:tc>
          <w:tcPr>
            <w:tcW w:w="850" w:type="dxa"/>
          </w:tcPr>
          <w:p w14:paraId="595D6516" w14:textId="77777777" w:rsidR="008E52A1" w:rsidRPr="00A910E2" w:rsidRDefault="008E52A1" w:rsidP="001A7E72">
            <w:pPr>
              <w:pStyle w:val="Tabletext"/>
              <w:jc w:val="center"/>
            </w:pPr>
            <w:r w:rsidRPr="00A910E2">
              <w:t>171</w:t>
            </w:r>
          </w:p>
        </w:tc>
        <w:tc>
          <w:tcPr>
            <w:tcW w:w="851" w:type="dxa"/>
          </w:tcPr>
          <w:p w14:paraId="6EFBEEE1" w14:textId="77777777" w:rsidR="008E52A1" w:rsidRPr="00A910E2" w:rsidRDefault="008E52A1" w:rsidP="001A7E72">
            <w:pPr>
              <w:pStyle w:val="Tabletext"/>
              <w:jc w:val="center"/>
            </w:pPr>
            <w:r w:rsidRPr="00A910E2">
              <w:t>169</w:t>
            </w:r>
          </w:p>
        </w:tc>
        <w:tc>
          <w:tcPr>
            <w:tcW w:w="1701" w:type="dxa"/>
          </w:tcPr>
          <w:p w14:paraId="52083189" w14:textId="77777777" w:rsidR="008E52A1" w:rsidRPr="00A910E2" w:rsidRDefault="008E52A1" w:rsidP="001A7E72">
            <w:pPr>
              <w:pStyle w:val="Tabletext"/>
              <w:jc w:val="center"/>
            </w:pPr>
            <w:r w:rsidRPr="00A910E2">
              <w:t>13</w:t>
            </w:r>
          </w:p>
        </w:tc>
        <w:tc>
          <w:tcPr>
            <w:tcW w:w="1837" w:type="dxa"/>
          </w:tcPr>
          <w:p w14:paraId="1F614218" w14:textId="77777777" w:rsidR="008E52A1" w:rsidRPr="00A910E2" w:rsidRDefault="008E52A1" w:rsidP="001A7E72">
            <w:pPr>
              <w:pStyle w:val="Tabletext"/>
              <w:jc w:val="center"/>
            </w:pPr>
            <w:r w:rsidRPr="00A910E2">
              <w:t>8,33%</w:t>
            </w:r>
          </w:p>
        </w:tc>
      </w:tr>
    </w:tbl>
    <w:p w14:paraId="0A72DCEF" w14:textId="77777777" w:rsidR="008E52A1" w:rsidRPr="00A910E2" w:rsidRDefault="008E52A1" w:rsidP="008E52A1">
      <w:pPr>
        <w:pStyle w:val="Tablefin"/>
        <w:rPr>
          <w:i/>
          <w:iCs/>
          <w:lang w:val="fr-FR"/>
        </w:rPr>
      </w:pPr>
      <w:r w:rsidRPr="00A910E2">
        <w:rPr>
          <w:lang w:val="fr-FR"/>
        </w:rPr>
        <w:t>*</w:t>
      </w:r>
      <w:r w:rsidRPr="00A910E2">
        <w:rPr>
          <w:i/>
          <w:iCs/>
          <w:lang w:val="fr-FR"/>
        </w:rPr>
        <w:t>En vertu d'une décision de la PP-14, les établissements universitaires participent aux travaux des trois Secteurs de l'UIT.</w:t>
      </w:r>
    </w:p>
    <w:p w14:paraId="73927970" w14:textId="77777777" w:rsidR="008E52A1" w:rsidRPr="00A910E2" w:rsidRDefault="008E52A1" w:rsidP="008E52A1">
      <w:pPr>
        <w:pStyle w:val="Heading2"/>
        <w:rPr>
          <w:i/>
        </w:rPr>
      </w:pPr>
      <w:bookmarkStart w:id="64" w:name="_Toc424047607"/>
      <w:bookmarkStart w:id="65" w:name="_Toc446060797"/>
      <w:r w:rsidRPr="00A910E2">
        <w:t>8.6</w:t>
      </w:r>
      <w:r w:rsidRPr="00A910E2">
        <w:tab/>
        <w:t>Communication et promotion</w:t>
      </w:r>
      <w:bookmarkEnd w:id="64"/>
      <w:bookmarkEnd w:id="65"/>
    </w:p>
    <w:p w14:paraId="5549BBDE" w14:textId="77777777" w:rsidR="008E52A1" w:rsidRPr="00A910E2" w:rsidRDefault="008E52A1" w:rsidP="008E52A1">
      <w:pPr>
        <w:pStyle w:val="Heading3"/>
        <w:rPr>
          <w:i/>
        </w:rPr>
      </w:pPr>
      <w:r w:rsidRPr="00A910E2">
        <w:t>8.6.1</w:t>
      </w:r>
      <w:r w:rsidRPr="00A910E2">
        <w:tab/>
        <w:t>Sites web et bases de données</w:t>
      </w:r>
    </w:p>
    <w:p w14:paraId="08B908FF" w14:textId="77777777" w:rsidR="008E52A1" w:rsidRPr="00A910E2" w:rsidRDefault="008E52A1" w:rsidP="008E52A1">
      <w:r w:rsidRPr="00A910E2">
        <w:t>L'entretien régulier des sites web de l'UIT-R, y compris les bases de données connexes et d'autres systèmes de gestion de l'information, est assuré par l'équipe BRWeb (</w:t>
      </w:r>
      <w:hyperlink r:id="rId79" w:history="1">
        <w:r w:rsidRPr="00A910E2">
          <w:rPr>
            <w:rStyle w:val="Hyperlink"/>
          </w:rPr>
          <w:t>brweb@itu.int</w:t>
        </w:r>
      </w:hyperlink>
      <w:r w:rsidRPr="00A910E2">
        <w:t>).</w:t>
      </w:r>
    </w:p>
    <w:p w14:paraId="3D9ACDD8" w14:textId="77777777" w:rsidR="008E52A1" w:rsidRPr="00A910E2" w:rsidRDefault="008E52A1" w:rsidP="008E52A1">
      <w:r w:rsidRPr="00A910E2">
        <w:t>En 2023, la priorité a été donnée au site web de la CMR-23 ainsi qu'aux activités et nouveautés qui s'y rapportent.</w:t>
      </w:r>
    </w:p>
    <w:p w14:paraId="76D79B93" w14:textId="77777777" w:rsidR="008E52A1" w:rsidRPr="00A910E2" w:rsidRDefault="008E52A1" w:rsidP="008E52A1">
      <w:pPr>
        <w:pStyle w:val="Heading4"/>
      </w:pPr>
      <w:r w:rsidRPr="00A910E2">
        <w:t>8.6.1.1</w:t>
      </w:r>
      <w:r w:rsidRPr="00A910E2">
        <w:tab/>
        <w:t xml:space="preserve">Nouveau système de gestion des contenus (CMS) </w:t>
      </w:r>
      <w:r w:rsidRPr="00A910E2">
        <w:rPr>
          <w:rFonts w:ascii="Wingdings" w:eastAsia="Wingdings" w:hAnsi="Wingdings" w:cs="Wingdings"/>
          <w:sz w:val="22"/>
          <w:szCs w:val="22"/>
        </w:rPr>
        <w:t>à</w:t>
      </w:r>
      <w:r w:rsidRPr="00A910E2">
        <w:t xml:space="preserve"> WordPress</w:t>
      </w:r>
    </w:p>
    <w:p w14:paraId="48785AE0" w14:textId="77777777" w:rsidR="008E52A1" w:rsidRPr="00A910E2" w:rsidRDefault="008E52A1" w:rsidP="008E52A1">
      <w:r w:rsidRPr="00A910E2">
        <w:t>En 2023, les sites web utilisant un système CMS WordPress suivants ont été mis à jour régulièrement dans les six langues officielles de l'Union:</w:t>
      </w:r>
    </w:p>
    <w:p w14:paraId="4C43229C" w14:textId="77777777" w:rsidR="008E52A1" w:rsidRPr="00A910E2" w:rsidRDefault="008E52A1" w:rsidP="008E52A1">
      <w:pPr>
        <w:pStyle w:val="enumlev1"/>
      </w:pPr>
      <w:r w:rsidRPr="00A910E2">
        <w:t>•</w:t>
      </w:r>
      <w:r w:rsidRPr="00A910E2">
        <w:tab/>
      </w:r>
      <w:hyperlink r:id="rId80">
        <w:r w:rsidRPr="00A910E2">
          <w:rPr>
            <w:rStyle w:val="Hyperlink"/>
          </w:rPr>
          <w:t>Site web de la CMR-23</w:t>
        </w:r>
      </w:hyperlink>
    </w:p>
    <w:p w14:paraId="46938F57" w14:textId="77777777" w:rsidR="008E52A1" w:rsidRPr="00A910E2" w:rsidRDefault="008E52A1" w:rsidP="008E52A1">
      <w:pPr>
        <w:pStyle w:val="enumlev1"/>
        <w:rPr>
          <w:u w:val="single"/>
        </w:rPr>
      </w:pPr>
      <w:r w:rsidRPr="00A910E2">
        <w:t>•</w:t>
      </w:r>
      <w:r w:rsidRPr="00A910E2">
        <w:tab/>
      </w:r>
      <w:hyperlink r:id="rId81">
        <w:r w:rsidRPr="00A910E2">
          <w:rPr>
            <w:rStyle w:val="Hyperlink"/>
          </w:rPr>
          <w:t>Site web de l'AR-23</w:t>
        </w:r>
      </w:hyperlink>
    </w:p>
    <w:p w14:paraId="25EEE030" w14:textId="77777777" w:rsidR="008E52A1" w:rsidRPr="00A910E2" w:rsidRDefault="008E52A1" w:rsidP="008E52A1">
      <w:pPr>
        <w:pStyle w:val="enumlev1"/>
      </w:pPr>
      <w:r w:rsidRPr="00A910E2">
        <w:t>•</w:t>
      </w:r>
      <w:r w:rsidRPr="00A910E2">
        <w:tab/>
      </w:r>
      <w:hyperlink r:id="rId82">
        <w:r w:rsidRPr="00A910E2">
          <w:rPr>
            <w:rStyle w:val="Hyperlink"/>
          </w:rPr>
          <w:t>Réseau de femmes pour la CMR-23 (NOW4WRC23)</w:t>
        </w:r>
      </w:hyperlink>
    </w:p>
    <w:p w14:paraId="581B5446" w14:textId="77777777" w:rsidR="008E52A1" w:rsidRPr="00A910E2" w:rsidRDefault="008E52A1" w:rsidP="008E52A1">
      <w:r w:rsidRPr="00A910E2">
        <w:t>Nouveaux sites web WordPress préparés en 2023:</w:t>
      </w:r>
    </w:p>
    <w:p w14:paraId="2B7CDC2B" w14:textId="77777777" w:rsidR="008E52A1" w:rsidRPr="00A910E2" w:rsidRDefault="008E52A1" w:rsidP="008E52A1">
      <w:pPr>
        <w:pStyle w:val="enumlev1"/>
        <w:rPr>
          <w:u w:val="single"/>
        </w:rPr>
      </w:pPr>
      <w:r w:rsidRPr="00A910E2">
        <w:t>•</w:t>
      </w:r>
      <w:r w:rsidRPr="00A910E2">
        <w:tab/>
      </w:r>
      <w:hyperlink r:id="rId83" w:history="1">
        <w:r w:rsidRPr="00A910E2">
          <w:rPr>
            <w:rStyle w:val="Hyperlink"/>
          </w:rPr>
          <w:t xml:space="preserve">Emmy Award – Prix reçus par l'UIT-R </w:t>
        </w:r>
      </w:hyperlink>
    </w:p>
    <w:p w14:paraId="7017362F" w14:textId="77777777" w:rsidR="008E52A1" w:rsidRPr="00A910E2" w:rsidRDefault="008E52A1" w:rsidP="008E52A1">
      <w:pPr>
        <w:pStyle w:val="enumlev1"/>
        <w:rPr>
          <w:u w:val="single"/>
        </w:rPr>
      </w:pPr>
      <w:r w:rsidRPr="00A910E2">
        <w:t>•</w:t>
      </w:r>
      <w:r w:rsidRPr="00A910E2">
        <w:tab/>
      </w:r>
      <w:hyperlink r:id="rId84" w:history="1">
        <w:hyperlink r:id="rId85" w:history="1">
          <w:r w:rsidRPr="00A910E2">
            <w:rPr>
              <w:rStyle w:val="Hyperlink"/>
            </w:rPr>
            <w:t>Exposition de l'UIT sur les radiocommunications de demain – #FutureRadioNow</w:t>
          </w:r>
        </w:hyperlink>
      </w:hyperlink>
    </w:p>
    <w:p w14:paraId="45869DBD" w14:textId="77777777" w:rsidR="008E52A1" w:rsidRPr="00A910E2" w:rsidRDefault="008E52A1" w:rsidP="008E52A1">
      <w:r w:rsidRPr="00A910E2">
        <w:t>Des informations et des documents utiles sont publiés sur ces sites web dès qu'ils sont disponibles.</w:t>
      </w:r>
    </w:p>
    <w:p w14:paraId="585E2E74" w14:textId="77777777" w:rsidR="008E52A1" w:rsidRPr="00A910E2" w:rsidRDefault="008E52A1" w:rsidP="008E52A1">
      <w:pPr>
        <w:pStyle w:val="Heading4"/>
      </w:pPr>
      <w:r w:rsidRPr="00A910E2">
        <w:t>8.6.1.2</w:t>
      </w:r>
      <w:r w:rsidRPr="00A910E2">
        <w:tab/>
        <w:t>Situation de la traduction</w:t>
      </w:r>
    </w:p>
    <w:p w14:paraId="30290D54" w14:textId="77777777" w:rsidR="008E52A1" w:rsidRPr="00A910E2" w:rsidRDefault="008E52A1" w:rsidP="008E52A1">
      <w:r w:rsidRPr="00A910E2">
        <w:t>Cette question fait l'objet de l'Addendum 2 au présent document.</w:t>
      </w:r>
    </w:p>
    <w:p w14:paraId="31F12CA7" w14:textId="77777777" w:rsidR="008E52A1" w:rsidRPr="00A910E2" w:rsidRDefault="008E52A1" w:rsidP="008E52A1">
      <w:pPr>
        <w:pStyle w:val="Heading3"/>
        <w:rPr>
          <w:i/>
        </w:rPr>
      </w:pPr>
      <w:r w:rsidRPr="00A910E2">
        <w:t>8.6.2</w:t>
      </w:r>
      <w:r w:rsidRPr="00A910E2">
        <w:tab/>
        <w:t>Promotion et relations avec les médias</w:t>
      </w:r>
    </w:p>
    <w:p w14:paraId="0C4AD40B" w14:textId="77777777" w:rsidR="008E52A1" w:rsidRPr="00A910E2" w:rsidRDefault="008E52A1" w:rsidP="008E52A1">
      <w:r w:rsidRPr="00A910E2">
        <w:t>En 2023, la communication du BR a principalement porté sur les activités et les manifestations associées à l'Assemblée des radiocommunications de 2023 et à la Conférence mondiale des radiocommunications de 2023, avec des réunions virtuelles, des webinaires et la promotion en ligne des travaux du Bureau par le biais des médias sociaux et des sites web.</w:t>
      </w:r>
    </w:p>
    <w:p w14:paraId="2DB56783" w14:textId="77777777" w:rsidR="008E52A1" w:rsidRPr="00A910E2" w:rsidRDefault="008E52A1" w:rsidP="008E52A1">
      <w:pPr>
        <w:pStyle w:val="Headingb"/>
      </w:pPr>
      <w:r w:rsidRPr="00A910E2">
        <w:t>Conférence mondiale des radiocommunications de 2023 (CMR-23)</w:t>
      </w:r>
    </w:p>
    <w:p w14:paraId="2350EB4D" w14:textId="77777777" w:rsidR="008E52A1" w:rsidRPr="00A910E2" w:rsidRDefault="008E52A1" w:rsidP="008E52A1">
      <w:r w:rsidRPr="00A910E2">
        <w:t>La promotion de la CMR-23 a commencé lors du troisième trimestre de 2022 avec la présentation de l'identité visuelle et du logo officiels de la manifestation, élaborés en collaboration avec le pays hôte, les Émirats arabes unis, et s'est poursuivie tout au long de l'année 2023.</w:t>
      </w:r>
    </w:p>
    <w:p w14:paraId="725FB339" w14:textId="77777777" w:rsidR="008E52A1" w:rsidRPr="00A910E2" w:rsidRDefault="008E52A1" w:rsidP="008E52A1">
      <w:r w:rsidRPr="00A910E2">
        <w:t>Une Salle de presse de la CMR-23 sur la plate-forme WordPress a été créée, permettant d'accéder aux communiqués de presse, aux articles, aux numéros spéciaux du magazine «Les Nouvelles de l'UIT» consacrés à la CMR-2023, aux contenus audiovisuels, aux vidéos, aux podcasts, aux photos et aux autres contenus pertinents dans les six langues officielles de l'ONU.</w:t>
      </w:r>
    </w:p>
    <w:p w14:paraId="5C6B9222" w14:textId="77777777" w:rsidR="008E52A1" w:rsidRPr="00A910E2" w:rsidRDefault="008E52A1" w:rsidP="008E52A1">
      <w:pPr>
        <w:spacing w:after="120"/>
      </w:pPr>
      <w:r w:rsidRPr="00A910E2">
        <w:t xml:space="preserve">La </w:t>
      </w:r>
      <w:hyperlink r:id="rId86" w:history="1">
        <w:r w:rsidRPr="00A910E2">
          <w:rPr>
            <w:rStyle w:val="Hyperlink"/>
          </w:rPr>
          <w:t>Salle de presse de la CMR-23</w:t>
        </w:r>
      </w:hyperlink>
      <w:r w:rsidRPr="00A910E2">
        <w:t xml:space="preserve"> et les numéros spéciaux du magazine «Les Nouvelles de l'UIT» sur les résultats de la CMR-23 ont été mis à jour pour mettre en évidence les principales décisions de la Conférence, résumées comme suit:</w:t>
      </w:r>
    </w:p>
    <w:tbl>
      <w:tblPr>
        <w:tblStyle w:val="TableGrid"/>
        <w:tblW w:w="9719" w:type="dxa"/>
        <w:jc w:val="center"/>
        <w:tblLayout w:type="fixed"/>
        <w:tblLook w:val="04A0" w:firstRow="1" w:lastRow="0" w:firstColumn="1" w:lastColumn="0" w:noHBand="0" w:noVBand="1"/>
      </w:tblPr>
      <w:tblGrid>
        <w:gridCol w:w="9719"/>
      </w:tblGrid>
      <w:tr w:rsidR="008E52A1" w:rsidRPr="00A910E2" w14:paraId="3DA57378" w14:textId="77777777" w:rsidTr="001A7E72">
        <w:trPr>
          <w:jc w:val="center"/>
        </w:trPr>
        <w:tc>
          <w:tcPr>
            <w:tcW w:w="9719" w:type="dxa"/>
          </w:tcPr>
          <w:p w14:paraId="25D20915" w14:textId="77777777" w:rsidR="008E52A1" w:rsidRPr="00A910E2" w:rsidRDefault="008E52A1" w:rsidP="001A7E72">
            <w:r w:rsidRPr="00A910E2">
              <w:t>La CMR-23 a traité 19 points à l'ordre du jour, quatre Questions et 11 points permanents de l'ordre du jour répartis selon le grand type de services de radiocommunication (fixe, mobile et radiodiffusion, transports, espace et sciences) auxquels ils se rapportaient, avec une cinquième catégorie rassemblant les points de nature générale.</w:t>
            </w:r>
          </w:p>
          <w:p w14:paraId="05B31F3C" w14:textId="77777777" w:rsidR="008E52A1" w:rsidRPr="00A910E2" w:rsidRDefault="008E52A1" w:rsidP="001A7E72">
            <w:r w:rsidRPr="00A910E2">
              <w:t>Plus de 3 900 délégués de 163 États Membres de l'UIT ont participé à la manifestation, dont 88 participants à un niveau ministériel.</w:t>
            </w:r>
          </w:p>
          <w:p w14:paraId="43C1E18A" w14:textId="77777777" w:rsidR="008E52A1" w:rsidRPr="00A910E2" w:rsidRDefault="008E52A1" w:rsidP="001A7E72">
            <w:pPr>
              <w:spacing w:after="120"/>
            </w:pPr>
            <w:r w:rsidRPr="00A910E2">
              <w:t>Parmi les décisions prises, la CMR-23 a identifié des bandes de fréquences pour les Télécommunications mobiles internationales (IMT), bandes qui joueront un rôle essentiel pour étendre la connectivité large bande et développer les services mobiles IMT, également connus sous les appellations 4G, 5G et, à l'avenir, 6G.</w:t>
            </w:r>
          </w:p>
          <w:p w14:paraId="7FF6536E" w14:textId="77777777" w:rsidR="008E52A1" w:rsidRPr="00A910E2" w:rsidRDefault="008E52A1" w:rsidP="001A7E72">
            <w:pPr>
              <w:keepLines/>
            </w:pPr>
            <w:r w:rsidRPr="00A910E2">
              <w:t>Ces nouvelles bandes de fréquences comprennent les bandes 3 300-3 400 MHz, 3 600-3 800 MHz, 4 800-4 990 MHz et 6 425-7 125 MHz dans divers pays et régions. Les bandes de fréquences 6 425-7 125 MHz dans la Région 1 et 7 025-7 125 MHz dans la Région 3 ont été identifiées pour les IMT par un renvoi.</w:t>
            </w:r>
          </w:p>
          <w:p w14:paraId="27EB9D2C" w14:textId="77777777" w:rsidR="008E52A1" w:rsidRPr="00A910E2" w:rsidRDefault="008E52A1" w:rsidP="001A7E72">
            <w:r w:rsidRPr="00A910E2">
              <w:t>Dans le domaine des transports, il a été décidé d'intégrer le système chinois de navigation par satellite BeiDou dans le SMDSM (Système mondial de détresse et de sécurité en mer).</w:t>
            </w:r>
          </w:p>
          <w:p w14:paraId="14F95E5B" w14:textId="77777777" w:rsidR="008E52A1" w:rsidRPr="00A910E2" w:rsidRDefault="008E52A1" w:rsidP="001A7E72">
            <w:pPr>
              <w:spacing w:after="120"/>
            </w:pPr>
            <w:r w:rsidRPr="00A910E2">
              <w:t>En ce qui concerne les services spatiaux et les services scientifiques, on relève parmi les principales décisions une nouvelle attribution à titre secondaire au service d'exploration de la Terre par satellite (SETS) dans la bande de fréquences 40-50 MHz, qui permettra d'utiliser des sondeurs radars spatioportés pour surveiller le mouvement des calottes glaciaires polaires.</w:t>
            </w:r>
          </w:p>
        </w:tc>
      </w:tr>
    </w:tbl>
    <w:p w14:paraId="0F4B9518" w14:textId="77777777" w:rsidR="008E52A1" w:rsidRPr="00A910E2" w:rsidRDefault="008E52A1" w:rsidP="008E52A1">
      <w:pPr>
        <w:rPr>
          <w:u w:val="single"/>
        </w:rPr>
      </w:pPr>
      <w:hyperlink r:id="rId87" w:history="1">
        <w:r w:rsidRPr="00A910E2">
          <w:rPr>
            <w:rStyle w:val="Hyperlink"/>
          </w:rPr>
          <w:t>https://www.itu.int/wrc-23/newsroom/wrc-news/</w:t>
        </w:r>
      </w:hyperlink>
    </w:p>
    <w:p w14:paraId="61A36CAB" w14:textId="77777777" w:rsidR="008E52A1" w:rsidRPr="00A910E2" w:rsidRDefault="008E52A1" w:rsidP="008E52A1">
      <w:r w:rsidRPr="00A910E2">
        <w:t>Les décisions de la Conférence ont été communiquées dans les publications suivantes:</w:t>
      </w:r>
    </w:p>
    <w:p w14:paraId="558CC9BD" w14:textId="77777777" w:rsidR="008E52A1" w:rsidRPr="00A910E2" w:rsidRDefault="008E52A1" w:rsidP="008E52A1">
      <w:pPr>
        <w:pStyle w:val="Headingb"/>
        <w:spacing w:after="120"/>
      </w:pPr>
      <w:r w:rsidRPr="00A910E2">
        <w:t>Communiqués de presse</w:t>
      </w:r>
    </w:p>
    <w:tbl>
      <w:tblPr>
        <w:tblStyle w:val="TableGrid"/>
        <w:tblW w:w="9719" w:type="dxa"/>
        <w:tblLayout w:type="fixed"/>
        <w:tblLook w:val="04A0" w:firstRow="1" w:lastRow="0" w:firstColumn="1" w:lastColumn="0" w:noHBand="0" w:noVBand="1"/>
      </w:tblPr>
      <w:tblGrid>
        <w:gridCol w:w="9719"/>
      </w:tblGrid>
      <w:tr w:rsidR="008E52A1" w:rsidRPr="00A910E2" w14:paraId="589CD60B" w14:textId="77777777" w:rsidTr="001A7E72">
        <w:tc>
          <w:tcPr>
            <w:tcW w:w="9719" w:type="dxa"/>
          </w:tcPr>
          <w:p w14:paraId="15244DE6" w14:textId="77777777" w:rsidR="008E52A1" w:rsidRPr="00A910E2" w:rsidRDefault="007F13FC" w:rsidP="001A7E72">
            <w:hyperlink r:id="rId88" w:tgtFrame="_blank" w:history="1">
              <w:r w:rsidR="008E52A1" w:rsidRPr="00A910E2">
                <w:rPr>
                  <w:rStyle w:val="Hyperlink"/>
                </w:rPr>
                <w:t>Communiqué de presse de clôture de la CMR-23</w:t>
              </w:r>
            </w:hyperlink>
            <w:r w:rsidR="008E52A1" w:rsidRPr="00A910E2">
              <w:t>: la CMR-23 de l'UIT révise le Règlement des radiocommunications pour appuyer l'utilisation en partage du spectre et l'innovation technologique. Mise à jour du traité: de nouvelles bandes de fréquences sont attribuées pour assurer la connectivité large bande, garantir la sécurité de la vie humaine et permettre l'observation de la Terre par satellite.</w:t>
            </w:r>
          </w:p>
          <w:p w14:paraId="2CCD3C29" w14:textId="77777777" w:rsidR="008E52A1" w:rsidRPr="00A910E2" w:rsidRDefault="007F13FC" w:rsidP="001A7E72">
            <w:hyperlink r:id="rId89" w:tgtFrame="_blank" w:history="1">
              <w:r w:rsidR="008E52A1" w:rsidRPr="00A910E2">
                <w:rPr>
                  <w:rStyle w:val="Hyperlink"/>
                </w:rPr>
                <w:t>Communiqué de presse</w:t>
              </w:r>
            </w:hyperlink>
            <w:r w:rsidR="008E52A1" w:rsidRPr="00A910E2">
              <w:t>: l'UIT progresse dans la mise au point des IMT-2030 pour les technologies mobiles 6G. Les technologies d'interface radioélectrique de sixième génération feront l'objet d'un accord avant la fin de la décennie.</w:t>
            </w:r>
          </w:p>
          <w:p w14:paraId="5889AEEF" w14:textId="77777777" w:rsidR="008E52A1" w:rsidRPr="00A910E2" w:rsidRDefault="007F13FC" w:rsidP="001A7E72">
            <w:hyperlink r:id="rId90" w:tgtFrame="_blank" w:history="1">
              <w:r w:rsidR="008E52A1" w:rsidRPr="00A910E2">
                <w:rPr>
                  <w:rStyle w:val="Hyperlink"/>
                </w:rPr>
                <w:t>Communiqué de presse d'ouverture de la CMR-23</w:t>
              </w:r>
            </w:hyperlink>
            <w:r w:rsidR="008E52A1" w:rsidRPr="00A910E2">
              <w:t>: la CMR-23 de l'UIT se penche sur l'avenir des radiocommunications spatiales, maritimes et terrestres. La CMR-23 doit mettre à jour le Règlement des radiocommunications et attribuer la ressource limitée que constitue le spectre des fréquences radioélectriques.</w:t>
            </w:r>
          </w:p>
          <w:p w14:paraId="3508EFF3" w14:textId="77777777" w:rsidR="008E52A1" w:rsidRPr="00A910E2" w:rsidRDefault="007F13FC" w:rsidP="001A7E72">
            <w:hyperlink r:id="rId91" w:tgtFrame="_blank" w:history="1">
              <w:r w:rsidR="008E52A1" w:rsidRPr="00A910E2">
                <w:rPr>
                  <w:rStyle w:val="Hyperlink"/>
                </w:rPr>
                <w:t>Communiqué de presse de clôture de l'AR-23</w:t>
              </w:r>
            </w:hyperlink>
            <w:r w:rsidR="008E52A1" w:rsidRPr="00A910E2">
              <w:t>: l'Assemblée des radiocommunications de l'UIT établit le programme de développement des IMT-2030 pour la 6G et l'utilisation durable des ressources spectrales et orbitales.</w:t>
            </w:r>
          </w:p>
          <w:p w14:paraId="32EA110C" w14:textId="77777777" w:rsidR="008E52A1" w:rsidRPr="00A910E2" w:rsidRDefault="008E52A1" w:rsidP="001A7E72">
            <w:pPr>
              <w:spacing w:after="120"/>
            </w:pPr>
            <w:r w:rsidRPr="00A910E2">
              <w:t>Avis aux médias: l'accréditation des médias pour la CMR-23 et l'AR-23 de l'UIT est ouverte.</w:t>
            </w:r>
          </w:p>
        </w:tc>
      </w:tr>
    </w:tbl>
    <w:p w14:paraId="13CC584A" w14:textId="77777777" w:rsidR="008E52A1" w:rsidRPr="00A910E2" w:rsidRDefault="008E52A1" w:rsidP="008E52A1">
      <w:pPr>
        <w:pStyle w:val="Headingb"/>
        <w:spacing w:after="120"/>
      </w:pPr>
      <w:r w:rsidRPr="00A910E2">
        <w:t>Presse et médias</w:t>
      </w:r>
    </w:p>
    <w:tbl>
      <w:tblPr>
        <w:tblStyle w:val="TableGrid"/>
        <w:tblW w:w="0" w:type="auto"/>
        <w:tblLayout w:type="fixed"/>
        <w:tblLook w:val="04A0" w:firstRow="1" w:lastRow="0" w:firstColumn="1" w:lastColumn="0" w:noHBand="0" w:noVBand="1"/>
      </w:tblPr>
      <w:tblGrid>
        <w:gridCol w:w="9719"/>
      </w:tblGrid>
      <w:tr w:rsidR="008E52A1" w:rsidRPr="00A910E2" w14:paraId="507CDDAA" w14:textId="77777777" w:rsidTr="001A7E72">
        <w:tc>
          <w:tcPr>
            <w:tcW w:w="9719" w:type="dxa"/>
          </w:tcPr>
          <w:p w14:paraId="2163BEC4" w14:textId="77777777" w:rsidR="008E52A1" w:rsidRPr="00A910E2" w:rsidRDefault="008E52A1" w:rsidP="001A7E72">
            <w:pPr>
              <w:spacing w:after="120"/>
            </w:pPr>
            <w:r w:rsidRPr="00A910E2">
              <w:rPr>
                <w:b/>
                <w:bCs/>
              </w:rPr>
              <w:t>Inscription</w:t>
            </w:r>
            <w:r w:rsidRPr="00A910E2">
              <w:t>: trente-quatre journalistes ont reçu une accréditation pour la CMR-23/l'AR-23.</w:t>
            </w:r>
          </w:p>
          <w:p w14:paraId="0A9A1B4E" w14:textId="77777777" w:rsidR="008E52A1" w:rsidRPr="00A910E2" w:rsidRDefault="008E52A1" w:rsidP="001A7E72">
            <w:pPr>
              <w:spacing w:after="120"/>
            </w:pPr>
            <w:r w:rsidRPr="00A910E2">
              <w:rPr>
                <w:b/>
                <w:bCs/>
              </w:rPr>
              <w:t>Demandes de renseignements adressées par des médias</w:t>
            </w:r>
            <w:r w:rsidRPr="00A910E2">
              <w:t>: l'UIT a reçu et examiné 18 demandes de renseignements adressées par des médias concernant la CMR-23, l'AR-23 ou des questions générales relatives aux radiocommunications dans le contexte de l'AR-23/de la CMR-23.</w:t>
            </w:r>
          </w:p>
          <w:p w14:paraId="5516385B" w14:textId="77777777" w:rsidR="008E52A1" w:rsidRPr="00A910E2" w:rsidRDefault="008E52A1" w:rsidP="001A7E72">
            <w:pPr>
              <w:spacing w:after="120"/>
            </w:pPr>
            <w:r w:rsidRPr="00A910E2">
              <w:rPr>
                <w:b/>
                <w:bCs/>
              </w:rPr>
              <w:t>Communications destinées aux médias</w:t>
            </w:r>
            <w:r w:rsidRPr="00A910E2">
              <w:t>: l'UIT a publié huit produits de presse liés à la CMR</w:t>
            </w:r>
            <w:r w:rsidRPr="00A910E2">
              <w:noBreakHyphen/>
              <w:t>23/l'AR-23 (communiqués/avis aux médias/notes de couverture).</w:t>
            </w:r>
          </w:p>
        </w:tc>
      </w:tr>
    </w:tbl>
    <w:p w14:paraId="61509E18" w14:textId="77777777" w:rsidR="008E52A1" w:rsidRPr="00A910E2" w:rsidRDefault="008E52A1" w:rsidP="008E52A1">
      <w:pPr>
        <w:pStyle w:val="Headingb"/>
        <w:keepLines/>
      </w:pPr>
      <w:r w:rsidRPr="00A910E2">
        <w:t>Audiovisuel</w:t>
      </w:r>
    </w:p>
    <w:p w14:paraId="6CCDE8AA" w14:textId="77777777" w:rsidR="008E52A1" w:rsidRPr="00A910E2" w:rsidRDefault="008E52A1" w:rsidP="008E52A1">
      <w:pPr>
        <w:keepNext/>
        <w:keepLines/>
      </w:pPr>
      <w:r w:rsidRPr="00A910E2">
        <w:t xml:space="preserve">On trouvera ci-après les statistiques audiovisuelles relatives à la quantité et au visionnage (à ce jour) des contenus liés à l'AR/la CMR-23 publiés sur la chaîne YouTube de l'UIT, sur Flickr et sur SoundCloud: </w:t>
      </w:r>
    </w:p>
    <w:p w14:paraId="3263BBD1" w14:textId="77777777" w:rsidR="008E52A1" w:rsidRPr="00A910E2" w:rsidRDefault="008E52A1" w:rsidP="008E52A1">
      <w:pPr>
        <w:keepNext/>
        <w:keepLines/>
        <w:spacing w:after="120"/>
        <w:rPr>
          <w:b/>
          <w:bCs/>
          <w:u w:val="single"/>
        </w:rPr>
      </w:pPr>
      <w:r w:rsidRPr="00A910E2">
        <w:rPr>
          <w:b/>
          <w:bCs/>
          <w:u w:val="single"/>
        </w:rPr>
        <w:t>YouTube</w:t>
      </w:r>
    </w:p>
    <w:tbl>
      <w:tblPr>
        <w:tblStyle w:val="TableGrid"/>
        <w:tblW w:w="0" w:type="auto"/>
        <w:tblLayout w:type="fixed"/>
        <w:tblLook w:val="04A0" w:firstRow="1" w:lastRow="0" w:firstColumn="1" w:lastColumn="0" w:noHBand="0" w:noVBand="1"/>
      </w:tblPr>
      <w:tblGrid>
        <w:gridCol w:w="2429"/>
        <w:gridCol w:w="2430"/>
        <w:gridCol w:w="2430"/>
        <w:gridCol w:w="2430"/>
      </w:tblGrid>
      <w:tr w:rsidR="008E52A1" w:rsidRPr="00A910E2" w14:paraId="673A96C9" w14:textId="77777777" w:rsidTr="001A7E72">
        <w:tc>
          <w:tcPr>
            <w:tcW w:w="2429" w:type="dxa"/>
          </w:tcPr>
          <w:p w14:paraId="372916B8" w14:textId="77777777" w:rsidR="008E52A1" w:rsidRPr="00A910E2" w:rsidRDefault="008E52A1" w:rsidP="001A7E72">
            <w:pPr>
              <w:pStyle w:val="Tabletext"/>
            </w:pPr>
            <w:r w:rsidRPr="00A910E2">
              <w:t>Vidéos de l'AR-23: </w:t>
            </w:r>
            <w:r w:rsidRPr="00A910E2">
              <w:rPr>
                <w:b/>
                <w:bCs/>
              </w:rPr>
              <w:t>15</w:t>
            </w:r>
          </w:p>
        </w:tc>
        <w:tc>
          <w:tcPr>
            <w:tcW w:w="2430" w:type="dxa"/>
          </w:tcPr>
          <w:p w14:paraId="3E5969DC" w14:textId="77777777" w:rsidR="008E52A1" w:rsidRPr="00A910E2" w:rsidRDefault="008E52A1" w:rsidP="001A7E72">
            <w:pPr>
              <w:pStyle w:val="Tabletext"/>
            </w:pPr>
            <w:r w:rsidRPr="00A910E2">
              <w:t>Nombre de vues pour l'AR-23: </w:t>
            </w:r>
            <w:r w:rsidRPr="00A910E2">
              <w:rPr>
                <w:b/>
                <w:bCs/>
              </w:rPr>
              <w:t>4791</w:t>
            </w:r>
          </w:p>
        </w:tc>
        <w:tc>
          <w:tcPr>
            <w:tcW w:w="2430" w:type="dxa"/>
          </w:tcPr>
          <w:p w14:paraId="073EEEAC" w14:textId="77777777" w:rsidR="008E52A1" w:rsidRPr="00A910E2" w:rsidRDefault="008E52A1" w:rsidP="001A7E72">
            <w:pPr>
              <w:pStyle w:val="Tabletext"/>
            </w:pPr>
            <w:r w:rsidRPr="00A910E2">
              <w:t>Vidéos de la CMR</w:t>
            </w:r>
            <w:r w:rsidRPr="00A910E2">
              <w:noBreakHyphen/>
              <w:t>23: </w:t>
            </w:r>
            <w:r w:rsidRPr="00A910E2">
              <w:rPr>
                <w:b/>
                <w:bCs/>
              </w:rPr>
              <w:t>61</w:t>
            </w:r>
          </w:p>
        </w:tc>
        <w:tc>
          <w:tcPr>
            <w:tcW w:w="2430" w:type="dxa"/>
          </w:tcPr>
          <w:p w14:paraId="1456F67B" w14:textId="77777777" w:rsidR="008E52A1" w:rsidRPr="00A910E2" w:rsidRDefault="008E52A1" w:rsidP="001A7E72">
            <w:pPr>
              <w:pStyle w:val="Tabletext"/>
            </w:pPr>
            <w:r w:rsidRPr="00A910E2">
              <w:t>Nombre de vues pour la CMR-23: </w:t>
            </w:r>
            <w:r w:rsidRPr="00A910E2">
              <w:rPr>
                <w:b/>
                <w:bCs/>
              </w:rPr>
              <w:t>16 414</w:t>
            </w:r>
          </w:p>
        </w:tc>
      </w:tr>
    </w:tbl>
    <w:p w14:paraId="4DB78F82" w14:textId="77777777" w:rsidR="008E52A1" w:rsidRPr="00A910E2" w:rsidRDefault="008E52A1" w:rsidP="008E52A1">
      <w:pPr>
        <w:keepNext/>
        <w:keepLines/>
        <w:spacing w:after="120"/>
        <w:rPr>
          <w:b/>
          <w:bCs/>
          <w:u w:val="single"/>
        </w:rPr>
      </w:pPr>
      <w:r w:rsidRPr="00A910E2">
        <w:rPr>
          <w:b/>
          <w:bCs/>
          <w:u w:val="single"/>
        </w:rPr>
        <w:t>SoundCloud</w:t>
      </w:r>
    </w:p>
    <w:tbl>
      <w:tblPr>
        <w:tblStyle w:val="TableGrid"/>
        <w:tblW w:w="0" w:type="auto"/>
        <w:tblLayout w:type="fixed"/>
        <w:tblLook w:val="04A0" w:firstRow="1" w:lastRow="0" w:firstColumn="1" w:lastColumn="0" w:noHBand="0" w:noVBand="1"/>
      </w:tblPr>
      <w:tblGrid>
        <w:gridCol w:w="2429"/>
        <w:gridCol w:w="2430"/>
        <w:gridCol w:w="2430"/>
        <w:gridCol w:w="2430"/>
      </w:tblGrid>
      <w:tr w:rsidR="008E52A1" w:rsidRPr="00A910E2" w14:paraId="3C729948" w14:textId="77777777" w:rsidTr="001A7E72">
        <w:tc>
          <w:tcPr>
            <w:tcW w:w="2429" w:type="dxa"/>
          </w:tcPr>
          <w:p w14:paraId="16095D0C" w14:textId="77777777" w:rsidR="008E52A1" w:rsidRPr="00A910E2" w:rsidRDefault="008E52A1" w:rsidP="001A7E72">
            <w:pPr>
              <w:pStyle w:val="Tabletext"/>
            </w:pPr>
            <w:r w:rsidRPr="00A910E2">
              <w:t>Pistes de l'AR-23: </w:t>
            </w:r>
            <w:r w:rsidRPr="00A910E2">
              <w:rPr>
                <w:b/>
                <w:bCs/>
              </w:rPr>
              <w:t>7</w:t>
            </w:r>
          </w:p>
        </w:tc>
        <w:tc>
          <w:tcPr>
            <w:tcW w:w="2430" w:type="dxa"/>
          </w:tcPr>
          <w:p w14:paraId="004361A4" w14:textId="77777777" w:rsidR="008E52A1" w:rsidRPr="00A910E2" w:rsidRDefault="008E52A1" w:rsidP="001A7E72">
            <w:pPr>
              <w:pStyle w:val="Tabletext"/>
            </w:pPr>
            <w:r w:rsidRPr="00A910E2">
              <w:t>Nombre de lectures pour l'AR-23: </w:t>
            </w:r>
            <w:r w:rsidRPr="00A910E2">
              <w:rPr>
                <w:b/>
                <w:bCs/>
              </w:rPr>
              <w:t>183</w:t>
            </w:r>
          </w:p>
        </w:tc>
        <w:tc>
          <w:tcPr>
            <w:tcW w:w="2430" w:type="dxa"/>
          </w:tcPr>
          <w:p w14:paraId="3405809C" w14:textId="77777777" w:rsidR="008E52A1" w:rsidRPr="00A910E2" w:rsidRDefault="008E52A1" w:rsidP="001A7E72">
            <w:pPr>
              <w:pStyle w:val="Tabletext"/>
            </w:pPr>
            <w:r w:rsidRPr="00A910E2">
              <w:t>Pistes de la CMR-23: </w:t>
            </w:r>
            <w:r w:rsidRPr="00A910E2">
              <w:rPr>
                <w:b/>
                <w:bCs/>
              </w:rPr>
              <w:t>56</w:t>
            </w:r>
          </w:p>
        </w:tc>
        <w:tc>
          <w:tcPr>
            <w:tcW w:w="2430" w:type="dxa"/>
          </w:tcPr>
          <w:p w14:paraId="5223A4B5" w14:textId="77777777" w:rsidR="008E52A1" w:rsidRPr="00A910E2" w:rsidRDefault="008E52A1" w:rsidP="001A7E72">
            <w:pPr>
              <w:pStyle w:val="Tabletext"/>
            </w:pPr>
            <w:r w:rsidRPr="00A910E2">
              <w:t>Nombre de lectures pour la CMR-23: </w:t>
            </w:r>
            <w:r w:rsidRPr="00A910E2">
              <w:rPr>
                <w:b/>
                <w:bCs/>
              </w:rPr>
              <w:t>828</w:t>
            </w:r>
            <w:r w:rsidRPr="00A910E2">
              <w:t> </w:t>
            </w:r>
          </w:p>
        </w:tc>
      </w:tr>
    </w:tbl>
    <w:p w14:paraId="136F3DB8" w14:textId="77777777" w:rsidR="008E52A1" w:rsidRPr="00A910E2" w:rsidRDefault="008E52A1" w:rsidP="008E52A1">
      <w:pPr>
        <w:keepNext/>
        <w:keepLines/>
        <w:spacing w:after="120"/>
        <w:rPr>
          <w:b/>
          <w:bCs/>
          <w:u w:val="single"/>
        </w:rPr>
      </w:pPr>
      <w:r w:rsidRPr="00A910E2">
        <w:rPr>
          <w:b/>
          <w:bCs/>
          <w:u w:val="single"/>
        </w:rPr>
        <w:t>Flickr</w:t>
      </w:r>
    </w:p>
    <w:tbl>
      <w:tblPr>
        <w:tblStyle w:val="TableGrid"/>
        <w:tblW w:w="0" w:type="auto"/>
        <w:tblLayout w:type="fixed"/>
        <w:tblLook w:val="04A0" w:firstRow="1" w:lastRow="0" w:firstColumn="1" w:lastColumn="0" w:noHBand="0" w:noVBand="1"/>
      </w:tblPr>
      <w:tblGrid>
        <w:gridCol w:w="2429"/>
        <w:gridCol w:w="2430"/>
        <w:gridCol w:w="2430"/>
        <w:gridCol w:w="2430"/>
      </w:tblGrid>
      <w:tr w:rsidR="008E52A1" w:rsidRPr="00A910E2" w14:paraId="56AB742F" w14:textId="77777777" w:rsidTr="001A7E72">
        <w:tc>
          <w:tcPr>
            <w:tcW w:w="2429" w:type="dxa"/>
          </w:tcPr>
          <w:p w14:paraId="2D9F782A" w14:textId="77777777" w:rsidR="008E52A1" w:rsidRPr="00A910E2" w:rsidRDefault="008E52A1" w:rsidP="001A7E72">
            <w:pPr>
              <w:pStyle w:val="Tabletext"/>
            </w:pPr>
            <w:r w:rsidRPr="00A910E2">
              <w:t>Photos de l'AR</w:t>
            </w:r>
            <w:r w:rsidRPr="00A910E2">
              <w:noBreakHyphen/>
              <w:t>23: </w:t>
            </w:r>
            <w:r w:rsidRPr="00A910E2">
              <w:rPr>
                <w:b/>
                <w:bCs/>
              </w:rPr>
              <w:t>503</w:t>
            </w:r>
          </w:p>
        </w:tc>
        <w:tc>
          <w:tcPr>
            <w:tcW w:w="2430" w:type="dxa"/>
          </w:tcPr>
          <w:p w14:paraId="59D19F33" w14:textId="77777777" w:rsidR="008E52A1" w:rsidRPr="00A910E2" w:rsidRDefault="008E52A1" w:rsidP="001A7E72">
            <w:pPr>
              <w:pStyle w:val="Tabletext"/>
            </w:pPr>
            <w:r w:rsidRPr="00A910E2">
              <w:t>Nombre de vues pour l'AR-23: </w:t>
            </w:r>
            <w:r w:rsidRPr="00A910E2">
              <w:rPr>
                <w:b/>
                <w:bCs/>
              </w:rPr>
              <w:t>528 150</w:t>
            </w:r>
            <w:r w:rsidRPr="00A910E2">
              <w:t> </w:t>
            </w:r>
          </w:p>
        </w:tc>
        <w:tc>
          <w:tcPr>
            <w:tcW w:w="2430" w:type="dxa"/>
          </w:tcPr>
          <w:p w14:paraId="59D54D5B" w14:textId="77777777" w:rsidR="008E52A1" w:rsidRPr="00A910E2" w:rsidRDefault="008E52A1" w:rsidP="001A7E72">
            <w:pPr>
              <w:pStyle w:val="Tabletext"/>
            </w:pPr>
            <w:r w:rsidRPr="00A910E2">
              <w:t>Photos de la CMR</w:t>
            </w:r>
            <w:r w:rsidRPr="00A910E2">
              <w:noBreakHyphen/>
              <w:t>23: </w:t>
            </w:r>
            <w:r w:rsidRPr="00A910E2">
              <w:rPr>
                <w:b/>
                <w:bCs/>
              </w:rPr>
              <w:t>1994</w:t>
            </w:r>
          </w:p>
        </w:tc>
        <w:tc>
          <w:tcPr>
            <w:tcW w:w="2430" w:type="dxa"/>
          </w:tcPr>
          <w:p w14:paraId="67057020" w14:textId="77777777" w:rsidR="008E52A1" w:rsidRPr="00A910E2" w:rsidRDefault="008E52A1" w:rsidP="001A7E72">
            <w:pPr>
              <w:pStyle w:val="Tabletext"/>
            </w:pPr>
            <w:r w:rsidRPr="00A910E2">
              <w:t>Nombre de vues pour la CMR-23: </w:t>
            </w:r>
            <w:r w:rsidRPr="00A910E2">
              <w:rPr>
                <w:b/>
                <w:bCs/>
              </w:rPr>
              <w:t>11 964 400</w:t>
            </w:r>
          </w:p>
        </w:tc>
      </w:tr>
    </w:tbl>
    <w:p w14:paraId="0A9512E2" w14:textId="77777777" w:rsidR="008E52A1" w:rsidRPr="00A910E2" w:rsidRDefault="008E52A1" w:rsidP="008E52A1">
      <w:r w:rsidRPr="00A910E2">
        <w:t>Note: Certaines vidéos ont été publiées de manière indépendante sur les réseaux sociaux de l'UIT, mais aucune statistique n'est disponible les concernant.</w:t>
      </w:r>
    </w:p>
    <w:p w14:paraId="1402197B" w14:textId="77777777" w:rsidR="008E52A1" w:rsidRPr="00A910E2" w:rsidRDefault="008E52A1" w:rsidP="00D555D6">
      <w:pPr>
        <w:pStyle w:val="Headingb"/>
        <w:keepNext w:val="0"/>
      </w:pPr>
      <w:r w:rsidRPr="00A910E2">
        <w:t>Statistiques audiovisuelles sur la CMR-19/CMR-23 à titre de comparaison</w:t>
      </w:r>
    </w:p>
    <w:p w14:paraId="2F98520F" w14:textId="1ABF1CD6" w:rsidR="008E52A1" w:rsidRPr="00A910E2" w:rsidRDefault="008E52A1" w:rsidP="00D555D6">
      <w:pPr>
        <w:pStyle w:val="Figure"/>
        <w:keepNext w:val="0"/>
        <w:keepLines w:val="0"/>
        <w:rPr>
          <w:u w:val="single"/>
        </w:rPr>
      </w:pPr>
      <w:r w:rsidRPr="00A910E2">
        <w:drawing>
          <wp:inline distT="0" distB="0" distL="0" distR="0" wp14:anchorId="0987F28A" wp14:editId="3F703FD8">
            <wp:extent cx="5731510" cy="2988945"/>
            <wp:effectExtent l="0" t="0" r="2540" b="1905"/>
            <wp:docPr id="1838710752" name="Picture 18387107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10752" name="Picture 1" descr="A screenshot of a computer&#10;&#10;Description automatically generated"/>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5731510" cy="2988945"/>
                    </a:xfrm>
                    <a:prstGeom prst="rect">
                      <a:avLst/>
                    </a:prstGeom>
                    <a:noFill/>
                    <a:ln>
                      <a:noFill/>
                    </a:ln>
                  </pic:spPr>
                </pic:pic>
              </a:graphicData>
            </a:graphic>
          </wp:inline>
        </w:drawing>
      </w:r>
    </w:p>
    <w:p w14:paraId="30C1FBD2" w14:textId="7F06B682" w:rsidR="00112791" w:rsidRPr="00A910E2" w:rsidRDefault="00112791" w:rsidP="00D555D6">
      <w:pPr>
        <w:pStyle w:val="Figurelegend"/>
        <w:spacing w:before="240" w:after="120"/>
      </w:pPr>
      <w:r w:rsidRPr="00A910E2">
        <w:rPr>
          <w:u w:val="single"/>
        </w:rPr>
        <w:t>Légende de la Figure</w:t>
      </w:r>
      <w:r w:rsidRPr="00A910E2">
        <w:t>:</w:t>
      </w:r>
    </w:p>
    <w:tbl>
      <w:tblPr>
        <w:tblStyle w:val="TableGrid"/>
        <w:tblW w:w="9766" w:type="dxa"/>
        <w:jc w:val="center"/>
        <w:tblBorders>
          <w:top w:val="single" w:sz="12" w:space="0" w:color="0070C0"/>
          <w:left w:val="single" w:sz="12" w:space="0" w:color="0070C0"/>
          <w:bottom w:val="single" w:sz="12" w:space="0" w:color="0070C0"/>
          <w:right w:val="single" w:sz="12" w:space="0" w:color="0070C0"/>
          <w:insideH w:val="none" w:sz="0" w:space="0" w:color="auto"/>
          <w:insideV w:val="none" w:sz="0" w:space="0" w:color="auto"/>
        </w:tblBorders>
        <w:tblLayout w:type="fixed"/>
        <w:tblLook w:val="04A0" w:firstRow="1" w:lastRow="0" w:firstColumn="1" w:lastColumn="0" w:noHBand="0" w:noVBand="1"/>
      </w:tblPr>
      <w:tblGrid>
        <w:gridCol w:w="1418"/>
        <w:gridCol w:w="1119"/>
        <w:gridCol w:w="440"/>
        <w:gridCol w:w="1403"/>
        <w:gridCol w:w="708"/>
        <w:gridCol w:w="851"/>
        <w:gridCol w:w="1134"/>
        <w:gridCol w:w="454"/>
        <w:gridCol w:w="822"/>
        <w:gridCol w:w="1417"/>
      </w:tblGrid>
      <w:tr w:rsidR="008E52A1" w:rsidRPr="00A910E2" w14:paraId="2E669FD1" w14:textId="77777777" w:rsidTr="00D555D6">
        <w:trPr>
          <w:jc w:val="center"/>
        </w:trPr>
        <w:tc>
          <w:tcPr>
            <w:tcW w:w="9766" w:type="dxa"/>
            <w:gridSpan w:val="10"/>
            <w:tcBorders>
              <w:top w:val="single" w:sz="12" w:space="0" w:color="0099FF"/>
              <w:left w:val="single" w:sz="12" w:space="0" w:color="0099FF"/>
              <w:bottom w:val="single" w:sz="4" w:space="0" w:color="A6A6A6" w:themeColor="background1" w:themeShade="A6"/>
              <w:right w:val="single" w:sz="12" w:space="0" w:color="0099FF"/>
            </w:tcBorders>
          </w:tcPr>
          <w:p w14:paraId="0190E324" w14:textId="77777777" w:rsidR="008E52A1" w:rsidRPr="00A910E2" w:rsidRDefault="008E52A1" w:rsidP="00D555D6">
            <w:pPr>
              <w:pStyle w:val="Figurelegend"/>
              <w:spacing w:before="60" w:after="60"/>
              <w:jc w:val="center"/>
              <w:rPr>
                <w:sz w:val="20"/>
              </w:rPr>
            </w:pPr>
            <w:r w:rsidRPr="00A910E2">
              <w:rPr>
                <w:b/>
                <w:bCs/>
                <w:sz w:val="20"/>
                <w:u w:val="single"/>
              </w:rPr>
              <w:t>Visionnage des contenus de l'AR/la CMR</w:t>
            </w:r>
            <w:r w:rsidRPr="00A910E2">
              <w:rPr>
                <w:sz w:val="20"/>
              </w:rPr>
              <w:t xml:space="preserve"> – Comparaison entre 2019 et 2023</w:t>
            </w:r>
          </w:p>
        </w:tc>
      </w:tr>
      <w:tr w:rsidR="008E52A1" w:rsidRPr="00A910E2" w14:paraId="37094A41"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320DD032" w14:textId="77777777" w:rsidR="008E52A1" w:rsidRPr="00A910E2" w:rsidRDefault="008E52A1" w:rsidP="00D555D6">
            <w:pPr>
              <w:pStyle w:val="Figurelegend"/>
              <w:jc w:val="center"/>
              <w:rPr>
                <w:b/>
                <w:bCs/>
                <w:sz w:val="20"/>
              </w:rPr>
            </w:pP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F8E724" w14:textId="77777777" w:rsidR="008E52A1" w:rsidRPr="00A910E2" w:rsidRDefault="008E52A1" w:rsidP="00D555D6">
            <w:pPr>
              <w:pStyle w:val="Figurelegend"/>
              <w:jc w:val="center"/>
              <w:rPr>
                <w:b/>
                <w:bCs/>
                <w:sz w:val="20"/>
              </w:rPr>
            </w:pPr>
            <w:r w:rsidRPr="00A910E2">
              <w:rPr>
                <w:b/>
                <w:bCs/>
                <w:sz w:val="20"/>
              </w:rPr>
              <w:t>2019</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C83186" w14:textId="77777777" w:rsidR="008E52A1" w:rsidRPr="00A910E2" w:rsidRDefault="008E52A1" w:rsidP="00D555D6">
            <w:pPr>
              <w:pStyle w:val="Figurelegend"/>
              <w:jc w:val="center"/>
              <w:rPr>
                <w:b/>
                <w:bCs/>
                <w:sz w:val="20"/>
              </w:rPr>
            </w:pPr>
            <w:r w:rsidRPr="00A910E2">
              <w:rPr>
                <w:b/>
                <w:bCs/>
                <w:sz w:val="20"/>
              </w:rPr>
              <w:t>2023</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20B0F5" w14:textId="349E9FDE" w:rsidR="008E52A1" w:rsidRPr="00A910E2" w:rsidRDefault="008E52A1" w:rsidP="00D555D6">
            <w:pPr>
              <w:pStyle w:val="Figurelegend"/>
              <w:jc w:val="center"/>
              <w:rPr>
                <w:b/>
                <w:bCs/>
                <w:sz w:val="20"/>
              </w:rPr>
            </w:pPr>
            <w:r w:rsidRPr="00A910E2">
              <w:rPr>
                <w:b/>
                <w:bCs/>
              </w:rPr>
              <w:t>Augmentation/</w:t>
            </w:r>
            <w:r w:rsidR="00D555D6" w:rsidRPr="00A910E2">
              <w:rPr>
                <w:b/>
                <w:bCs/>
              </w:rPr>
              <w:br/>
            </w:r>
            <w:r w:rsidRPr="00A910E2">
              <w:rPr>
                <w:b/>
                <w:bCs/>
              </w:rPr>
              <w:t>diminution du nombre de contenus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316139" w14:textId="77777777" w:rsidR="008E52A1" w:rsidRPr="00A910E2" w:rsidRDefault="008E52A1" w:rsidP="00D555D6">
            <w:pPr>
              <w:pStyle w:val="Figurelegend"/>
              <w:jc w:val="center"/>
              <w:rPr>
                <w:b/>
                <w:bCs/>
                <w:sz w:val="20"/>
              </w:rPr>
            </w:pPr>
            <w:r w:rsidRPr="00A910E2">
              <w:rPr>
                <w:b/>
                <w:bCs/>
                <w:sz w:val="20"/>
              </w:rPr>
              <w:t>2019</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BA6B7" w14:textId="77777777" w:rsidR="008E52A1" w:rsidRPr="00A910E2" w:rsidRDefault="008E52A1" w:rsidP="00D555D6">
            <w:pPr>
              <w:pStyle w:val="Figurelegend"/>
              <w:jc w:val="center"/>
              <w:rPr>
                <w:b/>
                <w:bCs/>
                <w:sz w:val="20"/>
              </w:rPr>
            </w:pPr>
            <w:r w:rsidRPr="00A910E2">
              <w:rPr>
                <w:b/>
                <w:bCs/>
                <w:sz w:val="20"/>
              </w:rPr>
              <w:t>2023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1EE7A09C" w14:textId="77777777" w:rsidR="008E52A1" w:rsidRPr="00A910E2" w:rsidRDefault="008E52A1" w:rsidP="00D555D6">
            <w:pPr>
              <w:pStyle w:val="Figurelegend"/>
              <w:jc w:val="center"/>
              <w:rPr>
                <w:b/>
                <w:bCs/>
                <w:sz w:val="20"/>
              </w:rPr>
            </w:pPr>
            <w:r w:rsidRPr="00A910E2">
              <w:rPr>
                <w:b/>
                <w:bCs/>
              </w:rPr>
              <w:t>Augmentation/</w:t>
            </w:r>
            <w:r w:rsidRPr="00A910E2">
              <w:rPr>
                <w:b/>
                <w:bCs/>
              </w:rPr>
              <w:br/>
              <w:t>diminution du nombre de vues/lectures</w:t>
            </w:r>
          </w:p>
        </w:tc>
      </w:tr>
      <w:tr w:rsidR="008E52A1" w:rsidRPr="00A910E2" w14:paraId="1D176EAF"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7A726152" w14:textId="77777777" w:rsidR="008E52A1" w:rsidRPr="00A910E2" w:rsidRDefault="008E52A1" w:rsidP="00D555D6">
            <w:pPr>
              <w:pStyle w:val="Figurelegend"/>
              <w:jc w:val="center"/>
              <w:rPr>
                <w:b/>
                <w:bCs/>
                <w:sz w:val="20"/>
              </w:rPr>
            </w:pP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0C9275" w14:textId="77777777" w:rsidR="008E52A1" w:rsidRPr="00A910E2" w:rsidRDefault="008E52A1" w:rsidP="00D555D6">
            <w:pPr>
              <w:pStyle w:val="Figurelegend"/>
              <w:jc w:val="center"/>
              <w:rPr>
                <w:b/>
                <w:bCs/>
                <w:sz w:val="20"/>
              </w:rPr>
            </w:pPr>
            <w:r w:rsidRPr="00A910E2">
              <w:rPr>
                <w:b/>
                <w:bCs/>
              </w:rPr>
              <w:t>Vidéos/photos/</w:t>
            </w:r>
            <w:r w:rsidRPr="00A910E2">
              <w:rPr>
                <w:b/>
                <w:bCs/>
              </w:rPr>
              <w:br/>
              <w:t>pistes</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5B5C29" w14:textId="77777777" w:rsidR="008E52A1" w:rsidRPr="00A910E2" w:rsidRDefault="008E52A1" w:rsidP="00D555D6">
            <w:pPr>
              <w:pStyle w:val="Figurelegend"/>
              <w:jc w:val="center"/>
              <w:rPr>
                <w:b/>
                <w:bCs/>
                <w:sz w:val="20"/>
              </w:rPr>
            </w:pPr>
            <w:r w:rsidRPr="00A910E2">
              <w:rPr>
                <w:b/>
                <w:bCs/>
              </w:rPr>
              <w:t>Vidéos/photos/</w:t>
            </w:r>
            <w:r w:rsidRPr="00A910E2">
              <w:rPr>
                <w:b/>
                <w:bCs/>
              </w:rPr>
              <w:br/>
              <w:t>pistes</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EB5994" w14:textId="77777777" w:rsidR="008E52A1" w:rsidRPr="00A910E2" w:rsidRDefault="008E52A1" w:rsidP="00D555D6">
            <w:pPr>
              <w:pStyle w:val="Figurelegend"/>
              <w:jc w:val="center"/>
              <w:rPr>
                <w:b/>
                <w:bCs/>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D83D96" w14:textId="50206E4D" w:rsidR="008E52A1" w:rsidRPr="00A910E2" w:rsidRDefault="008E52A1" w:rsidP="00D555D6">
            <w:pPr>
              <w:pStyle w:val="Figurelegend"/>
              <w:jc w:val="center"/>
              <w:rPr>
                <w:b/>
                <w:bCs/>
                <w:sz w:val="20"/>
              </w:rPr>
            </w:pPr>
            <w:r w:rsidRPr="00A910E2">
              <w:rPr>
                <w:b/>
                <w:bCs/>
                <w:sz w:val="20"/>
              </w:rPr>
              <w:t>Vues/</w:t>
            </w:r>
            <w:r w:rsidR="00D555D6" w:rsidRPr="00A910E2">
              <w:rPr>
                <w:b/>
                <w:bCs/>
                <w:sz w:val="20"/>
              </w:rPr>
              <w:br/>
            </w:r>
            <w:r w:rsidRPr="00A910E2">
              <w:rPr>
                <w:b/>
                <w:bCs/>
                <w:sz w:val="20"/>
              </w:rPr>
              <w:t>lectures</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BF6D86" w14:textId="464E97C0" w:rsidR="008E52A1" w:rsidRPr="00A910E2" w:rsidRDefault="008E52A1" w:rsidP="00D555D6">
            <w:pPr>
              <w:pStyle w:val="Figurelegend"/>
              <w:jc w:val="center"/>
              <w:rPr>
                <w:b/>
                <w:bCs/>
                <w:sz w:val="20"/>
              </w:rPr>
            </w:pPr>
            <w:r w:rsidRPr="00A910E2">
              <w:rPr>
                <w:b/>
                <w:bCs/>
                <w:sz w:val="20"/>
              </w:rPr>
              <w:t>Vues/</w:t>
            </w:r>
            <w:r w:rsidR="00D555D6" w:rsidRPr="00A910E2">
              <w:rPr>
                <w:b/>
                <w:bCs/>
                <w:sz w:val="20"/>
              </w:rPr>
              <w:br/>
            </w:r>
            <w:r w:rsidRPr="00A910E2">
              <w:rPr>
                <w:b/>
                <w:bCs/>
                <w:sz w:val="20"/>
              </w:rPr>
              <w:t>lectures</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5CD972D6" w14:textId="77777777" w:rsidR="008E52A1" w:rsidRPr="00A910E2" w:rsidRDefault="008E52A1" w:rsidP="00D555D6">
            <w:pPr>
              <w:pStyle w:val="Figurelegend"/>
              <w:jc w:val="center"/>
              <w:rPr>
                <w:b/>
                <w:bCs/>
                <w:sz w:val="20"/>
              </w:rPr>
            </w:pPr>
          </w:p>
        </w:tc>
      </w:tr>
      <w:tr w:rsidR="008E52A1" w:rsidRPr="00A910E2" w14:paraId="21382CFA"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26FDFB7A" w14:textId="77777777" w:rsidR="008E52A1" w:rsidRPr="00A910E2" w:rsidRDefault="008E52A1" w:rsidP="00D555D6">
            <w:pPr>
              <w:pStyle w:val="Figurelegend"/>
              <w:jc w:val="center"/>
              <w:rPr>
                <w:b/>
                <w:bCs/>
                <w:sz w:val="20"/>
              </w:rPr>
            </w:pPr>
            <w:r w:rsidRPr="00A910E2">
              <w:rPr>
                <w:b/>
                <w:bCs/>
              </w:rPr>
              <w:t>YouTube AR</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5513B" w14:textId="77777777" w:rsidR="008E52A1" w:rsidRPr="00A910E2" w:rsidRDefault="008E52A1" w:rsidP="00D555D6">
            <w:pPr>
              <w:pStyle w:val="Figurelegend"/>
              <w:jc w:val="center"/>
              <w:rPr>
                <w:sz w:val="20"/>
              </w:rPr>
            </w:pPr>
            <w:r w:rsidRPr="00A910E2">
              <w:rPr>
                <w:sz w:val="20"/>
              </w:rPr>
              <w:t>7</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A436F" w14:textId="77777777" w:rsidR="008E52A1" w:rsidRPr="00A910E2" w:rsidRDefault="008E52A1" w:rsidP="00D555D6">
            <w:pPr>
              <w:pStyle w:val="Figurelegend"/>
              <w:jc w:val="center"/>
              <w:rPr>
                <w:sz w:val="20"/>
              </w:rPr>
            </w:pPr>
            <w:r w:rsidRPr="00A910E2">
              <w:rPr>
                <w:sz w:val="20"/>
              </w:rPr>
              <w:t>15</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69F507" w14:textId="77777777" w:rsidR="008E52A1" w:rsidRPr="00A910E2" w:rsidRDefault="008E52A1" w:rsidP="00D555D6">
            <w:pPr>
              <w:pStyle w:val="Figurelegend"/>
              <w:jc w:val="center"/>
              <w:rPr>
                <w:b/>
                <w:bCs/>
                <w:sz w:val="20"/>
              </w:rPr>
            </w:pPr>
            <w:r w:rsidRPr="00A910E2">
              <w:rPr>
                <w:b/>
                <w:bCs/>
                <w:sz w:val="20"/>
              </w:rPr>
              <w:t>114%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EA098D" w14:textId="05600CBE" w:rsidR="008E52A1" w:rsidRPr="00A910E2" w:rsidRDefault="008E52A1" w:rsidP="00D555D6">
            <w:pPr>
              <w:pStyle w:val="Figurelegend"/>
              <w:jc w:val="center"/>
              <w:rPr>
                <w:sz w:val="20"/>
              </w:rPr>
            </w:pPr>
            <w:r w:rsidRPr="00A910E2">
              <w:rPr>
                <w:sz w:val="20"/>
              </w:rPr>
              <w:t>1</w:t>
            </w:r>
            <w:r w:rsidR="00D555D6" w:rsidRPr="00A910E2">
              <w:rPr>
                <w:sz w:val="20"/>
              </w:rPr>
              <w:t> </w:t>
            </w:r>
            <w:r w:rsidRPr="00A910E2">
              <w:rPr>
                <w:sz w:val="20"/>
              </w:rPr>
              <w:t>356</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7D314D" w14:textId="50D582F4" w:rsidR="008E52A1" w:rsidRPr="00A910E2" w:rsidRDefault="008E52A1" w:rsidP="00D555D6">
            <w:pPr>
              <w:pStyle w:val="Figurelegend"/>
              <w:jc w:val="center"/>
              <w:rPr>
                <w:sz w:val="20"/>
              </w:rPr>
            </w:pPr>
            <w:r w:rsidRPr="00A910E2">
              <w:rPr>
                <w:sz w:val="20"/>
              </w:rPr>
              <w:t>4</w:t>
            </w:r>
            <w:r w:rsidR="00D555D6" w:rsidRPr="00A910E2">
              <w:rPr>
                <w:sz w:val="20"/>
              </w:rPr>
              <w:t> </w:t>
            </w:r>
            <w:r w:rsidRPr="00A910E2">
              <w:rPr>
                <w:sz w:val="20"/>
              </w:rPr>
              <w:t>791</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42D930F6" w14:textId="77777777" w:rsidR="008E52A1" w:rsidRPr="00A910E2" w:rsidRDefault="008E52A1" w:rsidP="00D555D6">
            <w:pPr>
              <w:pStyle w:val="Figurelegend"/>
              <w:jc w:val="center"/>
              <w:rPr>
                <w:b/>
                <w:bCs/>
                <w:sz w:val="20"/>
              </w:rPr>
            </w:pPr>
            <w:r w:rsidRPr="00A910E2">
              <w:rPr>
                <w:b/>
                <w:bCs/>
                <w:sz w:val="20"/>
              </w:rPr>
              <w:t>253%</w:t>
            </w:r>
          </w:p>
        </w:tc>
      </w:tr>
      <w:tr w:rsidR="008E52A1" w:rsidRPr="00A910E2" w14:paraId="06B0897A"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032243F9" w14:textId="77777777" w:rsidR="008E52A1" w:rsidRPr="00A910E2" w:rsidRDefault="008E52A1" w:rsidP="00D555D6">
            <w:pPr>
              <w:pStyle w:val="Figurelegend"/>
              <w:jc w:val="center"/>
              <w:rPr>
                <w:b/>
                <w:bCs/>
                <w:sz w:val="20"/>
              </w:rPr>
            </w:pPr>
            <w:r w:rsidRPr="00A910E2">
              <w:rPr>
                <w:b/>
                <w:bCs/>
              </w:rPr>
              <w:t>YouTube CMR</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965011" w14:textId="77777777" w:rsidR="008E52A1" w:rsidRPr="00A910E2" w:rsidRDefault="008E52A1" w:rsidP="00D555D6">
            <w:pPr>
              <w:pStyle w:val="Figurelegend"/>
              <w:jc w:val="center"/>
              <w:rPr>
                <w:sz w:val="20"/>
              </w:rPr>
            </w:pPr>
            <w:r w:rsidRPr="00A910E2">
              <w:rPr>
                <w:sz w:val="20"/>
              </w:rPr>
              <w:t>49</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8A8741" w14:textId="77777777" w:rsidR="008E52A1" w:rsidRPr="00A910E2" w:rsidRDefault="008E52A1" w:rsidP="00D555D6">
            <w:pPr>
              <w:pStyle w:val="Figurelegend"/>
              <w:jc w:val="center"/>
              <w:rPr>
                <w:sz w:val="20"/>
              </w:rPr>
            </w:pPr>
            <w:r w:rsidRPr="00A910E2">
              <w:rPr>
                <w:sz w:val="20"/>
              </w:rPr>
              <w:t>61</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738262" w14:textId="77777777" w:rsidR="008E52A1" w:rsidRPr="00A910E2" w:rsidRDefault="008E52A1" w:rsidP="00D555D6">
            <w:pPr>
              <w:pStyle w:val="Figurelegend"/>
              <w:jc w:val="center"/>
              <w:rPr>
                <w:b/>
                <w:bCs/>
                <w:sz w:val="20"/>
              </w:rPr>
            </w:pPr>
            <w:r w:rsidRPr="00A910E2">
              <w:rPr>
                <w:b/>
                <w:bCs/>
                <w:sz w:val="20"/>
              </w:rPr>
              <w:t>24%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5DC52A" w14:textId="317234CB" w:rsidR="008E52A1" w:rsidRPr="00A910E2" w:rsidRDefault="008E52A1" w:rsidP="00D555D6">
            <w:pPr>
              <w:pStyle w:val="Figurelegend"/>
              <w:jc w:val="center"/>
              <w:rPr>
                <w:sz w:val="20"/>
              </w:rPr>
            </w:pPr>
            <w:r w:rsidRPr="00A910E2">
              <w:rPr>
                <w:sz w:val="20"/>
              </w:rPr>
              <w:t>10</w:t>
            </w:r>
            <w:r w:rsidR="00D555D6" w:rsidRPr="00A910E2">
              <w:rPr>
                <w:sz w:val="20"/>
              </w:rPr>
              <w:t> </w:t>
            </w:r>
            <w:r w:rsidRPr="00A910E2">
              <w:rPr>
                <w:sz w:val="20"/>
              </w:rPr>
              <w:t>647</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61B4BF" w14:textId="2A0DB1BE" w:rsidR="008E52A1" w:rsidRPr="00A910E2" w:rsidRDefault="008E52A1" w:rsidP="00D555D6">
            <w:pPr>
              <w:pStyle w:val="Figurelegend"/>
              <w:jc w:val="center"/>
              <w:rPr>
                <w:sz w:val="20"/>
              </w:rPr>
            </w:pPr>
            <w:r w:rsidRPr="00A910E2">
              <w:rPr>
                <w:sz w:val="20"/>
              </w:rPr>
              <w:t>16</w:t>
            </w:r>
            <w:r w:rsidR="00D555D6" w:rsidRPr="00A910E2">
              <w:rPr>
                <w:sz w:val="20"/>
              </w:rPr>
              <w:t> </w:t>
            </w:r>
            <w:r w:rsidRPr="00A910E2">
              <w:rPr>
                <w:sz w:val="20"/>
              </w:rPr>
              <w:t>414</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075FF116" w14:textId="77777777" w:rsidR="008E52A1" w:rsidRPr="00A910E2" w:rsidRDefault="008E52A1" w:rsidP="00D555D6">
            <w:pPr>
              <w:pStyle w:val="Figurelegend"/>
              <w:jc w:val="center"/>
              <w:rPr>
                <w:b/>
                <w:bCs/>
                <w:sz w:val="20"/>
              </w:rPr>
            </w:pPr>
            <w:r w:rsidRPr="00A910E2">
              <w:rPr>
                <w:b/>
                <w:bCs/>
                <w:sz w:val="20"/>
              </w:rPr>
              <w:t>141%</w:t>
            </w:r>
          </w:p>
        </w:tc>
      </w:tr>
      <w:tr w:rsidR="008E52A1" w:rsidRPr="00A910E2" w14:paraId="28CC73FB"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3D96AE70" w14:textId="77777777" w:rsidR="008E52A1" w:rsidRPr="00A910E2" w:rsidRDefault="008E52A1" w:rsidP="00D555D6">
            <w:pPr>
              <w:pStyle w:val="Figurelegend"/>
              <w:jc w:val="center"/>
              <w:rPr>
                <w:b/>
                <w:bCs/>
                <w:sz w:val="20"/>
              </w:rPr>
            </w:pPr>
            <w:r w:rsidRPr="00A910E2">
              <w:rPr>
                <w:b/>
                <w:bCs/>
              </w:rPr>
              <w:t>SoundCloud AR</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EE377" w14:textId="77777777" w:rsidR="008E52A1" w:rsidRPr="00A910E2" w:rsidRDefault="008E52A1" w:rsidP="00D555D6">
            <w:pPr>
              <w:pStyle w:val="Figurelegend"/>
              <w:jc w:val="center"/>
              <w:rPr>
                <w:sz w:val="20"/>
              </w:rPr>
            </w:pPr>
            <w:r w:rsidRPr="00A910E2">
              <w:rPr>
                <w:sz w:val="20"/>
              </w:rPr>
              <w:t>10</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5931D5" w14:textId="77777777" w:rsidR="008E52A1" w:rsidRPr="00A910E2" w:rsidRDefault="008E52A1" w:rsidP="00D555D6">
            <w:pPr>
              <w:pStyle w:val="Figurelegend"/>
              <w:jc w:val="center"/>
              <w:rPr>
                <w:sz w:val="20"/>
              </w:rPr>
            </w:pPr>
            <w:r w:rsidRPr="00A910E2">
              <w:rPr>
                <w:sz w:val="20"/>
              </w:rPr>
              <w:t>7</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D99DE9" w14:textId="77777777" w:rsidR="008E52A1" w:rsidRPr="00A910E2" w:rsidRDefault="008E52A1" w:rsidP="00D555D6">
            <w:pPr>
              <w:pStyle w:val="Figurelegend"/>
              <w:jc w:val="center"/>
              <w:rPr>
                <w:sz w:val="20"/>
              </w:rPr>
            </w:pPr>
            <w:r w:rsidRPr="00A910E2">
              <w:rPr>
                <w:sz w:val="20"/>
              </w:rPr>
              <w:t>–30%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8BABD7" w14:textId="77777777" w:rsidR="008E52A1" w:rsidRPr="00A910E2" w:rsidRDefault="008E52A1" w:rsidP="00D555D6">
            <w:pPr>
              <w:pStyle w:val="Figurelegend"/>
              <w:jc w:val="center"/>
              <w:rPr>
                <w:sz w:val="20"/>
              </w:rPr>
            </w:pPr>
            <w:r w:rsidRPr="00A910E2">
              <w:rPr>
                <w:sz w:val="20"/>
              </w:rPr>
              <w:t>129</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4C39CA" w14:textId="77777777" w:rsidR="008E52A1" w:rsidRPr="00A910E2" w:rsidRDefault="008E52A1" w:rsidP="00D555D6">
            <w:pPr>
              <w:pStyle w:val="Figurelegend"/>
              <w:jc w:val="center"/>
              <w:rPr>
                <w:sz w:val="20"/>
              </w:rPr>
            </w:pPr>
            <w:r w:rsidRPr="00A910E2">
              <w:rPr>
                <w:sz w:val="20"/>
              </w:rPr>
              <w:t>183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1B51B654" w14:textId="77777777" w:rsidR="008E52A1" w:rsidRPr="00A910E2" w:rsidRDefault="008E52A1" w:rsidP="00D555D6">
            <w:pPr>
              <w:pStyle w:val="Figurelegend"/>
              <w:jc w:val="center"/>
              <w:rPr>
                <w:b/>
                <w:bCs/>
                <w:sz w:val="20"/>
              </w:rPr>
            </w:pPr>
            <w:r w:rsidRPr="00A910E2">
              <w:rPr>
                <w:b/>
                <w:bCs/>
                <w:sz w:val="20"/>
              </w:rPr>
              <w:t>42%</w:t>
            </w:r>
          </w:p>
        </w:tc>
      </w:tr>
      <w:tr w:rsidR="008E52A1" w:rsidRPr="00A910E2" w14:paraId="50EC9909"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468A3841" w14:textId="77777777" w:rsidR="008E52A1" w:rsidRPr="00A910E2" w:rsidRDefault="008E52A1" w:rsidP="00D555D6">
            <w:pPr>
              <w:pStyle w:val="Figurelegend"/>
              <w:jc w:val="center"/>
              <w:rPr>
                <w:b/>
                <w:bCs/>
                <w:sz w:val="20"/>
              </w:rPr>
            </w:pPr>
            <w:r w:rsidRPr="00A910E2">
              <w:rPr>
                <w:b/>
                <w:bCs/>
              </w:rPr>
              <w:t>SoundCloud CMR</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CE7CF" w14:textId="77777777" w:rsidR="008E52A1" w:rsidRPr="00A910E2" w:rsidRDefault="008E52A1" w:rsidP="00D555D6">
            <w:pPr>
              <w:pStyle w:val="Figurelegend"/>
              <w:jc w:val="center"/>
              <w:rPr>
                <w:sz w:val="20"/>
              </w:rPr>
            </w:pPr>
            <w:r w:rsidRPr="00A910E2">
              <w:rPr>
                <w:sz w:val="20"/>
              </w:rPr>
              <w:t>42</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75D402" w14:textId="77777777" w:rsidR="008E52A1" w:rsidRPr="00A910E2" w:rsidRDefault="008E52A1" w:rsidP="00D555D6">
            <w:pPr>
              <w:pStyle w:val="Figurelegend"/>
              <w:jc w:val="center"/>
              <w:rPr>
                <w:sz w:val="20"/>
              </w:rPr>
            </w:pPr>
            <w:r w:rsidRPr="00A910E2">
              <w:rPr>
                <w:sz w:val="20"/>
              </w:rPr>
              <w:t>56</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53021B" w14:textId="77777777" w:rsidR="008E52A1" w:rsidRPr="00A910E2" w:rsidRDefault="008E52A1" w:rsidP="00D555D6">
            <w:pPr>
              <w:pStyle w:val="Figurelegend"/>
              <w:jc w:val="center"/>
              <w:rPr>
                <w:sz w:val="20"/>
              </w:rPr>
            </w:pPr>
            <w:r w:rsidRPr="00A910E2">
              <w:rPr>
                <w:b/>
                <w:bCs/>
                <w:sz w:val="20"/>
              </w:rPr>
              <w:t>33%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849430" w14:textId="77777777" w:rsidR="008E52A1" w:rsidRPr="00A910E2" w:rsidRDefault="008E52A1" w:rsidP="00D555D6">
            <w:pPr>
              <w:pStyle w:val="Figurelegend"/>
              <w:jc w:val="center"/>
              <w:rPr>
                <w:sz w:val="20"/>
              </w:rPr>
            </w:pPr>
            <w:r w:rsidRPr="00A910E2">
              <w:rPr>
                <w:sz w:val="20"/>
              </w:rPr>
              <w:t>678</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35B445" w14:textId="77777777" w:rsidR="008E52A1" w:rsidRPr="00A910E2" w:rsidRDefault="008E52A1" w:rsidP="00D555D6">
            <w:pPr>
              <w:pStyle w:val="Figurelegend"/>
              <w:jc w:val="center"/>
              <w:rPr>
                <w:sz w:val="20"/>
              </w:rPr>
            </w:pPr>
            <w:r w:rsidRPr="00A910E2">
              <w:rPr>
                <w:sz w:val="20"/>
              </w:rPr>
              <w:t>828</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5F516716" w14:textId="77777777" w:rsidR="008E52A1" w:rsidRPr="00A910E2" w:rsidRDefault="008E52A1" w:rsidP="00D555D6">
            <w:pPr>
              <w:pStyle w:val="Figurelegend"/>
              <w:jc w:val="center"/>
              <w:rPr>
                <w:b/>
                <w:bCs/>
                <w:sz w:val="20"/>
              </w:rPr>
            </w:pPr>
            <w:r w:rsidRPr="00A910E2">
              <w:rPr>
                <w:b/>
                <w:bCs/>
                <w:sz w:val="20"/>
              </w:rPr>
              <w:t>22%</w:t>
            </w:r>
          </w:p>
        </w:tc>
      </w:tr>
      <w:tr w:rsidR="008E52A1" w:rsidRPr="00A910E2" w14:paraId="54E96DCC"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1FB7CEEE" w14:textId="77777777" w:rsidR="008E52A1" w:rsidRPr="00A910E2" w:rsidRDefault="008E52A1" w:rsidP="00D555D6">
            <w:pPr>
              <w:pStyle w:val="Figurelegend"/>
              <w:jc w:val="center"/>
              <w:rPr>
                <w:b/>
                <w:bCs/>
                <w:sz w:val="20"/>
              </w:rPr>
            </w:pPr>
            <w:r w:rsidRPr="00A910E2">
              <w:rPr>
                <w:b/>
                <w:bCs/>
              </w:rPr>
              <w:t>Flickr AR</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8A4013" w14:textId="77777777" w:rsidR="008E52A1" w:rsidRPr="00A910E2" w:rsidRDefault="008E52A1" w:rsidP="00D555D6">
            <w:pPr>
              <w:pStyle w:val="Figurelegend"/>
              <w:jc w:val="center"/>
              <w:rPr>
                <w:sz w:val="20"/>
              </w:rPr>
            </w:pPr>
            <w:r w:rsidRPr="00A910E2">
              <w:rPr>
                <w:sz w:val="20"/>
              </w:rPr>
              <w:t>356</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8FAE8" w14:textId="77777777" w:rsidR="008E52A1" w:rsidRPr="00A910E2" w:rsidRDefault="008E52A1" w:rsidP="00D555D6">
            <w:pPr>
              <w:pStyle w:val="Figurelegend"/>
              <w:jc w:val="center"/>
              <w:rPr>
                <w:sz w:val="20"/>
              </w:rPr>
            </w:pPr>
            <w:r w:rsidRPr="00A910E2">
              <w:rPr>
                <w:sz w:val="20"/>
              </w:rPr>
              <w:t>503</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4E8699" w14:textId="77777777" w:rsidR="008E52A1" w:rsidRPr="00A910E2" w:rsidRDefault="008E52A1" w:rsidP="00D555D6">
            <w:pPr>
              <w:pStyle w:val="Figurelegend"/>
              <w:jc w:val="center"/>
              <w:rPr>
                <w:b/>
                <w:bCs/>
                <w:sz w:val="20"/>
              </w:rPr>
            </w:pPr>
            <w:r w:rsidRPr="00A910E2">
              <w:rPr>
                <w:b/>
                <w:bCs/>
                <w:sz w:val="20"/>
              </w:rPr>
              <w:t>41%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8E8037" w14:textId="11C0EDDF" w:rsidR="008E52A1" w:rsidRPr="00A910E2" w:rsidRDefault="008E52A1" w:rsidP="00D555D6">
            <w:pPr>
              <w:pStyle w:val="Figurelegend"/>
              <w:jc w:val="center"/>
              <w:rPr>
                <w:sz w:val="20"/>
              </w:rPr>
            </w:pPr>
            <w:r w:rsidRPr="00A910E2">
              <w:rPr>
                <w:sz w:val="20"/>
              </w:rPr>
              <w:t>349</w:t>
            </w:r>
            <w:r w:rsidR="00D555D6" w:rsidRPr="00A910E2">
              <w:rPr>
                <w:sz w:val="20"/>
              </w:rPr>
              <w:t> </w:t>
            </w:r>
            <w:r w:rsidRPr="00A910E2">
              <w:rPr>
                <w:sz w:val="20"/>
              </w:rPr>
              <w:t>200</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D96F5D" w14:textId="6A689D76" w:rsidR="008E52A1" w:rsidRPr="00A910E2" w:rsidRDefault="008E52A1" w:rsidP="00D555D6">
            <w:pPr>
              <w:pStyle w:val="Figurelegend"/>
              <w:jc w:val="center"/>
              <w:rPr>
                <w:sz w:val="20"/>
              </w:rPr>
            </w:pPr>
            <w:r w:rsidRPr="00A910E2">
              <w:rPr>
                <w:sz w:val="20"/>
              </w:rPr>
              <w:t>528</w:t>
            </w:r>
            <w:r w:rsidR="00D555D6" w:rsidRPr="00A910E2">
              <w:rPr>
                <w:sz w:val="20"/>
              </w:rPr>
              <w:t> </w:t>
            </w:r>
            <w:r w:rsidRPr="00A910E2">
              <w:rPr>
                <w:sz w:val="20"/>
              </w:rPr>
              <w:t>150</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0C91EACD" w14:textId="77777777" w:rsidR="008E52A1" w:rsidRPr="00A910E2" w:rsidRDefault="008E52A1" w:rsidP="00D555D6">
            <w:pPr>
              <w:pStyle w:val="Figurelegend"/>
              <w:jc w:val="center"/>
              <w:rPr>
                <w:b/>
                <w:bCs/>
                <w:sz w:val="20"/>
              </w:rPr>
            </w:pPr>
            <w:r w:rsidRPr="00A910E2">
              <w:rPr>
                <w:b/>
                <w:bCs/>
                <w:sz w:val="20"/>
              </w:rPr>
              <w:t>51%</w:t>
            </w:r>
          </w:p>
        </w:tc>
      </w:tr>
      <w:tr w:rsidR="008E52A1" w:rsidRPr="00A910E2" w14:paraId="3F5F26CE" w14:textId="77777777" w:rsidTr="00D555D6">
        <w:trPr>
          <w:jc w:val="center"/>
        </w:trPr>
        <w:tc>
          <w:tcPr>
            <w:tcW w:w="1418" w:type="dxa"/>
            <w:tcBorders>
              <w:top w:val="single" w:sz="4" w:space="0" w:color="A6A6A6" w:themeColor="background1" w:themeShade="A6"/>
              <w:left w:val="single" w:sz="12" w:space="0" w:color="0099FF"/>
              <w:bottom w:val="single" w:sz="4" w:space="0" w:color="A6A6A6" w:themeColor="background1" w:themeShade="A6"/>
              <w:right w:val="single" w:sz="4" w:space="0" w:color="A6A6A6" w:themeColor="background1" w:themeShade="A6"/>
            </w:tcBorders>
          </w:tcPr>
          <w:p w14:paraId="1A261536" w14:textId="77777777" w:rsidR="008E52A1" w:rsidRPr="00A910E2" w:rsidRDefault="008E52A1" w:rsidP="00D555D6">
            <w:pPr>
              <w:pStyle w:val="Figurelegend"/>
              <w:jc w:val="center"/>
              <w:rPr>
                <w:b/>
                <w:bCs/>
                <w:sz w:val="20"/>
              </w:rPr>
            </w:pPr>
            <w:r w:rsidRPr="00A910E2">
              <w:rPr>
                <w:b/>
                <w:bCs/>
              </w:rPr>
              <w:t>Flickr CMR</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0873E3" w14:textId="75BDE9D8" w:rsidR="008E52A1" w:rsidRPr="00A910E2" w:rsidRDefault="008E52A1" w:rsidP="00D555D6">
            <w:pPr>
              <w:pStyle w:val="Figurelegend"/>
              <w:jc w:val="center"/>
              <w:rPr>
                <w:sz w:val="20"/>
              </w:rPr>
            </w:pPr>
            <w:r w:rsidRPr="00A910E2">
              <w:rPr>
                <w:sz w:val="20"/>
              </w:rPr>
              <w:t>1</w:t>
            </w:r>
            <w:r w:rsidR="00D555D6" w:rsidRPr="00A910E2">
              <w:rPr>
                <w:sz w:val="20"/>
              </w:rPr>
              <w:t> </w:t>
            </w:r>
            <w:r w:rsidRPr="00A910E2">
              <w:rPr>
                <w:sz w:val="20"/>
              </w:rPr>
              <w:t>570</w:t>
            </w:r>
          </w:p>
        </w:tc>
        <w:tc>
          <w:tcPr>
            <w:tcW w:w="14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5298F1" w14:textId="32EAD36E" w:rsidR="008E52A1" w:rsidRPr="00A910E2" w:rsidRDefault="008E52A1" w:rsidP="00D555D6">
            <w:pPr>
              <w:pStyle w:val="Figurelegend"/>
              <w:jc w:val="center"/>
              <w:rPr>
                <w:sz w:val="20"/>
              </w:rPr>
            </w:pPr>
            <w:r w:rsidRPr="00A910E2">
              <w:rPr>
                <w:sz w:val="20"/>
              </w:rPr>
              <w:t>1</w:t>
            </w:r>
            <w:r w:rsidR="00D555D6" w:rsidRPr="00A910E2">
              <w:rPr>
                <w:sz w:val="20"/>
              </w:rPr>
              <w:t> </w:t>
            </w:r>
            <w:r w:rsidRPr="00A910E2">
              <w:rPr>
                <w:sz w:val="20"/>
              </w:rPr>
              <w:t>994</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C22859" w14:textId="77777777" w:rsidR="008E52A1" w:rsidRPr="00A910E2" w:rsidRDefault="008E52A1" w:rsidP="00D555D6">
            <w:pPr>
              <w:pStyle w:val="Figurelegend"/>
              <w:jc w:val="center"/>
              <w:rPr>
                <w:b/>
                <w:bCs/>
                <w:sz w:val="20"/>
              </w:rPr>
            </w:pPr>
            <w:r w:rsidRPr="00A910E2">
              <w:rPr>
                <w:b/>
                <w:bCs/>
                <w:sz w:val="20"/>
              </w:rPr>
              <w:t>27%</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92AD28" w14:textId="0306B217" w:rsidR="008E52A1" w:rsidRPr="00A910E2" w:rsidRDefault="008E52A1" w:rsidP="00D555D6">
            <w:pPr>
              <w:pStyle w:val="Figurelegend"/>
              <w:jc w:val="center"/>
              <w:rPr>
                <w:sz w:val="20"/>
              </w:rPr>
            </w:pPr>
            <w:r w:rsidRPr="00A910E2">
              <w:rPr>
                <w:sz w:val="20"/>
              </w:rPr>
              <w:t>11</w:t>
            </w:r>
            <w:r w:rsidR="00D555D6" w:rsidRPr="00A910E2">
              <w:rPr>
                <w:sz w:val="20"/>
              </w:rPr>
              <w:t> </w:t>
            </w:r>
            <w:r w:rsidRPr="00A910E2">
              <w:rPr>
                <w:sz w:val="20"/>
              </w:rPr>
              <w:t>264</w:t>
            </w:r>
            <w:r w:rsidR="00D555D6" w:rsidRPr="00A910E2">
              <w:rPr>
                <w:sz w:val="20"/>
              </w:rPr>
              <w:t> </w:t>
            </w:r>
            <w:r w:rsidRPr="00A910E2">
              <w:rPr>
                <w:sz w:val="20"/>
              </w:rPr>
              <w:t>030</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9B4AA" w14:textId="6E15FDE4" w:rsidR="008E52A1" w:rsidRPr="00A910E2" w:rsidRDefault="008E52A1" w:rsidP="00D555D6">
            <w:pPr>
              <w:pStyle w:val="Figurelegend"/>
              <w:jc w:val="center"/>
              <w:rPr>
                <w:sz w:val="20"/>
              </w:rPr>
            </w:pPr>
            <w:r w:rsidRPr="00A910E2">
              <w:rPr>
                <w:sz w:val="20"/>
              </w:rPr>
              <w:t>11</w:t>
            </w:r>
            <w:r w:rsidR="00D555D6" w:rsidRPr="00A910E2">
              <w:rPr>
                <w:sz w:val="20"/>
              </w:rPr>
              <w:t> </w:t>
            </w:r>
            <w:r w:rsidRPr="00A910E2">
              <w:rPr>
                <w:sz w:val="20"/>
              </w:rPr>
              <w:t>964</w:t>
            </w:r>
            <w:r w:rsidR="00D555D6" w:rsidRPr="00A910E2">
              <w:rPr>
                <w:sz w:val="20"/>
              </w:rPr>
              <w:t> </w:t>
            </w:r>
            <w:r w:rsidRPr="00A910E2">
              <w:rPr>
                <w:sz w:val="20"/>
              </w:rPr>
              <w:t>000</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0099FF"/>
            </w:tcBorders>
          </w:tcPr>
          <w:p w14:paraId="2864D57F" w14:textId="77777777" w:rsidR="008E52A1" w:rsidRPr="00A910E2" w:rsidRDefault="008E52A1" w:rsidP="00D555D6">
            <w:pPr>
              <w:pStyle w:val="Figurelegend"/>
              <w:jc w:val="center"/>
              <w:rPr>
                <w:b/>
                <w:bCs/>
                <w:sz w:val="20"/>
              </w:rPr>
            </w:pPr>
            <w:r w:rsidRPr="00A910E2">
              <w:rPr>
                <w:b/>
                <w:bCs/>
                <w:sz w:val="20"/>
              </w:rPr>
              <w:t>6%</w:t>
            </w:r>
          </w:p>
        </w:tc>
      </w:tr>
      <w:tr w:rsidR="008E52A1" w:rsidRPr="00A910E2" w14:paraId="4F2D2E46" w14:textId="77777777" w:rsidTr="00D555D6">
        <w:trPr>
          <w:jc w:val="center"/>
        </w:trPr>
        <w:tc>
          <w:tcPr>
            <w:tcW w:w="9766" w:type="dxa"/>
            <w:gridSpan w:val="10"/>
            <w:tcBorders>
              <w:top w:val="single" w:sz="4" w:space="0" w:color="A6A6A6" w:themeColor="background1" w:themeShade="A6"/>
              <w:left w:val="single" w:sz="12" w:space="0" w:color="0099FF"/>
              <w:bottom w:val="single" w:sz="4" w:space="0" w:color="A6A6A6" w:themeColor="background1" w:themeShade="A6"/>
              <w:right w:val="single" w:sz="12" w:space="0" w:color="0099FF"/>
            </w:tcBorders>
          </w:tcPr>
          <w:p w14:paraId="4060731E" w14:textId="77777777" w:rsidR="008E52A1" w:rsidRPr="00A910E2" w:rsidRDefault="008E52A1" w:rsidP="00D555D6">
            <w:pPr>
              <w:pStyle w:val="Figurelegend"/>
              <w:jc w:val="center"/>
              <w:rPr>
                <w:b/>
                <w:bCs/>
                <w:sz w:val="20"/>
              </w:rPr>
            </w:pPr>
          </w:p>
        </w:tc>
      </w:tr>
      <w:tr w:rsidR="008E52A1" w:rsidRPr="00A910E2" w14:paraId="277649A1" w14:textId="77777777" w:rsidTr="00D555D6">
        <w:trPr>
          <w:jc w:val="center"/>
        </w:trPr>
        <w:tc>
          <w:tcPr>
            <w:tcW w:w="5088" w:type="dxa"/>
            <w:gridSpan w:val="5"/>
            <w:tcBorders>
              <w:top w:val="single" w:sz="4" w:space="0" w:color="A6A6A6" w:themeColor="background1" w:themeShade="A6"/>
              <w:left w:val="single" w:sz="12" w:space="0" w:color="0099FF"/>
              <w:right w:val="single" w:sz="4" w:space="0" w:color="A6A6A6" w:themeColor="background1" w:themeShade="A6"/>
            </w:tcBorders>
          </w:tcPr>
          <w:p w14:paraId="13550E3F" w14:textId="77777777" w:rsidR="008E52A1" w:rsidRPr="00A910E2" w:rsidRDefault="008E52A1" w:rsidP="001A7E72">
            <w:pPr>
              <w:pStyle w:val="Figurelegend"/>
              <w:keepNext w:val="0"/>
              <w:keepLines w:val="0"/>
              <w:jc w:val="center"/>
              <w:rPr>
                <w:b/>
                <w:bCs/>
                <w:sz w:val="20"/>
              </w:rPr>
            </w:pPr>
            <w:r w:rsidRPr="00A910E2">
              <w:t>Vidéos YouTube de l'AR/la CMR</w:t>
            </w:r>
            <w:r w:rsidRPr="00A910E2">
              <w:br/>
              <w:t>Comparaison entre 2019 et 2023</w:t>
            </w:r>
          </w:p>
        </w:tc>
        <w:tc>
          <w:tcPr>
            <w:tcW w:w="4678" w:type="dxa"/>
            <w:gridSpan w:val="5"/>
            <w:tcBorders>
              <w:top w:val="single" w:sz="4" w:space="0" w:color="A6A6A6" w:themeColor="background1" w:themeShade="A6"/>
              <w:left w:val="single" w:sz="4" w:space="0" w:color="A6A6A6" w:themeColor="background1" w:themeShade="A6"/>
              <w:right w:val="single" w:sz="12" w:space="0" w:color="0099FF"/>
            </w:tcBorders>
          </w:tcPr>
          <w:p w14:paraId="4110400F" w14:textId="77777777" w:rsidR="008E52A1" w:rsidRPr="00A910E2" w:rsidRDefault="008E52A1" w:rsidP="001A7E72">
            <w:pPr>
              <w:pStyle w:val="Figurelegend"/>
              <w:keepNext w:val="0"/>
              <w:keepLines w:val="0"/>
              <w:jc w:val="center"/>
              <w:rPr>
                <w:b/>
                <w:bCs/>
                <w:sz w:val="20"/>
              </w:rPr>
            </w:pPr>
            <w:r w:rsidRPr="00A910E2">
              <w:t>Vues sur YouTube de l'AR/la CMR</w:t>
            </w:r>
            <w:r w:rsidRPr="00A910E2">
              <w:br/>
              <w:t>Comparaison entre 2019 et 2023</w:t>
            </w:r>
          </w:p>
        </w:tc>
      </w:tr>
      <w:tr w:rsidR="008E52A1" w:rsidRPr="00A910E2" w14:paraId="6FEF4FAA" w14:textId="77777777" w:rsidTr="00D555D6">
        <w:trPr>
          <w:jc w:val="center"/>
        </w:trPr>
        <w:tc>
          <w:tcPr>
            <w:tcW w:w="5088" w:type="dxa"/>
            <w:gridSpan w:val="5"/>
            <w:tcBorders>
              <w:left w:val="single" w:sz="12" w:space="0" w:color="0099FF"/>
              <w:right w:val="single" w:sz="4" w:space="0" w:color="A6A6A6" w:themeColor="background1" w:themeShade="A6"/>
            </w:tcBorders>
          </w:tcPr>
          <w:p w14:paraId="7FF37895" w14:textId="77777777" w:rsidR="008E52A1" w:rsidRPr="00A910E2" w:rsidRDefault="008E52A1" w:rsidP="001A7E72">
            <w:pPr>
              <w:pStyle w:val="Figurelegend"/>
              <w:keepNext w:val="0"/>
              <w:keepLines w:val="0"/>
              <w:jc w:val="center"/>
            </w:pPr>
            <w:r w:rsidRPr="00A910E2">
              <w:t>YouTube CMR</w:t>
            </w:r>
          </w:p>
        </w:tc>
        <w:tc>
          <w:tcPr>
            <w:tcW w:w="4678" w:type="dxa"/>
            <w:gridSpan w:val="5"/>
            <w:tcBorders>
              <w:left w:val="single" w:sz="4" w:space="0" w:color="A6A6A6" w:themeColor="background1" w:themeShade="A6"/>
              <w:right w:val="single" w:sz="12" w:space="0" w:color="0099FF"/>
            </w:tcBorders>
          </w:tcPr>
          <w:p w14:paraId="3A65D6D4" w14:textId="77777777" w:rsidR="008E52A1" w:rsidRPr="00A910E2" w:rsidRDefault="008E52A1" w:rsidP="001A7E72">
            <w:pPr>
              <w:pStyle w:val="Figurelegend"/>
              <w:keepNext w:val="0"/>
              <w:keepLines w:val="0"/>
              <w:jc w:val="center"/>
              <w:rPr>
                <w:b/>
                <w:bCs/>
                <w:sz w:val="20"/>
              </w:rPr>
            </w:pPr>
            <w:r w:rsidRPr="00A910E2">
              <w:t>YouTube CMR</w:t>
            </w:r>
          </w:p>
        </w:tc>
      </w:tr>
      <w:tr w:rsidR="008E52A1" w:rsidRPr="00A910E2" w14:paraId="2FF3FD55" w14:textId="77777777" w:rsidTr="00D555D6">
        <w:trPr>
          <w:jc w:val="center"/>
        </w:trPr>
        <w:tc>
          <w:tcPr>
            <w:tcW w:w="5088" w:type="dxa"/>
            <w:gridSpan w:val="5"/>
            <w:tcBorders>
              <w:left w:val="single" w:sz="12" w:space="0" w:color="0099FF"/>
              <w:right w:val="single" w:sz="4" w:space="0" w:color="A6A6A6" w:themeColor="background1" w:themeShade="A6"/>
            </w:tcBorders>
          </w:tcPr>
          <w:p w14:paraId="4AD025FE" w14:textId="77777777" w:rsidR="008E52A1" w:rsidRPr="00A910E2" w:rsidRDefault="008E52A1" w:rsidP="001A7E72">
            <w:pPr>
              <w:pStyle w:val="Figurelegend"/>
              <w:keepNext w:val="0"/>
              <w:keepLines w:val="0"/>
              <w:jc w:val="center"/>
            </w:pPr>
          </w:p>
        </w:tc>
        <w:tc>
          <w:tcPr>
            <w:tcW w:w="2439" w:type="dxa"/>
            <w:gridSpan w:val="3"/>
            <w:tcBorders>
              <w:left w:val="single" w:sz="4" w:space="0" w:color="A6A6A6" w:themeColor="background1" w:themeShade="A6"/>
            </w:tcBorders>
          </w:tcPr>
          <w:p w14:paraId="2E4E5738" w14:textId="0AF5AAB9" w:rsidR="008E52A1" w:rsidRPr="00A910E2" w:rsidRDefault="008E52A1" w:rsidP="001A7E72">
            <w:pPr>
              <w:pStyle w:val="Figurelegend"/>
              <w:keepNext w:val="0"/>
              <w:keepLines w:val="0"/>
              <w:jc w:val="center"/>
            </w:pPr>
            <w:r w:rsidRPr="00A910E2">
              <w:t>10</w:t>
            </w:r>
            <w:r w:rsidR="00D555D6" w:rsidRPr="00A910E2">
              <w:t> </w:t>
            </w:r>
            <w:r w:rsidRPr="00A910E2">
              <w:t>647</w:t>
            </w:r>
          </w:p>
        </w:tc>
        <w:tc>
          <w:tcPr>
            <w:tcW w:w="2239" w:type="dxa"/>
            <w:gridSpan w:val="2"/>
            <w:tcBorders>
              <w:right w:val="single" w:sz="12" w:space="0" w:color="0099FF"/>
            </w:tcBorders>
          </w:tcPr>
          <w:p w14:paraId="0E74BFEF" w14:textId="0DA321A6" w:rsidR="008E52A1" w:rsidRPr="00A910E2" w:rsidRDefault="008E52A1" w:rsidP="001A7E72">
            <w:pPr>
              <w:pStyle w:val="Figurelegend"/>
              <w:keepNext w:val="0"/>
              <w:keepLines w:val="0"/>
              <w:jc w:val="center"/>
            </w:pPr>
            <w:r w:rsidRPr="00A910E2">
              <w:t>16</w:t>
            </w:r>
            <w:r w:rsidR="00D555D6" w:rsidRPr="00A910E2">
              <w:t> </w:t>
            </w:r>
            <w:r w:rsidRPr="00A910E2">
              <w:t>414</w:t>
            </w:r>
          </w:p>
        </w:tc>
      </w:tr>
      <w:tr w:rsidR="008E52A1" w:rsidRPr="00A910E2" w14:paraId="48CC79C8" w14:textId="77777777" w:rsidTr="00D555D6">
        <w:trPr>
          <w:jc w:val="center"/>
        </w:trPr>
        <w:tc>
          <w:tcPr>
            <w:tcW w:w="2537" w:type="dxa"/>
            <w:gridSpan w:val="2"/>
            <w:tcBorders>
              <w:left w:val="single" w:sz="12" w:space="0" w:color="0099FF"/>
              <w:bottom w:val="single" w:sz="12" w:space="0" w:color="0099FF"/>
            </w:tcBorders>
          </w:tcPr>
          <w:p w14:paraId="3E4A60A0" w14:textId="50CB3D34" w:rsidR="008E52A1" w:rsidRPr="00A910E2" w:rsidRDefault="00D555D6" w:rsidP="001A7E72">
            <w:pPr>
              <w:pStyle w:val="Figurelegend"/>
              <w:keepNext w:val="0"/>
              <w:keepLines w:val="0"/>
              <w:jc w:val="center"/>
            </w:pPr>
            <w:r w:rsidRPr="00A910E2">
              <w:rPr>
                <w:color w:val="0099FF"/>
              </w:rPr>
              <w:t>•</w:t>
            </w:r>
            <w:r w:rsidR="008E52A1" w:rsidRPr="00A910E2">
              <w:t>Vidéos/photos/pistes en 2023</w:t>
            </w:r>
          </w:p>
        </w:tc>
        <w:tc>
          <w:tcPr>
            <w:tcW w:w="2551" w:type="dxa"/>
            <w:gridSpan w:val="3"/>
            <w:tcBorders>
              <w:bottom w:val="single" w:sz="12" w:space="0" w:color="0099FF"/>
              <w:right w:val="single" w:sz="4" w:space="0" w:color="A6A6A6" w:themeColor="background1" w:themeShade="A6"/>
            </w:tcBorders>
          </w:tcPr>
          <w:p w14:paraId="46699D30" w14:textId="009EA9DF" w:rsidR="008E52A1" w:rsidRPr="00A910E2" w:rsidRDefault="00D555D6" w:rsidP="001A7E72">
            <w:pPr>
              <w:pStyle w:val="Figurelegend"/>
              <w:keepNext w:val="0"/>
              <w:keepLines w:val="0"/>
              <w:jc w:val="center"/>
            </w:pPr>
            <w:r w:rsidRPr="00A910E2">
              <w:rPr>
                <w:color w:val="808080" w:themeColor="background1" w:themeShade="80"/>
              </w:rPr>
              <w:t>•</w:t>
            </w:r>
            <w:r w:rsidR="008E52A1" w:rsidRPr="00A910E2">
              <w:t>Vidéos/photos/pistes en 2019</w:t>
            </w:r>
          </w:p>
        </w:tc>
        <w:tc>
          <w:tcPr>
            <w:tcW w:w="2439" w:type="dxa"/>
            <w:gridSpan w:val="3"/>
            <w:tcBorders>
              <w:left w:val="single" w:sz="4" w:space="0" w:color="A6A6A6" w:themeColor="background1" w:themeShade="A6"/>
              <w:bottom w:val="single" w:sz="12" w:space="0" w:color="0099FF"/>
            </w:tcBorders>
          </w:tcPr>
          <w:p w14:paraId="5CC003B7" w14:textId="0344C74E" w:rsidR="008E52A1" w:rsidRPr="00A910E2" w:rsidRDefault="00D555D6" w:rsidP="001A7E72">
            <w:pPr>
              <w:pStyle w:val="Figurelegend"/>
              <w:keepNext w:val="0"/>
              <w:keepLines w:val="0"/>
              <w:jc w:val="center"/>
            </w:pPr>
            <w:r w:rsidRPr="00A910E2">
              <w:rPr>
                <w:color w:val="0099FF"/>
              </w:rPr>
              <w:t>•</w:t>
            </w:r>
            <w:r w:rsidR="008E52A1" w:rsidRPr="00A910E2">
              <w:t>Vues/lectures en 2023</w:t>
            </w:r>
          </w:p>
        </w:tc>
        <w:tc>
          <w:tcPr>
            <w:tcW w:w="2239" w:type="dxa"/>
            <w:gridSpan w:val="2"/>
            <w:tcBorders>
              <w:bottom w:val="single" w:sz="12" w:space="0" w:color="0099FF"/>
              <w:right w:val="single" w:sz="12" w:space="0" w:color="0099FF"/>
            </w:tcBorders>
          </w:tcPr>
          <w:p w14:paraId="4D5B760C" w14:textId="313CF7A8" w:rsidR="008E52A1" w:rsidRPr="00A910E2" w:rsidRDefault="00D555D6" w:rsidP="001A7E72">
            <w:pPr>
              <w:pStyle w:val="Figurelegend"/>
              <w:keepNext w:val="0"/>
              <w:keepLines w:val="0"/>
              <w:jc w:val="center"/>
            </w:pPr>
            <w:r w:rsidRPr="00A910E2">
              <w:rPr>
                <w:color w:val="808080" w:themeColor="background1" w:themeShade="80"/>
              </w:rPr>
              <w:t>•</w:t>
            </w:r>
            <w:r w:rsidR="008E52A1" w:rsidRPr="00A910E2">
              <w:t>Vues/lectures en 2019</w:t>
            </w:r>
          </w:p>
        </w:tc>
      </w:tr>
    </w:tbl>
    <w:p w14:paraId="6768DC2C" w14:textId="77777777" w:rsidR="008E52A1" w:rsidRPr="00A910E2" w:rsidRDefault="008E52A1" w:rsidP="008E52A1">
      <w:r w:rsidRPr="00A910E2">
        <w:t xml:space="preserve">Le Bureau a participé activement à plusieurs journées internationales organisées par les Nations Unies et liées avec ses travaux. Parmi celles-ci, citons notamment la Journée mondiale de la radio, la Journée internationale des femmes et des filles de science, la Journée internationale des femmes, la Journée météorologique mondiale, la Journée internationale des vols spatiaux habités, la Journée mondiale des télécommunications et de la société de l'information, la Journée mondiale des océans, la Journée mondiale de la mer, la Journée internationale de la Lune, la Semaine mondiale de l'espace, la Journée mondiale de la télévision, la Journée mondiale de la normalisation et la journée de l'aviation civile internationale. L'équipe de communication du BR, en étroite collaboration avec les coordonnateurs, a rédigé des articles et des billets de blogs, publiés dans les Nouvelles de l'UIT et ONU Infos. </w:t>
      </w:r>
    </w:p>
    <w:p w14:paraId="3CD3811D" w14:textId="77777777" w:rsidR="008E52A1" w:rsidRPr="00A910E2" w:rsidRDefault="008E52A1" w:rsidP="008E52A1">
      <w:pPr>
        <w:pStyle w:val="Heading4"/>
        <w:rPr>
          <w:i/>
        </w:rPr>
      </w:pPr>
      <w:r w:rsidRPr="00A910E2">
        <w:rPr>
          <w:bCs/>
        </w:rPr>
        <w:t>8.6.2.1</w:t>
      </w:r>
      <w:r w:rsidRPr="00A910E2">
        <w:tab/>
        <w:t>Questions les plus fréquemment posées (FAQ), documents d'information à l'intention des médias, revue «Nouvelles de l'UIT», billets de blogs et articles</w:t>
      </w:r>
    </w:p>
    <w:p w14:paraId="190D1C6A" w14:textId="77777777" w:rsidR="008E52A1" w:rsidRPr="00A910E2" w:rsidRDefault="008E52A1" w:rsidP="008E52A1">
      <w:r w:rsidRPr="00A910E2">
        <w:t>En 2023, le Bureau, en collaboration avec le Département de la communication institutionnelle a publié régulièrement, sur le site web du BR et par le biais de la plate-forme ITU Hub et de la Salle de presse de la CMR-23, des documents d'information à l'intention des médias, des éditions spéciales de la revue «Nouvelles de l'UIT», des articles et des billets, et a régulièrement mis à jour des ressources telles que les FAQ.</w:t>
      </w:r>
    </w:p>
    <w:p w14:paraId="2707D10C" w14:textId="77777777" w:rsidR="008E52A1" w:rsidRPr="00A910E2" w:rsidRDefault="008E52A1" w:rsidP="008E52A1">
      <w:r w:rsidRPr="00A910E2">
        <w:t xml:space="preserve">Cinq numéros spéciaux de la revue «Nouvelles de l'UIT» pour la CMR-23 ont été publiées dans le cadre des travaux préparations en vue de la Conférence: </w:t>
      </w:r>
    </w:p>
    <w:p w14:paraId="71EB7839" w14:textId="77777777" w:rsidR="008E52A1" w:rsidRPr="00A910E2" w:rsidRDefault="008E52A1" w:rsidP="008E52A1">
      <w:pPr>
        <w:pStyle w:val="enumlev1"/>
      </w:pPr>
      <w:r w:rsidRPr="00A910E2">
        <w:t>•</w:t>
      </w:r>
      <w:r w:rsidRPr="00A910E2">
        <w:tab/>
      </w:r>
      <w:hyperlink r:id="rId94" w:history="1">
        <w:r w:rsidRPr="00A910E2">
          <w:rPr>
            <w:rStyle w:val="Hyperlink"/>
          </w:rPr>
          <w:t>Services scientifiques, N° 5, 2023</w:t>
        </w:r>
      </w:hyperlink>
    </w:p>
    <w:p w14:paraId="71700BC1" w14:textId="77777777" w:rsidR="008E52A1" w:rsidRPr="00A910E2" w:rsidRDefault="008E52A1" w:rsidP="008E52A1">
      <w:pPr>
        <w:pStyle w:val="enumlev1"/>
      </w:pPr>
      <w:r w:rsidRPr="00A910E2">
        <w:t>•</w:t>
      </w:r>
      <w:r w:rsidRPr="00A910E2">
        <w:tab/>
      </w:r>
      <w:hyperlink r:id="rId95" w:history="1">
        <w:r w:rsidRPr="00A910E2">
          <w:rPr>
            <w:rStyle w:val="Hyperlink"/>
          </w:rPr>
          <w:t>Services par satellite, N° 4, 2023</w:t>
        </w:r>
      </w:hyperlink>
    </w:p>
    <w:p w14:paraId="727FDE6D" w14:textId="77777777" w:rsidR="008E52A1" w:rsidRPr="00A910E2" w:rsidRDefault="008E52A1" w:rsidP="008E52A1">
      <w:pPr>
        <w:pStyle w:val="enumlev1"/>
        <w:rPr>
          <w:u w:val="single"/>
        </w:rPr>
      </w:pPr>
      <w:r w:rsidRPr="00A910E2">
        <w:t>•</w:t>
      </w:r>
      <w:r w:rsidRPr="00A910E2">
        <w:tab/>
      </w:r>
      <w:hyperlink r:id="rId96" w:history="1">
        <w:r w:rsidRPr="00A910E2">
          <w:rPr>
            <w:rStyle w:val="Hyperlink"/>
          </w:rPr>
          <w:t>Terre, mer et ondes, N° 3, 2023</w:t>
        </w:r>
      </w:hyperlink>
    </w:p>
    <w:p w14:paraId="2E84EA6B" w14:textId="77777777" w:rsidR="008E52A1" w:rsidRPr="00A910E2" w:rsidRDefault="008E52A1" w:rsidP="008E52A1">
      <w:pPr>
        <w:pStyle w:val="enumlev1"/>
      </w:pPr>
      <w:r w:rsidRPr="00A910E2">
        <w:t>•</w:t>
      </w:r>
      <w:r w:rsidRPr="00A910E2">
        <w:tab/>
      </w:r>
      <w:hyperlink r:id="rId97" w:history="1">
        <w:r w:rsidRPr="00A910E2">
          <w:rPr>
            <w:rStyle w:val="Hyperlink"/>
          </w:rPr>
          <w:t>L'avenir du temps universel coordonné, N° 2, 2023</w:t>
        </w:r>
      </w:hyperlink>
    </w:p>
    <w:p w14:paraId="3C21D739" w14:textId="77777777" w:rsidR="008E52A1" w:rsidRPr="00A910E2" w:rsidRDefault="008E52A1" w:rsidP="008E52A1">
      <w:pPr>
        <w:pStyle w:val="enumlev1"/>
      </w:pPr>
      <w:r w:rsidRPr="00A910E2">
        <w:t>•</w:t>
      </w:r>
      <w:r w:rsidRPr="00A910E2">
        <w:tab/>
      </w:r>
      <w:hyperlink r:id="rId98" w:history="1">
        <w:r w:rsidRPr="00A910E2">
          <w:rPr>
            <w:rStyle w:val="Hyperlink"/>
          </w:rPr>
          <w:t>CMR-23: le compte à rebours a commencé, N° 1, 2023</w:t>
        </w:r>
      </w:hyperlink>
    </w:p>
    <w:p w14:paraId="794A8311" w14:textId="77777777" w:rsidR="008E52A1" w:rsidRPr="00A910E2" w:rsidRDefault="008E52A1" w:rsidP="00D555D6">
      <w:pPr>
        <w:keepNext/>
        <w:keepLines/>
      </w:pPr>
      <w:r w:rsidRPr="00A910E2">
        <w:t>Les FAQ existantes ont fait l'objet d'une révision pour veiller à ce qu'elles présentent un intérêt pour la Conférence:</w:t>
      </w:r>
    </w:p>
    <w:p w14:paraId="3A930974" w14:textId="77777777" w:rsidR="008E52A1" w:rsidRPr="00A910E2" w:rsidRDefault="008E52A1" w:rsidP="00D555D6">
      <w:pPr>
        <w:pStyle w:val="enumlev1"/>
        <w:keepNext/>
        <w:keepLines/>
      </w:pPr>
      <w:r w:rsidRPr="00A910E2">
        <w:t>•</w:t>
      </w:r>
      <w:r w:rsidRPr="00A910E2">
        <w:tab/>
        <w:t xml:space="preserve">FAQ de l'UIT-R: </w:t>
      </w:r>
      <w:hyperlink r:id="rId99" w:tgtFrame="_blank" w:history="1">
        <w:r w:rsidRPr="00A910E2">
          <w:rPr>
            <w:rStyle w:val="Hyperlink"/>
          </w:rPr>
          <w:t>Échelle de temps universel (UTC) – Seconde intercalaire</w:t>
        </w:r>
      </w:hyperlink>
    </w:p>
    <w:p w14:paraId="35DE7EBC" w14:textId="77777777" w:rsidR="008E52A1" w:rsidRPr="00A910E2" w:rsidRDefault="008E52A1" w:rsidP="008E52A1">
      <w:pPr>
        <w:pStyle w:val="enumlev1"/>
      </w:pPr>
      <w:r w:rsidRPr="00A910E2">
        <w:t>•</w:t>
      </w:r>
      <w:r w:rsidRPr="00A910E2">
        <w:tab/>
        <w:t xml:space="preserve">FAQ de l'UIT-R: </w:t>
      </w:r>
      <w:hyperlink r:id="rId100" w:tgtFrame="_blank" w:history="1">
        <w:r w:rsidRPr="00A910E2">
          <w:rPr>
            <w:rStyle w:val="Hyperlink"/>
          </w:rPr>
          <w:t>Télécommunications mobiles internationales (IMT)</w:t>
        </w:r>
      </w:hyperlink>
    </w:p>
    <w:p w14:paraId="33B0B2BC" w14:textId="77777777" w:rsidR="008E52A1" w:rsidRPr="00A910E2" w:rsidRDefault="008E52A1" w:rsidP="008E52A1">
      <w:pPr>
        <w:pStyle w:val="enumlev1"/>
      </w:pPr>
      <w:r w:rsidRPr="00A910E2">
        <w:t>•</w:t>
      </w:r>
      <w:r w:rsidRPr="00A910E2">
        <w:tab/>
        <w:t xml:space="preserve">FAQ de l'UIT-R: </w:t>
      </w:r>
      <w:hyperlink r:id="rId101" w:tgtFrame="_blank" w:history="1">
        <w:r w:rsidRPr="00A910E2">
          <w:rPr>
            <w:rStyle w:val="Hyperlink"/>
          </w:rPr>
          <w:t>Dividende numérique et passage au numérique</w:t>
        </w:r>
      </w:hyperlink>
    </w:p>
    <w:p w14:paraId="1CC5B83B" w14:textId="77777777" w:rsidR="008E52A1" w:rsidRPr="00A910E2" w:rsidRDefault="008E52A1" w:rsidP="008E52A1">
      <w:pPr>
        <w:pStyle w:val="enumlev1"/>
      </w:pPr>
      <w:r w:rsidRPr="00A910E2">
        <w:t>•</w:t>
      </w:r>
      <w:r w:rsidRPr="00A910E2">
        <w:tab/>
        <w:t xml:space="preserve">FAQ de l'UIT-R: </w:t>
      </w:r>
      <w:hyperlink r:id="rId102" w:tgtFrame="_blank" w:history="1">
        <w:r w:rsidRPr="00A910E2">
          <w:rPr>
            <w:rStyle w:val="Hyperlink"/>
          </w:rPr>
          <w:t>Règlement des radiocommunications</w:t>
        </w:r>
      </w:hyperlink>
    </w:p>
    <w:p w14:paraId="6839726B" w14:textId="77777777" w:rsidR="008E52A1" w:rsidRPr="00A910E2" w:rsidRDefault="008E52A1" w:rsidP="008E52A1">
      <w:r w:rsidRPr="00A910E2">
        <w:t>Les documents d'information à l'intention des médias ont fait l'objet d'une mise à jour, le cas échéant:</w:t>
      </w:r>
    </w:p>
    <w:p w14:paraId="7EE75B8B" w14:textId="77777777" w:rsidR="008E52A1" w:rsidRPr="00A910E2" w:rsidRDefault="008E52A1" w:rsidP="008E52A1">
      <w:pPr>
        <w:pStyle w:val="enumlev1"/>
        <w:rPr>
          <w:u w:val="single"/>
        </w:rPr>
      </w:pPr>
      <w:r w:rsidRPr="00A910E2">
        <w:t>•</w:t>
      </w:r>
      <w:r w:rsidRPr="00A910E2">
        <w:tab/>
      </w:r>
      <w:hyperlink r:id="rId103" w:history="1">
        <w:r w:rsidRPr="00A910E2">
          <w:rPr>
            <w:rStyle w:val="Hyperlink"/>
          </w:rPr>
          <w:t>5G – Technologies mobiles de cinquième génération (IMT-2020 et au-delà)</w:t>
        </w:r>
      </w:hyperlink>
    </w:p>
    <w:p w14:paraId="0CAFDA30" w14:textId="77777777" w:rsidR="008E52A1" w:rsidRPr="00A910E2" w:rsidRDefault="008E52A1" w:rsidP="008E52A1">
      <w:pPr>
        <w:pStyle w:val="enumlev1"/>
        <w:rPr>
          <w:u w:val="single"/>
        </w:rPr>
      </w:pPr>
      <w:r w:rsidRPr="00A910E2">
        <w:t>•</w:t>
      </w:r>
      <w:r w:rsidRPr="00A910E2">
        <w:tab/>
      </w:r>
      <w:hyperlink r:id="rId104" w:history="1">
        <w:r w:rsidRPr="00A910E2">
          <w:rPr>
            <w:rStyle w:val="Hyperlink"/>
          </w:rPr>
          <w:t>Stations placées sur des plates-formes à haute altitude (HAPS)</w:t>
        </w:r>
      </w:hyperlink>
    </w:p>
    <w:p w14:paraId="51520C1F" w14:textId="77777777" w:rsidR="008E52A1" w:rsidRPr="00A910E2" w:rsidRDefault="008E52A1" w:rsidP="008E52A1">
      <w:pPr>
        <w:pStyle w:val="enumlev1"/>
        <w:rPr>
          <w:u w:val="single"/>
        </w:rPr>
      </w:pPr>
      <w:r w:rsidRPr="00A910E2">
        <w:t>•</w:t>
      </w:r>
      <w:r w:rsidRPr="00A910E2">
        <w:tab/>
      </w:r>
      <w:hyperlink r:id="rId105" w:history="1">
        <w:r w:rsidRPr="00A910E2">
          <w:rPr>
            <w:rStyle w:val="Hyperlink"/>
          </w:rPr>
          <w:t>Commissions d'études de l'UIT</w:t>
        </w:r>
      </w:hyperlink>
    </w:p>
    <w:p w14:paraId="53A7F34D" w14:textId="77777777" w:rsidR="008E52A1" w:rsidRPr="00A910E2" w:rsidRDefault="008E52A1" w:rsidP="008E52A1">
      <w:pPr>
        <w:pStyle w:val="enumlev1"/>
        <w:rPr>
          <w:u w:val="single"/>
        </w:rPr>
      </w:pPr>
      <w:r w:rsidRPr="00A910E2">
        <w:t>•</w:t>
      </w:r>
      <w:r w:rsidRPr="00A910E2">
        <w:tab/>
      </w:r>
      <w:hyperlink r:id="rId106" w:history="1">
        <w:r w:rsidRPr="00A910E2">
          <w:rPr>
            <w:rStyle w:val="Hyperlink"/>
          </w:rPr>
          <w:t>UIT-R: Gérer le spectre des fréquences radioélectriques dans l'intérêt de l'humanité tout entière</w:t>
        </w:r>
      </w:hyperlink>
    </w:p>
    <w:p w14:paraId="6D2DBC58" w14:textId="77777777" w:rsidR="008E52A1" w:rsidRPr="00A910E2" w:rsidRDefault="008E52A1" w:rsidP="008E52A1">
      <w:pPr>
        <w:pStyle w:val="enumlev1"/>
        <w:rPr>
          <w:u w:val="single"/>
        </w:rPr>
      </w:pPr>
      <w:r w:rsidRPr="00A910E2">
        <w:t>•</w:t>
      </w:r>
      <w:r w:rsidRPr="00A910E2">
        <w:tab/>
      </w:r>
      <w:hyperlink r:id="rId107" w:history="1">
        <w:r w:rsidRPr="00A910E2">
          <w:rPr>
            <w:rStyle w:val="Hyperlink"/>
          </w:rPr>
          <w:t>Garantir la sécurité des personnes et des navires en mer par les radiocommunications</w:t>
        </w:r>
      </w:hyperlink>
    </w:p>
    <w:p w14:paraId="0E9F60FA" w14:textId="77777777" w:rsidR="008E52A1" w:rsidRPr="00A910E2" w:rsidRDefault="008E52A1" w:rsidP="008E52A1">
      <w:pPr>
        <w:pStyle w:val="enumlev1"/>
        <w:rPr>
          <w:u w:val="single"/>
        </w:rPr>
      </w:pPr>
      <w:r w:rsidRPr="00A910E2">
        <w:t>•</w:t>
      </w:r>
      <w:r w:rsidRPr="00A910E2">
        <w:tab/>
      </w:r>
      <w:hyperlink r:id="rId108" w:history="1">
        <w:r w:rsidRPr="00A910E2">
          <w:rPr>
            <w:rStyle w:val="Hyperlink"/>
          </w:rPr>
          <w:t>Questions relatives aux satellites: stations terriennes en mouvement (ESIM)</w:t>
        </w:r>
      </w:hyperlink>
    </w:p>
    <w:p w14:paraId="1358049B" w14:textId="77777777" w:rsidR="008E52A1" w:rsidRPr="00A910E2" w:rsidRDefault="008E52A1" w:rsidP="008E52A1">
      <w:pPr>
        <w:pStyle w:val="enumlev1"/>
        <w:rPr>
          <w:u w:val="single"/>
        </w:rPr>
      </w:pPr>
      <w:r w:rsidRPr="00A910E2">
        <w:t>•</w:t>
      </w:r>
      <w:r w:rsidRPr="00A910E2">
        <w:tab/>
      </w:r>
      <w:hyperlink r:id="rId109" w:history="1">
        <w:r w:rsidRPr="00A910E2">
          <w:rPr>
            <w:rStyle w:val="Hyperlink"/>
          </w:rPr>
          <w:t>Questions relatives aux satellites: systèmes à satellites non OSG du SFS</w:t>
        </w:r>
      </w:hyperlink>
    </w:p>
    <w:p w14:paraId="32B5611C" w14:textId="77777777" w:rsidR="008E52A1" w:rsidRPr="00A910E2" w:rsidRDefault="008E52A1" w:rsidP="008E52A1">
      <w:pPr>
        <w:pStyle w:val="enumlev1"/>
      </w:pPr>
      <w:r w:rsidRPr="00A910E2">
        <w:t>•</w:t>
      </w:r>
      <w:r w:rsidRPr="00A910E2">
        <w:tab/>
      </w:r>
      <w:hyperlink r:id="rId110" w:history="1">
        <w:r w:rsidRPr="00A910E2">
          <w:rPr>
            <w:rStyle w:val="Hyperlink"/>
          </w:rPr>
          <w:t>Questions relatives aux satellites: Petits satellites: nanosatellites et picosatellites – Missions de courte durée</w:t>
        </w:r>
      </w:hyperlink>
    </w:p>
    <w:p w14:paraId="735B4EDA" w14:textId="77777777" w:rsidR="008E52A1" w:rsidRPr="00A910E2" w:rsidRDefault="008E52A1" w:rsidP="008E52A1">
      <w:pPr>
        <w:pStyle w:val="enumlev1"/>
        <w:rPr>
          <w:u w:val="single"/>
        </w:rPr>
      </w:pPr>
      <w:r w:rsidRPr="00A910E2">
        <w:t>•</w:t>
      </w:r>
      <w:r w:rsidRPr="00A910E2">
        <w:tab/>
      </w:r>
      <w:hyperlink r:id="rId111" w:history="1">
        <w:r w:rsidRPr="00A910E2">
          <w:rPr>
            <w:rStyle w:val="Hyperlink"/>
          </w:rPr>
          <w:t>Réglementation et systèmes à satellites</w:t>
        </w:r>
      </w:hyperlink>
    </w:p>
    <w:p w14:paraId="10ECFFAD" w14:textId="77777777" w:rsidR="008E52A1" w:rsidRPr="00A910E2" w:rsidRDefault="008E52A1" w:rsidP="008E52A1">
      <w:r w:rsidRPr="00A910E2">
        <w:t>En 2023, le Bureau des radiocommunications a répondu à 77 demandes de renseignements formulées par des revues techniques spécialisées et a rapidement fourni les informations demandées, favorisant ainsi des relations positives avec les médias.</w:t>
      </w:r>
    </w:p>
    <w:p w14:paraId="6F195AB3" w14:textId="77777777" w:rsidR="008E52A1" w:rsidRPr="00A910E2" w:rsidRDefault="008E52A1" w:rsidP="008E52A1">
      <w:r w:rsidRPr="00A910E2">
        <w:t>Les activités de communication sur les manifestations suivantes organisées par l'UIT ont compris, entre autres, l'utilisation de communiqués de presse, de communiqués à l'intention des membres, de billets sur le blog «Nouvelles de l'UIT», de vidéos, de la promotion événementielle et de publications sur les réseaux sociaux.</w:t>
      </w:r>
    </w:p>
    <w:p w14:paraId="3AB9707A" w14:textId="77777777" w:rsidR="008E52A1" w:rsidRPr="00A910E2" w:rsidRDefault="008E52A1" w:rsidP="008E52A1">
      <w:r w:rsidRPr="00A910E2">
        <w:t>•</w:t>
      </w:r>
      <w:r w:rsidRPr="00A910E2">
        <w:tab/>
        <w:t>Réunion de préparation à la Conférence (RPC-23-2), 27 mars – 6 avril 2023</w:t>
      </w:r>
    </w:p>
    <w:p w14:paraId="771CBE13" w14:textId="77777777" w:rsidR="008E52A1" w:rsidRPr="00A910E2" w:rsidRDefault="008E52A1" w:rsidP="008E52A1">
      <w:pPr>
        <w:pStyle w:val="enumlev1"/>
      </w:pPr>
      <w:r w:rsidRPr="00A910E2">
        <w:t>•</w:t>
      </w:r>
      <w:r w:rsidRPr="00A910E2">
        <w:tab/>
        <w:t>Exposition sur les radiocommunications de demain organisée parallèlement à la RPC23‐2</w:t>
      </w:r>
    </w:p>
    <w:p w14:paraId="24B4E33A" w14:textId="77777777" w:rsidR="008E52A1" w:rsidRPr="00A910E2" w:rsidRDefault="008E52A1" w:rsidP="008E52A1">
      <w:pPr>
        <w:pStyle w:val="enumlev1"/>
      </w:pPr>
      <w:r w:rsidRPr="00A910E2">
        <w:t>•</w:t>
      </w:r>
      <w:r w:rsidRPr="00A910E2">
        <w:tab/>
        <w:t>Atelier commun de la Commission d'études 6 de l'UIT-R et de l'UER sur le thème «La radiodiffusion en période de crise», 9 mars 2023</w:t>
      </w:r>
    </w:p>
    <w:p w14:paraId="4A7DF984" w14:textId="77777777" w:rsidR="008E52A1" w:rsidRPr="00A910E2" w:rsidRDefault="008E52A1" w:rsidP="008E52A1">
      <w:pPr>
        <w:pStyle w:val="enumlev1"/>
      </w:pPr>
      <w:r w:rsidRPr="00A910E2">
        <w:t>•</w:t>
      </w:r>
      <w:r w:rsidRPr="00A910E2">
        <w:tab/>
        <w:t>Séminaire régional des radiocommunications de l'UIT pour la région Amériques, 8</w:t>
      </w:r>
      <w:r w:rsidRPr="00A910E2">
        <w:noBreakHyphen/>
        <w:t>12 mai 2023</w:t>
      </w:r>
    </w:p>
    <w:p w14:paraId="5DDA27CD" w14:textId="77777777" w:rsidR="008E52A1" w:rsidRPr="00A910E2" w:rsidRDefault="008E52A1" w:rsidP="008E52A1">
      <w:pPr>
        <w:pStyle w:val="enumlev1"/>
      </w:pPr>
      <w:r w:rsidRPr="00A910E2">
        <w:t>•</w:t>
      </w:r>
      <w:r w:rsidRPr="00A910E2">
        <w:tab/>
        <w:t>Journée mondiale des télécommunications et de la société de l'information, 17 mai 2023</w:t>
      </w:r>
    </w:p>
    <w:p w14:paraId="1535BE10" w14:textId="77777777" w:rsidR="008E52A1" w:rsidRPr="00A910E2" w:rsidRDefault="008E52A1" w:rsidP="008E52A1">
      <w:pPr>
        <w:pStyle w:val="enumlev1"/>
      </w:pPr>
      <w:r w:rsidRPr="00A910E2">
        <w:t>•</w:t>
      </w:r>
      <w:r w:rsidRPr="00A910E2">
        <w:tab/>
        <w:t>Séminaire régional des radiocommunications de l'UIT pour la région Afrique, 20</w:t>
      </w:r>
      <w:r w:rsidRPr="00A910E2">
        <w:noBreakHyphen/>
        <w:t>23 juin 2023</w:t>
      </w:r>
    </w:p>
    <w:p w14:paraId="49C93671" w14:textId="77777777" w:rsidR="008E52A1" w:rsidRPr="00A910E2" w:rsidRDefault="008E52A1" w:rsidP="008E52A1">
      <w:pPr>
        <w:pStyle w:val="enumlev1"/>
      </w:pPr>
      <w:r w:rsidRPr="00A910E2">
        <w:t>•</w:t>
      </w:r>
      <w:r w:rsidRPr="00A910E2">
        <w:tab/>
        <w:t>Assemblée des radiocommunications de l'UIT (AR-23), 13-17 novembre 2023</w:t>
      </w:r>
    </w:p>
    <w:p w14:paraId="473A6398" w14:textId="77777777" w:rsidR="008E52A1" w:rsidRPr="00A910E2" w:rsidRDefault="008E52A1" w:rsidP="008E52A1">
      <w:pPr>
        <w:pStyle w:val="enumlev1"/>
      </w:pPr>
      <w:r w:rsidRPr="00A910E2">
        <w:t>•</w:t>
      </w:r>
      <w:r w:rsidRPr="00A910E2">
        <w:tab/>
        <w:t>Conférence mondiale des radiocommunications (CMR-23), 20 novembre – 15 décembre 2023</w:t>
      </w:r>
    </w:p>
    <w:p w14:paraId="260B9031" w14:textId="77777777" w:rsidR="008E52A1" w:rsidRPr="00A910E2" w:rsidRDefault="008E52A1" w:rsidP="008E52A1">
      <w:r w:rsidRPr="00A910E2">
        <w:t>Journées internationales liées aux activités de l'UIT-R:</w:t>
      </w:r>
    </w:p>
    <w:p w14:paraId="24A776B4" w14:textId="77777777" w:rsidR="008E52A1" w:rsidRPr="00A910E2" w:rsidRDefault="008E52A1" w:rsidP="008E52A1">
      <w:pPr>
        <w:pStyle w:val="enumlev1"/>
      </w:pPr>
      <w:r w:rsidRPr="00A910E2">
        <w:t>•</w:t>
      </w:r>
      <w:r w:rsidRPr="00A910E2">
        <w:tab/>
        <w:t>Journée mondiale de la radio, 13 février</w:t>
      </w:r>
    </w:p>
    <w:p w14:paraId="47819522" w14:textId="77777777" w:rsidR="008E52A1" w:rsidRPr="00A910E2" w:rsidRDefault="008E52A1" w:rsidP="008E52A1">
      <w:pPr>
        <w:pStyle w:val="enumlev1"/>
      </w:pPr>
      <w:r w:rsidRPr="00A910E2">
        <w:t>•</w:t>
      </w:r>
      <w:r w:rsidRPr="00A910E2">
        <w:tab/>
        <w:t>Journée météorologique mondiale, 23 mars</w:t>
      </w:r>
    </w:p>
    <w:p w14:paraId="5143069A" w14:textId="77777777" w:rsidR="008E52A1" w:rsidRPr="00A910E2" w:rsidRDefault="008E52A1" w:rsidP="008E52A1">
      <w:pPr>
        <w:pStyle w:val="enumlev1"/>
      </w:pPr>
      <w:r w:rsidRPr="00A910E2">
        <w:t>•</w:t>
      </w:r>
      <w:r w:rsidRPr="00A910E2">
        <w:tab/>
        <w:t>Journée mondiale des radio-amateurs, 18 avril</w:t>
      </w:r>
    </w:p>
    <w:p w14:paraId="13612634" w14:textId="77777777" w:rsidR="008E52A1" w:rsidRPr="00A910E2" w:rsidRDefault="008E52A1" w:rsidP="008E52A1">
      <w:pPr>
        <w:pStyle w:val="enumlev1"/>
      </w:pPr>
      <w:r w:rsidRPr="00A910E2">
        <w:t>•</w:t>
      </w:r>
      <w:r w:rsidRPr="00A910E2">
        <w:tab/>
        <w:t>Journée internationale de la Lune, 20 juillet</w:t>
      </w:r>
    </w:p>
    <w:p w14:paraId="11034DB8" w14:textId="77777777" w:rsidR="008E52A1" w:rsidRPr="00A910E2" w:rsidRDefault="008E52A1" w:rsidP="008E52A1">
      <w:pPr>
        <w:pStyle w:val="enumlev1"/>
      </w:pPr>
      <w:r w:rsidRPr="00A910E2">
        <w:t>•</w:t>
      </w:r>
      <w:r w:rsidRPr="00A910E2">
        <w:tab/>
        <w:t>Journée mondiale de la télévision, 21 novembre</w:t>
      </w:r>
    </w:p>
    <w:p w14:paraId="46C9417E" w14:textId="77777777" w:rsidR="008E52A1" w:rsidRPr="00A910E2" w:rsidRDefault="008E52A1" w:rsidP="008E52A1">
      <w:r w:rsidRPr="00A910E2">
        <w:t>Autres activités promotionnelles liées aux travaux de l'UIT-R:</w:t>
      </w:r>
    </w:p>
    <w:p w14:paraId="31E25AB6" w14:textId="77777777" w:rsidR="008E52A1" w:rsidRPr="00A910E2" w:rsidRDefault="008E52A1" w:rsidP="008E52A1">
      <w:pPr>
        <w:pStyle w:val="enumlev1"/>
      </w:pPr>
      <w:r w:rsidRPr="00A910E2">
        <w:t>•</w:t>
      </w:r>
      <w:r w:rsidRPr="00A910E2">
        <w:tab/>
        <w:t>Promotion de la nouvelle Recommandation UIT-R sur le cadre pour les IMT-2030</w:t>
      </w:r>
    </w:p>
    <w:p w14:paraId="53BECD16" w14:textId="77777777" w:rsidR="008E52A1" w:rsidRPr="00A910E2" w:rsidRDefault="008E52A1" w:rsidP="008E52A1">
      <w:pPr>
        <w:pStyle w:val="enumlev1"/>
      </w:pPr>
      <w:r w:rsidRPr="00A910E2">
        <w:t>•</w:t>
      </w:r>
      <w:r w:rsidRPr="00A910E2">
        <w:tab/>
        <w:t>Emmy Award dans le domaine de l'ingénierie, des sciences et de la technologie décerné à la Commission d'études 6 de l'UIT-R</w:t>
      </w:r>
    </w:p>
    <w:p w14:paraId="59CE9E15" w14:textId="77777777" w:rsidR="008E52A1" w:rsidRPr="00A910E2" w:rsidRDefault="008E52A1" w:rsidP="008E52A1">
      <w:pPr>
        <w:pStyle w:val="enumlev1"/>
      </w:pPr>
      <w:r w:rsidRPr="00A910E2">
        <w:t>•</w:t>
      </w:r>
      <w:r w:rsidRPr="00A910E2">
        <w:tab/>
        <w:t>Promotion du Manuel sur les satellites de petite taille</w:t>
      </w:r>
    </w:p>
    <w:p w14:paraId="66936458" w14:textId="77777777" w:rsidR="008E52A1" w:rsidRPr="00A910E2" w:rsidRDefault="008E52A1" w:rsidP="008E52A1">
      <w:pPr>
        <w:pStyle w:val="enumlev1"/>
      </w:pPr>
      <w:r w:rsidRPr="00A910E2">
        <w:t>•</w:t>
      </w:r>
      <w:r w:rsidRPr="00A910E2">
        <w:tab/>
        <w:t>Communiqué de presse concernant la publication de la Recommandation sur la mise au point des IMT-2030 pour les technologies mobiles 6G</w:t>
      </w:r>
    </w:p>
    <w:p w14:paraId="3F7D6035" w14:textId="5EFE8734" w:rsidR="008E52A1" w:rsidRPr="00A910E2" w:rsidRDefault="008E52A1" w:rsidP="008E52A1">
      <w:r w:rsidRPr="00A910E2">
        <w:t xml:space="preserve">Le Directeur du Bureau des radiocommunications a régulièrement contribué aux articles, billets de blog et podcasts de la revue «Nouvelles de l'UIT» publiés dans le </w:t>
      </w:r>
      <w:hyperlink r:id="rId112" w:history="1">
        <w:r w:rsidRPr="00A910E2">
          <w:rPr>
            <w:rStyle w:val="Hyperlink"/>
          </w:rPr>
          <w:t>coin du Directeur du BR</w:t>
        </w:r>
      </w:hyperlink>
      <w:r w:rsidRPr="00A910E2">
        <w:t>.</w:t>
      </w:r>
    </w:p>
    <w:p w14:paraId="47E09BBC" w14:textId="77777777" w:rsidR="008E52A1" w:rsidRPr="00A910E2" w:rsidRDefault="008E52A1" w:rsidP="008E52A1">
      <w:pPr>
        <w:pStyle w:val="Heading4"/>
      </w:pPr>
      <w:r w:rsidRPr="00A910E2">
        <w:t>8.6.2.2</w:t>
      </w:r>
      <w:r w:rsidRPr="00A910E2">
        <w:tab/>
        <w:t>Communications promotionnelles, ventes et marketing</w:t>
      </w:r>
    </w:p>
    <w:p w14:paraId="0EC343E8" w14:textId="77777777" w:rsidR="008E52A1" w:rsidRPr="00A910E2" w:rsidRDefault="008E52A1" w:rsidP="008E52A1">
      <w:r w:rsidRPr="00A910E2">
        <w:t>En 2023, les efforts consacrés à la promotion et à la communication se sont concentrés sur l'utilisation de la nouvelle plate-forme des «Nouvelles de l'UIT» en collaboration avec la Division des ventes et du marketing de l'UIT afin de promouvoir en ligne certaines publications et bases de données et certains logiciels de l'UIT-R respectant des identités visuelles spécialement pensées pour sensibiliser aux thèmes suivants:</w:t>
      </w:r>
    </w:p>
    <w:p w14:paraId="7410CF21" w14:textId="77777777" w:rsidR="008E52A1" w:rsidRPr="00A910E2" w:rsidRDefault="008E52A1" w:rsidP="008E52A1">
      <w:pPr>
        <w:pStyle w:val="enumlev1"/>
        <w:rPr>
          <w:rStyle w:val="Hyperlink"/>
        </w:rPr>
      </w:pPr>
      <w:r w:rsidRPr="00A910E2">
        <w:t>•</w:t>
      </w:r>
      <w:r w:rsidRPr="00A910E2">
        <w:tab/>
      </w:r>
      <w:r w:rsidRPr="00A910E2">
        <w:rPr>
          <w:rStyle w:val="Hyperlink"/>
        </w:rPr>
        <w:t>Premier et 3ème Atelier interrégional de l'UIT sur les travaux préparatoires en vue de la CMR-23</w:t>
      </w:r>
    </w:p>
    <w:p w14:paraId="43E71980" w14:textId="77777777" w:rsidR="008E52A1" w:rsidRPr="00A910E2" w:rsidRDefault="008E52A1" w:rsidP="008E52A1">
      <w:pPr>
        <w:pStyle w:val="enumlev1"/>
        <w:rPr>
          <w:rStyle w:val="Hyperlink"/>
        </w:rPr>
      </w:pPr>
      <w:r w:rsidRPr="00A910E2">
        <w:t>•</w:t>
      </w:r>
      <w:r w:rsidRPr="00A910E2">
        <w:tab/>
      </w:r>
      <w:r w:rsidRPr="00A910E2">
        <w:rPr>
          <w:rStyle w:val="Hyperlink"/>
        </w:rPr>
        <w:t>Exposition sur les radiocommunications de demain</w:t>
      </w:r>
    </w:p>
    <w:p w14:paraId="13CA2EBA" w14:textId="77777777" w:rsidR="008E52A1" w:rsidRPr="00A910E2" w:rsidRDefault="008E52A1" w:rsidP="008E52A1">
      <w:pPr>
        <w:pStyle w:val="enumlev1"/>
        <w:rPr>
          <w:rStyle w:val="Hyperlink"/>
        </w:rPr>
      </w:pPr>
      <w:r w:rsidRPr="00A910E2">
        <w:t>•</w:t>
      </w:r>
      <w:r w:rsidRPr="00A910E2">
        <w:tab/>
      </w:r>
      <w:r w:rsidRPr="00A910E2">
        <w:rPr>
          <w:rStyle w:val="Hyperlink"/>
        </w:rPr>
        <w:t>Seconde session de la Réunion de préparation à la CMR23 et première session de la Réunion de préparation à la CMR-27</w:t>
      </w:r>
    </w:p>
    <w:p w14:paraId="4E6F4646" w14:textId="77777777" w:rsidR="008E52A1" w:rsidRPr="00A910E2" w:rsidRDefault="008E52A1" w:rsidP="008E52A1">
      <w:pPr>
        <w:pStyle w:val="enumlev1"/>
        <w:rPr>
          <w:rStyle w:val="Hyperlink"/>
        </w:rPr>
      </w:pPr>
      <w:r w:rsidRPr="00A910E2">
        <w:t>•</w:t>
      </w:r>
      <w:r w:rsidRPr="00A910E2">
        <w:tab/>
      </w:r>
      <w:r w:rsidRPr="00A910E2">
        <w:rPr>
          <w:rStyle w:val="Hyperlink"/>
        </w:rPr>
        <w:t>Assemblée des radiocommunications de 2023</w:t>
      </w:r>
    </w:p>
    <w:p w14:paraId="1DE7C7D2" w14:textId="77777777" w:rsidR="008E52A1" w:rsidRPr="00A910E2" w:rsidRDefault="008E52A1" w:rsidP="008E52A1">
      <w:pPr>
        <w:pStyle w:val="enumlev1"/>
        <w:rPr>
          <w:rStyle w:val="Hyperlink"/>
        </w:rPr>
      </w:pPr>
      <w:r w:rsidRPr="00A910E2">
        <w:t>•</w:t>
      </w:r>
      <w:r w:rsidRPr="00A910E2">
        <w:tab/>
      </w:r>
      <w:r w:rsidRPr="00A910E2">
        <w:rPr>
          <w:rStyle w:val="Hyperlink"/>
        </w:rPr>
        <w:t>Conférence mondiale des radiocommunications de 2023</w:t>
      </w:r>
    </w:p>
    <w:p w14:paraId="5FE97557" w14:textId="407C855D" w:rsidR="008E52A1" w:rsidRPr="00A910E2" w:rsidRDefault="008E52A1" w:rsidP="008E52A1">
      <w:pPr>
        <w:pStyle w:val="enumlev1"/>
        <w:rPr>
          <w:rStyle w:val="Hyperlink"/>
        </w:rPr>
      </w:pPr>
      <w:r w:rsidRPr="00A910E2">
        <w:t>•</w:t>
      </w:r>
      <w:r w:rsidRPr="00A910E2">
        <w:tab/>
      </w:r>
      <w:r w:rsidRPr="00A910E2">
        <w:rPr>
          <w:rStyle w:val="Hyperlink"/>
        </w:rPr>
        <w:t>3</w:t>
      </w:r>
      <w:r w:rsidR="00A910E2">
        <w:rPr>
          <w:rStyle w:val="Hyperlink"/>
        </w:rPr>
        <w:t xml:space="preserve"> </w:t>
      </w:r>
      <w:r w:rsidRPr="00A910E2">
        <w:rPr>
          <w:rStyle w:val="Hyperlink"/>
        </w:rPr>
        <w:t>000ème publication de la circulaire BRIFIC</w:t>
      </w:r>
    </w:p>
    <w:p w14:paraId="1A477156" w14:textId="77777777" w:rsidR="008E52A1" w:rsidRPr="00A910E2" w:rsidRDefault="008E52A1" w:rsidP="008E52A1">
      <w:pPr>
        <w:pStyle w:val="enumlev1"/>
        <w:rPr>
          <w:u w:val="single"/>
        </w:rPr>
      </w:pPr>
      <w:r w:rsidRPr="00A910E2">
        <w:t>•</w:t>
      </w:r>
      <w:r w:rsidRPr="00A910E2">
        <w:tab/>
      </w:r>
      <w:r w:rsidRPr="00A910E2">
        <w:rPr>
          <w:rStyle w:val="Hyperlink"/>
        </w:rPr>
        <w:t>Emmy Award pour la norme sur la télévision à grande plage dynamique (TV-HDR)</w:t>
      </w:r>
    </w:p>
    <w:p w14:paraId="41D3A4D8" w14:textId="77777777" w:rsidR="008E52A1" w:rsidRPr="00A910E2" w:rsidRDefault="008E52A1" w:rsidP="008E52A1">
      <w:pPr>
        <w:pStyle w:val="enumlev1"/>
      </w:pPr>
      <w:r w:rsidRPr="00A910E2">
        <w:t>•</w:t>
      </w:r>
      <w:r w:rsidRPr="00A910E2">
        <w:tab/>
      </w:r>
      <w:hyperlink r:id="rId113">
        <w:r w:rsidRPr="00A910E2">
          <w:rPr>
            <w:rStyle w:val="Hyperlink"/>
          </w:rPr>
          <w:t>Outils de navigation dans le Règlement des radiocommunications</w:t>
        </w:r>
      </w:hyperlink>
    </w:p>
    <w:p w14:paraId="6F67B993" w14:textId="77777777" w:rsidR="008E52A1" w:rsidRPr="00A910E2" w:rsidRDefault="008E52A1" w:rsidP="008E52A1">
      <w:pPr>
        <w:pStyle w:val="Heading4"/>
      </w:pPr>
      <w:r w:rsidRPr="00A910E2">
        <w:t>8.6.2.3</w:t>
      </w:r>
      <w:r w:rsidRPr="00A910E2">
        <w:tab/>
        <w:t>Expositions et démonstrations</w:t>
      </w:r>
    </w:p>
    <w:p w14:paraId="794724B3" w14:textId="77777777" w:rsidR="008E52A1" w:rsidRPr="00A910E2" w:rsidRDefault="008E52A1" w:rsidP="008E52A1">
      <w:r w:rsidRPr="00A910E2">
        <w:t>Une exposition consacrée aux radiocommunications de demain a été organisée à l'Espace Polyvalent du CICG aux mêmes dates et sur même le site que la RPC (Genève). Cette manifestation était ouverte aux membres de l'UIT et aux non-membres moyennant un droit d'accès.</w:t>
      </w:r>
    </w:p>
    <w:p w14:paraId="3957E13C" w14:textId="5ECE88D5" w:rsidR="008E52A1" w:rsidRPr="00A910E2" w:rsidRDefault="008E52A1" w:rsidP="008E52A1">
      <w:r w:rsidRPr="00A910E2">
        <w:t>Une exposition a été organisée en marge de la CMR-23 (Dubaï) par le pays hôte (Émirats</w:t>
      </w:r>
      <w:r w:rsidR="00D555D6" w:rsidRPr="00A910E2">
        <w:t> </w:t>
      </w:r>
      <w:r w:rsidRPr="00A910E2">
        <w:t>arabes</w:t>
      </w:r>
      <w:r w:rsidR="00D555D6" w:rsidRPr="00A910E2">
        <w:t> </w:t>
      </w:r>
      <w:r w:rsidRPr="00A910E2">
        <w:t>unis), à des dates et dans un lieu proches de ceux de la Conférence.</w:t>
      </w:r>
    </w:p>
    <w:p w14:paraId="7B689E86" w14:textId="77777777" w:rsidR="008E52A1" w:rsidRPr="00A910E2" w:rsidRDefault="008E52A1" w:rsidP="008E52A1">
      <w:pPr>
        <w:pStyle w:val="Heading2"/>
      </w:pPr>
      <w:r w:rsidRPr="00A910E2">
        <w:rPr>
          <w:bCs/>
        </w:rPr>
        <w:t>8.7</w:t>
      </w:r>
      <w:r w:rsidRPr="00A910E2">
        <w:tab/>
        <w:t>Équité de genre</w:t>
      </w:r>
    </w:p>
    <w:p w14:paraId="779671D0" w14:textId="77777777" w:rsidR="008E52A1" w:rsidRPr="00A910E2" w:rsidRDefault="008E52A1" w:rsidP="008E52A1">
      <w:r w:rsidRPr="00A910E2">
        <w:t>La promotion de l'égalité hommes-femmes dans toutes les sphères de la société numérique actuelle n'a jamais été aussi cruciale alors que débute la Décennie d'action pour mettre en œuvre le Programme de développement durable à l'horizon 2030. Les technologies numériques jouent un rôle essentiel dans la réalisation des 17 Objectifs de développement durable. L'augmentation de la part de femmes qui ont accès aux technologies numériques et qui les utilisent en vue d'améliorer leur quotidien et, par extension, celui de leur famille et de la société dans son ensemble, représente un défi sur le plan du développement qui nous concerne tous.</w:t>
      </w:r>
    </w:p>
    <w:p w14:paraId="61993192" w14:textId="77777777" w:rsidR="008E52A1" w:rsidRPr="00A910E2" w:rsidRDefault="008E52A1" w:rsidP="008E52A1">
      <w:r w:rsidRPr="00A910E2">
        <w:t>Nous avons assisté à une augmentation importante du nombre de femmes assistant à nos conférences mondiales des radiocommunications. Près de 4 000 délégués de 163 États Membres ont participé à la CMR-23, dont 88 participants à un niveau ministériel. Les femmes représentaient 22% de l'ensemble des délégués présents à la CMR-23, un chiffre en hausse par rapport aux 18% à la CMR-19 en 2019. Il convient de garder à l'esprit que cette augmentation de la représentation des femmes à la CMR-23 s'inscrit dans le contexte de la plus grande CMR jamais organisée, qui a rassemblé un nombre de délégués supérieur de 16% à celui de la CMR-19, qui avait établi le précédent record de participation. Un nombre record de 860 déléguées ont participé à la CMR-23, soit une hausse de 83% par rapport aux 467 déléguées ayant participé à la CMR-19. De toute évidence, ces progrès découlent des initiatives et du travail acharné entrepris par le Réseau de femmes pour la CMR-23 (NOW4WRC23).</w:t>
      </w:r>
    </w:p>
    <w:p w14:paraId="4D0F955D" w14:textId="77777777" w:rsidR="008E52A1" w:rsidRPr="00A910E2" w:rsidRDefault="008E52A1" w:rsidP="008E52A1">
      <w:pPr>
        <w:pStyle w:val="Heading3"/>
      </w:pPr>
      <w:r w:rsidRPr="00A910E2">
        <w:rPr>
          <w:bCs/>
        </w:rPr>
        <w:t>8.7.1</w:t>
      </w:r>
      <w:r w:rsidRPr="00A910E2">
        <w:tab/>
        <w:t xml:space="preserve">Résolution de l'AR-23 sur l'égalité hommes-femmes </w:t>
      </w:r>
    </w:p>
    <w:p w14:paraId="69E1FD21" w14:textId="77777777" w:rsidR="008E52A1" w:rsidRPr="00A910E2" w:rsidRDefault="008E52A1" w:rsidP="008E52A1">
      <w:r w:rsidRPr="00A910E2">
        <w:t>L'Assemblée des radiocommunications de l'UIT (</w:t>
      </w:r>
      <w:hyperlink r:id="rId114" w:history="1">
        <w:hyperlink r:id="rId115" w:history="1">
          <w:r w:rsidRPr="00A910E2">
            <w:rPr>
              <w:rStyle w:val="Hyperlink"/>
              <w:i/>
              <w:iCs/>
            </w:rPr>
            <w:t>AR-23</w:t>
          </w:r>
        </w:hyperlink>
      </w:hyperlink>
      <w:r w:rsidRPr="00A910E2">
        <w:t xml:space="preserve">), qui s'est tenue le 15 novembre 2023, a adopté une nouvelle </w:t>
      </w:r>
      <w:hyperlink r:id="rId116" w:history="1">
        <w:r w:rsidRPr="00A910E2">
          <w:rPr>
            <w:rStyle w:val="Hyperlink"/>
            <w:i/>
            <w:iCs/>
          </w:rPr>
          <w:t>Résolution sur l'égalité hommes-femmes</w:t>
        </w:r>
      </w:hyperlink>
      <w:r w:rsidRPr="00A910E2">
        <w:t>, qui vise à renforcer, accélérer et intensifier la participation active des femmes aux travaux du Secteur des radiocommunications de l'UIT (ITU-R).</w:t>
      </w:r>
    </w:p>
    <w:p w14:paraId="1DB8CDDB" w14:textId="77777777" w:rsidR="008E52A1" w:rsidRPr="00A910E2" w:rsidRDefault="008E52A1" w:rsidP="008E52A1">
      <w:r w:rsidRPr="00A910E2">
        <w:t>L'adoption de la résolution sur l'égalité hommes-femmes était préconisée dans la «Déclaration relative à la promotion de l'égalité, de l'équité et de la parité hommes-femmes dans le Secteur des radiocommunications de l'UIT».</w:t>
      </w:r>
    </w:p>
    <w:p w14:paraId="55BE0F7E" w14:textId="77777777" w:rsidR="008E52A1" w:rsidRPr="00A910E2" w:rsidRDefault="008E52A1" w:rsidP="008E52A1">
      <w:r w:rsidRPr="00A910E2">
        <w:t>Cette adoption est également le fruit du travail accompli par les Réseaux de femmes de l'UIT – en particulier NOW4WRC19 et NOW4WRC23 – dont l'objectif était d'amorcer le renforcement des capacités dès le début du processus préparatoire de la Conférence mondiale des radiocommunications (CMR), afin d'encourager une plus grande participation des femmes en tant que déléguées, présidentes et vice-présidentes aux conférences de 2019 et 2023.</w:t>
      </w:r>
    </w:p>
    <w:p w14:paraId="776532CE" w14:textId="77777777" w:rsidR="008E52A1" w:rsidRPr="00A910E2" w:rsidRDefault="008E52A1" w:rsidP="008E52A1">
      <w:r w:rsidRPr="00A910E2">
        <w:t>Aux termes de cette nouvelle Résolution de l'AR-23, qui reconnaît que les rôles de direction sont essentiels pour amorcer le changement, les politiques, les programmes de travail, la diffusion d'informations, les commissions d'études, les séminaires, les cours, les assemblées et les conférences sur les radiocommunications devraient tenir compte de l'engagement du Secteur en faveur de l'égalité hommes-femmes.</w:t>
      </w:r>
    </w:p>
    <w:p w14:paraId="005B0778" w14:textId="77777777" w:rsidR="008E52A1" w:rsidRPr="00A910E2" w:rsidRDefault="008E52A1" w:rsidP="008E52A1">
      <w:r w:rsidRPr="00A910E2">
        <w:t>Cette adhésion accrue au principe d'égalité entre les hommes et les femmes montre que le Secteur des radiocommunications est conscient de l'importance qu'il y a à recueillir des points de vue divers et des avantages considérables qu'il tirera de la participation égale des femmes et des hommes.</w:t>
      </w:r>
    </w:p>
    <w:p w14:paraId="3F3A392C" w14:textId="77777777" w:rsidR="008E52A1" w:rsidRPr="00A910E2" w:rsidRDefault="008E52A1" w:rsidP="008E52A1">
      <w:r w:rsidRPr="00A910E2">
        <w:t>L'adoption de la Résolution sur l'égalité hommes-femmes envoie un message fort concernant notre détermination sans faille à respecter le principe d'inclusivité. Je suis convaincu que c'est uniquement par l'inclusion et la participation actives des femmes du monde entier que les travaux du Secteur des radiocommunications (UIT-R) pourront progresser de la manière la plus efficace.</w:t>
      </w:r>
    </w:p>
    <w:p w14:paraId="37B017C4" w14:textId="00695CDD" w:rsidR="008E52A1" w:rsidRPr="00A910E2" w:rsidRDefault="008E52A1" w:rsidP="008E52A1">
      <w:r w:rsidRPr="00A910E2">
        <w:rPr>
          <w:bCs/>
        </w:rPr>
        <w:t>Outre les mesures qu'il a été demandé à l'UIT-R et à ses membres de prendre, la Résolution</w:t>
      </w:r>
      <w:r w:rsidR="00D555D6" w:rsidRPr="00A910E2">
        <w:rPr>
          <w:bCs/>
        </w:rPr>
        <w:t> </w:t>
      </w:r>
      <w:r w:rsidRPr="00A910E2">
        <w:rPr>
          <w:bCs/>
        </w:rPr>
        <w:t>UIT</w:t>
      </w:r>
      <w:r w:rsidRPr="00A910E2">
        <w:rPr>
          <w:bCs/>
        </w:rPr>
        <w:noBreakHyphen/>
        <w:t>R</w:t>
      </w:r>
      <w:bookmarkStart w:id="66" w:name="lt_pId1600"/>
      <w:r w:rsidRPr="00A910E2">
        <w:rPr>
          <w:bCs/>
        </w:rPr>
        <w:t> </w:t>
      </w:r>
      <w:hyperlink r:id="rId117" w:history="1">
        <w:r w:rsidRPr="00A910E2">
          <w:rPr>
            <w:rStyle w:val="Hyperlink"/>
            <w:bCs/>
          </w:rPr>
          <w:t>72</w:t>
        </w:r>
      </w:hyperlink>
      <w:r w:rsidRPr="00A910E2">
        <w:rPr>
          <w:bCs/>
        </w:rPr>
        <w:t xml:space="preserve"> a chargé le Directeur du Bureau des radiocommunications de mener des actions spécifiques en vue d'assurer sa mise en œuvre efficace.</w:t>
      </w:r>
      <w:bookmarkEnd w:id="66"/>
      <w:r w:rsidRPr="00A910E2">
        <w:rPr>
          <w:bCs/>
        </w:rPr>
        <w:t xml:space="preserve"> Le GCR voudra peut-être examiner le rôle qu'il peut jouer en apportant un appui au Directeur du BR dans le suivi de la mise en œuvre de cette Résolution, afin de veiller à ce que l'UIT-R continue de progresser sur la voie de l'égalité hommes</w:t>
      </w:r>
      <w:r w:rsidRPr="00A910E2">
        <w:rPr>
          <w:bCs/>
        </w:rPr>
        <w:noBreakHyphen/>
        <w:t>femmes.</w:t>
      </w:r>
    </w:p>
    <w:p w14:paraId="798C86B4" w14:textId="77777777" w:rsidR="008E52A1" w:rsidRPr="00A910E2" w:rsidRDefault="008E52A1" w:rsidP="00D555D6">
      <w:pPr>
        <w:pStyle w:val="Heading3"/>
      </w:pPr>
      <w:r w:rsidRPr="00A910E2">
        <w:t>8.7.2</w:t>
      </w:r>
      <w:r w:rsidRPr="00A910E2">
        <w:tab/>
        <w:t>Réseau de femmes pour la CMR-23 (NOW4WRC23)</w:t>
      </w:r>
    </w:p>
    <w:p w14:paraId="1F1892B1" w14:textId="77777777" w:rsidR="008E52A1" w:rsidRPr="00A910E2" w:rsidRDefault="008E52A1" w:rsidP="00D555D6">
      <w:pPr>
        <w:keepNext/>
        <w:keepLines/>
      </w:pPr>
      <w:r w:rsidRPr="00A910E2">
        <w:t>Le Réseau NOW4WRC23 a animé à l'échelle mondiale un programme de mentorat associant mentors et mentorées participant à des activités de l'UIT-R ayant des intérêts communs. Au niveau régional, les Coprésidentes au niveau régional du Réseau NOW4WRC23 ont mené des initiatives en organisant des programmes de mentorat et des ateliers parallèlement aux réunions de leurs organisations régionales de télécommunication respectives.</w:t>
      </w:r>
    </w:p>
    <w:p w14:paraId="0CC047FA" w14:textId="77777777" w:rsidR="008E52A1" w:rsidRPr="00A910E2" w:rsidRDefault="008E52A1" w:rsidP="008E52A1">
      <w:pPr>
        <w:pStyle w:val="Heading4"/>
      </w:pPr>
      <w:r w:rsidRPr="00A910E2">
        <w:rPr>
          <w:bCs/>
        </w:rPr>
        <w:t>8.7.2.1</w:t>
      </w:r>
      <w:r w:rsidRPr="00A910E2">
        <w:tab/>
        <w:t>Manifestations du Réseau NOW4WRC23</w:t>
      </w:r>
    </w:p>
    <w:p w14:paraId="4795F3B9" w14:textId="77777777" w:rsidR="008E52A1" w:rsidRPr="00A910E2" w:rsidRDefault="008E52A1" w:rsidP="008E52A1">
      <w:r w:rsidRPr="00A910E2">
        <w:t>Les manifestations du Réseau NOW4WRC23 ont été organisées lors des diverses réunions préparatoires régionales, lors des Ateliers interrégionaux de l'UIT sur la préparation en vue de la CMR-23 et pendant la CMR-23. Une séance a été organisée à l'intention des déléguées à la CMR</w:t>
      </w:r>
      <w:r w:rsidRPr="00A910E2">
        <w:noBreakHyphen/>
        <w:t>23 afin d'évaluer les réalisations, de recenser les enseignements tirés et de recueillir des idées pour l'initiative NOW4WRC27 à venir. En tant que pays hôte, les Émirats arabes unis ont proposé un dîner de rencontres entre professionnels du Réseau NOW4WRC23 pendant la conférence.</w:t>
      </w:r>
    </w:p>
    <w:p w14:paraId="5EB3D8FF" w14:textId="77777777" w:rsidR="008E52A1" w:rsidRPr="00A910E2" w:rsidRDefault="008E52A1" w:rsidP="008E52A1">
      <w:r w:rsidRPr="00A910E2">
        <w:t>En outre, des séances de mise en relation professionnelle du Réseau NOW4WRC23 ont été organisées lors de la seconde session de la Réunion de préparation à la CMR-23 et du 2ème Atelier interrégional de l'UIT sur les travaux préparatoires en vue de la CMR-23 et ont suscité des retours positifs. Des activités régionales ont été présentées à l'occasion de ces séances.</w:t>
      </w:r>
    </w:p>
    <w:p w14:paraId="349891D8" w14:textId="77777777" w:rsidR="008E52A1" w:rsidRPr="00A910E2" w:rsidRDefault="008E52A1" w:rsidP="008E52A1">
      <w:r w:rsidRPr="00A910E2">
        <w:t>La CEPT a organisé une journée portes ouvertes pendant la RPC23-2 et la CMR-23.</w:t>
      </w:r>
    </w:p>
    <w:p w14:paraId="5C1FD1D3" w14:textId="77777777" w:rsidR="008E52A1" w:rsidRPr="00A910E2" w:rsidRDefault="008E52A1" w:rsidP="008E52A1">
      <w:r w:rsidRPr="00A910E2">
        <w:t>L'initiative menée par la CEPT lors de la CMR-23 a donné aux femmes qui participent depuis peu à la Conférence la possibilité d'avoir un aperçu des rôles de présidente et de secrétaire, de participer activement en salle lors des séances des groupes de travail (GT4B, dirigé par Sandra Wright), suscitant ainsi une réponse positive dans la préparation du terrain pour les futures dirigeantes intervenant dans les activités, les réunions et les conférences de l'UIT-R.</w:t>
      </w:r>
    </w:p>
    <w:p w14:paraId="4BC17AFF" w14:textId="77777777" w:rsidR="008E52A1" w:rsidRPr="00A910E2" w:rsidRDefault="008E52A1" w:rsidP="008E52A1">
      <w:pPr>
        <w:pStyle w:val="Heading4"/>
      </w:pPr>
      <w:r w:rsidRPr="00A910E2">
        <w:t>8.7.2.2</w:t>
      </w:r>
      <w:r w:rsidRPr="00A910E2">
        <w:tab/>
        <w:t>Programme de mentorat de l'initiative NOW4WRC23</w:t>
      </w:r>
    </w:p>
    <w:p w14:paraId="58985F54" w14:textId="77777777" w:rsidR="008E52A1" w:rsidRPr="00A910E2" w:rsidRDefault="008E52A1" w:rsidP="008E52A1">
      <w:r w:rsidRPr="00A910E2">
        <w:t>Le programme de mentorat est essentiel pour aider les bénéficiaires, en particulier les personnes prenant part pour la première fois à la CMR, à comprendre les processus, les points de l'ordre du jour et les défis des CMR. La pénurie de mentors a posé un problème considérable, puisque seulement 54 personnes sur les 93 ayant soumis une demande de mentorat ont été mises en relation avec un mentor, ce qui a entraîné des résultats variables en fonction des paires. Le BR demande aux organisations régionales de désigner les Coprésidentes du Réseau NOW4WRC27 et prévoit de relancer le programme de mentorat pendant le séminaire WRS-24 (2-6 décembre 2024).</w:t>
      </w:r>
    </w:p>
    <w:p w14:paraId="29A69142" w14:textId="77777777" w:rsidR="008E52A1" w:rsidRPr="00A910E2" w:rsidRDefault="008E52A1" w:rsidP="008E52A1">
      <w:pPr>
        <w:jc w:val="center"/>
      </w:pPr>
      <w:r w:rsidRPr="00A910E2">
        <w:t>______________</w:t>
      </w:r>
    </w:p>
    <w:sectPr w:rsidR="008E52A1" w:rsidRPr="00A910E2">
      <w:headerReference w:type="even" r:id="rId118"/>
      <w:headerReference w:type="default" r:id="rId119"/>
      <w:footerReference w:type="even" r:id="rId120"/>
      <w:footerReference w:type="default" r:id="rId121"/>
      <w:footerReference w:type="first" r:id="rId12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8521C" w14:textId="77777777" w:rsidR="00561820" w:rsidRDefault="00561820">
      <w:r>
        <w:separator/>
      </w:r>
    </w:p>
  </w:endnote>
  <w:endnote w:type="continuationSeparator" w:id="0">
    <w:p w14:paraId="3E96C061" w14:textId="77777777" w:rsidR="00561820" w:rsidRDefault="0056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0C54" w14:textId="305FF171" w:rsidR="005B59FC" w:rsidRPr="008E52A1" w:rsidRDefault="00844973" w:rsidP="0053167A">
    <w:pPr>
      <w:pStyle w:val="Footer"/>
      <w:rPr>
        <w:lang w:val="en-GB"/>
      </w:rPr>
    </w:pPr>
    <w:r>
      <w:fldChar w:fldCharType="begin"/>
    </w:r>
    <w:r w:rsidRPr="008E52A1">
      <w:rPr>
        <w:lang w:val="en-GB"/>
      </w:rPr>
      <w:instrText xml:space="preserve"> FILENAME \p  \* MERGEFORMAT </w:instrText>
    </w:r>
    <w:r>
      <w:fldChar w:fldCharType="separate"/>
    </w:r>
    <w:r w:rsidR="0017031D">
      <w:rPr>
        <w:lang w:val="en-GB"/>
      </w:rPr>
      <w:t>P:\FRA\ITU-R\AG\RAG\RAG24\000\001REV1F.docx</w:t>
    </w:r>
    <w:r>
      <w:fldChar w:fldCharType="end"/>
    </w:r>
    <w:r w:rsidR="005B59FC" w:rsidRPr="008E52A1">
      <w:rPr>
        <w:lang w:val="en-GB"/>
      </w:rPr>
      <w:t xml:space="preserve"> (534454)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526D" w14:textId="7C79A575" w:rsidR="005B59FC" w:rsidRPr="00525D7C" w:rsidRDefault="005B59FC" w:rsidP="00525D7C">
    <w:pPr>
      <w:pStyle w:val="Footer"/>
      <w:rPr>
        <w:lang w:val="en-US"/>
      </w:rPr>
    </w:pPr>
    <w:r>
      <w:fldChar w:fldCharType="begin"/>
    </w:r>
    <w:r w:rsidRPr="00525D7C">
      <w:rPr>
        <w:lang w:val="en-US"/>
      </w:rPr>
      <w:instrText xml:space="preserve"> FILENAME \p  \* MERGEFORMAT </w:instrText>
    </w:r>
    <w:r>
      <w:fldChar w:fldCharType="separate"/>
    </w:r>
    <w:r w:rsidR="0017031D">
      <w:rPr>
        <w:lang w:val="en-US"/>
      </w:rPr>
      <w:t>P:\FRA\ITU-R\AG\RAG\RAG24\000\001REV1F.docx</w:t>
    </w:r>
    <w:r>
      <w:fldChar w:fldCharType="end"/>
    </w:r>
    <w:r w:rsidRPr="00525D7C">
      <w:rPr>
        <w:lang w:val="en-US"/>
      </w:rPr>
      <w:t xml:space="preserve"> (</w:t>
    </w:r>
    <w:r>
      <w:rPr>
        <w:lang w:val="en-US"/>
      </w:rPr>
      <w:t>53445</w:t>
    </w:r>
    <w:r w:rsidR="00D8354E">
      <w:rPr>
        <w:lang w:val="en-US"/>
      </w:rPr>
      <w:t>4</w:t>
    </w:r>
    <w:r w:rsidRPr="00525D7C">
      <w:rPr>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9EAA" w14:textId="23D11A59" w:rsidR="005B59FC" w:rsidRPr="008E52A1" w:rsidRDefault="00D8354E">
    <w:pPr>
      <w:pStyle w:val="Footer"/>
      <w:rPr>
        <w:lang w:val="en-GB"/>
      </w:rPr>
    </w:pPr>
    <w:r>
      <w:fldChar w:fldCharType="begin"/>
    </w:r>
    <w:r w:rsidRPr="008E52A1">
      <w:rPr>
        <w:lang w:val="en-GB"/>
      </w:rPr>
      <w:instrText xml:space="preserve"> FILENAME \p  \* MERGEFORMAT </w:instrText>
    </w:r>
    <w:r>
      <w:fldChar w:fldCharType="separate"/>
    </w:r>
    <w:r w:rsidR="0017031D">
      <w:rPr>
        <w:lang w:val="en-GB"/>
      </w:rPr>
      <w:t>P:\FRA\ITU-R\AG\RAG\RAG24\000\001REV1F.docx</w:t>
    </w:r>
    <w:r>
      <w:fldChar w:fldCharType="end"/>
    </w:r>
    <w:r w:rsidRPr="008E52A1">
      <w:rPr>
        <w:lang w:val="en-GB"/>
      </w:rPr>
      <w:t xml:space="preserve"> (534454)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5B59FC" w14:paraId="2EA38947" w14:textId="77777777">
      <w:trPr>
        <w:trHeight w:val="300"/>
      </w:trPr>
      <w:tc>
        <w:tcPr>
          <w:tcW w:w="4855" w:type="dxa"/>
        </w:tcPr>
        <w:p w14:paraId="39C6DE0B" w14:textId="77777777" w:rsidR="005B59FC" w:rsidRDefault="005B59FC">
          <w:pPr>
            <w:ind w:left="-115"/>
          </w:pPr>
        </w:p>
      </w:tc>
      <w:tc>
        <w:tcPr>
          <w:tcW w:w="4855" w:type="dxa"/>
        </w:tcPr>
        <w:p w14:paraId="1D411055" w14:textId="77777777" w:rsidR="005B59FC" w:rsidRDefault="005B59FC">
          <w:pPr>
            <w:jc w:val="center"/>
          </w:pPr>
        </w:p>
      </w:tc>
      <w:tc>
        <w:tcPr>
          <w:tcW w:w="4855" w:type="dxa"/>
        </w:tcPr>
        <w:p w14:paraId="641C5987" w14:textId="77777777" w:rsidR="005B59FC" w:rsidRDefault="005B59FC">
          <w:pPr>
            <w:ind w:right="-115"/>
            <w:jc w:val="right"/>
          </w:pPr>
        </w:p>
      </w:tc>
    </w:tr>
  </w:tbl>
  <w:p w14:paraId="52D63E96" w14:textId="77777777" w:rsidR="005B59FC" w:rsidRDefault="005B59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20D3" w14:textId="5F74429B" w:rsidR="00847AAC" w:rsidRDefault="00A9055C">
    <w:pPr>
      <w:pStyle w:val="Footer"/>
      <w:rPr>
        <w:lang w:val="en-US"/>
      </w:rPr>
    </w:pPr>
    <w:r>
      <w:fldChar w:fldCharType="begin"/>
    </w:r>
    <w:r w:rsidRPr="00A9055C">
      <w:rPr>
        <w:lang w:val="en-US"/>
      </w:rPr>
      <w:instrText xml:space="preserve"> FILENAME \p \* MERGEFORMAT </w:instrText>
    </w:r>
    <w:r>
      <w:fldChar w:fldCharType="separate"/>
    </w:r>
    <w:r w:rsidR="0017031D">
      <w:rPr>
        <w:lang w:val="en-US"/>
      </w:rPr>
      <w:t>P:\FRA\ITU-R\AG\RAG\RAG24\000\001REV1F.docx</w:t>
    </w:r>
    <w:r>
      <w:rPr>
        <w:lang w:val="en-US"/>
      </w:rPr>
      <w:fldChar w:fldCharType="end"/>
    </w:r>
    <w:r w:rsidR="00847AAC">
      <w:rPr>
        <w:lang w:val="en-US"/>
      </w:rPr>
      <w:tab/>
    </w:r>
    <w:r w:rsidR="00847AAC">
      <w:fldChar w:fldCharType="begin"/>
    </w:r>
    <w:r w:rsidR="00847AAC">
      <w:instrText xml:space="preserve"> savedate \@ dd.MM.yy </w:instrText>
    </w:r>
    <w:r w:rsidR="00847AAC">
      <w:fldChar w:fldCharType="separate"/>
    </w:r>
    <w:r w:rsidR="0017031D">
      <w:t>06.03.24</w:t>
    </w:r>
    <w:r w:rsidR="00847AAC">
      <w:fldChar w:fldCharType="end"/>
    </w:r>
    <w:r w:rsidR="00847AAC">
      <w:rPr>
        <w:lang w:val="en-US"/>
      </w:rPr>
      <w:tab/>
    </w:r>
    <w:r w:rsidR="00847AAC">
      <w:fldChar w:fldCharType="begin"/>
    </w:r>
    <w:r w:rsidR="00847AAC">
      <w:instrText xml:space="preserve"> printdate \@ dd.MM.yy </w:instrText>
    </w:r>
    <w:r w:rsidR="00847AAC">
      <w:fldChar w:fldCharType="separate"/>
    </w:r>
    <w:r w:rsidR="0017031D">
      <w:t>11.10.99</w:t>
    </w:r>
    <w:r w:rsidR="00847AA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3BAF" w14:textId="57F6902A" w:rsidR="00847AAC" w:rsidRDefault="00A9055C">
    <w:pPr>
      <w:pStyle w:val="Footer"/>
      <w:rPr>
        <w:lang w:val="en-US"/>
      </w:rPr>
    </w:pPr>
    <w:r>
      <w:fldChar w:fldCharType="begin"/>
    </w:r>
    <w:r w:rsidRPr="00A9055C">
      <w:rPr>
        <w:lang w:val="en-US"/>
      </w:rPr>
      <w:instrText xml:space="preserve"> FILENAME \p \* MERGEFORMAT </w:instrText>
    </w:r>
    <w:r>
      <w:fldChar w:fldCharType="separate"/>
    </w:r>
    <w:r w:rsidR="0017031D">
      <w:rPr>
        <w:lang w:val="en-US"/>
      </w:rPr>
      <w:t>P:\FRA\ITU-R\AG\RAG\RAG24\000\001REV1F.docx</w:t>
    </w:r>
    <w:r>
      <w:rPr>
        <w:lang w:val="en-US"/>
      </w:rPr>
      <w:fldChar w:fldCharType="end"/>
    </w:r>
    <w:r w:rsidR="002F6C36">
      <w:rPr>
        <w:lang w:val="en-US"/>
      </w:rPr>
      <w:t xml:space="preserve"> (5</w:t>
    </w:r>
    <w:r w:rsidR="00766D15">
      <w:rPr>
        <w:lang w:val="en-US"/>
      </w:rPr>
      <w:t>34454</w:t>
    </w:r>
    <w:r w:rsidR="002F6C36">
      <w:rPr>
        <w:lang w:val="en-U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4A6D" w14:textId="52DFC0F1" w:rsidR="00847AAC" w:rsidRDefault="00A9055C" w:rsidP="007711EA">
    <w:pPr>
      <w:pStyle w:val="Footer"/>
      <w:rPr>
        <w:lang w:val="en-US"/>
      </w:rPr>
    </w:pPr>
    <w:r>
      <w:fldChar w:fldCharType="begin"/>
    </w:r>
    <w:r w:rsidRPr="00A9055C">
      <w:rPr>
        <w:lang w:val="en-US"/>
      </w:rPr>
      <w:instrText xml:space="preserve"> FILENAME \p \* MERGEFORMAT </w:instrText>
    </w:r>
    <w:r>
      <w:fldChar w:fldCharType="separate"/>
    </w:r>
    <w:r w:rsidR="0017031D">
      <w:rPr>
        <w:lang w:val="en-US"/>
      </w:rPr>
      <w:t>P:\FRA\ITU-R\AG\RAG\RAG24\000\001REV1F.docx</w:t>
    </w:r>
    <w:r>
      <w:rPr>
        <w:lang w:val="en-US"/>
      </w:rPr>
      <w:fldChar w:fldCharType="end"/>
    </w:r>
    <w:r w:rsidR="002F6C36">
      <w:rPr>
        <w:lang w:val="en-US"/>
      </w:rPr>
      <w:t xml:space="preserve"> (5</w:t>
    </w:r>
    <w:r w:rsidR="00766D15">
      <w:rPr>
        <w:lang w:val="en-US"/>
      </w:rPr>
      <w:t>34454</w:t>
    </w:r>
    <w:r w:rsidR="002F6C36">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D971F" w14:textId="77777777" w:rsidR="00561820" w:rsidRDefault="00561820">
      <w:r>
        <w:t>____________________</w:t>
      </w:r>
    </w:p>
  </w:footnote>
  <w:footnote w:type="continuationSeparator" w:id="0">
    <w:p w14:paraId="4EACA52E" w14:textId="77777777" w:rsidR="00561820" w:rsidRDefault="00561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622358"/>
      <w:docPartObj>
        <w:docPartGallery w:val="Page Numbers (Top of Page)"/>
        <w:docPartUnique/>
      </w:docPartObj>
    </w:sdtPr>
    <w:sdtEndPr>
      <w:rPr>
        <w:noProof/>
      </w:rPr>
    </w:sdtEndPr>
    <w:sdtContent>
      <w:p w14:paraId="1A9D71F2" w14:textId="77777777" w:rsidR="005B59FC" w:rsidRDefault="005B59FC" w:rsidP="005B39FA">
        <w:pPr>
          <w:pStyle w:val="Header"/>
          <w:rPr>
            <w:lang w:val="es-ES"/>
          </w:rPr>
        </w:pPr>
        <w:r>
          <w:fldChar w:fldCharType="begin"/>
        </w:r>
        <w:r>
          <w:instrText xml:space="preserve"> PAGE </w:instrText>
        </w:r>
        <w:r>
          <w:fldChar w:fldCharType="separate"/>
        </w:r>
        <w:r>
          <w:t>19</w:t>
        </w:r>
        <w:r>
          <w:rPr>
            <w:noProof/>
          </w:rPr>
          <w:fldChar w:fldCharType="end"/>
        </w:r>
      </w:p>
      <w:p w14:paraId="25291DCB" w14:textId="77777777" w:rsidR="005B59FC" w:rsidRDefault="005B59FC" w:rsidP="005B39FA">
        <w:pPr>
          <w:pStyle w:val="Header"/>
        </w:pPr>
        <w:r>
          <w:rPr>
            <w:lang w:val="es-ES"/>
          </w:rPr>
          <w:t>RAG24/1(Rév.1)-F</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2A60" w14:textId="77777777" w:rsidR="005B59FC" w:rsidRDefault="005B59FC" w:rsidP="005B39FA">
    <w:pPr>
      <w:pStyle w:val="Header"/>
      <w:rPr>
        <w:lang w:val="es-ES"/>
      </w:rPr>
    </w:pPr>
    <w:r>
      <w:fldChar w:fldCharType="begin"/>
    </w:r>
    <w:r>
      <w:instrText xml:space="preserve"> PAGE </w:instrText>
    </w:r>
    <w:r>
      <w:fldChar w:fldCharType="separate"/>
    </w:r>
    <w:r>
      <w:t>19</w:t>
    </w:r>
    <w:r>
      <w:rPr>
        <w:noProof/>
      </w:rPr>
      <w:fldChar w:fldCharType="end"/>
    </w:r>
  </w:p>
  <w:p w14:paraId="2A6A628B" w14:textId="77777777" w:rsidR="005B59FC" w:rsidRPr="005B39FA" w:rsidRDefault="005B59FC" w:rsidP="005A01CC">
    <w:pPr>
      <w:pStyle w:val="Header"/>
      <w:spacing w:after="120"/>
    </w:pPr>
    <w:r>
      <w:rPr>
        <w:lang w:val="es-ES"/>
      </w:rPr>
      <w:t>RAG24/1(Rév.1)-F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6553" w14:textId="77777777" w:rsidR="00D8354E" w:rsidRDefault="00D8354E" w:rsidP="00D8354E">
    <w:pPr>
      <w:pStyle w:val="Header"/>
      <w:rPr>
        <w:lang w:val="es-ES"/>
      </w:rPr>
    </w:pPr>
    <w:r>
      <w:fldChar w:fldCharType="begin"/>
    </w:r>
    <w:r>
      <w:instrText xml:space="preserve"> PAGE </w:instrText>
    </w:r>
    <w:r>
      <w:fldChar w:fldCharType="separate"/>
    </w:r>
    <w:r>
      <w:t>41</w:t>
    </w:r>
    <w:r>
      <w:rPr>
        <w:noProof/>
      </w:rPr>
      <w:fldChar w:fldCharType="end"/>
    </w:r>
  </w:p>
  <w:p w14:paraId="3865105C" w14:textId="0342E711" w:rsidR="005B59FC" w:rsidRPr="005B39FA" w:rsidRDefault="00D8354E" w:rsidP="00D8354E">
    <w:pPr>
      <w:pStyle w:val="Header"/>
    </w:pPr>
    <w:r>
      <w:rPr>
        <w:lang w:val="es-ES"/>
      </w:rPr>
      <w:t>RAG24/1(Rév.1)-F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033A" w14:textId="77777777" w:rsidR="00847AAC" w:rsidRDefault="00847AAC">
    <w:pPr>
      <w:pStyle w:val="Header"/>
    </w:pPr>
    <w:r>
      <w:rPr>
        <w:lang w:val="es-ES"/>
      </w:rPr>
      <w:t xml:space="preserve">- </w:t>
    </w:r>
    <w:r w:rsidR="00A9055C">
      <w:fldChar w:fldCharType="begin"/>
    </w:r>
    <w:r w:rsidR="00A9055C">
      <w:instrText xml:space="preserve"> PAGE </w:instrText>
    </w:r>
    <w:r w:rsidR="00A9055C">
      <w:fldChar w:fldCharType="separate"/>
    </w:r>
    <w:r>
      <w:rPr>
        <w:noProof/>
      </w:rPr>
      <w:t>2</w:t>
    </w:r>
    <w:r w:rsidR="00A9055C">
      <w:rPr>
        <w:noProof/>
      </w:rPr>
      <w:fldChar w:fldCharType="end"/>
    </w:r>
    <w:r>
      <w:rPr>
        <w:lang w:val="es-E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7035" w14:textId="77777777" w:rsidR="00847AAC" w:rsidRDefault="00A9055C" w:rsidP="00925627">
    <w:pPr>
      <w:pStyle w:val="Header"/>
      <w:rPr>
        <w:lang w:val="es-ES"/>
      </w:rPr>
    </w:pPr>
    <w:r>
      <w:fldChar w:fldCharType="begin"/>
    </w:r>
    <w:r>
      <w:instrText xml:space="preserve"> PAGE </w:instrText>
    </w:r>
    <w:r>
      <w:fldChar w:fldCharType="separate"/>
    </w:r>
    <w:r w:rsidR="007711EA">
      <w:rPr>
        <w:noProof/>
      </w:rPr>
      <w:t>2</w:t>
    </w:r>
    <w:r>
      <w:rPr>
        <w:noProof/>
      </w:rPr>
      <w:fldChar w:fldCharType="end"/>
    </w:r>
  </w:p>
  <w:p w14:paraId="430B7B2B" w14:textId="63E2CD7B" w:rsidR="00847AAC" w:rsidRDefault="0097156E" w:rsidP="007711EA">
    <w:pPr>
      <w:pStyle w:val="Header"/>
      <w:rPr>
        <w:lang w:val="es-ES"/>
      </w:rPr>
    </w:pPr>
    <w:r>
      <w:rPr>
        <w:lang w:val="es-ES"/>
      </w:rPr>
      <w:t>RAG</w:t>
    </w:r>
    <w:r w:rsidR="008F2CD5">
      <w:rPr>
        <w:lang w:val="es-ES"/>
      </w:rPr>
      <w:t>24</w:t>
    </w:r>
    <w:r w:rsidR="00847AAC">
      <w:rPr>
        <w:lang w:val="es-ES"/>
      </w:rPr>
      <w:t>/</w:t>
    </w:r>
    <w:r w:rsidR="002F6C36">
      <w:rPr>
        <w:lang w:val="es-ES"/>
      </w:rPr>
      <w:t>1</w:t>
    </w:r>
    <w:r w:rsidR="00766D15">
      <w:rPr>
        <w:lang w:val="es-ES"/>
      </w:rPr>
      <w:t>(Rév.1)</w:t>
    </w:r>
    <w:r w:rsidR="00AF2EDC">
      <w:rPr>
        <w:lang w:val="es-ES"/>
      </w:rPr>
      <w:t>-</w:t>
    </w:r>
    <w:r w:rsidR="00847AAC">
      <w:rPr>
        <w:lang w:val="es-ES"/>
      </w:rPr>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F448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1228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E8B0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F2A6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8486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62FE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A24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B00E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E3A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FA56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0026F"/>
    <w:multiLevelType w:val="hybridMultilevel"/>
    <w:tmpl w:val="E90896D8"/>
    <w:lvl w:ilvl="0" w:tplc="5D5C01E8">
      <w:start w:val="1"/>
      <w:numFmt w:val="bullet"/>
      <w:lvlText w:val="-"/>
      <w:lvlJc w:val="left"/>
      <w:pPr>
        <w:ind w:left="1080" w:hanging="360"/>
      </w:pPr>
      <w:rPr>
        <w:rFonts w:ascii="Times New Roman" w:hAnsi="Times New Roman" w:hint="default"/>
        <w:lang w:val="fr-FR"/>
      </w:rPr>
    </w:lvl>
    <w:lvl w:ilvl="1" w:tplc="214CADB0">
      <w:start w:val="9"/>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615F2C"/>
    <w:multiLevelType w:val="hybridMultilevel"/>
    <w:tmpl w:val="7EA61B08"/>
    <w:lvl w:ilvl="0" w:tplc="04090001">
      <w:start w:val="1"/>
      <w:numFmt w:val="bullet"/>
      <w:lvlText w:val=""/>
      <w:lvlJc w:val="left"/>
      <w:pPr>
        <w:ind w:left="720" w:hanging="360"/>
      </w:pPr>
      <w:rPr>
        <w:rFonts w:ascii="Symbol" w:hAnsi="Symbol" w:hint="default"/>
      </w:rPr>
    </w:lvl>
    <w:lvl w:ilvl="1" w:tplc="863AC704">
      <w:numFmt w:val="bullet"/>
      <w:lvlText w:val="•"/>
      <w:lvlJc w:val="left"/>
      <w:pPr>
        <w:ind w:left="1875" w:hanging="795"/>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8485E"/>
    <w:multiLevelType w:val="hybridMultilevel"/>
    <w:tmpl w:val="F6C443AA"/>
    <w:lvl w:ilvl="0" w:tplc="04090001">
      <w:start w:val="1"/>
      <w:numFmt w:val="bullet"/>
      <w:lvlText w:val=""/>
      <w:lvlJc w:val="left"/>
      <w:pPr>
        <w:ind w:left="720" w:hanging="360"/>
      </w:pPr>
      <w:rPr>
        <w:rFonts w:ascii="Symbol" w:hAnsi="Symbol" w:hint="default"/>
      </w:rPr>
    </w:lvl>
    <w:lvl w:ilvl="1" w:tplc="559A4824">
      <w:numFmt w:val="bullet"/>
      <w:lvlText w:val="•"/>
      <w:lvlJc w:val="left"/>
      <w:pPr>
        <w:ind w:left="1545" w:hanging="46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B3FAB"/>
    <w:multiLevelType w:val="hybridMultilevel"/>
    <w:tmpl w:val="9D24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241B9"/>
    <w:multiLevelType w:val="hybridMultilevel"/>
    <w:tmpl w:val="1AF4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59CA8"/>
    <w:multiLevelType w:val="hybridMultilevel"/>
    <w:tmpl w:val="FFFFFFFF"/>
    <w:lvl w:ilvl="0" w:tplc="2EC0C408">
      <w:start w:val="1"/>
      <w:numFmt w:val="bullet"/>
      <w:lvlText w:val="·"/>
      <w:lvlJc w:val="left"/>
      <w:pPr>
        <w:ind w:left="720" w:hanging="360"/>
      </w:pPr>
      <w:rPr>
        <w:rFonts w:ascii="Symbol" w:hAnsi="Symbol" w:hint="default"/>
      </w:rPr>
    </w:lvl>
    <w:lvl w:ilvl="1" w:tplc="E438FDE0">
      <w:start w:val="1"/>
      <w:numFmt w:val="bullet"/>
      <w:lvlText w:val="o"/>
      <w:lvlJc w:val="left"/>
      <w:pPr>
        <w:ind w:left="1440" w:hanging="360"/>
      </w:pPr>
      <w:rPr>
        <w:rFonts w:ascii="Courier New" w:hAnsi="Courier New" w:hint="default"/>
      </w:rPr>
    </w:lvl>
    <w:lvl w:ilvl="2" w:tplc="3BA233A8">
      <w:start w:val="1"/>
      <w:numFmt w:val="bullet"/>
      <w:lvlText w:val=""/>
      <w:lvlJc w:val="left"/>
      <w:pPr>
        <w:ind w:left="2160" w:hanging="360"/>
      </w:pPr>
      <w:rPr>
        <w:rFonts w:ascii="Wingdings" w:hAnsi="Wingdings" w:hint="default"/>
      </w:rPr>
    </w:lvl>
    <w:lvl w:ilvl="3" w:tplc="3C5611BC">
      <w:start w:val="1"/>
      <w:numFmt w:val="bullet"/>
      <w:lvlText w:val=""/>
      <w:lvlJc w:val="left"/>
      <w:pPr>
        <w:ind w:left="2880" w:hanging="360"/>
      </w:pPr>
      <w:rPr>
        <w:rFonts w:ascii="Symbol" w:hAnsi="Symbol" w:hint="default"/>
      </w:rPr>
    </w:lvl>
    <w:lvl w:ilvl="4" w:tplc="A7AE2AE0">
      <w:start w:val="1"/>
      <w:numFmt w:val="bullet"/>
      <w:lvlText w:val="o"/>
      <w:lvlJc w:val="left"/>
      <w:pPr>
        <w:ind w:left="3600" w:hanging="360"/>
      </w:pPr>
      <w:rPr>
        <w:rFonts w:ascii="Courier New" w:hAnsi="Courier New" w:hint="default"/>
      </w:rPr>
    </w:lvl>
    <w:lvl w:ilvl="5" w:tplc="25A0F7C8">
      <w:start w:val="1"/>
      <w:numFmt w:val="bullet"/>
      <w:lvlText w:val=""/>
      <w:lvlJc w:val="left"/>
      <w:pPr>
        <w:ind w:left="4320" w:hanging="360"/>
      </w:pPr>
      <w:rPr>
        <w:rFonts w:ascii="Wingdings" w:hAnsi="Wingdings" w:hint="default"/>
      </w:rPr>
    </w:lvl>
    <w:lvl w:ilvl="6" w:tplc="38BE4344">
      <w:start w:val="1"/>
      <w:numFmt w:val="bullet"/>
      <w:lvlText w:val=""/>
      <w:lvlJc w:val="left"/>
      <w:pPr>
        <w:ind w:left="5040" w:hanging="360"/>
      </w:pPr>
      <w:rPr>
        <w:rFonts w:ascii="Symbol" w:hAnsi="Symbol" w:hint="default"/>
      </w:rPr>
    </w:lvl>
    <w:lvl w:ilvl="7" w:tplc="D6866FF2">
      <w:start w:val="1"/>
      <w:numFmt w:val="bullet"/>
      <w:lvlText w:val="o"/>
      <w:lvlJc w:val="left"/>
      <w:pPr>
        <w:ind w:left="5760" w:hanging="360"/>
      </w:pPr>
      <w:rPr>
        <w:rFonts w:ascii="Courier New" w:hAnsi="Courier New" w:hint="default"/>
      </w:rPr>
    </w:lvl>
    <w:lvl w:ilvl="8" w:tplc="0F9AC47E">
      <w:start w:val="1"/>
      <w:numFmt w:val="bullet"/>
      <w:lvlText w:val=""/>
      <w:lvlJc w:val="left"/>
      <w:pPr>
        <w:ind w:left="6480" w:hanging="360"/>
      </w:pPr>
      <w:rPr>
        <w:rFonts w:ascii="Wingdings" w:hAnsi="Wingdings" w:hint="default"/>
      </w:rPr>
    </w:lvl>
  </w:abstractNum>
  <w:abstractNum w:abstractNumId="16" w15:restartNumberingAfterBreak="0">
    <w:nsid w:val="7AF97748"/>
    <w:multiLevelType w:val="hybridMultilevel"/>
    <w:tmpl w:val="8BA00B5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1983487">
    <w:abstractNumId w:val="12"/>
  </w:num>
  <w:num w:numId="2" w16cid:durableId="1046417189">
    <w:abstractNumId w:val="15"/>
  </w:num>
  <w:num w:numId="3" w16cid:durableId="1105152241">
    <w:abstractNumId w:val="10"/>
  </w:num>
  <w:num w:numId="4" w16cid:durableId="226187879">
    <w:abstractNumId w:val="13"/>
  </w:num>
  <w:num w:numId="5" w16cid:durableId="1794906309">
    <w:abstractNumId w:val="11"/>
  </w:num>
  <w:num w:numId="6" w16cid:durableId="214896009">
    <w:abstractNumId w:val="9"/>
  </w:num>
  <w:num w:numId="7" w16cid:durableId="1647978032">
    <w:abstractNumId w:val="7"/>
  </w:num>
  <w:num w:numId="8" w16cid:durableId="1151023867">
    <w:abstractNumId w:val="6"/>
  </w:num>
  <w:num w:numId="9" w16cid:durableId="30344124">
    <w:abstractNumId w:val="5"/>
  </w:num>
  <w:num w:numId="10" w16cid:durableId="1638028813">
    <w:abstractNumId w:val="4"/>
  </w:num>
  <w:num w:numId="11" w16cid:durableId="1856459880">
    <w:abstractNumId w:val="8"/>
  </w:num>
  <w:num w:numId="12" w16cid:durableId="1591160636">
    <w:abstractNumId w:val="3"/>
  </w:num>
  <w:num w:numId="13" w16cid:durableId="1428188204">
    <w:abstractNumId w:val="2"/>
  </w:num>
  <w:num w:numId="14" w16cid:durableId="602345963">
    <w:abstractNumId w:val="1"/>
  </w:num>
  <w:num w:numId="15" w16cid:durableId="128716228">
    <w:abstractNumId w:val="0"/>
  </w:num>
  <w:num w:numId="16" w16cid:durableId="1442333120">
    <w:abstractNumId w:val="14"/>
  </w:num>
  <w:num w:numId="17" w16cid:durableId="1772329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820"/>
    <w:rsid w:val="00006DE2"/>
    <w:rsid w:val="00017CA9"/>
    <w:rsid w:val="00054B17"/>
    <w:rsid w:val="000650A9"/>
    <w:rsid w:val="00087BEC"/>
    <w:rsid w:val="000A6178"/>
    <w:rsid w:val="000C06D8"/>
    <w:rsid w:val="000E1DEA"/>
    <w:rsid w:val="000E32F9"/>
    <w:rsid w:val="000E4B48"/>
    <w:rsid w:val="000F5E4A"/>
    <w:rsid w:val="00112791"/>
    <w:rsid w:val="00124E57"/>
    <w:rsid w:val="00140AE6"/>
    <w:rsid w:val="0016028F"/>
    <w:rsid w:val="0017029C"/>
    <w:rsid w:val="0017031D"/>
    <w:rsid w:val="001C5937"/>
    <w:rsid w:val="001C68DE"/>
    <w:rsid w:val="00222A1C"/>
    <w:rsid w:val="002C1DB2"/>
    <w:rsid w:val="002C6729"/>
    <w:rsid w:val="002D238A"/>
    <w:rsid w:val="002F315F"/>
    <w:rsid w:val="002F6C36"/>
    <w:rsid w:val="0031297D"/>
    <w:rsid w:val="003516EC"/>
    <w:rsid w:val="0037083E"/>
    <w:rsid w:val="00387997"/>
    <w:rsid w:val="003A6CEE"/>
    <w:rsid w:val="003E3091"/>
    <w:rsid w:val="00405FBE"/>
    <w:rsid w:val="00443261"/>
    <w:rsid w:val="0047450F"/>
    <w:rsid w:val="004869F3"/>
    <w:rsid w:val="004B1A12"/>
    <w:rsid w:val="004B3558"/>
    <w:rsid w:val="004E1CCF"/>
    <w:rsid w:val="004E76DF"/>
    <w:rsid w:val="005031C8"/>
    <w:rsid w:val="00516C74"/>
    <w:rsid w:val="005207F5"/>
    <w:rsid w:val="00537545"/>
    <w:rsid w:val="005430E4"/>
    <w:rsid w:val="00560F6D"/>
    <w:rsid w:val="00561820"/>
    <w:rsid w:val="005A2B9A"/>
    <w:rsid w:val="005B59FC"/>
    <w:rsid w:val="00615B7C"/>
    <w:rsid w:val="0067019B"/>
    <w:rsid w:val="00674773"/>
    <w:rsid w:val="00677EE5"/>
    <w:rsid w:val="006948A5"/>
    <w:rsid w:val="00694DEF"/>
    <w:rsid w:val="006D44F1"/>
    <w:rsid w:val="007519DB"/>
    <w:rsid w:val="00766D15"/>
    <w:rsid w:val="007711EA"/>
    <w:rsid w:val="00773E5E"/>
    <w:rsid w:val="007A0C5E"/>
    <w:rsid w:val="007A583E"/>
    <w:rsid w:val="007C7925"/>
    <w:rsid w:val="007D29E8"/>
    <w:rsid w:val="007E2F7B"/>
    <w:rsid w:val="007F13FC"/>
    <w:rsid w:val="00804844"/>
    <w:rsid w:val="008069E9"/>
    <w:rsid w:val="008367B1"/>
    <w:rsid w:val="00844973"/>
    <w:rsid w:val="00847AAC"/>
    <w:rsid w:val="008711E6"/>
    <w:rsid w:val="00874EA5"/>
    <w:rsid w:val="00885129"/>
    <w:rsid w:val="008E52A1"/>
    <w:rsid w:val="008F2CD5"/>
    <w:rsid w:val="00902253"/>
    <w:rsid w:val="00925627"/>
    <w:rsid w:val="0093101F"/>
    <w:rsid w:val="00967DA9"/>
    <w:rsid w:val="0097156E"/>
    <w:rsid w:val="009D7A5E"/>
    <w:rsid w:val="00A07CD6"/>
    <w:rsid w:val="00A85C2D"/>
    <w:rsid w:val="00A9055C"/>
    <w:rsid w:val="00A910E2"/>
    <w:rsid w:val="00A950ED"/>
    <w:rsid w:val="00AB7F92"/>
    <w:rsid w:val="00AC39EE"/>
    <w:rsid w:val="00AC61E6"/>
    <w:rsid w:val="00AF2EDC"/>
    <w:rsid w:val="00AF4432"/>
    <w:rsid w:val="00B2278E"/>
    <w:rsid w:val="00B41D84"/>
    <w:rsid w:val="00B63A8C"/>
    <w:rsid w:val="00B823DE"/>
    <w:rsid w:val="00BA0C7B"/>
    <w:rsid w:val="00BB0E2E"/>
    <w:rsid w:val="00BB27A1"/>
    <w:rsid w:val="00BC4591"/>
    <w:rsid w:val="00BD1D14"/>
    <w:rsid w:val="00C501FF"/>
    <w:rsid w:val="00C72A86"/>
    <w:rsid w:val="00C92D00"/>
    <w:rsid w:val="00CB43D5"/>
    <w:rsid w:val="00CB5F17"/>
    <w:rsid w:val="00CC5B9E"/>
    <w:rsid w:val="00CC7208"/>
    <w:rsid w:val="00CC74A9"/>
    <w:rsid w:val="00CE6184"/>
    <w:rsid w:val="00D228F7"/>
    <w:rsid w:val="00D34E1C"/>
    <w:rsid w:val="00D555D6"/>
    <w:rsid w:val="00D61DB6"/>
    <w:rsid w:val="00D71424"/>
    <w:rsid w:val="00D82015"/>
    <w:rsid w:val="00D8354E"/>
    <w:rsid w:val="00D844A5"/>
    <w:rsid w:val="00D95965"/>
    <w:rsid w:val="00DC3ABA"/>
    <w:rsid w:val="00DD55EB"/>
    <w:rsid w:val="00E2659D"/>
    <w:rsid w:val="00E37C12"/>
    <w:rsid w:val="00E74286"/>
    <w:rsid w:val="00E7780B"/>
    <w:rsid w:val="00EC0F12"/>
    <w:rsid w:val="00EC2406"/>
    <w:rsid w:val="00ED59FA"/>
    <w:rsid w:val="00EF464D"/>
    <w:rsid w:val="00F775D5"/>
    <w:rsid w:val="00F93282"/>
    <w:rsid w:val="00FE21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011D6D"/>
  <w15:docId w15:val="{FCF469DE-8F41-45D9-A52F-6D3729CF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pPr>
      <w:keepLine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TabletitleBR">
    <w:name w:val="Table_title_BR"/>
    <w:basedOn w:val="Normal"/>
    <w:next w:val="Tablehead"/>
    <w:pPr>
      <w:keepNext/>
      <w:keepLines/>
      <w:spacing w:before="0" w:after="120"/>
      <w:jc w:val="center"/>
    </w:pPr>
    <w:rPr>
      <w:b/>
    </w:rPr>
  </w:style>
  <w:style w:type="paragraph" w:customStyle="1" w:styleId="Tablehead">
    <w:name w:val="Table_head"/>
    <w:basedOn w:val="Normal"/>
    <w:next w:val="Tabletext"/>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pPr>
      <w:keepNext/>
      <w:keepLines/>
      <w:spacing w:before="480"/>
      <w:jc w:val="center"/>
    </w:pPr>
    <w:rPr>
      <w:b/>
      <w:sz w:val="28"/>
    </w:rPr>
  </w:style>
  <w:style w:type="paragraph" w:customStyle="1" w:styleId="AppendixNotitle">
    <w:name w:val="Appendix_No &amp; title"/>
    <w:basedOn w:val="AnnexNotitle"/>
    <w:next w:val="Normalaftertitle"/>
  </w:style>
  <w:style w:type="paragraph" w:customStyle="1" w:styleId="Figure">
    <w:name w:val="Figure"/>
    <w:basedOn w:val="Normal"/>
    <w:next w:val="FigureNotitle"/>
    <w:pPr>
      <w:keepNext/>
      <w:keepLines/>
      <w:spacing w:before="240" w:after="120"/>
      <w:jc w:val="center"/>
    </w:p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EndnoteReference">
    <w:name w:val="endnote reference"/>
    <w:basedOn w:val="DefaultParagraphFont"/>
    <w:uiPriority w:val="99"/>
    <w:rPr>
      <w:vertAlign w:val="superscript"/>
    </w:rPr>
  </w:style>
  <w:style w:type="paragraph" w:customStyle="1" w:styleId="enumlev1">
    <w:name w:val="enumlev1"/>
    <w:basedOn w:val="Normal"/>
    <w:link w:val="enumlev1Char"/>
    <w:uiPriority w:val="99"/>
    <w:qFormat/>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character" w:styleId="PageNumber">
    <w:name w:val="page number"/>
    <w:basedOn w:val="DefaultParagraphFont"/>
    <w:uiPriority w:val="99"/>
  </w:style>
  <w:style w:type="paragraph" w:customStyle="1" w:styleId="RecNoBR">
    <w:name w:val="Rec_No_BR"/>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BR">
    <w:name w:val="Question_No_BR"/>
    <w:basedOn w:val="RecNoBR"/>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Style 12,(NECG) Footnote Reference,FR,Style 13,Style 124,o,fr,Style 3,Footnote symbol,Voetnootverwijzing,Times 10 Point,Exposant 3 Point,footnote ref,Fuكnotenzeichen diss neu"/>
    <w:basedOn w:val="DefaultParagraphFont"/>
    <w:uiPriority w:val="9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Char"/>
    <w:basedOn w:val="Note"/>
    <w:link w:val="FootnoteTextChar"/>
    <w:uiPriority w:val="99"/>
    <w:pPr>
      <w:keepLines/>
      <w:tabs>
        <w:tab w:val="left" w:pos="255"/>
      </w:tabs>
      <w:ind w:left="255" w:hanging="255"/>
    </w:pPr>
  </w:style>
  <w:style w:type="paragraph" w:customStyle="1" w:styleId="Note">
    <w:name w:val="Note"/>
    <w:basedOn w:val="Normal"/>
    <w:pPr>
      <w:spacing w:before="80"/>
    </w:pPr>
  </w:style>
  <w:style w:type="paragraph" w:styleId="Header">
    <w:name w:val="header"/>
    <w:aliases w:val="encabezado,he"/>
    <w:basedOn w:val="Normal"/>
    <w:link w:val="HeaderChar"/>
    <w:uiPriority w:val="9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link w:val="HeadingbChar"/>
    <w:qFormat/>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RepNoBR">
    <w:name w:val="Rep_No_BR"/>
    <w:basedOn w:val="RecNoBR"/>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ResNoBR">
    <w:name w:val="Res_No_BR"/>
    <w:basedOn w:val="RecNoBR"/>
    <w:next w:val="Restitle"/>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Resdate">
    <w:name w:val="Res_date"/>
    <w:basedOn w:val="Recdate"/>
    <w:next w:val="Normalaftertitle"/>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pPr>
      <w:keepNext/>
      <w:keepLines/>
      <w:spacing w:before="360" w:after="120"/>
      <w:jc w:val="center"/>
    </w:pPr>
    <w:rPr>
      <w:b/>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0"/>
    </w:pPr>
    <w:rPr>
      <w:b/>
      <w:sz w:val="28"/>
    </w:rPr>
  </w:style>
  <w:style w:type="paragraph" w:customStyle="1" w:styleId="QuestionNo">
    <w:name w:val="Question_No"/>
    <w:basedOn w:val="RecNo"/>
    <w:next w:val="Questiontitle"/>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No">
    <w:name w:val="Rep_No"/>
    <w:basedOn w:val="RecNo"/>
    <w:next w:val="Reptitle"/>
  </w:style>
  <w:style w:type="paragraph" w:customStyle="1" w:styleId="ResNo">
    <w:name w:val="Res_No"/>
    <w:basedOn w:val="RecNo"/>
    <w:next w:val="Restitl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link w:val="SourceChar"/>
    <w:qFormat/>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itle1">
    <w:name w:val="Title 1"/>
    <w:basedOn w:val="Source"/>
    <w:next w:val="Title2"/>
    <w:link w:val="Title1Char"/>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uiPriority w:val="39"/>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Hyperlink">
    <w:name w:val="Hyperlink"/>
    <w:aliases w:val="超级链接,超?级链,CEO_Hyperlink,Style 58,超????,하이퍼링크2,超链接1,하이퍼링크21,超??级链Ú,fL????,fL?级,超??级链,超?级链Ú,’´?级链,’´????,’´??级链Ú,’´??级,超?级链?,Style?,S"/>
    <w:basedOn w:val="DefaultParagraphFont"/>
    <w:uiPriority w:val="99"/>
    <w:qFormat/>
    <w:rsid w:val="00D61DB6"/>
    <w:rPr>
      <w:color w:val="0000FF"/>
      <w:u w:val="single"/>
    </w:rPr>
  </w:style>
  <w:style w:type="paragraph" w:styleId="ListParagraph">
    <w:name w:val="List Paragraph"/>
    <w:aliases w:val="Recommendation,List Paragraph11,O5,Para_sk,Resume Title,- Bullets"/>
    <w:basedOn w:val="Normal"/>
    <w:link w:val="ListParagraphChar"/>
    <w:uiPriority w:val="34"/>
    <w:qFormat/>
    <w:rsid w:val="00D61DB6"/>
    <w:pPr>
      <w:tabs>
        <w:tab w:val="clear" w:pos="794"/>
        <w:tab w:val="clear" w:pos="1191"/>
        <w:tab w:val="clear" w:pos="1588"/>
        <w:tab w:val="clear" w:pos="1985"/>
      </w:tabs>
      <w:overflowPunct/>
      <w:autoSpaceDE/>
      <w:autoSpaceDN/>
      <w:adjustRightInd/>
      <w:ind w:left="720"/>
      <w:contextualSpacing/>
      <w:textAlignment w:val="auto"/>
    </w:pPr>
    <w:rPr>
      <w:rFonts w:eastAsiaTheme="minorEastAsia"/>
      <w:szCs w:val="24"/>
      <w:lang w:val="en-GB" w:eastAsia="ja-JP"/>
    </w:r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locked/>
    <w:rsid w:val="00D61DB6"/>
    <w:rPr>
      <w:rFonts w:ascii="Times New Roman" w:eastAsiaTheme="minorEastAsia" w:hAnsi="Times New Roman"/>
      <w:sz w:val="24"/>
      <w:szCs w:val="24"/>
      <w:lang w:val="en-GB" w:eastAsia="ja-JP"/>
    </w:rPr>
  </w:style>
  <w:style w:type="character" w:customStyle="1" w:styleId="Heading1Char">
    <w:name w:val="Heading 1 Char"/>
    <w:basedOn w:val="DefaultParagraphFont"/>
    <w:link w:val="Heading1"/>
    <w:rsid w:val="00D61DB6"/>
    <w:rPr>
      <w:rFonts w:ascii="Times New Roman" w:hAnsi="Times New Roman"/>
      <w:b/>
      <w:sz w:val="24"/>
      <w:lang w:val="fr-FR" w:eastAsia="en-US"/>
    </w:rPr>
  </w:style>
  <w:style w:type="character" w:customStyle="1" w:styleId="Heading2Char">
    <w:name w:val="Heading 2 Char"/>
    <w:basedOn w:val="DefaultParagraphFont"/>
    <w:link w:val="Heading2"/>
    <w:rsid w:val="00D61DB6"/>
    <w:rPr>
      <w:rFonts w:ascii="Times New Roman" w:hAnsi="Times New Roman"/>
      <w:b/>
      <w:sz w:val="24"/>
      <w:lang w:val="fr-FR" w:eastAsia="en-US"/>
    </w:rPr>
  </w:style>
  <w:style w:type="character" w:styleId="UnresolvedMention">
    <w:name w:val="Unresolved Mention"/>
    <w:basedOn w:val="DefaultParagraphFont"/>
    <w:uiPriority w:val="99"/>
    <w:semiHidden/>
    <w:unhideWhenUsed/>
    <w:rsid w:val="002F6C36"/>
    <w:rPr>
      <w:color w:val="605E5C"/>
      <w:shd w:val="clear" w:color="auto" w:fill="E1DFDD"/>
    </w:rPr>
  </w:style>
  <w:style w:type="character" w:styleId="FollowedHyperlink">
    <w:name w:val="FollowedHyperlink"/>
    <w:basedOn w:val="DefaultParagraphFont"/>
    <w:unhideWhenUsed/>
    <w:rsid w:val="002F6C36"/>
    <w:rPr>
      <w:color w:val="800080" w:themeColor="followedHyperlink"/>
      <w:u w:val="single"/>
    </w:rPr>
  </w:style>
  <w:style w:type="table" w:styleId="TableGrid">
    <w:name w:val="Table Grid"/>
    <w:basedOn w:val="TableNormal"/>
    <w:uiPriority w:val="59"/>
    <w:rsid w:val="002F6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4869F3"/>
    <w:rPr>
      <w:rFonts w:ascii="Times New Roman" w:hAnsi="Times New Roman"/>
      <w:sz w:val="22"/>
      <w:lang w:val="fr-FR" w:eastAsia="en-US"/>
    </w:rPr>
  </w:style>
  <w:style w:type="character" w:customStyle="1" w:styleId="enumlev1Char">
    <w:name w:val="enumlev1 Char"/>
    <w:basedOn w:val="DefaultParagraphFont"/>
    <w:link w:val="enumlev1"/>
    <w:uiPriority w:val="99"/>
    <w:locked/>
    <w:rsid w:val="004869F3"/>
    <w:rPr>
      <w:rFonts w:ascii="Times New Roman" w:hAnsi="Times New Roman"/>
      <w:sz w:val="24"/>
      <w:lang w:val="fr-FR" w:eastAsia="en-US"/>
    </w:rPr>
  </w:style>
  <w:style w:type="character" w:styleId="CommentReference">
    <w:name w:val="annotation reference"/>
    <w:basedOn w:val="DefaultParagraphFont"/>
    <w:semiHidden/>
    <w:unhideWhenUsed/>
    <w:rsid w:val="004869F3"/>
    <w:rPr>
      <w:sz w:val="16"/>
      <w:szCs w:val="16"/>
    </w:rPr>
  </w:style>
  <w:style w:type="paragraph" w:styleId="CommentText">
    <w:name w:val="annotation text"/>
    <w:basedOn w:val="Normal"/>
    <w:link w:val="CommentTextChar"/>
    <w:unhideWhenUsed/>
    <w:rsid w:val="004869F3"/>
    <w:rPr>
      <w:sz w:val="20"/>
      <w:lang w:val="en-GB"/>
    </w:rPr>
  </w:style>
  <w:style w:type="character" w:customStyle="1" w:styleId="CommentTextChar">
    <w:name w:val="Comment Text Char"/>
    <w:basedOn w:val="DefaultParagraphFont"/>
    <w:link w:val="CommentText"/>
    <w:rsid w:val="004869F3"/>
    <w:rPr>
      <w:rFonts w:ascii="Times New Roman" w:hAnsi="Times New Roman"/>
      <w:lang w:val="en-GB" w:eastAsia="en-US"/>
    </w:rPr>
  </w:style>
  <w:style w:type="table" w:styleId="ListTable1Light-Accent1">
    <w:name w:val="List Table 1 Light Accent 1"/>
    <w:basedOn w:val="TableNormal"/>
    <w:uiPriority w:val="46"/>
    <w:rsid w:val="004869F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next w:val="ListTable1Light-Accent1"/>
    <w:uiPriority w:val="46"/>
    <w:rsid w:val="004869F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4869F3"/>
  </w:style>
  <w:style w:type="character" w:customStyle="1" w:styleId="Heading3Char">
    <w:name w:val="Heading 3 Char"/>
    <w:basedOn w:val="DefaultParagraphFont"/>
    <w:link w:val="Heading3"/>
    <w:rsid w:val="002F315F"/>
    <w:rPr>
      <w:rFonts w:ascii="Times New Roman" w:hAnsi="Times New Roman"/>
      <w:b/>
      <w:sz w:val="24"/>
      <w:lang w:val="fr-FR" w:eastAsia="en-US"/>
    </w:rPr>
  </w:style>
  <w:style w:type="character" w:customStyle="1" w:styleId="Heading4Char">
    <w:name w:val="Heading 4 Char"/>
    <w:basedOn w:val="DefaultParagraphFont"/>
    <w:link w:val="Heading4"/>
    <w:rsid w:val="002F315F"/>
    <w:rPr>
      <w:rFonts w:ascii="Times New Roman" w:hAnsi="Times New Roman"/>
      <w:b/>
      <w:sz w:val="24"/>
      <w:lang w:val="fr-FR" w:eastAsia="en-US"/>
    </w:rPr>
  </w:style>
  <w:style w:type="character" w:customStyle="1" w:styleId="Heading5Char">
    <w:name w:val="Heading 5 Char"/>
    <w:basedOn w:val="DefaultParagraphFont"/>
    <w:link w:val="Heading5"/>
    <w:rsid w:val="002F315F"/>
    <w:rPr>
      <w:rFonts w:ascii="Times New Roman" w:hAnsi="Times New Roman"/>
      <w:b/>
      <w:sz w:val="24"/>
      <w:lang w:val="fr-FR" w:eastAsia="en-US"/>
    </w:rPr>
  </w:style>
  <w:style w:type="paragraph" w:customStyle="1" w:styleId="enumlev10">
    <w:name w:val="enumlev 1"/>
    <w:basedOn w:val="Normal"/>
    <w:rsid w:val="004B1A12"/>
    <w:pPr>
      <w:spacing w:before="0" w:after="160" w:line="259" w:lineRule="auto"/>
      <w:ind w:left="360"/>
      <w:jc w:val="both"/>
    </w:pPr>
    <w:rPr>
      <w:rFonts w:eastAsia="Verdana"/>
      <w:lang w:val="fr-CH"/>
    </w:rPr>
  </w:style>
  <w:style w:type="paragraph" w:styleId="CommentSubject">
    <w:name w:val="annotation subject"/>
    <w:basedOn w:val="CommentText"/>
    <w:next w:val="CommentText"/>
    <w:link w:val="CommentSubjectChar"/>
    <w:semiHidden/>
    <w:unhideWhenUsed/>
    <w:rsid w:val="0031297D"/>
    <w:rPr>
      <w:b/>
      <w:bCs/>
      <w:lang w:val="fr-FR"/>
    </w:rPr>
  </w:style>
  <w:style w:type="character" w:customStyle="1" w:styleId="CommentSubjectChar">
    <w:name w:val="Comment Subject Char"/>
    <w:basedOn w:val="CommentTextChar"/>
    <w:link w:val="CommentSubject"/>
    <w:semiHidden/>
    <w:rsid w:val="0031297D"/>
    <w:rPr>
      <w:rFonts w:ascii="Times New Roman" w:hAnsi="Times New Roman"/>
      <w:b/>
      <w:bCs/>
      <w:lang w:val="fr-FR" w:eastAsia="en-US"/>
    </w:rPr>
  </w:style>
  <w:style w:type="table" w:styleId="GridTable5Dark-Accent1">
    <w:name w:val="Grid Table 5 Dark Accent 1"/>
    <w:basedOn w:val="TableNormal"/>
    <w:uiPriority w:val="50"/>
    <w:rsid w:val="007D29E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ableheadChar">
    <w:name w:val="Table_head Char"/>
    <w:basedOn w:val="DefaultParagraphFont"/>
    <w:link w:val="Tablehead"/>
    <w:uiPriority w:val="99"/>
    <w:rsid w:val="007D29E8"/>
    <w:rPr>
      <w:rFonts w:ascii="Times New Roman" w:hAnsi="Times New Roman"/>
      <w:b/>
      <w:sz w:val="22"/>
      <w:lang w:val="fr-FR" w:eastAsia="en-US"/>
    </w:rPr>
  </w:style>
  <w:style w:type="character" w:customStyle="1" w:styleId="FooterChar">
    <w:name w:val="Footer Char"/>
    <w:basedOn w:val="DefaultParagraphFont"/>
    <w:link w:val="Footer"/>
    <w:rsid w:val="005B59FC"/>
    <w:rPr>
      <w:rFonts w:ascii="Times New Roman" w:hAnsi="Times New Roman"/>
      <w:caps/>
      <w:noProof/>
      <w:sz w:val="16"/>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Char Char"/>
    <w:basedOn w:val="DefaultParagraphFont"/>
    <w:link w:val="FootnoteText"/>
    <w:uiPriority w:val="99"/>
    <w:rsid w:val="005B59FC"/>
    <w:rPr>
      <w:rFonts w:ascii="Times New Roman" w:hAnsi="Times New Roman"/>
      <w:sz w:val="24"/>
      <w:lang w:val="fr-FR" w:eastAsia="en-US"/>
    </w:rPr>
  </w:style>
  <w:style w:type="paragraph" w:customStyle="1" w:styleId="Formal">
    <w:name w:val="Formal"/>
    <w:basedOn w:val="Normal"/>
    <w:rsid w:val="005B59F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noProof/>
      <w:sz w:val="20"/>
      <w:lang w:val="en-GB"/>
    </w:rPr>
  </w:style>
  <w:style w:type="character" w:customStyle="1" w:styleId="HeaderChar">
    <w:name w:val="Header Char"/>
    <w:aliases w:val="encabezado Char,he Char"/>
    <w:basedOn w:val="DefaultParagraphFont"/>
    <w:link w:val="Header"/>
    <w:uiPriority w:val="99"/>
    <w:rsid w:val="005B59FC"/>
    <w:rPr>
      <w:rFonts w:ascii="Times New Roman" w:hAnsi="Times New Roman"/>
      <w:sz w:val="18"/>
      <w:lang w:val="fr-FR" w:eastAsia="en-US"/>
    </w:rPr>
  </w:style>
  <w:style w:type="paragraph" w:customStyle="1" w:styleId="Docnumber">
    <w:name w:val="Docnumber"/>
    <w:basedOn w:val="Normal"/>
    <w:link w:val="DocnumberChar"/>
    <w:qFormat/>
    <w:rsid w:val="005B59FC"/>
    <w:pPr>
      <w:jc w:val="right"/>
    </w:pPr>
    <w:rPr>
      <w:rFonts w:eastAsia="SimSun"/>
      <w:b/>
      <w:sz w:val="32"/>
      <w:lang w:val="en-GB"/>
    </w:rPr>
  </w:style>
  <w:style w:type="character" w:customStyle="1" w:styleId="DocnumberChar">
    <w:name w:val="Docnumber Char"/>
    <w:link w:val="Docnumber"/>
    <w:rsid w:val="005B59FC"/>
    <w:rPr>
      <w:rFonts w:ascii="Times New Roman" w:eastAsia="SimSun" w:hAnsi="Times New Roman"/>
      <w:b/>
      <w:sz w:val="32"/>
      <w:lang w:val="en-GB" w:eastAsia="en-US"/>
    </w:rPr>
  </w:style>
  <w:style w:type="paragraph" w:customStyle="1" w:styleId="LSDeadline">
    <w:name w:val="LSDeadline"/>
    <w:basedOn w:val="Normal"/>
    <w:next w:val="Normal"/>
    <w:rsid w:val="005B59FC"/>
    <w:pPr>
      <w:tabs>
        <w:tab w:val="clear" w:pos="794"/>
        <w:tab w:val="clear" w:pos="1191"/>
        <w:tab w:val="clear" w:pos="1588"/>
        <w:tab w:val="clear" w:pos="1985"/>
      </w:tabs>
      <w:overflowPunct/>
      <w:autoSpaceDE/>
      <w:autoSpaceDN/>
      <w:adjustRightInd/>
      <w:textAlignment w:val="auto"/>
    </w:pPr>
    <w:rPr>
      <w:rFonts w:eastAsiaTheme="minorHAnsi"/>
      <w:szCs w:val="24"/>
      <w:lang w:val="en-GB" w:eastAsia="ja-JP"/>
    </w:rPr>
  </w:style>
  <w:style w:type="paragraph" w:customStyle="1" w:styleId="LSForAction">
    <w:name w:val="LSForAction"/>
    <w:basedOn w:val="Normal"/>
    <w:next w:val="Normal"/>
    <w:rsid w:val="005B59FC"/>
    <w:rPr>
      <w:lang w:val="en-GB"/>
    </w:rPr>
  </w:style>
  <w:style w:type="paragraph" w:customStyle="1" w:styleId="LSForInfo">
    <w:name w:val="LSForInfo"/>
    <w:basedOn w:val="Normal"/>
    <w:next w:val="Normal"/>
    <w:rsid w:val="005B59FC"/>
    <w:pPr>
      <w:tabs>
        <w:tab w:val="clear" w:pos="794"/>
        <w:tab w:val="clear" w:pos="1191"/>
        <w:tab w:val="clear" w:pos="1588"/>
        <w:tab w:val="clear" w:pos="1985"/>
      </w:tabs>
      <w:overflowPunct/>
      <w:autoSpaceDE/>
      <w:autoSpaceDN/>
      <w:adjustRightInd/>
      <w:textAlignment w:val="auto"/>
    </w:pPr>
    <w:rPr>
      <w:rFonts w:eastAsiaTheme="minorHAnsi"/>
      <w:bCs/>
      <w:szCs w:val="24"/>
      <w:lang w:val="en-GB" w:eastAsia="ja-JP"/>
    </w:rPr>
  </w:style>
  <w:style w:type="paragraph" w:customStyle="1" w:styleId="VenueDate">
    <w:name w:val="VenueDate"/>
    <w:basedOn w:val="Normal"/>
    <w:qFormat/>
    <w:rsid w:val="005B59FC"/>
    <w:pPr>
      <w:tabs>
        <w:tab w:val="clear" w:pos="794"/>
        <w:tab w:val="clear" w:pos="1191"/>
        <w:tab w:val="clear" w:pos="1588"/>
        <w:tab w:val="clear" w:pos="1985"/>
      </w:tabs>
      <w:jc w:val="right"/>
    </w:pPr>
    <w:rPr>
      <w:lang w:val="en-GB"/>
    </w:rPr>
  </w:style>
  <w:style w:type="paragraph" w:customStyle="1" w:styleId="TSBHeaderQuestion">
    <w:name w:val="TSBHeaderQuestion"/>
    <w:basedOn w:val="Normal"/>
    <w:qFormat/>
    <w:rsid w:val="005B59FC"/>
    <w:pPr>
      <w:tabs>
        <w:tab w:val="clear" w:pos="794"/>
        <w:tab w:val="clear" w:pos="1191"/>
        <w:tab w:val="clear" w:pos="1588"/>
        <w:tab w:val="clear" w:pos="1985"/>
      </w:tabs>
      <w:overflowPunct/>
      <w:autoSpaceDE/>
      <w:autoSpaceDN/>
      <w:adjustRightInd/>
      <w:textAlignment w:val="auto"/>
    </w:pPr>
    <w:rPr>
      <w:rFonts w:eastAsiaTheme="minorEastAsia"/>
      <w:szCs w:val="24"/>
      <w:lang w:val="en-GB" w:eastAsia="ja-JP"/>
    </w:rPr>
  </w:style>
  <w:style w:type="paragraph" w:customStyle="1" w:styleId="TSBHeaderSource">
    <w:name w:val="TSBHeaderSource"/>
    <w:basedOn w:val="Normal"/>
    <w:qFormat/>
    <w:rsid w:val="005B59FC"/>
    <w:pPr>
      <w:tabs>
        <w:tab w:val="clear" w:pos="794"/>
        <w:tab w:val="clear" w:pos="1191"/>
        <w:tab w:val="clear" w:pos="1588"/>
        <w:tab w:val="clear" w:pos="1985"/>
      </w:tabs>
      <w:overflowPunct/>
      <w:autoSpaceDE/>
      <w:autoSpaceDN/>
      <w:adjustRightInd/>
      <w:textAlignment w:val="auto"/>
    </w:pPr>
    <w:rPr>
      <w:rFonts w:eastAsiaTheme="minorEastAsia"/>
      <w:szCs w:val="24"/>
      <w:lang w:val="en-GB" w:eastAsia="ja-JP"/>
    </w:rPr>
  </w:style>
  <w:style w:type="paragraph" w:customStyle="1" w:styleId="TSBHeaderTitle">
    <w:name w:val="TSBHeaderTitle"/>
    <w:basedOn w:val="Normal"/>
    <w:qFormat/>
    <w:rsid w:val="005B59FC"/>
    <w:pPr>
      <w:tabs>
        <w:tab w:val="clear" w:pos="794"/>
        <w:tab w:val="clear" w:pos="1191"/>
        <w:tab w:val="clear" w:pos="1588"/>
        <w:tab w:val="clear" w:pos="1985"/>
      </w:tabs>
      <w:overflowPunct/>
      <w:autoSpaceDE/>
      <w:autoSpaceDN/>
      <w:adjustRightInd/>
      <w:textAlignment w:val="auto"/>
    </w:pPr>
    <w:rPr>
      <w:rFonts w:eastAsiaTheme="minorEastAsia"/>
      <w:szCs w:val="24"/>
      <w:lang w:val="en-GB" w:eastAsia="ja-JP"/>
    </w:rPr>
  </w:style>
  <w:style w:type="paragraph" w:customStyle="1" w:styleId="TSBHeaderSummary">
    <w:name w:val="TSBHeaderSummary"/>
    <w:basedOn w:val="Normal"/>
    <w:rsid w:val="005B59FC"/>
    <w:pPr>
      <w:tabs>
        <w:tab w:val="clear" w:pos="794"/>
        <w:tab w:val="clear" w:pos="1191"/>
        <w:tab w:val="clear" w:pos="1588"/>
        <w:tab w:val="clear" w:pos="1985"/>
      </w:tabs>
      <w:overflowPunct/>
      <w:autoSpaceDE/>
      <w:autoSpaceDN/>
      <w:adjustRightInd/>
      <w:textAlignment w:val="auto"/>
    </w:pPr>
    <w:rPr>
      <w:rFonts w:eastAsiaTheme="minorEastAsia"/>
      <w:szCs w:val="24"/>
      <w:lang w:val="en-GB" w:eastAsia="ja-JP"/>
    </w:rPr>
  </w:style>
  <w:style w:type="paragraph" w:customStyle="1" w:styleId="LSApproval">
    <w:name w:val="LSApproval"/>
    <w:basedOn w:val="Normal"/>
    <w:rsid w:val="005B59FC"/>
    <w:pPr>
      <w:tabs>
        <w:tab w:val="clear" w:pos="794"/>
        <w:tab w:val="clear" w:pos="1191"/>
        <w:tab w:val="clear" w:pos="1588"/>
        <w:tab w:val="clear" w:pos="1985"/>
      </w:tabs>
      <w:overflowPunct/>
      <w:autoSpaceDE/>
      <w:autoSpaceDN/>
      <w:adjustRightInd/>
      <w:textAlignment w:val="auto"/>
    </w:pPr>
    <w:rPr>
      <w:rFonts w:eastAsiaTheme="minorEastAsia"/>
      <w:b/>
      <w:bCs/>
      <w:szCs w:val="24"/>
      <w:lang w:val="en-GB" w:eastAsia="ja-JP"/>
    </w:rPr>
  </w:style>
  <w:style w:type="paragraph" w:customStyle="1" w:styleId="TSBHeaderRight14">
    <w:name w:val="TSBHeaderRight14"/>
    <w:basedOn w:val="Normal"/>
    <w:qFormat/>
    <w:rsid w:val="005B59FC"/>
    <w:pPr>
      <w:jc w:val="right"/>
    </w:pPr>
    <w:rPr>
      <w:b/>
      <w:bCs/>
      <w:sz w:val="28"/>
      <w:szCs w:val="28"/>
      <w:lang w:val="en-GB"/>
    </w:rPr>
  </w:style>
  <w:style w:type="character" w:customStyle="1" w:styleId="SourceChar">
    <w:name w:val="Source Char"/>
    <w:link w:val="Source"/>
    <w:locked/>
    <w:rsid w:val="005B59FC"/>
    <w:rPr>
      <w:rFonts w:ascii="Times New Roman" w:hAnsi="Times New Roman"/>
      <w:b/>
      <w:sz w:val="28"/>
      <w:lang w:val="fr-FR" w:eastAsia="en-US"/>
    </w:rPr>
  </w:style>
  <w:style w:type="character" w:customStyle="1" w:styleId="Title1Char">
    <w:name w:val="Title 1 Char"/>
    <w:link w:val="Title1"/>
    <w:qFormat/>
    <w:locked/>
    <w:rsid w:val="005B59FC"/>
    <w:rPr>
      <w:rFonts w:ascii="Times New Roman" w:hAnsi="Times New Roman"/>
      <w:caps/>
      <w:sz w:val="28"/>
      <w:lang w:val="fr-FR" w:eastAsia="en-US"/>
    </w:rPr>
  </w:style>
  <w:style w:type="character" w:styleId="PlaceholderText">
    <w:name w:val="Placeholder Text"/>
    <w:basedOn w:val="DefaultParagraphFont"/>
    <w:uiPriority w:val="99"/>
    <w:semiHidden/>
    <w:rsid w:val="005B59FC"/>
    <w:rPr>
      <w:color w:val="808080"/>
    </w:rPr>
  </w:style>
  <w:style w:type="character" w:customStyle="1" w:styleId="Heading6Char">
    <w:name w:val="Heading 6 Char"/>
    <w:basedOn w:val="DefaultParagraphFont"/>
    <w:link w:val="Heading6"/>
    <w:rsid w:val="005B59FC"/>
    <w:rPr>
      <w:rFonts w:ascii="Times New Roman" w:hAnsi="Times New Roman"/>
      <w:b/>
      <w:sz w:val="24"/>
      <w:lang w:val="fr-FR" w:eastAsia="en-US"/>
    </w:rPr>
  </w:style>
  <w:style w:type="character" w:customStyle="1" w:styleId="Heading7Char">
    <w:name w:val="Heading 7 Char"/>
    <w:basedOn w:val="DefaultParagraphFont"/>
    <w:link w:val="Heading7"/>
    <w:rsid w:val="005B59FC"/>
    <w:rPr>
      <w:rFonts w:ascii="Times New Roman" w:hAnsi="Times New Roman"/>
      <w:b/>
      <w:sz w:val="24"/>
      <w:lang w:val="fr-FR" w:eastAsia="en-US"/>
    </w:rPr>
  </w:style>
  <w:style w:type="character" w:customStyle="1" w:styleId="Heading8Char">
    <w:name w:val="Heading 8 Char"/>
    <w:basedOn w:val="DefaultParagraphFont"/>
    <w:link w:val="Heading8"/>
    <w:rsid w:val="005B59FC"/>
    <w:rPr>
      <w:rFonts w:ascii="Times New Roman" w:hAnsi="Times New Roman"/>
      <w:b/>
      <w:sz w:val="24"/>
      <w:lang w:val="fr-FR" w:eastAsia="en-US"/>
    </w:rPr>
  </w:style>
  <w:style w:type="character" w:customStyle="1" w:styleId="Heading9Char">
    <w:name w:val="Heading 9 Char"/>
    <w:basedOn w:val="DefaultParagraphFont"/>
    <w:link w:val="Heading9"/>
    <w:rsid w:val="005B59FC"/>
    <w:rPr>
      <w:rFonts w:ascii="Times New Roman" w:hAnsi="Times New Roman"/>
      <w:b/>
      <w:sz w:val="24"/>
      <w:lang w:val="fr-FR" w:eastAsia="en-US"/>
    </w:rPr>
  </w:style>
  <w:style w:type="paragraph" w:customStyle="1" w:styleId="Reasons">
    <w:name w:val="Reasons"/>
    <w:basedOn w:val="Normal"/>
    <w:qFormat/>
    <w:rsid w:val="005B59FC"/>
    <w:pPr>
      <w:tabs>
        <w:tab w:val="clear" w:pos="794"/>
        <w:tab w:val="clear" w:pos="1191"/>
        <w:tab w:val="left" w:pos="1134"/>
      </w:tabs>
    </w:pPr>
    <w:rPr>
      <w:lang w:val="en-GB"/>
    </w:rPr>
  </w:style>
  <w:style w:type="paragraph" w:customStyle="1" w:styleId="ASN1">
    <w:name w:val="ASN.1"/>
    <w:basedOn w:val="Normal"/>
    <w:rsid w:val="005B59F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lang w:val="en-GB"/>
    </w:rPr>
  </w:style>
  <w:style w:type="paragraph" w:customStyle="1" w:styleId="FooterQP">
    <w:name w:val="Footer_QP"/>
    <w:basedOn w:val="Normal"/>
    <w:rsid w:val="005B59FC"/>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alloonText">
    <w:name w:val="Balloon Text"/>
    <w:basedOn w:val="Normal"/>
    <w:link w:val="BalloonTextChar"/>
    <w:rsid w:val="005B59FC"/>
    <w:pPr>
      <w:spacing w:before="0"/>
    </w:pPr>
    <w:rPr>
      <w:rFonts w:ascii="Tahoma" w:hAnsi="Tahoma" w:cs="Tahoma"/>
      <w:sz w:val="16"/>
      <w:szCs w:val="16"/>
      <w:lang w:val="en-GB"/>
    </w:rPr>
  </w:style>
  <w:style w:type="character" w:customStyle="1" w:styleId="BalloonTextChar">
    <w:name w:val="Balloon Text Char"/>
    <w:basedOn w:val="DefaultParagraphFont"/>
    <w:link w:val="BalloonText"/>
    <w:rsid w:val="005B59FC"/>
    <w:rPr>
      <w:rFonts w:ascii="Tahoma" w:hAnsi="Tahoma" w:cs="Tahoma"/>
      <w:sz w:val="16"/>
      <w:szCs w:val="16"/>
      <w:lang w:val="en-GB" w:eastAsia="en-US"/>
    </w:rPr>
  </w:style>
  <w:style w:type="paragraph" w:customStyle="1" w:styleId="Normalaftertitle0">
    <w:name w:val="Normal after title"/>
    <w:basedOn w:val="Normal"/>
    <w:next w:val="Normal"/>
    <w:rsid w:val="005B59FC"/>
    <w:pPr>
      <w:tabs>
        <w:tab w:val="clear" w:pos="794"/>
        <w:tab w:val="clear" w:pos="1191"/>
        <w:tab w:val="clear" w:pos="1588"/>
        <w:tab w:val="clear" w:pos="1985"/>
        <w:tab w:val="left" w:pos="1134"/>
        <w:tab w:val="left" w:pos="1871"/>
        <w:tab w:val="left" w:pos="2268"/>
      </w:tabs>
      <w:spacing w:before="280"/>
      <w:textAlignment w:val="auto"/>
    </w:pPr>
    <w:rPr>
      <w:lang w:val="en-GB"/>
    </w:rPr>
  </w:style>
  <w:style w:type="paragraph" w:customStyle="1" w:styleId="headingb0">
    <w:name w:val="heading_b"/>
    <w:basedOn w:val="Heading3"/>
    <w:next w:val="Normal"/>
    <w:rsid w:val="005B59FC"/>
    <w:pPr>
      <w:tabs>
        <w:tab w:val="clear" w:pos="1191"/>
        <w:tab w:val="clear" w:pos="1588"/>
        <w:tab w:val="clear" w:pos="1985"/>
        <w:tab w:val="left" w:pos="1134"/>
        <w:tab w:val="left" w:pos="1871"/>
        <w:tab w:val="left" w:pos="2127"/>
        <w:tab w:val="left" w:pos="2268"/>
        <w:tab w:val="left" w:pos="2410"/>
        <w:tab w:val="left" w:pos="2921"/>
        <w:tab w:val="left" w:pos="3261"/>
      </w:tabs>
      <w:ind w:left="0" w:firstLine="0"/>
      <w:textAlignment w:val="auto"/>
      <w:outlineLvl w:val="9"/>
    </w:pPr>
    <w:rPr>
      <w:b w:val="0"/>
      <w:lang w:val="en-GB"/>
    </w:rPr>
  </w:style>
  <w:style w:type="paragraph" w:styleId="PlainText">
    <w:name w:val="Plain Text"/>
    <w:basedOn w:val="Normal"/>
    <w:link w:val="PlainTextChar"/>
    <w:uiPriority w:val="99"/>
    <w:unhideWhenUsed/>
    <w:rsid w:val="005B59FC"/>
    <w:pPr>
      <w:tabs>
        <w:tab w:val="clear" w:pos="794"/>
        <w:tab w:val="clear" w:pos="1191"/>
        <w:tab w:val="clear" w:pos="1588"/>
        <w:tab w:val="clear" w:pos="1985"/>
      </w:tabs>
      <w:overflowPunct/>
      <w:autoSpaceDE/>
      <w:autoSpaceDN/>
      <w:adjustRightInd/>
      <w:spacing w:before="0"/>
      <w:textAlignment w:val="auto"/>
    </w:pPr>
    <w:rPr>
      <w:rFonts w:ascii="Consolas" w:eastAsiaTheme="minorEastAsia" w:hAnsi="Consolas" w:cstheme="minorBidi"/>
      <w:sz w:val="21"/>
      <w:szCs w:val="21"/>
      <w:lang w:val="en-US" w:eastAsia="zh-CN"/>
    </w:rPr>
  </w:style>
  <w:style w:type="character" w:customStyle="1" w:styleId="PlainTextChar">
    <w:name w:val="Plain Text Char"/>
    <w:basedOn w:val="DefaultParagraphFont"/>
    <w:link w:val="PlainText"/>
    <w:uiPriority w:val="99"/>
    <w:rsid w:val="005B59FC"/>
    <w:rPr>
      <w:rFonts w:ascii="Consolas" w:eastAsiaTheme="minorEastAsia" w:hAnsi="Consolas" w:cstheme="minorBidi"/>
      <w:sz w:val="21"/>
      <w:szCs w:val="21"/>
    </w:rPr>
  </w:style>
  <w:style w:type="paragraph" w:styleId="NoSpacing">
    <w:name w:val="No Spacing"/>
    <w:uiPriority w:val="1"/>
    <w:qFormat/>
    <w:rsid w:val="005B59FC"/>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5B59FC"/>
  </w:style>
  <w:style w:type="table" w:customStyle="1" w:styleId="TableGrid1">
    <w:name w:val="Table Grid1"/>
    <w:basedOn w:val="TableNormal"/>
    <w:next w:val="TableGrid"/>
    <w:rsid w:val="005B59FC"/>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59FC"/>
    <w:rPr>
      <w:b/>
      <w:bCs/>
    </w:rPr>
  </w:style>
  <w:style w:type="paragraph" w:customStyle="1" w:styleId="Annextitle">
    <w:name w:val="Annex_title"/>
    <w:basedOn w:val="Normal"/>
    <w:next w:val="Normal"/>
    <w:rsid w:val="005B59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nnexNo">
    <w:name w:val="Annex_No"/>
    <w:basedOn w:val="Normal"/>
    <w:next w:val="Normal"/>
    <w:rsid w:val="005B59FC"/>
    <w:pPr>
      <w:keepNext/>
      <w:keepLines/>
      <w:tabs>
        <w:tab w:val="clear" w:pos="794"/>
        <w:tab w:val="clear" w:pos="1191"/>
        <w:tab w:val="clear" w:pos="1588"/>
        <w:tab w:val="clear" w:pos="1985"/>
        <w:tab w:val="left" w:pos="1134"/>
        <w:tab w:val="left" w:pos="1871"/>
        <w:tab w:val="left" w:pos="2268"/>
      </w:tabs>
      <w:spacing w:before="480" w:after="80"/>
      <w:jc w:val="center"/>
    </w:pPr>
    <w:rPr>
      <w:sz w:val="28"/>
      <w:lang w:val="en-GB"/>
    </w:rPr>
  </w:style>
  <w:style w:type="character" w:customStyle="1" w:styleId="CallChar">
    <w:name w:val="Call Char"/>
    <w:basedOn w:val="DefaultParagraphFont"/>
    <w:link w:val="Call"/>
    <w:locked/>
    <w:rsid w:val="005B59FC"/>
    <w:rPr>
      <w:rFonts w:ascii="Times New Roman" w:hAnsi="Times New Roman"/>
      <w:i/>
      <w:sz w:val="24"/>
      <w:lang w:val="fr-FR" w:eastAsia="en-US"/>
    </w:rPr>
  </w:style>
  <w:style w:type="character" w:customStyle="1" w:styleId="HeadingbChar">
    <w:name w:val="Heading_b Char"/>
    <w:link w:val="Headingb"/>
    <w:locked/>
    <w:rsid w:val="005B59FC"/>
    <w:rPr>
      <w:rFonts w:ascii="Times New Roman" w:hAnsi="Times New Roman"/>
      <w:b/>
      <w:sz w:val="24"/>
      <w:lang w:val="fr-FR" w:eastAsia="en-US"/>
    </w:rPr>
  </w:style>
  <w:style w:type="character" w:customStyle="1" w:styleId="RestitleChar">
    <w:name w:val="Res_title Char"/>
    <w:basedOn w:val="DefaultParagraphFont"/>
    <w:link w:val="Restitle"/>
    <w:locked/>
    <w:rsid w:val="005B59FC"/>
    <w:rPr>
      <w:rFonts w:ascii="Times New Roman" w:hAnsi="Times New Roman"/>
      <w:b/>
      <w:sz w:val="28"/>
      <w:lang w:val="fr-FR" w:eastAsia="en-US"/>
    </w:rPr>
  </w:style>
  <w:style w:type="paragraph" w:styleId="NormalWeb">
    <w:name w:val="Normal (Web)"/>
    <w:basedOn w:val="Normal"/>
    <w:uiPriority w:val="99"/>
    <w:unhideWhenUsed/>
    <w:rsid w:val="005B59FC"/>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EndnoteText">
    <w:name w:val="endnote text"/>
    <w:basedOn w:val="Normal"/>
    <w:link w:val="EndnoteTextChar"/>
    <w:uiPriority w:val="99"/>
    <w:unhideWhenUsed/>
    <w:rsid w:val="005B59FC"/>
    <w:pPr>
      <w:spacing w:before="0"/>
      <w:textAlignment w:val="auto"/>
    </w:pPr>
    <w:rPr>
      <w:sz w:val="20"/>
      <w:lang w:val="en-GB"/>
    </w:rPr>
  </w:style>
  <w:style w:type="character" w:customStyle="1" w:styleId="EndnoteTextChar">
    <w:name w:val="Endnote Text Char"/>
    <w:basedOn w:val="DefaultParagraphFont"/>
    <w:link w:val="EndnoteText"/>
    <w:uiPriority w:val="99"/>
    <w:rsid w:val="005B59FC"/>
    <w:rPr>
      <w:rFonts w:ascii="Times New Roman" w:hAnsi="Times New Roman"/>
      <w:lang w:val="en-GB" w:eastAsia="en-US"/>
    </w:rPr>
  </w:style>
  <w:style w:type="paragraph" w:styleId="Title">
    <w:name w:val="Title"/>
    <w:basedOn w:val="Normal"/>
    <w:next w:val="Normal"/>
    <w:link w:val="TitleChar"/>
    <w:qFormat/>
    <w:rsid w:val="005B59FC"/>
    <w:pPr>
      <w:pBdr>
        <w:bottom w:val="single" w:sz="8" w:space="4" w:color="4F81BD" w:themeColor="accent1"/>
      </w:pBdr>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5B59FC"/>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5B59FC"/>
    <w:pPr>
      <w:textAlignment w:val="auto"/>
    </w:pPr>
    <w:rPr>
      <w:b/>
      <w:bCs/>
      <w:i/>
      <w:iCs/>
      <w:szCs w:val="24"/>
      <w:lang w:val="en-GB"/>
    </w:rPr>
  </w:style>
  <w:style w:type="character" w:customStyle="1" w:styleId="BodyTextChar">
    <w:name w:val="Body Text Char"/>
    <w:basedOn w:val="DefaultParagraphFont"/>
    <w:link w:val="BodyText"/>
    <w:rsid w:val="005B59FC"/>
    <w:rPr>
      <w:rFonts w:ascii="Times New Roman" w:hAnsi="Times New Roman"/>
      <w:b/>
      <w:bCs/>
      <w:i/>
      <w:iCs/>
      <w:sz w:val="24"/>
      <w:szCs w:val="24"/>
      <w:lang w:val="en-GB" w:eastAsia="en-US"/>
    </w:rPr>
  </w:style>
  <w:style w:type="paragraph" w:styleId="BodyTextIndent">
    <w:name w:val="Body Text Indent"/>
    <w:basedOn w:val="Normal"/>
    <w:link w:val="BodyTextIndentChar"/>
    <w:unhideWhenUsed/>
    <w:rsid w:val="005B59FC"/>
    <w:pPr>
      <w:spacing w:after="120"/>
      <w:ind w:left="360"/>
      <w:textAlignment w:val="auto"/>
    </w:pPr>
    <w:rPr>
      <w:lang w:val="en-GB"/>
    </w:rPr>
  </w:style>
  <w:style w:type="character" w:customStyle="1" w:styleId="BodyTextIndentChar">
    <w:name w:val="Body Text Indent Char"/>
    <w:basedOn w:val="DefaultParagraphFont"/>
    <w:link w:val="BodyTextIndent"/>
    <w:rsid w:val="005B59FC"/>
    <w:rPr>
      <w:rFonts w:ascii="Times New Roman" w:hAnsi="Times New Roman"/>
      <w:sz w:val="24"/>
      <w:lang w:val="en-GB" w:eastAsia="en-US"/>
    </w:rPr>
  </w:style>
  <w:style w:type="paragraph" w:styleId="Subtitle">
    <w:name w:val="Subtitle"/>
    <w:basedOn w:val="Normal"/>
    <w:next w:val="Normal"/>
    <w:link w:val="SubtitleChar"/>
    <w:uiPriority w:val="11"/>
    <w:qFormat/>
    <w:rsid w:val="005B59FC"/>
    <w:pPr>
      <w:tabs>
        <w:tab w:val="clear" w:pos="794"/>
        <w:tab w:val="clear" w:pos="1191"/>
        <w:tab w:val="clear" w:pos="1588"/>
        <w:tab w:val="clear" w:pos="1985"/>
      </w:tabs>
      <w:overflowPunct/>
      <w:autoSpaceDE/>
      <w:autoSpaceDN/>
      <w:adjustRightInd/>
      <w:spacing w:before="0" w:after="200" w:line="276" w:lineRule="auto"/>
      <w:textAlignment w:val="auto"/>
    </w:pPr>
    <w:rPr>
      <w:rFonts w:ascii="Cambria" w:eastAsia="SimSun" w:hAnsi="Cambria"/>
      <w:i/>
      <w:iCs/>
      <w:color w:val="4F81BD"/>
      <w:spacing w:val="15"/>
      <w:szCs w:val="24"/>
      <w:lang w:val="en-US" w:eastAsia="zh-CN"/>
    </w:rPr>
  </w:style>
  <w:style w:type="character" w:customStyle="1" w:styleId="SubtitleChar">
    <w:name w:val="Subtitle Char"/>
    <w:basedOn w:val="DefaultParagraphFont"/>
    <w:link w:val="Subtitle"/>
    <w:uiPriority w:val="11"/>
    <w:rsid w:val="005B59FC"/>
    <w:rPr>
      <w:rFonts w:ascii="Cambria" w:eastAsia="SimSun" w:hAnsi="Cambria"/>
      <w:i/>
      <w:iCs/>
      <w:color w:val="4F81BD"/>
      <w:spacing w:val="15"/>
      <w:sz w:val="24"/>
      <w:szCs w:val="24"/>
    </w:rPr>
  </w:style>
  <w:style w:type="paragraph" w:styleId="BodyText2">
    <w:name w:val="Body Text 2"/>
    <w:basedOn w:val="Normal"/>
    <w:link w:val="BodyText2Char"/>
    <w:unhideWhenUsed/>
    <w:rsid w:val="005B59FC"/>
    <w:pPr>
      <w:spacing w:after="120" w:line="480" w:lineRule="auto"/>
      <w:textAlignment w:val="auto"/>
    </w:pPr>
    <w:rPr>
      <w:lang w:val="en-GB"/>
    </w:rPr>
  </w:style>
  <w:style w:type="character" w:customStyle="1" w:styleId="BodyText2Char">
    <w:name w:val="Body Text 2 Char"/>
    <w:basedOn w:val="DefaultParagraphFont"/>
    <w:link w:val="BodyText2"/>
    <w:rsid w:val="005B59FC"/>
    <w:rPr>
      <w:rFonts w:ascii="Times New Roman" w:hAnsi="Times New Roman"/>
      <w:sz w:val="24"/>
      <w:lang w:val="en-GB" w:eastAsia="en-US"/>
    </w:rPr>
  </w:style>
  <w:style w:type="paragraph" w:styleId="Revision">
    <w:name w:val="Revision"/>
    <w:uiPriority w:val="99"/>
    <w:semiHidden/>
    <w:rsid w:val="005B59FC"/>
    <w:rPr>
      <w:rFonts w:ascii="Times New Roman" w:hAnsi="Times New Roman"/>
      <w:sz w:val="24"/>
      <w:lang w:val="en-GB" w:eastAsia="en-US"/>
    </w:rPr>
  </w:style>
  <w:style w:type="table" w:customStyle="1" w:styleId="GridTable1Light-Accent512">
    <w:name w:val="Grid Table 1 Light - Accent 512"/>
    <w:basedOn w:val="TableNormal"/>
    <w:uiPriority w:val="46"/>
    <w:rsid w:val="005B59FC"/>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5B59FC"/>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5B59FC"/>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No">
    <w:name w:val="Table_No"/>
    <w:basedOn w:val="Normal"/>
    <w:next w:val="Normal"/>
    <w:uiPriority w:val="99"/>
    <w:rsid w:val="005B59FC"/>
    <w:pPr>
      <w:keepNext/>
      <w:tabs>
        <w:tab w:val="clear" w:pos="794"/>
        <w:tab w:val="clear" w:pos="1191"/>
        <w:tab w:val="clear" w:pos="1588"/>
        <w:tab w:val="clear" w:pos="1985"/>
        <w:tab w:val="left" w:pos="1134"/>
        <w:tab w:val="left" w:pos="1871"/>
        <w:tab w:val="left" w:pos="2268"/>
      </w:tabs>
      <w:spacing w:before="560" w:after="120"/>
      <w:jc w:val="center"/>
    </w:pPr>
    <w:rPr>
      <w:lang w:val="en-GB"/>
    </w:rPr>
  </w:style>
  <w:style w:type="paragraph" w:customStyle="1" w:styleId="Tabletitle">
    <w:name w:val="Table_title"/>
    <w:basedOn w:val="Normal"/>
    <w:next w:val="Tabletext"/>
    <w:rsid w:val="005B59FC"/>
    <w:pPr>
      <w:keepNext/>
      <w:keepLines/>
      <w:tabs>
        <w:tab w:val="clear" w:pos="794"/>
        <w:tab w:val="clear" w:pos="1191"/>
        <w:tab w:val="clear" w:pos="1588"/>
        <w:tab w:val="clear" w:pos="1985"/>
        <w:tab w:val="left" w:pos="1134"/>
        <w:tab w:val="left" w:pos="1871"/>
        <w:tab w:val="left" w:pos="2268"/>
      </w:tabs>
      <w:spacing w:before="0" w:after="120"/>
      <w:jc w:val="center"/>
    </w:pPr>
    <w:rPr>
      <w:rFonts w:ascii="Times New Roman Bold" w:hAnsi="Times New Roman Bold"/>
      <w:b/>
      <w:sz w:val="20"/>
      <w:lang w:val="en-GB"/>
    </w:rPr>
  </w:style>
  <w:style w:type="paragraph" w:styleId="Index4">
    <w:name w:val="index 4"/>
    <w:basedOn w:val="Normal"/>
    <w:next w:val="Normal"/>
    <w:autoRedefine/>
    <w:uiPriority w:val="99"/>
    <w:unhideWhenUsed/>
    <w:rsid w:val="005B59FC"/>
    <w:pPr>
      <w:tabs>
        <w:tab w:val="clear" w:pos="794"/>
        <w:tab w:val="clear" w:pos="1191"/>
        <w:tab w:val="clear" w:pos="1588"/>
        <w:tab w:val="clear" w:pos="1985"/>
      </w:tabs>
      <w:overflowPunct/>
      <w:autoSpaceDE/>
      <w:autoSpaceDN/>
      <w:adjustRightInd/>
      <w:spacing w:before="0" w:line="259" w:lineRule="auto"/>
      <w:ind w:left="880" w:hanging="220"/>
      <w:textAlignment w:val="auto"/>
    </w:pPr>
    <w:rPr>
      <w:rFonts w:eastAsiaTheme="minorEastAsia" w:cstheme="minorBidi"/>
      <w:sz w:val="18"/>
      <w:szCs w:val="18"/>
      <w:lang w:val="en-US" w:eastAsia="zh-CN"/>
    </w:rPr>
  </w:style>
  <w:style w:type="paragraph" w:styleId="Index5">
    <w:name w:val="index 5"/>
    <w:basedOn w:val="Normal"/>
    <w:next w:val="Normal"/>
    <w:autoRedefine/>
    <w:uiPriority w:val="99"/>
    <w:unhideWhenUsed/>
    <w:rsid w:val="005B59FC"/>
    <w:pPr>
      <w:tabs>
        <w:tab w:val="clear" w:pos="794"/>
        <w:tab w:val="clear" w:pos="1191"/>
        <w:tab w:val="clear" w:pos="1588"/>
        <w:tab w:val="clear" w:pos="1985"/>
      </w:tabs>
      <w:overflowPunct/>
      <w:autoSpaceDE/>
      <w:autoSpaceDN/>
      <w:adjustRightInd/>
      <w:spacing w:before="0" w:line="259" w:lineRule="auto"/>
      <w:ind w:left="1100" w:hanging="220"/>
      <w:textAlignment w:val="auto"/>
    </w:pPr>
    <w:rPr>
      <w:rFonts w:eastAsiaTheme="minorEastAsia" w:cstheme="minorBidi"/>
      <w:sz w:val="18"/>
      <w:szCs w:val="18"/>
      <w:lang w:val="en-US" w:eastAsia="zh-CN"/>
    </w:rPr>
  </w:style>
  <w:style w:type="paragraph" w:styleId="Index6">
    <w:name w:val="index 6"/>
    <w:basedOn w:val="Normal"/>
    <w:next w:val="Normal"/>
    <w:autoRedefine/>
    <w:uiPriority w:val="99"/>
    <w:unhideWhenUsed/>
    <w:rsid w:val="005B59FC"/>
    <w:pPr>
      <w:tabs>
        <w:tab w:val="clear" w:pos="794"/>
        <w:tab w:val="clear" w:pos="1191"/>
        <w:tab w:val="clear" w:pos="1588"/>
        <w:tab w:val="clear" w:pos="1985"/>
      </w:tabs>
      <w:overflowPunct/>
      <w:autoSpaceDE/>
      <w:autoSpaceDN/>
      <w:adjustRightInd/>
      <w:spacing w:before="0" w:line="259" w:lineRule="auto"/>
      <w:ind w:left="1320" w:hanging="220"/>
      <w:textAlignment w:val="auto"/>
    </w:pPr>
    <w:rPr>
      <w:rFonts w:eastAsiaTheme="minorEastAsia" w:cstheme="minorBidi"/>
      <w:sz w:val="18"/>
      <w:szCs w:val="18"/>
      <w:lang w:val="en-US" w:eastAsia="zh-CN"/>
    </w:rPr>
  </w:style>
  <w:style w:type="paragraph" w:styleId="Index7">
    <w:name w:val="index 7"/>
    <w:basedOn w:val="Normal"/>
    <w:next w:val="Normal"/>
    <w:autoRedefine/>
    <w:uiPriority w:val="99"/>
    <w:unhideWhenUsed/>
    <w:rsid w:val="005B59FC"/>
    <w:pPr>
      <w:tabs>
        <w:tab w:val="clear" w:pos="794"/>
        <w:tab w:val="clear" w:pos="1191"/>
        <w:tab w:val="clear" w:pos="1588"/>
        <w:tab w:val="clear" w:pos="1985"/>
      </w:tabs>
      <w:overflowPunct/>
      <w:autoSpaceDE/>
      <w:autoSpaceDN/>
      <w:adjustRightInd/>
      <w:spacing w:before="0" w:line="259" w:lineRule="auto"/>
      <w:ind w:left="1540" w:hanging="220"/>
      <w:textAlignment w:val="auto"/>
    </w:pPr>
    <w:rPr>
      <w:rFonts w:eastAsiaTheme="minorEastAsia" w:cstheme="minorBidi"/>
      <w:sz w:val="18"/>
      <w:szCs w:val="18"/>
      <w:lang w:val="en-US" w:eastAsia="zh-CN"/>
    </w:rPr>
  </w:style>
  <w:style w:type="paragraph" w:styleId="Index8">
    <w:name w:val="index 8"/>
    <w:basedOn w:val="Normal"/>
    <w:next w:val="Normal"/>
    <w:autoRedefine/>
    <w:uiPriority w:val="99"/>
    <w:unhideWhenUsed/>
    <w:rsid w:val="005B59FC"/>
    <w:pPr>
      <w:tabs>
        <w:tab w:val="clear" w:pos="794"/>
        <w:tab w:val="clear" w:pos="1191"/>
        <w:tab w:val="clear" w:pos="1588"/>
        <w:tab w:val="clear" w:pos="1985"/>
      </w:tabs>
      <w:overflowPunct/>
      <w:autoSpaceDE/>
      <w:autoSpaceDN/>
      <w:adjustRightInd/>
      <w:spacing w:before="0" w:line="259" w:lineRule="auto"/>
      <w:ind w:left="1760" w:hanging="220"/>
      <w:textAlignment w:val="auto"/>
    </w:pPr>
    <w:rPr>
      <w:rFonts w:eastAsiaTheme="minorEastAsia" w:cstheme="minorBidi"/>
      <w:sz w:val="18"/>
      <w:szCs w:val="18"/>
      <w:lang w:val="en-US" w:eastAsia="zh-CN"/>
    </w:rPr>
  </w:style>
  <w:style w:type="paragraph" w:styleId="Index9">
    <w:name w:val="index 9"/>
    <w:basedOn w:val="Normal"/>
    <w:next w:val="Normal"/>
    <w:autoRedefine/>
    <w:uiPriority w:val="99"/>
    <w:unhideWhenUsed/>
    <w:rsid w:val="005B59FC"/>
    <w:pPr>
      <w:tabs>
        <w:tab w:val="clear" w:pos="794"/>
        <w:tab w:val="clear" w:pos="1191"/>
        <w:tab w:val="clear" w:pos="1588"/>
        <w:tab w:val="clear" w:pos="1985"/>
      </w:tabs>
      <w:overflowPunct/>
      <w:autoSpaceDE/>
      <w:autoSpaceDN/>
      <w:adjustRightInd/>
      <w:spacing w:before="0" w:line="259" w:lineRule="auto"/>
      <w:ind w:left="1980" w:hanging="220"/>
      <w:textAlignment w:val="auto"/>
    </w:pPr>
    <w:rPr>
      <w:rFonts w:eastAsiaTheme="minorEastAsia" w:cstheme="minorBidi"/>
      <w:sz w:val="18"/>
      <w:szCs w:val="18"/>
      <w:lang w:val="en-US" w:eastAsia="zh-CN"/>
    </w:rPr>
  </w:style>
  <w:style w:type="paragraph" w:styleId="IndexHeading">
    <w:name w:val="index heading"/>
    <w:basedOn w:val="Normal"/>
    <w:next w:val="Index1"/>
    <w:uiPriority w:val="99"/>
    <w:unhideWhenUsed/>
    <w:rsid w:val="005B59FC"/>
    <w:pPr>
      <w:tabs>
        <w:tab w:val="clear" w:pos="794"/>
        <w:tab w:val="clear" w:pos="1191"/>
        <w:tab w:val="clear" w:pos="1588"/>
        <w:tab w:val="clear" w:pos="1985"/>
      </w:tabs>
      <w:overflowPunct/>
      <w:autoSpaceDE/>
      <w:autoSpaceDN/>
      <w:adjustRightInd/>
      <w:spacing w:before="240" w:after="120" w:line="259" w:lineRule="auto"/>
      <w:jc w:val="center"/>
      <w:textAlignment w:val="auto"/>
    </w:pPr>
    <w:rPr>
      <w:rFonts w:eastAsiaTheme="minorEastAsia" w:cstheme="minorBidi"/>
      <w:b/>
      <w:bCs/>
      <w:sz w:val="26"/>
      <w:szCs w:val="26"/>
      <w:lang w:val="en-US" w:eastAsia="zh-CN"/>
    </w:rPr>
  </w:style>
  <w:style w:type="paragraph" w:styleId="TOC9">
    <w:name w:val="toc 9"/>
    <w:basedOn w:val="Normal"/>
    <w:next w:val="Normal"/>
    <w:autoRedefine/>
    <w:uiPriority w:val="39"/>
    <w:unhideWhenUsed/>
    <w:rsid w:val="005B59FC"/>
    <w:pPr>
      <w:tabs>
        <w:tab w:val="clear" w:pos="794"/>
        <w:tab w:val="clear" w:pos="1191"/>
        <w:tab w:val="clear" w:pos="1588"/>
        <w:tab w:val="clear" w:pos="1985"/>
      </w:tabs>
      <w:overflowPunct/>
      <w:autoSpaceDE/>
      <w:autoSpaceDN/>
      <w:adjustRightInd/>
      <w:spacing w:before="0" w:line="259" w:lineRule="auto"/>
      <w:ind w:left="1760"/>
      <w:textAlignment w:val="auto"/>
    </w:pPr>
    <w:rPr>
      <w:rFonts w:eastAsiaTheme="minorEastAsia" w:cstheme="minorBidi"/>
      <w:sz w:val="20"/>
      <w:lang w:val="en-US" w:eastAsia="zh-CN"/>
    </w:rPr>
  </w:style>
  <w:style w:type="table" w:customStyle="1" w:styleId="TableGrid2">
    <w:name w:val="Table Grid2"/>
    <w:basedOn w:val="TableNormal"/>
    <w:next w:val="TableGrid"/>
    <w:uiPriority w:val="39"/>
    <w:rsid w:val="005B59FC"/>
    <w:rPr>
      <w:rFonts w:asciiTheme="minorHAnsi" w:eastAsiaTheme="minorEastAsia"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B59F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eastAsia="zh-CN"/>
    </w:rPr>
  </w:style>
  <w:style w:type="table" w:styleId="ListTable2-Accent1">
    <w:name w:val="List Table 2 Accent 1"/>
    <w:basedOn w:val="TableNormal"/>
    <w:uiPriority w:val="47"/>
    <w:rsid w:val="005B59F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5B59F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rsid w:val="005B59FC"/>
    <w:rPr>
      <w:lang w:val="en-GB"/>
    </w:rPr>
  </w:style>
  <w:style w:type="character" w:customStyle="1" w:styleId="DateChar">
    <w:name w:val="Date Char"/>
    <w:basedOn w:val="DefaultParagraphFont"/>
    <w:link w:val="Date"/>
    <w:rsid w:val="005B59FC"/>
    <w:rPr>
      <w:rFonts w:ascii="Times New Roman" w:hAnsi="Times New Roman"/>
      <w:sz w:val="24"/>
      <w:lang w:val="en-GB" w:eastAsia="en-US"/>
    </w:rPr>
  </w:style>
  <w:style w:type="paragraph" w:customStyle="1" w:styleId="Tablefin">
    <w:name w:val="Table_fin"/>
    <w:basedOn w:val="Tabletext"/>
    <w:rsid w:val="005B59FC"/>
    <w:rPr>
      <w:sz w:val="20"/>
      <w:lang w:val="en-GB"/>
    </w:rPr>
  </w:style>
  <w:style w:type="paragraph" w:customStyle="1" w:styleId="paragraph">
    <w:name w:val="paragraph"/>
    <w:basedOn w:val="Normal"/>
    <w:rsid w:val="005B59FC"/>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GB" w:eastAsia="en-GB"/>
    </w:rPr>
  </w:style>
  <w:style w:type="character" w:customStyle="1" w:styleId="eop">
    <w:name w:val="eop"/>
    <w:basedOn w:val="DefaultParagraphFont"/>
    <w:rsid w:val="005B5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R-RES-R.72/fr" TargetMode="External"/><Relationship Id="rId117" Type="http://schemas.openxmlformats.org/officeDocument/2006/relationships/hyperlink" Target="https://www.itu.int/pub/R-RES-R.72/fr" TargetMode="External"/><Relationship Id="rId21" Type="http://schemas.openxmlformats.org/officeDocument/2006/relationships/hyperlink" Target="https://www.itu.int/pub/R-RES-R.4/fr" TargetMode="External"/><Relationship Id="rId42" Type="http://schemas.openxmlformats.org/officeDocument/2006/relationships/hyperlink" Target="https://www.itu.int/wrc-23/fr/" TargetMode="External"/><Relationship Id="rId47" Type="http://schemas.openxmlformats.org/officeDocument/2006/relationships/image" Target="media/image7.emf"/><Relationship Id="rId63" Type="http://schemas.openxmlformats.org/officeDocument/2006/relationships/hyperlink" Target="https://www.sica.int/comtelca/inicio" TargetMode="External"/><Relationship Id="rId68" Type="http://schemas.openxmlformats.org/officeDocument/2006/relationships/footer" Target="footer3.xml"/><Relationship Id="rId84" Type="http://schemas.openxmlformats.org/officeDocument/2006/relationships/hyperlink" Target="https://www.itu.int/futureradionow/" TargetMode="External"/><Relationship Id="rId89" Type="http://schemas.openxmlformats.org/officeDocument/2006/relationships/hyperlink" Target="https://www.itu.int/fr/mediacentre/Pages/PR-2023-12-01-IMT-2030-for-6G-mobile-technologies.aspx" TargetMode="External"/><Relationship Id="rId112" Type="http://schemas.openxmlformats.org/officeDocument/2006/relationships/hyperlink" Target="https://www.itu.int/fr/ITU-R/Director/Pages/default.aspx" TargetMode="External"/><Relationship Id="rId16" Type="http://schemas.openxmlformats.org/officeDocument/2006/relationships/hyperlink" Target="https://www.itu.int/md/S24-RCLCWGLANG14-C-0002/en" TargetMode="External"/><Relationship Id="rId107" Type="http://schemas.openxmlformats.org/officeDocument/2006/relationships/hyperlink" Target="https://www.itu.int/fr/mediacentre/backgrounders/Pages/Radiocommunications-for-keeping-ships-and-people-safe-at-sea.aspx" TargetMode="External"/><Relationship Id="rId11" Type="http://schemas.openxmlformats.org/officeDocument/2006/relationships/hyperlink" Target="https://www.itu.int/md/S23-CL-C-0016/en" TargetMode="External"/><Relationship Id="rId32" Type="http://schemas.openxmlformats.org/officeDocument/2006/relationships/hyperlink" Target="https://www.itu.int/pub/R-RES-R.15/fr" TargetMode="External"/><Relationship Id="rId37" Type="http://schemas.openxmlformats.org/officeDocument/2006/relationships/hyperlink" Target="https://www.itu.int/md/R23-RA23-C-0103/en" TargetMode="External"/><Relationship Id="rId53" Type="http://schemas.openxmlformats.org/officeDocument/2006/relationships/hyperlink" Target="https://www.itu.int/fr/publications/ITU-R/Pages/publications.aspx?parent=R-REG-RR-2020&amp;media=electronic" TargetMode="External"/><Relationship Id="rId58" Type="http://schemas.openxmlformats.org/officeDocument/2006/relationships/footer" Target="footer2.xml"/><Relationship Id="rId74" Type="http://schemas.openxmlformats.org/officeDocument/2006/relationships/image" Target="media/image10.png"/><Relationship Id="rId79" Type="http://schemas.openxmlformats.org/officeDocument/2006/relationships/hyperlink" Target="mailto:brweb@itu.int" TargetMode="External"/><Relationship Id="rId102" Type="http://schemas.openxmlformats.org/officeDocument/2006/relationships/hyperlink" Target="https://www.itu.int/en/ITU-R/terrestrial/Pages/by-categories-faq.aspx?maincategorizedby=1"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itu.int/fr/mediacentre/Pages/PR-2023-11-20-WRC23-opening-ceremony.aspx" TargetMode="External"/><Relationship Id="rId95" Type="http://schemas.openxmlformats.org/officeDocument/2006/relationships/hyperlink" Target="https://www.itu.int/hub/publication/s-gen-news-2023-4/" TargetMode="External"/><Relationship Id="rId22" Type="http://schemas.openxmlformats.org/officeDocument/2006/relationships/hyperlink" Target="https://www.itu.int/md/R23-RA23-C-0091/en" TargetMode="External"/><Relationship Id="rId27" Type="http://schemas.openxmlformats.org/officeDocument/2006/relationships/hyperlink" Target="https://www.itu.int/pub/R-RES-R.73/fr" TargetMode="External"/><Relationship Id="rId43" Type="http://schemas.openxmlformats.org/officeDocument/2006/relationships/hyperlink" Target="https://www.itu.int/md/R23-WRC23-C-0460/fr" TargetMode="External"/><Relationship Id="rId48" Type="http://schemas.openxmlformats.org/officeDocument/2006/relationships/image" Target="media/image8.emf"/><Relationship Id="rId64" Type="http://schemas.openxmlformats.org/officeDocument/2006/relationships/hyperlink" Target="https://www.arpce.cg/" TargetMode="External"/><Relationship Id="rId69" Type="http://schemas.openxmlformats.org/officeDocument/2006/relationships/header" Target="header3.xml"/><Relationship Id="rId113" Type="http://schemas.openxmlformats.org/officeDocument/2006/relationships/hyperlink" Target="https://www.itu.int/hub/2022/11/wrs-radio-regulations-software-tools/" TargetMode="External"/><Relationship Id="rId118" Type="http://schemas.openxmlformats.org/officeDocument/2006/relationships/header" Target="header4.xml"/><Relationship Id="rId80" Type="http://schemas.openxmlformats.org/officeDocument/2006/relationships/hyperlink" Target="https://www.itu.int/wrc-23/fr/" TargetMode="External"/><Relationship Id="rId85" Type="http://schemas.openxmlformats.org/officeDocument/2006/relationships/hyperlink" Target="https://www.itu.int/futureradionow/" TargetMode="External"/><Relationship Id="rId12" Type="http://schemas.openxmlformats.org/officeDocument/2006/relationships/hyperlink" Target="https://www.itu.int/md/S23-CL-C-0019/en" TargetMode="External"/><Relationship Id="rId17" Type="http://schemas.openxmlformats.org/officeDocument/2006/relationships/hyperlink" Target="https://www.itu.int/ra-23/fr/" TargetMode="External"/><Relationship Id="rId33" Type="http://schemas.openxmlformats.org/officeDocument/2006/relationships/hyperlink" Target="https://www.itu.int/pub/R-RES-R.48/fr" TargetMode="External"/><Relationship Id="rId38" Type="http://schemas.openxmlformats.org/officeDocument/2006/relationships/hyperlink" Target="https://www.itu.int/en/ITU-R/conferences/wrc/2023/irwsp/Pages/2023.aspx" TargetMode="External"/><Relationship Id="rId59" Type="http://schemas.openxmlformats.org/officeDocument/2006/relationships/hyperlink" Target="http://www.fiji.gov.fj/" TargetMode="External"/><Relationship Id="rId103" Type="http://schemas.openxmlformats.org/officeDocument/2006/relationships/hyperlink" Target="https://www.itu.int/fr/mediacentre/backgrounders/Pages/5G-fifth-generation-of-mobile-technologies.aspx" TargetMode="External"/><Relationship Id="rId108" Type="http://schemas.openxmlformats.org/officeDocument/2006/relationships/hyperlink" Target="https://www.itu.int/fr/mediacentre/backgrounders/Pages/Earth-stations-in-motion-satellite-issues.aspx" TargetMode="External"/><Relationship Id="rId124" Type="http://schemas.openxmlformats.org/officeDocument/2006/relationships/theme" Target="theme/theme1.xml"/><Relationship Id="rId54" Type="http://schemas.openxmlformats.org/officeDocument/2006/relationships/hyperlink" Target="https://www.itu.int/hub/publication/r-reg-rr-2020/" TargetMode="External"/><Relationship Id="rId70" Type="http://schemas.openxmlformats.org/officeDocument/2006/relationships/footer" Target="footer4.xml"/><Relationship Id="rId75" Type="http://schemas.openxmlformats.org/officeDocument/2006/relationships/image" Target="media/image11.png"/><Relationship Id="rId91" Type="http://schemas.openxmlformats.org/officeDocument/2006/relationships/hyperlink" Target="https://www.itu.int/fr/mediacentre/Pages/PR-2023-11-17-RA23-closing-ceremony.aspx" TargetMode="External"/><Relationship Id="rId96" Type="http://schemas.openxmlformats.org/officeDocument/2006/relationships/hyperlink" Target="https://www.itu.int/hub/publication/s-gen-news-2023-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itu.int/pub/R-RES-R.5/fr" TargetMode="External"/><Relationship Id="rId28" Type="http://schemas.openxmlformats.org/officeDocument/2006/relationships/hyperlink" Target="https://www.itu.int/pub/R-RES-R.74/fr" TargetMode="External"/><Relationship Id="rId49" Type="http://schemas.openxmlformats.org/officeDocument/2006/relationships/hyperlink" Target="http://www.itu.int/md/R00-CA-CIR-0270/en" TargetMode="External"/><Relationship Id="rId114" Type="http://schemas.openxmlformats.org/officeDocument/2006/relationships/hyperlink" Target="http://RA-23" TargetMode="External"/><Relationship Id="rId119" Type="http://schemas.openxmlformats.org/officeDocument/2006/relationships/header" Target="header5.xml"/><Relationship Id="rId44" Type="http://schemas.openxmlformats.org/officeDocument/2006/relationships/hyperlink" Target="https://www.itu.int/md/S24CWGFHR17-C-0012/en" TargetMode="External"/><Relationship Id="rId60" Type="http://schemas.openxmlformats.org/officeDocument/2006/relationships/hyperlink" Target="https://www.pita.org.fj/" TargetMode="External"/><Relationship Id="rId65" Type="http://schemas.openxmlformats.org/officeDocument/2006/relationships/hyperlink" Target="https://prida.africa/fr/" TargetMode="External"/><Relationship Id="rId81" Type="http://schemas.openxmlformats.org/officeDocument/2006/relationships/hyperlink" Target="https://www.itu.int/ra-23/fr/" TargetMode="External"/><Relationship Id="rId86" Type="http://schemas.openxmlformats.org/officeDocument/2006/relationships/hyperlink" Target="https://www.itu.int/wrc-23/newsroom/wrc-news/" TargetMode="External"/><Relationship Id="rId4" Type="http://schemas.openxmlformats.org/officeDocument/2006/relationships/webSettings" Target="webSettings.xml"/><Relationship Id="rId9" Type="http://schemas.openxmlformats.org/officeDocument/2006/relationships/hyperlink" Target="https://council.itu.int/2023/en/" TargetMode="External"/><Relationship Id="rId13" Type="http://schemas.openxmlformats.org/officeDocument/2006/relationships/hyperlink" Target="https://www.itu.int/md/S23-CL-C-0019/en" TargetMode="External"/><Relationship Id="rId18" Type="http://schemas.openxmlformats.org/officeDocument/2006/relationships/hyperlink" Target="https://www.itu.int/pub/R-RES-R.1/fr" TargetMode="External"/><Relationship Id="rId39" Type="http://schemas.openxmlformats.org/officeDocument/2006/relationships/hyperlink" Target="https://www.itu.int/wrc-23/fr/preparations/preparation-of-proposals/" TargetMode="External"/><Relationship Id="rId109" Type="http://schemas.openxmlformats.org/officeDocument/2006/relationships/hyperlink" Target="https://www.itu.int/fr/mediacentre/backgrounders/Pages/Non-geostationary-satellite-systems.aspx" TargetMode="External"/><Relationship Id="rId34" Type="http://schemas.openxmlformats.org/officeDocument/2006/relationships/hyperlink" Target="https://www.itu.int/md/R23-WRC23-C-0217/en" TargetMode="External"/><Relationship Id="rId50" Type="http://schemas.openxmlformats.org/officeDocument/2006/relationships/hyperlink" Target="https://www.itu.int/md/S23-CL-C-0113/en" TargetMode="External"/><Relationship Id="rId55" Type="http://schemas.openxmlformats.org/officeDocument/2006/relationships/hyperlink" Target="https://www.itu.int/fr/ITU-R/seminars/Pages/default.aspx" TargetMode="External"/><Relationship Id="rId76" Type="http://schemas.openxmlformats.org/officeDocument/2006/relationships/image" Target="media/image12.png"/><Relationship Id="rId97" Type="http://schemas.openxmlformats.org/officeDocument/2006/relationships/hyperlink" Target="https://www.itu.int/hub/publication/s-gen-news-2023-2/" TargetMode="External"/><Relationship Id="rId104" Type="http://schemas.openxmlformats.org/officeDocument/2006/relationships/hyperlink" Target="https://www.itu.int/fr/mediacentre/backgrounders/Pages/High-altitude-platform-systems.aspx" TargetMode="External"/><Relationship Id="rId120" Type="http://schemas.openxmlformats.org/officeDocument/2006/relationships/footer" Target="footer5.xml"/><Relationship Id="rId7" Type="http://schemas.openxmlformats.org/officeDocument/2006/relationships/image" Target="media/image1.jpeg"/><Relationship Id="rId71" Type="http://schemas.openxmlformats.org/officeDocument/2006/relationships/hyperlink" Target="https://www.itu.int/en/ITU-D/Regional-Presence/Africa/Pages/Online-workshop-on-the-preparation-of-the-National-Table-of-Frequency-Allocation-(NTFA).aspx" TargetMode="External"/><Relationship Id="rId9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www.itu.int/pub/R-RES-R.75/fr" TargetMode="External"/><Relationship Id="rId24" Type="http://schemas.openxmlformats.org/officeDocument/2006/relationships/hyperlink" Target="https://www.itu.int/pub/R-RES-R.56/fr" TargetMode="External"/><Relationship Id="rId40" Type="http://schemas.openxmlformats.org/officeDocument/2006/relationships/image" Target="media/image3.png"/><Relationship Id="rId45" Type="http://schemas.openxmlformats.org/officeDocument/2006/relationships/image" Target="media/image5.emf"/><Relationship Id="rId66" Type="http://schemas.openxmlformats.org/officeDocument/2006/relationships/hyperlink" Target="https://atuuat.africa/" TargetMode="External"/><Relationship Id="rId87" Type="http://schemas.openxmlformats.org/officeDocument/2006/relationships/hyperlink" Target="https://www.itu.int/wrc-23/newsroom/wrc-news/" TargetMode="External"/><Relationship Id="rId110" Type="http://schemas.openxmlformats.org/officeDocument/2006/relationships/hyperlink" Target="https://www.itu.int/en/mediacentre/backgrounders/Pages/non-GSO-satellite-systems-with-short-duration-missions.aspx" TargetMode="External"/><Relationship Id="rId115" Type="http://schemas.openxmlformats.org/officeDocument/2006/relationships/hyperlink" Target="https://www.itu.int/ra-23/fr/" TargetMode="External"/><Relationship Id="rId61" Type="http://schemas.openxmlformats.org/officeDocument/2006/relationships/hyperlink" Target="https://www.infrastructure.gov.au/" TargetMode="External"/><Relationship Id="rId82" Type="http://schemas.openxmlformats.org/officeDocument/2006/relationships/hyperlink" Target="https://www.itu.int/now4wrc23/fr/" TargetMode="External"/><Relationship Id="rId19" Type="http://schemas.openxmlformats.org/officeDocument/2006/relationships/hyperlink" Target="https://www.itu.int/pub/R-RES-R.1/fr" TargetMode="External"/><Relationship Id="rId14" Type="http://schemas.openxmlformats.org/officeDocument/2006/relationships/hyperlink" Target="https://www.itu.int/md/S23-CL-C-0115/en" TargetMode="External"/><Relationship Id="rId30" Type="http://schemas.openxmlformats.org/officeDocument/2006/relationships/hyperlink" Target="https://www.itu.int/pub/R-RES-R.6/fr" TargetMode="External"/><Relationship Id="rId35" Type="http://schemas.openxmlformats.org/officeDocument/2006/relationships/hyperlink" Target="https://www.itu.int/md/R23-RA23-C-0091/en" TargetMode="External"/><Relationship Id="rId56" Type="http://schemas.openxmlformats.org/officeDocument/2006/relationships/header" Target="header1.xml"/><Relationship Id="rId77" Type="http://schemas.openxmlformats.org/officeDocument/2006/relationships/image" Target="media/image13.png"/><Relationship Id="rId100" Type="http://schemas.openxmlformats.org/officeDocument/2006/relationships/hyperlink" Target="https://www.itu.int/en/ITU-R/Documents/ITU-R-FAQ-IMT.pdf" TargetMode="External"/><Relationship Id="rId105" Type="http://schemas.openxmlformats.org/officeDocument/2006/relationships/hyperlink" Target="https://www.itu.int/fr/mediacentre/backgrounders/Pages/itu-study-groups.aspx" TargetMode="External"/><Relationship Id="rId8" Type="http://schemas.openxmlformats.org/officeDocument/2006/relationships/hyperlink" Target="https://www.itu.int/md/R00-CA-CIR-0271/en" TargetMode="External"/><Relationship Id="rId51" Type="http://schemas.openxmlformats.org/officeDocument/2006/relationships/hyperlink" Target="https://www.itu.int/md/S23-CL-C-0028/en" TargetMode="External"/><Relationship Id="rId72" Type="http://schemas.openxmlformats.org/officeDocument/2006/relationships/hyperlink" Target="https://www.itu.int/dms_pub/itu-r/oth/0a/0e/R0A0E0000E80001PDFE.pdf" TargetMode="External"/><Relationship Id="rId93" Type="http://schemas.openxmlformats.org/officeDocument/2006/relationships/image" Target="cid:image003.png@01DA4DF8.33F98670" TargetMode="External"/><Relationship Id="rId98" Type="http://schemas.openxmlformats.org/officeDocument/2006/relationships/hyperlink" Target="https://www.itu.int/hub/publication/s-gen-news-2023-1/" TargetMode="External"/><Relationship Id="rId121" Type="http://schemas.openxmlformats.org/officeDocument/2006/relationships/footer" Target="footer6.xml"/><Relationship Id="rId3" Type="http://schemas.openxmlformats.org/officeDocument/2006/relationships/settings" Target="settings.xml"/><Relationship Id="rId25" Type="http://schemas.openxmlformats.org/officeDocument/2006/relationships/hyperlink" Target="https://www.itu.int/pub/R-RES-R.65/fr" TargetMode="External"/><Relationship Id="rId46" Type="http://schemas.openxmlformats.org/officeDocument/2006/relationships/image" Target="media/image6.emf"/><Relationship Id="rId67" Type="http://schemas.openxmlformats.org/officeDocument/2006/relationships/header" Target="header2.xml"/><Relationship Id="rId116" Type="http://schemas.openxmlformats.org/officeDocument/2006/relationships/hyperlink" Target="https://www.itu.int/pub/R-RES-R.72/fr" TargetMode="External"/><Relationship Id="rId20" Type="http://schemas.openxmlformats.org/officeDocument/2006/relationships/hyperlink" Target="https://www.itu.int/pub/R-RES-R.2/fr" TargetMode="External"/><Relationship Id="rId41" Type="http://schemas.openxmlformats.org/officeDocument/2006/relationships/image" Target="media/image4.png"/><Relationship Id="rId62" Type="http://schemas.openxmlformats.org/officeDocument/2006/relationships/hyperlink" Target="https://www.mincom.gob.cu/es" TargetMode="External"/><Relationship Id="rId83" Type="http://schemas.openxmlformats.org/officeDocument/2006/relationships/hyperlink" Target="https://www.itu.int/itu-r-awards/awards/emmy-award/" TargetMode="External"/><Relationship Id="rId88" Type="http://schemas.openxmlformats.org/officeDocument/2006/relationships/hyperlink" Target="https://www.itu.int/fr/mediacentre/Pages/PR-2023-12-15-WRC23-closing-ceremony.aspx" TargetMode="External"/><Relationship Id="rId111" Type="http://schemas.openxmlformats.org/officeDocument/2006/relationships/hyperlink" Target="https://www.itu.int/fr/mediacentre/backgrounders/Pages/Regulation-of-Satellite-Systems.aspx" TargetMode="External"/><Relationship Id="rId15" Type="http://schemas.openxmlformats.org/officeDocument/2006/relationships/image" Target="media/image2.emf"/><Relationship Id="rId36" Type="http://schemas.openxmlformats.org/officeDocument/2006/relationships/hyperlink" Target="https://www.itu.int/md/R23-RA23-C-0102/en" TargetMode="External"/><Relationship Id="rId57" Type="http://schemas.openxmlformats.org/officeDocument/2006/relationships/footer" Target="footer1.xml"/><Relationship Id="rId106" Type="http://schemas.openxmlformats.org/officeDocument/2006/relationships/hyperlink" Target="https://www.itu.int/fr/mediacentre/backgrounders/Pages/itu-r-managing-the-radio-frequency-spectrum-for-the-world.aspx" TargetMode="External"/><Relationship Id="rId10" Type="http://schemas.openxmlformats.org/officeDocument/2006/relationships/hyperlink" Target="https://council.itu.int/2023-additional/en/" TargetMode="External"/><Relationship Id="rId31" Type="http://schemas.openxmlformats.org/officeDocument/2006/relationships/hyperlink" Target="https://www.itu.int/pub/R-RES-R.7/fr" TargetMode="External"/><Relationship Id="rId52" Type="http://schemas.openxmlformats.org/officeDocument/2006/relationships/hyperlink" Target="https://www.itu.int/md/R23-RAG-C-0005" TargetMode="Externa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hyperlink" Target="https://www.itu.int/hub/publication/s-gen-news-2023-5/" TargetMode="External"/><Relationship Id="rId99" Type="http://schemas.openxmlformats.org/officeDocument/2006/relationships/hyperlink" Target="https://www.itu.int/en/ITU-R/Documents/ITU-R-FAQ-UTC.pdf" TargetMode="External"/><Relationship Id="rId101" Type="http://schemas.openxmlformats.org/officeDocument/2006/relationships/hyperlink" Target="https://www.itu.int/en/ITU-R/Documents/ITU-R-FAQ-DD-DSO.pdf" TargetMode="External"/><Relationship Id="rId1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BR\PF_RA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PF_RAG.dotm</Template>
  <TotalTime>215</TotalTime>
  <Pages>52</Pages>
  <Words>21960</Words>
  <Characters>119551</Characters>
  <Application>Microsoft Office Word</Application>
  <DocSecurity>0</DocSecurity>
  <Lines>2709</Lines>
  <Paragraphs>1334</Paragraphs>
  <ScaleCrop>false</ScaleCrop>
  <HeadingPairs>
    <vt:vector size="2" baseType="variant">
      <vt:variant>
        <vt:lpstr>Title</vt:lpstr>
      </vt:variant>
      <vt:variant>
        <vt:i4>1</vt:i4>
      </vt:variant>
    </vt:vector>
  </HeadingPairs>
  <TitlesOfParts>
    <vt:vector size="1" baseType="lpstr">
      <vt:lpstr>RAPPORT À LA TRENTIÈME-ET-UNIÈME RÉUNION DU GROUPE CONSULTATIF DES RADIOCOMMUNICATIONS</vt:lpstr>
    </vt:vector>
  </TitlesOfParts>
  <Manager>General Secretariat - Pool</Manager>
  <Company>International Telecommunication Union (ITU)</Company>
  <LinksUpToDate>false</LinksUpToDate>
  <CharactersWithSpaces>140425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À LA TRENTIÈME-ET-UNIÈME RÉUNION DU GROUPE CONSULTATIF DES RADIOCOMMUNICATIONS</dc:title>
  <dc:subject>GROUPE CONSULTATIF DES RADIOCOMMUNICATIONS</dc:subject>
  <dc:creator>Directeur du Bureau des radiocommunications</dc:creator>
  <cp:keywords>RAG03-1</cp:keywords>
  <dc:description>Révision 1 du Document RAG/1-F  For: _x000d_Document date: 29 février 2024_x000d_Saved by ITU51014351 at 08:27:34 on 06/03/2024</dc:description>
  <cp:lastModifiedBy>French</cp:lastModifiedBy>
  <cp:revision>34</cp:revision>
  <cp:lastPrinted>1999-10-11T14:58:00Z</cp:lastPrinted>
  <dcterms:created xsi:type="dcterms:W3CDTF">2024-03-04T08:28:00Z</dcterms:created>
  <dcterms:modified xsi:type="dcterms:W3CDTF">2024-03-06T07:27:00Z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Révision 1 du Document RAG/1-F</vt:lpwstr>
  </property>
  <property fmtid="{D5CDD505-2E9C-101B-9397-08002B2CF9AE}" pid="3" name="Docdate">
    <vt:lpwstr>29 février 2024</vt:lpwstr>
  </property>
  <property fmtid="{D5CDD505-2E9C-101B-9397-08002B2CF9AE}" pid="4" name="Docorlang">
    <vt:lpwstr>Original: anglais</vt:lpwstr>
  </property>
  <property fmtid="{D5CDD505-2E9C-101B-9397-08002B2CF9AE}" pid="5" name="Docauthor">
    <vt:lpwstr>Directeur du Bureau des radiocommunications</vt:lpwstr>
  </property>
</Properties>
</file>