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B600FE" w14:paraId="79AED228" w14:textId="77777777" w:rsidTr="009D4A49">
        <w:trPr>
          <w:cantSplit/>
        </w:trPr>
        <w:tc>
          <w:tcPr>
            <w:tcW w:w="6629" w:type="dxa"/>
            <w:vAlign w:val="center"/>
          </w:tcPr>
          <w:p w14:paraId="11904075" w14:textId="77777777" w:rsidR="009D4A49" w:rsidRPr="00B600FE" w:rsidRDefault="009D4A49" w:rsidP="002A6C9C">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B600FE">
              <w:rPr>
                <w:rFonts w:ascii="Verdana" w:hAnsi="Verdana" w:cs="Times New Roman Bold"/>
                <w:b/>
                <w:sz w:val="26"/>
                <w:szCs w:val="26"/>
              </w:rPr>
              <w:t xml:space="preserve">Comité du Règlement des </w:t>
            </w:r>
            <w:r w:rsidRPr="00B600FE">
              <w:rPr>
                <w:rFonts w:ascii="Verdana" w:hAnsi="Verdana" w:cs="Times New Roman Bold"/>
                <w:b/>
                <w:sz w:val="26"/>
                <w:szCs w:val="26"/>
              </w:rPr>
              <w:br/>
              <w:t>radiocommunications</w:t>
            </w:r>
            <w:r w:rsidRPr="00B600FE">
              <w:rPr>
                <w:rFonts w:ascii="Verdana" w:hAnsi="Verdana" w:cs="Times New Roman Bold"/>
                <w:b/>
                <w:sz w:val="26"/>
                <w:szCs w:val="26"/>
              </w:rPr>
              <w:br/>
            </w:r>
            <w:r w:rsidR="00904861" w:rsidRPr="00B600FE">
              <w:rPr>
                <w:rFonts w:ascii="Verdana" w:hAnsi="Verdana"/>
                <w:b/>
                <w:bCs/>
                <w:sz w:val="20"/>
              </w:rPr>
              <w:t xml:space="preserve">Genève, </w:t>
            </w:r>
            <w:r w:rsidR="00E2195E" w:rsidRPr="00B600FE">
              <w:rPr>
                <w:rFonts w:ascii="Verdana" w:hAnsi="Verdana"/>
                <w:b/>
                <w:bCs/>
                <w:sz w:val="20"/>
              </w:rPr>
              <w:t>5-13 juillet 2021</w:t>
            </w:r>
          </w:p>
        </w:tc>
        <w:tc>
          <w:tcPr>
            <w:tcW w:w="3346" w:type="dxa"/>
          </w:tcPr>
          <w:p w14:paraId="66057037" w14:textId="77777777" w:rsidR="009D4A49" w:rsidRPr="00B600FE" w:rsidRDefault="00E2195E" w:rsidP="002A6C9C">
            <w:pPr>
              <w:shd w:val="solid" w:color="FFFFFF" w:fill="FFFFFF"/>
              <w:spacing w:before="0"/>
            </w:pPr>
            <w:bookmarkStart w:id="0" w:name="ditulogo"/>
            <w:bookmarkEnd w:id="0"/>
            <w:r w:rsidRPr="00B600FE">
              <w:rPr>
                <w:noProof/>
                <w:lang w:val="en-US"/>
              </w:rPr>
              <w:drawing>
                <wp:inline distT="0" distB="0" distL="0" distR="0" wp14:anchorId="3E525695" wp14:editId="77D05D6E">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B600FE" w14:paraId="13EC6EB0" w14:textId="77777777" w:rsidTr="00AB34F8">
        <w:trPr>
          <w:cantSplit/>
        </w:trPr>
        <w:tc>
          <w:tcPr>
            <w:tcW w:w="6629" w:type="dxa"/>
            <w:tcBorders>
              <w:bottom w:val="single" w:sz="12" w:space="0" w:color="auto"/>
            </w:tcBorders>
          </w:tcPr>
          <w:p w14:paraId="42C1431D" w14:textId="77777777" w:rsidR="005E787A" w:rsidRPr="00B600FE" w:rsidRDefault="005E787A" w:rsidP="002A6C9C">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0B388FAC" w14:textId="77777777" w:rsidR="005E787A" w:rsidRPr="00B600FE" w:rsidRDefault="005E787A" w:rsidP="002A6C9C">
            <w:pPr>
              <w:shd w:val="solid" w:color="FFFFFF" w:fill="FFFFFF"/>
              <w:spacing w:before="0" w:after="48"/>
              <w:rPr>
                <w:sz w:val="22"/>
                <w:szCs w:val="22"/>
              </w:rPr>
            </w:pPr>
          </w:p>
        </w:tc>
      </w:tr>
      <w:tr w:rsidR="005E787A" w:rsidRPr="00B600FE" w14:paraId="1188C112" w14:textId="77777777" w:rsidTr="00AB34F8">
        <w:trPr>
          <w:cantSplit/>
        </w:trPr>
        <w:tc>
          <w:tcPr>
            <w:tcW w:w="6629" w:type="dxa"/>
            <w:tcBorders>
              <w:top w:val="single" w:sz="12" w:space="0" w:color="auto"/>
            </w:tcBorders>
          </w:tcPr>
          <w:p w14:paraId="705F0810" w14:textId="77777777" w:rsidR="005E787A" w:rsidRPr="00B600FE" w:rsidRDefault="005E787A" w:rsidP="002A6C9C">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08C53B83" w14:textId="77777777" w:rsidR="005E787A" w:rsidRPr="00B600FE" w:rsidRDefault="005E787A" w:rsidP="002A6C9C">
            <w:pPr>
              <w:shd w:val="solid" w:color="FFFFFF" w:fill="FFFFFF"/>
              <w:spacing w:before="0" w:after="48"/>
            </w:pPr>
          </w:p>
        </w:tc>
      </w:tr>
      <w:tr w:rsidR="005E787A" w:rsidRPr="00B600FE" w14:paraId="691CCFD2" w14:textId="77777777" w:rsidTr="00AB34F8">
        <w:trPr>
          <w:cantSplit/>
        </w:trPr>
        <w:tc>
          <w:tcPr>
            <w:tcW w:w="6629" w:type="dxa"/>
            <w:vMerge w:val="restart"/>
          </w:tcPr>
          <w:p w14:paraId="46639705" w14:textId="77777777" w:rsidR="005E787A" w:rsidRPr="00B600FE" w:rsidRDefault="005E787A" w:rsidP="002A6C9C">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5A57F98" w14:textId="79140ECD" w:rsidR="005E787A" w:rsidRPr="00B600FE" w:rsidRDefault="00E2195E" w:rsidP="002A6C9C">
            <w:pPr>
              <w:shd w:val="solid" w:color="FFFFFF" w:fill="FFFFFF"/>
              <w:spacing w:before="0"/>
              <w:rPr>
                <w:rFonts w:ascii="Verdana" w:hAnsi="Verdana"/>
                <w:sz w:val="20"/>
              </w:rPr>
            </w:pPr>
            <w:r w:rsidRPr="00B600FE">
              <w:rPr>
                <w:rFonts w:ascii="Verdana" w:hAnsi="Verdana"/>
                <w:b/>
                <w:bCs/>
                <w:sz w:val="20"/>
              </w:rPr>
              <w:t>Document RRB21-2/</w:t>
            </w:r>
            <w:r w:rsidR="00822398" w:rsidRPr="00B600FE">
              <w:rPr>
                <w:rFonts w:ascii="Verdana" w:hAnsi="Verdana"/>
                <w:b/>
                <w:bCs/>
                <w:sz w:val="20"/>
              </w:rPr>
              <w:t>13</w:t>
            </w:r>
            <w:r w:rsidRPr="00B600FE">
              <w:rPr>
                <w:rFonts w:ascii="Verdana" w:hAnsi="Verdana"/>
                <w:b/>
                <w:bCs/>
                <w:sz w:val="20"/>
              </w:rPr>
              <w:t>-F</w:t>
            </w:r>
          </w:p>
        </w:tc>
      </w:tr>
      <w:tr w:rsidR="005E787A" w:rsidRPr="00B600FE" w14:paraId="2F12F7BB" w14:textId="77777777" w:rsidTr="00AB34F8">
        <w:trPr>
          <w:cantSplit/>
        </w:trPr>
        <w:tc>
          <w:tcPr>
            <w:tcW w:w="6629" w:type="dxa"/>
            <w:vMerge/>
          </w:tcPr>
          <w:p w14:paraId="115D90D2" w14:textId="77777777" w:rsidR="005E787A" w:rsidRPr="00B600FE" w:rsidRDefault="005E787A" w:rsidP="002A6C9C">
            <w:pPr>
              <w:spacing w:before="60"/>
              <w:jc w:val="center"/>
              <w:rPr>
                <w:b/>
                <w:smallCaps/>
                <w:sz w:val="32"/>
              </w:rPr>
            </w:pPr>
            <w:bookmarkStart w:id="3" w:name="ddate" w:colFirst="1" w:colLast="1"/>
            <w:bookmarkEnd w:id="2"/>
          </w:p>
        </w:tc>
        <w:tc>
          <w:tcPr>
            <w:tcW w:w="3346" w:type="dxa"/>
          </w:tcPr>
          <w:p w14:paraId="4D89807C" w14:textId="0AE00AF8" w:rsidR="005E787A" w:rsidRPr="00B600FE" w:rsidRDefault="00822398" w:rsidP="002A6C9C">
            <w:pPr>
              <w:shd w:val="solid" w:color="FFFFFF" w:fill="FFFFFF"/>
              <w:spacing w:before="0"/>
              <w:rPr>
                <w:rFonts w:ascii="Verdana" w:hAnsi="Verdana"/>
                <w:sz w:val="20"/>
              </w:rPr>
            </w:pPr>
            <w:r w:rsidRPr="00B600FE">
              <w:rPr>
                <w:rFonts w:ascii="Verdana" w:hAnsi="Verdana"/>
                <w:b/>
                <w:bCs/>
                <w:sz w:val="20"/>
              </w:rPr>
              <w:t xml:space="preserve">13 juillet </w:t>
            </w:r>
            <w:r w:rsidR="00E2195E" w:rsidRPr="00B600FE">
              <w:rPr>
                <w:rFonts w:ascii="Verdana" w:hAnsi="Verdana"/>
                <w:b/>
                <w:bCs/>
                <w:sz w:val="20"/>
              </w:rPr>
              <w:t>2021</w:t>
            </w:r>
          </w:p>
        </w:tc>
      </w:tr>
      <w:tr w:rsidR="005E787A" w:rsidRPr="00B600FE" w14:paraId="1A7335F6" w14:textId="77777777" w:rsidTr="00AB34F8">
        <w:trPr>
          <w:cantSplit/>
        </w:trPr>
        <w:tc>
          <w:tcPr>
            <w:tcW w:w="6629" w:type="dxa"/>
            <w:vMerge/>
          </w:tcPr>
          <w:p w14:paraId="05B67CE1" w14:textId="77777777" w:rsidR="005E787A" w:rsidRPr="00B600FE" w:rsidRDefault="005E787A" w:rsidP="002A6C9C">
            <w:pPr>
              <w:spacing w:before="60"/>
              <w:jc w:val="center"/>
              <w:rPr>
                <w:b/>
                <w:smallCaps/>
                <w:sz w:val="32"/>
              </w:rPr>
            </w:pPr>
            <w:bookmarkStart w:id="4" w:name="dorlang" w:colFirst="1" w:colLast="1"/>
            <w:bookmarkEnd w:id="3"/>
          </w:p>
        </w:tc>
        <w:tc>
          <w:tcPr>
            <w:tcW w:w="3346" w:type="dxa"/>
          </w:tcPr>
          <w:p w14:paraId="44E18334" w14:textId="77777777" w:rsidR="005E787A" w:rsidRPr="00B600FE" w:rsidRDefault="00E2195E" w:rsidP="002A6C9C">
            <w:pPr>
              <w:shd w:val="solid" w:color="FFFFFF" w:fill="FFFFFF"/>
              <w:spacing w:before="0"/>
              <w:rPr>
                <w:rFonts w:ascii="Verdana" w:hAnsi="Verdana"/>
                <w:sz w:val="20"/>
              </w:rPr>
            </w:pPr>
            <w:r w:rsidRPr="00B600FE">
              <w:rPr>
                <w:rFonts w:ascii="Verdana" w:hAnsi="Verdana"/>
                <w:b/>
                <w:bCs/>
                <w:sz w:val="20"/>
              </w:rPr>
              <w:t>Original: anglais</w:t>
            </w:r>
          </w:p>
        </w:tc>
      </w:tr>
      <w:tr w:rsidR="005E787A" w:rsidRPr="00B600FE" w14:paraId="39BEA81E" w14:textId="77777777" w:rsidTr="00AB34F8">
        <w:trPr>
          <w:cantSplit/>
        </w:trPr>
        <w:tc>
          <w:tcPr>
            <w:tcW w:w="9975" w:type="dxa"/>
            <w:gridSpan w:val="2"/>
          </w:tcPr>
          <w:p w14:paraId="50E9F090" w14:textId="77777777" w:rsidR="005E787A" w:rsidRPr="00B600FE" w:rsidRDefault="005E787A" w:rsidP="002A6C9C">
            <w:pPr>
              <w:pStyle w:val="Source"/>
            </w:pPr>
            <w:bookmarkStart w:id="5" w:name="dsource" w:colFirst="0" w:colLast="0"/>
            <w:bookmarkEnd w:id="4"/>
          </w:p>
        </w:tc>
      </w:tr>
      <w:tr w:rsidR="005E787A" w:rsidRPr="000E4410" w14:paraId="73EF87F3" w14:textId="77777777" w:rsidTr="00AB34F8">
        <w:trPr>
          <w:cantSplit/>
        </w:trPr>
        <w:tc>
          <w:tcPr>
            <w:tcW w:w="9975" w:type="dxa"/>
            <w:gridSpan w:val="2"/>
          </w:tcPr>
          <w:p w14:paraId="62445EA3" w14:textId="3AB97F8A" w:rsidR="005E787A" w:rsidRPr="000E4410" w:rsidRDefault="00822398" w:rsidP="000E4410">
            <w:pPr>
              <w:pStyle w:val="Title1"/>
              <w:spacing w:before="0"/>
              <w:rPr>
                <w:rFonts w:ascii="Calibri" w:hAnsi="Calibri" w:cs="Calibri"/>
              </w:rPr>
            </w:pPr>
            <w:bookmarkStart w:id="6" w:name="drec" w:colFirst="0" w:colLast="0"/>
            <w:bookmarkStart w:id="7" w:name="dtitle1" w:colFirst="0" w:colLast="0"/>
            <w:bookmarkEnd w:id="5"/>
            <w:r w:rsidRPr="000E4410">
              <w:rPr>
                <w:rFonts w:ascii="Calibri" w:hAnsi="Calibri" w:cs="Calibri"/>
              </w:rPr>
              <w:t xml:space="preserve">RÉSUMÉ DES DÉCISIONS </w:t>
            </w:r>
            <w:r w:rsidRPr="000E4410">
              <w:rPr>
                <w:rFonts w:ascii="Calibri" w:hAnsi="Calibri" w:cs="Calibri"/>
              </w:rPr>
              <w:br/>
            </w:r>
            <w:r w:rsidRPr="000E4410">
              <w:rPr>
                <w:rFonts w:ascii="Calibri" w:hAnsi="Calibri" w:cs="Calibri"/>
              </w:rPr>
              <w:br/>
              <w:t xml:space="preserve">DE LA </w:t>
            </w:r>
            <w:r w:rsidRPr="000E4410">
              <w:rPr>
                <w:rFonts w:ascii="Calibri" w:hAnsi="Calibri" w:cs="Calibri"/>
              </w:rPr>
              <w:br/>
            </w:r>
            <w:r w:rsidRPr="000E4410">
              <w:rPr>
                <w:rFonts w:ascii="Calibri" w:hAnsi="Calibri" w:cs="Calibri"/>
              </w:rPr>
              <w:br/>
              <w:t>87</w:t>
            </w:r>
            <w:r w:rsidR="002A6C9C" w:rsidRPr="000E4410">
              <w:rPr>
                <w:rFonts w:ascii="Calibri" w:hAnsi="Calibri" w:cs="Calibri"/>
                <w:caps w:val="0"/>
              </w:rPr>
              <w:t>ème</w:t>
            </w:r>
            <w:r w:rsidRPr="000E4410">
              <w:rPr>
                <w:rFonts w:ascii="Calibri" w:hAnsi="Calibri" w:cs="Calibri"/>
              </w:rPr>
              <w:t xml:space="preserve"> RÉUNION DU COMITÉ DU RÈGLEMENT DES RADIOCOMMUNICATIONS</w:t>
            </w:r>
          </w:p>
        </w:tc>
      </w:tr>
      <w:tr w:rsidR="00822398" w:rsidRPr="000E4410" w14:paraId="7B5F94F9" w14:textId="77777777" w:rsidTr="00AB34F8">
        <w:trPr>
          <w:cantSplit/>
        </w:trPr>
        <w:tc>
          <w:tcPr>
            <w:tcW w:w="9975" w:type="dxa"/>
            <w:gridSpan w:val="2"/>
          </w:tcPr>
          <w:p w14:paraId="08107B87" w14:textId="32972594" w:rsidR="00822398" w:rsidRPr="000E4410" w:rsidRDefault="00B600FE" w:rsidP="006D2DE8">
            <w:pPr>
              <w:pStyle w:val="Title1"/>
              <w:rPr>
                <w:rFonts w:ascii="Calibri" w:hAnsi="Calibri" w:cs="Calibri"/>
              </w:rPr>
            </w:pPr>
            <w:r w:rsidRPr="000E4410">
              <w:rPr>
                <w:rFonts w:ascii="Calibri" w:hAnsi="Calibri" w:cs="Calibri"/>
                <w:caps w:val="0"/>
              </w:rPr>
              <w:t xml:space="preserve">5-13 juillet − </w:t>
            </w:r>
            <w:r w:rsidR="006D2DE8" w:rsidRPr="000E4410">
              <w:rPr>
                <w:rFonts w:ascii="Calibri" w:hAnsi="Calibri" w:cs="Calibri"/>
                <w:caps w:val="0"/>
              </w:rPr>
              <w:t>T</w:t>
            </w:r>
            <w:r w:rsidRPr="000E4410">
              <w:rPr>
                <w:rFonts w:ascii="Calibri" w:hAnsi="Calibri" w:cs="Calibri"/>
                <w:caps w:val="0"/>
              </w:rPr>
              <w:t>éléconférence</w:t>
            </w:r>
          </w:p>
        </w:tc>
      </w:tr>
    </w:tbl>
    <w:bookmarkEnd w:id="6"/>
    <w:bookmarkEnd w:id="7"/>
    <w:p w14:paraId="55E5FAC8" w14:textId="77777777" w:rsidR="00822398" w:rsidRPr="000E4410" w:rsidRDefault="00822398" w:rsidP="002A6C9C">
      <w:pPr>
        <w:tabs>
          <w:tab w:val="clear" w:pos="794"/>
          <w:tab w:val="clear" w:pos="1191"/>
          <w:tab w:val="clear" w:pos="1588"/>
          <w:tab w:val="clear" w:pos="1985"/>
          <w:tab w:val="left" w:pos="2268"/>
        </w:tabs>
        <w:spacing w:before="360"/>
        <w:rPr>
          <w:rFonts w:ascii="Calibri" w:hAnsi="Calibri" w:cs="Calibri"/>
          <w:u w:val="single"/>
        </w:rPr>
      </w:pPr>
      <w:r w:rsidRPr="000E4410">
        <w:rPr>
          <w:rFonts w:ascii="Calibri" w:hAnsi="Calibri" w:cs="Calibri"/>
          <w:u w:val="single"/>
        </w:rPr>
        <w:t>Présents</w:t>
      </w:r>
      <w:r w:rsidRPr="000E4410">
        <w:rPr>
          <w:rFonts w:ascii="Calibri" w:hAnsi="Calibri" w:cs="Calibri"/>
        </w:rPr>
        <w:t>:</w:t>
      </w:r>
      <w:r w:rsidRPr="000E4410">
        <w:rPr>
          <w:rFonts w:ascii="Calibri" w:hAnsi="Calibri" w:cs="Calibri"/>
        </w:rPr>
        <w:tab/>
      </w:r>
      <w:r w:rsidRPr="000E4410">
        <w:rPr>
          <w:rFonts w:ascii="Calibri" w:hAnsi="Calibri" w:cs="Calibri"/>
          <w:u w:val="single"/>
        </w:rPr>
        <w:t>Membres du RRB</w:t>
      </w:r>
    </w:p>
    <w:p w14:paraId="72D2BF18" w14:textId="7694132C" w:rsidR="00822398" w:rsidRPr="000E4410" w:rsidRDefault="00822398" w:rsidP="002A6C9C">
      <w:pPr>
        <w:tabs>
          <w:tab w:val="clear" w:pos="794"/>
          <w:tab w:val="clear" w:pos="1191"/>
          <w:tab w:val="clear" w:pos="1588"/>
          <w:tab w:val="clear" w:pos="1985"/>
          <w:tab w:val="left" w:pos="2268"/>
        </w:tabs>
        <w:rPr>
          <w:rFonts w:ascii="Calibri" w:hAnsi="Calibri" w:cs="Calibri"/>
        </w:rPr>
      </w:pPr>
      <w:r w:rsidRPr="000E4410">
        <w:rPr>
          <w:rFonts w:ascii="Calibri" w:hAnsi="Calibri" w:cs="Calibri"/>
        </w:rPr>
        <w:tab/>
      </w:r>
      <w:r w:rsidR="00533914" w:rsidRPr="000E4410">
        <w:rPr>
          <w:rFonts w:ascii="Calibri" w:hAnsi="Calibri" w:cs="Calibri"/>
        </w:rPr>
        <w:t>M. N. VARLAMOV</w:t>
      </w:r>
      <w:r w:rsidRPr="000E4410">
        <w:rPr>
          <w:rFonts w:ascii="Calibri" w:hAnsi="Calibri" w:cs="Calibri"/>
        </w:rPr>
        <w:t>, Président</w:t>
      </w:r>
      <w:r w:rsidR="00533914" w:rsidRPr="000E4410">
        <w:rPr>
          <w:rFonts w:ascii="Calibri" w:hAnsi="Calibri" w:cs="Calibri"/>
        </w:rPr>
        <w:t xml:space="preserve"> </w:t>
      </w:r>
    </w:p>
    <w:p w14:paraId="19F9DFE7" w14:textId="2884D8F3" w:rsidR="00822398" w:rsidRPr="000E4410" w:rsidRDefault="00822398" w:rsidP="002A6C9C">
      <w:pPr>
        <w:tabs>
          <w:tab w:val="clear" w:pos="794"/>
          <w:tab w:val="clear" w:pos="1191"/>
          <w:tab w:val="clear" w:pos="1588"/>
          <w:tab w:val="clear" w:pos="1985"/>
          <w:tab w:val="left" w:pos="2268"/>
        </w:tabs>
        <w:rPr>
          <w:rFonts w:ascii="Calibri" w:hAnsi="Calibri" w:cs="Calibri"/>
        </w:rPr>
      </w:pPr>
      <w:r w:rsidRPr="000E4410">
        <w:rPr>
          <w:rFonts w:ascii="Calibri" w:hAnsi="Calibri" w:cs="Calibri"/>
        </w:rPr>
        <w:tab/>
      </w:r>
      <w:r w:rsidR="00533914" w:rsidRPr="000E4410">
        <w:rPr>
          <w:rFonts w:ascii="Calibri" w:hAnsi="Calibri" w:cs="Calibri"/>
        </w:rPr>
        <w:t>M. E. AZZOUZ</w:t>
      </w:r>
      <w:r w:rsidR="002A6C9C" w:rsidRPr="000E4410">
        <w:rPr>
          <w:rFonts w:ascii="Calibri" w:hAnsi="Calibri" w:cs="Calibri"/>
        </w:rPr>
        <w:t>,</w:t>
      </w:r>
      <w:r w:rsidRPr="000E4410">
        <w:rPr>
          <w:rFonts w:ascii="Calibri" w:hAnsi="Calibri" w:cs="Calibri"/>
        </w:rPr>
        <w:t xml:space="preserve"> Vice-Président</w:t>
      </w:r>
    </w:p>
    <w:p w14:paraId="220F4EDA" w14:textId="6FC7C983" w:rsidR="00822398" w:rsidRPr="000E4410" w:rsidRDefault="00822398" w:rsidP="002A6C9C">
      <w:pPr>
        <w:tabs>
          <w:tab w:val="clear" w:pos="794"/>
          <w:tab w:val="clear" w:pos="1191"/>
          <w:tab w:val="clear" w:pos="1588"/>
          <w:tab w:val="clear" w:pos="1985"/>
          <w:tab w:val="left" w:pos="2268"/>
        </w:tabs>
        <w:ind w:left="2268" w:hanging="2268"/>
        <w:rPr>
          <w:rFonts w:ascii="Calibri" w:hAnsi="Calibri" w:cs="Calibri"/>
        </w:rPr>
      </w:pPr>
      <w:r w:rsidRPr="000E4410">
        <w:rPr>
          <w:rFonts w:ascii="Calibri" w:hAnsi="Calibri" w:cs="Calibri"/>
        </w:rPr>
        <w:tab/>
        <w:t xml:space="preserve">M. T. ALAMRI, </w:t>
      </w:r>
      <w:r w:rsidR="00533914" w:rsidRPr="000E4410">
        <w:rPr>
          <w:rFonts w:ascii="Calibri" w:hAnsi="Calibri" w:cs="Calibri"/>
        </w:rPr>
        <w:t>Mme C. BEAUMIER</w:t>
      </w:r>
      <w:r w:rsidR="002A6C9C" w:rsidRPr="000E4410">
        <w:rPr>
          <w:rFonts w:ascii="Calibri" w:hAnsi="Calibri" w:cs="Calibri"/>
        </w:rPr>
        <w:t xml:space="preserve">, </w:t>
      </w:r>
      <w:r w:rsidRPr="000E4410">
        <w:rPr>
          <w:rFonts w:ascii="Calibri" w:hAnsi="Calibri" w:cs="Calibri"/>
        </w:rPr>
        <w:t>M. L. F. BORJÓN FIGUEROA, Mme S. HASANOVA, M. A. HASHIMOTO, M. Y. HENRI, M. D. Q. HOAN, Mme L. JEANTY, M. S. M. MCHUNU, M. H. TALIB</w:t>
      </w:r>
    </w:p>
    <w:p w14:paraId="4050C1EF" w14:textId="77777777" w:rsidR="00822398" w:rsidRPr="000E4410" w:rsidRDefault="00822398" w:rsidP="002A6C9C">
      <w:pPr>
        <w:tabs>
          <w:tab w:val="clear" w:pos="794"/>
          <w:tab w:val="clear" w:pos="1191"/>
          <w:tab w:val="clear" w:pos="1588"/>
          <w:tab w:val="clear" w:pos="1985"/>
          <w:tab w:val="left" w:pos="2268"/>
        </w:tabs>
        <w:spacing w:before="240"/>
        <w:ind w:left="2268" w:hanging="2268"/>
        <w:rPr>
          <w:rFonts w:ascii="Calibri" w:hAnsi="Calibri" w:cs="Calibri"/>
          <w:u w:val="single"/>
        </w:rPr>
      </w:pPr>
      <w:r w:rsidRPr="000E4410">
        <w:rPr>
          <w:rFonts w:ascii="Calibri" w:hAnsi="Calibri" w:cs="Calibri"/>
        </w:rPr>
        <w:tab/>
      </w:r>
      <w:r w:rsidRPr="000E4410">
        <w:rPr>
          <w:rFonts w:ascii="Calibri" w:hAnsi="Calibri" w:cs="Calibri"/>
          <w:u w:val="single"/>
        </w:rPr>
        <w:t>Secrétaire exécutif du RRB</w:t>
      </w:r>
    </w:p>
    <w:p w14:paraId="752CC543" w14:textId="6F07AB07" w:rsidR="00822398" w:rsidRPr="000E4410" w:rsidRDefault="00822398" w:rsidP="002A6C9C">
      <w:pPr>
        <w:tabs>
          <w:tab w:val="clear" w:pos="794"/>
          <w:tab w:val="clear" w:pos="1191"/>
          <w:tab w:val="clear" w:pos="1588"/>
          <w:tab w:val="clear" w:pos="1985"/>
          <w:tab w:val="left" w:pos="2268"/>
        </w:tabs>
        <w:ind w:left="2268"/>
        <w:rPr>
          <w:rFonts w:ascii="Calibri" w:hAnsi="Calibri" w:cs="Calibri"/>
        </w:rPr>
      </w:pPr>
      <w:r w:rsidRPr="000E4410">
        <w:rPr>
          <w:rFonts w:ascii="Calibri" w:hAnsi="Calibri" w:cs="Calibri"/>
        </w:rPr>
        <w:t>M. M. MANIEWICZ, Directeur du BR</w:t>
      </w:r>
      <w:r w:rsidR="00D913E9" w:rsidRPr="000E4410">
        <w:rPr>
          <w:rFonts w:ascii="Calibri" w:hAnsi="Calibri" w:cs="Calibri"/>
        </w:rPr>
        <w:t xml:space="preserve"> </w:t>
      </w:r>
    </w:p>
    <w:p w14:paraId="51989A91" w14:textId="77777777" w:rsidR="00822398" w:rsidRPr="000E4410" w:rsidRDefault="00822398" w:rsidP="002A6C9C">
      <w:pPr>
        <w:tabs>
          <w:tab w:val="clear" w:pos="794"/>
          <w:tab w:val="clear" w:pos="1191"/>
          <w:tab w:val="clear" w:pos="1588"/>
          <w:tab w:val="clear" w:pos="1985"/>
          <w:tab w:val="left" w:pos="2268"/>
        </w:tabs>
        <w:spacing w:before="240"/>
        <w:ind w:left="2268" w:hanging="2268"/>
        <w:rPr>
          <w:rFonts w:ascii="Calibri" w:hAnsi="Calibri" w:cs="Calibri"/>
          <w:u w:val="single"/>
        </w:rPr>
      </w:pPr>
      <w:r w:rsidRPr="000E4410">
        <w:rPr>
          <w:rFonts w:ascii="Calibri" w:hAnsi="Calibri" w:cs="Calibri"/>
        </w:rPr>
        <w:tab/>
      </w:r>
      <w:r w:rsidRPr="000E4410">
        <w:rPr>
          <w:rFonts w:ascii="Calibri" w:hAnsi="Calibri" w:cs="Calibri"/>
          <w:u w:val="single"/>
        </w:rPr>
        <w:t>Procès-verbalistes</w:t>
      </w:r>
    </w:p>
    <w:p w14:paraId="666E96FF" w14:textId="7BFDFAE2" w:rsidR="00822398" w:rsidRPr="000E4410" w:rsidRDefault="00822398" w:rsidP="002A6C9C">
      <w:pPr>
        <w:tabs>
          <w:tab w:val="clear" w:pos="794"/>
          <w:tab w:val="clear" w:pos="1191"/>
          <w:tab w:val="clear" w:pos="1588"/>
          <w:tab w:val="clear" w:pos="1985"/>
          <w:tab w:val="left" w:pos="2268"/>
        </w:tabs>
        <w:ind w:left="2268"/>
        <w:rPr>
          <w:rFonts w:ascii="Calibri" w:hAnsi="Calibri" w:cs="Calibri"/>
        </w:rPr>
      </w:pPr>
      <w:bookmarkStart w:id="8" w:name="_Hlk77673201"/>
      <w:r w:rsidRPr="000E4410">
        <w:rPr>
          <w:rFonts w:ascii="Calibri" w:hAnsi="Calibri" w:cs="Calibri"/>
        </w:rPr>
        <w:t>M. P. METHVEN, Mme C. RAMAGE et M. T. ELDRIDGE</w:t>
      </w:r>
    </w:p>
    <w:bookmarkEnd w:id="8"/>
    <w:p w14:paraId="3BA3AB2D" w14:textId="77777777" w:rsidR="00822398" w:rsidRPr="000E4410" w:rsidRDefault="00822398" w:rsidP="002A6C9C">
      <w:pPr>
        <w:tabs>
          <w:tab w:val="clear" w:pos="794"/>
          <w:tab w:val="clear" w:pos="1191"/>
          <w:tab w:val="clear" w:pos="1588"/>
          <w:tab w:val="clear" w:pos="1985"/>
          <w:tab w:val="left" w:pos="2268"/>
        </w:tabs>
        <w:spacing w:before="240"/>
        <w:ind w:left="2268" w:hanging="2268"/>
        <w:rPr>
          <w:rFonts w:ascii="Calibri" w:hAnsi="Calibri" w:cs="Calibri"/>
          <w:b/>
          <w:bCs/>
        </w:rPr>
      </w:pPr>
      <w:r w:rsidRPr="000E4410">
        <w:rPr>
          <w:rFonts w:ascii="Calibri" w:hAnsi="Calibri" w:cs="Calibri"/>
          <w:u w:val="single"/>
        </w:rPr>
        <w:t>Également présents</w:t>
      </w:r>
      <w:r w:rsidRPr="000E4410">
        <w:rPr>
          <w:rFonts w:ascii="Calibri" w:hAnsi="Calibri" w:cs="Calibri"/>
        </w:rPr>
        <w:t>:</w:t>
      </w:r>
      <w:r w:rsidRPr="000E4410">
        <w:rPr>
          <w:rFonts w:ascii="Calibri" w:hAnsi="Calibri" w:cs="Calibri"/>
        </w:rPr>
        <w:tab/>
        <w:t>Mme J. WILSON,</w:t>
      </w:r>
      <w:r w:rsidRPr="000E4410">
        <w:rPr>
          <w:rFonts w:ascii="Calibri" w:hAnsi="Calibri" w:cs="Calibri"/>
          <w:bCs/>
        </w:rPr>
        <w:t xml:space="preserve"> Directrice adjointe du BR et Chef de l'IAP</w:t>
      </w:r>
    </w:p>
    <w:p w14:paraId="10EA9E77"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bCs/>
        </w:rPr>
        <w:tab/>
        <w:t xml:space="preserve">M. A. </w:t>
      </w:r>
      <w:r w:rsidRPr="000E4410">
        <w:rPr>
          <w:rFonts w:ascii="Calibri" w:hAnsi="Calibri" w:cs="Calibri"/>
        </w:rPr>
        <w:t>VALLET, Chef du SSD</w:t>
      </w:r>
    </w:p>
    <w:p w14:paraId="13CDE8CA"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C. C. LOO, Chef du SSD/SPR</w:t>
      </w:r>
    </w:p>
    <w:p w14:paraId="5D6851A4"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M. SAKAMOTO, Chef du SSD/SSC</w:t>
      </w:r>
    </w:p>
    <w:p w14:paraId="52528D1E" w14:textId="41D0E784"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J. WANG, Chef du SSD/SNP</w:t>
      </w:r>
    </w:p>
    <w:p w14:paraId="43FC8D51"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N. VASSILIEV, Chef du TSD</w:t>
      </w:r>
    </w:p>
    <w:p w14:paraId="4AC638F6"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K. BOGENS, Chef du TSD/FMD</w:t>
      </w:r>
    </w:p>
    <w:p w14:paraId="31841BB8" w14:textId="7BE9886F"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B. BA, Chef du TSD/TPR</w:t>
      </w:r>
    </w:p>
    <w:p w14:paraId="492406C8" w14:textId="11E89381" w:rsidR="00533914" w:rsidRPr="000E4410" w:rsidRDefault="002A6C9C"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r>
      <w:r w:rsidR="00533914" w:rsidRPr="000E4410">
        <w:rPr>
          <w:rFonts w:ascii="Calibri" w:hAnsi="Calibri" w:cs="Calibri"/>
        </w:rPr>
        <w:t>M. S. JALAYERIAN, TSD/TPR</w:t>
      </w:r>
    </w:p>
    <w:p w14:paraId="34284054"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Mme I. GHAZI, Chef du TSD/BCD</w:t>
      </w:r>
    </w:p>
    <w:p w14:paraId="0738B23B"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 D. BOTHA, SGD</w:t>
      </w:r>
    </w:p>
    <w:p w14:paraId="251A4180" w14:textId="77777777" w:rsidR="00822398" w:rsidRPr="000E4410" w:rsidRDefault="00822398" w:rsidP="002A6C9C">
      <w:pPr>
        <w:tabs>
          <w:tab w:val="clear" w:pos="794"/>
          <w:tab w:val="clear" w:pos="1191"/>
          <w:tab w:val="clear" w:pos="1588"/>
          <w:tab w:val="clear" w:pos="1985"/>
          <w:tab w:val="left" w:pos="2268"/>
        </w:tabs>
        <w:spacing w:before="0"/>
        <w:rPr>
          <w:rFonts w:ascii="Calibri" w:hAnsi="Calibri" w:cs="Calibri"/>
        </w:rPr>
      </w:pPr>
      <w:r w:rsidRPr="000E4410">
        <w:rPr>
          <w:rFonts w:ascii="Calibri" w:hAnsi="Calibri" w:cs="Calibri"/>
        </w:rPr>
        <w:tab/>
        <w:t>Mme K. GOZAL, Assistante administrative</w:t>
      </w:r>
    </w:p>
    <w:p w14:paraId="309E7185" w14:textId="77777777" w:rsidR="00822398" w:rsidRPr="00B600FE" w:rsidRDefault="00822398" w:rsidP="002A6C9C">
      <w:pPr>
        <w:sectPr w:rsidR="00822398" w:rsidRPr="00B600FE"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pPr>
    </w:p>
    <w:tbl>
      <w:tblPr>
        <w:tblStyle w:val="GridTable1Light-Accent12"/>
        <w:tblW w:w="14730" w:type="dxa"/>
        <w:tblInd w:w="0" w:type="dxa"/>
        <w:tblLayout w:type="fixed"/>
        <w:tblLook w:val="04A0" w:firstRow="1" w:lastRow="0" w:firstColumn="1" w:lastColumn="0" w:noHBand="0" w:noVBand="1"/>
      </w:tblPr>
      <w:tblGrid>
        <w:gridCol w:w="846"/>
        <w:gridCol w:w="3827"/>
        <w:gridCol w:w="6662"/>
        <w:gridCol w:w="3395"/>
      </w:tblGrid>
      <w:tr w:rsidR="00822398" w:rsidRPr="00B600FE" w14:paraId="5F286C20" w14:textId="77777777" w:rsidTr="00C26083">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hideMark/>
          </w:tcPr>
          <w:p w14:paraId="30EFE0BE" w14:textId="77777777" w:rsidR="00822398" w:rsidRPr="00B600FE" w:rsidRDefault="00822398" w:rsidP="005014D9">
            <w:pPr>
              <w:pStyle w:val="TableHead0"/>
              <w:rPr>
                <w:b/>
                <w:lang w:val="fr-FR"/>
              </w:rPr>
            </w:pPr>
            <w:r w:rsidRPr="00B600FE">
              <w:rPr>
                <w:b/>
                <w:lang w:val="fr-FR"/>
              </w:rPr>
              <w:lastRenderedPageBreak/>
              <w:br w:type="page"/>
              <w:t>Point</w:t>
            </w:r>
            <w:r w:rsidRPr="00B600FE">
              <w:rPr>
                <w:b/>
                <w:lang w:val="fr-FR"/>
              </w:rPr>
              <w:br/>
              <w:t>N°</w:t>
            </w:r>
          </w:p>
        </w:tc>
        <w:tc>
          <w:tcPr>
            <w:tcW w:w="3827" w:type="dxa"/>
            <w:hideMark/>
          </w:tcPr>
          <w:p w14:paraId="7D8D9F14" w14:textId="77777777" w:rsidR="00822398" w:rsidRPr="00B600FE" w:rsidRDefault="00822398" w:rsidP="005014D9">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B600FE">
              <w:rPr>
                <w:b/>
                <w:lang w:val="fr-FR"/>
              </w:rPr>
              <w:t>Objet</w:t>
            </w:r>
          </w:p>
        </w:tc>
        <w:tc>
          <w:tcPr>
            <w:tcW w:w="6662" w:type="dxa"/>
            <w:hideMark/>
          </w:tcPr>
          <w:p w14:paraId="3D1CBC19" w14:textId="77777777" w:rsidR="00822398" w:rsidRPr="00B600FE" w:rsidRDefault="00822398" w:rsidP="005014D9">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B600FE">
              <w:rPr>
                <w:b/>
                <w:lang w:val="fr-FR"/>
              </w:rPr>
              <w:t>Action/décision et motifs</w:t>
            </w:r>
          </w:p>
        </w:tc>
        <w:tc>
          <w:tcPr>
            <w:tcW w:w="3395" w:type="dxa"/>
            <w:hideMark/>
          </w:tcPr>
          <w:p w14:paraId="1268F269" w14:textId="325A97DB" w:rsidR="00822398" w:rsidRPr="00B600FE" w:rsidRDefault="00822398" w:rsidP="005014D9">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B600FE">
              <w:rPr>
                <w:b/>
                <w:lang w:val="fr-FR"/>
              </w:rPr>
              <w:t>Suivi</w:t>
            </w:r>
          </w:p>
        </w:tc>
      </w:tr>
      <w:tr w:rsidR="00822398" w:rsidRPr="00B600FE" w14:paraId="44355EED" w14:textId="77777777" w:rsidTr="006D2DE8">
        <w:trPr>
          <w:trHeight w:val="555"/>
        </w:trPr>
        <w:tc>
          <w:tcPr>
            <w:cnfStyle w:val="001000000000" w:firstRow="0" w:lastRow="0" w:firstColumn="1" w:lastColumn="0" w:oddVBand="0" w:evenVBand="0" w:oddHBand="0" w:evenHBand="0" w:firstRowFirstColumn="0" w:firstRowLastColumn="0" w:lastRowFirstColumn="0" w:lastRowLastColumn="0"/>
            <w:tcW w:w="846" w:type="dxa"/>
            <w:hideMark/>
          </w:tcPr>
          <w:p w14:paraId="2CC8FA7E" w14:textId="77777777" w:rsidR="00822398" w:rsidRPr="00B600FE" w:rsidRDefault="00822398" w:rsidP="005014D9">
            <w:pPr>
              <w:pStyle w:val="Tabletext"/>
              <w:jc w:val="center"/>
              <w:rPr>
                <w:bCs w:val="0"/>
                <w:szCs w:val="22"/>
              </w:rPr>
            </w:pPr>
            <w:r w:rsidRPr="00B600FE">
              <w:rPr>
                <w:szCs w:val="22"/>
              </w:rPr>
              <w:t>1</w:t>
            </w:r>
          </w:p>
        </w:tc>
        <w:tc>
          <w:tcPr>
            <w:tcW w:w="3827" w:type="dxa"/>
            <w:hideMark/>
          </w:tcPr>
          <w:p w14:paraId="353E78B5" w14:textId="77777777" w:rsidR="00822398" w:rsidRPr="00B600FE" w:rsidRDefault="00822398"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Ouverture de la réunion</w:t>
            </w:r>
          </w:p>
        </w:tc>
        <w:tc>
          <w:tcPr>
            <w:tcW w:w="6662" w:type="dxa"/>
            <w:hideMark/>
          </w:tcPr>
          <w:p w14:paraId="38A995CA" w14:textId="1342F6F2" w:rsidR="00822398" w:rsidRPr="00B600FE" w:rsidRDefault="0053391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Président, M. N. VARLAMOV, a souhaité la bienvenue aux membres du Comité à la 87</w:t>
            </w:r>
            <w:r w:rsidR="002A6C9C" w:rsidRPr="00B600FE">
              <w:rPr>
                <w:szCs w:val="22"/>
              </w:rPr>
              <w:t>ème</w:t>
            </w:r>
            <w:r w:rsidRPr="00B600FE">
              <w:rPr>
                <w:szCs w:val="22"/>
              </w:rPr>
              <w:t xml:space="preserve"> réunion et a noté que, bien que l'ordre du jour actuel soit moins chargé que celui de la </w:t>
            </w:r>
            <w:r w:rsidR="002A6C9C" w:rsidRPr="00B600FE">
              <w:rPr>
                <w:szCs w:val="22"/>
              </w:rPr>
              <w:t>86ème</w:t>
            </w:r>
            <w:r w:rsidRPr="00B600FE">
              <w:rPr>
                <w:szCs w:val="22"/>
              </w:rPr>
              <w:t xml:space="preserve"> réunion, il comport</w:t>
            </w:r>
            <w:r w:rsidR="00474767" w:rsidRPr="00B600FE">
              <w:rPr>
                <w:szCs w:val="22"/>
              </w:rPr>
              <w:t>ait cependant</w:t>
            </w:r>
            <w:r w:rsidRPr="00B600FE">
              <w:rPr>
                <w:szCs w:val="22"/>
              </w:rPr>
              <w:t xml:space="preserve"> un </w:t>
            </w:r>
            <w:r w:rsidR="00474767" w:rsidRPr="00B600FE">
              <w:rPr>
                <w:szCs w:val="22"/>
              </w:rPr>
              <w:t xml:space="preserve">très grand </w:t>
            </w:r>
            <w:r w:rsidRPr="00B600FE">
              <w:rPr>
                <w:szCs w:val="22"/>
              </w:rPr>
              <w:t>nombre</w:t>
            </w:r>
            <w:r w:rsidR="002A6C9C" w:rsidRPr="00B600FE">
              <w:rPr>
                <w:szCs w:val="22"/>
              </w:rPr>
              <w:t xml:space="preserve"> </w:t>
            </w:r>
            <w:r w:rsidRPr="00B600FE">
              <w:rPr>
                <w:szCs w:val="22"/>
              </w:rPr>
              <w:t>de points</w:t>
            </w:r>
            <w:r w:rsidR="002A6C9C" w:rsidRPr="00B600FE">
              <w:rPr>
                <w:szCs w:val="22"/>
              </w:rPr>
              <w:t>.</w:t>
            </w:r>
          </w:p>
          <w:p w14:paraId="5CE43EA6" w14:textId="5D58859D" w:rsidR="00822398" w:rsidRPr="00B600FE" w:rsidRDefault="00822398" w:rsidP="005014D9">
            <w:pPr>
              <w:pStyle w:val="Tabletext"/>
              <w:cnfStyle w:val="000000000000" w:firstRow="0" w:lastRow="0" w:firstColumn="0" w:lastColumn="0" w:oddVBand="0" w:evenVBand="0" w:oddHBand="0" w:evenHBand="0" w:firstRowFirstColumn="0" w:firstRowLastColumn="0" w:lastRowFirstColumn="0" w:lastRowLastColumn="0"/>
              <w:rPr>
                <w:szCs w:val="22"/>
              </w:rPr>
            </w:pPr>
            <w:bookmarkStart w:id="9" w:name="lt_pId047"/>
            <w:r w:rsidRPr="00B600FE">
              <w:rPr>
                <w:szCs w:val="22"/>
              </w:rPr>
              <w:t xml:space="preserve">Le Directeur du Bureau des radiocommunications, M. M. MANIEWICZ, au nom du Secrétaire général, M. H. ZHAO, a lui aussi souhaité la bienvenue aux membres du Comité, </w:t>
            </w:r>
            <w:r w:rsidR="00533914" w:rsidRPr="00B600FE">
              <w:rPr>
                <w:szCs w:val="22"/>
              </w:rPr>
              <w:t>les a remerciés d'avoir</w:t>
            </w:r>
            <w:r w:rsidR="002A6C9C" w:rsidRPr="00B600FE">
              <w:rPr>
                <w:szCs w:val="22"/>
              </w:rPr>
              <w:t xml:space="preserve"> </w:t>
            </w:r>
            <w:r w:rsidR="00533914" w:rsidRPr="00B600FE">
              <w:rPr>
                <w:szCs w:val="22"/>
              </w:rPr>
              <w:t>à nouveau accepté que</w:t>
            </w:r>
            <w:r w:rsidR="002A6C9C" w:rsidRPr="00B600FE">
              <w:rPr>
                <w:szCs w:val="22"/>
              </w:rPr>
              <w:t xml:space="preserve"> </w:t>
            </w:r>
            <w:r w:rsidR="00533914" w:rsidRPr="00B600FE">
              <w:rPr>
                <w:szCs w:val="22"/>
              </w:rPr>
              <w:t>la réunion du Comité</w:t>
            </w:r>
            <w:r w:rsidR="002A6C9C" w:rsidRPr="00B600FE">
              <w:rPr>
                <w:szCs w:val="22"/>
              </w:rPr>
              <w:t xml:space="preserve"> </w:t>
            </w:r>
            <w:r w:rsidR="00533914" w:rsidRPr="00B600FE">
              <w:rPr>
                <w:szCs w:val="22"/>
              </w:rPr>
              <w:t xml:space="preserve">se tienne de </w:t>
            </w:r>
            <w:r w:rsidR="00533914" w:rsidRPr="00B600FE">
              <w:rPr>
                <w:color w:val="000000"/>
              </w:rPr>
              <w:t>façon</w:t>
            </w:r>
            <w:r w:rsidR="00533914" w:rsidRPr="00B600FE">
              <w:rPr>
                <w:szCs w:val="22"/>
              </w:rPr>
              <w:t xml:space="preserve"> virtuelle et a souhaité </w:t>
            </w:r>
            <w:r w:rsidR="00533914" w:rsidRPr="00B600FE">
              <w:rPr>
                <w:color w:val="000000"/>
              </w:rPr>
              <w:t>au Comité des débats fructueux.</w:t>
            </w:r>
            <w:bookmarkEnd w:id="9"/>
          </w:p>
        </w:tc>
        <w:tc>
          <w:tcPr>
            <w:tcW w:w="3395" w:type="dxa"/>
            <w:hideMark/>
          </w:tcPr>
          <w:p w14:paraId="3B443F18" w14:textId="77777777" w:rsidR="00822398" w:rsidRPr="00B600FE" w:rsidRDefault="00822398" w:rsidP="005014D9">
            <w:pPr>
              <w:pStyle w:val="Tabletext"/>
              <w:tabs>
                <w:tab w:val="clear" w:pos="567"/>
                <w:tab w:val="clear" w:pos="851"/>
                <w:tab w:val="clear" w:pos="1134"/>
                <w:tab w:val="clear" w:pos="1418"/>
                <w:tab w:val="clear" w:pos="1701"/>
                <w:tab w:val="clear" w:pos="2268"/>
                <w:tab w:val="left" w:pos="2195"/>
              </w:tabs>
              <w:ind w:right="460"/>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822398" w:rsidRPr="00B600FE" w14:paraId="2AF96685" w14:textId="77777777" w:rsidTr="006D2DE8">
        <w:trPr>
          <w:trHeight w:val="755"/>
        </w:trPr>
        <w:tc>
          <w:tcPr>
            <w:cnfStyle w:val="001000000000" w:firstRow="0" w:lastRow="0" w:firstColumn="1" w:lastColumn="0" w:oddVBand="0" w:evenVBand="0" w:oddHBand="0" w:evenHBand="0" w:firstRowFirstColumn="0" w:firstRowLastColumn="0" w:lastRowFirstColumn="0" w:lastRowLastColumn="0"/>
            <w:tcW w:w="846" w:type="dxa"/>
            <w:hideMark/>
          </w:tcPr>
          <w:p w14:paraId="4E877074" w14:textId="77777777" w:rsidR="00822398" w:rsidRPr="00B600FE" w:rsidRDefault="00822398" w:rsidP="005014D9">
            <w:pPr>
              <w:pStyle w:val="Tabletext"/>
              <w:jc w:val="center"/>
              <w:rPr>
                <w:bCs w:val="0"/>
                <w:szCs w:val="22"/>
              </w:rPr>
            </w:pPr>
            <w:r w:rsidRPr="00B600FE">
              <w:rPr>
                <w:szCs w:val="22"/>
              </w:rPr>
              <w:t>2</w:t>
            </w:r>
          </w:p>
        </w:tc>
        <w:tc>
          <w:tcPr>
            <w:tcW w:w="3827" w:type="dxa"/>
            <w:hideMark/>
          </w:tcPr>
          <w:p w14:paraId="3CF2017C" w14:textId="512E45A3" w:rsidR="00822398" w:rsidRPr="00B600FE" w:rsidRDefault="00822398"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Adoption de l'ordre du jour</w:t>
            </w:r>
            <w:r w:rsidRPr="00B600FE">
              <w:rPr>
                <w:szCs w:val="22"/>
              </w:rPr>
              <w:br/>
            </w:r>
            <w:hyperlink r:id="rId12" w:history="1">
              <w:r w:rsidRPr="00B600FE">
                <w:rPr>
                  <w:rStyle w:val="Hyperlink"/>
                </w:rPr>
                <w:t>RRB21-2/OJ/1(</w:t>
              </w:r>
              <w:r w:rsidR="000E376F" w:rsidRPr="00B600FE">
                <w:rPr>
                  <w:rStyle w:val="Hyperlink"/>
                </w:rPr>
                <w:t>Rév.</w:t>
              </w:r>
              <w:r w:rsidRPr="00B600FE">
                <w:rPr>
                  <w:rStyle w:val="Hyperlink"/>
                </w:rPr>
                <w:t>1)</w:t>
              </w:r>
            </w:hyperlink>
            <w:r w:rsidRPr="00B600FE">
              <w:t xml:space="preserve">; </w:t>
            </w:r>
            <w:r w:rsidRPr="00B600FE">
              <w:br/>
            </w:r>
            <w:hyperlink r:id="rId13" w:history="1">
              <w:r w:rsidRPr="00B600FE">
                <w:rPr>
                  <w:rStyle w:val="Hyperlink"/>
                </w:rPr>
                <w:t>RRB21-2/DELAYED/1</w:t>
              </w:r>
            </w:hyperlink>
          </w:p>
        </w:tc>
        <w:tc>
          <w:tcPr>
            <w:tcW w:w="6662" w:type="dxa"/>
            <w:hideMark/>
          </w:tcPr>
          <w:p w14:paraId="2B2FC8BE" w14:textId="47891817" w:rsidR="00822398" w:rsidRPr="00B600FE" w:rsidRDefault="00822398" w:rsidP="006D2DE8">
            <w:pPr>
              <w:pStyle w:val="Tabletext"/>
              <w:cnfStyle w:val="000000000000" w:firstRow="0" w:lastRow="0" w:firstColumn="0" w:lastColumn="0" w:oddVBand="0" w:evenVBand="0" w:oddHBand="0" w:evenHBand="0" w:firstRowFirstColumn="0" w:firstRowLastColumn="0" w:lastRowFirstColumn="0" w:lastRowLastColumn="0"/>
            </w:pPr>
            <w:r w:rsidRPr="00B600FE">
              <w:t xml:space="preserve">Le </w:t>
            </w:r>
            <w:r w:rsidR="00533914" w:rsidRPr="00B600FE">
              <w:rPr>
                <w:color w:val="000000"/>
              </w:rPr>
              <w:t>Comité a adopté le</w:t>
            </w:r>
            <w:r w:rsidR="00533914" w:rsidRPr="00B600FE">
              <w:t xml:space="preserve"> </w:t>
            </w:r>
            <w:r w:rsidRPr="00B600FE">
              <w:t>projet d'ordre du jour</w:t>
            </w:r>
            <w:r w:rsidR="002A6C9C" w:rsidRPr="00B600FE">
              <w:t xml:space="preserve"> </w:t>
            </w:r>
            <w:r w:rsidRPr="00B600FE">
              <w:t>moyennant les modifications indiquées dans le Document</w:t>
            </w:r>
            <w:r w:rsidR="00533914" w:rsidRPr="00B600FE">
              <w:t xml:space="preserve"> RRB21-2/OJ/1</w:t>
            </w:r>
            <w:r w:rsidR="006D2DE8">
              <w:t>(Rév.1). Le </w:t>
            </w:r>
            <w:r w:rsidRPr="00B600FE">
              <w:t>Comité a décidé d'inscrire à l'ordre du jour les Docu</w:t>
            </w:r>
            <w:r w:rsidR="006D2DE8">
              <w:t>ments </w:t>
            </w:r>
            <w:r w:rsidR="00533914" w:rsidRPr="00B600FE">
              <w:t>RRB21</w:t>
            </w:r>
            <w:r w:rsidR="006D2DE8">
              <w:noBreakHyphen/>
            </w:r>
            <w:r w:rsidR="00533914" w:rsidRPr="00B600FE">
              <w:t>2/DELAYED/2 et</w:t>
            </w:r>
            <w:r w:rsidR="002A6C9C" w:rsidRPr="00B600FE">
              <w:t xml:space="preserve"> </w:t>
            </w:r>
            <w:r w:rsidR="00533914" w:rsidRPr="00B600FE">
              <w:t>RRB21-2/DELAYED/4</w:t>
            </w:r>
            <w:r w:rsidR="002A6C9C" w:rsidRPr="00B600FE">
              <w:t xml:space="preserve"> </w:t>
            </w:r>
            <w:r w:rsidRPr="00B600FE">
              <w:t xml:space="preserve">au titre du point </w:t>
            </w:r>
            <w:r w:rsidR="00533914" w:rsidRPr="00B600FE">
              <w:t>3</w:t>
            </w:r>
            <w:r w:rsidRPr="00B600FE">
              <w:t>,</w:t>
            </w:r>
            <w:r w:rsidR="002A6C9C" w:rsidRPr="00B600FE">
              <w:t xml:space="preserve"> </w:t>
            </w:r>
            <w:r w:rsidRPr="00B600FE">
              <w:t>le</w:t>
            </w:r>
            <w:r w:rsidR="002A6C9C" w:rsidRPr="00B600FE">
              <w:t xml:space="preserve"> </w:t>
            </w:r>
            <w:r w:rsidR="00533914" w:rsidRPr="00B600FE">
              <w:t>Document RRB21</w:t>
            </w:r>
            <w:r w:rsidR="00533914" w:rsidRPr="00B600FE">
              <w:noBreakHyphen/>
              <w:t xml:space="preserve">2/DELAYED/3 </w:t>
            </w:r>
            <w:r w:rsidRPr="00B600FE">
              <w:t>au titre du point 8</w:t>
            </w:r>
            <w:r w:rsidR="006D2DE8">
              <w:t>.2 et le Document </w:t>
            </w:r>
            <w:r w:rsidR="00533914" w:rsidRPr="00B600FE">
              <w:t>RRB21</w:t>
            </w:r>
            <w:r w:rsidR="002A6C9C" w:rsidRPr="00B600FE">
              <w:t>-</w:t>
            </w:r>
            <w:r w:rsidR="00533914" w:rsidRPr="00B600FE">
              <w:t>2/DELAYED/5 au titre du point 9</w:t>
            </w:r>
            <w:r w:rsidR="002A6C9C" w:rsidRPr="00B600FE">
              <w:t xml:space="preserve"> </w:t>
            </w:r>
            <w:r w:rsidR="00533914" w:rsidRPr="00B600FE">
              <w:t>pour information.</w:t>
            </w:r>
            <w:r w:rsidR="002A6C9C" w:rsidRPr="00B600FE">
              <w:t xml:space="preserve"> </w:t>
            </w:r>
            <w:r w:rsidR="008B6EB4" w:rsidRPr="00B600FE">
              <w:t>En outre, le</w:t>
            </w:r>
            <w:r w:rsidR="002A6C9C" w:rsidRPr="00B600FE">
              <w:t xml:space="preserve"> </w:t>
            </w:r>
            <w:r w:rsidR="008B6EB4" w:rsidRPr="00B600FE">
              <w:t>Comité a</w:t>
            </w:r>
            <w:r w:rsidR="002A6C9C" w:rsidRPr="00B600FE">
              <w:t xml:space="preserve"> </w:t>
            </w:r>
            <w:r w:rsidR="008B6EB4" w:rsidRPr="00B600FE">
              <w:t xml:space="preserve">décidé de reporter à sa </w:t>
            </w:r>
            <w:r w:rsidR="002A6C9C" w:rsidRPr="00B600FE">
              <w:t>88ème</w:t>
            </w:r>
            <w:r w:rsidR="008B6EB4" w:rsidRPr="00B600FE">
              <w:t xml:space="preserve"> réunion l'examen du Document RRB21-2/DELAYED/1 et a chargé le Bureau d'inscrire ce document à l'ordre du jour de la </w:t>
            </w:r>
            <w:r w:rsidR="002A6C9C" w:rsidRPr="00B600FE">
              <w:t>88ème</w:t>
            </w:r>
            <w:r w:rsidR="008B6EB4" w:rsidRPr="00B600FE">
              <w:t xml:space="preserve"> réunion, notant que cela</w:t>
            </w:r>
            <w:r w:rsidR="002A6C9C" w:rsidRPr="00B600FE">
              <w:t xml:space="preserve"> </w:t>
            </w:r>
            <w:r w:rsidR="008B6EB4" w:rsidRPr="00B600FE">
              <w:t>permettrait à l'Administration de</w:t>
            </w:r>
            <w:r w:rsidR="002A6C9C" w:rsidRPr="00B600FE">
              <w:t xml:space="preserve"> </w:t>
            </w:r>
            <w:r w:rsidR="008B6EB4" w:rsidRPr="00B600FE">
              <w:t>Papouasie-Nouvelle-Guinée</w:t>
            </w:r>
            <w:r w:rsidR="002A6C9C" w:rsidRPr="00B600FE">
              <w:t xml:space="preserve"> </w:t>
            </w:r>
            <w:r w:rsidR="008B6EB4" w:rsidRPr="00B600FE">
              <w:t>de revoir</w:t>
            </w:r>
            <w:r w:rsidR="002A6C9C" w:rsidRPr="00B600FE">
              <w:t xml:space="preserve"> </w:t>
            </w:r>
            <w:r w:rsidR="008B6EB4" w:rsidRPr="00B600FE">
              <w:t xml:space="preserve">et d'améliorer </w:t>
            </w:r>
            <w:r w:rsidR="008B6EB4" w:rsidRPr="00B600FE">
              <w:rPr>
                <w:color w:val="000000"/>
              </w:rPr>
              <w:t>la communication qu</w:t>
            </w:r>
            <w:r w:rsidR="002A6C9C" w:rsidRPr="00B600FE">
              <w:rPr>
                <w:color w:val="000000"/>
              </w:rPr>
              <w:t>'</w:t>
            </w:r>
            <w:r w:rsidR="008B6EB4" w:rsidRPr="00B600FE">
              <w:rPr>
                <w:color w:val="000000"/>
              </w:rPr>
              <w:t>elle a soumise au Comité,</w:t>
            </w:r>
            <w:r w:rsidR="008B6EB4" w:rsidRPr="00B600FE">
              <w:t xml:space="preserve"> en fournissant </w:t>
            </w:r>
            <w:r w:rsidR="000E376F" w:rsidRPr="00B600FE">
              <w:t xml:space="preserve">davantage </w:t>
            </w:r>
            <w:r w:rsidR="008B6EB4" w:rsidRPr="00B600FE">
              <w:t>de détails et de justifications à l'appui de sa demande</w:t>
            </w:r>
            <w:r w:rsidR="002A6C9C" w:rsidRPr="00B600FE">
              <w:t>.</w:t>
            </w:r>
          </w:p>
        </w:tc>
        <w:tc>
          <w:tcPr>
            <w:tcW w:w="3395" w:type="dxa"/>
            <w:hideMark/>
          </w:tcPr>
          <w:p w14:paraId="6334DA91" w14:textId="1AA88D98" w:rsidR="00822398" w:rsidRPr="00B600FE" w:rsidRDefault="00822398" w:rsidP="005014D9">
            <w:pPr>
              <w:pStyle w:val="Tabletext"/>
              <w:tabs>
                <w:tab w:val="clear" w:pos="567"/>
                <w:tab w:val="clear" w:pos="851"/>
                <w:tab w:val="clear" w:pos="1134"/>
                <w:tab w:val="clear" w:pos="1418"/>
                <w:tab w:val="clear" w:pos="1701"/>
                <w:tab w:val="clear" w:pos="1985"/>
                <w:tab w:val="clear" w:pos="2268"/>
              </w:tabs>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Le Secrétaire exécutif</w:t>
            </w:r>
            <w:r w:rsidR="002A6C9C" w:rsidRPr="00B600FE">
              <w:rPr>
                <w:color w:val="000000"/>
                <w:szCs w:val="22"/>
              </w:rPr>
              <w:t xml:space="preserve"> </w:t>
            </w:r>
            <w:r w:rsidR="00533914" w:rsidRPr="00B600FE">
              <w:rPr>
                <w:color w:val="000000"/>
                <w:szCs w:val="22"/>
              </w:rPr>
              <w:t>communiquera ces décisions à l'Administration de</w:t>
            </w:r>
            <w:r w:rsidR="002A6C9C" w:rsidRPr="00B600FE">
              <w:rPr>
                <w:color w:val="000000"/>
                <w:szCs w:val="22"/>
              </w:rPr>
              <w:t xml:space="preserve"> </w:t>
            </w:r>
            <w:r w:rsidR="00533914" w:rsidRPr="00B600FE">
              <w:rPr>
                <w:color w:val="000000"/>
                <w:szCs w:val="22"/>
              </w:rPr>
              <w:t>Papouasie</w:t>
            </w:r>
            <w:r w:rsidR="002A6C9C" w:rsidRPr="00B600FE">
              <w:rPr>
                <w:color w:val="000000"/>
                <w:szCs w:val="22"/>
              </w:rPr>
              <w:noBreakHyphen/>
            </w:r>
            <w:r w:rsidR="00533914" w:rsidRPr="00B600FE">
              <w:rPr>
                <w:color w:val="000000"/>
                <w:szCs w:val="22"/>
              </w:rPr>
              <w:t>Nouvelle-Guinée.</w:t>
            </w:r>
          </w:p>
          <w:p w14:paraId="7DB1D9B1" w14:textId="76FFDE4B" w:rsidR="00822398" w:rsidRPr="00B600FE" w:rsidRDefault="006D2DE8" w:rsidP="005014D9">
            <w:pPr>
              <w:pStyle w:val="Tabletext"/>
              <w:tabs>
                <w:tab w:val="clear" w:pos="567"/>
                <w:tab w:val="clear" w:pos="851"/>
                <w:tab w:val="clear" w:pos="1134"/>
                <w:tab w:val="clear" w:pos="1418"/>
                <w:tab w:val="clear" w:pos="1701"/>
                <w:tab w:val="clear" w:pos="1985"/>
                <w:tab w:val="clear" w:pos="2268"/>
              </w:tabs>
              <w:ind w:right="33"/>
              <w:jc w:val="center"/>
              <w:cnfStyle w:val="000000000000" w:firstRow="0" w:lastRow="0" w:firstColumn="0" w:lastColumn="0" w:oddVBand="0" w:evenVBand="0" w:oddHBand="0" w:evenHBand="0" w:firstRowFirstColumn="0" w:firstRowLastColumn="0" w:lastRowFirstColumn="0" w:lastRowLastColumn="0"/>
              <w:rPr>
                <w:szCs w:val="22"/>
              </w:rPr>
            </w:pPr>
            <w:r>
              <w:rPr>
                <w:szCs w:val="22"/>
              </w:rPr>
              <w:t>Le Bureau inscrira le Document </w:t>
            </w:r>
            <w:r w:rsidR="008B6EB4" w:rsidRPr="00B600FE">
              <w:rPr>
                <w:szCs w:val="22"/>
              </w:rPr>
              <w:t xml:space="preserve">RRB21-2/DELAYED/1 à l'ordre du jour de la </w:t>
            </w:r>
            <w:r w:rsidR="002A6C9C" w:rsidRPr="00B600FE">
              <w:rPr>
                <w:szCs w:val="22"/>
              </w:rPr>
              <w:t>88ème</w:t>
            </w:r>
            <w:r w:rsidR="008B6EB4" w:rsidRPr="00B600FE">
              <w:rPr>
                <w:szCs w:val="22"/>
              </w:rPr>
              <w:t xml:space="preserve"> réunion.</w:t>
            </w:r>
          </w:p>
        </w:tc>
      </w:tr>
      <w:tr w:rsidR="00C930D4" w:rsidRPr="00B600FE" w14:paraId="5810816A" w14:textId="77777777" w:rsidTr="006D2DE8">
        <w:trPr>
          <w:trHeight w:val="1266"/>
        </w:trPr>
        <w:tc>
          <w:tcPr>
            <w:cnfStyle w:val="001000000000" w:firstRow="0" w:lastRow="0" w:firstColumn="1" w:lastColumn="0" w:oddVBand="0" w:evenVBand="0" w:oddHBand="0" w:evenHBand="0" w:firstRowFirstColumn="0" w:firstRowLastColumn="0" w:lastRowFirstColumn="0" w:lastRowLastColumn="0"/>
            <w:tcW w:w="846" w:type="dxa"/>
            <w:vMerge w:val="restart"/>
            <w:hideMark/>
          </w:tcPr>
          <w:p w14:paraId="3CDEC2AD" w14:textId="77777777" w:rsidR="00C930D4" w:rsidRPr="00B600FE" w:rsidRDefault="00C930D4" w:rsidP="005014D9">
            <w:pPr>
              <w:pStyle w:val="Tabletext"/>
              <w:jc w:val="center"/>
              <w:rPr>
                <w:bCs w:val="0"/>
                <w:szCs w:val="22"/>
              </w:rPr>
            </w:pPr>
            <w:r w:rsidRPr="00B600FE">
              <w:rPr>
                <w:szCs w:val="22"/>
              </w:rPr>
              <w:t>3</w:t>
            </w:r>
          </w:p>
        </w:tc>
        <w:tc>
          <w:tcPr>
            <w:tcW w:w="3827" w:type="dxa"/>
            <w:vMerge w:val="restart"/>
            <w:hideMark/>
          </w:tcPr>
          <w:p w14:paraId="48DF2FD4" w14:textId="6418ACAC" w:rsidR="00C930D4" w:rsidRPr="00B600FE" w:rsidRDefault="00C930D4" w:rsidP="005014D9">
            <w:pPr>
              <w:tabs>
                <w:tab w:val="clear" w:pos="794"/>
              </w:tabs>
              <w:spacing w:before="40" w:after="40"/>
              <w:cnfStyle w:val="000000000000" w:firstRow="0" w:lastRow="0" w:firstColumn="0" w:lastColumn="0" w:oddVBand="0" w:evenVBand="0" w:oddHBand="0" w:evenHBand="0" w:firstRowFirstColumn="0" w:firstRowLastColumn="0" w:lastRowFirstColumn="0" w:lastRowLastColumn="0"/>
              <w:rPr>
                <w:sz w:val="22"/>
                <w:szCs w:val="22"/>
              </w:rPr>
            </w:pPr>
            <w:r w:rsidRPr="00B600FE">
              <w:rPr>
                <w:sz w:val="22"/>
                <w:szCs w:val="22"/>
              </w:rPr>
              <w:t>Rapport du Directeur du BR</w:t>
            </w:r>
            <w:r w:rsidRPr="00B600FE">
              <w:rPr>
                <w:sz w:val="22"/>
                <w:szCs w:val="22"/>
              </w:rPr>
              <w:br/>
            </w:r>
            <w:hyperlink r:id="rId14" w:history="1">
              <w:r w:rsidR="00247ACA" w:rsidRPr="00B600FE">
                <w:rPr>
                  <w:rStyle w:val="Hyperlink"/>
                  <w:sz w:val="22"/>
                  <w:szCs w:val="22"/>
                </w:rPr>
                <w:t>RRB21-2/3(R</w:t>
              </w:r>
              <w:r w:rsidR="00B600FE" w:rsidRPr="00B600FE">
                <w:rPr>
                  <w:rStyle w:val="Hyperlink"/>
                  <w:sz w:val="22"/>
                  <w:szCs w:val="22"/>
                </w:rPr>
                <w:t>é</w:t>
              </w:r>
              <w:r w:rsidR="00247ACA" w:rsidRPr="00B600FE">
                <w:rPr>
                  <w:rStyle w:val="Hyperlink"/>
                  <w:sz w:val="22"/>
                  <w:szCs w:val="22"/>
                </w:rPr>
                <w:t>v.1)</w:t>
              </w:r>
            </w:hyperlink>
            <w:r w:rsidR="00572EC1" w:rsidRPr="00B600FE">
              <w:rPr>
                <w:rStyle w:val="Hyperlink"/>
                <w:color w:val="auto"/>
                <w:sz w:val="22"/>
                <w:szCs w:val="22"/>
                <w:u w:val="none"/>
              </w:rPr>
              <w:t>;</w:t>
            </w:r>
            <w:r w:rsidR="00247ACA" w:rsidRPr="00B600FE">
              <w:rPr>
                <w:rStyle w:val="Hyperlink"/>
                <w:color w:val="auto"/>
                <w:sz w:val="22"/>
                <w:szCs w:val="22"/>
                <w:u w:val="none"/>
              </w:rPr>
              <w:t xml:space="preserve"> </w:t>
            </w:r>
            <w:hyperlink r:id="rId15" w:history="1">
              <w:r w:rsidR="00247ACA" w:rsidRPr="00B600FE">
                <w:rPr>
                  <w:rStyle w:val="Hyperlink"/>
                  <w:sz w:val="22"/>
                  <w:szCs w:val="22"/>
                </w:rPr>
                <w:t>RRB21-2/3(Add.2)</w:t>
              </w:r>
            </w:hyperlink>
            <w:r w:rsidR="00B600FE" w:rsidRPr="00B600FE">
              <w:rPr>
                <w:rStyle w:val="Hyperlink"/>
                <w:color w:val="auto"/>
                <w:sz w:val="22"/>
                <w:szCs w:val="22"/>
                <w:u w:val="none"/>
              </w:rPr>
              <w:t>;</w:t>
            </w:r>
            <w:r w:rsidR="00247ACA" w:rsidRPr="00B600FE">
              <w:rPr>
                <w:rStyle w:val="Hyperlink"/>
                <w:sz w:val="22"/>
                <w:szCs w:val="22"/>
              </w:rPr>
              <w:br/>
            </w:r>
            <w:hyperlink r:id="rId16" w:history="1">
              <w:r w:rsidR="00247ACA" w:rsidRPr="00B600FE">
                <w:rPr>
                  <w:rStyle w:val="Hyperlink"/>
                  <w:sz w:val="22"/>
                  <w:szCs w:val="22"/>
                </w:rPr>
                <w:t>RRB21-2/3(Add.3)</w:t>
              </w:r>
            </w:hyperlink>
            <w:r w:rsidR="00247ACA" w:rsidRPr="00B600FE">
              <w:rPr>
                <w:rStyle w:val="Hyperlink"/>
                <w:color w:val="auto"/>
                <w:sz w:val="22"/>
                <w:szCs w:val="22"/>
                <w:u w:val="none"/>
              </w:rPr>
              <w:t xml:space="preserve">; </w:t>
            </w:r>
            <w:hyperlink r:id="rId17" w:history="1">
              <w:r w:rsidR="00247ACA" w:rsidRPr="00B600FE">
                <w:rPr>
                  <w:rStyle w:val="Hyperlink"/>
                  <w:sz w:val="22"/>
                  <w:szCs w:val="22"/>
                </w:rPr>
                <w:t>RRB21-2/3(Add.4)</w:t>
              </w:r>
            </w:hyperlink>
            <w:r w:rsidR="00247ACA" w:rsidRPr="00B600FE">
              <w:rPr>
                <w:rStyle w:val="Hyperlink"/>
                <w:color w:val="auto"/>
                <w:sz w:val="22"/>
                <w:szCs w:val="22"/>
                <w:u w:val="none"/>
              </w:rPr>
              <w:t>;</w:t>
            </w:r>
            <w:r w:rsidR="00247ACA" w:rsidRPr="00B600FE">
              <w:rPr>
                <w:rStyle w:val="Hyperlink"/>
                <w:sz w:val="22"/>
                <w:szCs w:val="22"/>
              </w:rPr>
              <w:t xml:space="preserve"> </w:t>
            </w:r>
            <w:r w:rsidR="00247ACA" w:rsidRPr="00B600FE">
              <w:rPr>
                <w:rStyle w:val="Hyperlink"/>
                <w:sz w:val="22"/>
                <w:szCs w:val="22"/>
              </w:rPr>
              <w:br/>
            </w:r>
            <w:hyperlink r:id="rId18" w:history="1">
              <w:r w:rsidR="00247ACA" w:rsidRPr="00B600FE">
                <w:rPr>
                  <w:rStyle w:val="Hyperlink"/>
                  <w:sz w:val="22"/>
                  <w:szCs w:val="22"/>
                </w:rPr>
                <w:t>RRB21-2/3(Add.5)</w:t>
              </w:r>
            </w:hyperlink>
            <w:r w:rsidR="00247ACA" w:rsidRPr="00B600FE">
              <w:rPr>
                <w:rStyle w:val="Hyperlink"/>
                <w:color w:val="auto"/>
                <w:sz w:val="22"/>
                <w:szCs w:val="22"/>
                <w:u w:val="none"/>
              </w:rPr>
              <w:t xml:space="preserve">; </w:t>
            </w:r>
            <w:hyperlink r:id="rId19" w:history="1">
              <w:r w:rsidR="00247ACA" w:rsidRPr="00B600FE">
                <w:rPr>
                  <w:rStyle w:val="Hyperlink"/>
                  <w:sz w:val="22"/>
                  <w:szCs w:val="22"/>
                </w:rPr>
                <w:t>RRB21-2/3(Add.6)</w:t>
              </w:r>
            </w:hyperlink>
            <w:r w:rsidR="00B600FE" w:rsidRPr="00B600FE">
              <w:rPr>
                <w:rStyle w:val="Hyperlink"/>
                <w:color w:val="auto"/>
                <w:sz w:val="22"/>
                <w:szCs w:val="22"/>
                <w:u w:val="none"/>
              </w:rPr>
              <w:t>;</w:t>
            </w:r>
            <w:r w:rsidR="00247ACA" w:rsidRPr="00B600FE">
              <w:rPr>
                <w:rStyle w:val="Hyperlink"/>
                <w:sz w:val="22"/>
                <w:szCs w:val="22"/>
              </w:rPr>
              <w:br/>
            </w:r>
            <w:hyperlink r:id="rId20" w:history="1">
              <w:r w:rsidR="00247ACA" w:rsidRPr="00B600FE">
                <w:rPr>
                  <w:rStyle w:val="Hyperlink"/>
                  <w:sz w:val="22"/>
                  <w:szCs w:val="22"/>
                </w:rPr>
                <w:t>RRB21-2/3(Add.9)</w:t>
              </w:r>
            </w:hyperlink>
            <w:r w:rsidR="00247ACA" w:rsidRPr="00B600FE">
              <w:rPr>
                <w:rStyle w:val="Hyperlink"/>
                <w:color w:val="auto"/>
                <w:sz w:val="22"/>
                <w:szCs w:val="22"/>
                <w:u w:val="none"/>
              </w:rPr>
              <w:t xml:space="preserve">; </w:t>
            </w:r>
            <w:hyperlink r:id="rId21" w:history="1">
              <w:r w:rsidR="00247ACA" w:rsidRPr="00B600FE">
                <w:rPr>
                  <w:rStyle w:val="Hyperlink"/>
                  <w:sz w:val="22"/>
                  <w:szCs w:val="22"/>
                </w:rPr>
                <w:t>RRB21</w:t>
              </w:r>
              <w:r w:rsidR="00B600FE" w:rsidRPr="00B600FE">
                <w:rPr>
                  <w:rStyle w:val="Hyperlink"/>
                  <w:sz w:val="22"/>
                  <w:szCs w:val="22"/>
                </w:rPr>
                <w:noBreakHyphen/>
              </w:r>
              <w:r w:rsidR="00247ACA" w:rsidRPr="00B600FE">
                <w:rPr>
                  <w:rStyle w:val="Hyperlink"/>
                  <w:sz w:val="22"/>
                  <w:szCs w:val="22"/>
                </w:rPr>
                <w:t>2/3(Add.10)</w:t>
              </w:r>
            </w:hyperlink>
            <w:r w:rsidR="00B600FE" w:rsidRPr="00B600FE">
              <w:rPr>
                <w:rStyle w:val="Hyperlink"/>
                <w:color w:val="auto"/>
                <w:sz w:val="22"/>
                <w:szCs w:val="22"/>
                <w:u w:val="none"/>
              </w:rPr>
              <w:t>;</w:t>
            </w:r>
            <w:r w:rsidR="00247ACA" w:rsidRPr="00B600FE">
              <w:rPr>
                <w:rStyle w:val="Hyperlink"/>
                <w:sz w:val="22"/>
                <w:szCs w:val="22"/>
              </w:rPr>
              <w:br/>
            </w:r>
            <w:hyperlink r:id="rId22" w:history="1">
              <w:r w:rsidR="00247ACA" w:rsidRPr="00B600FE">
                <w:rPr>
                  <w:rStyle w:val="Hyperlink"/>
                  <w:sz w:val="22"/>
                  <w:szCs w:val="22"/>
                </w:rPr>
                <w:t>RRB21-2/DELAYED/2</w:t>
              </w:r>
            </w:hyperlink>
            <w:r w:rsidR="00247ACA" w:rsidRPr="00B600FE">
              <w:rPr>
                <w:rStyle w:val="Hyperlink"/>
                <w:color w:val="auto"/>
                <w:sz w:val="22"/>
                <w:szCs w:val="22"/>
                <w:u w:val="none"/>
              </w:rPr>
              <w:t xml:space="preserve">; </w:t>
            </w:r>
            <w:hyperlink r:id="rId23" w:history="1">
              <w:r w:rsidR="00247ACA" w:rsidRPr="00B600FE">
                <w:rPr>
                  <w:rStyle w:val="Hyperlink"/>
                  <w:sz w:val="22"/>
                  <w:szCs w:val="22"/>
                </w:rPr>
                <w:t>RRB21</w:t>
              </w:r>
              <w:r w:rsidR="00B600FE" w:rsidRPr="00B600FE">
                <w:rPr>
                  <w:rStyle w:val="Hyperlink"/>
                  <w:sz w:val="22"/>
                  <w:szCs w:val="22"/>
                </w:rPr>
                <w:noBreakHyphen/>
              </w:r>
              <w:r w:rsidR="00247ACA" w:rsidRPr="00B600FE">
                <w:rPr>
                  <w:rStyle w:val="Hyperlink"/>
                  <w:sz w:val="22"/>
                  <w:szCs w:val="22"/>
                </w:rPr>
                <w:t>2/DELAYED/4</w:t>
              </w:r>
            </w:hyperlink>
          </w:p>
        </w:tc>
        <w:tc>
          <w:tcPr>
            <w:tcW w:w="6662" w:type="dxa"/>
            <w:hideMark/>
          </w:tcPr>
          <w:p w14:paraId="353AAEB5" w14:textId="5738553D" w:rsidR="00C930D4" w:rsidRPr="00B600FE" w:rsidRDefault="00C930D4" w:rsidP="005014D9">
            <w:pPr>
              <w:pStyle w:val="ListParagraph"/>
              <w:overflowPunct w:val="0"/>
              <w:autoSpaceDE w:val="0"/>
              <w:autoSpaceDN w:val="0"/>
              <w:adjustRightInd w:val="0"/>
              <w:spacing w:before="40" w:after="40" w:line="240" w:lineRule="auto"/>
              <w:ind w:left="0"/>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fr-FR" w:eastAsia="en-US"/>
              </w:rPr>
            </w:pPr>
            <w:r w:rsidRPr="00B600FE">
              <w:rPr>
                <w:rFonts w:ascii="Times New Roman" w:eastAsia="SimSun" w:hAnsi="Times New Roman" w:cs="Times New Roman"/>
                <w:lang w:val="fr-FR" w:eastAsia="en-US"/>
              </w:rPr>
              <w:t xml:space="preserve">Le Comité a examiné de manière détaillée le rapport du Directeur, tel qu'il figure dans le Document </w:t>
            </w:r>
            <w:r w:rsidRPr="00B600FE">
              <w:rPr>
                <w:rFonts w:ascii="Times New Roman" w:hAnsi="Times New Roman" w:cs="Times New Roman"/>
                <w:lang w:val="fr-FR"/>
              </w:rPr>
              <w:t xml:space="preserve">RRB21-2/3(Rév.1) </w:t>
            </w:r>
            <w:r w:rsidRPr="00B600FE">
              <w:rPr>
                <w:rFonts w:ascii="Times New Roman" w:eastAsia="SimSun" w:hAnsi="Times New Roman" w:cs="Times New Roman"/>
                <w:lang w:val="fr-FR" w:eastAsia="en-US"/>
              </w:rPr>
              <w:t>et ses Addenda, et a remercié le Bureau pour les renseignements exhaustifs et détaillés qui y figurent.</w:t>
            </w:r>
          </w:p>
        </w:tc>
        <w:tc>
          <w:tcPr>
            <w:tcW w:w="3395" w:type="dxa"/>
            <w:hideMark/>
          </w:tcPr>
          <w:p w14:paraId="274D35AA" w14:textId="77777777" w:rsidR="00C930D4" w:rsidRPr="00B600FE" w:rsidRDefault="00C930D4" w:rsidP="005014D9">
            <w:pPr>
              <w:pStyle w:val="Tabletext"/>
              <w:tabs>
                <w:tab w:val="clear" w:pos="284"/>
                <w:tab w:val="clear" w:pos="567"/>
                <w:tab w:val="clear" w:pos="851"/>
                <w:tab w:val="clear" w:pos="1134"/>
                <w:tab w:val="clear" w:pos="1418"/>
                <w:tab w:val="clear" w:pos="1701"/>
                <w:tab w:val="clear" w:pos="2268"/>
                <w:tab w:val="left" w:pos="2195"/>
              </w:tabs>
              <w:ind w:right="26"/>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0490FA9B" w14:textId="77777777" w:rsidTr="006D2DE8">
        <w:trPr>
          <w:trHeight w:val="1984"/>
        </w:trPr>
        <w:tc>
          <w:tcPr>
            <w:cnfStyle w:val="001000000000" w:firstRow="0" w:lastRow="0" w:firstColumn="1" w:lastColumn="0" w:oddVBand="0" w:evenVBand="0" w:oddHBand="0" w:evenHBand="0" w:firstRowFirstColumn="0" w:firstRowLastColumn="0" w:lastRowFirstColumn="0" w:lastRowLastColumn="0"/>
            <w:tcW w:w="846" w:type="dxa"/>
            <w:vMerge/>
            <w:hideMark/>
          </w:tcPr>
          <w:p w14:paraId="0C41A45D"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4D4B49FE"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C6276AE" w14:textId="2B0F7454"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t>a)</w:t>
            </w:r>
            <w:r w:rsidRPr="00B600FE">
              <w:tab/>
              <w:t xml:space="preserve">Le Comité a pris note du § 1 du Document </w:t>
            </w:r>
            <w:r w:rsidRPr="00B600FE">
              <w:rPr>
                <w:szCs w:val="22"/>
              </w:rPr>
              <w:t xml:space="preserve">RRB21-2/3(Rév.1) </w:t>
            </w:r>
            <w:r w:rsidRPr="00B600FE">
              <w:t xml:space="preserve">concernant les mesures prises en </w:t>
            </w:r>
            <w:r w:rsidR="006D2DE8">
              <w:t>application des décisions de la </w:t>
            </w:r>
            <w:r w:rsidRPr="00B600FE">
              <w:t>86ème réunion du Comité.</w:t>
            </w:r>
            <w:r w:rsidRPr="00B600FE">
              <w:rPr>
                <w:szCs w:val="22"/>
              </w:rPr>
              <w:t xml:space="preserve"> </w:t>
            </w:r>
          </w:p>
        </w:tc>
        <w:tc>
          <w:tcPr>
            <w:tcW w:w="3395" w:type="dxa"/>
            <w:hideMark/>
          </w:tcPr>
          <w:p w14:paraId="486FD025" w14:textId="209F929B"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1227831A" w14:textId="77777777" w:rsidTr="006D2DE8">
        <w:trPr>
          <w:trHeight w:val="594"/>
        </w:trPr>
        <w:tc>
          <w:tcPr>
            <w:cnfStyle w:val="001000000000" w:firstRow="0" w:lastRow="0" w:firstColumn="1" w:lastColumn="0" w:oddVBand="0" w:evenVBand="0" w:oddHBand="0" w:evenHBand="0" w:firstRowFirstColumn="0" w:firstRowLastColumn="0" w:lastRowFirstColumn="0" w:lastRowLastColumn="0"/>
            <w:tcW w:w="846" w:type="dxa"/>
            <w:vMerge/>
            <w:hideMark/>
          </w:tcPr>
          <w:p w14:paraId="48EAB3A5"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6EFAA8A4"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44B53122" w14:textId="65296858"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t>b)</w:t>
            </w:r>
            <w:r w:rsidRPr="00B600FE">
              <w:tab/>
              <w:t xml:space="preserve">Le Comité a pris note du § 2 du Document </w:t>
            </w:r>
            <w:r w:rsidR="006D2DE8">
              <w:rPr>
                <w:szCs w:val="22"/>
              </w:rPr>
              <w:t>RRB21-2/3(Rév.</w:t>
            </w:r>
            <w:r w:rsidRPr="00B600FE">
              <w:rPr>
                <w:szCs w:val="22"/>
              </w:rPr>
              <w:t xml:space="preserve">1) </w:t>
            </w:r>
            <w:r w:rsidRPr="00B600FE">
              <w:t>concernant le traitement des fiches de notification de systèmes de Terre et de systèmes à satellites.</w:t>
            </w:r>
            <w:r w:rsidRPr="00B600FE">
              <w:rPr>
                <w:szCs w:val="22"/>
              </w:rPr>
              <w:t xml:space="preserve"> </w:t>
            </w:r>
          </w:p>
        </w:tc>
        <w:tc>
          <w:tcPr>
            <w:tcW w:w="3395" w:type="dxa"/>
            <w:hideMark/>
          </w:tcPr>
          <w:p w14:paraId="4A008CD4" w14:textId="2B5373D3" w:rsidR="00C930D4" w:rsidRPr="00B600FE" w:rsidRDefault="00C930D4" w:rsidP="005014D9">
            <w:pPr>
              <w:pStyle w:val="Tabletext"/>
              <w:ind w:left="284" w:hanging="284"/>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61EC4588"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10DD270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F2E31CD"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7A39302E" w14:textId="4BF4623F"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t>c)</w:t>
            </w:r>
            <w:r w:rsidRPr="00B600FE">
              <w:tab/>
              <w:t xml:space="preserve">Le Comité a pris note du § 3 du Document </w:t>
            </w:r>
            <w:r w:rsidRPr="00B600FE">
              <w:rPr>
                <w:szCs w:val="22"/>
              </w:rPr>
              <w:t xml:space="preserve">RRB21-2/3(Rév.1) </w:t>
            </w:r>
            <w:r w:rsidRPr="00B600FE">
              <w:t>concernant la mise en œuvre du recouvrement des coûts pour le traitement des fiches de notification des réseaux à satellite.</w:t>
            </w:r>
          </w:p>
        </w:tc>
        <w:tc>
          <w:tcPr>
            <w:tcW w:w="3395" w:type="dxa"/>
            <w:hideMark/>
          </w:tcPr>
          <w:p w14:paraId="7EFA4314" w14:textId="38D7A6EF"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6E91E89C"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034689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359C6DAD"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4D284802" w14:textId="70E5694E"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t>d)</w:t>
            </w:r>
            <w:r w:rsidRPr="00B600FE">
              <w:tab/>
              <w:t xml:space="preserve">Le Comité a pris note du § 4.1 du Document </w:t>
            </w:r>
            <w:r w:rsidRPr="00B600FE">
              <w:rPr>
                <w:szCs w:val="22"/>
              </w:rPr>
              <w:t xml:space="preserve">RRB21-2/3(Rév.1) </w:t>
            </w:r>
            <w:r w:rsidRPr="00B600FE">
              <w:t>relatif aux cas de brouillages préjudiciables ou aux infractions au Règlement des radiocommunications.</w:t>
            </w:r>
            <w:r w:rsidRPr="00B600FE">
              <w:rPr>
                <w:szCs w:val="22"/>
              </w:rPr>
              <w:t xml:space="preserve"> </w:t>
            </w:r>
          </w:p>
        </w:tc>
        <w:tc>
          <w:tcPr>
            <w:tcW w:w="3395" w:type="dxa"/>
            <w:hideMark/>
          </w:tcPr>
          <w:p w14:paraId="1D5F5D7B" w14:textId="77777777"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72B72CE7"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6E9599F6"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7C4064C8"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256F02EF" w14:textId="75A76ED8"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pPr>
            <w:bookmarkStart w:id="10" w:name="_Hlk77585347"/>
            <w:r w:rsidRPr="00B600FE">
              <w:t>e)</w:t>
            </w:r>
            <w:r w:rsidRPr="00B600FE">
              <w:tab/>
              <w:t xml:space="preserve">Lorsqu'il a examiné le § 4.2 du Document RRB21-2/3(Rév.1) et les Addenda 2, 3 et 4 relatifs aux brouillages préjudiciables causés à des stations de radiodiffusion en ondes métriques/décimétriques entre l'Italie et les pays voisins, le Comité a remercié le Bureau pour les efforts qu'il a déployés en vue d'organiser la réunion de coordination multilatérale entre l'Italie et les pays voisins ainsi que pour le rapport rendant compte des résultats de cette réunion. Le Comité a noté une fois de plus avec préoccupation que des progrès n'avaient toujours pas été accomplis en vue de </w:t>
            </w:r>
            <w:r w:rsidRPr="00B600FE">
              <w:rPr>
                <w:color w:val="000000"/>
              </w:rPr>
              <w:t>résoudre les cas de brouillages préjudiciables</w:t>
            </w:r>
            <w:r w:rsidRPr="00B600FE">
              <w:t xml:space="preserve"> causés aux stations de radiodiffusion sonore MF des pays voisins de l'Italie. Le Comité a encouragé l'Administration italienne:</w:t>
            </w:r>
          </w:p>
          <w:bookmarkEnd w:id="10"/>
          <w:p w14:paraId="2ED04FFC" w14:textId="7955BC88"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pPr>
            <w:r w:rsidRPr="00B600FE">
              <w:t>•</w:t>
            </w:r>
            <w:r w:rsidRPr="00B600FE">
              <w:tab/>
            </w:r>
            <w:bookmarkStart w:id="11" w:name="_Hlk77585433"/>
            <w:r w:rsidRPr="00B600FE">
              <w:t xml:space="preserve">à prendre toutes les mesures possibles pour éliminer les </w:t>
            </w:r>
            <w:r w:rsidRPr="00B600FE">
              <w:rPr>
                <w:color w:val="000000"/>
              </w:rPr>
              <w:t>brouillages préjudiciables</w:t>
            </w:r>
            <w:r w:rsidRPr="00B600FE">
              <w:t xml:space="preserve"> causés aux stations de radiodiffusion sonore MF des pays voisins;</w:t>
            </w:r>
          </w:p>
          <w:p w14:paraId="08994321" w14:textId="55497A1F"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pPr>
            <w:r w:rsidRPr="00B600FE">
              <w:t>•</w:t>
            </w:r>
            <w:r w:rsidRPr="00B600FE">
              <w:tab/>
              <w:t>à se concentrer sur la</w:t>
            </w:r>
            <w:r w:rsidRPr="00B600FE">
              <w:rPr>
                <w:color w:val="000000"/>
              </w:rPr>
              <w:t xml:space="preserve"> liste des stations de radiodiffusion sonore MF à traiter en priorité, </w:t>
            </w:r>
            <w:r w:rsidRPr="00B600FE">
              <w:t xml:space="preserve">afin de résoudre au cas par cas ces cas de </w:t>
            </w:r>
            <w:r w:rsidRPr="00B600FE">
              <w:rPr>
                <w:color w:val="000000"/>
              </w:rPr>
              <w:t>brouillages préjudiciables</w:t>
            </w:r>
            <w:bookmarkEnd w:id="11"/>
            <w:r w:rsidRPr="00B600FE">
              <w:t>.</w:t>
            </w:r>
          </w:p>
          <w:p w14:paraId="2BDC5519" w14:textId="6496967B"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pPr>
            <w:bookmarkStart w:id="12" w:name="_Hlk77585465"/>
            <w:r w:rsidRPr="00B600FE">
              <w:t>Le Comité a chargé le Bureau:</w:t>
            </w:r>
          </w:p>
          <w:p w14:paraId="3015BB94" w14:textId="3C4A40DF"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t>de continuer de fournir un appui aux administrations concernées;</w:t>
            </w:r>
          </w:p>
          <w:p w14:paraId="4CC9F016" w14:textId="3DAC72E1"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Pr="00B600FE">
              <w:rPr>
                <w:color w:val="000000"/>
              </w:rPr>
              <w:t>de prendre les dispositions nécessaires</w:t>
            </w:r>
            <w:r w:rsidRPr="00B600FE">
              <w:rPr>
                <w:szCs w:val="22"/>
              </w:rPr>
              <w:t xml:space="preserve"> pour convoquer la prochaine réunion de coordination multilatérale prévue en mai/juin 2022;</w:t>
            </w:r>
          </w:p>
          <w:p w14:paraId="4D673495" w14:textId="3084BE88"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w:t>
            </w:r>
            <w:r w:rsidRPr="00B600FE">
              <w:rPr>
                <w:szCs w:val="22"/>
              </w:rPr>
              <w:tab/>
              <w:t xml:space="preserve">de continuer de rendre compte des progrès </w:t>
            </w:r>
            <w:r w:rsidRPr="00B600FE">
              <w:rPr>
                <w:color w:val="000000"/>
              </w:rPr>
              <w:t>accomplis</w:t>
            </w:r>
            <w:r w:rsidRPr="00B600FE">
              <w:rPr>
                <w:szCs w:val="22"/>
              </w:rPr>
              <w:t xml:space="preserve"> sur cette question ainsi que des résultats de la réunion de coordination multilatérale prévue.</w:t>
            </w:r>
            <w:bookmarkEnd w:id="12"/>
          </w:p>
        </w:tc>
        <w:tc>
          <w:tcPr>
            <w:tcW w:w="3395" w:type="dxa"/>
            <w:hideMark/>
          </w:tcPr>
          <w:p w14:paraId="18327F17" w14:textId="67EB6599"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aux administrations concernées.</w:t>
            </w:r>
          </w:p>
          <w:p w14:paraId="7E013D8F" w14:textId="6BA22163" w:rsidR="00C930D4" w:rsidRPr="00B600FE" w:rsidRDefault="00C930D4" w:rsidP="005014D9">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Bureau:</w:t>
            </w:r>
          </w:p>
          <w:p w14:paraId="4DB8E996" w14:textId="3E1F4E6E" w:rsidR="00C930D4" w:rsidRPr="00B600FE" w:rsidRDefault="00C930D4" w:rsidP="005014D9">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t>continuera de fournir un appui aux administrations concernées;</w:t>
            </w:r>
          </w:p>
          <w:p w14:paraId="4062B48C" w14:textId="66959262" w:rsidR="00C930D4" w:rsidRPr="00B600FE" w:rsidRDefault="00C930D4" w:rsidP="005014D9">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Pr="00B600FE">
              <w:rPr>
                <w:color w:val="000000"/>
              </w:rPr>
              <w:t>prendra les dispositions nécessaires</w:t>
            </w:r>
            <w:r w:rsidRPr="00B600FE">
              <w:rPr>
                <w:szCs w:val="22"/>
              </w:rPr>
              <w:t xml:space="preserve"> pour convoquer la prochaine réunion de coordination multilatérale prévue en mai/juin 2022;</w:t>
            </w:r>
          </w:p>
          <w:p w14:paraId="0B590F93" w14:textId="2D998D66" w:rsidR="00C930D4" w:rsidRPr="00B600FE" w:rsidRDefault="00C930D4" w:rsidP="005014D9">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t xml:space="preserve">continuera de rendre compte des progrès </w:t>
            </w:r>
            <w:r w:rsidRPr="00B600FE">
              <w:rPr>
                <w:color w:val="000000"/>
              </w:rPr>
              <w:t>accomplis</w:t>
            </w:r>
            <w:r w:rsidRPr="00B600FE">
              <w:rPr>
                <w:szCs w:val="22"/>
              </w:rPr>
              <w:t xml:space="preserve"> sur cette question ainsi que des résultats de la réunion de coordination multilatérale prévue.</w:t>
            </w:r>
          </w:p>
        </w:tc>
      </w:tr>
      <w:tr w:rsidR="00C930D4" w:rsidRPr="00B600FE" w14:paraId="2AF1FE9E"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78428417"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2AD24F08"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67E79E69" w14:textId="77CC4CC4"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pPr>
            <w:r w:rsidRPr="00B600FE">
              <w:t>f)</w:t>
            </w:r>
            <w:r w:rsidRPr="00B600FE">
              <w:tab/>
              <w:t xml:space="preserve">Lorsqu'il a examiné le § 4.3 du Document RRB21-2/3(Rév.1) relatif aux brouillages préjudiciables causés aux stations de radiodiffusion analogique de la République populaire démocratique de Corée, le Comité a noté avec gratitude que le Bureau avait appliqué les instructions qu'il lui avait données à sa 86ème réunion. Le Comité s'est déclaré gravement préoccupé par le fait que la République de Corée n'avait pas répondu à la Note verbale, contenant une lettre sur cette question à l'attention du Ministre des Sciences et des TIC de la République de Corée, qui avait été envoyée à la Mission permanente de la République de Corée, et que cela confirmait une fois de plus que l'Administration de la République de Corée persiste à ne pas répondre. Le Comité a noté que cette absence de réponse et de mesures de la part de l'Administration de la République de Corée portait à croire que cette administration contrevenait directement aux numéros </w:t>
            </w:r>
            <w:r w:rsidRPr="00B600FE">
              <w:rPr>
                <w:b/>
                <w:bCs/>
              </w:rPr>
              <w:t xml:space="preserve">15.2 </w:t>
            </w:r>
            <w:r w:rsidRPr="00B600FE">
              <w:t xml:space="preserve">et </w:t>
            </w:r>
            <w:r w:rsidRPr="00B600FE">
              <w:rPr>
                <w:b/>
                <w:bCs/>
              </w:rPr>
              <w:t>23.3</w:t>
            </w:r>
            <w:r w:rsidRPr="00B600FE">
              <w:t xml:space="preserve"> du RR et au numéro 197 (</w:t>
            </w:r>
            <w:r w:rsidR="006D2DE8">
              <w:t>a</w:t>
            </w:r>
            <w:r w:rsidRPr="00B600FE">
              <w:t>rticle 45) de la Constitution de l'UIT.</w:t>
            </w:r>
          </w:p>
          <w:p w14:paraId="6F195F37" w14:textId="1690C6DE" w:rsidR="00C930D4" w:rsidRPr="00B600FE" w:rsidRDefault="00C930D4" w:rsidP="005014D9">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En conséquence, le Comité a décidé de charger le Bureau d'envoyer à la Mission permanente de la République de Corée une seconde </w:t>
            </w:r>
            <w:r w:rsidR="00247ACA" w:rsidRPr="00B600FE">
              <w:rPr>
                <w:szCs w:val="22"/>
              </w:rPr>
              <w:t>N</w:t>
            </w:r>
            <w:r w:rsidRPr="00B600FE">
              <w:rPr>
                <w:szCs w:val="22"/>
              </w:rPr>
              <w:t xml:space="preserve">ote verbale, à l'attention du Ministre des Sciences et des TIC de la République de Corée, pour lui faire part des graves préoccupations du Bureau au sujet de l'absence persistante de réponse de l'Administration de la République de Corée, et pour demander à l'Administration de la République de Corée de formuler ses observations et lui faire savoir qu'elle est vivement invitée à répondre à cette communication. </w:t>
            </w:r>
          </w:p>
          <w:p w14:paraId="3BB51F80" w14:textId="62B119FD" w:rsidR="00C930D4" w:rsidRPr="00B600FE" w:rsidRDefault="00C930D4" w:rsidP="005014D9">
            <w:pPr>
              <w:pStyle w:val="Tabletext"/>
              <w:cnfStyle w:val="000000000000" w:firstRow="0" w:lastRow="0" w:firstColumn="0" w:lastColumn="0" w:oddVBand="0" w:evenVBand="0" w:oddHBand="0" w:evenHBand="0" w:firstRowFirstColumn="0" w:firstRowLastColumn="0" w:lastRowFirstColumn="0" w:lastRowLastColumn="0"/>
            </w:pPr>
            <w:r w:rsidRPr="00B600FE">
              <w:t>Le Comité a continué d'encourager vivement l'Administration de la République de Corée à prendre des mesures adaptées pour éliminer les brouillages préjudiciables causés aux stations de radiodiffusion télévisuelle de la République populaire démocratique de Corée.</w:t>
            </w:r>
          </w:p>
          <w:p w14:paraId="612EB64D" w14:textId="26035EDE" w:rsidR="00C930D4" w:rsidRPr="00B600FE" w:rsidRDefault="00C930D4" w:rsidP="005014D9">
            <w:pPr>
              <w:pStyle w:val="Tabletext"/>
              <w:cnfStyle w:val="000000000000" w:firstRow="0" w:lastRow="0" w:firstColumn="0" w:lastColumn="0" w:oddVBand="0" w:evenVBand="0" w:oddHBand="0" w:evenHBand="0" w:firstRowFirstColumn="0" w:firstRowLastColumn="0" w:lastRowFirstColumn="0" w:lastRowLastColumn="0"/>
            </w:pPr>
            <w:r w:rsidRPr="00B600FE">
              <w:t>En outre, le Comité a encouragé les deux administrations à coopérer pour trouver une solution à ce problème.</w:t>
            </w:r>
          </w:p>
        </w:tc>
        <w:tc>
          <w:tcPr>
            <w:tcW w:w="3395" w:type="dxa"/>
            <w:hideMark/>
          </w:tcPr>
          <w:p w14:paraId="47105658" w14:textId="68ACCE8B"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Secrétaire exécutif communiquera ces décisions aux administrations concernées.</w:t>
            </w:r>
          </w:p>
          <w:p w14:paraId="5814A45A" w14:textId="26B9E6EA"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Bureau enverra à la Mission permanente de la République de Corée une seconde </w:t>
            </w:r>
            <w:r w:rsidR="00247ACA" w:rsidRPr="00B600FE">
              <w:rPr>
                <w:szCs w:val="22"/>
              </w:rPr>
              <w:t>N</w:t>
            </w:r>
            <w:r w:rsidRPr="00B600FE">
              <w:rPr>
                <w:szCs w:val="22"/>
              </w:rPr>
              <w:t>ote verbale, à l'attention du Ministre des Sciences et des technologies de l'information et de la communication de la République de Corée, pour lui faire part des graves préoccupations du Bureau au sujet de l'absence persistante de réponse de l'Administration de la République de Corée, et pour demander à l'Administration de la République de Corée de formuler ses observations et lui faire savoir qu'elle est vivement invitée à répondre à cette communication.</w:t>
            </w:r>
          </w:p>
        </w:tc>
      </w:tr>
      <w:tr w:rsidR="00C930D4" w:rsidRPr="00B600FE" w14:paraId="44BABCC3"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20C1B8C9"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42DAB223"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AF0CE9E" w14:textId="53DC4AA4" w:rsidR="00C930D4" w:rsidRPr="00B600FE" w:rsidRDefault="00C930D4" w:rsidP="00C26083">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pPr>
            <w:r w:rsidRPr="00B600FE">
              <w:t>g)</w:t>
            </w:r>
            <w:r w:rsidRPr="00B600FE">
              <w:tab/>
              <w:t xml:space="preserve">Le Comité a pris note du § 5 du Document RRB21-2/3(Rév.1) relatif à la mise en œuvre des numéros </w:t>
            </w:r>
            <w:r w:rsidRPr="00B600FE">
              <w:rPr>
                <w:b/>
                <w:bCs/>
              </w:rPr>
              <w:t>11.44.1</w:t>
            </w:r>
            <w:r w:rsidRPr="00B600FE">
              <w:t xml:space="preserve">, </w:t>
            </w:r>
            <w:r w:rsidRPr="00B600FE">
              <w:rPr>
                <w:b/>
                <w:bCs/>
              </w:rPr>
              <w:t>11.47</w:t>
            </w:r>
            <w:r w:rsidRPr="00B600FE">
              <w:t xml:space="preserve">, </w:t>
            </w:r>
            <w:r w:rsidRPr="00B600FE">
              <w:rPr>
                <w:b/>
                <w:bCs/>
              </w:rPr>
              <w:t>11.48</w:t>
            </w:r>
            <w:r w:rsidRPr="00B600FE">
              <w:t xml:space="preserve">, </w:t>
            </w:r>
            <w:r w:rsidRPr="00B600FE">
              <w:rPr>
                <w:b/>
                <w:bCs/>
              </w:rPr>
              <w:t>11.49</w:t>
            </w:r>
            <w:r w:rsidRPr="00B600FE">
              <w:t xml:space="preserve">, </w:t>
            </w:r>
            <w:r w:rsidRPr="00B600FE">
              <w:rPr>
                <w:b/>
                <w:bCs/>
              </w:rPr>
              <w:t>9.38.1</w:t>
            </w:r>
            <w:r w:rsidRPr="00B600FE">
              <w:t xml:space="preserve"> et </w:t>
            </w:r>
            <w:r w:rsidRPr="00B600FE">
              <w:rPr>
                <w:b/>
                <w:bCs/>
              </w:rPr>
              <w:t>13.6</w:t>
            </w:r>
            <w:r w:rsidRPr="00B600FE">
              <w:t xml:space="preserve"> du Règlement des radiocommunications et de la Résolution</w:t>
            </w:r>
            <w:r w:rsidR="00247ACA" w:rsidRPr="00B600FE">
              <w:t> </w:t>
            </w:r>
            <w:r w:rsidRPr="00B600FE">
              <w:rPr>
                <w:b/>
                <w:bCs/>
              </w:rPr>
              <w:t>49 (Rév.CMR-19)</w:t>
            </w:r>
            <w:r w:rsidRPr="00B600FE">
              <w:t xml:space="preserve">. </w:t>
            </w:r>
          </w:p>
        </w:tc>
        <w:tc>
          <w:tcPr>
            <w:tcW w:w="3395" w:type="dxa"/>
            <w:hideMark/>
          </w:tcPr>
          <w:p w14:paraId="63335E6F" w14:textId="77777777"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5461FF25"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AE86905"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5111B909"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6B67752D" w14:textId="16B49F66" w:rsidR="00C930D4" w:rsidRPr="00B600FE" w:rsidRDefault="00C930D4" w:rsidP="00247ACA">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pPr>
            <w:r w:rsidRPr="00B600FE">
              <w:t>h)</w:t>
            </w:r>
            <w:r w:rsidRPr="00B600FE">
              <w:tab/>
              <w:t>Lorsqu'il a examiné le § 6 du Document RRB21-2/3(Rév.1) sur le recouvrement des coûts pour le traitement des fiches de notification des réseaux à satellite, le Comité a relevé que les participants à la consultation virtuelle des Conseillers de 2020 et 2021 avaient décidé de soumettre aux Conseillers les rapports relatifs à la mise en œuvre de la Décision 482 en 2020 et 2021, pour approbation par correspondance.</w:t>
            </w:r>
          </w:p>
        </w:tc>
        <w:tc>
          <w:tcPr>
            <w:tcW w:w="3395" w:type="dxa"/>
            <w:hideMark/>
          </w:tcPr>
          <w:p w14:paraId="4E8B6301" w14:textId="24869B36" w:rsidR="00C930D4" w:rsidRPr="00B600FE" w:rsidRDefault="00C930D4" w:rsidP="005014D9">
            <w:pPr>
              <w:pStyle w:val="Tabletext"/>
              <w:ind w:left="284" w:hanging="284"/>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2147B43B"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E8609DA"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734E11E"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12ACE51D" w14:textId="307EE263" w:rsidR="00C930D4" w:rsidRPr="00B600FE" w:rsidRDefault="00C930D4" w:rsidP="005014D9">
            <w:pPr>
              <w:pStyle w:val="Tabletext"/>
              <w:keepLines/>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i)</w:t>
            </w:r>
            <w:r w:rsidRPr="00B600FE">
              <w:rPr>
                <w:szCs w:val="22"/>
              </w:rPr>
              <w:tab/>
              <w:t>Le Comité a pris note du</w:t>
            </w:r>
            <w:r w:rsidRPr="00B600FE">
              <w:t xml:space="preserve"> § 7 du Do</w:t>
            </w:r>
            <w:r w:rsidR="006D2DE8">
              <w:t>cument RRB21-1/6, qui porte sur </w:t>
            </w:r>
            <w:r w:rsidRPr="00B600FE">
              <w:t>l'examen des conclusions relative</w:t>
            </w:r>
            <w:r w:rsidR="006D2DE8">
              <w:t>s aux assignations de fréquence </w:t>
            </w:r>
            <w:r w:rsidRPr="00B600FE">
              <w:t xml:space="preserve">des systèmes à satellites du SFS non OSG au titre de la Résolution </w:t>
            </w:r>
            <w:r w:rsidRPr="00B600FE">
              <w:rPr>
                <w:b/>
                <w:bCs/>
              </w:rPr>
              <w:t>85 (CMR</w:t>
            </w:r>
            <w:r w:rsidRPr="00B600FE">
              <w:rPr>
                <w:b/>
                <w:bCs/>
              </w:rPr>
              <w:noBreakHyphen/>
              <w:t>03)</w:t>
            </w:r>
            <w:r w:rsidRPr="00B600FE">
              <w:t xml:space="preserve">, et </w:t>
            </w:r>
            <w:r w:rsidRPr="00B600FE">
              <w:rPr>
                <w:color w:val="000000"/>
              </w:rPr>
              <w:t xml:space="preserve">s'est déclaré satisfait des </w:t>
            </w:r>
            <w:r w:rsidRPr="00B600FE">
              <w:t xml:space="preserve">progrès réalisés concernant la mise en œuvre des processus d'examen et des mesures connexes. </w:t>
            </w:r>
          </w:p>
        </w:tc>
        <w:tc>
          <w:tcPr>
            <w:tcW w:w="3395" w:type="dxa"/>
            <w:hideMark/>
          </w:tcPr>
          <w:p w14:paraId="0DDE3945" w14:textId="77777777"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249AE5D1"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56D9FCB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3C01A86"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D217860" w14:textId="19A23491"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j)</w:t>
            </w:r>
            <w:r w:rsidRPr="00B600FE">
              <w:rPr>
                <w:szCs w:val="22"/>
              </w:rPr>
              <w:tab/>
              <w:t>Le Comité a examiné de maniè</w:t>
            </w:r>
            <w:r w:rsidR="006D2DE8">
              <w:rPr>
                <w:szCs w:val="22"/>
              </w:rPr>
              <w:t>re détaillée le § 8 du Document </w:t>
            </w:r>
            <w:r w:rsidRPr="00B600FE">
              <w:t xml:space="preserve">RRB21-2/3(Rév.1) et a examiné pour information les Documents RRB21-2/DELAYED/2 et RRB21-2/DELAYED/4, </w:t>
            </w:r>
            <w:r w:rsidRPr="00B600FE">
              <w:rPr>
                <w:szCs w:val="22"/>
              </w:rPr>
              <w:t>qui traitent de la</w:t>
            </w:r>
            <w:r w:rsidRPr="00B600FE">
              <w:rPr>
                <w:color w:val="000000"/>
              </w:rPr>
              <w:t xml:space="preserve"> réunion bilatérale relative à la </w:t>
            </w:r>
            <w:r w:rsidR="006D2DE8">
              <w:rPr>
                <w:szCs w:val="22"/>
              </w:rPr>
              <w:t>coordination de 16 </w:t>
            </w:r>
            <w:r w:rsidRPr="00B600FE">
              <w:rPr>
                <w:szCs w:val="22"/>
              </w:rPr>
              <w:t>assignations de fréquence pour la radiodiffusion sonore MF de l'Administration de Bahreïn (Royaume de) avec l'Administration de la République islamique d'Iran dans le cadre de la procédure de modification du Plan GE84.</w:t>
            </w:r>
            <w:r w:rsidRPr="00B600FE">
              <w:t xml:space="preserve"> </w:t>
            </w:r>
            <w:r w:rsidRPr="00B600FE">
              <w:rPr>
                <w:szCs w:val="22"/>
              </w:rPr>
              <w:t xml:space="preserve">Le Comité a remercié le Bureau d'avoir organisé la réunion bilatérale de coordination entre les deux administrations et d'avoir rendu compte de cette réunion. Tout en reconnaissant le droit des administrations de convenir des méthodes et des paramètres concernant la coordination, le Comité a mis l'accent sur les aspects suivants: </w:t>
            </w:r>
          </w:p>
          <w:p w14:paraId="6813DE4D" w14:textId="63BFE0B7" w:rsidR="00C930D4" w:rsidRPr="00B600FE" w:rsidRDefault="00C930D4" w:rsidP="00572EC1">
            <w:pPr>
              <w:pStyle w:val="Tabletext"/>
              <w:ind w:left="56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t xml:space="preserve">La proposition visant à exclure les assignations de fréquence de l'Administration de la République islamique d'Iran des calculs du champ utilisable de référence n'était pas conforme au § 4.3.7.1 de </w:t>
            </w:r>
            <w:r w:rsidRPr="00B600FE">
              <w:rPr>
                <w:szCs w:val="22"/>
              </w:rPr>
              <w:lastRenderedPageBreak/>
              <w:t>l'Accord GE84. L'application générale de cette approche aurait des incidences négatives sur l'intégrité du Plan GE84.</w:t>
            </w:r>
          </w:p>
          <w:p w14:paraId="5D443199" w14:textId="0E087F3F" w:rsidR="00C930D4" w:rsidRPr="00B600FE" w:rsidRDefault="00C930D4" w:rsidP="00572EC1">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bookmarkStart w:id="13" w:name="_Hlk77683596"/>
            <w:r w:rsidRPr="00B600FE">
              <w:rPr>
                <w:szCs w:val="22"/>
              </w:rPr>
              <w:t>Conformément au § 4.6.2, toutes les assignations inscrites dans le Plan GE84 avaient</w:t>
            </w:r>
            <w:r w:rsidRPr="00B600FE">
              <w:rPr>
                <w:color w:val="000000"/>
              </w:rPr>
              <w:t xml:space="preserve"> le même statut</w:t>
            </w:r>
            <w:r w:rsidRPr="00B600FE">
              <w:rPr>
                <w:szCs w:val="22"/>
              </w:rPr>
              <w:t xml:space="preserve">. Les conditions convenues </w:t>
            </w:r>
            <w:r w:rsidRPr="00B600FE">
              <w:rPr>
                <w:color w:val="000000"/>
              </w:rPr>
              <w:t>d'un commun accord</w:t>
            </w:r>
            <w:r w:rsidRPr="00B600FE">
              <w:rPr>
                <w:szCs w:val="22"/>
              </w:rPr>
              <w:t xml:space="preserve"> entre les administrations, par exemple le fait de ne pas prétendre à une protection vis-à-vis des assignations de fréquence inscrites de la République islamique d'Iran, ne pouvaient pas être prises en considération lors de l'application de l'Article </w:t>
            </w:r>
            <w:r w:rsidRPr="00B600FE">
              <w:rPr>
                <w:b/>
                <w:bCs/>
                <w:szCs w:val="22"/>
              </w:rPr>
              <w:t>15</w:t>
            </w:r>
            <w:r w:rsidRPr="00B600FE">
              <w:rPr>
                <w:szCs w:val="22"/>
              </w:rPr>
              <w:t xml:space="preserve"> du RR en cas de brouillage préjudiciable. En outre, le Comité a noté que les conditions de l'accord bilatéral n'étaient pas prises en compte dans l'application des procédures du Règlement des radiocommunications.</w:t>
            </w:r>
          </w:p>
          <w:p w14:paraId="7BC642B2" w14:textId="0E53AC67" w:rsidR="00C930D4" w:rsidRPr="00B600FE" w:rsidRDefault="00C930D4" w:rsidP="005014D9">
            <w:pPr>
              <w:pStyle w:val="Tabletext"/>
              <w:tabs>
                <w:tab w:val="clear" w:pos="284"/>
              </w:tabs>
              <w:cnfStyle w:val="000000000000" w:firstRow="0" w:lastRow="0" w:firstColumn="0" w:lastColumn="0" w:oddVBand="0" w:evenVBand="0" w:oddHBand="0" w:evenHBand="0" w:firstRowFirstColumn="0" w:firstRowLastColumn="0" w:lastRowFirstColumn="0" w:lastRowLastColumn="0"/>
              <w:rPr>
                <w:szCs w:val="22"/>
              </w:rPr>
            </w:pPr>
            <w:bookmarkStart w:id="14" w:name="_Hlk77683451"/>
            <w:bookmarkEnd w:id="13"/>
            <w:r w:rsidRPr="00B600FE">
              <w:rPr>
                <w:szCs w:val="22"/>
              </w:rPr>
              <w:t xml:space="preserve">Le Comité a également encouragé les deux administrations à prendre en considération les données </w:t>
            </w:r>
            <w:r w:rsidRPr="00B600FE">
              <w:rPr>
                <w:color w:val="000000"/>
              </w:rPr>
              <w:t>relatives à</w:t>
            </w:r>
            <w:r w:rsidRPr="00B600FE">
              <w:rPr>
                <w:szCs w:val="22"/>
              </w:rPr>
              <w:t xml:space="preserve"> l'élévation du terrain dans le calcul des </w:t>
            </w:r>
            <w:r w:rsidRPr="00B600FE">
              <w:rPr>
                <w:color w:val="000000"/>
              </w:rPr>
              <w:t>valeurs prévues du champ</w:t>
            </w:r>
            <w:r w:rsidRPr="00B600FE">
              <w:rPr>
                <w:szCs w:val="22"/>
              </w:rPr>
              <w:t xml:space="preserve">, comme indiqué au § 4.3.7.1 de l'Article 4, ainsi qu'au § 2.1.3.4 du Chapitre 2 de l'Accord GE84, ce qui était conforme à la décision de la CMR-19 en la matière. </w:t>
            </w:r>
            <w:bookmarkEnd w:id="14"/>
            <w:r w:rsidRPr="00B600FE">
              <w:rPr>
                <w:szCs w:val="22"/>
              </w:rPr>
              <w:t xml:space="preserve">De surcroît, le Comité a noté que de nombreuses discussions bilatérales et multilatérales sur la coordination reposaient sur ce principe. Le Comité a chargé le Bureau de continuer de </w:t>
            </w:r>
            <w:r w:rsidRPr="00B600FE">
              <w:t xml:space="preserve">fournir une assistance aux administrations dans </w:t>
            </w:r>
            <w:r w:rsidRPr="00B600FE">
              <w:rPr>
                <w:color w:val="000000"/>
              </w:rPr>
              <w:t xml:space="preserve">le cadre de leurs </w:t>
            </w:r>
            <w:r w:rsidRPr="00B600FE">
              <w:t>efforts de coordination,</w:t>
            </w:r>
            <w:r w:rsidRPr="00B600FE">
              <w:rPr>
                <w:szCs w:val="22"/>
              </w:rPr>
              <w:t xml:space="preserve"> d'organiser la prochaine réunion bilatérale de coordination et de </w:t>
            </w:r>
            <w:r w:rsidRPr="00B600FE">
              <w:rPr>
                <w:color w:val="000000"/>
              </w:rPr>
              <w:t xml:space="preserve">faire rapport sur les progrès accomplis </w:t>
            </w:r>
            <w:r w:rsidRPr="00B600FE">
              <w:rPr>
                <w:szCs w:val="22"/>
              </w:rPr>
              <w:t xml:space="preserve">en la matière </w:t>
            </w:r>
            <w:r w:rsidRPr="00B600FE">
              <w:rPr>
                <w:color w:val="000000"/>
              </w:rPr>
              <w:t>aux réunions futures du Comité.</w:t>
            </w:r>
          </w:p>
        </w:tc>
        <w:tc>
          <w:tcPr>
            <w:tcW w:w="3395" w:type="dxa"/>
            <w:hideMark/>
          </w:tcPr>
          <w:p w14:paraId="404E1DCC" w14:textId="3F6906D2"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aux administrations concernées.</w:t>
            </w:r>
          </w:p>
          <w:p w14:paraId="7FF99375" w14:textId="1F28EBA6" w:rsidR="00C930D4" w:rsidRPr="00B600FE" w:rsidRDefault="00C930D4" w:rsidP="005014D9">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Bureau continuera de </w:t>
            </w:r>
            <w:r w:rsidRPr="00B600FE">
              <w:t xml:space="preserve">fournir une assistance aux administrations dans </w:t>
            </w:r>
            <w:r w:rsidRPr="00B600FE">
              <w:rPr>
                <w:color w:val="000000"/>
              </w:rPr>
              <w:t xml:space="preserve">le cadre de leurs </w:t>
            </w:r>
            <w:r w:rsidRPr="00B600FE">
              <w:t>efforts de coordination,</w:t>
            </w:r>
            <w:r w:rsidRPr="00B600FE">
              <w:rPr>
                <w:szCs w:val="22"/>
              </w:rPr>
              <w:t xml:space="preserve"> organisera la prochaine réunion bilatérale de coordination et fera</w:t>
            </w:r>
            <w:r w:rsidRPr="00B600FE">
              <w:rPr>
                <w:color w:val="000000"/>
              </w:rPr>
              <w:t xml:space="preserve"> rapport sur les progrès accomplis </w:t>
            </w:r>
            <w:r w:rsidRPr="00B600FE">
              <w:rPr>
                <w:szCs w:val="22"/>
              </w:rPr>
              <w:t xml:space="preserve">en la matière </w:t>
            </w:r>
            <w:r w:rsidRPr="00B600FE">
              <w:rPr>
                <w:color w:val="000000"/>
              </w:rPr>
              <w:t>aux réunions futures du Comité.</w:t>
            </w:r>
          </w:p>
        </w:tc>
      </w:tr>
      <w:tr w:rsidR="00C930D4" w:rsidRPr="00B600FE" w14:paraId="26BA1955"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hideMark/>
          </w:tcPr>
          <w:p w14:paraId="656F559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7B32A949"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3AC1180A" w14:textId="0B4BC215"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k)</w:t>
            </w:r>
            <w:r w:rsidRPr="00B600FE">
              <w:rPr>
                <w:szCs w:val="22"/>
              </w:rPr>
              <w:tab/>
              <w:t xml:space="preserve">Lors de l'examen du § 9 du Document RRB21-2/3(Rév.1) relatif aux mises à jour éventuelles des Règles de procédure, le Comité a remercié le Bureau d'avoir porté ces cas à son attention. Le Comité a décidé qu'il serait nécessaire d'élaborer des projets de Règles de procédure et d'apporter des </w:t>
            </w:r>
            <w:r w:rsidRPr="00B600FE">
              <w:rPr>
                <w:color w:val="000000"/>
              </w:rPr>
              <w:t>modifications d'ordre rédactionnel</w:t>
            </w:r>
            <w:r w:rsidRPr="00B600FE">
              <w:rPr>
                <w:szCs w:val="22"/>
              </w:rPr>
              <w:t xml:space="preserve"> aux Règles de procédure, comme le propose le Bureau à la suite des décisions de la CMR-19 ou sur la base de la pratique générale </w:t>
            </w:r>
            <w:r w:rsidRPr="00B600FE">
              <w:rPr>
                <w:color w:val="000000"/>
              </w:rPr>
              <w:t>suivie par le Bureau.</w:t>
            </w:r>
            <w:r w:rsidRPr="00B600FE">
              <w:rPr>
                <w:szCs w:val="22"/>
              </w:rPr>
              <w:t xml:space="preserve"> En conséquence, le Comité a chargé le Bureau d'élaborer les projets de Règles de procédure et de les</w:t>
            </w:r>
            <w:r w:rsidRPr="00B600FE">
              <w:rPr>
                <w:color w:val="000000"/>
              </w:rPr>
              <w:t xml:space="preserve"> communiquer </w:t>
            </w:r>
            <w:r w:rsidRPr="00B600FE">
              <w:rPr>
                <w:szCs w:val="22"/>
              </w:rPr>
              <w:t>aux administrations pour observations.</w:t>
            </w:r>
          </w:p>
        </w:tc>
        <w:tc>
          <w:tcPr>
            <w:tcW w:w="3395" w:type="dxa"/>
            <w:hideMark/>
          </w:tcPr>
          <w:p w14:paraId="1CC4032A" w14:textId="0C3B4E1E" w:rsidR="00C930D4" w:rsidRPr="00B600FE" w:rsidRDefault="00C930D4" w:rsidP="005014D9">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color w:val="000000"/>
              </w:rPr>
              <w:t>Le Bureau établira les projets de Règles de procédure et les communiquera aux administrations</w:t>
            </w:r>
            <w:r w:rsidRPr="00B600FE">
              <w:rPr>
                <w:szCs w:val="22"/>
              </w:rPr>
              <w:t xml:space="preserve"> pour observations.</w:t>
            </w:r>
          </w:p>
        </w:tc>
      </w:tr>
      <w:tr w:rsidR="00C930D4" w:rsidRPr="00B600FE" w14:paraId="689EB77F" w14:textId="77777777" w:rsidTr="008353EB">
        <w:trPr>
          <w:trHeight w:val="557"/>
        </w:trPr>
        <w:tc>
          <w:tcPr>
            <w:cnfStyle w:val="001000000000" w:firstRow="0" w:lastRow="0" w:firstColumn="1" w:lastColumn="0" w:oddVBand="0" w:evenVBand="0" w:oddHBand="0" w:evenHBand="0" w:firstRowFirstColumn="0" w:firstRowLastColumn="0" w:lastRowFirstColumn="0" w:lastRowLastColumn="0"/>
            <w:tcW w:w="846" w:type="dxa"/>
            <w:vMerge/>
          </w:tcPr>
          <w:p w14:paraId="2F5C3FF4"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010E37AE"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197ABEFE" w14:textId="57CEC12C" w:rsidR="00C930D4" w:rsidRPr="00B600FE" w:rsidRDefault="00C930D4"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w:t>
            </w:r>
            <w:r w:rsidRPr="00B600FE">
              <w:rPr>
                <w:szCs w:val="22"/>
              </w:rPr>
              <w:tab/>
              <w:t xml:space="preserve">Lors de l'examen du § 10 du Document RRB21-2/3(Rév.1) relatif à l'état d'avancement des travaux concernant les soumissions au titre de la Résolution </w:t>
            </w:r>
            <w:r w:rsidRPr="00B600FE">
              <w:rPr>
                <w:b/>
                <w:bCs/>
                <w:szCs w:val="22"/>
              </w:rPr>
              <w:t>559 (CMR-19)</w:t>
            </w:r>
            <w:r w:rsidRPr="00B600FE">
              <w:rPr>
                <w:szCs w:val="22"/>
              </w:rPr>
              <w:t>,</w:t>
            </w:r>
            <w:r w:rsidRPr="00B600FE">
              <w:t xml:space="preserve"> le Comité a pris note avec satisfaction de la bonne volonté dont les administrations ont fait preuve en protégeant les soumissions au titre de la Résolution </w:t>
            </w:r>
            <w:r w:rsidRPr="00B600FE">
              <w:rPr>
                <w:b/>
                <w:bCs/>
              </w:rPr>
              <w:t>559 (CMR-19)</w:t>
            </w:r>
            <w:r w:rsidRPr="00B600FE">
              <w:t xml:space="preserve"> et a remercié le Bureau pour les mesures qu'il a prises en vue de mettre en œuvre les décisions du Comité. Le Comité a chargé le Bureau de continuer d'aider les administrations à atténuer les brouillages susceptibles d'</w:t>
            </w:r>
            <w:r w:rsidRPr="00B600FE">
              <w:rPr>
                <w:color w:val="000000"/>
              </w:rPr>
              <w:t>entraîner une dégradation des</w:t>
            </w:r>
            <w:r w:rsidRPr="00B600FE">
              <w:t xml:space="preserve"> valeurs </w:t>
            </w:r>
            <w:r w:rsidRPr="00B600FE">
              <w:rPr>
                <w:color w:val="000000"/>
              </w:rPr>
              <w:t>de la MPE des soumissions au titre</w:t>
            </w:r>
            <w:r w:rsidRPr="00B600FE">
              <w:t xml:space="preserve"> de la Résolution </w:t>
            </w:r>
            <w:r w:rsidRPr="00B600FE">
              <w:rPr>
                <w:b/>
                <w:bCs/>
              </w:rPr>
              <w:t>559 (CMR-19)</w:t>
            </w:r>
            <w:r w:rsidRPr="00B600FE">
              <w:t>.</w:t>
            </w:r>
            <w:r w:rsidRPr="00B600FE">
              <w:rPr>
                <w:szCs w:val="22"/>
              </w:rPr>
              <w:t xml:space="preserve"> </w:t>
            </w:r>
          </w:p>
        </w:tc>
        <w:tc>
          <w:tcPr>
            <w:tcW w:w="3395" w:type="dxa"/>
          </w:tcPr>
          <w:p w14:paraId="14FDD345" w14:textId="7C8BC5BE" w:rsidR="00C930D4" w:rsidRPr="00B600FE" w:rsidRDefault="00C930D4" w:rsidP="00602B42">
            <w:pPr>
              <w:pStyle w:val="Tabletext"/>
              <w:keepNext/>
              <w:keepLines/>
              <w:tabs>
                <w:tab w:val="left" w:pos="2195"/>
              </w:tabs>
              <w:overflowPunct/>
              <w:autoSpaceDE/>
              <w:adjustRightInd/>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Bureau</w:t>
            </w:r>
            <w:r w:rsidRPr="00B600FE">
              <w:t xml:space="preserve"> continuera d'aider les administrations à atténuer les brouillages susceptibles d'</w:t>
            </w:r>
            <w:r w:rsidRPr="00B600FE">
              <w:rPr>
                <w:color w:val="000000"/>
              </w:rPr>
              <w:t>entraîner une dégradation des</w:t>
            </w:r>
            <w:r w:rsidRPr="00B600FE">
              <w:t xml:space="preserve"> valeurs </w:t>
            </w:r>
            <w:r w:rsidRPr="00B600FE">
              <w:rPr>
                <w:color w:val="000000"/>
              </w:rPr>
              <w:t>de la MPE des soumissions au titre</w:t>
            </w:r>
            <w:r w:rsidRPr="00B600FE">
              <w:t xml:space="preserve"> de la Résolution </w:t>
            </w:r>
            <w:r w:rsidRPr="00B600FE">
              <w:rPr>
                <w:b/>
                <w:bCs/>
              </w:rPr>
              <w:t>559 (CMR-19)</w:t>
            </w:r>
            <w:r w:rsidRPr="00B600FE">
              <w:t>.</w:t>
            </w:r>
            <w:r w:rsidRPr="00B600FE">
              <w:rPr>
                <w:szCs w:val="22"/>
              </w:rPr>
              <w:t xml:space="preserve"> </w:t>
            </w:r>
          </w:p>
        </w:tc>
      </w:tr>
      <w:tr w:rsidR="00C930D4" w:rsidRPr="00B600FE" w14:paraId="6CEEF037"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50C78E6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12AE2523"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3DD379E5" w14:textId="6CA65A5A"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m)</w:t>
            </w:r>
            <w:r w:rsidRPr="00B600FE">
              <w:rPr>
                <w:szCs w:val="22"/>
              </w:rPr>
              <w:tab/>
              <w:t xml:space="preserve">Le Comité a examiné le § 11 du Document RRB21-2/3(Rév.1) relatif à la demande de prorogation de la </w:t>
            </w:r>
            <w:r w:rsidRPr="00B600FE">
              <w:rPr>
                <w:color w:val="000000"/>
              </w:rPr>
              <w:t xml:space="preserve">durée </w:t>
            </w:r>
            <w:r w:rsidRPr="00B600FE">
              <w:rPr>
                <w:szCs w:val="22"/>
              </w:rPr>
              <w:t>d'exploitation du réseau à satellite DBL-G3-19.2E présentée par l'Administration du Luxembourg. Le Comité a noté que le Bureau avait agi correctement. En outre, il a noté que l'administration avait peu attendu avant de soumettre les informations demandées et que le réseau à satellite continuait de fonctionner avec les mêmes caractéristiques.</w:t>
            </w:r>
          </w:p>
        </w:tc>
        <w:tc>
          <w:tcPr>
            <w:tcW w:w="3395" w:type="dxa"/>
          </w:tcPr>
          <w:p w14:paraId="74F81949" w14:textId="03BFFB43" w:rsidR="00C930D4" w:rsidRPr="00B600FE" w:rsidRDefault="00C930D4" w:rsidP="005014D9">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0ADBB241"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743D6B53"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734B5259"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BA322A2" w14:textId="1175686E"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n)</w:t>
            </w:r>
            <w:r w:rsidRPr="00B600FE">
              <w:rPr>
                <w:szCs w:val="22"/>
              </w:rPr>
              <w:tab/>
              <w:t xml:space="preserve">Lors de l'examen du § 12 du Document RRB21-2/3(Rév.1), qui traite d'une demande </w:t>
            </w:r>
            <w:r w:rsidRPr="00B600FE">
              <w:rPr>
                <w:color w:val="000000"/>
              </w:rPr>
              <w:t xml:space="preserve">d'inscription définitive des assignations de fréquence du réseau à satellite ALGBSAT-24.8W </w:t>
            </w:r>
            <w:r w:rsidRPr="00B600FE">
              <w:rPr>
                <w:szCs w:val="22"/>
              </w:rPr>
              <w:t xml:space="preserve">dans la Liste pour les Régions 1 et 3 des Appendices </w:t>
            </w:r>
            <w:r w:rsidRPr="00B600FE">
              <w:rPr>
                <w:b/>
                <w:bCs/>
                <w:szCs w:val="22"/>
              </w:rPr>
              <w:t>30</w:t>
            </w:r>
            <w:r w:rsidRPr="00B600FE">
              <w:rPr>
                <w:szCs w:val="22"/>
              </w:rPr>
              <w:t xml:space="preserve"> et </w:t>
            </w:r>
            <w:r w:rsidRPr="00B600FE">
              <w:rPr>
                <w:b/>
                <w:bCs/>
                <w:szCs w:val="22"/>
              </w:rPr>
              <w:t>30A</w:t>
            </w:r>
            <w:r w:rsidRPr="00B600FE">
              <w:rPr>
                <w:szCs w:val="22"/>
              </w:rPr>
              <w:t xml:space="preserve">, le Comité a relevé que le Bureau avait agi correctement et a également noté avec satisfaction que la modification du § 4.1.18bis des Appendices </w:t>
            </w:r>
            <w:r w:rsidRPr="00B600FE">
              <w:rPr>
                <w:b/>
                <w:bCs/>
                <w:szCs w:val="22"/>
              </w:rPr>
              <w:t>30</w:t>
            </w:r>
            <w:r w:rsidRPr="00B600FE">
              <w:rPr>
                <w:szCs w:val="22"/>
              </w:rPr>
              <w:t xml:space="preserve"> et </w:t>
            </w:r>
            <w:r w:rsidRPr="00B600FE">
              <w:rPr>
                <w:b/>
                <w:bCs/>
                <w:szCs w:val="22"/>
              </w:rPr>
              <w:t>30A</w:t>
            </w:r>
            <w:r w:rsidRPr="00B600FE">
              <w:rPr>
                <w:szCs w:val="22"/>
              </w:rPr>
              <w:t xml:space="preserve"> décidée par la CMR-19 ne soulevait aucune difficulté s'agissant de sa mise en œuvre. Le Comité a remercié le Bureau d'avoir porté ce cas à son attention.</w:t>
            </w:r>
          </w:p>
        </w:tc>
        <w:tc>
          <w:tcPr>
            <w:tcW w:w="3395" w:type="dxa"/>
          </w:tcPr>
          <w:p w14:paraId="2C7475E6" w14:textId="7716DBBB" w:rsidR="00C930D4" w:rsidRPr="00B600FE" w:rsidRDefault="00C930D4" w:rsidP="005014D9">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3C21600B"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2BA7C9A6"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5EEFA1D8"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A20D2AE" w14:textId="46792D35"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o)</w:t>
            </w:r>
            <w:r w:rsidRPr="00B600FE">
              <w:rPr>
                <w:szCs w:val="22"/>
              </w:rPr>
              <w:tab/>
              <w:t>Le Comité a examiné de manièr</w:t>
            </w:r>
            <w:r w:rsidR="008353EB">
              <w:rPr>
                <w:szCs w:val="22"/>
              </w:rPr>
              <w:t>e détaillée le § 13 du Document </w:t>
            </w:r>
            <w:r w:rsidRPr="00B600FE">
              <w:rPr>
                <w:szCs w:val="22"/>
              </w:rPr>
              <w:t xml:space="preserve">RRB21-2/3(Rév.1) relatif à la mise en œuvre de la Résolution </w:t>
            </w:r>
            <w:r w:rsidRPr="00B600FE">
              <w:rPr>
                <w:b/>
                <w:bCs/>
                <w:szCs w:val="22"/>
              </w:rPr>
              <w:t>35 (CMR-19)</w:t>
            </w:r>
            <w:r w:rsidRPr="00B600FE">
              <w:rPr>
                <w:szCs w:val="22"/>
              </w:rPr>
              <w:t xml:space="preserve"> et s'est déclarée satisfait des informations fournies ainsi que des mesures prises par le Bureau, à savoir la mise en place de la fonctionnalité de saisie et de soumission en ligne, l'élaboration d'un logiciel et d'une nouvelle section spéciale et la modification de la base de données SRS. </w:t>
            </w:r>
          </w:p>
        </w:tc>
        <w:tc>
          <w:tcPr>
            <w:tcW w:w="3395" w:type="dxa"/>
          </w:tcPr>
          <w:p w14:paraId="483F36AD" w14:textId="42F87D16"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w:t>
            </w:r>
          </w:p>
        </w:tc>
      </w:tr>
      <w:tr w:rsidR="00C930D4" w:rsidRPr="00B600FE" w14:paraId="368F38F4" w14:textId="77777777" w:rsidTr="006D2DE8">
        <w:trPr>
          <w:trHeight w:val="840"/>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251337BF"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bookmarkStart w:id="15" w:name="_Hlk77347747"/>
          </w:p>
        </w:tc>
        <w:tc>
          <w:tcPr>
            <w:tcW w:w="3827" w:type="dxa"/>
            <w:vMerge w:val="restart"/>
          </w:tcPr>
          <w:p w14:paraId="6D4E53DB"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70F3DE9C" w14:textId="259800AD"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p)</w:t>
            </w:r>
            <w:r w:rsidRPr="00B600FE">
              <w:rPr>
                <w:szCs w:val="22"/>
              </w:rPr>
              <w:tab/>
              <w:t xml:space="preserve">Lors de l'examen de l'Addendum 5 </w:t>
            </w:r>
            <w:r w:rsidRPr="00B600FE">
              <w:t>a</w:t>
            </w:r>
            <w:r w:rsidRPr="00B600FE">
              <w:rPr>
                <w:szCs w:val="22"/>
              </w:rPr>
              <w:t xml:space="preserve">u Document RRB21-2/3(Rév.1), qui </w:t>
            </w:r>
            <w:r w:rsidRPr="00B600FE">
              <w:t xml:space="preserve">rend compte des </w:t>
            </w:r>
            <w:r w:rsidRPr="00B600FE">
              <w:rPr>
                <w:szCs w:val="22"/>
              </w:rPr>
              <w:t xml:space="preserve">activités de coordination </w:t>
            </w:r>
            <w:r w:rsidRPr="00B600FE">
              <w:t>que les Administrations de la France et de la Grèce ont menées en ce qui concerne le réseau à satellite ATHENA-FIDUS-38E à 38° E et le réseau à satellite HELLAS</w:t>
            </w:r>
            <w:r w:rsidRPr="00B600FE">
              <w:noBreakHyphen/>
              <w:t>SAT-2G à 39° E</w:t>
            </w:r>
            <w:r w:rsidRPr="00B600FE">
              <w:rPr>
                <w:szCs w:val="22"/>
              </w:rPr>
              <w:t>,</w:t>
            </w:r>
            <w:r w:rsidRPr="00B600FE">
              <w:rPr>
                <w:color w:val="000000"/>
              </w:rPr>
              <w:t xml:space="preserve"> le </w:t>
            </w:r>
            <w:r w:rsidRPr="00B600FE">
              <w:rPr>
                <w:szCs w:val="22"/>
              </w:rPr>
              <w:t xml:space="preserve">Comité </w:t>
            </w:r>
            <w:r w:rsidRPr="00B600FE">
              <w:rPr>
                <w:color w:val="000000"/>
              </w:rPr>
              <w:t>a pris note avec satisfaction des progrès satisfaisants accomplis à ce jour.</w:t>
            </w:r>
            <w:r w:rsidRPr="00B600FE">
              <w:t xml:space="preserve"> </w:t>
            </w:r>
            <w:r w:rsidRPr="00B600FE">
              <w:rPr>
                <w:color w:val="000000"/>
              </w:rPr>
              <w:t>Le</w:t>
            </w:r>
            <w:r w:rsidRPr="00B600FE">
              <w:rPr>
                <w:szCs w:val="22"/>
              </w:rPr>
              <w:t xml:space="preserve"> Comité</w:t>
            </w:r>
            <w:r w:rsidRPr="00B600FE">
              <w:rPr>
                <w:color w:val="000000"/>
              </w:rPr>
              <w:t xml:space="preserve"> a remercié le Bureau pour ce rapport et pour les mesures qu'il a prises en vue d'aider les deux administrations. Le </w:t>
            </w:r>
            <w:r w:rsidRPr="00B600FE">
              <w:rPr>
                <w:szCs w:val="22"/>
              </w:rPr>
              <w:t>Comité</w:t>
            </w:r>
            <w:r w:rsidRPr="00B600FE">
              <w:rPr>
                <w:color w:val="000000"/>
              </w:rPr>
              <w:t xml:space="preserve"> a encouragé les Administrations </w:t>
            </w:r>
            <w:r w:rsidRPr="00B600FE">
              <w:rPr>
                <w:szCs w:val="22"/>
              </w:rPr>
              <w:t xml:space="preserve">de la France et de la Grèce </w:t>
            </w:r>
            <w:r w:rsidRPr="00B600FE">
              <w:rPr>
                <w:color w:val="000000"/>
              </w:rPr>
              <w:t xml:space="preserve">à poursuivre leurs efforts de coordination en faisant preuve de bonne volonté, afin d'obtenir des résultats positifs, et a chargé le Bureau de continuer d'aider les deux administrations dans le cadre de ces efforts et de lui rendre compte des progrès accomplis. </w:t>
            </w:r>
          </w:p>
        </w:tc>
        <w:tc>
          <w:tcPr>
            <w:tcW w:w="3395" w:type="dxa"/>
          </w:tcPr>
          <w:p w14:paraId="0611B83C" w14:textId="3FF8EB81"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Le Secrétaire exécutif communiquera ces décisions aux administrations concernées.</w:t>
            </w:r>
          </w:p>
          <w:p w14:paraId="56AFEFCC" w14:textId="778C3893" w:rsidR="00C930D4" w:rsidRPr="00B600FE" w:rsidRDefault="00C930D4" w:rsidP="00C00DAA">
            <w:pPr>
              <w:pStyle w:val="Tabletext"/>
              <w:jc w:val="center"/>
              <w:cnfStyle w:val="000000000000" w:firstRow="0" w:lastRow="0" w:firstColumn="0" w:lastColumn="0" w:oddVBand="0" w:evenVBand="0" w:oddHBand="0" w:evenHBand="0" w:firstRowFirstColumn="0" w:firstRowLastColumn="0" w:lastRowFirstColumn="0" w:lastRowLastColumn="0"/>
            </w:pPr>
            <w:r w:rsidRPr="00B600FE">
              <w:t xml:space="preserve">Le Bureau continuera d'aider les </w:t>
            </w:r>
            <w:r w:rsidR="00C00DAA">
              <w:t>A</w:t>
            </w:r>
            <w:r w:rsidRPr="00B600FE">
              <w:t>dministrations de la France et de la Grèce dans le cadre de leurs efforts de coordination et soumettra au Comité un rapport sur les progrès accomplis.</w:t>
            </w:r>
          </w:p>
        </w:tc>
      </w:tr>
      <w:bookmarkEnd w:id="15"/>
      <w:tr w:rsidR="00C930D4" w:rsidRPr="00B600FE" w14:paraId="1EB7DD30"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6E68C774"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44B8919F"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77B74A90" w14:textId="126E9BCF"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q)</w:t>
            </w:r>
            <w:r w:rsidRPr="00B600FE">
              <w:rPr>
                <w:szCs w:val="22"/>
              </w:rPr>
              <w:tab/>
              <w:t xml:space="preserve">Le Comité a étudié l'Addendum 6 au Document RRB21-2/3(Rév.1), qui traite des statistiques concernant les données soumises au Groupe de travail 4A de l'UIT-R au titre de la Résolution </w:t>
            </w:r>
            <w:r w:rsidRPr="00B600FE">
              <w:rPr>
                <w:b/>
                <w:bCs/>
                <w:szCs w:val="22"/>
              </w:rPr>
              <w:t>40 (Rév.CMR-19)</w:t>
            </w:r>
            <w:r w:rsidRPr="00B600FE">
              <w:rPr>
                <w:szCs w:val="22"/>
              </w:rPr>
              <w:t xml:space="preserve">. Le Comité a remercié le Bureau pour les informations fournies et a décidé de </w:t>
            </w:r>
            <w:r w:rsidRPr="00B600FE">
              <w:rPr>
                <w:color w:val="000000"/>
              </w:rPr>
              <w:t xml:space="preserve">faire état de </w:t>
            </w:r>
            <w:r w:rsidRPr="00B600FE">
              <w:rPr>
                <w:szCs w:val="22"/>
              </w:rPr>
              <w:t xml:space="preserve">cette question dans son Rapport sur la Résolution </w:t>
            </w:r>
            <w:r w:rsidRPr="00B600FE">
              <w:rPr>
                <w:b/>
                <w:bCs/>
                <w:szCs w:val="22"/>
              </w:rPr>
              <w:t>80 (Rév.CMR-07)</w:t>
            </w:r>
            <w:r w:rsidRPr="00B600FE">
              <w:rPr>
                <w:szCs w:val="22"/>
              </w:rPr>
              <w:t xml:space="preserve"> à la CMR-23. </w:t>
            </w:r>
          </w:p>
        </w:tc>
        <w:tc>
          <w:tcPr>
            <w:tcW w:w="3395" w:type="dxa"/>
          </w:tcPr>
          <w:p w14:paraId="4DB4734B" w14:textId="5A7BCF17" w:rsidR="00C930D4" w:rsidRPr="00B600FE" w:rsidRDefault="00C930D4" w:rsidP="005014D9">
            <w:pPr>
              <w:pStyle w:val="Tabletext"/>
              <w:tabs>
                <w:tab w:val="clear" w:pos="284"/>
                <w:tab w:val="left" w:pos="2195"/>
              </w:tabs>
              <w:overflowPunct/>
              <w:autoSpaceDE/>
              <w:adjustRightInd/>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Comité fera</w:t>
            </w:r>
            <w:r w:rsidRPr="00B600FE">
              <w:rPr>
                <w:color w:val="000000"/>
              </w:rPr>
              <w:t xml:space="preserve"> état de </w:t>
            </w:r>
            <w:r w:rsidRPr="00B600FE">
              <w:rPr>
                <w:szCs w:val="22"/>
              </w:rPr>
              <w:t xml:space="preserve">cette question dans son Rapport sur la Résolution </w:t>
            </w:r>
            <w:r w:rsidRPr="00B600FE">
              <w:rPr>
                <w:b/>
                <w:bCs/>
                <w:szCs w:val="22"/>
              </w:rPr>
              <w:t xml:space="preserve">80 (Rév.CMR-07) </w:t>
            </w:r>
            <w:r w:rsidR="00C00DAA">
              <w:rPr>
                <w:szCs w:val="22"/>
              </w:rPr>
              <w:t>à la </w:t>
            </w:r>
            <w:r w:rsidRPr="00B600FE">
              <w:rPr>
                <w:szCs w:val="22"/>
              </w:rPr>
              <w:t xml:space="preserve">CMR-23. </w:t>
            </w:r>
          </w:p>
        </w:tc>
      </w:tr>
      <w:tr w:rsidR="00C930D4" w:rsidRPr="00B600FE" w14:paraId="216B6DF7"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78D5947E"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34AEAD8B"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C448C6F" w14:textId="1FE4EE53"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r)</w:t>
            </w:r>
            <w:r w:rsidRPr="00B600FE">
              <w:rPr>
                <w:szCs w:val="22"/>
              </w:rPr>
              <w:tab/>
              <w:t xml:space="preserve">Le Comité a examiné de manière détaillée l'Addendum 9 au Document RRB21-2/3(Rév.1), qui porte sur le traitement, la notification et la mise en service des systèmes à satellites non géostationnaires. Le Comité a remercié le Bureau d'avoir fourni les informations et porté ces cas à son attention, et a examiné individuellement divers paragraphes de l'Addendum, comme indiqué ci-après: </w:t>
            </w:r>
          </w:p>
        </w:tc>
        <w:tc>
          <w:tcPr>
            <w:tcW w:w="3395" w:type="dxa"/>
          </w:tcPr>
          <w:p w14:paraId="5CCC371E" w14:textId="343B9AB9" w:rsidR="00C930D4" w:rsidRPr="00B600FE" w:rsidRDefault="00C930D4" w:rsidP="005014D9">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70D55997" w14:textId="77777777" w:rsidTr="00602B42">
        <w:trPr>
          <w:trHeight w:val="495"/>
        </w:trPr>
        <w:tc>
          <w:tcPr>
            <w:cnfStyle w:val="001000000000" w:firstRow="0" w:lastRow="0" w:firstColumn="1" w:lastColumn="0" w:oddVBand="0" w:evenVBand="0" w:oddHBand="0" w:evenHBand="0" w:firstRowFirstColumn="0" w:firstRowLastColumn="0" w:lastRowFirstColumn="0" w:lastRowLastColumn="0"/>
            <w:tcW w:w="846" w:type="dxa"/>
            <w:vMerge/>
          </w:tcPr>
          <w:p w14:paraId="2801C383"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66B64158"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C1D35C9" w14:textId="2783AB80" w:rsidR="00C930D4" w:rsidRPr="00B600FE" w:rsidRDefault="00C930D4" w:rsidP="005014D9">
            <w:pPr>
              <w:pStyle w:val="Tabletext"/>
              <w:tabs>
                <w:tab w:val="clear" w:pos="284"/>
                <w:tab w:val="clear" w:pos="567"/>
                <w:tab w:val="clear" w:pos="851"/>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1</w:t>
            </w:r>
            <w:r w:rsidRPr="00B600FE">
              <w:rPr>
                <w:szCs w:val="22"/>
              </w:rPr>
              <w:tab/>
            </w:r>
            <w:r w:rsidRPr="00B600FE">
              <w:rPr>
                <w:b/>
                <w:bCs/>
                <w:szCs w:val="22"/>
              </w:rPr>
              <w:t>Traitement des modifications de demandes de coordination existantes</w:t>
            </w:r>
          </w:p>
          <w:p w14:paraId="78F5B51E" w14:textId="315D8649"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Comité a pris note de la pratique proposée par le Bureau et l'a approuvée, notamment en ce qui concerne la vérification du respect des limites </w:t>
            </w:r>
            <w:r w:rsidRPr="00B600FE">
              <w:rPr>
                <w:szCs w:val="24"/>
              </w:rPr>
              <w:t xml:space="preserve">d'epfd </w:t>
            </w:r>
            <w:r w:rsidRPr="00B600FE">
              <w:rPr>
                <w:szCs w:val="22"/>
              </w:rPr>
              <w:t xml:space="preserve">pour l'ensemble des systèmes à satellites non géostationnaires, ce qui est conforme aux dispositions du Règlement des radiocommunications et des Règles de procédure associées. Le Comité a noté que cette question se rapportait peut-être également à l'utilisation efficace des ressources orbites/spectre, de sorte qu'on pourrait peut-être </w:t>
            </w:r>
            <w:r w:rsidRPr="00B600FE">
              <w:rPr>
                <w:szCs w:val="22"/>
              </w:rPr>
              <w:lastRenderedPageBreak/>
              <w:t xml:space="preserve">l'étudier plus avant lors de l'élaboration du rapport du Comité sur la Résolution </w:t>
            </w:r>
            <w:r w:rsidRPr="00B600FE">
              <w:rPr>
                <w:b/>
                <w:bCs/>
                <w:szCs w:val="22"/>
              </w:rPr>
              <w:t>80 (Rév.CMR-07)</w:t>
            </w:r>
            <w:r w:rsidRPr="00B600FE">
              <w:rPr>
                <w:szCs w:val="22"/>
              </w:rPr>
              <w:t xml:space="preserve"> à la CMR-23.</w:t>
            </w:r>
          </w:p>
        </w:tc>
        <w:tc>
          <w:tcPr>
            <w:tcW w:w="3395" w:type="dxa"/>
          </w:tcPr>
          <w:p w14:paraId="05322C2C" w14:textId="3F21AC28" w:rsidR="00C930D4" w:rsidRPr="00B600FE" w:rsidRDefault="00C930D4" w:rsidP="005014D9">
            <w:pPr>
              <w:pStyle w:val="Tabletext"/>
              <w:tabs>
                <w:tab w:val="clear" w:pos="284"/>
                <w:tab w:val="left" w:pos="2195"/>
              </w:tabs>
              <w:overflowPunct/>
              <w:autoSpaceDE/>
              <w:adjustRightInd/>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Comité fera</w:t>
            </w:r>
            <w:r w:rsidRPr="00B600FE">
              <w:rPr>
                <w:color w:val="000000"/>
              </w:rPr>
              <w:t xml:space="preserve"> état de ce point </w:t>
            </w:r>
            <w:r w:rsidRPr="00B600FE">
              <w:rPr>
                <w:szCs w:val="22"/>
              </w:rPr>
              <w:t xml:space="preserve">lors de l'élaboration de son rapport sur la Résolution </w:t>
            </w:r>
            <w:r w:rsidRPr="00B600FE">
              <w:rPr>
                <w:b/>
                <w:bCs/>
                <w:szCs w:val="22"/>
              </w:rPr>
              <w:t>80 (Rév.CMR-07)</w:t>
            </w:r>
            <w:r w:rsidRPr="00B600FE">
              <w:rPr>
                <w:szCs w:val="22"/>
              </w:rPr>
              <w:t xml:space="preserve"> à la CMR-23. </w:t>
            </w:r>
          </w:p>
        </w:tc>
      </w:tr>
      <w:tr w:rsidR="00C930D4" w:rsidRPr="00B600FE" w14:paraId="2D52DE1C"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6C29049A"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7CA28825"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5E6AFA6C" w14:textId="035CD685"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2.1</w:t>
            </w:r>
            <w:r w:rsidRPr="00B600FE">
              <w:rPr>
                <w:szCs w:val="22"/>
              </w:rPr>
              <w:tab/>
            </w:r>
            <w:r w:rsidRPr="00B600FE">
              <w:rPr>
                <w:b/>
                <w:bCs/>
                <w:szCs w:val="22"/>
              </w:rPr>
              <w:t>Recevabilité des fiches de notification soumises conformément à la Résolution 32 (CMR-19)</w:t>
            </w:r>
          </w:p>
          <w:p w14:paraId="024DEB8E" w14:textId="30A86BD5"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Comité a noté que la pratique que le B</w:t>
            </w:r>
            <w:r w:rsidR="00C00DAA">
              <w:rPr>
                <w:szCs w:val="22"/>
              </w:rPr>
              <w:t>ureau projetait d'adopter était </w:t>
            </w:r>
            <w:r w:rsidRPr="00B600FE">
              <w:rPr>
                <w:szCs w:val="22"/>
              </w:rPr>
              <w:t xml:space="preserve">conforme à l'application du numéro </w:t>
            </w:r>
            <w:r w:rsidRPr="00B600FE">
              <w:rPr>
                <w:b/>
                <w:bCs/>
                <w:szCs w:val="22"/>
              </w:rPr>
              <w:t>9.1</w:t>
            </w:r>
            <w:r w:rsidR="00C00DAA">
              <w:rPr>
                <w:szCs w:val="22"/>
              </w:rPr>
              <w:t xml:space="preserve"> du RR et de la Résolution </w:t>
            </w:r>
            <w:r w:rsidRPr="00B600FE">
              <w:rPr>
                <w:b/>
                <w:bCs/>
                <w:szCs w:val="22"/>
              </w:rPr>
              <w:t>32 (CMR-19)</w:t>
            </w:r>
            <w:r w:rsidRPr="00B600FE">
              <w:rPr>
                <w:szCs w:val="22"/>
              </w:rPr>
              <w:t>, et que les mesur</w:t>
            </w:r>
            <w:r w:rsidR="00C00DAA">
              <w:rPr>
                <w:szCs w:val="22"/>
              </w:rPr>
              <w:t>es prises par le Bureau étaient </w:t>
            </w:r>
            <w:r w:rsidRPr="00B600FE">
              <w:rPr>
                <w:szCs w:val="22"/>
              </w:rPr>
              <w:t xml:space="preserve">conformes à la décision de la CMR-19 lorsqu'elle a adopté la Résolution </w:t>
            </w:r>
            <w:r w:rsidRPr="00B600FE">
              <w:rPr>
                <w:b/>
                <w:bCs/>
                <w:szCs w:val="22"/>
              </w:rPr>
              <w:t>32 (CMR</w:t>
            </w:r>
            <w:r w:rsidRPr="00B600FE">
              <w:rPr>
                <w:b/>
                <w:bCs/>
                <w:szCs w:val="22"/>
              </w:rPr>
              <w:noBreakHyphen/>
              <w:t>19)</w:t>
            </w:r>
            <w:r w:rsidRPr="00B600FE">
              <w:rPr>
                <w:szCs w:val="22"/>
              </w:rPr>
              <w:t xml:space="preserve">. Le Comité a chargé le Bureau d'informer l'Administration de l'Inde de l'application du numéro </w:t>
            </w:r>
            <w:r w:rsidRPr="00B600FE">
              <w:rPr>
                <w:b/>
                <w:bCs/>
                <w:szCs w:val="22"/>
              </w:rPr>
              <w:t>9.1</w:t>
            </w:r>
            <w:r w:rsidRPr="00B600FE">
              <w:rPr>
                <w:szCs w:val="22"/>
              </w:rPr>
              <w:t xml:space="preserve"> du RR et des Règles de procédure relatives à cette disposition, en plus de l'application de la Résolution </w:t>
            </w:r>
            <w:r w:rsidRPr="00B600FE">
              <w:rPr>
                <w:b/>
                <w:bCs/>
                <w:szCs w:val="22"/>
              </w:rPr>
              <w:t>32 (CMR-19)</w:t>
            </w:r>
            <w:r w:rsidRPr="00B600FE">
              <w:rPr>
                <w:szCs w:val="22"/>
              </w:rPr>
              <w:t xml:space="preserve">. Le Comité a noté que cette explication sur la relation entre la Résolution </w:t>
            </w:r>
            <w:r w:rsidRPr="00B600FE">
              <w:rPr>
                <w:b/>
                <w:bCs/>
                <w:szCs w:val="22"/>
              </w:rPr>
              <w:t>32 (CMR-19)</w:t>
            </w:r>
            <w:r w:rsidRPr="00B600FE">
              <w:rPr>
                <w:szCs w:val="22"/>
              </w:rPr>
              <w:t xml:space="preserve"> et le numéro </w:t>
            </w:r>
            <w:r w:rsidRPr="00B600FE">
              <w:rPr>
                <w:b/>
                <w:bCs/>
                <w:szCs w:val="22"/>
              </w:rPr>
              <w:t>9.1</w:t>
            </w:r>
            <w:r w:rsidRPr="00B600FE">
              <w:rPr>
                <w:szCs w:val="22"/>
              </w:rPr>
              <w:t xml:space="preserve"> du RR devrait faire l'objet d'une nouvelle Règle de procédure, dans un souci de clarté et de transparence, et a donné des instructions au Bureau en ce sens.</w:t>
            </w:r>
          </w:p>
        </w:tc>
        <w:tc>
          <w:tcPr>
            <w:tcW w:w="3395" w:type="dxa"/>
          </w:tcPr>
          <w:p w14:paraId="025260A9" w14:textId="14705F33" w:rsidR="00C930D4" w:rsidRPr="00B600FE" w:rsidRDefault="00C930D4" w:rsidP="005014D9">
            <w:pPr>
              <w:pStyle w:val="Tabletext"/>
              <w:tabs>
                <w:tab w:val="clear" w:pos="284"/>
              </w:tabs>
              <w:overflowPunct/>
              <w:autoSpaceDE/>
              <w:adjustRightInd/>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Bureau informera l'Administration de l'Inde de l'application du numéro </w:t>
            </w:r>
            <w:r w:rsidRPr="00B600FE">
              <w:rPr>
                <w:b/>
                <w:bCs/>
                <w:szCs w:val="22"/>
              </w:rPr>
              <w:t>9.1</w:t>
            </w:r>
            <w:r w:rsidRPr="00B600FE">
              <w:rPr>
                <w:szCs w:val="22"/>
              </w:rPr>
              <w:t xml:space="preserve"> du RR et des Règles de procédure relatives à cette disposition, en plus de</w:t>
            </w:r>
            <w:r w:rsidR="00C00DAA">
              <w:rPr>
                <w:szCs w:val="22"/>
              </w:rPr>
              <w:t xml:space="preserve"> l'application de la Résolution </w:t>
            </w:r>
            <w:r w:rsidRPr="00B600FE">
              <w:rPr>
                <w:b/>
                <w:bCs/>
                <w:szCs w:val="22"/>
              </w:rPr>
              <w:t>32 (CMR-19)</w:t>
            </w:r>
            <w:r w:rsidRPr="00B600FE">
              <w:rPr>
                <w:szCs w:val="22"/>
              </w:rPr>
              <w:t>. Le Bureau élaborera un projet de Règle de procédure sur cette pratique</w:t>
            </w:r>
            <w:r w:rsidRPr="00B600FE">
              <w:t xml:space="preserve"> </w:t>
            </w:r>
            <w:r w:rsidRPr="00B600FE">
              <w:rPr>
                <w:szCs w:val="22"/>
              </w:rPr>
              <w:t xml:space="preserve">lors de l'application de la Résolution </w:t>
            </w:r>
            <w:r w:rsidRPr="00B600FE">
              <w:rPr>
                <w:b/>
                <w:bCs/>
                <w:szCs w:val="22"/>
              </w:rPr>
              <w:t>32 (CMR-19)</w:t>
            </w:r>
            <w:r w:rsidRPr="00B600FE">
              <w:rPr>
                <w:szCs w:val="22"/>
              </w:rPr>
              <w:t xml:space="preserve"> et du numéro </w:t>
            </w:r>
            <w:r w:rsidRPr="00B600FE">
              <w:rPr>
                <w:b/>
                <w:bCs/>
                <w:szCs w:val="22"/>
              </w:rPr>
              <w:t>9.1</w:t>
            </w:r>
            <w:r w:rsidRPr="00B600FE">
              <w:rPr>
                <w:szCs w:val="22"/>
              </w:rPr>
              <w:t xml:space="preserve"> du RR et le communiquera aux administrations pour observations.</w:t>
            </w:r>
          </w:p>
        </w:tc>
      </w:tr>
      <w:tr w:rsidR="00C930D4" w:rsidRPr="00B600FE" w14:paraId="33F9BBF0"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6D216BF7"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3637DCF0"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6798DA75" w14:textId="2621282B" w:rsidR="00C930D4" w:rsidRPr="00B600FE" w:rsidRDefault="00C930D4" w:rsidP="005014D9">
            <w:pPr>
              <w:pStyle w:val="Tabletext"/>
              <w:tabs>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2.2</w:t>
            </w:r>
            <w:r w:rsidRPr="00B600FE">
              <w:rPr>
                <w:szCs w:val="22"/>
              </w:rPr>
              <w:tab/>
            </w:r>
            <w:r w:rsidRPr="00B600FE">
              <w:rPr>
                <w:b/>
                <w:bCs/>
                <w:szCs w:val="22"/>
              </w:rPr>
              <w:t>Applicabilité des numéros 22.5L et 22.5M aux systèmes à satellites non géostationnaires notifiés avant la fin de la CMR-19</w:t>
            </w:r>
          </w:p>
          <w:p w14:paraId="1823C6EB" w14:textId="2B94C436"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Comité a noté que, bien que les systèmes non OSG pour lesquels la procédure de notification a été menée à son terme à la fin de la CMR-19 n'aient pas à assurer une coordination avec d'autres systèmes non OSG pour lesquels la procédure de notification a également été menée à son terme à la fin de la CMR-19, cela ne les dispense pas de la nécessité d'appliquer les numéros </w:t>
            </w:r>
            <w:r w:rsidRPr="00B600FE">
              <w:rPr>
                <w:b/>
                <w:bCs/>
                <w:szCs w:val="22"/>
              </w:rPr>
              <w:t>22.5L</w:t>
            </w:r>
            <w:r w:rsidRPr="00B600FE">
              <w:rPr>
                <w:szCs w:val="22"/>
              </w:rPr>
              <w:t xml:space="preserve"> et </w:t>
            </w:r>
            <w:r w:rsidRPr="00B600FE">
              <w:rPr>
                <w:b/>
                <w:bCs/>
                <w:szCs w:val="22"/>
              </w:rPr>
              <w:t>22.5M</w:t>
            </w:r>
            <w:r w:rsidRPr="00B600FE">
              <w:rPr>
                <w:szCs w:val="22"/>
              </w:rPr>
              <w:t xml:space="preserve"> du RR visant à protéger les réseaux OSG. Le Comité a approuvé l'a</w:t>
            </w:r>
            <w:r w:rsidR="00C00DAA">
              <w:rPr>
                <w:szCs w:val="22"/>
              </w:rPr>
              <w:t>pproche proposée par le Bureau, </w:t>
            </w:r>
            <w:r w:rsidRPr="00B600FE">
              <w:rPr>
                <w:szCs w:val="22"/>
              </w:rPr>
              <w:t>qu'il a considérée comme prati</w:t>
            </w:r>
            <w:r w:rsidR="00C00DAA">
              <w:rPr>
                <w:szCs w:val="22"/>
              </w:rPr>
              <w:t>que et conforme aux Résolutions </w:t>
            </w:r>
            <w:r w:rsidRPr="00B600FE">
              <w:rPr>
                <w:b/>
                <w:bCs/>
                <w:szCs w:val="22"/>
              </w:rPr>
              <w:t>769 (CMR-19)</w:t>
            </w:r>
            <w:r w:rsidRPr="00B600FE">
              <w:rPr>
                <w:szCs w:val="22"/>
              </w:rPr>
              <w:t xml:space="preserve"> et </w:t>
            </w:r>
            <w:r w:rsidRPr="00B600FE">
              <w:rPr>
                <w:b/>
                <w:bCs/>
                <w:szCs w:val="22"/>
              </w:rPr>
              <w:t>771 (CMR-19)</w:t>
            </w:r>
            <w:r w:rsidRPr="00B600FE">
              <w:rPr>
                <w:szCs w:val="22"/>
              </w:rPr>
              <w:t xml:space="preserve">. De plus, le Comité a noté que cette approche était conforme au paragraphe 6 de la Règle de procédure relative au numéro </w:t>
            </w:r>
            <w:r w:rsidRPr="00B600FE">
              <w:rPr>
                <w:b/>
                <w:bCs/>
                <w:szCs w:val="22"/>
              </w:rPr>
              <w:t>11.50</w:t>
            </w:r>
            <w:r w:rsidRPr="00B600FE">
              <w:rPr>
                <w:szCs w:val="22"/>
              </w:rPr>
              <w:t xml:space="preserve"> du RR.</w:t>
            </w:r>
          </w:p>
        </w:tc>
        <w:tc>
          <w:tcPr>
            <w:tcW w:w="3395" w:type="dxa"/>
          </w:tcPr>
          <w:p w14:paraId="2F92F625" w14:textId="432E923A" w:rsidR="00C930D4" w:rsidRPr="00B600FE" w:rsidRDefault="00C930D4" w:rsidP="005014D9">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C930D4" w:rsidRPr="00B600FE" w14:paraId="13C5AE0F"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32CEC192"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40E4DEEC"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0F09ED59" w14:textId="0B655612" w:rsidR="00C930D4" w:rsidRPr="00B600FE" w:rsidRDefault="00C930D4" w:rsidP="005014D9">
            <w:pPr>
              <w:pStyle w:val="Tabletext"/>
              <w:tabs>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2.3</w:t>
            </w:r>
            <w:r w:rsidRPr="00B600FE">
              <w:rPr>
                <w:szCs w:val="22"/>
              </w:rPr>
              <w:tab/>
            </w:r>
            <w:r w:rsidRPr="00B600FE">
              <w:rPr>
                <w:b/>
                <w:bCs/>
                <w:szCs w:val="22"/>
              </w:rPr>
              <w:t>Notification d'une configuration pour laquelle la demande de coordination associée est soumise, mais pas encore publiée</w:t>
            </w:r>
          </w:p>
          <w:p w14:paraId="41207050" w14:textId="0F739F74" w:rsidR="00C930D4" w:rsidRPr="00B600FE" w:rsidRDefault="00C930D4" w:rsidP="005014D9">
            <w:pPr>
              <w:pStyle w:val="Tabletext"/>
              <w:tabs>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Étant entendu que cette pratique ne donnera pas lieu à des factures additionnelles </w:t>
            </w:r>
            <w:r w:rsidRPr="00B600FE">
              <w:rPr>
                <w:color w:val="000000"/>
              </w:rPr>
              <w:t xml:space="preserve">au titre du </w:t>
            </w:r>
            <w:r w:rsidRPr="00B600FE">
              <w:rPr>
                <w:szCs w:val="22"/>
              </w:rPr>
              <w:t xml:space="preserve">recouvrement des coûts, le Comité a noté que l'approche suivie par le Bureau devrait être communiquée aux </w:t>
            </w:r>
            <w:r w:rsidRPr="00B600FE">
              <w:rPr>
                <w:szCs w:val="22"/>
              </w:rPr>
              <w:lastRenderedPageBreak/>
              <w:t>administrations d'une manière transparente. En outre, le Comité a noté que la mise en service d'assignations de fréquence risquait d'être considérée comme non valable si elle ne peut être associée qu'à la configuration finalement notifiée parmi les deux configurations s'excluant mutuellement qui ont été soumises. En outre, le Comité a relevé qu'il appartenait aux administrations de veiller à ce que la mise en service de la configuration notifiée soit conforme aux dispositions pertinentes du Règlement des radiocommunications.</w:t>
            </w:r>
          </w:p>
          <w:p w14:paraId="2748D841" w14:textId="7CBA2B19" w:rsidR="00C930D4" w:rsidRPr="00B600FE" w:rsidRDefault="00C930D4" w:rsidP="00247ACA">
            <w:pPr>
              <w:pStyle w:val="Tabletext"/>
              <w:keepNext/>
              <w:keepLines/>
              <w:tabs>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En conséquence, le Comité a chargé le Bureau d'élaborer un projet de Règle de procédure tenant compte des mesures qu'il est proposé de prendre concernant la notification de configurations pour lesquelles la demande de coordination associée a été soumise, mais n'a pas encore été publiée, et d'appliquer ces mesures à titre provisoire jusqu'à ce qu'une décision formelle sur une Règle de procédure soit prise.</w:t>
            </w:r>
          </w:p>
        </w:tc>
        <w:tc>
          <w:tcPr>
            <w:tcW w:w="3395" w:type="dxa"/>
          </w:tcPr>
          <w:p w14:paraId="071EE9F2" w14:textId="5A7E83D5"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lastRenderedPageBreak/>
              <w:t>Le Bureau élaborera un projet de Règle de procédure tenant compte des mesures proposées et le communiquera aux administrations pour observations.</w:t>
            </w:r>
          </w:p>
          <w:p w14:paraId="309D0B42" w14:textId="756402A5"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lastRenderedPageBreak/>
              <w:t>Le Bureau appliquera ces mesures à titre provisoire jusqu'à ce qu'une décision formelle sur une Règle de procédure soit prise.</w:t>
            </w:r>
          </w:p>
        </w:tc>
      </w:tr>
      <w:tr w:rsidR="00C930D4" w:rsidRPr="00B600FE" w14:paraId="30C487FA"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1274A1CC"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1F6FD41F"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925762B" w14:textId="284D82CE" w:rsidR="00C930D4" w:rsidRPr="00B600FE" w:rsidRDefault="00C930D4" w:rsidP="005014D9">
            <w:pPr>
              <w:pStyle w:val="Tabletext"/>
              <w:tabs>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3.1</w:t>
            </w:r>
            <w:r w:rsidRPr="00B600FE">
              <w:rPr>
                <w:szCs w:val="22"/>
              </w:rPr>
              <w:tab/>
            </w:r>
            <w:r w:rsidRPr="00B600FE">
              <w:rPr>
                <w:b/>
                <w:bCs/>
                <w:szCs w:val="22"/>
              </w:rPr>
              <w:t>Mise en service simultanée de plusieurs systèmes à satellites non géostationnaires au moyen d'un seul satellite</w:t>
            </w:r>
          </w:p>
          <w:p w14:paraId="202967E7" w14:textId="555DF5C3"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color w:val="000000"/>
              </w:rPr>
              <w:t xml:space="preserve">Bien qu'il appuie dans son principe </w:t>
            </w:r>
            <w:r w:rsidRPr="00B600FE">
              <w:rPr>
                <w:szCs w:val="22"/>
              </w:rPr>
              <w:t>l'appr</w:t>
            </w:r>
            <w:r w:rsidR="00924964">
              <w:rPr>
                <w:szCs w:val="22"/>
              </w:rPr>
              <w:t>oche proposée par le Bureau, le </w:t>
            </w:r>
            <w:r w:rsidRPr="00B600FE">
              <w:rPr>
                <w:szCs w:val="22"/>
              </w:rPr>
              <w:t xml:space="preserve">Comité a noté que les aspects liés </w:t>
            </w:r>
            <w:r w:rsidR="00924964">
              <w:rPr>
                <w:szCs w:val="22"/>
              </w:rPr>
              <w:t>à l'application des Résolutions </w:t>
            </w:r>
            <w:r w:rsidRPr="00B600FE">
              <w:rPr>
                <w:b/>
                <w:bCs/>
                <w:szCs w:val="22"/>
              </w:rPr>
              <w:t>35 (CMR-19)</w:t>
            </w:r>
            <w:r w:rsidRPr="00B600FE">
              <w:rPr>
                <w:szCs w:val="22"/>
              </w:rPr>
              <w:t xml:space="preserve"> et </w:t>
            </w:r>
            <w:r w:rsidRPr="00B600FE">
              <w:rPr>
                <w:b/>
                <w:bCs/>
                <w:szCs w:val="22"/>
              </w:rPr>
              <w:t>76 (Rév.CMR-15)</w:t>
            </w:r>
            <w:r w:rsidRPr="00B600FE">
              <w:rPr>
                <w:szCs w:val="22"/>
              </w:rPr>
              <w:t xml:space="preserve"> appelaient un complément d'étude. Le Comité a chargé le Bureau de poursuivre ses efforts, en vue de </w:t>
            </w:r>
            <w:r w:rsidRPr="00B600FE">
              <w:rPr>
                <w:color w:val="000000"/>
              </w:rPr>
              <w:t xml:space="preserve">concevoir une approche </w:t>
            </w:r>
            <w:r w:rsidRPr="00B600FE">
              <w:rPr>
                <w:szCs w:val="22"/>
              </w:rPr>
              <w:t>concernant un projet de nouvelle Règle de procédure, pour examen à la 88ème réunion du Comité, et a également chargé le Bureau de laisser en suspens les cas reçus jusqu'à ce qu'une décision officielle soit prise sur cette question.</w:t>
            </w:r>
          </w:p>
        </w:tc>
        <w:tc>
          <w:tcPr>
            <w:tcW w:w="3395" w:type="dxa"/>
          </w:tcPr>
          <w:p w14:paraId="0865F464" w14:textId="11DB4FF7"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Le Bureau poursuivra ses efforts en vue de concevoir une approche concernant un projet de nouvelle Règle de procédure, pour examen à la 88ème réunion du Comité.</w:t>
            </w:r>
          </w:p>
          <w:p w14:paraId="6F83DD0F" w14:textId="5E57CA32"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Le Bureau laissera en suspens les cas reçus, jusqu'à ce qu'une décision officielle soit prise sur cette question.</w:t>
            </w:r>
          </w:p>
        </w:tc>
      </w:tr>
      <w:tr w:rsidR="00C930D4" w:rsidRPr="00B600FE" w14:paraId="1ED131CB"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7E6143F8"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74797561"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7DE72A1" w14:textId="50172C15" w:rsidR="00C930D4" w:rsidRPr="00B600FE" w:rsidRDefault="00C930D4" w:rsidP="005014D9">
            <w:pPr>
              <w:pStyle w:val="Tabletext"/>
              <w:tabs>
                <w:tab w:val="left" w:pos="603"/>
              </w:tabs>
              <w:cnfStyle w:val="000000000000" w:firstRow="0" w:lastRow="0" w:firstColumn="0" w:lastColumn="0" w:oddVBand="0" w:evenVBand="0" w:oddHBand="0" w:evenHBand="0" w:firstRowFirstColumn="0" w:firstRowLastColumn="0" w:lastRowFirstColumn="0" w:lastRowLastColumn="0"/>
              <w:rPr>
                <w:b/>
                <w:bCs/>
                <w:szCs w:val="22"/>
              </w:rPr>
            </w:pPr>
            <w:r w:rsidRPr="00B600FE">
              <w:rPr>
                <w:szCs w:val="22"/>
              </w:rPr>
              <w:t>§ 3.2</w:t>
            </w:r>
            <w:r w:rsidRPr="00B600FE">
              <w:rPr>
                <w:szCs w:val="22"/>
              </w:rPr>
              <w:tab/>
            </w:r>
            <w:r w:rsidRPr="00B600FE">
              <w:rPr>
                <w:b/>
                <w:bCs/>
                <w:szCs w:val="22"/>
              </w:rPr>
              <w:t>Mise en œuvre de la Résolution 771 (CMR-19)</w:t>
            </w:r>
          </w:p>
          <w:p w14:paraId="729906D7" w14:textId="3A4C58A4" w:rsidR="00C930D4" w:rsidRPr="00B600FE" w:rsidRDefault="00C930D4" w:rsidP="005014D9">
            <w:pPr>
              <w:pStyle w:val="Tabletext"/>
              <w:tabs>
                <w:tab w:val="clear" w:pos="284"/>
                <w:tab w:val="left" w:pos="603"/>
              </w:tab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Après avoir examiné de manière approfo</w:t>
            </w:r>
            <w:r w:rsidR="007C60E4">
              <w:rPr>
                <w:szCs w:val="22"/>
              </w:rPr>
              <w:t>ndie le cas présenté dans cette </w:t>
            </w:r>
            <w:r w:rsidRPr="00B600FE">
              <w:rPr>
                <w:szCs w:val="22"/>
              </w:rPr>
              <w:t xml:space="preserve">section, le Comité a indiqué </w:t>
            </w:r>
            <w:r w:rsidR="007C60E4">
              <w:rPr>
                <w:szCs w:val="22"/>
              </w:rPr>
              <w:t>que l'objectif de la Résolution </w:t>
            </w:r>
            <w:r w:rsidRPr="00B600FE">
              <w:rPr>
                <w:b/>
                <w:bCs/>
                <w:szCs w:val="22"/>
              </w:rPr>
              <w:t>771 (CMR</w:t>
            </w:r>
            <w:r w:rsidRPr="00B600FE">
              <w:rPr>
                <w:b/>
                <w:bCs/>
                <w:szCs w:val="22"/>
              </w:rPr>
              <w:noBreakHyphen/>
              <w:t>19)</w:t>
            </w:r>
            <w:r w:rsidRPr="00B600FE">
              <w:rPr>
                <w:szCs w:val="22"/>
              </w:rPr>
              <w:t xml:space="preserve"> était de restreindre la liste des assignations susceptibles d'être mises en service sans avoir fait l'objet d'une coordination, et qu'une modification du système visant à ajouter un satellite dans un plan orbital différent après la CMR-19 et à mettre en service l'ensemble du système avec un satellite réel conforme aux paramètres orbitaux ajoutés serait contraire à cet objectif.</w:t>
            </w:r>
            <w:r w:rsidRPr="00B600FE">
              <w:t xml:space="preserve"> </w:t>
            </w:r>
            <w:r w:rsidRPr="00B600FE">
              <w:rPr>
                <w:szCs w:val="22"/>
              </w:rPr>
              <w:t xml:space="preserve">En conséquence, le Comité a conclu que les assignations de fréquence de systèmes non OSG assujettis aux dispositions de la Résolution </w:t>
            </w:r>
            <w:r w:rsidRPr="00B600FE">
              <w:rPr>
                <w:b/>
                <w:bCs/>
                <w:szCs w:val="22"/>
              </w:rPr>
              <w:t xml:space="preserve">771 </w:t>
            </w:r>
            <w:r w:rsidRPr="00B600FE">
              <w:rPr>
                <w:b/>
                <w:bCs/>
                <w:szCs w:val="22"/>
              </w:rPr>
              <w:lastRenderedPageBreak/>
              <w:t xml:space="preserve">(CMR-19) </w:t>
            </w:r>
            <w:r w:rsidRPr="00B600FE">
              <w:rPr>
                <w:szCs w:val="22"/>
              </w:rPr>
              <w:t xml:space="preserve">ne pouvaient être mises en service qu'avec un satellite conforme aux paramètres orbitaux notifiés avant la fin de la CMR-19, c'est-à-dire le 23 novembre 2019. Le Comité a chargé le Bureau d'agir conformément à l'approche adoptée. </w:t>
            </w:r>
          </w:p>
        </w:tc>
        <w:tc>
          <w:tcPr>
            <w:tcW w:w="3395" w:type="dxa"/>
          </w:tcPr>
          <w:p w14:paraId="73A86901" w14:textId="1782C46C"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lastRenderedPageBreak/>
              <w:t>Le Bureau agira conformément à l'approche adoptée.</w:t>
            </w:r>
          </w:p>
        </w:tc>
      </w:tr>
      <w:tr w:rsidR="00C930D4" w:rsidRPr="00B600FE" w14:paraId="207D84AE"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tcPr>
          <w:p w14:paraId="036255CD"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6E824740" w14:textId="77777777" w:rsidR="00C930D4" w:rsidRPr="00B600FE" w:rsidRDefault="00C930D4" w:rsidP="005014D9">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5D4C4D67" w14:textId="39570040" w:rsidR="00C930D4" w:rsidRPr="00B600FE" w:rsidRDefault="00C930D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s)</w:t>
            </w:r>
            <w:r w:rsidRPr="00B600FE">
              <w:rPr>
                <w:szCs w:val="22"/>
              </w:rPr>
              <w:tab/>
              <w:t xml:space="preserve">Lors de l'examen de l'Addendum 10 au Document RRB21-2/3(Rév.1) qui contient le rapport du Bureau sur la campagne de contrôle des </w:t>
            </w:r>
            <w:r w:rsidRPr="00B600FE">
              <w:rPr>
                <w:szCs w:val="24"/>
              </w:rPr>
              <w:t xml:space="preserve">émissions menée </w:t>
            </w:r>
            <w:r w:rsidRPr="00B600FE">
              <w:rPr>
                <w:szCs w:val="22"/>
              </w:rPr>
              <w:t>suite aux brouillages préjudiciables</w:t>
            </w:r>
            <w:r w:rsidRPr="00B600FE">
              <w:rPr>
                <w:color w:val="000000"/>
              </w:rPr>
              <w:t xml:space="preserve"> causés</w:t>
            </w:r>
            <w:r w:rsidRPr="00B600FE">
              <w:rPr>
                <w:szCs w:val="22"/>
              </w:rPr>
              <w:t xml:space="preserve"> aux émissions des stations de radiodiffusion en ondes décamétriques du Royaume-Uni publiées conformément à l'Article </w:t>
            </w:r>
            <w:r w:rsidRPr="00D831EC">
              <w:rPr>
                <w:b/>
                <w:szCs w:val="22"/>
              </w:rPr>
              <w:t>12</w:t>
            </w:r>
            <w:r w:rsidRPr="00B600FE">
              <w:rPr>
                <w:szCs w:val="22"/>
              </w:rPr>
              <w:t xml:space="preserve"> du RR, le Comité a exprimé sa profonde gratitude aux Administrations de l'Australie, de la France, du Japon et des États-Unis, qui ont accepté de participer à la campagne de contrôle des </w:t>
            </w:r>
            <w:r w:rsidRPr="00B600FE">
              <w:rPr>
                <w:szCs w:val="24"/>
              </w:rPr>
              <w:t>émissions,</w:t>
            </w:r>
            <w:r w:rsidRPr="00B600FE">
              <w:rPr>
                <w:szCs w:val="22"/>
              </w:rPr>
              <w:t xml:space="preserve"> et s'est déclaré satisfait des résultats obtenus. Le Comité a également remercié le Bureau d'avoir organisé la campagne de contrôle des </w:t>
            </w:r>
            <w:r w:rsidRPr="00B600FE">
              <w:rPr>
                <w:szCs w:val="24"/>
              </w:rPr>
              <w:t xml:space="preserve">émissions </w:t>
            </w:r>
            <w:r w:rsidRPr="00B600FE">
              <w:rPr>
                <w:szCs w:val="22"/>
              </w:rPr>
              <w:t>et d'avoir établi le rapport.</w:t>
            </w:r>
          </w:p>
          <w:p w14:paraId="16F461C8" w14:textId="1A407FEC" w:rsidR="00C930D4" w:rsidRPr="00B600FE" w:rsidRDefault="00C930D4" w:rsidP="00572EC1">
            <w:pPr>
              <w:pStyle w:val="Tabletext"/>
              <w:keepNext/>
              <w:keepLines/>
              <w:cnfStyle w:val="000000000000" w:firstRow="0" w:lastRow="0" w:firstColumn="0" w:lastColumn="0" w:oddVBand="0" w:evenVBand="0" w:oddHBand="0" w:evenHBand="0" w:firstRowFirstColumn="0" w:firstRowLastColumn="0" w:lastRowFirstColumn="0" w:lastRowLastColumn="0"/>
            </w:pPr>
            <w:r w:rsidRPr="00B600FE">
              <w:t>Compte tenu des résultats communiqués, le Comité a décidé qu'aucun autre résultat de contrôle des émissions n'était nécessaire à ce stade et a chargé le Bureau de mettre fin à la campagne de contrôle des émissions. En outre, le Comité a chargé le Bureau de porter les résultats de la campagne de contrôle des émissions à l'attention des Administrations de la Chine et du Royaume-Uni, et d'inviter l'Administration de la Chine à prendre toutes les mesures possibles pour éliminer les brouillages préjudiciables.</w:t>
            </w:r>
          </w:p>
        </w:tc>
        <w:tc>
          <w:tcPr>
            <w:tcW w:w="3395" w:type="dxa"/>
          </w:tcPr>
          <w:p w14:paraId="5C779EDF" w14:textId="7DB08AA4"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Le Secrétaire exécutif communiquera ces décisions aux administrations concernées.</w:t>
            </w:r>
          </w:p>
          <w:p w14:paraId="3857EF21" w14:textId="4F64F6F9" w:rsidR="00C930D4" w:rsidRPr="00B600FE" w:rsidRDefault="00C930D4" w:rsidP="005014D9">
            <w:pPr>
              <w:pStyle w:val="Tabletext"/>
              <w:jc w:val="center"/>
              <w:cnfStyle w:val="000000000000" w:firstRow="0" w:lastRow="0" w:firstColumn="0" w:lastColumn="0" w:oddVBand="0" w:evenVBand="0" w:oddHBand="0" w:evenHBand="0" w:firstRowFirstColumn="0" w:firstRowLastColumn="0" w:lastRowFirstColumn="0" w:lastRowLastColumn="0"/>
            </w:pPr>
            <w:r w:rsidRPr="00B600FE">
              <w:t>Le Bureau mettra fin à la campagne de contrôle des émissions, portera les résultats de la campagne de contrôle des émissions à l'attention des Administrations de la Chine et du Royaume-Uni et invitera l'Administration de la Chine à prendre toutes les mesures possibles pour éliminer les brouillages préjudiciables.</w:t>
            </w:r>
          </w:p>
        </w:tc>
      </w:tr>
      <w:tr w:rsidR="00822398" w:rsidRPr="00B600FE" w14:paraId="510D9201" w14:textId="77777777" w:rsidTr="00E8614F">
        <w:trPr>
          <w:trHeight w:val="499"/>
        </w:trPr>
        <w:tc>
          <w:tcPr>
            <w:cnfStyle w:val="001000000000" w:firstRow="0" w:lastRow="0" w:firstColumn="1" w:lastColumn="0" w:oddVBand="0" w:evenVBand="0" w:oddHBand="0" w:evenHBand="0" w:firstRowFirstColumn="0" w:firstRowLastColumn="0" w:lastRowFirstColumn="0" w:lastRowLastColumn="0"/>
            <w:tcW w:w="846" w:type="dxa"/>
            <w:hideMark/>
          </w:tcPr>
          <w:p w14:paraId="4C6A98C3" w14:textId="77777777" w:rsidR="00822398" w:rsidRPr="00B600FE" w:rsidRDefault="00822398" w:rsidP="005014D9">
            <w:pPr>
              <w:pStyle w:val="Tabletext"/>
              <w:jc w:val="center"/>
              <w:rPr>
                <w:szCs w:val="22"/>
              </w:rPr>
            </w:pPr>
            <w:r w:rsidRPr="00B600FE">
              <w:rPr>
                <w:szCs w:val="22"/>
              </w:rPr>
              <w:t>4</w:t>
            </w:r>
          </w:p>
        </w:tc>
        <w:tc>
          <w:tcPr>
            <w:tcW w:w="13884" w:type="dxa"/>
            <w:gridSpan w:val="3"/>
            <w:hideMark/>
          </w:tcPr>
          <w:p w14:paraId="3073443C" w14:textId="77777777" w:rsidR="00822398" w:rsidRPr="00B600FE" w:rsidRDefault="00822398" w:rsidP="005014D9">
            <w:pPr>
              <w:pStyle w:val="Tabletext"/>
              <w:tabs>
                <w:tab w:val="left" w:pos="2195"/>
              </w:tabs>
              <w:cnfStyle w:val="000000000000" w:firstRow="0" w:lastRow="0" w:firstColumn="0" w:lastColumn="0" w:oddVBand="0" w:evenVBand="0" w:oddHBand="0" w:evenHBand="0" w:firstRowFirstColumn="0" w:firstRowLastColumn="0" w:lastRowFirstColumn="0" w:lastRowLastColumn="0"/>
              <w:rPr>
                <w:szCs w:val="22"/>
              </w:rPr>
            </w:pPr>
            <w:r w:rsidRPr="00B600FE">
              <w:rPr>
                <w:b/>
                <w:bCs/>
                <w:szCs w:val="22"/>
              </w:rPr>
              <w:t>Règles de procédure</w:t>
            </w:r>
          </w:p>
        </w:tc>
      </w:tr>
      <w:tr w:rsidR="00822398" w:rsidRPr="00B600FE" w14:paraId="0A24B4F3" w14:textId="77777777" w:rsidTr="006D2DE8">
        <w:trPr>
          <w:trHeight w:val="732"/>
        </w:trPr>
        <w:tc>
          <w:tcPr>
            <w:cnfStyle w:val="001000000000" w:firstRow="0" w:lastRow="0" w:firstColumn="1" w:lastColumn="0" w:oddVBand="0" w:evenVBand="0" w:oddHBand="0" w:evenHBand="0" w:firstRowFirstColumn="0" w:firstRowLastColumn="0" w:lastRowFirstColumn="0" w:lastRowLastColumn="0"/>
            <w:tcW w:w="846" w:type="dxa"/>
            <w:hideMark/>
          </w:tcPr>
          <w:p w14:paraId="10A712E6" w14:textId="77777777" w:rsidR="00822398" w:rsidRPr="00B600FE" w:rsidRDefault="00822398" w:rsidP="005014D9">
            <w:pPr>
              <w:pStyle w:val="Tabletext"/>
              <w:jc w:val="center"/>
              <w:rPr>
                <w:szCs w:val="22"/>
              </w:rPr>
            </w:pPr>
            <w:r w:rsidRPr="00B600FE">
              <w:rPr>
                <w:szCs w:val="22"/>
              </w:rPr>
              <w:t>4.1</w:t>
            </w:r>
          </w:p>
        </w:tc>
        <w:tc>
          <w:tcPr>
            <w:tcW w:w="3827" w:type="dxa"/>
            <w:hideMark/>
          </w:tcPr>
          <w:p w14:paraId="748CAF8F" w14:textId="78EF0160" w:rsidR="00822398" w:rsidRPr="00B600FE" w:rsidRDefault="00822398"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Liste des Règles de procédure</w:t>
            </w:r>
            <w:r w:rsidRPr="00B600FE">
              <w:rPr>
                <w:szCs w:val="22"/>
              </w:rPr>
              <w:br/>
            </w:r>
            <w:hyperlink r:id="rId24" w:history="1">
              <w:r w:rsidR="002A601B" w:rsidRPr="00B600FE">
                <w:rPr>
                  <w:rStyle w:val="Hyperlink"/>
                </w:rPr>
                <w:t>RRB21-2/1</w:t>
              </w:r>
            </w:hyperlink>
            <w:r w:rsidR="002A601B" w:rsidRPr="00B600FE">
              <w:rPr>
                <w:u w:val="single"/>
              </w:rPr>
              <w:t xml:space="preserve"> – </w:t>
            </w:r>
            <w:hyperlink r:id="rId25" w:history="1">
              <w:r w:rsidR="002A601B" w:rsidRPr="00B600FE">
                <w:rPr>
                  <w:rStyle w:val="Hyperlink"/>
                </w:rPr>
                <w:t>RRB20-2/1(Rév.3)</w:t>
              </w:r>
            </w:hyperlink>
          </w:p>
        </w:tc>
        <w:tc>
          <w:tcPr>
            <w:tcW w:w="6662" w:type="dxa"/>
            <w:hideMark/>
          </w:tcPr>
          <w:p w14:paraId="33C43227" w14:textId="0662C0DD" w:rsidR="00A367FC" w:rsidRPr="00B600FE" w:rsidRDefault="00A13501" w:rsidP="005014D9">
            <w:pPr>
              <w:pStyle w:val="Tabletext"/>
              <w:cnfStyle w:val="000000000000" w:firstRow="0" w:lastRow="0" w:firstColumn="0" w:lastColumn="0" w:oddVBand="0" w:evenVBand="0" w:oddHBand="0" w:evenHBand="0" w:firstRowFirstColumn="0" w:firstRowLastColumn="0" w:lastRowFirstColumn="0" w:lastRowLastColumn="0"/>
            </w:pPr>
            <w:bookmarkStart w:id="16" w:name="_Hlk77016697"/>
            <w:r w:rsidRPr="00B600FE">
              <w:rPr>
                <w:color w:val="000000"/>
              </w:rPr>
              <w:t>À la suite d'une réunion du Groupe de travail chargé d'examiner les Règles de procédure, présidé par M.</w:t>
            </w:r>
            <w:r w:rsidRPr="00B600FE">
              <w:t xml:space="preserve"> </w:t>
            </w:r>
            <w:r w:rsidR="002A601B" w:rsidRPr="00B600FE">
              <w:t>Y. HENRI,</w:t>
            </w:r>
            <w:r w:rsidRPr="00B600FE">
              <w:t xml:space="preserve"> le Comité a décidé de mettre à jour la liste des Règles de procédure proposées dans le Document RRB21-2/1</w:t>
            </w:r>
            <w:r w:rsidR="002A6C9C" w:rsidRPr="00B600FE">
              <w:t xml:space="preserve"> </w:t>
            </w:r>
            <w:r w:rsidRPr="00B600FE">
              <w:t>compte tenu</w:t>
            </w:r>
            <w:r w:rsidR="002A6C9C" w:rsidRPr="00B600FE">
              <w:t xml:space="preserve"> </w:t>
            </w:r>
            <w:r w:rsidRPr="00B600FE">
              <w:t>des propositions formulées par le Bureau</w:t>
            </w:r>
            <w:r w:rsidR="002A6C9C" w:rsidRPr="00B600FE">
              <w:t xml:space="preserve"> </w:t>
            </w:r>
            <w:r w:rsidRPr="00B600FE">
              <w:t xml:space="preserve">aux </w:t>
            </w:r>
            <w:r w:rsidR="00C930D4" w:rsidRPr="00B600FE">
              <w:t xml:space="preserve">§ </w:t>
            </w:r>
            <w:r w:rsidRPr="00B600FE">
              <w:t xml:space="preserve">9.1 et </w:t>
            </w:r>
            <w:r w:rsidR="00C930D4" w:rsidRPr="00B600FE">
              <w:t xml:space="preserve">§ </w:t>
            </w:r>
            <w:r w:rsidRPr="00B600FE">
              <w:t>9.3</w:t>
            </w:r>
            <w:r w:rsidR="002A6C9C" w:rsidRPr="00B600FE">
              <w:t xml:space="preserve"> </w:t>
            </w:r>
            <w:r w:rsidRPr="00B600FE">
              <w:t>du Document RRB21-2/3(Rév.1)</w:t>
            </w:r>
            <w:r w:rsidR="008E4678" w:rsidRPr="00B600FE">
              <w:t>, ainsi qu</w:t>
            </w:r>
            <w:r w:rsidR="002A6C9C" w:rsidRPr="00B600FE">
              <w:t>'</w:t>
            </w:r>
            <w:r w:rsidR="00D831EC">
              <w:t>aux </w:t>
            </w:r>
            <w:r w:rsidR="00C930D4" w:rsidRPr="00B600FE">
              <w:t xml:space="preserve">§ </w:t>
            </w:r>
            <w:r w:rsidR="008E4678" w:rsidRPr="00B600FE">
              <w:t xml:space="preserve">2.1 et </w:t>
            </w:r>
            <w:r w:rsidR="00C930D4" w:rsidRPr="00B600FE">
              <w:t xml:space="preserve">§ </w:t>
            </w:r>
            <w:r w:rsidR="008E4678" w:rsidRPr="00B600FE">
              <w:t>2.3 de l'Addendum 9 à ce document</w:t>
            </w:r>
            <w:r w:rsidRPr="00B600FE">
              <w:t xml:space="preserve">. Le Bureau a </w:t>
            </w:r>
            <w:r w:rsidR="008E4678" w:rsidRPr="00B600FE">
              <w:t>approuvé</w:t>
            </w:r>
            <w:r w:rsidRPr="00B600FE">
              <w:t xml:space="preserve"> la </w:t>
            </w:r>
            <w:r w:rsidR="008E4678" w:rsidRPr="00B600FE">
              <w:t>modification d</w:t>
            </w:r>
            <w:r w:rsidR="002A6C9C" w:rsidRPr="00B600FE">
              <w:t>'</w:t>
            </w:r>
            <w:r w:rsidR="008E4678" w:rsidRPr="00B600FE">
              <w:t>ordre</w:t>
            </w:r>
            <w:r w:rsidRPr="00B600FE">
              <w:t xml:space="preserve"> rédactionnel</w:t>
            </w:r>
            <w:r w:rsidR="002A6C9C" w:rsidRPr="00B600FE">
              <w:t xml:space="preserve"> </w:t>
            </w:r>
            <w:r w:rsidR="00A367FC" w:rsidRPr="00B600FE">
              <w:t xml:space="preserve">apportée aux </w:t>
            </w:r>
            <w:r w:rsidR="008E4678" w:rsidRPr="00B600FE">
              <w:t>Règles de procédure</w:t>
            </w:r>
            <w:r w:rsidR="002A6C9C" w:rsidRPr="00B600FE">
              <w:t>,</w:t>
            </w:r>
            <w:r w:rsidR="00A367FC" w:rsidRPr="00B600FE">
              <w:t xml:space="preserve"> qui figure </w:t>
            </w:r>
            <w:r w:rsidRPr="00B600FE">
              <w:t xml:space="preserve">au </w:t>
            </w:r>
            <w:r w:rsidR="00C930D4" w:rsidRPr="00B600FE">
              <w:t xml:space="preserve">§ </w:t>
            </w:r>
            <w:r w:rsidRPr="00B600FE">
              <w:t>9.2 du Document RRB21-2/3(Rév.1).</w:t>
            </w:r>
            <w:r w:rsidR="002A6C9C" w:rsidRPr="00B600FE">
              <w:t xml:space="preserve"> </w:t>
            </w:r>
            <w:r w:rsidR="00A367FC" w:rsidRPr="00B600FE">
              <w:t xml:space="preserve">Le Comité a confirmé la liste des décisions de la plénière de la CMR-12, de la CMR-15 et de la CMR-19 </w:t>
            </w:r>
            <w:r w:rsidR="00132C0D" w:rsidRPr="00B600FE">
              <w:rPr>
                <w:color w:val="000000"/>
              </w:rPr>
              <w:t xml:space="preserve">nécessitant l'examen par le Comité des </w:t>
            </w:r>
            <w:r w:rsidR="00132C0D" w:rsidRPr="00B600FE">
              <w:rPr>
                <w:color w:val="000000"/>
              </w:rPr>
              <w:lastRenderedPageBreak/>
              <w:t>demandes de prorogation de certains délais réglementaires présentées par des administrations notificatrices</w:t>
            </w:r>
            <w:r w:rsidR="00A367FC" w:rsidRPr="00B600FE">
              <w:t xml:space="preserve">, </w:t>
            </w:r>
            <w:r w:rsidR="00A367FC" w:rsidRPr="00B600FE">
              <w:rPr>
                <w:color w:val="000000"/>
              </w:rPr>
              <w:t>que l'on pourrait envisager d'inclure dans les Règles de procédure</w:t>
            </w:r>
            <w:r w:rsidR="00A367FC" w:rsidRPr="00B600FE">
              <w:t xml:space="preserve">. Le </w:t>
            </w:r>
            <w:r w:rsidR="00132C0D" w:rsidRPr="00B600FE">
              <w:rPr>
                <w:color w:val="000000"/>
              </w:rPr>
              <w:t xml:space="preserve">Comité </w:t>
            </w:r>
            <w:r w:rsidR="00A367FC" w:rsidRPr="00B600FE">
              <w:t xml:space="preserve">a décidé que ces décisions de la plénière de la CMR devraient faire l'objet d'une section distincte </w:t>
            </w:r>
            <w:r w:rsidR="00132C0D" w:rsidRPr="00B600FE">
              <w:t xml:space="preserve">des </w:t>
            </w:r>
            <w:r w:rsidR="00132C0D" w:rsidRPr="00B600FE">
              <w:rPr>
                <w:color w:val="000000"/>
              </w:rPr>
              <w:t>Règles de procédure</w:t>
            </w:r>
            <w:r w:rsidR="00C930D4" w:rsidRPr="00B600FE">
              <w:t>.</w:t>
            </w:r>
          </w:p>
          <w:p w14:paraId="7369C8C7" w14:textId="60557300" w:rsidR="00C76F22" w:rsidRPr="00B600FE" w:rsidRDefault="00132C0D" w:rsidP="005014D9">
            <w:pPr>
              <w:pStyle w:val="Tabletext"/>
              <w:cnfStyle w:val="000000000000" w:firstRow="0" w:lastRow="0" w:firstColumn="0" w:lastColumn="0" w:oddVBand="0" w:evenVBand="0" w:oddHBand="0" w:evenHBand="0" w:firstRowFirstColumn="0" w:firstRowLastColumn="0" w:lastRowFirstColumn="0" w:lastRowLastColumn="0"/>
            </w:pPr>
            <w:r w:rsidRPr="00B600FE">
              <w:t>Le Comité a également arrêté les</w:t>
            </w:r>
            <w:r w:rsidR="002A6C9C" w:rsidRPr="00B600FE">
              <w:t xml:space="preserve"> </w:t>
            </w:r>
            <w:r w:rsidRPr="00B600FE">
              <w:t>principes applicables au traitement des contributions tardives, sans</w:t>
            </w:r>
            <w:r w:rsidR="0026151F" w:rsidRPr="00B600FE">
              <w:t xml:space="preserve"> toutefois</w:t>
            </w:r>
            <w:r w:rsidR="002A6C9C" w:rsidRPr="00B600FE">
              <w:t xml:space="preserve"> </w:t>
            </w:r>
            <w:r w:rsidRPr="00B600FE">
              <w:t>modifier l'approche existante, telle qu'elle</w:t>
            </w:r>
            <w:r w:rsidR="002A6C9C" w:rsidRPr="00B600FE">
              <w:t xml:space="preserve"> </w:t>
            </w:r>
            <w:r w:rsidR="00C76F22" w:rsidRPr="00B600FE">
              <w:t>figure</w:t>
            </w:r>
            <w:r w:rsidRPr="00B600FE">
              <w:t xml:space="preserve"> dans les dispositions internes et les méthodes de travail du Comité </w:t>
            </w:r>
            <w:r w:rsidR="0026151F" w:rsidRPr="00B600FE">
              <w:t>au titre</w:t>
            </w:r>
            <w:r w:rsidR="00C76F22" w:rsidRPr="00B600FE">
              <w:t xml:space="preserve"> de la Partie </w:t>
            </w:r>
            <w:r w:rsidRPr="00B600FE">
              <w:t xml:space="preserve">C </w:t>
            </w:r>
            <w:r w:rsidR="00C76F22" w:rsidRPr="00B600FE">
              <w:t xml:space="preserve">des Règles de procédure, </w:t>
            </w:r>
            <w:r w:rsidRPr="00B600FE">
              <w:t xml:space="preserve">mais en définissant des conditions </w:t>
            </w:r>
            <w:r w:rsidR="00C76F22" w:rsidRPr="00B600FE">
              <w:t xml:space="preserve">additionnelles, par exemple des délais, </w:t>
            </w:r>
            <w:r w:rsidR="0026151F" w:rsidRPr="00B600FE">
              <w:t>pour</w:t>
            </w:r>
            <w:r w:rsidR="00C76F22" w:rsidRPr="00B600FE">
              <w:t xml:space="preserve"> faire en sorte que les observations et les réponses aux observations concernant la communication soumise par une autre administration soient reçues avant le début de la réunion.</w:t>
            </w:r>
          </w:p>
          <w:p w14:paraId="4B34CD31" w14:textId="67CC50AB" w:rsidR="002A601B" w:rsidRPr="00B600FE" w:rsidRDefault="00CC28AC" w:rsidP="00572EC1">
            <w:pPr>
              <w:pStyle w:val="Tabletext"/>
              <w:keepNext/>
              <w:keepLines/>
              <w:cnfStyle w:val="000000000000" w:firstRow="0" w:lastRow="0" w:firstColumn="0" w:lastColumn="0" w:oddVBand="0" w:evenVBand="0" w:oddHBand="0" w:evenHBand="0" w:firstRowFirstColumn="0" w:firstRowLastColumn="0" w:lastRowFirstColumn="0" w:lastRowLastColumn="0"/>
            </w:pPr>
            <w:r w:rsidRPr="00B600FE">
              <w:t xml:space="preserve">Le Comité a chargé le Bureau d'élaborer les projets de Règles de procédure pertinents concernant les points susmentionnés et de les communiquer aux administrations pour observations, en vue de leur examen par le Comité à sa </w:t>
            </w:r>
            <w:r w:rsidR="002A6C9C" w:rsidRPr="00B600FE">
              <w:t>88ème</w:t>
            </w:r>
            <w:r w:rsidRPr="00B600FE">
              <w:t xml:space="preserve"> réunion. En outre, le Comité a chargé le Bureau de publier la version actualisée du Document RRB21-2/1 sur le site web.</w:t>
            </w:r>
          </w:p>
          <w:p w14:paraId="7BF5C057" w14:textId="16A7966C" w:rsidR="00CC28AC" w:rsidRPr="00B600FE" w:rsidRDefault="00CC28AC" w:rsidP="005014D9">
            <w:pPr>
              <w:pStyle w:val="Tabletext"/>
              <w:cnfStyle w:val="000000000000" w:firstRow="0" w:lastRow="0" w:firstColumn="0" w:lastColumn="0" w:oddVBand="0" w:evenVBand="0" w:oddHBand="0" w:evenHBand="0" w:firstRowFirstColumn="0" w:firstRowLastColumn="0" w:lastRowFirstColumn="0" w:lastRowLastColumn="0"/>
            </w:pPr>
            <w:r w:rsidRPr="00B600FE">
              <w:t>En ce qui concerne la question des assigna</w:t>
            </w:r>
            <w:r w:rsidR="00D831EC">
              <w:t>tions de fréquence aux </w:t>
            </w:r>
            <w:r w:rsidRPr="00B600FE">
              <w:t xml:space="preserve">stations </w:t>
            </w:r>
            <w:r w:rsidRPr="00B600FE">
              <w:rPr>
                <w:color w:val="000000"/>
              </w:rPr>
              <w:t>sur des territoires faisant l'objet d'un différend</w:t>
            </w:r>
            <w:r w:rsidR="00D831EC">
              <w:t>, le Comité a </w:t>
            </w:r>
            <w:r w:rsidRPr="00B600FE">
              <w:t>remercié le Bureau d</w:t>
            </w:r>
            <w:r w:rsidR="002A6C9C" w:rsidRPr="00B600FE">
              <w:t>'</w:t>
            </w:r>
            <w:r w:rsidRPr="00B600FE">
              <w:t xml:space="preserve">avoir fourni des </w:t>
            </w:r>
            <w:r w:rsidR="00D831EC">
              <w:rPr>
                <w:color w:val="000000"/>
              </w:rPr>
              <w:t>renseignements sur les </w:t>
            </w:r>
            <w:r w:rsidRPr="00B600FE">
              <w:rPr>
                <w:color w:val="000000"/>
              </w:rPr>
              <w:t>progrès accomplis</w:t>
            </w:r>
            <w:r w:rsidRPr="00B600FE">
              <w:t xml:space="preserve">, notamment sur les améliorations </w:t>
            </w:r>
            <w:r w:rsidRPr="00B600FE">
              <w:rPr>
                <w:color w:val="000000"/>
              </w:rPr>
              <w:t xml:space="preserve">susceptibles d'être apportées au </w:t>
            </w:r>
            <w:r w:rsidRPr="00B600FE">
              <w:t xml:space="preserve">texte de la Règle de procédure relative à la Résolution </w:t>
            </w:r>
            <w:r w:rsidRPr="00B600FE">
              <w:rPr>
                <w:b/>
                <w:bCs/>
              </w:rPr>
              <w:t>1</w:t>
            </w:r>
            <w:r w:rsidR="00C930D4" w:rsidRPr="00B600FE">
              <w:rPr>
                <w:b/>
                <w:bCs/>
              </w:rPr>
              <w:t> </w:t>
            </w:r>
            <w:r w:rsidRPr="00B600FE">
              <w:rPr>
                <w:b/>
                <w:bCs/>
              </w:rPr>
              <w:t>(Rév.CMR</w:t>
            </w:r>
            <w:r w:rsidR="00C930D4" w:rsidRPr="00B600FE">
              <w:rPr>
                <w:b/>
                <w:bCs/>
              </w:rPr>
              <w:noBreakHyphen/>
            </w:r>
            <w:r w:rsidRPr="00B600FE">
              <w:rPr>
                <w:b/>
                <w:bCs/>
              </w:rPr>
              <w:t>97)</w:t>
            </w:r>
            <w:r w:rsidRPr="00B600FE">
              <w:t xml:space="preserve">. </w:t>
            </w:r>
            <w:r w:rsidR="00C930D4" w:rsidRPr="00B600FE">
              <w:rPr>
                <w:color w:val="000000"/>
              </w:rPr>
              <w:t>À</w:t>
            </w:r>
            <w:r w:rsidRPr="00B600FE">
              <w:rPr>
                <w:color w:val="000000"/>
              </w:rPr>
              <w:t xml:space="preserve"> l'issue d'un examen approfondi</w:t>
            </w:r>
            <w:r w:rsidRPr="00B600FE">
              <w:t>, le Comité a approuvé les éléments à inclure et a chargé le Bureau</w:t>
            </w:r>
            <w:r w:rsidR="002A6C9C" w:rsidRPr="00B600FE">
              <w:t xml:space="preserve"> </w:t>
            </w:r>
            <w:r w:rsidRPr="00B600FE">
              <w:t>d</w:t>
            </w:r>
            <w:r w:rsidR="002A6C9C" w:rsidRPr="00B600FE">
              <w:t>'</w:t>
            </w:r>
            <w:r w:rsidRPr="00B600FE">
              <w:t>élaborer un projet de Règle de procédure relative à</w:t>
            </w:r>
            <w:r w:rsidR="002A6C9C" w:rsidRPr="00B600FE">
              <w:t xml:space="preserve"> </w:t>
            </w:r>
            <w:r w:rsidRPr="00B600FE">
              <w:t xml:space="preserve">la Résolution </w:t>
            </w:r>
            <w:r w:rsidRPr="00B600FE">
              <w:rPr>
                <w:b/>
                <w:bCs/>
              </w:rPr>
              <w:t>1 (</w:t>
            </w:r>
            <w:r w:rsidR="000E376F" w:rsidRPr="00B600FE">
              <w:rPr>
                <w:b/>
                <w:bCs/>
              </w:rPr>
              <w:t>Rév.</w:t>
            </w:r>
            <w:r w:rsidRPr="00B600FE">
              <w:rPr>
                <w:b/>
                <w:bCs/>
              </w:rPr>
              <w:t>CMR-19)</w:t>
            </w:r>
            <w:r w:rsidRPr="00B600FE">
              <w:t xml:space="preserve">, pour examen lors de la </w:t>
            </w:r>
            <w:r w:rsidR="002A6C9C" w:rsidRPr="00B600FE">
              <w:t>88ème</w:t>
            </w:r>
            <w:r w:rsidRPr="00B600FE">
              <w:t xml:space="preserve"> réunion du Comité</w:t>
            </w:r>
            <w:r w:rsidR="00C930D4" w:rsidRPr="00B600FE">
              <w:t>.</w:t>
            </w:r>
          </w:p>
          <w:p w14:paraId="00D96637" w14:textId="5ADBD31A" w:rsidR="00822398" w:rsidRPr="00B600FE" w:rsidRDefault="00FC198E" w:rsidP="005014D9">
            <w:pPr>
              <w:pStyle w:val="Tabletext"/>
              <w:cnfStyle w:val="000000000000" w:firstRow="0" w:lastRow="0" w:firstColumn="0" w:lastColumn="0" w:oddVBand="0" w:evenVBand="0" w:oddHBand="0" w:evenHBand="0" w:firstRowFirstColumn="0" w:firstRowLastColumn="0" w:lastRowFirstColumn="0" w:lastRowLastColumn="0"/>
            </w:pPr>
            <w:r w:rsidRPr="00B600FE">
              <w:t>Compte tenu des</w:t>
            </w:r>
            <w:r w:rsidR="002A6C9C" w:rsidRPr="00B600FE">
              <w:t xml:space="preserve"> </w:t>
            </w:r>
            <w:r w:rsidRPr="00B600FE">
              <w:t xml:space="preserve">similitudes entre le </w:t>
            </w:r>
            <w:r w:rsidR="00C930D4" w:rsidRPr="00B600FE">
              <w:t xml:space="preserve">§ </w:t>
            </w:r>
            <w:r w:rsidR="00D831EC">
              <w:t>1 de l'Addendum 9 au Document </w:t>
            </w:r>
            <w:r w:rsidRPr="00B600FE">
              <w:t xml:space="preserve">RRB21-2/3(Rév.1) et certaines questions soulevées pendant la présentation du </w:t>
            </w:r>
            <w:r w:rsidR="00C930D4" w:rsidRPr="00B600FE">
              <w:t xml:space="preserve">§ </w:t>
            </w:r>
            <w:r w:rsidRPr="00B600FE">
              <w:t xml:space="preserve">3.2 </w:t>
            </w:r>
            <w:r w:rsidR="00B36104" w:rsidRPr="00B600FE">
              <w:t>relatif à</w:t>
            </w:r>
            <w:r w:rsidR="002A6C9C" w:rsidRPr="00B600FE">
              <w:t xml:space="preserve"> </w:t>
            </w:r>
            <w:r w:rsidRPr="00B600FE">
              <w:t xml:space="preserve">la Résolution </w:t>
            </w:r>
            <w:r w:rsidRPr="00B600FE">
              <w:rPr>
                <w:b/>
                <w:bCs/>
              </w:rPr>
              <w:t>771 (CMR-19)</w:t>
            </w:r>
            <w:r w:rsidRPr="00B600FE">
              <w:t xml:space="preserve">, le Comité a chargé le Bureau </w:t>
            </w:r>
            <w:r w:rsidR="00B36104" w:rsidRPr="00B600FE">
              <w:t>d</w:t>
            </w:r>
            <w:r w:rsidR="002A6C9C" w:rsidRPr="00B600FE">
              <w:t>'</w:t>
            </w:r>
            <w:r w:rsidR="00B36104" w:rsidRPr="00B600FE">
              <w:t>effectuer</w:t>
            </w:r>
            <w:r w:rsidRPr="00B600FE">
              <w:rPr>
                <w:color w:val="000000"/>
                <w:shd w:val="clear" w:color="auto" w:fill="FFFFFF"/>
              </w:rPr>
              <w:t>,</w:t>
            </w:r>
            <w:r w:rsidR="002A6C9C" w:rsidRPr="00B600FE">
              <w:rPr>
                <w:color w:val="000000"/>
                <w:shd w:val="clear" w:color="auto" w:fill="FFFFFF"/>
              </w:rPr>
              <w:t xml:space="preserve"> </w:t>
            </w:r>
            <w:r w:rsidRPr="00B600FE">
              <w:rPr>
                <w:color w:val="000000"/>
                <w:shd w:val="clear" w:color="auto" w:fill="FFFFFF"/>
              </w:rPr>
              <w:t>en vue de</w:t>
            </w:r>
            <w:r w:rsidR="002A6C9C" w:rsidRPr="00B600FE">
              <w:rPr>
                <w:color w:val="000000"/>
                <w:shd w:val="clear" w:color="auto" w:fill="FFFFFF"/>
              </w:rPr>
              <w:t xml:space="preserve"> </w:t>
            </w:r>
            <w:r w:rsidRPr="00B600FE">
              <w:rPr>
                <w:color w:val="000000"/>
                <w:shd w:val="clear" w:color="auto" w:fill="FFFFFF"/>
              </w:rPr>
              <w:t xml:space="preserve">la 88ème réunion du </w:t>
            </w:r>
            <w:r w:rsidRPr="00B600FE">
              <w:rPr>
                <w:color w:val="000000"/>
              </w:rPr>
              <w:t>Comité</w:t>
            </w:r>
            <w:r w:rsidR="002A6C9C" w:rsidRPr="00B600FE">
              <w:rPr>
                <w:color w:val="000000"/>
              </w:rPr>
              <w:t>,</w:t>
            </w:r>
            <w:r w:rsidR="002A6C9C" w:rsidRPr="00B600FE">
              <w:rPr>
                <w:color w:val="000000"/>
                <w:shd w:val="clear" w:color="auto" w:fill="FFFFFF"/>
              </w:rPr>
              <w:t xml:space="preserve"> </w:t>
            </w:r>
            <w:r w:rsidRPr="00B600FE">
              <w:rPr>
                <w:color w:val="000000"/>
                <w:shd w:val="clear" w:color="auto" w:fill="FFFFFF"/>
              </w:rPr>
              <w:t>une analyse</w:t>
            </w:r>
            <w:r w:rsidR="002A6C9C" w:rsidRPr="00B600FE">
              <w:rPr>
                <w:color w:val="000000"/>
                <w:shd w:val="clear" w:color="auto" w:fill="FFFFFF"/>
              </w:rPr>
              <w:t xml:space="preserve"> </w:t>
            </w:r>
            <w:r w:rsidRPr="00B600FE">
              <w:rPr>
                <w:color w:val="000000"/>
                <w:shd w:val="clear" w:color="auto" w:fill="FFFFFF"/>
              </w:rPr>
              <w:t>du</w:t>
            </w:r>
            <w:r w:rsidR="002A6C9C" w:rsidRPr="00B600FE">
              <w:rPr>
                <w:color w:val="000000"/>
                <w:shd w:val="clear" w:color="auto" w:fill="FFFFFF"/>
              </w:rPr>
              <w:t xml:space="preserve"> </w:t>
            </w:r>
            <w:r w:rsidRPr="00B600FE">
              <w:rPr>
                <w:color w:val="000000"/>
                <w:shd w:val="clear" w:color="auto" w:fill="FFFFFF"/>
              </w:rPr>
              <w:t xml:space="preserve">traitement des modifications apportées aux assignations de fréquence déjà </w:t>
            </w:r>
            <w:r w:rsidRPr="00B600FE">
              <w:rPr>
                <w:color w:val="000000"/>
              </w:rPr>
              <w:t>inscrites dans le Fichier de référence international des fréquences</w:t>
            </w:r>
            <w:r w:rsidR="00B36104" w:rsidRPr="00B600FE">
              <w:rPr>
                <w:color w:val="000000"/>
              </w:rPr>
              <w:t>,</w:t>
            </w:r>
            <w:r w:rsidR="00B36104" w:rsidRPr="00B600FE">
              <w:rPr>
                <w:color w:val="000000"/>
                <w:shd w:val="clear" w:color="auto" w:fill="FFFFFF"/>
              </w:rPr>
              <w:t xml:space="preserve"> conformément aux numéros </w:t>
            </w:r>
            <w:r w:rsidR="00B36104" w:rsidRPr="00B600FE">
              <w:rPr>
                <w:b/>
                <w:bCs/>
                <w:color w:val="000000"/>
                <w:shd w:val="clear" w:color="auto" w:fill="FFFFFF"/>
              </w:rPr>
              <w:t>11.43A/11.43B</w:t>
            </w:r>
            <w:r w:rsidR="00B36104" w:rsidRPr="00B600FE">
              <w:rPr>
                <w:color w:val="000000"/>
                <w:shd w:val="clear" w:color="auto" w:fill="FFFFFF"/>
              </w:rPr>
              <w:t xml:space="preserve"> du RR</w:t>
            </w:r>
            <w:bookmarkEnd w:id="16"/>
            <w:r w:rsidR="00C930D4" w:rsidRPr="00B600FE">
              <w:rPr>
                <w:color w:val="000000"/>
                <w:shd w:val="clear" w:color="auto" w:fill="FFFFFF"/>
              </w:rPr>
              <w:t>.</w:t>
            </w:r>
          </w:p>
        </w:tc>
        <w:tc>
          <w:tcPr>
            <w:tcW w:w="3395" w:type="dxa"/>
            <w:hideMark/>
          </w:tcPr>
          <w:p w14:paraId="2F3305D4" w14:textId="77777777" w:rsidR="00822398" w:rsidRPr="00B600FE" w:rsidRDefault="00822398" w:rsidP="005014D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B600FE">
              <w:rPr>
                <w:color w:val="000000"/>
                <w:szCs w:val="22"/>
                <w:shd w:val="clear" w:color="auto" w:fill="FFFFFF"/>
              </w:rPr>
              <w:lastRenderedPageBreak/>
              <w:t>Le Secrétaire exécutif publiera la liste des Règles de procédure proposées sur le site web.</w:t>
            </w:r>
          </w:p>
          <w:p w14:paraId="0F9A59D8" w14:textId="530A77C4" w:rsidR="00822398" w:rsidRPr="00B600FE" w:rsidRDefault="00132C0D" w:rsidP="005014D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B600FE">
              <w:rPr>
                <w:color w:val="000000"/>
              </w:rPr>
              <w:t>Le Bureau établira les projets de Règles de procédure</w:t>
            </w:r>
            <w:r w:rsidR="00DE41DB" w:rsidRPr="00B600FE">
              <w:rPr>
                <w:color w:val="000000"/>
              </w:rPr>
              <w:t xml:space="preserve"> </w:t>
            </w:r>
            <w:r w:rsidRPr="00B600FE">
              <w:rPr>
                <w:color w:val="000000"/>
              </w:rPr>
              <w:t>pertinents concernant ces points</w:t>
            </w:r>
            <w:r w:rsidR="002A6C9C" w:rsidRPr="00B600FE">
              <w:rPr>
                <w:color w:val="000000"/>
              </w:rPr>
              <w:t xml:space="preserve"> </w:t>
            </w:r>
            <w:r w:rsidRPr="00B600FE">
              <w:rPr>
                <w:color w:val="000000"/>
              </w:rPr>
              <w:t>et les communiquera aux administrations pour observations.</w:t>
            </w:r>
          </w:p>
          <w:p w14:paraId="5373522F" w14:textId="4883ED4B" w:rsidR="004D4EE2" w:rsidRPr="00B600FE" w:rsidRDefault="00132C0D" w:rsidP="005014D9">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B600FE">
              <w:rPr>
                <w:color w:val="000000"/>
                <w:szCs w:val="22"/>
                <w:shd w:val="clear" w:color="auto" w:fill="FFFFFF"/>
              </w:rPr>
              <w:lastRenderedPageBreak/>
              <w:t xml:space="preserve">Le Bureau </w:t>
            </w:r>
            <w:r w:rsidR="00DE41DB" w:rsidRPr="00B600FE">
              <w:rPr>
                <w:color w:val="000000"/>
                <w:szCs w:val="22"/>
                <w:shd w:val="clear" w:color="auto" w:fill="FFFFFF"/>
              </w:rPr>
              <w:t>effectuera</w:t>
            </w:r>
            <w:r w:rsidR="00FC198E" w:rsidRPr="00B600FE">
              <w:rPr>
                <w:color w:val="000000"/>
                <w:szCs w:val="22"/>
                <w:shd w:val="clear" w:color="auto" w:fill="FFFFFF"/>
              </w:rPr>
              <w:t>,</w:t>
            </w:r>
            <w:r w:rsidRPr="00B600FE">
              <w:rPr>
                <w:color w:val="000000"/>
              </w:rPr>
              <w:t xml:space="preserve"> </w:t>
            </w:r>
            <w:r w:rsidRPr="00B600FE">
              <w:rPr>
                <w:color w:val="000000"/>
                <w:szCs w:val="22"/>
                <w:shd w:val="clear" w:color="auto" w:fill="FFFFFF"/>
              </w:rPr>
              <w:t>en vue de</w:t>
            </w:r>
            <w:r w:rsidR="002A6C9C" w:rsidRPr="00B600FE">
              <w:rPr>
                <w:color w:val="000000"/>
                <w:szCs w:val="22"/>
                <w:shd w:val="clear" w:color="auto" w:fill="FFFFFF"/>
              </w:rPr>
              <w:t xml:space="preserve"> </w:t>
            </w:r>
            <w:r w:rsidR="00D831EC">
              <w:rPr>
                <w:color w:val="000000"/>
                <w:szCs w:val="22"/>
                <w:shd w:val="clear" w:color="auto" w:fill="FFFFFF"/>
              </w:rPr>
              <w:t>la </w:t>
            </w:r>
            <w:r w:rsidRPr="00B600FE">
              <w:rPr>
                <w:color w:val="000000"/>
                <w:szCs w:val="22"/>
                <w:shd w:val="clear" w:color="auto" w:fill="FFFFFF"/>
              </w:rPr>
              <w:t xml:space="preserve">88ème réunion du </w:t>
            </w:r>
            <w:r w:rsidRPr="00B600FE">
              <w:rPr>
                <w:color w:val="000000"/>
              </w:rPr>
              <w:t>Comité</w:t>
            </w:r>
            <w:r w:rsidR="002A6C9C" w:rsidRPr="00B600FE">
              <w:rPr>
                <w:color w:val="000000"/>
              </w:rPr>
              <w:t xml:space="preserve">, </w:t>
            </w:r>
            <w:r w:rsidR="00FC198E" w:rsidRPr="00B600FE">
              <w:rPr>
                <w:color w:val="000000"/>
                <w:szCs w:val="22"/>
                <w:shd w:val="clear" w:color="auto" w:fill="FFFFFF"/>
              </w:rPr>
              <w:t>une analyse</w:t>
            </w:r>
            <w:r w:rsidR="002A6C9C" w:rsidRPr="00B600FE">
              <w:rPr>
                <w:color w:val="000000"/>
                <w:szCs w:val="22"/>
                <w:shd w:val="clear" w:color="auto" w:fill="FFFFFF"/>
              </w:rPr>
              <w:t xml:space="preserve"> </w:t>
            </w:r>
            <w:r w:rsidRPr="00B600FE">
              <w:rPr>
                <w:color w:val="000000"/>
                <w:szCs w:val="22"/>
                <w:shd w:val="clear" w:color="auto" w:fill="FFFFFF"/>
              </w:rPr>
              <w:t>du</w:t>
            </w:r>
            <w:r w:rsidR="002A6C9C" w:rsidRPr="00B600FE">
              <w:rPr>
                <w:color w:val="000000"/>
                <w:szCs w:val="22"/>
                <w:shd w:val="clear" w:color="auto" w:fill="FFFFFF"/>
              </w:rPr>
              <w:t xml:space="preserve"> </w:t>
            </w:r>
            <w:r w:rsidRPr="00B600FE">
              <w:rPr>
                <w:color w:val="000000"/>
                <w:szCs w:val="22"/>
                <w:shd w:val="clear" w:color="auto" w:fill="FFFFFF"/>
              </w:rPr>
              <w:t xml:space="preserve">traitement des modifications apportées aux assignations de fréquence déjà </w:t>
            </w:r>
            <w:r w:rsidRPr="00B600FE">
              <w:rPr>
                <w:color w:val="000000"/>
              </w:rPr>
              <w:t>inscrites dans le Fichier de référence international des fréquences</w:t>
            </w:r>
            <w:r w:rsidRPr="00B600FE">
              <w:rPr>
                <w:color w:val="000000"/>
                <w:szCs w:val="22"/>
                <w:shd w:val="clear" w:color="auto" w:fill="FFFFFF"/>
              </w:rPr>
              <w:t xml:space="preserve"> </w:t>
            </w:r>
            <w:r w:rsidR="00DE41DB" w:rsidRPr="00B600FE">
              <w:rPr>
                <w:color w:val="000000"/>
                <w:szCs w:val="22"/>
                <w:shd w:val="clear" w:color="auto" w:fill="FFFFFF"/>
              </w:rPr>
              <w:t xml:space="preserve">conformément aux numéros </w:t>
            </w:r>
            <w:r w:rsidR="00DE41DB" w:rsidRPr="00B600FE">
              <w:rPr>
                <w:b/>
                <w:bCs/>
                <w:color w:val="000000"/>
                <w:szCs w:val="22"/>
                <w:shd w:val="clear" w:color="auto" w:fill="FFFFFF"/>
              </w:rPr>
              <w:t>11.43A/11.43B</w:t>
            </w:r>
            <w:r w:rsidR="00DE41DB" w:rsidRPr="00B600FE">
              <w:rPr>
                <w:color w:val="000000"/>
                <w:szCs w:val="22"/>
                <w:shd w:val="clear" w:color="auto" w:fill="FFFFFF"/>
              </w:rPr>
              <w:t xml:space="preserve"> du RR</w:t>
            </w:r>
            <w:r w:rsidR="00C930D4" w:rsidRPr="00B600FE">
              <w:rPr>
                <w:color w:val="000000"/>
                <w:szCs w:val="22"/>
                <w:shd w:val="clear" w:color="auto" w:fill="FFFFFF"/>
              </w:rPr>
              <w:t>.</w:t>
            </w:r>
          </w:p>
        </w:tc>
      </w:tr>
      <w:tr w:rsidR="002A601B" w:rsidRPr="00B600FE" w14:paraId="69FE793B" w14:textId="77777777" w:rsidTr="00B757A0">
        <w:trPr>
          <w:trHeight w:val="524"/>
        </w:trPr>
        <w:tc>
          <w:tcPr>
            <w:cnfStyle w:val="001000000000" w:firstRow="0" w:lastRow="0" w:firstColumn="1" w:lastColumn="0" w:oddVBand="0" w:evenVBand="0" w:oddHBand="0" w:evenHBand="0" w:firstRowFirstColumn="0" w:firstRowLastColumn="0" w:lastRowFirstColumn="0" w:lastRowLastColumn="0"/>
            <w:tcW w:w="846" w:type="dxa"/>
          </w:tcPr>
          <w:p w14:paraId="7BA6218F" w14:textId="4C90CA48" w:rsidR="002A601B" w:rsidRPr="00B600FE" w:rsidRDefault="002A601B" w:rsidP="005014D9">
            <w:pPr>
              <w:pStyle w:val="Tabletext"/>
              <w:jc w:val="center"/>
              <w:rPr>
                <w:szCs w:val="22"/>
              </w:rPr>
            </w:pPr>
            <w:r w:rsidRPr="00B600FE">
              <w:rPr>
                <w:szCs w:val="22"/>
              </w:rPr>
              <w:lastRenderedPageBreak/>
              <w:t>5</w:t>
            </w:r>
          </w:p>
        </w:tc>
        <w:tc>
          <w:tcPr>
            <w:tcW w:w="13884" w:type="dxa"/>
            <w:gridSpan w:val="3"/>
          </w:tcPr>
          <w:p w14:paraId="66E7E9BA" w14:textId="56BBF0FD" w:rsidR="002A601B" w:rsidRPr="00B600FE" w:rsidRDefault="002A601B" w:rsidP="005014D9">
            <w:pPr>
              <w:pStyle w:val="Tabletext"/>
              <w:tabs>
                <w:tab w:val="left" w:pos="2195"/>
              </w:tabs>
              <w:cnfStyle w:val="000000000000" w:firstRow="0" w:lastRow="0" w:firstColumn="0" w:lastColumn="0" w:oddVBand="0" w:evenVBand="0" w:oddHBand="0" w:evenHBand="0" w:firstRowFirstColumn="0" w:firstRowLastColumn="0" w:lastRowFirstColumn="0" w:lastRowLastColumn="0"/>
              <w:rPr>
                <w:b/>
                <w:bCs/>
                <w:color w:val="000000"/>
                <w:szCs w:val="22"/>
                <w:shd w:val="clear" w:color="auto" w:fill="FFFFFF"/>
              </w:rPr>
            </w:pPr>
            <w:r w:rsidRPr="00B600FE">
              <w:rPr>
                <w:b/>
                <w:bCs/>
                <w:color w:val="000000"/>
                <w:szCs w:val="22"/>
                <w:shd w:val="clear" w:color="auto" w:fill="FFFFFF"/>
              </w:rPr>
              <w:t>Demandes relatives à la prorogation des délais réglementaires applicables à la mise en service des assignations de fréquence des réseaux à satellite</w:t>
            </w:r>
          </w:p>
        </w:tc>
      </w:tr>
      <w:tr w:rsidR="00822398" w:rsidRPr="00B600FE" w14:paraId="1C122BC2"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232E1A33" w14:textId="77777777" w:rsidR="00822398" w:rsidRPr="00B600FE" w:rsidRDefault="00822398" w:rsidP="005014D9">
            <w:pPr>
              <w:pStyle w:val="Tabletext"/>
              <w:jc w:val="center"/>
              <w:rPr>
                <w:szCs w:val="22"/>
              </w:rPr>
            </w:pPr>
            <w:r w:rsidRPr="00B600FE">
              <w:rPr>
                <w:szCs w:val="22"/>
              </w:rPr>
              <w:t>5.1</w:t>
            </w:r>
          </w:p>
        </w:tc>
        <w:tc>
          <w:tcPr>
            <w:tcW w:w="3827" w:type="dxa"/>
            <w:hideMark/>
          </w:tcPr>
          <w:p w14:paraId="3AAFECC5" w14:textId="60B7FCC2" w:rsidR="00822398" w:rsidRPr="00B600FE" w:rsidRDefault="00822398"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Communication soumise par l'Administration </w:t>
            </w:r>
            <w:r w:rsidRPr="00B600FE">
              <w:rPr>
                <w:color w:val="000000"/>
                <w:szCs w:val="22"/>
              </w:rPr>
              <w:t>de l</w:t>
            </w:r>
            <w:r w:rsidR="002A601B" w:rsidRPr="00B600FE">
              <w:rPr>
                <w:color w:val="000000"/>
                <w:szCs w:val="22"/>
              </w:rPr>
              <w:t>'Inde</w:t>
            </w:r>
            <w:r w:rsidRPr="00B600FE">
              <w:rPr>
                <w:color w:val="000000"/>
                <w:szCs w:val="22"/>
              </w:rPr>
              <w:t xml:space="preserve"> </w:t>
            </w:r>
            <w:r w:rsidRPr="00B600FE">
              <w:rPr>
                <w:szCs w:val="22"/>
              </w:rPr>
              <w:t xml:space="preserve">concernant une demande de prorogation du délai réglementaire applicable à la mise en service des assignations de fréquence </w:t>
            </w:r>
            <w:r w:rsidR="00FC198E" w:rsidRPr="00B600FE">
              <w:rPr>
                <w:szCs w:val="22"/>
              </w:rPr>
              <w:t>du</w:t>
            </w:r>
            <w:r w:rsidR="002A6C9C" w:rsidRPr="00B600FE">
              <w:rPr>
                <w:szCs w:val="22"/>
              </w:rPr>
              <w:t xml:space="preserve"> </w:t>
            </w:r>
            <w:r w:rsidRPr="00B600FE">
              <w:rPr>
                <w:szCs w:val="22"/>
              </w:rPr>
              <w:t>réseau</w:t>
            </w:r>
            <w:r w:rsidR="002A6C9C" w:rsidRPr="00B600FE">
              <w:rPr>
                <w:szCs w:val="22"/>
              </w:rPr>
              <w:t xml:space="preserve"> </w:t>
            </w:r>
            <w:r w:rsidRPr="00B600FE">
              <w:rPr>
                <w:szCs w:val="22"/>
              </w:rPr>
              <w:t xml:space="preserve">à satellite </w:t>
            </w:r>
            <w:r w:rsidR="002A601B" w:rsidRPr="00B600FE">
              <w:rPr>
                <w:szCs w:val="22"/>
              </w:rPr>
              <w:t>INSAT-KA68E</w:t>
            </w:r>
            <w:r w:rsidRPr="00B600FE">
              <w:rPr>
                <w:szCs w:val="22"/>
              </w:rPr>
              <w:br/>
            </w:r>
            <w:hyperlink r:id="rId26" w:history="1">
              <w:r w:rsidR="002A601B" w:rsidRPr="00B600FE">
                <w:rPr>
                  <w:rStyle w:val="Hyperlink"/>
                </w:rPr>
                <w:t>RRB21-2/2</w:t>
              </w:r>
            </w:hyperlink>
          </w:p>
        </w:tc>
        <w:tc>
          <w:tcPr>
            <w:tcW w:w="6662" w:type="dxa"/>
            <w:hideMark/>
          </w:tcPr>
          <w:p w14:paraId="797C6F92" w14:textId="3650C39A" w:rsidR="00A16014" w:rsidRPr="00B600FE" w:rsidRDefault="00A16014"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examiné de manière approfondie la </w:t>
            </w:r>
            <w:r w:rsidR="00B36104" w:rsidRPr="00B600FE">
              <w:rPr>
                <w:szCs w:val="22"/>
              </w:rPr>
              <w:t xml:space="preserve">communication soumise par </w:t>
            </w:r>
            <w:r w:rsidRPr="00B600FE">
              <w:rPr>
                <w:color w:val="000000"/>
                <w:szCs w:val="22"/>
              </w:rPr>
              <w:t>l'Administration de l'Inde</w:t>
            </w:r>
            <w:r w:rsidR="002A6C9C" w:rsidRPr="00B600FE">
              <w:rPr>
                <w:color w:val="000000"/>
                <w:szCs w:val="22"/>
              </w:rPr>
              <w:t xml:space="preserve"> </w:t>
            </w:r>
            <w:r w:rsidR="00B36104" w:rsidRPr="00B600FE">
              <w:rPr>
                <w:color w:val="000000"/>
                <w:szCs w:val="22"/>
              </w:rPr>
              <w:t>(D</w:t>
            </w:r>
            <w:r w:rsidRPr="00B600FE">
              <w:rPr>
                <w:color w:val="000000"/>
                <w:szCs w:val="22"/>
              </w:rPr>
              <w:t>ocument RRB21-2/2</w:t>
            </w:r>
            <w:r w:rsidR="00B36104" w:rsidRPr="00B600FE">
              <w:rPr>
                <w:color w:val="000000"/>
                <w:szCs w:val="22"/>
              </w:rPr>
              <w:t>)</w:t>
            </w:r>
            <w:r w:rsidRPr="00B600FE">
              <w:rPr>
                <w:color w:val="000000"/>
                <w:szCs w:val="22"/>
              </w:rPr>
              <w:t xml:space="preserve">. Le Comité </w:t>
            </w:r>
            <w:r w:rsidRPr="00B600FE">
              <w:rPr>
                <w:color w:val="000000"/>
              </w:rPr>
              <w:t>s'est déclaré sensible aux</w:t>
            </w:r>
            <w:r w:rsidRPr="00B600FE">
              <w:rPr>
                <w:color w:val="000000"/>
                <w:szCs w:val="22"/>
              </w:rPr>
              <w:t xml:space="preserve"> difficultés rencontrées </w:t>
            </w:r>
            <w:r w:rsidRPr="00B600FE">
              <w:rPr>
                <w:color w:val="000000"/>
              </w:rPr>
              <w:t>par</w:t>
            </w:r>
            <w:r w:rsidRPr="00B600FE">
              <w:rPr>
                <w:color w:val="000000"/>
                <w:szCs w:val="22"/>
              </w:rPr>
              <w:t xml:space="preserve"> l'Administration de l'Inde en raison de la pandémie mondiale. Bien que</w:t>
            </w:r>
            <w:r w:rsidR="00B36104" w:rsidRPr="00B600FE">
              <w:rPr>
                <w:color w:val="000000"/>
                <w:szCs w:val="22"/>
              </w:rPr>
              <w:t xml:space="preserve"> cette</w:t>
            </w:r>
            <w:r w:rsidRPr="00B600FE">
              <w:rPr>
                <w:color w:val="000000"/>
                <w:szCs w:val="22"/>
              </w:rPr>
              <w:t xml:space="preserve"> communication</w:t>
            </w:r>
            <w:r w:rsidR="002A6C9C" w:rsidRPr="00B600FE">
              <w:rPr>
                <w:color w:val="000000"/>
                <w:szCs w:val="22"/>
              </w:rPr>
              <w:t xml:space="preserve"> </w:t>
            </w:r>
            <w:r w:rsidR="009A2F22" w:rsidRPr="00B600FE">
              <w:rPr>
                <w:color w:val="000000"/>
                <w:szCs w:val="22"/>
              </w:rPr>
              <w:t xml:space="preserve">fournisse </w:t>
            </w:r>
            <w:r w:rsidRPr="00B600FE">
              <w:rPr>
                <w:color w:val="000000"/>
                <w:szCs w:val="22"/>
              </w:rPr>
              <w:t xml:space="preserve">certaines informations à l'appui de la requête, le Comité a noté que, pour un certain nombre de questions, </w:t>
            </w:r>
            <w:r w:rsidR="00EA6BAB" w:rsidRPr="00B600FE">
              <w:rPr>
                <w:color w:val="000000"/>
                <w:szCs w:val="22"/>
              </w:rPr>
              <w:t xml:space="preserve">elle ne contenait que </w:t>
            </w:r>
            <w:r w:rsidRPr="00B600FE">
              <w:rPr>
                <w:color w:val="000000"/>
                <w:szCs w:val="22"/>
              </w:rPr>
              <w:t>peu ou pas d'informations</w:t>
            </w:r>
            <w:r w:rsidR="002A6C9C" w:rsidRPr="00B600FE">
              <w:rPr>
                <w:color w:val="000000"/>
                <w:szCs w:val="22"/>
              </w:rPr>
              <w:t>,</w:t>
            </w:r>
            <w:r w:rsidRPr="00B600FE">
              <w:rPr>
                <w:color w:val="000000"/>
                <w:szCs w:val="22"/>
              </w:rPr>
              <w:t xml:space="preserve"> en particulier</w:t>
            </w:r>
            <w:r w:rsidR="002A6C9C" w:rsidRPr="00B600FE">
              <w:rPr>
                <w:color w:val="000000"/>
                <w:szCs w:val="22"/>
              </w:rPr>
              <w:t>:</w:t>
            </w:r>
          </w:p>
          <w:p w14:paraId="5194E20D" w14:textId="10671A74" w:rsidR="00EA6BAB"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EA6BAB" w:rsidRPr="00B600FE">
              <w:rPr>
                <w:color w:val="000000"/>
                <w:szCs w:val="22"/>
              </w:rPr>
              <w:t>aucun</w:t>
            </w:r>
            <w:r w:rsidR="002A6C9C" w:rsidRPr="00B600FE">
              <w:rPr>
                <w:color w:val="000000"/>
                <w:szCs w:val="22"/>
              </w:rPr>
              <w:t xml:space="preserve"> </w:t>
            </w:r>
            <w:r w:rsidR="00EA6BAB" w:rsidRPr="00B600FE">
              <w:rPr>
                <w:color w:val="000000"/>
                <w:szCs w:val="22"/>
              </w:rPr>
              <w:t>motif n'a été fourni</w:t>
            </w:r>
            <w:r w:rsidR="002A6C9C" w:rsidRPr="00B600FE">
              <w:rPr>
                <w:color w:val="000000"/>
                <w:szCs w:val="22"/>
              </w:rPr>
              <w:t xml:space="preserve"> </w:t>
            </w:r>
            <w:r w:rsidR="00EA6BAB" w:rsidRPr="00B600FE">
              <w:rPr>
                <w:color w:val="000000"/>
                <w:szCs w:val="22"/>
              </w:rPr>
              <w:t>quant au retard additionnel de sept mois pris dans la</w:t>
            </w:r>
            <w:r w:rsidR="002A6C9C" w:rsidRPr="00B600FE">
              <w:rPr>
                <w:color w:val="000000"/>
                <w:szCs w:val="22"/>
              </w:rPr>
              <w:t xml:space="preserve"> </w:t>
            </w:r>
            <w:r w:rsidR="00EA6BAB" w:rsidRPr="00B600FE">
              <w:rPr>
                <w:color w:val="000000"/>
                <w:szCs w:val="22"/>
              </w:rPr>
              <w:t>construction du satellite GSAT-20 et à l'état d</w:t>
            </w:r>
            <w:r w:rsidR="002A6C9C" w:rsidRPr="00B600FE">
              <w:rPr>
                <w:color w:val="000000"/>
                <w:szCs w:val="22"/>
              </w:rPr>
              <w:t>'</w:t>
            </w:r>
            <w:r w:rsidR="00EA6BAB" w:rsidRPr="00B600FE">
              <w:rPr>
                <w:color w:val="000000"/>
                <w:szCs w:val="22"/>
              </w:rPr>
              <w:t>avancement</w:t>
            </w:r>
            <w:r w:rsidR="002A6C9C" w:rsidRPr="00B600FE">
              <w:rPr>
                <w:color w:val="000000"/>
                <w:szCs w:val="22"/>
              </w:rPr>
              <w:t xml:space="preserve"> </w:t>
            </w:r>
            <w:r w:rsidR="00EA6BAB" w:rsidRPr="00B600FE">
              <w:rPr>
                <w:color w:val="000000"/>
                <w:szCs w:val="22"/>
              </w:rPr>
              <w:t>actuel de ce satellite</w:t>
            </w:r>
            <w:r w:rsidRPr="00B600FE">
              <w:rPr>
                <w:color w:val="000000"/>
                <w:szCs w:val="22"/>
              </w:rPr>
              <w:t>;</w:t>
            </w:r>
          </w:p>
          <w:p w14:paraId="57B0FDCA" w14:textId="2D8B1346" w:rsidR="00EA6BAB"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EA6BAB" w:rsidRPr="00B600FE">
              <w:rPr>
                <w:color w:val="000000"/>
                <w:szCs w:val="22"/>
              </w:rPr>
              <w:t>aucune explication n'a été fournie concernant le changement de fournisseur de services de</w:t>
            </w:r>
            <w:r w:rsidR="002A6C9C" w:rsidRPr="00B600FE">
              <w:rPr>
                <w:color w:val="000000"/>
                <w:szCs w:val="22"/>
              </w:rPr>
              <w:t xml:space="preserve"> </w:t>
            </w:r>
            <w:r w:rsidR="00EA6BAB" w:rsidRPr="00B600FE">
              <w:rPr>
                <w:color w:val="000000"/>
                <w:szCs w:val="22"/>
              </w:rPr>
              <w:t>lancement</w:t>
            </w:r>
            <w:r w:rsidR="002A6C9C" w:rsidRPr="00B600FE">
              <w:rPr>
                <w:color w:val="000000"/>
                <w:szCs w:val="22"/>
              </w:rPr>
              <w:t>;</w:t>
            </w:r>
          </w:p>
          <w:p w14:paraId="6EA4084D" w14:textId="045BBE43" w:rsidR="002A601B"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EA6BAB" w:rsidRPr="00B600FE">
              <w:rPr>
                <w:color w:val="000000"/>
                <w:szCs w:val="22"/>
              </w:rPr>
              <w:t xml:space="preserve">aucune explication n'a été fournie </w:t>
            </w:r>
            <w:r w:rsidR="00B36104" w:rsidRPr="00B600FE">
              <w:rPr>
                <w:color w:val="000000"/>
                <w:szCs w:val="22"/>
              </w:rPr>
              <w:t>au sujet des</w:t>
            </w:r>
            <w:r w:rsidR="00EA6BAB" w:rsidRPr="00B600FE">
              <w:rPr>
                <w:color w:val="000000"/>
                <w:szCs w:val="22"/>
              </w:rPr>
              <w:t xml:space="preserve"> raisons pour lesquelles le lanceur de l'Inde n'a pas pu être utilisé</w:t>
            </w:r>
            <w:r w:rsidR="002A6C9C" w:rsidRPr="00B600FE">
              <w:rPr>
                <w:color w:val="000000"/>
                <w:szCs w:val="22"/>
              </w:rPr>
              <w:t>;</w:t>
            </w:r>
          </w:p>
          <w:p w14:paraId="436DC69D" w14:textId="4D09EA1C" w:rsidR="00EA6BAB"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EA6BAB" w:rsidRPr="00B600FE">
              <w:rPr>
                <w:color w:val="000000"/>
                <w:szCs w:val="22"/>
              </w:rPr>
              <w:t>un calendrier de lancement détaillé n'a pas été fourni</w:t>
            </w:r>
            <w:r w:rsidR="002A6C9C" w:rsidRPr="00B600FE">
              <w:rPr>
                <w:color w:val="000000"/>
                <w:szCs w:val="22"/>
              </w:rPr>
              <w:t>;</w:t>
            </w:r>
          </w:p>
          <w:p w14:paraId="48F5151B" w14:textId="51459B66" w:rsidR="002A601B"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EA6BAB" w:rsidRPr="00B600FE">
              <w:rPr>
                <w:color w:val="000000"/>
                <w:szCs w:val="22"/>
              </w:rPr>
              <w:t>aucune justification de la période de prorogation de 24 mois n'a été fournie, étant donné que d'après les informations figurant dans la communication soumise, une période de prorogation de 15 mois semblait plus raisonnable.</w:t>
            </w:r>
          </w:p>
          <w:p w14:paraId="6B74EB6B" w14:textId="131204E5" w:rsidR="00EA6BAB" w:rsidRPr="00B600FE" w:rsidRDefault="00EA6BAB"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En outre, le Comité a</w:t>
            </w:r>
            <w:r w:rsidR="002A6C9C" w:rsidRPr="00B600FE">
              <w:rPr>
                <w:color w:val="000000"/>
                <w:szCs w:val="22"/>
              </w:rPr>
              <w:t xml:space="preserve"> </w:t>
            </w:r>
            <w:r w:rsidRPr="00B600FE">
              <w:rPr>
                <w:color w:val="000000"/>
                <w:szCs w:val="22"/>
              </w:rPr>
              <w:t>noté que</w:t>
            </w:r>
            <w:r w:rsidR="00AF0174" w:rsidRPr="00B600FE">
              <w:rPr>
                <w:color w:val="000000"/>
                <w:szCs w:val="22"/>
              </w:rPr>
              <w:t xml:space="preserve"> bien que</w:t>
            </w:r>
            <w:r w:rsidRPr="00B600FE">
              <w:rPr>
                <w:color w:val="000000"/>
                <w:szCs w:val="22"/>
              </w:rPr>
              <w:t xml:space="preserve"> certains des retards p</w:t>
            </w:r>
            <w:r w:rsidR="00AF0174" w:rsidRPr="00B600FE">
              <w:rPr>
                <w:color w:val="000000"/>
                <w:szCs w:val="22"/>
              </w:rPr>
              <w:t>uiss</w:t>
            </w:r>
            <w:r w:rsidRPr="00B600FE">
              <w:rPr>
                <w:color w:val="000000"/>
                <w:szCs w:val="22"/>
              </w:rPr>
              <w:t xml:space="preserve">ent être attribués à la pandémie mondiale, les </w:t>
            </w:r>
            <w:r w:rsidR="008B1E29" w:rsidRPr="00B600FE">
              <w:rPr>
                <w:color w:val="000000"/>
                <w:szCs w:val="22"/>
              </w:rPr>
              <w:t>renseignements</w:t>
            </w:r>
            <w:r w:rsidRPr="00B600FE">
              <w:rPr>
                <w:color w:val="000000"/>
                <w:szCs w:val="22"/>
              </w:rPr>
              <w:t xml:space="preserve"> fournis </w:t>
            </w:r>
            <w:r w:rsidR="008B1E29" w:rsidRPr="00B600FE">
              <w:rPr>
                <w:color w:val="000000"/>
                <w:szCs w:val="22"/>
              </w:rPr>
              <w:t>n</w:t>
            </w:r>
            <w:r w:rsidR="002A6C9C" w:rsidRPr="00B600FE">
              <w:rPr>
                <w:color w:val="000000"/>
                <w:szCs w:val="22"/>
              </w:rPr>
              <w:t>'</w:t>
            </w:r>
            <w:r w:rsidRPr="00B600FE">
              <w:rPr>
                <w:color w:val="000000"/>
                <w:szCs w:val="22"/>
              </w:rPr>
              <w:t xml:space="preserve">étaient </w:t>
            </w:r>
            <w:r w:rsidR="008B1E29" w:rsidRPr="00B600FE">
              <w:rPr>
                <w:color w:val="000000"/>
                <w:szCs w:val="22"/>
              </w:rPr>
              <w:t xml:space="preserve">pas </w:t>
            </w:r>
            <w:r w:rsidRPr="00B600FE">
              <w:rPr>
                <w:color w:val="000000"/>
                <w:szCs w:val="22"/>
              </w:rPr>
              <w:t>suffisants pour démontrer que la demande remplissait toutes les conditions requises</w:t>
            </w:r>
            <w:r w:rsidR="002A6C9C" w:rsidRPr="00B600FE">
              <w:rPr>
                <w:color w:val="000000"/>
              </w:rPr>
              <w:t xml:space="preserve"> </w:t>
            </w:r>
            <w:r w:rsidRPr="00B600FE">
              <w:rPr>
                <w:color w:val="000000"/>
                <w:szCs w:val="22"/>
              </w:rPr>
              <w:t xml:space="preserve">pour être considérée comme un cas de force majeure </w:t>
            </w:r>
            <w:r w:rsidR="008B1E29" w:rsidRPr="00B600FE">
              <w:rPr>
                <w:color w:val="000000"/>
                <w:szCs w:val="22"/>
              </w:rPr>
              <w:t xml:space="preserve">en raison </w:t>
            </w:r>
            <w:r w:rsidRPr="00B600FE">
              <w:rPr>
                <w:color w:val="000000"/>
                <w:szCs w:val="22"/>
              </w:rPr>
              <w:t>de la pandémie mondiale</w:t>
            </w:r>
            <w:r w:rsidR="002A6C9C" w:rsidRPr="00B600FE">
              <w:rPr>
                <w:color w:val="000000"/>
                <w:szCs w:val="22"/>
              </w:rPr>
              <w:t xml:space="preserve"> </w:t>
            </w:r>
            <w:r w:rsidR="008B1E29" w:rsidRPr="00B600FE">
              <w:rPr>
                <w:color w:val="000000"/>
                <w:szCs w:val="22"/>
              </w:rPr>
              <w:t>de</w:t>
            </w:r>
            <w:r w:rsidRPr="00B600FE">
              <w:rPr>
                <w:color w:val="000000"/>
                <w:szCs w:val="22"/>
              </w:rPr>
              <w:t xml:space="preserve"> COVID-19.</w:t>
            </w:r>
            <w:r w:rsidR="002A6C9C" w:rsidRPr="00B600FE">
              <w:rPr>
                <w:color w:val="000000"/>
                <w:szCs w:val="22"/>
              </w:rPr>
              <w:t xml:space="preserve"> </w:t>
            </w:r>
            <w:r w:rsidRPr="00B600FE">
              <w:rPr>
                <w:color w:val="000000"/>
                <w:szCs w:val="22"/>
              </w:rPr>
              <w:t xml:space="preserve">En conséquence, le Comité a conclu qu'il n'était pas en mesure de se prononcer sur la demande de l'Administration de l'Inde lors de sa </w:t>
            </w:r>
            <w:r w:rsidR="002A6C9C" w:rsidRPr="00B600FE">
              <w:rPr>
                <w:color w:val="000000"/>
                <w:szCs w:val="22"/>
              </w:rPr>
              <w:t>87ème</w:t>
            </w:r>
            <w:r w:rsidRPr="00B600FE">
              <w:rPr>
                <w:color w:val="000000"/>
                <w:szCs w:val="22"/>
              </w:rPr>
              <w:t xml:space="preserve"> réunion. </w:t>
            </w:r>
          </w:p>
          <w:p w14:paraId="0F3FDA04" w14:textId="27B9E21A" w:rsidR="00822398" w:rsidRPr="00B600FE" w:rsidRDefault="008B1E29"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chargé le Bureau d'inviter l'Administration de l'Inde à fournir des renseignements complémentaires à la </w:t>
            </w:r>
            <w:r w:rsidR="002A6C9C" w:rsidRPr="00B600FE">
              <w:rPr>
                <w:color w:val="000000"/>
                <w:szCs w:val="22"/>
              </w:rPr>
              <w:t>88ème</w:t>
            </w:r>
            <w:r w:rsidRPr="00B600FE">
              <w:rPr>
                <w:color w:val="000000"/>
                <w:szCs w:val="22"/>
              </w:rPr>
              <w:t xml:space="preserve"> réunion du Comité sur les questions soulevées ci-dessus, afin d'étayer sa demande. Le Comité a également chargé le</w:t>
            </w:r>
            <w:r w:rsidR="002A6C9C" w:rsidRPr="00B600FE">
              <w:rPr>
                <w:color w:val="000000"/>
                <w:szCs w:val="22"/>
              </w:rPr>
              <w:t xml:space="preserve"> </w:t>
            </w:r>
            <w:r w:rsidRPr="00B600FE">
              <w:rPr>
                <w:color w:val="000000"/>
                <w:szCs w:val="22"/>
              </w:rPr>
              <w:t xml:space="preserve">Bureau de continuer de maintenir les assignations de fréquence du réseau à satellite INSAT-KA68E dans le </w:t>
            </w:r>
            <w:r w:rsidRPr="00B600FE">
              <w:rPr>
                <w:color w:val="000000"/>
              </w:rPr>
              <w:lastRenderedPageBreak/>
              <w:t>Fichier de référence international des fréquences</w:t>
            </w:r>
            <w:r w:rsidR="00D831EC">
              <w:rPr>
                <w:color w:val="000000"/>
                <w:szCs w:val="22"/>
              </w:rPr>
              <w:t xml:space="preserve"> jusqu'à la fin de la </w:t>
            </w:r>
            <w:r w:rsidR="002A6C9C" w:rsidRPr="00B600FE">
              <w:rPr>
                <w:color w:val="000000"/>
                <w:szCs w:val="22"/>
              </w:rPr>
              <w:t>88ème</w:t>
            </w:r>
            <w:r w:rsidRPr="00B600FE">
              <w:rPr>
                <w:color w:val="000000"/>
                <w:szCs w:val="22"/>
              </w:rPr>
              <w:t xml:space="preserve"> réunion du Comité.</w:t>
            </w:r>
          </w:p>
        </w:tc>
        <w:tc>
          <w:tcPr>
            <w:tcW w:w="3395" w:type="dxa"/>
            <w:hideMark/>
          </w:tcPr>
          <w:p w14:paraId="1F9B7ACF"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à l'administration concernée.</w:t>
            </w:r>
          </w:p>
          <w:p w14:paraId="3D9CF89B" w14:textId="705C7FEF" w:rsidR="000D044B" w:rsidRPr="00B600FE" w:rsidRDefault="00822398" w:rsidP="005014D9">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Bureau invitera l'Administration </w:t>
            </w:r>
            <w:r w:rsidR="008B1E29" w:rsidRPr="00B600FE">
              <w:rPr>
                <w:color w:val="000000"/>
                <w:szCs w:val="22"/>
              </w:rPr>
              <w:t>de l'Inde</w:t>
            </w:r>
            <w:r w:rsidR="002A6C9C" w:rsidRPr="00B600FE">
              <w:rPr>
                <w:color w:val="000000"/>
                <w:szCs w:val="22"/>
              </w:rPr>
              <w:t xml:space="preserve"> </w:t>
            </w:r>
            <w:r w:rsidRPr="00B600FE">
              <w:rPr>
                <w:szCs w:val="22"/>
              </w:rPr>
              <w:t xml:space="preserve">à </w:t>
            </w:r>
            <w:r w:rsidR="008B1E29" w:rsidRPr="00B600FE">
              <w:rPr>
                <w:szCs w:val="22"/>
              </w:rPr>
              <w:t>soumettre</w:t>
            </w:r>
            <w:r w:rsidRPr="00B600FE">
              <w:rPr>
                <w:szCs w:val="22"/>
              </w:rPr>
              <w:t xml:space="preserve"> des informations additionnelles</w:t>
            </w:r>
            <w:r w:rsidR="008B1E29" w:rsidRPr="00B600FE">
              <w:rPr>
                <w:color w:val="000000"/>
                <w:szCs w:val="22"/>
              </w:rPr>
              <w:t xml:space="preserve"> s</w:t>
            </w:r>
            <w:r w:rsidR="00D831EC">
              <w:rPr>
                <w:color w:val="000000"/>
                <w:szCs w:val="22"/>
              </w:rPr>
              <w:t>ur les questions soulevées à la </w:t>
            </w:r>
            <w:r w:rsidR="002A6C9C" w:rsidRPr="00B600FE">
              <w:rPr>
                <w:color w:val="000000"/>
                <w:szCs w:val="22"/>
              </w:rPr>
              <w:t>88ème</w:t>
            </w:r>
            <w:r w:rsidR="00B757A0" w:rsidRPr="00B600FE">
              <w:rPr>
                <w:color w:val="000000"/>
                <w:szCs w:val="22"/>
              </w:rPr>
              <w:t> </w:t>
            </w:r>
            <w:r w:rsidR="008B1E29" w:rsidRPr="00B600FE">
              <w:rPr>
                <w:color w:val="000000"/>
                <w:szCs w:val="22"/>
              </w:rPr>
              <w:t>réunion du Comité.</w:t>
            </w:r>
          </w:p>
          <w:p w14:paraId="2AC3293F" w14:textId="513A1DFB" w:rsidR="00822398" w:rsidRPr="00B600FE" w:rsidRDefault="008B1E29" w:rsidP="005014D9">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Le</w:t>
            </w:r>
            <w:r w:rsidR="002A6C9C" w:rsidRPr="00B600FE">
              <w:rPr>
                <w:color w:val="000000"/>
                <w:szCs w:val="22"/>
              </w:rPr>
              <w:t xml:space="preserve"> </w:t>
            </w:r>
            <w:r w:rsidRPr="00B600FE">
              <w:rPr>
                <w:color w:val="000000"/>
                <w:szCs w:val="22"/>
              </w:rPr>
              <w:t>Bureau</w:t>
            </w:r>
            <w:r w:rsidR="002A6C9C" w:rsidRPr="00B600FE">
              <w:rPr>
                <w:color w:val="000000"/>
                <w:szCs w:val="22"/>
              </w:rPr>
              <w:t xml:space="preserve"> </w:t>
            </w:r>
            <w:r w:rsidRPr="00B600FE">
              <w:rPr>
                <w:color w:val="000000"/>
                <w:szCs w:val="22"/>
              </w:rPr>
              <w:t xml:space="preserve">continuera de maintenir les assignations de fréquence du réseau à satellite INSAT-KA68E dans le </w:t>
            </w:r>
            <w:r w:rsidRPr="00B600FE">
              <w:rPr>
                <w:color w:val="000000"/>
              </w:rPr>
              <w:t>Fichier de référence international des fréquences</w:t>
            </w:r>
            <w:r w:rsidRPr="00B600FE">
              <w:rPr>
                <w:color w:val="000000"/>
                <w:szCs w:val="22"/>
              </w:rPr>
              <w:t xml:space="preserve"> jusqu'à la fin de la </w:t>
            </w:r>
            <w:r w:rsidR="002A6C9C" w:rsidRPr="00B600FE">
              <w:rPr>
                <w:color w:val="000000"/>
                <w:szCs w:val="22"/>
              </w:rPr>
              <w:t>88ème</w:t>
            </w:r>
            <w:r w:rsidRPr="00B600FE">
              <w:rPr>
                <w:color w:val="000000"/>
                <w:szCs w:val="22"/>
              </w:rPr>
              <w:t xml:space="preserve"> réunion du Comité.</w:t>
            </w:r>
            <w:r w:rsidR="002A6C9C" w:rsidRPr="00B600FE">
              <w:rPr>
                <w:szCs w:val="22"/>
              </w:rPr>
              <w:t xml:space="preserve"> </w:t>
            </w:r>
          </w:p>
        </w:tc>
      </w:tr>
      <w:tr w:rsidR="00822398" w:rsidRPr="00B600FE" w14:paraId="20D80C2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00256B1A" w14:textId="77777777" w:rsidR="00822398" w:rsidRPr="00B600FE" w:rsidRDefault="00822398" w:rsidP="005014D9">
            <w:pPr>
              <w:pStyle w:val="Tabletext"/>
              <w:jc w:val="center"/>
              <w:rPr>
                <w:szCs w:val="22"/>
              </w:rPr>
            </w:pPr>
            <w:r w:rsidRPr="00B600FE">
              <w:rPr>
                <w:szCs w:val="22"/>
              </w:rPr>
              <w:t>5.2</w:t>
            </w:r>
          </w:p>
        </w:tc>
        <w:tc>
          <w:tcPr>
            <w:tcW w:w="3827" w:type="dxa"/>
            <w:hideMark/>
          </w:tcPr>
          <w:p w14:paraId="368A6BB5" w14:textId="079EF49D" w:rsidR="00822398"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de la Malaisie concernant une demande de prorogation du délai réglementaire applicable à la mise en service des assignations de fréquence des réseaux à satellite MEASAT à 91,5° E et 148° E</w:t>
            </w:r>
            <w:r w:rsidR="00822398" w:rsidRPr="00B600FE">
              <w:rPr>
                <w:b/>
                <w:bCs/>
                <w:szCs w:val="22"/>
              </w:rPr>
              <w:br/>
            </w:r>
            <w:hyperlink r:id="rId27" w:history="1">
              <w:r w:rsidRPr="00B600FE">
                <w:rPr>
                  <w:rStyle w:val="Hyperlink"/>
                </w:rPr>
                <w:t>RRB21-2/6</w:t>
              </w:r>
            </w:hyperlink>
          </w:p>
        </w:tc>
        <w:tc>
          <w:tcPr>
            <w:tcW w:w="6662" w:type="dxa"/>
            <w:hideMark/>
          </w:tcPr>
          <w:p w14:paraId="776B333C" w14:textId="2E3ECAB6" w:rsidR="00060360" w:rsidRPr="00B600FE" w:rsidRDefault="008B1E29"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examiné de manière détaillée la communication figurant dans le Document RRB21-2/6 et a remercié l'Administration de la Malaisie </w:t>
            </w:r>
            <w:r w:rsidRPr="00B600FE">
              <w:rPr>
                <w:color w:val="000000"/>
              </w:rPr>
              <w:t>d'avoir fourni des précisions</w:t>
            </w:r>
            <w:r w:rsidR="002A6C9C" w:rsidRPr="00B600FE">
              <w:rPr>
                <w:color w:val="000000"/>
              </w:rPr>
              <w:t xml:space="preserve"> </w:t>
            </w:r>
            <w:r w:rsidRPr="00B600FE">
              <w:rPr>
                <w:color w:val="000000"/>
                <w:szCs w:val="22"/>
              </w:rPr>
              <w:t xml:space="preserve">qui répondent aux préoccupations exprimées lors de la </w:t>
            </w:r>
            <w:r w:rsidR="002A6C9C" w:rsidRPr="00B600FE">
              <w:rPr>
                <w:color w:val="000000"/>
                <w:szCs w:val="22"/>
              </w:rPr>
              <w:t>86ème</w:t>
            </w:r>
            <w:r w:rsidRPr="00B600FE">
              <w:rPr>
                <w:color w:val="000000"/>
                <w:szCs w:val="22"/>
              </w:rPr>
              <w:t xml:space="preserve"> réunion. Le Comité a noté:</w:t>
            </w:r>
          </w:p>
          <w:p w14:paraId="669976B0" w14:textId="759D5C92"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2D5272" w:rsidRPr="00B600FE">
              <w:rPr>
                <w:color w:val="000000"/>
                <w:szCs w:val="22"/>
              </w:rPr>
              <w:t>que le plan et le calendrier prévus pour respecter le délai réglementaire du 12 juillet 2021 aux fins de</w:t>
            </w:r>
            <w:r w:rsidR="002A6C9C" w:rsidRPr="00B600FE">
              <w:rPr>
                <w:color w:val="000000"/>
                <w:szCs w:val="22"/>
              </w:rPr>
              <w:t xml:space="preserve"> </w:t>
            </w:r>
            <w:r w:rsidR="002D5272" w:rsidRPr="00B600FE">
              <w:rPr>
                <w:color w:val="000000"/>
                <w:szCs w:val="22"/>
              </w:rPr>
              <w:t>la remise en service des assignations de fréquence</w:t>
            </w:r>
            <w:r w:rsidR="002A6C9C" w:rsidRPr="00B600FE">
              <w:rPr>
                <w:color w:val="000000"/>
                <w:szCs w:val="22"/>
              </w:rPr>
              <w:t xml:space="preserve"> </w:t>
            </w:r>
            <w:r w:rsidR="002D5272" w:rsidRPr="00B600FE">
              <w:rPr>
                <w:color w:val="000000"/>
                <w:szCs w:val="22"/>
              </w:rPr>
              <w:t>des</w:t>
            </w:r>
            <w:r w:rsidR="002A6C9C" w:rsidRPr="00B600FE">
              <w:rPr>
                <w:color w:val="000000"/>
                <w:szCs w:val="22"/>
              </w:rPr>
              <w:t xml:space="preserve"> </w:t>
            </w:r>
            <w:r w:rsidR="002D5272" w:rsidRPr="00B600FE">
              <w:rPr>
                <w:color w:val="000000"/>
                <w:szCs w:val="22"/>
              </w:rPr>
              <w:t>réseaux</w:t>
            </w:r>
            <w:r w:rsidR="002A6C9C" w:rsidRPr="00B600FE">
              <w:rPr>
                <w:color w:val="000000"/>
                <w:szCs w:val="22"/>
              </w:rPr>
              <w:t xml:space="preserve"> </w:t>
            </w:r>
            <w:r w:rsidR="002D5272" w:rsidRPr="00B600FE">
              <w:rPr>
                <w:color w:val="000000"/>
                <w:szCs w:val="22"/>
              </w:rPr>
              <w:t>à satellite MEASAT-2, MEASAT-148E, MEASAT-2A et MEASAT-2R à 148°</w:t>
            </w:r>
            <w:r w:rsidR="00B757A0" w:rsidRPr="00B600FE">
              <w:rPr>
                <w:color w:val="000000"/>
                <w:szCs w:val="22"/>
              </w:rPr>
              <w:t> </w:t>
            </w:r>
            <w:r w:rsidR="002D5272" w:rsidRPr="00B600FE">
              <w:rPr>
                <w:color w:val="000000"/>
                <w:szCs w:val="22"/>
              </w:rPr>
              <w:t>E étaient très optimistes et reposaient sur certaines hypothèses qui</w:t>
            </w:r>
            <w:r w:rsidR="002A6C9C" w:rsidRPr="00B600FE">
              <w:rPr>
                <w:color w:val="000000"/>
                <w:szCs w:val="22"/>
              </w:rPr>
              <w:t xml:space="preserve"> </w:t>
            </w:r>
            <w:r w:rsidR="002D5272" w:rsidRPr="00B600FE">
              <w:rPr>
                <w:color w:val="000000"/>
                <w:szCs w:val="22"/>
              </w:rPr>
              <w:t>soulevaient d</w:t>
            </w:r>
            <w:r w:rsidR="002A6C9C" w:rsidRPr="00B600FE">
              <w:rPr>
                <w:color w:val="000000"/>
                <w:szCs w:val="22"/>
              </w:rPr>
              <w:t>'</w:t>
            </w:r>
            <w:r w:rsidR="002D5272" w:rsidRPr="00B600FE">
              <w:rPr>
                <w:color w:val="000000"/>
                <w:szCs w:val="22"/>
              </w:rPr>
              <w:t>autres questions</w:t>
            </w:r>
            <w:r w:rsidR="002A6C9C" w:rsidRPr="00B600FE">
              <w:rPr>
                <w:color w:val="000000"/>
                <w:szCs w:val="22"/>
              </w:rPr>
              <w:t>;</w:t>
            </w:r>
          </w:p>
          <w:p w14:paraId="286B1B60" w14:textId="2EBC66AB"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2D5272" w:rsidRPr="00B600FE">
              <w:rPr>
                <w:color w:val="000000"/>
                <w:szCs w:val="22"/>
              </w:rPr>
              <w:t>que</w:t>
            </w:r>
            <w:r w:rsidR="002A6C9C" w:rsidRPr="00B600FE">
              <w:rPr>
                <w:color w:val="000000"/>
                <w:szCs w:val="22"/>
              </w:rPr>
              <w:t xml:space="preserve"> </w:t>
            </w:r>
            <w:r w:rsidR="002D5272" w:rsidRPr="00B600FE">
              <w:rPr>
                <w:color w:val="000000"/>
                <w:szCs w:val="22"/>
              </w:rPr>
              <w:t>le lancement du satellite MEASAT-3d à 91,5°</w:t>
            </w:r>
            <w:r w:rsidR="00B757A0" w:rsidRPr="00B600FE">
              <w:rPr>
                <w:color w:val="000000"/>
                <w:szCs w:val="22"/>
              </w:rPr>
              <w:t> </w:t>
            </w:r>
            <w:r w:rsidR="002D5272" w:rsidRPr="00B600FE">
              <w:rPr>
                <w:color w:val="000000"/>
                <w:szCs w:val="22"/>
              </w:rPr>
              <w:t>E était</w:t>
            </w:r>
            <w:r w:rsidR="002A6C9C" w:rsidRPr="00B600FE">
              <w:rPr>
                <w:color w:val="000000"/>
                <w:szCs w:val="22"/>
              </w:rPr>
              <w:t xml:space="preserve"> </w:t>
            </w:r>
            <w:r w:rsidR="002D5272" w:rsidRPr="00B600FE">
              <w:rPr>
                <w:color w:val="000000"/>
                <w:szCs w:val="22"/>
              </w:rPr>
              <w:t>prévu à titre provisoire pour le premier trimestre de 2022, la fenêtre de lancement actuelle allant du 15 janvier au 14 août 2022, et que les parties au service de lancement</w:t>
            </w:r>
            <w:r w:rsidR="00D831EC">
              <w:rPr>
                <w:color w:val="000000"/>
                <w:szCs w:val="22"/>
              </w:rPr>
              <w:t xml:space="preserve"> avaient décidé de se réunir le </w:t>
            </w:r>
            <w:r w:rsidR="002D5272" w:rsidRPr="00B600FE">
              <w:rPr>
                <w:color w:val="000000"/>
                <w:szCs w:val="22"/>
              </w:rPr>
              <w:t>15</w:t>
            </w:r>
            <w:r w:rsidR="00B757A0" w:rsidRPr="00B600FE">
              <w:rPr>
                <w:color w:val="000000"/>
                <w:szCs w:val="22"/>
              </w:rPr>
              <w:t> </w:t>
            </w:r>
            <w:r w:rsidR="002D5272" w:rsidRPr="00B600FE">
              <w:rPr>
                <w:color w:val="000000"/>
                <w:szCs w:val="22"/>
              </w:rPr>
              <w:t xml:space="preserve">juillet 2021 pour déterminer une fenêtre de lancement réduite </w:t>
            </w:r>
            <w:r w:rsidR="00C23770" w:rsidRPr="00B600FE">
              <w:rPr>
                <w:color w:val="000000"/>
                <w:szCs w:val="22"/>
              </w:rPr>
              <w:t>de</w:t>
            </w:r>
            <w:r w:rsidR="002D5272" w:rsidRPr="00B600FE">
              <w:rPr>
                <w:color w:val="000000"/>
                <w:szCs w:val="22"/>
              </w:rPr>
              <w:t xml:space="preserve"> trois mois</w:t>
            </w:r>
            <w:r w:rsidR="002A6C9C" w:rsidRPr="00B600FE">
              <w:rPr>
                <w:color w:val="000000"/>
                <w:szCs w:val="22"/>
              </w:rPr>
              <w:t>;</w:t>
            </w:r>
          </w:p>
          <w:p w14:paraId="3005F8C2" w14:textId="29FFF4F5"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B757A0" w:rsidRPr="00B600FE">
              <w:rPr>
                <w:color w:val="000000"/>
                <w:szCs w:val="22"/>
              </w:rPr>
              <w:t>q</w:t>
            </w:r>
            <w:r w:rsidR="003A4BC8" w:rsidRPr="00B600FE">
              <w:rPr>
                <w:color w:val="000000"/>
                <w:szCs w:val="22"/>
              </w:rPr>
              <w:t>ue l</w:t>
            </w:r>
            <w:r w:rsidR="00C23770" w:rsidRPr="00B600FE">
              <w:rPr>
                <w:color w:val="000000"/>
                <w:szCs w:val="22"/>
              </w:rPr>
              <w:t>es</w:t>
            </w:r>
            <w:r w:rsidR="003A4BC8" w:rsidRPr="00B600FE">
              <w:rPr>
                <w:color w:val="000000"/>
                <w:szCs w:val="22"/>
              </w:rPr>
              <w:t xml:space="preserve"> projets</w:t>
            </w:r>
            <w:r w:rsidR="00C23770" w:rsidRPr="00B600FE">
              <w:rPr>
                <w:color w:val="000000"/>
                <w:szCs w:val="22"/>
              </w:rPr>
              <w:t xml:space="preserve"> </w:t>
            </w:r>
            <w:r w:rsidR="00DB3784" w:rsidRPr="00B600FE">
              <w:rPr>
                <w:color w:val="000000"/>
                <w:szCs w:val="22"/>
              </w:rPr>
              <w:t>selon lesquels</w:t>
            </w:r>
            <w:r w:rsidR="00C23770" w:rsidRPr="00B600FE">
              <w:rPr>
                <w:color w:val="000000"/>
                <w:szCs w:val="22"/>
              </w:rPr>
              <w:t xml:space="preserve"> le satellite MEASAT-3 continuera</w:t>
            </w:r>
            <w:r w:rsidR="00B36104" w:rsidRPr="00B600FE">
              <w:rPr>
                <w:color w:val="000000"/>
                <w:szCs w:val="22"/>
              </w:rPr>
              <w:t>it</w:t>
            </w:r>
            <w:r w:rsidR="002A6C9C" w:rsidRPr="00B600FE">
              <w:rPr>
                <w:color w:val="000000"/>
                <w:szCs w:val="22"/>
              </w:rPr>
              <w:t xml:space="preserve"> </w:t>
            </w:r>
            <w:r w:rsidR="00C23770" w:rsidRPr="00B600FE">
              <w:rPr>
                <w:color w:val="000000"/>
                <w:szCs w:val="22"/>
              </w:rPr>
              <w:t>de desservir la région depuis la position orbitale 148°</w:t>
            </w:r>
            <w:r w:rsidR="00B757A0" w:rsidRPr="00B600FE">
              <w:rPr>
                <w:color w:val="000000"/>
                <w:szCs w:val="22"/>
              </w:rPr>
              <w:t> </w:t>
            </w:r>
            <w:r w:rsidR="00C23770" w:rsidRPr="00B600FE">
              <w:rPr>
                <w:color w:val="000000"/>
                <w:szCs w:val="22"/>
              </w:rPr>
              <w:t xml:space="preserve">E jusqu'à la fin de vie </w:t>
            </w:r>
            <w:r w:rsidR="00DB3784" w:rsidRPr="00B600FE">
              <w:rPr>
                <w:color w:val="000000"/>
                <w:szCs w:val="22"/>
              </w:rPr>
              <w:t xml:space="preserve">utile </w:t>
            </w:r>
            <w:r w:rsidR="00C23770" w:rsidRPr="00B600FE">
              <w:rPr>
                <w:color w:val="000000"/>
                <w:szCs w:val="22"/>
              </w:rPr>
              <w:t xml:space="preserve">du satellite, prévue au moins jusqu'en mars 2027, </w:t>
            </w:r>
            <w:r w:rsidR="00DB3784" w:rsidRPr="00B600FE">
              <w:rPr>
                <w:color w:val="000000"/>
                <w:szCs w:val="22"/>
              </w:rPr>
              <w:t>étaient</w:t>
            </w:r>
            <w:r w:rsidR="00C23770" w:rsidRPr="00B600FE">
              <w:rPr>
                <w:color w:val="000000"/>
                <w:szCs w:val="22"/>
              </w:rPr>
              <w:t xml:space="preserve"> considérés par le Co</w:t>
            </w:r>
            <w:r w:rsidR="00DB3784" w:rsidRPr="00B600FE">
              <w:rPr>
                <w:color w:val="000000"/>
                <w:szCs w:val="22"/>
              </w:rPr>
              <w:t>mité</w:t>
            </w:r>
            <w:r w:rsidR="00C23770" w:rsidRPr="00B600FE">
              <w:rPr>
                <w:color w:val="000000"/>
                <w:szCs w:val="22"/>
              </w:rPr>
              <w:t xml:space="preserve"> comme trop optimistes, </w:t>
            </w:r>
            <w:r w:rsidR="00DB3784" w:rsidRPr="00B600FE">
              <w:rPr>
                <w:color w:val="000000"/>
                <w:szCs w:val="22"/>
              </w:rPr>
              <w:t>étant donné</w:t>
            </w:r>
            <w:r w:rsidR="00C23770" w:rsidRPr="00B600FE">
              <w:rPr>
                <w:color w:val="000000"/>
                <w:szCs w:val="22"/>
              </w:rPr>
              <w:t xml:space="preserve"> que</w:t>
            </w:r>
            <w:r w:rsidR="00DB3784" w:rsidRPr="00B600FE">
              <w:rPr>
                <w:color w:val="000000"/>
                <w:szCs w:val="22"/>
              </w:rPr>
              <w:t xml:space="preserve"> </w:t>
            </w:r>
            <w:r w:rsidR="00DB3784" w:rsidRPr="00B600FE">
              <w:rPr>
                <w:color w:val="000000"/>
              </w:rPr>
              <w:t>d'après des renseignements rendus publics</w:t>
            </w:r>
            <w:r w:rsidR="00C23770" w:rsidRPr="00B600FE">
              <w:rPr>
                <w:color w:val="000000"/>
                <w:szCs w:val="22"/>
              </w:rPr>
              <w:t xml:space="preserve">, le satellite MEASAT-3 a été lancé en 2006 et a </w:t>
            </w:r>
            <w:r w:rsidR="00DB3784" w:rsidRPr="00B600FE">
              <w:rPr>
                <w:color w:val="000000"/>
              </w:rPr>
              <w:t xml:space="preserve">subi </w:t>
            </w:r>
            <w:r w:rsidR="00B757A0" w:rsidRPr="00B600FE">
              <w:rPr>
                <w:color w:val="000000"/>
                <w:szCs w:val="22"/>
              </w:rPr>
              <w:t>dernièrement</w:t>
            </w:r>
            <w:r w:rsidR="00DB3784" w:rsidRPr="00B600FE">
              <w:rPr>
                <w:color w:val="000000"/>
                <w:szCs w:val="22"/>
              </w:rPr>
              <w:t xml:space="preserve"> </w:t>
            </w:r>
            <w:r w:rsidR="00DB3784" w:rsidRPr="00B600FE">
              <w:rPr>
                <w:color w:val="000000"/>
              </w:rPr>
              <w:t>une défaillance</w:t>
            </w:r>
            <w:r w:rsidR="002A6C9C" w:rsidRPr="00B600FE">
              <w:rPr>
                <w:color w:val="000000"/>
              </w:rPr>
              <w:t xml:space="preserve"> </w:t>
            </w:r>
            <w:r w:rsidR="00C23770" w:rsidRPr="00B600FE">
              <w:rPr>
                <w:color w:val="000000"/>
                <w:szCs w:val="22"/>
              </w:rPr>
              <w:t>du propulseur</w:t>
            </w:r>
            <w:r w:rsidR="002A6C9C" w:rsidRPr="00B600FE">
              <w:rPr>
                <w:color w:val="000000"/>
                <w:szCs w:val="22"/>
              </w:rPr>
              <w:t>;</w:t>
            </w:r>
          </w:p>
          <w:p w14:paraId="5283724A" w14:textId="5B652B7A" w:rsidR="00DB3784"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00B757A0" w:rsidRPr="00B600FE">
              <w:rPr>
                <w:color w:val="000000"/>
                <w:szCs w:val="22"/>
              </w:rPr>
              <w:tab/>
            </w:r>
            <w:r w:rsidR="003A4BC8" w:rsidRPr="00B600FE">
              <w:rPr>
                <w:color w:val="000000"/>
                <w:szCs w:val="22"/>
              </w:rPr>
              <w:t>que</w:t>
            </w:r>
            <w:r w:rsidR="00B757A0" w:rsidRPr="00B600FE">
              <w:rPr>
                <w:color w:val="000000"/>
                <w:szCs w:val="22"/>
              </w:rPr>
              <w:t xml:space="preserve"> </w:t>
            </w:r>
            <w:r w:rsidR="00DB3784" w:rsidRPr="00B600FE">
              <w:rPr>
                <w:color w:val="000000"/>
                <w:szCs w:val="22"/>
              </w:rPr>
              <w:t>l'</w:t>
            </w:r>
            <w:r w:rsidR="003A4BC8" w:rsidRPr="00B600FE">
              <w:rPr>
                <w:color w:val="000000"/>
                <w:szCs w:val="22"/>
              </w:rPr>
              <w:t>A</w:t>
            </w:r>
            <w:r w:rsidR="00DB3784" w:rsidRPr="00B600FE">
              <w:rPr>
                <w:color w:val="000000"/>
                <w:szCs w:val="22"/>
              </w:rPr>
              <w:t>dministration de la Malaisie a connu des difficultés, en tant que pays en développement, à mener de front deux programmes de satellites</w:t>
            </w:r>
            <w:r w:rsidR="002A6C9C" w:rsidRPr="00B600FE">
              <w:rPr>
                <w:color w:val="000000"/>
                <w:szCs w:val="22"/>
              </w:rPr>
              <w:t>;</w:t>
            </w:r>
          </w:p>
          <w:p w14:paraId="562C3438" w14:textId="35BDD5AB" w:rsidR="00060360" w:rsidRPr="00B600FE" w:rsidRDefault="00B757A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t>q</w:t>
            </w:r>
            <w:r w:rsidR="003A4BC8" w:rsidRPr="00B600FE">
              <w:rPr>
                <w:color w:val="000000"/>
                <w:szCs w:val="22"/>
              </w:rPr>
              <w:t xml:space="preserve">ue </w:t>
            </w:r>
            <w:r w:rsidR="00DB3784" w:rsidRPr="00B600FE">
              <w:rPr>
                <w:color w:val="000000"/>
                <w:szCs w:val="22"/>
              </w:rPr>
              <w:t>l'intérêt de</w:t>
            </w:r>
            <w:r w:rsidR="004E75E2" w:rsidRPr="00B600FE">
              <w:rPr>
                <w:color w:val="000000"/>
                <w:szCs w:val="22"/>
              </w:rPr>
              <w:t xml:space="preserve"> la mise en œuvre d</w:t>
            </w:r>
            <w:r w:rsidR="002A6C9C" w:rsidRPr="00B600FE">
              <w:rPr>
                <w:color w:val="000000"/>
                <w:szCs w:val="22"/>
              </w:rPr>
              <w:t>'</w:t>
            </w:r>
            <w:r w:rsidR="00DB3784" w:rsidRPr="00B600FE">
              <w:rPr>
                <w:color w:val="000000"/>
                <w:szCs w:val="22"/>
              </w:rPr>
              <w:t xml:space="preserve">un futur programme de satellites et </w:t>
            </w:r>
            <w:r w:rsidR="004E75E2" w:rsidRPr="00B600FE">
              <w:rPr>
                <w:color w:val="000000"/>
                <w:szCs w:val="22"/>
              </w:rPr>
              <w:t>d</w:t>
            </w:r>
            <w:r w:rsidR="002A6C9C" w:rsidRPr="00B600FE">
              <w:rPr>
                <w:color w:val="000000"/>
                <w:szCs w:val="22"/>
              </w:rPr>
              <w:t>'</w:t>
            </w:r>
            <w:r w:rsidR="00DB3784" w:rsidRPr="00B600FE">
              <w:rPr>
                <w:color w:val="000000"/>
                <w:szCs w:val="22"/>
              </w:rPr>
              <w:t>un accès continu au spectre à 148°</w:t>
            </w:r>
            <w:r w:rsidRPr="00B600FE">
              <w:rPr>
                <w:color w:val="000000"/>
                <w:szCs w:val="22"/>
              </w:rPr>
              <w:t> </w:t>
            </w:r>
            <w:r w:rsidR="00DB3784" w:rsidRPr="00B600FE">
              <w:rPr>
                <w:color w:val="000000"/>
                <w:szCs w:val="22"/>
              </w:rPr>
              <w:t>E restait à démontrer</w:t>
            </w:r>
            <w:r w:rsidR="002A6C9C" w:rsidRPr="00B600FE">
              <w:rPr>
                <w:color w:val="000000"/>
                <w:szCs w:val="22"/>
              </w:rPr>
              <w:t>;</w:t>
            </w:r>
          </w:p>
          <w:p w14:paraId="78DC2ADF" w14:textId="71E4C733"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3A4BC8" w:rsidRPr="00B600FE">
              <w:rPr>
                <w:color w:val="000000"/>
                <w:szCs w:val="22"/>
              </w:rPr>
              <w:t xml:space="preserve">que </w:t>
            </w:r>
            <w:r w:rsidR="004E75E2" w:rsidRPr="00B600FE">
              <w:rPr>
                <w:color w:val="000000"/>
                <w:szCs w:val="22"/>
              </w:rPr>
              <w:t>l'utilisation d'un satellite MEASAT-3 vieillissant à 148°</w:t>
            </w:r>
            <w:r w:rsidR="00B757A0" w:rsidRPr="00B600FE">
              <w:rPr>
                <w:color w:val="000000"/>
                <w:szCs w:val="22"/>
              </w:rPr>
              <w:t> </w:t>
            </w:r>
            <w:r w:rsidR="004E75E2" w:rsidRPr="00B600FE">
              <w:rPr>
                <w:color w:val="000000"/>
                <w:szCs w:val="22"/>
              </w:rPr>
              <w:t>E</w:t>
            </w:r>
            <w:r w:rsidR="00B36104" w:rsidRPr="00B600FE">
              <w:rPr>
                <w:color w:val="000000"/>
                <w:szCs w:val="22"/>
              </w:rPr>
              <w:t>,</w:t>
            </w:r>
            <w:r w:rsidR="004E75E2" w:rsidRPr="00B600FE">
              <w:rPr>
                <w:color w:val="000000"/>
                <w:szCs w:val="22"/>
              </w:rPr>
              <w:t xml:space="preserve"> sans</w:t>
            </w:r>
            <w:r w:rsidR="002A6C9C" w:rsidRPr="00B600FE">
              <w:rPr>
                <w:color w:val="000000"/>
                <w:szCs w:val="22"/>
              </w:rPr>
              <w:t xml:space="preserve"> </w:t>
            </w:r>
            <w:r w:rsidR="004E75E2" w:rsidRPr="00B600FE">
              <w:rPr>
                <w:color w:val="000000"/>
                <w:szCs w:val="22"/>
              </w:rPr>
              <w:t>projets concrets visant à fournir des services ou à remplacer le satellite</w:t>
            </w:r>
            <w:r w:rsidR="00B36104" w:rsidRPr="00B600FE">
              <w:rPr>
                <w:color w:val="000000"/>
                <w:szCs w:val="22"/>
              </w:rPr>
              <w:t>,</w:t>
            </w:r>
            <w:r w:rsidR="002A6C9C" w:rsidRPr="00B600FE">
              <w:rPr>
                <w:color w:val="000000"/>
                <w:szCs w:val="22"/>
              </w:rPr>
              <w:t xml:space="preserve"> </w:t>
            </w:r>
            <w:r w:rsidR="004E75E2" w:rsidRPr="00B600FE">
              <w:rPr>
                <w:color w:val="000000"/>
                <w:szCs w:val="22"/>
              </w:rPr>
              <w:t xml:space="preserve">serait </w:t>
            </w:r>
            <w:r w:rsidR="00B36104" w:rsidRPr="00B600FE">
              <w:rPr>
                <w:color w:val="000000"/>
                <w:szCs w:val="22"/>
              </w:rPr>
              <w:t>perçue</w:t>
            </w:r>
            <w:r w:rsidR="004E75E2" w:rsidRPr="00B600FE">
              <w:rPr>
                <w:color w:val="000000"/>
                <w:szCs w:val="22"/>
              </w:rPr>
              <w:t xml:space="preserve"> comme une réservation de spectre et irait à </w:t>
            </w:r>
            <w:r w:rsidR="004E75E2" w:rsidRPr="00B600FE">
              <w:rPr>
                <w:color w:val="000000"/>
                <w:szCs w:val="22"/>
              </w:rPr>
              <w:lastRenderedPageBreak/>
              <w:t>l</w:t>
            </w:r>
            <w:r w:rsidR="002A6C9C" w:rsidRPr="00B600FE">
              <w:rPr>
                <w:color w:val="000000"/>
                <w:szCs w:val="22"/>
              </w:rPr>
              <w:t>'</w:t>
            </w:r>
            <w:r w:rsidR="004E75E2" w:rsidRPr="00B600FE">
              <w:rPr>
                <w:color w:val="000000"/>
                <w:szCs w:val="22"/>
              </w:rPr>
              <w:t>encontre du principe</w:t>
            </w:r>
            <w:r w:rsidR="002A6C9C" w:rsidRPr="00B600FE">
              <w:rPr>
                <w:color w:val="000000"/>
                <w:szCs w:val="22"/>
              </w:rPr>
              <w:t xml:space="preserve"> </w:t>
            </w:r>
            <w:r w:rsidR="004E75E2" w:rsidRPr="00B600FE">
              <w:rPr>
                <w:color w:val="000000"/>
                <w:szCs w:val="22"/>
              </w:rPr>
              <w:t>de l</w:t>
            </w:r>
            <w:r w:rsidR="002A6C9C" w:rsidRPr="00B600FE">
              <w:rPr>
                <w:color w:val="000000"/>
                <w:szCs w:val="22"/>
              </w:rPr>
              <w:t>'</w:t>
            </w:r>
            <w:r w:rsidR="004E75E2" w:rsidRPr="00B600FE">
              <w:rPr>
                <w:color w:val="000000"/>
                <w:szCs w:val="22"/>
              </w:rPr>
              <w:t>utilisation rationnelle et efficace des ressources spectr</w:t>
            </w:r>
            <w:r w:rsidR="00046CD7" w:rsidRPr="00B600FE">
              <w:rPr>
                <w:color w:val="000000"/>
                <w:szCs w:val="22"/>
              </w:rPr>
              <w:t>e</w:t>
            </w:r>
            <w:r w:rsidR="004E75E2" w:rsidRPr="00B600FE">
              <w:rPr>
                <w:color w:val="000000"/>
                <w:szCs w:val="22"/>
              </w:rPr>
              <w:t>/orbites.</w:t>
            </w:r>
          </w:p>
          <w:p w14:paraId="3165A7BF" w14:textId="6EC4E4CF" w:rsidR="00060360"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Le Comité a conclu</w:t>
            </w:r>
            <w:r w:rsidR="002A6C9C" w:rsidRPr="00B600FE">
              <w:rPr>
                <w:color w:val="000000"/>
                <w:szCs w:val="22"/>
              </w:rPr>
              <w:t xml:space="preserve"> </w:t>
            </w:r>
            <w:r w:rsidRPr="00B600FE">
              <w:rPr>
                <w:color w:val="000000"/>
                <w:szCs w:val="22"/>
              </w:rPr>
              <w:t>que les informations étaient insuffisantes à ce stade pour déterminer si la situation remplit toutes les conditions requises pour pouvoir être considérée comme un cas de force majeure.</w:t>
            </w:r>
            <w:r w:rsidR="005E0965">
              <w:rPr>
                <w:color w:val="000000"/>
                <w:szCs w:val="22"/>
              </w:rPr>
              <w:t xml:space="preserve"> </w:t>
            </w:r>
            <w:r w:rsidR="00306593" w:rsidRPr="00B600FE">
              <w:rPr>
                <w:color w:val="000000"/>
                <w:szCs w:val="22"/>
              </w:rPr>
              <w:t>En conséquence, le Comité a</w:t>
            </w:r>
            <w:r w:rsidR="002A6C9C" w:rsidRPr="00B600FE">
              <w:rPr>
                <w:color w:val="000000"/>
                <w:szCs w:val="22"/>
              </w:rPr>
              <w:t xml:space="preserve"> </w:t>
            </w:r>
            <w:r w:rsidR="00306593" w:rsidRPr="00B600FE">
              <w:rPr>
                <w:color w:val="000000"/>
                <w:szCs w:val="22"/>
              </w:rPr>
              <w:t>chargé le Bureau d'inviter l'Administration de la Malaisie à fournir</w:t>
            </w:r>
            <w:r w:rsidR="00B36104" w:rsidRPr="00B600FE">
              <w:rPr>
                <w:color w:val="000000"/>
                <w:szCs w:val="22"/>
              </w:rPr>
              <w:t>,</w:t>
            </w:r>
            <w:r w:rsidR="002A6C9C" w:rsidRPr="00B600FE">
              <w:rPr>
                <w:color w:val="000000"/>
                <w:szCs w:val="22"/>
              </w:rPr>
              <w:t xml:space="preserve"> </w:t>
            </w:r>
            <w:r w:rsidR="003A4BC8" w:rsidRPr="00B600FE">
              <w:rPr>
                <w:color w:val="000000"/>
                <w:szCs w:val="22"/>
              </w:rPr>
              <w:t>au sujet du</w:t>
            </w:r>
            <w:r w:rsidR="00306593" w:rsidRPr="00B600FE">
              <w:rPr>
                <w:color w:val="000000"/>
                <w:szCs w:val="22"/>
              </w:rPr>
              <w:t xml:space="preserve"> calendrier de la campagne de lancement, </w:t>
            </w:r>
            <w:r w:rsidR="003A4BC8" w:rsidRPr="00B600FE">
              <w:rPr>
                <w:color w:val="000000"/>
                <w:szCs w:val="22"/>
              </w:rPr>
              <w:t xml:space="preserve">de </w:t>
            </w:r>
            <w:r w:rsidR="00306593" w:rsidRPr="00B600FE">
              <w:rPr>
                <w:color w:val="000000"/>
                <w:szCs w:val="22"/>
              </w:rPr>
              <w:t>l'état de préparation des</w:t>
            </w:r>
            <w:r w:rsidR="00306593" w:rsidRPr="00B600FE">
              <w:rPr>
                <w:color w:val="000000"/>
              </w:rPr>
              <w:t xml:space="preserve"> satellites à embarquer</w:t>
            </w:r>
            <w:r w:rsidR="002A6C9C" w:rsidRPr="00B600FE">
              <w:rPr>
                <w:color w:val="000000"/>
              </w:rPr>
              <w:t xml:space="preserve"> </w:t>
            </w:r>
            <w:r w:rsidR="00306593" w:rsidRPr="00B600FE">
              <w:rPr>
                <w:color w:val="000000"/>
              </w:rPr>
              <w:t xml:space="preserve">sur le même lanceur </w:t>
            </w:r>
            <w:r w:rsidR="00306593" w:rsidRPr="00B600FE">
              <w:rPr>
                <w:color w:val="000000"/>
                <w:szCs w:val="22"/>
              </w:rPr>
              <w:t xml:space="preserve">et </w:t>
            </w:r>
            <w:r w:rsidR="003A4BC8" w:rsidRPr="00B600FE">
              <w:rPr>
                <w:color w:val="000000"/>
                <w:szCs w:val="22"/>
              </w:rPr>
              <w:t>de</w:t>
            </w:r>
            <w:r w:rsidR="00306593" w:rsidRPr="00B600FE">
              <w:rPr>
                <w:color w:val="000000"/>
                <w:szCs w:val="22"/>
              </w:rPr>
              <w:t xml:space="preserve"> l</w:t>
            </w:r>
            <w:r w:rsidR="002A6C9C" w:rsidRPr="00B600FE">
              <w:rPr>
                <w:color w:val="000000"/>
                <w:szCs w:val="22"/>
              </w:rPr>
              <w:t>'</w:t>
            </w:r>
            <w:r w:rsidR="00306593" w:rsidRPr="00B600FE">
              <w:rPr>
                <w:color w:val="000000"/>
                <w:szCs w:val="22"/>
              </w:rPr>
              <w:t xml:space="preserve">état </w:t>
            </w:r>
            <w:r w:rsidR="003A4BC8" w:rsidRPr="00B600FE">
              <w:rPr>
                <w:color w:val="000000"/>
                <w:szCs w:val="22"/>
              </w:rPr>
              <w:t xml:space="preserve">de fonctionnement </w:t>
            </w:r>
            <w:r w:rsidR="00306593" w:rsidRPr="00B600FE">
              <w:rPr>
                <w:color w:val="000000"/>
                <w:szCs w:val="22"/>
              </w:rPr>
              <w:t>du satellite MEASAT-3</w:t>
            </w:r>
            <w:r w:rsidR="00B36104" w:rsidRPr="00B600FE">
              <w:rPr>
                <w:color w:val="000000"/>
                <w:szCs w:val="22"/>
              </w:rPr>
              <w:t>,</w:t>
            </w:r>
            <w:r w:rsidR="00306593" w:rsidRPr="00B600FE">
              <w:rPr>
                <w:color w:val="000000"/>
                <w:szCs w:val="22"/>
              </w:rPr>
              <w:t xml:space="preserve"> </w:t>
            </w:r>
            <w:r w:rsidR="003A4BC8" w:rsidRPr="00B600FE">
              <w:rPr>
                <w:color w:val="000000"/>
                <w:szCs w:val="22"/>
              </w:rPr>
              <w:t xml:space="preserve">des renseignements additionnels </w:t>
            </w:r>
            <w:r w:rsidR="00306593" w:rsidRPr="00B600FE">
              <w:rPr>
                <w:color w:val="000000"/>
                <w:szCs w:val="22"/>
              </w:rPr>
              <w:t>suffisamment détaillé</w:t>
            </w:r>
            <w:r w:rsidR="003A4BC8" w:rsidRPr="00B600FE">
              <w:rPr>
                <w:color w:val="000000"/>
                <w:szCs w:val="22"/>
              </w:rPr>
              <w:t>s</w:t>
            </w:r>
            <w:r w:rsidR="00306593" w:rsidRPr="00B600FE">
              <w:rPr>
                <w:color w:val="000000"/>
                <w:szCs w:val="22"/>
              </w:rPr>
              <w:t xml:space="preserve"> pour démontrer que le délai réglementaire aurait pu être respecté</w:t>
            </w:r>
            <w:r w:rsidR="003A4BC8" w:rsidRPr="00B600FE">
              <w:rPr>
                <w:color w:val="000000"/>
                <w:szCs w:val="22"/>
              </w:rPr>
              <w:t xml:space="preserve"> si </w:t>
            </w:r>
            <w:r w:rsidR="005E0965">
              <w:rPr>
                <w:color w:val="000000"/>
                <w:szCs w:val="22"/>
              </w:rPr>
              <w:t>la pandémie de </w:t>
            </w:r>
            <w:r w:rsidR="00306593" w:rsidRPr="00B600FE">
              <w:rPr>
                <w:color w:val="000000"/>
                <w:szCs w:val="22"/>
              </w:rPr>
              <w:t>COVID-19</w:t>
            </w:r>
            <w:r w:rsidR="003A4BC8" w:rsidRPr="00B600FE">
              <w:rPr>
                <w:color w:val="000000"/>
                <w:szCs w:val="22"/>
              </w:rPr>
              <w:t xml:space="preserve"> n'avait pas eu lieu.</w:t>
            </w:r>
            <w:r w:rsidR="003A4BC8" w:rsidRPr="00B600FE">
              <w:t xml:space="preserve"> </w:t>
            </w:r>
            <w:r w:rsidR="003A4BC8" w:rsidRPr="00B600FE">
              <w:rPr>
                <w:color w:val="000000"/>
                <w:szCs w:val="22"/>
              </w:rPr>
              <w:t>Des renseignements additionnels</w:t>
            </w:r>
            <w:r w:rsidR="002A6C9C" w:rsidRPr="00B600FE">
              <w:rPr>
                <w:color w:val="000000"/>
                <w:szCs w:val="22"/>
              </w:rPr>
              <w:t xml:space="preserve"> </w:t>
            </w:r>
            <w:r w:rsidR="003A4BC8" w:rsidRPr="00B600FE">
              <w:rPr>
                <w:color w:val="000000"/>
                <w:szCs w:val="22"/>
              </w:rPr>
              <w:t>sur les projets visant à</w:t>
            </w:r>
            <w:r w:rsidR="002A6C9C" w:rsidRPr="00B600FE">
              <w:rPr>
                <w:color w:val="000000"/>
                <w:szCs w:val="22"/>
              </w:rPr>
              <w:t xml:space="preserve"> </w:t>
            </w:r>
            <w:r w:rsidR="003A4BC8" w:rsidRPr="00B600FE">
              <w:rPr>
                <w:color w:val="000000"/>
                <w:szCs w:val="22"/>
              </w:rPr>
              <w:t>fournir des services</w:t>
            </w:r>
            <w:r w:rsidR="00802707" w:rsidRPr="00B600FE">
              <w:rPr>
                <w:color w:val="000000"/>
                <w:szCs w:val="22"/>
              </w:rPr>
              <w:t xml:space="preserve"> au moment</w:t>
            </w:r>
            <w:r w:rsidR="003A4BC8" w:rsidRPr="00B600FE">
              <w:rPr>
                <w:color w:val="000000"/>
                <w:szCs w:val="22"/>
              </w:rPr>
              <w:t xml:space="preserve"> du </w:t>
            </w:r>
            <w:r w:rsidR="003A4BC8" w:rsidRPr="00B600FE">
              <w:rPr>
                <w:color w:val="000000"/>
              </w:rPr>
              <w:t>repositionnement</w:t>
            </w:r>
            <w:r w:rsidR="003A4BC8" w:rsidRPr="00B600FE">
              <w:rPr>
                <w:color w:val="000000"/>
                <w:szCs w:val="22"/>
              </w:rPr>
              <w:t xml:space="preserve"> à 148°</w:t>
            </w:r>
            <w:r w:rsidR="00B757A0" w:rsidRPr="00B600FE">
              <w:rPr>
                <w:color w:val="000000"/>
                <w:szCs w:val="22"/>
              </w:rPr>
              <w:t> </w:t>
            </w:r>
            <w:r w:rsidR="003A4BC8" w:rsidRPr="00B600FE">
              <w:rPr>
                <w:color w:val="000000"/>
                <w:szCs w:val="22"/>
              </w:rPr>
              <w:t>E</w:t>
            </w:r>
            <w:r w:rsidR="002A6C9C" w:rsidRPr="00B600FE">
              <w:rPr>
                <w:color w:val="000000"/>
                <w:szCs w:val="22"/>
              </w:rPr>
              <w:t xml:space="preserve"> </w:t>
            </w:r>
            <w:r w:rsidR="003A4BC8" w:rsidRPr="00B600FE">
              <w:rPr>
                <w:color w:val="000000"/>
                <w:szCs w:val="22"/>
              </w:rPr>
              <w:t xml:space="preserve">ainsi que des </w:t>
            </w:r>
            <w:r w:rsidR="003A4BC8" w:rsidRPr="00B600FE">
              <w:rPr>
                <w:color w:val="000000"/>
              </w:rPr>
              <w:t>explications détaillées</w:t>
            </w:r>
            <w:r w:rsidR="002A6C9C" w:rsidRPr="00B600FE">
              <w:rPr>
                <w:color w:val="000000"/>
              </w:rPr>
              <w:t xml:space="preserve"> </w:t>
            </w:r>
            <w:r w:rsidR="003A4BC8" w:rsidRPr="00B600FE">
              <w:rPr>
                <w:color w:val="000000"/>
                <w:szCs w:val="22"/>
              </w:rPr>
              <w:t xml:space="preserve">et actualisées </w:t>
            </w:r>
            <w:r w:rsidR="003A4BC8" w:rsidRPr="00B600FE">
              <w:rPr>
                <w:color w:val="000000"/>
              </w:rPr>
              <w:t xml:space="preserve">quant à </w:t>
            </w:r>
            <w:r w:rsidR="003A4BC8" w:rsidRPr="00B600FE">
              <w:rPr>
                <w:color w:val="000000"/>
                <w:szCs w:val="22"/>
              </w:rPr>
              <w:t>la durée de la prorogation demandée devraient également être communiqués</w:t>
            </w:r>
            <w:r w:rsidR="00B757A0" w:rsidRPr="00B600FE">
              <w:rPr>
                <w:color w:val="000000"/>
                <w:szCs w:val="22"/>
              </w:rPr>
              <w:t>.</w:t>
            </w:r>
          </w:p>
          <w:p w14:paraId="36B2AB74" w14:textId="5525B4CA" w:rsidR="00822398" w:rsidRPr="00B600FE" w:rsidRDefault="00060360" w:rsidP="005014D9">
            <w:pPr>
              <w:pStyle w:val="Tabletext"/>
              <w:keepNext/>
              <w:keepLines/>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B600FE">
              <w:rPr>
                <w:color w:val="000000"/>
                <w:szCs w:val="22"/>
              </w:rPr>
              <w:t>En outre, le Comité a chargé le Bureau de maintenir les assignations de fréquence d</w:t>
            </w:r>
            <w:r w:rsidR="003A4BC8" w:rsidRPr="00B600FE">
              <w:rPr>
                <w:color w:val="000000"/>
                <w:szCs w:val="22"/>
              </w:rPr>
              <w:t>es</w:t>
            </w:r>
            <w:r w:rsidRPr="00B600FE">
              <w:rPr>
                <w:color w:val="000000"/>
                <w:szCs w:val="22"/>
              </w:rPr>
              <w:t xml:space="preserve"> réseau</w:t>
            </w:r>
            <w:r w:rsidR="003A4BC8" w:rsidRPr="00B600FE">
              <w:rPr>
                <w:color w:val="000000"/>
                <w:szCs w:val="22"/>
              </w:rPr>
              <w:t>x</w:t>
            </w:r>
            <w:r w:rsidRPr="00B600FE">
              <w:rPr>
                <w:color w:val="000000"/>
                <w:szCs w:val="22"/>
              </w:rPr>
              <w:t xml:space="preserve"> à satellite </w:t>
            </w:r>
            <w:r w:rsidR="003A4BC8" w:rsidRPr="00B600FE">
              <w:rPr>
                <w:szCs w:val="22"/>
              </w:rPr>
              <w:t>MEASAT-2, MEASAT-148E, MEASAT-2A et</w:t>
            </w:r>
            <w:r w:rsidR="002A6C9C" w:rsidRPr="00B600FE">
              <w:rPr>
                <w:szCs w:val="22"/>
              </w:rPr>
              <w:t xml:space="preserve"> </w:t>
            </w:r>
            <w:r w:rsidR="003A4BC8" w:rsidRPr="00B600FE">
              <w:rPr>
                <w:szCs w:val="22"/>
              </w:rPr>
              <w:t xml:space="preserve">MEASAT-2 </w:t>
            </w:r>
            <w:r w:rsidRPr="00B600FE">
              <w:rPr>
                <w:color w:val="000000"/>
                <w:szCs w:val="22"/>
              </w:rPr>
              <w:t>dans le Fichier de référence international des fréquences jusqu'à la fin de la 8</w:t>
            </w:r>
            <w:r w:rsidR="003A4BC8" w:rsidRPr="00B600FE">
              <w:rPr>
                <w:color w:val="000000"/>
                <w:szCs w:val="22"/>
              </w:rPr>
              <w:t>8</w:t>
            </w:r>
            <w:r w:rsidRPr="00B600FE">
              <w:rPr>
                <w:color w:val="000000"/>
                <w:szCs w:val="22"/>
              </w:rPr>
              <w:t>ème réunion du Comité.</w:t>
            </w:r>
          </w:p>
        </w:tc>
        <w:tc>
          <w:tcPr>
            <w:tcW w:w="3395" w:type="dxa"/>
            <w:hideMark/>
          </w:tcPr>
          <w:p w14:paraId="7F684C71"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à l'administration concernée.</w:t>
            </w:r>
          </w:p>
          <w:p w14:paraId="10C6571B" w14:textId="2A7AFCDC" w:rsidR="004D4EE2" w:rsidRPr="00B600FE" w:rsidRDefault="00206500"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w:t>
            </w:r>
            <w:r w:rsidR="004D4EE2" w:rsidRPr="00B600FE">
              <w:rPr>
                <w:szCs w:val="22"/>
              </w:rPr>
              <w:t>Bureau</w:t>
            </w:r>
            <w:r w:rsidR="002A6C9C" w:rsidRPr="00B600FE">
              <w:rPr>
                <w:szCs w:val="22"/>
              </w:rPr>
              <w:t xml:space="preserve"> </w:t>
            </w:r>
            <w:r w:rsidR="004D4EE2" w:rsidRPr="00B600FE">
              <w:rPr>
                <w:szCs w:val="22"/>
              </w:rPr>
              <w:t>invite</w:t>
            </w:r>
            <w:r w:rsidRPr="00B600FE">
              <w:rPr>
                <w:szCs w:val="22"/>
              </w:rPr>
              <w:t>ra</w:t>
            </w:r>
            <w:r w:rsidR="004D4EE2" w:rsidRPr="00B600FE">
              <w:rPr>
                <w:szCs w:val="22"/>
              </w:rPr>
              <w:t xml:space="preserve"> </w:t>
            </w:r>
            <w:r w:rsidRPr="00B600FE">
              <w:rPr>
                <w:color w:val="000000"/>
                <w:szCs w:val="22"/>
              </w:rPr>
              <w:t>l'Administration de la Malaisie à fournir, au sujet du calendrier de la campagne de lancement, de l'état de préparation des</w:t>
            </w:r>
            <w:r w:rsidRPr="00B600FE">
              <w:rPr>
                <w:color w:val="000000"/>
              </w:rPr>
              <w:t xml:space="preserve"> satellites à embarquer</w:t>
            </w:r>
            <w:r w:rsidR="002A6C9C" w:rsidRPr="00B600FE">
              <w:rPr>
                <w:color w:val="000000"/>
              </w:rPr>
              <w:t xml:space="preserve"> </w:t>
            </w:r>
            <w:r w:rsidRPr="00B600FE">
              <w:rPr>
                <w:color w:val="000000"/>
              </w:rPr>
              <w:t xml:space="preserve">sur le même lanceur </w:t>
            </w:r>
            <w:r w:rsidRPr="00B600FE">
              <w:rPr>
                <w:color w:val="000000"/>
                <w:szCs w:val="22"/>
              </w:rPr>
              <w:t>et de l</w:t>
            </w:r>
            <w:r w:rsidR="002A6C9C" w:rsidRPr="00B600FE">
              <w:rPr>
                <w:color w:val="000000"/>
                <w:szCs w:val="22"/>
              </w:rPr>
              <w:t>'</w:t>
            </w:r>
            <w:r w:rsidRPr="00B600FE">
              <w:rPr>
                <w:color w:val="000000"/>
                <w:szCs w:val="22"/>
              </w:rPr>
              <w:t>état de fonctionnement du satellite MEASAT-3</w:t>
            </w:r>
            <w:r w:rsidR="00DE41DB" w:rsidRPr="00B600FE">
              <w:rPr>
                <w:color w:val="000000"/>
                <w:szCs w:val="22"/>
              </w:rPr>
              <w:t>,</w:t>
            </w:r>
            <w:r w:rsidR="002A6C9C" w:rsidRPr="00B600FE">
              <w:rPr>
                <w:color w:val="000000"/>
                <w:szCs w:val="22"/>
              </w:rPr>
              <w:t xml:space="preserve"> </w:t>
            </w:r>
            <w:r w:rsidRPr="00B600FE">
              <w:rPr>
                <w:color w:val="000000"/>
                <w:szCs w:val="22"/>
              </w:rPr>
              <w:t xml:space="preserve">des renseignements additionnels suffisamment détaillés pour démontrer que le délai réglementaire aurait pu </w:t>
            </w:r>
            <w:r w:rsidR="00D831EC">
              <w:rPr>
                <w:color w:val="000000"/>
                <w:szCs w:val="22"/>
              </w:rPr>
              <w:t>être respecté si la pandémie de </w:t>
            </w:r>
            <w:r w:rsidRPr="00B600FE">
              <w:rPr>
                <w:color w:val="000000"/>
                <w:szCs w:val="22"/>
              </w:rPr>
              <w:t>COVID</w:t>
            </w:r>
            <w:r w:rsidR="00B757A0" w:rsidRPr="00B600FE">
              <w:rPr>
                <w:color w:val="000000"/>
                <w:szCs w:val="22"/>
              </w:rPr>
              <w:noBreakHyphen/>
            </w:r>
            <w:r w:rsidRPr="00B600FE">
              <w:rPr>
                <w:color w:val="000000"/>
                <w:szCs w:val="22"/>
              </w:rPr>
              <w:t>19 n'avait pas eu lieu.</w:t>
            </w:r>
            <w:r w:rsidRPr="00B600FE">
              <w:t xml:space="preserve"> </w:t>
            </w:r>
            <w:r w:rsidRPr="00B600FE">
              <w:rPr>
                <w:color w:val="000000"/>
                <w:szCs w:val="22"/>
              </w:rPr>
              <w:t>Des renseignements additionnels</w:t>
            </w:r>
            <w:r w:rsidR="002A6C9C" w:rsidRPr="00B600FE">
              <w:rPr>
                <w:color w:val="000000"/>
                <w:szCs w:val="22"/>
              </w:rPr>
              <w:t xml:space="preserve"> </w:t>
            </w:r>
            <w:r w:rsidRPr="00B600FE">
              <w:rPr>
                <w:color w:val="000000"/>
                <w:szCs w:val="22"/>
              </w:rPr>
              <w:t>sur les projets visant à</w:t>
            </w:r>
            <w:r w:rsidR="002A6C9C" w:rsidRPr="00B600FE">
              <w:rPr>
                <w:color w:val="000000"/>
                <w:szCs w:val="22"/>
              </w:rPr>
              <w:t xml:space="preserve"> </w:t>
            </w:r>
            <w:r w:rsidRPr="00B600FE">
              <w:rPr>
                <w:color w:val="000000"/>
                <w:szCs w:val="22"/>
              </w:rPr>
              <w:t xml:space="preserve">fournir des services </w:t>
            </w:r>
            <w:r w:rsidR="00DE41DB" w:rsidRPr="00B600FE">
              <w:rPr>
                <w:color w:val="000000"/>
                <w:szCs w:val="22"/>
              </w:rPr>
              <w:t xml:space="preserve">au moment </w:t>
            </w:r>
            <w:r w:rsidRPr="00B600FE">
              <w:rPr>
                <w:color w:val="000000"/>
                <w:szCs w:val="22"/>
              </w:rPr>
              <w:t xml:space="preserve">du </w:t>
            </w:r>
            <w:r w:rsidRPr="00B600FE">
              <w:rPr>
                <w:color w:val="000000"/>
              </w:rPr>
              <w:t>repositionnement</w:t>
            </w:r>
            <w:r w:rsidRPr="00B600FE">
              <w:rPr>
                <w:color w:val="000000"/>
                <w:szCs w:val="22"/>
              </w:rPr>
              <w:t xml:space="preserve"> à 148°</w:t>
            </w:r>
            <w:r w:rsidR="00B757A0" w:rsidRPr="00B600FE">
              <w:rPr>
                <w:color w:val="000000"/>
                <w:szCs w:val="22"/>
              </w:rPr>
              <w:t> </w:t>
            </w:r>
            <w:r w:rsidRPr="00B600FE">
              <w:rPr>
                <w:color w:val="000000"/>
                <w:szCs w:val="22"/>
              </w:rPr>
              <w:t>E</w:t>
            </w:r>
            <w:r w:rsidR="002A6C9C" w:rsidRPr="00B600FE">
              <w:rPr>
                <w:color w:val="000000"/>
                <w:szCs w:val="22"/>
              </w:rPr>
              <w:t xml:space="preserve"> </w:t>
            </w:r>
            <w:r w:rsidRPr="00B600FE">
              <w:rPr>
                <w:color w:val="000000"/>
                <w:szCs w:val="22"/>
              </w:rPr>
              <w:t xml:space="preserve">ainsi que des </w:t>
            </w:r>
            <w:r w:rsidRPr="00B600FE">
              <w:rPr>
                <w:color w:val="000000"/>
              </w:rPr>
              <w:t>explications détaillées</w:t>
            </w:r>
            <w:r w:rsidR="002A6C9C" w:rsidRPr="00B600FE">
              <w:rPr>
                <w:color w:val="000000"/>
              </w:rPr>
              <w:t xml:space="preserve"> </w:t>
            </w:r>
            <w:r w:rsidRPr="00B600FE">
              <w:rPr>
                <w:color w:val="000000"/>
                <w:szCs w:val="22"/>
              </w:rPr>
              <w:t xml:space="preserve">et actualisées </w:t>
            </w:r>
            <w:r w:rsidRPr="00B600FE">
              <w:rPr>
                <w:color w:val="000000"/>
              </w:rPr>
              <w:t xml:space="preserve">quant à </w:t>
            </w:r>
            <w:r w:rsidRPr="00B600FE">
              <w:rPr>
                <w:color w:val="000000"/>
                <w:szCs w:val="22"/>
              </w:rPr>
              <w:t>la durée de la prorogation demandée devraient également être communiqués</w:t>
            </w:r>
            <w:r w:rsidR="002A6C9C" w:rsidRPr="00B600FE">
              <w:rPr>
                <w:color w:val="000000"/>
                <w:szCs w:val="22"/>
              </w:rPr>
              <w:t>.</w:t>
            </w:r>
          </w:p>
          <w:p w14:paraId="5F4979F1" w14:textId="1A06BFF2" w:rsidR="00822398" w:rsidRPr="00B600FE" w:rsidRDefault="00206500" w:rsidP="005014D9">
            <w:pPr>
              <w:pStyle w:val="Tabletext"/>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B600FE">
              <w:rPr>
                <w:szCs w:val="22"/>
              </w:rPr>
              <w:t xml:space="preserve">Le </w:t>
            </w:r>
            <w:r w:rsidR="004D4EE2" w:rsidRPr="00B600FE">
              <w:rPr>
                <w:szCs w:val="22"/>
              </w:rPr>
              <w:t>Bureau</w:t>
            </w:r>
            <w:r w:rsidRPr="00B600FE">
              <w:rPr>
                <w:color w:val="000000"/>
                <w:szCs w:val="22"/>
              </w:rPr>
              <w:t xml:space="preserve"> maintiendra les assignations de fréquence des réseaux à satellite </w:t>
            </w:r>
            <w:r w:rsidRPr="00B600FE">
              <w:rPr>
                <w:szCs w:val="22"/>
              </w:rPr>
              <w:t>MEASAT-2, MEASAT-148E, MEASAT-2A et</w:t>
            </w:r>
            <w:r w:rsidR="002A6C9C" w:rsidRPr="00B600FE">
              <w:rPr>
                <w:szCs w:val="22"/>
              </w:rPr>
              <w:t xml:space="preserve"> </w:t>
            </w:r>
            <w:r w:rsidRPr="00B600FE">
              <w:rPr>
                <w:szCs w:val="22"/>
              </w:rPr>
              <w:t xml:space="preserve">MEASAT-2 </w:t>
            </w:r>
            <w:r w:rsidRPr="00B600FE">
              <w:rPr>
                <w:color w:val="000000"/>
                <w:szCs w:val="22"/>
              </w:rPr>
              <w:t xml:space="preserve">dans le Fichier de référence international des </w:t>
            </w:r>
            <w:r w:rsidR="00D831EC">
              <w:rPr>
                <w:color w:val="000000"/>
                <w:szCs w:val="22"/>
              </w:rPr>
              <w:t>fréquences jusqu'à la fin de la </w:t>
            </w:r>
            <w:r w:rsidRPr="00B600FE">
              <w:rPr>
                <w:color w:val="000000"/>
                <w:szCs w:val="22"/>
              </w:rPr>
              <w:t>88ème réunion du Comité.</w:t>
            </w:r>
          </w:p>
        </w:tc>
      </w:tr>
      <w:tr w:rsidR="00822398" w:rsidRPr="00B600FE" w14:paraId="1A85F60F"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1B57532B" w14:textId="77777777" w:rsidR="00822398" w:rsidRPr="00B600FE" w:rsidRDefault="00822398" w:rsidP="005014D9">
            <w:pPr>
              <w:pStyle w:val="Tabletext"/>
              <w:jc w:val="center"/>
              <w:rPr>
                <w:szCs w:val="22"/>
              </w:rPr>
            </w:pPr>
            <w:r w:rsidRPr="00B600FE">
              <w:rPr>
                <w:szCs w:val="22"/>
              </w:rPr>
              <w:t>5.3</w:t>
            </w:r>
          </w:p>
        </w:tc>
        <w:tc>
          <w:tcPr>
            <w:tcW w:w="3827" w:type="dxa"/>
            <w:hideMark/>
          </w:tcPr>
          <w:p w14:paraId="001E5D09" w14:textId="6FC0CCD6" w:rsidR="00822398"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chypriote concernant le retrait de sa demande de prorogation du délai réglementaire applicable à la remise en service des assignations de fréquence du réseau à satellite KYPROS-APHRODITE-2</w:t>
            </w:r>
            <w:r w:rsidR="00822398" w:rsidRPr="00B600FE">
              <w:rPr>
                <w:szCs w:val="22"/>
              </w:rPr>
              <w:br/>
            </w:r>
            <w:hyperlink r:id="rId28" w:history="1">
              <w:r w:rsidRPr="00B600FE">
                <w:rPr>
                  <w:rStyle w:val="Hyperlink"/>
                </w:rPr>
                <w:t>RRB21-2/8</w:t>
              </w:r>
            </w:hyperlink>
          </w:p>
        </w:tc>
        <w:tc>
          <w:tcPr>
            <w:tcW w:w="6662" w:type="dxa"/>
            <w:hideMark/>
          </w:tcPr>
          <w:p w14:paraId="63279086" w14:textId="41989A62" w:rsidR="00822398" w:rsidRPr="00B600FE" w:rsidRDefault="002F2199"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pris note du retrait de la demande de l'Administration </w:t>
            </w:r>
            <w:r w:rsidRPr="00B600FE">
              <w:rPr>
                <w:szCs w:val="22"/>
              </w:rPr>
              <w:t>chypriote</w:t>
            </w:r>
            <w:r w:rsidR="002A6C9C" w:rsidRPr="00B600FE">
              <w:rPr>
                <w:color w:val="000000"/>
                <w:szCs w:val="22"/>
              </w:rPr>
              <w:t xml:space="preserve"> </w:t>
            </w:r>
            <w:r w:rsidRPr="00B600FE">
              <w:rPr>
                <w:color w:val="000000"/>
                <w:szCs w:val="22"/>
              </w:rPr>
              <w:t>concernant la</w:t>
            </w:r>
            <w:r w:rsidRPr="00B600FE">
              <w:rPr>
                <w:szCs w:val="22"/>
              </w:rPr>
              <w:t xml:space="preserve"> prorogation du d</w:t>
            </w:r>
            <w:r w:rsidR="002515EF">
              <w:rPr>
                <w:szCs w:val="22"/>
              </w:rPr>
              <w:t>élai réglementaire applicable à </w:t>
            </w:r>
            <w:r w:rsidRPr="00B600FE">
              <w:rPr>
                <w:szCs w:val="22"/>
              </w:rPr>
              <w:t xml:space="preserve">la remise en service des </w:t>
            </w:r>
            <w:r w:rsidRPr="00B600FE">
              <w:rPr>
                <w:color w:val="000000"/>
                <w:szCs w:val="22"/>
              </w:rPr>
              <w:t xml:space="preserve">assignations de </w:t>
            </w:r>
            <w:r w:rsidR="002515EF">
              <w:rPr>
                <w:color w:val="000000"/>
                <w:szCs w:val="22"/>
              </w:rPr>
              <w:t>fréquence du réseau à satellite </w:t>
            </w:r>
            <w:r w:rsidRPr="00B600FE">
              <w:rPr>
                <w:color w:val="000000"/>
                <w:szCs w:val="22"/>
              </w:rPr>
              <w:t>KYPROS-APHRODITE-2, telle qu</w:t>
            </w:r>
            <w:r w:rsidR="002A6C9C" w:rsidRPr="00B600FE">
              <w:rPr>
                <w:color w:val="000000"/>
                <w:szCs w:val="22"/>
              </w:rPr>
              <w:t>'</w:t>
            </w:r>
            <w:r w:rsidRPr="00B600FE">
              <w:rPr>
                <w:color w:val="000000"/>
                <w:szCs w:val="22"/>
              </w:rPr>
              <w:t xml:space="preserve">elle figure dans le Document RRB21-2/8. Le Comité a remercié l'Administration </w:t>
            </w:r>
            <w:r w:rsidR="00046B38" w:rsidRPr="00B600FE">
              <w:rPr>
                <w:color w:val="000000"/>
                <w:szCs w:val="22"/>
              </w:rPr>
              <w:t>d</w:t>
            </w:r>
            <w:r w:rsidR="002A6C9C" w:rsidRPr="00B600FE">
              <w:rPr>
                <w:color w:val="000000"/>
                <w:szCs w:val="22"/>
              </w:rPr>
              <w:t>'</w:t>
            </w:r>
            <w:r w:rsidR="00046B38" w:rsidRPr="00B600FE">
              <w:rPr>
                <w:color w:val="000000"/>
                <w:szCs w:val="22"/>
              </w:rPr>
              <w:t>avoir agi de manière</w:t>
            </w:r>
            <w:r w:rsidRPr="00B600FE">
              <w:rPr>
                <w:color w:val="000000"/>
                <w:szCs w:val="22"/>
              </w:rPr>
              <w:t xml:space="preserve"> consciencieuse, </w:t>
            </w:r>
            <w:r w:rsidR="00046B38" w:rsidRPr="00B600FE">
              <w:rPr>
                <w:color w:val="000000"/>
                <w:szCs w:val="22"/>
              </w:rPr>
              <w:t>d</w:t>
            </w:r>
            <w:r w:rsidR="002A6C9C" w:rsidRPr="00B600FE">
              <w:rPr>
                <w:color w:val="000000"/>
                <w:szCs w:val="22"/>
              </w:rPr>
              <w:t>'</w:t>
            </w:r>
            <w:r w:rsidR="00046B38" w:rsidRPr="00B600FE">
              <w:rPr>
                <w:color w:val="000000"/>
                <w:szCs w:val="22"/>
              </w:rPr>
              <w:t>avoir fait preuve de</w:t>
            </w:r>
            <w:r w:rsidRPr="00B600FE">
              <w:rPr>
                <w:color w:val="000000"/>
                <w:szCs w:val="22"/>
              </w:rPr>
              <w:t xml:space="preserve"> transparence et </w:t>
            </w:r>
            <w:r w:rsidR="00046B38" w:rsidRPr="00B600FE">
              <w:rPr>
                <w:color w:val="000000"/>
                <w:szCs w:val="22"/>
              </w:rPr>
              <w:t>d</w:t>
            </w:r>
            <w:r w:rsidR="002A6C9C" w:rsidRPr="00B600FE">
              <w:rPr>
                <w:color w:val="000000"/>
                <w:szCs w:val="22"/>
              </w:rPr>
              <w:t>'</w:t>
            </w:r>
            <w:r w:rsidR="00046B38" w:rsidRPr="00B600FE">
              <w:rPr>
                <w:color w:val="000000"/>
                <w:szCs w:val="22"/>
              </w:rPr>
              <w:t>avoir communiqué les</w:t>
            </w:r>
            <w:r w:rsidRPr="00B600FE">
              <w:rPr>
                <w:color w:val="000000"/>
                <w:szCs w:val="22"/>
              </w:rPr>
              <w:t xml:space="preserve"> information</w:t>
            </w:r>
            <w:r w:rsidR="00046B38" w:rsidRPr="00B600FE">
              <w:rPr>
                <w:color w:val="000000"/>
                <w:szCs w:val="22"/>
              </w:rPr>
              <w:t>s</w:t>
            </w:r>
            <w:r w:rsidRPr="00B600FE">
              <w:rPr>
                <w:color w:val="000000"/>
                <w:szCs w:val="22"/>
              </w:rPr>
              <w:t>. Le Comité</w:t>
            </w:r>
            <w:r w:rsidR="002A6C9C" w:rsidRPr="00B600FE">
              <w:rPr>
                <w:color w:val="000000"/>
                <w:szCs w:val="22"/>
              </w:rPr>
              <w:t xml:space="preserve"> </w:t>
            </w:r>
            <w:r w:rsidR="00440519" w:rsidRPr="00B600FE">
              <w:rPr>
                <w:color w:val="000000"/>
                <w:szCs w:val="22"/>
              </w:rPr>
              <w:t>a formé l'espoir</w:t>
            </w:r>
            <w:r w:rsidRPr="00B600FE">
              <w:rPr>
                <w:color w:val="000000"/>
                <w:szCs w:val="22"/>
              </w:rPr>
              <w:t xml:space="preserve"> que l'expérience acquise dans le cadre de ce projet sera</w:t>
            </w:r>
            <w:r w:rsidR="00440519" w:rsidRPr="00B600FE">
              <w:rPr>
                <w:color w:val="000000"/>
                <w:szCs w:val="22"/>
              </w:rPr>
              <w:t>it</w:t>
            </w:r>
            <w:r w:rsidRPr="00B600FE">
              <w:rPr>
                <w:color w:val="000000"/>
                <w:szCs w:val="22"/>
              </w:rPr>
              <w:t xml:space="preserve"> utile à l'Administration de Chypre dans ses activités futures. Le Comité a chargé le Bureau de supprimer du </w:t>
            </w:r>
            <w:r w:rsidR="00440519" w:rsidRPr="00B600FE">
              <w:rPr>
                <w:color w:val="000000"/>
              </w:rPr>
              <w:t>Fichier de référence international des fréquences</w:t>
            </w:r>
            <w:r w:rsidRPr="00B600FE">
              <w:rPr>
                <w:color w:val="000000"/>
                <w:szCs w:val="22"/>
              </w:rPr>
              <w:t xml:space="preserve"> les assignations de fréquence </w:t>
            </w:r>
            <w:r w:rsidR="00440519" w:rsidRPr="00B600FE">
              <w:rPr>
                <w:color w:val="000000"/>
                <w:szCs w:val="22"/>
              </w:rPr>
              <w:t>d</w:t>
            </w:r>
            <w:r w:rsidRPr="00B600FE">
              <w:rPr>
                <w:color w:val="000000"/>
                <w:szCs w:val="22"/>
              </w:rPr>
              <w:t>u réseau à satellite KYPROS</w:t>
            </w:r>
            <w:r w:rsidR="00B757A0" w:rsidRPr="00B600FE">
              <w:rPr>
                <w:color w:val="000000"/>
                <w:szCs w:val="22"/>
              </w:rPr>
              <w:noBreakHyphen/>
            </w:r>
            <w:r w:rsidRPr="00B600FE">
              <w:rPr>
                <w:color w:val="000000"/>
                <w:szCs w:val="22"/>
              </w:rPr>
              <w:t>APHRODITE-2.</w:t>
            </w:r>
          </w:p>
        </w:tc>
        <w:tc>
          <w:tcPr>
            <w:tcW w:w="3395" w:type="dxa"/>
            <w:hideMark/>
          </w:tcPr>
          <w:p w14:paraId="7FE051EC"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Secrétaire exécutif communiquera ces décisions à l'administration concernée.</w:t>
            </w:r>
          </w:p>
          <w:p w14:paraId="5BB3C47E" w14:textId="1CD675D2" w:rsidR="00822398" w:rsidRPr="00B600FE" w:rsidRDefault="008A10CE"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Bureau</w:t>
            </w:r>
            <w:r w:rsidR="002A6C9C" w:rsidRPr="00B600FE">
              <w:rPr>
                <w:szCs w:val="22"/>
              </w:rPr>
              <w:t xml:space="preserve"> </w:t>
            </w:r>
            <w:r w:rsidRPr="00B600FE">
              <w:rPr>
                <w:szCs w:val="22"/>
              </w:rPr>
              <w:t xml:space="preserve">supprimera </w:t>
            </w:r>
            <w:r w:rsidRPr="00B600FE">
              <w:rPr>
                <w:color w:val="000000"/>
                <w:szCs w:val="22"/>
              </w:rPr>
              <w:t xml:space="preserve">du </w:t>
            </w:r>
            <w:r w:rsidRPr="00B600FE">
              <w:rPr>
                <w:color w:val="000000"/>
              </w:rPr>
              <w:t>Fichier de référence international des fréquences</w:t>
            </w:r>
            <w:r w:rsidR="002A6C9C" w:rsidRPr="00B600FE">
              <w:rPr>
                <w:color w:val="000000"/>
                <w:szCs w:val="22"/>
              </w:rPr>
              <w:t xml:space="preserve"> </w:t>
            </w:r>
            <w:r w:rsidRPr="00B600FE">
              <w:rPr>
                <w:szCs w:val="22"/>
              </w:rPr>
              <w:t>les assignations de fréquence du réseau à</w:t>
            </w:r>
            <w:r w:rsidR="002A6C9C" w:rsidRPr="00B600FE">
              <w:rPr>
                <w:szCs w:val="22"/>
              </w:rPr>
              <w:t xml:space="preserve"> </w:t>
            </w:r>
            <w:r w:rsidRPr="00B600FE">
              <w:rPr>
                <w:szCs w:val="22"/>
              </w:rPr>
              <w:t>satellite</w:t>
            </w:r>
            <w:r w:rsidR="002A6C9C" w:rsidRPr="00B600FE">
              <w:rPr>
                <w:szCs w:val="22"/>
              </w:rPr>
              <w:t xml:space="preserve"> </w:t>
            </w:r>
            <w:r w:rsidRPr="00B600FE">
              <w:rPr>
                <w:szCs w:val="22"/>
              </w:rPr>
              <w:t xml:space="preserve">KYPROS-APHRODITE-2. </w:t>
            </w:r>
          </w:p>
        </w:tc>
      </w:tr>
      <w:tr w:rsidR="00822398" w:rsidRPr="00B600FE" w14:paraId="1034347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203D6096" w14:textId="77777777" w:rsidR="00822398" w:rsidRPr="00B600FE" w:rsidRDefault="00822398" w:rsidP="00602B42">
            <w:pPr>
              <w:pStyle w:val="Tabletext"/>
              <w:keepNext/>
              <w:keepLines/>
              <w:jc w:val="center"/>
              <w:rPr>
                <w:szCs w:val="22"/>
              </w:rPr>
            </w:pPr>
            <w:r w:rsidRPr="00B600FE">
              <w:rPr>
                <w:szCs w:val="22"/>
              </w:rPr>
              <w:lastRenderedPageBreak/>
              <w:t>5.4</w:t>
            </w:r>
          </w:p>
        </w:tc>
        <w:tc>
          <w:tcPr>
            <w:tcW w:w="3827" w:type="dxa"/>
            <w:hideMark/>
          </w:tcPr>
          <w:p w14:paraId="6DAF2ABD" w14:textId="553EC96C" w:rsidR="00822398" w:rsidRPr="00B600FE" w:rsidRDefault="00060360" w:rsidP="00602B42">
            <w:pPr>
              <w:pStyle w:val="Tabletext"/>
              <w:keepNext/>
              <w:keepLines/>
              <w:cnfStyle w:val="000000000000" w:firstRow="0" w:lastRow="0" w:firstColumn="0" w:lastColumn="0" w:oddVBand="0" w:evenVBand="0" w:oddHBand="0" w:evenHBand="0" w:firstRowFirstColumn="0" w:firstRowLastColumn="0" w:lastRowFirstColumn="0" w:lastRowLastColumn="0"/>
              <w:rPr>
                <w:b/>
                <w:bCs/>
                <w:szCs w:val="22"/>
              </w:rPr>
            </w:pPr>
            <w:r w:rsidRPr="00B600FE">
              <w:rPr>
                <w:szCs w:val="22"/>
              </w:rPr>
              <w:t>Communication soumise par l'Administration de l'Inde concernant une demande de prorogation du délai réglementaire applicable à la remise en service des assignations de fréquence du réseau à satellite INSAT</w:t>
            </w:r>
            <w:r w:rsidR="00B757A0" w:rsidRPr="00B600FE">
              <w:rPr>
                <w:szCs w:val="22"/>
              </w:rPr>
              <w:t>-</w:t>
            </w:r>
            <w:r w:rsidRPr="00B600FE">
              <w:rPr>
                <w:szCs w:val="22"/>
              </w:rPr>
              <w:t>EXK82.5E</w:t>
            </w:r>
            <w:r w:rsidR="00822398" w:rsidRPr="00B600FE">
              <w:rPr>
                <w:szCs w:val="22"/>
              </w:rPr>
              <w:br/>
            </w:r>
            <w:hyperlink r:id="rId29" w:history="1">
              <w:r w:rsidRPr="00B600FE">
                <w:rPr>
                  <w:rStyle w:val="Hyperlink"/>
                </w:rPr>
                <w:t>RRB21-2/11</w:t>
              </w:r>
            </w:hyperlink>
          </w:p>
        </w:tc>
        <w:tc>
          <w:tcPr>
            <w:tcW w:w="6662" w:type="dxa"/>
            <w:hideMark/>
          </w:tcPr>
          <w:p w14:paraId="5E16562D" w14:textId="2D8271CD" w:rsidR="00060360" w:rsidRPr="00B600FE" w:rsidRDefault="0005629F" w:rsidP="00602B42">
            <w:pPr>
              <w:pStyle w:val="Tabletext"/>
              <w:keepNext/>
              <w:keepLines/>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Le Comité a examiné de manière détaillée la communication soumise par l'Administration de l'Inde (Document RRB21-2/11). Il a noté que</w:t>
            </w:r>
            <w:r w:rsidR="002A6C9C" w:rsidRPr="00B600FE">
              <w:rPr>
                <w:color w:val="000000"/>
                <w:szCs w:val="22"/>
              </w:rPr>
              <w:t xml:space="preserve"> </w:t>
            </w:r>
            <w:r w:rsidRPr="00B600FE">
              <w:rPr>
                <w:color w:val="000000"/>
                <w:szCs w:val="22"/>
              </w:rPr>
              <w:t>cette communication, bien qu</w:t>
            </w:r>
            <w:r w:rsidR="002A6C9C" w:rsidRPr="00B600FE">
              <w:rPr>
                <w:color w:val="000000"/>
                <w:szCs w:val="22"/>
              </w:rPr>
              <w:t>'</w:t>
            </w:r>
            <w:r w:rsidRPr="00B600FE">
              <w:rPr>
                <w:color w:val="000000"/>
                <w:szCs w:val="22"/>
              </w:rPr>
              <w:t>elle fournisse</w:t>
            </w:r>
            <w:r w:rsidR="002A6C9C" w:rsidRPr="00B600FE">
              <w:rPr>
                <w:color w:val="000000"/>
                <w:szCs w:val="22"/>
              </w:rPr>
              <w:t xml:space="preserve"> </w:t>
            </w:r>
            <w:r w:rsidRPr="00B600FE">
              <w:rPr>
                <w:color w:val="000000"/>
                <w:szCs w:val="22"/>
              </w:rPr>
              <w:t>des renseignements additionnels,</w:t>
            </w:r>
            <w:r w:rsidR="002A6C9C" w:rsidRPr="00B600FE">
              <w:rPr>
                <w:color w:val="000000"/>
                <w:szCs w:val="22"/>
              </w:rPr>
              <w:t xml:space="preserve"> </w:t>
            </w:r>
            <w:r w:rsidRPr="00B600FE">
              <w:rPr>
                <w:color w:val="000000"/>
                <w:szCs w:val="22"/>
              </w:rPr>
              <w:t>ne contenait que peu ou pas d'informations</w:t>
            </w:r>
            <w:r w:rsidR="002A6C9C" w:rsidRPr="00B600FE">
              <w:rPr>
                <w:color w:val="000000"/>
                <w:szCs w:val="22"/>
              </w:rPr>
              <w:t xml:space="preserve"> </w:t>
            </w:r>
            <w:r w:rsidR="00802707" w:rsidRPr="00B600FE">
              <w:rPr>
                <w:color w:val="000000"/>
                <w:szCs w:val="22"/>
              </w:rPr>
              <w:t>concernant</w:t>
            </w:r>
            <w:r w:rsidRPr="00B600FE">
              <w:rPr>
                <w:color w:val="000000"/>
                <w:szCs w:val="22"/>
              </w:rPr>
              <w:t xml:space="preserve"> un certain nombre de questions et que dans certains cas, ces renseignements étaient</w:t>
            </w:r>
            <w:r w:rsidRPr="00B600FE">
              <w:t xml:space="preserve"> </w:t>
            </w:r>
            <w:r w:rsidRPr="00B600FE">
              <w:rPr>
                <w:color w:val="000000"/>
                <w:szCs w:val="22"/>
              </w:rPr>
              <w:t>en contradiction avec</w:t>
            </w:r>
            <w:r w:rsidR="002A6C9C" w:rsidRPr="00B600FE">
              <w:rPr>
                <w:color w:val="000000"/>
                <w:szCs w:val="22"/>
              </w:rPr>
              <w:t xml:space="preserve"> </w:t>
            </w:r>
            <w:r w:rsidRPr="00B600FE">
              <w:rPr>
                <w:color w:val="000000"/>
                <w:szCs w:val="22"/>
              </w:rPr>
              <w:t xml:space="preserve">ceux présentés à la </w:t>
            </w:r>
            <w:r w:rsidR="002A6C9C" w:rsidRPr="00B600FE">
              <w:rPr>
                <w:color w:val="000000"/>
                <w:szCs w:val="22"/>
              </w:rPr>
              <w:t>86ème</w:t>
            </w:r>
            <w:r w:rsidRPr="00B600FE">
              <w:rPr>
                <w:color w:val="000000"/>
                <w:szCs w:val="22"/>
              </w:rPr>
              <w:t xml:space="preserve"> réunion. En particulier,</w:t>
            </w:r>
            <w:r w:rsidR="00B757A0" w:rsidRPr="00B600FE">
              <w:rPr>
                <w:color w:val="000000"/>
                <w:szCs w:val="22"/>
              </w:rPr>
              <w:t xml:space="preserve"> </w:t>
            </w:r>
            <w:r w:rsidRPr="00B600FE">
              <w:rPr>
                <w:color w:val="000000"/>
                <w:szCs w:val="22"/>
              </w:rPr>
              <w:t>le Comité a noté</w:t>
            </w:r>
            <w:r w:rsidR="002A6C9C" w:rsidRPr="00B600FE">
              <w:rPr>
                <w:color w:val="000000"/>
                <w:szCs w:val="22"/>
              </w:rPr>
              <w:t>:</w:t>
            </w:r>
          </w:p>
          <w:p w14:paraId="19F4F06A" w14:textId="45AD79CD" w:rsidR="00060360" w:rsidRPr="00B600FE" w:rsidRDefault="00060360"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DC3AE2" w:rsidRPr="00B600FE">
              <w:rPr>
                <w:color w:val="000000"/>
                <w:szCs w:val="22"/>
              </w:rPr>
              <w:t xml:space="preserve">que </w:t>
            </w:r>
            <w:r w:rsidR="0005629F" w:rsidRPr="00B600FE">
              <w:rPr>
                <w:color w:val="000000"/>
                <w:szCs w:val="22"/>
              </w:rPr>
              <w:t>la communication soumise</w:t>
            </w:r>
            <w:r w:rsidR="002A6C9C" w:rsidRPr="00B600FE">
              <w:rPr>
                <w:color w:val="000000"/>
                <w:szCs w:val="22"/>
              </w:rPr>
              <w:t xml:space="preserve"> </w:t>
            </w:r>
            <w:r w:rsidR="0005629F" w:rsidRPr="00B600FE">
              <w:rPr>
                <w:color w:val="000000"/>
                <w:szCs w:val="22"/>
              </w:rPr>
              <w:t>confirm</w:t>
            </w:r>
            <w:r w:rsidR="00DC3AE2" w:rsidRPr="00B600FE">
              <w:rPr>
                <w:color w:val="000000"/>
                <w:szCs w:val="22"/>
              </w:rPr>
              <w:t>ait</w:t>
            </w:r>
            <w:r w:rsidR="0005629F" w:rsidRPr="00B600FE">
              <w:rPr>
                <w:color w:val="000000"/>
                <w:szCs w:val="22"/>
              </w:rPr>
              <w:t xml:space="preserve"> que</w:t>
            </w:r>
            <w:r w:rsidR="002A6C9C" w:rsidRPr="00B600FE">
              <w:rPr>
                <w:color w:val="000000"/>
                <w:szCs w:val="22"/>
              </w:rPr>
              <w:t xml:space="preserve"> </w:t>
            </w:r>
            <w:r w:rsidR="0005629F" w:rsidRPr="00B600FE">
              <w:rPr>
                <w:color w:val="000000"/>
                <w:szCs w:val="22"/>
              </w:rPr>
              <w:t>l'Administration indienne a</w:t>
            </w:r>
            <w:r w:rsidR="00DC3AE2" w:rsidRPr="00B600FE">
              <w:rPr>
                <w:color w:val="000000"/>
                <w:szCs w:val="22"/>
              </w:rPr>
              <w:t>vait</w:t>
            </w:r>
            <w:r w:rsidR="0005629F" w:rsidRPr="00B600FE">
              <w:rPr>
                <w:color w:val="000000"/>
                <w:szCs w:val="22"/>
              </w:rPr>
              <w:t xml:space="preserve"> </w:t>
            </w:r>
            <w:r w:rsidR="00DC3AE2" w:rsidRPr="00B600FE">
              <w:rPr>
                <w:color w:val="000000"/>
                <w:szCs w:val="22"/>
              </w:rPr>
              <w:t>agi tardivement</w:t>
            </w:r>
            <w:r w:rsidR="002A6C9C" w:rsidRPr="00B600FE">
              <w:t xml:space="preserve"> </w:t>
            </w:r>
            <w:r w:rsidR="0005629F" w:rsidRPr="00B600FE">
              <w:rPr>
                <w:color w:val="000000"/>
                <w:szCs w:val="22"/>
              </w:rPr>
              <w:t xml:space="preserve">pour respecter le délai réglementaire </w:t>
            </w:r>
            <w:r w:rsidR="00DC3AE2" w:rsidRPr="00B600FE">
              <w:rPr>
                <w:color w:val="000000"/>
                <w:szCs w:val="22"/>
              </w:rPr>
              <w:t>applicable à la</w:t>
            </w:r>
            <w:r w:rsidR="0005629F" w:rsidRPr="00B600FE">
              <w:rPr>
                <w:color w:val="000000"/>
                <w:szCs w:val="22"/>
              </w:rPr>
              <w:t xml:space="preserve"> remise en service des assignations de fréquence</w:t>
            </w:r>
            <w:r w:rsidR="002A6C9C" w:rsidRPr="00B600FE">
              <w:rPr>
                <w:color w:val="000000"/>
                <w:szCs w:val="22"/>
              </w:rPr>
              <w:t xml:space="preserve"> </w:t>
            </w:r>
            <w:r w:rsidR="00DC3AE2" w:rsidRPr="00B600FE">
              <w:rPr>
                <w:color w:val="000000"/>
                <w:szCs w:val="22"/>
              </w:rPr>
              <w:t>d</w:t>
            </w:r>
            <w:r w:rsidR="0005629F" w:rsidRPr="00B600FE">
              <w:rPr>
                <w:color w:val="000000"/>
                <w:szCs w:val="22"/>
              </w:rPr>
              <w:t>u réseau</w:t>
            </w:r>
            <w:r w:rsidR="002A6C9C" w:rsidRPr="00B600FE">
              <w:rPr>
                <w:color w:val="000000"/>
                <w:szCs w:val="22"/>
              </w:rPr>
              <w:t xml:space="preserve"> </w:t>
            </w:r>
            <w:r w:rsidR="00DC3AE2" w:rsidRPr="00B600FE">
              <w:rPr>
                <w:color w:val="000000"/>
                <w:szCs w:val="22"/>
              </w:rPr>
              <w:t xml:space="preserve">à </w:t>
            </w:r>
            <w:r w:rsidR="0005629F" w:rsidRPr="00B600FE">
              <w:rPr>
                <w:color w:val="000000"/>
                <w:szCs w:val="22"/>
              </w:rPr>
              <w:t>satellite</w:t>
            </w:r>
            <w:r w:rsidR="002A6C9C" w:rsidRPr="00B600FE">
              <w:rPr>
                <w:color w:val="000000"/>
                <w:szCs w:val="22"/>
              </w:rPr>
              <w:t xml:space="preserve"> </w:t>
            </w:r>
            <w:r w:rsidR="0005629F" w:rsidRPr="00B600FE">
              <w:rPr>
                <w:color w:val="000000"/>
                <w:szCs w:val="22"/>
              </w:rPr>
              <w:t>INSAT-EXK82.5E</w:t>
            </w:r>
            <w:r w:rsidR="002A6C9C" w:rsidRPr="00B600FE">
              <w:rPr>
                <w:color w:val="000000"/>
                <w:szCs w:val="22"/>
              </w:rPr>
              <w:t>;</w:t>
            </w:r>
          </w:p>
          <w:p w14:paraId="18F82067" w14:textId="0D0E4977" w:rsidR="00DC3AE2" w:rsidRPr="00B600FE" w:rsidRDefault="00060360"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DC3AE2" w:rsidRPr="00B600FE">
              <w:rPr>
                <w:color w:val="000000"/>
                <w:szCs w:val="22"/>
              </w:rPr>
              <w:t>que le calendrier du programme avant la pandémie dépassait légèrement la durée de la prorogation accordée par la CMR-19</w:t>
            </w:r>
            <w:r w:rsidR="002A6C9C" w:rsidRPr="00B600FE">
              <w:rPr>
                <w:color w:val="000000"/>
                <w:szCs w:val="22"/>
              </w:rPr>
              <w:t>;</w:t>
            </w:r>
          </w:p>
          <w:p w14:paraId="7B46EE4A" w14:textId="7A65D55A" w:rsidR="00060360" w:rsidRPr="00B600FE" w:rsidRDefault="00B757A0"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DC3AE2" w:rsidRPr="00B600FE">
              <w:rPr>
                <w:color w:val="000000"/>
                <w:szCs w:val="22"/>
              </w:rPr>
              <w:t>que</w:t>
            </w:r>
            <w:r w:rsidR="002A6C9C" w:rsidRPr="00B600FE">
              <w:rPr>
                <w:color w:val="000000"/>
                <w:szCs w:val="22"/>
              </w:rPr>
              <w:t xml:space="preserve"> </w:t>
            </w:r>
            <w:r w:rsidR="00DC3AE2" w:rsidRPr="00B600FE">
              <w:rPr>
                <w:color w:val="000000"/>
                <w:szCs w:val="22"/>
              </w:rPr>
              <w:t>la demande contenait des informations contradictoires quant à l'état d'avancement de la construction du satellite, et que rien ne prouvait que la construction se poursuivait comme prévu avant que le pays instaure des</w:t>
            </w:r>
            <w:r w:rsidR="00DC3AE2" w:rsidRPr="00B600FE">
              <w:rPr>
                <w:color w:val="000000"/>
              </w:rPr>
              <w:t xml:space="preserve"> mesures de confinement</w:t>
            </w:r>
            <w:r w:rsidRPr="00B600FE">
              <w:rPr>
                <w:color w:val="000000"/>
                <w:szCs w:val="22"/>
              </w:rPr>
              <w:t>;</w:t>
            </w:r>
          </w:p>
          <w:p w14:paraId="014C5C48" w14:textId="7A0530B2" w:rsidR="00DC3AE2" w:rsidRPr="00B600FE" w:rsidRDefault="00060360"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00B757A0" w:rsidRPr="00B600FE">
              <w:rPr>
                <w:color w:val="000000"/>
                <w:szCs w:val="22"/>
              </w:rPr>
              <w:tab/>
            </w:r>
            <w:r w:rsidR="00802707" w:rsidRPr="00B600FE">
              <w:rPr>
                <w:color w:val="000000"/>
                <w:szCs w:val="22"/>
              </w:rPr>
              <w:t>que</w:t>
            </w:r>
            <w:r w:rsidR="00B757A0" w:rsidRPr="00B600FE">
              <w:rPr>
                <w:color w:val="000000"/>
                <w:szCs w:val="22"/>
              </w:rPr>
              <w:t xml:space="preserve"> </w:t>
            </w:r>
            <w:r w:rsidR="00DC3AE2" w:rsidRPr="00B600FE">
              <w:rPr>
                <w:color w:val="000000"/>
                <w:szCs w:val="22"/>
              </w:rPr>
              <w:t>la demande contenait</w:t>
            </w:r>
            <w:r w:rsidR="002A6C9C" w:rsidRPr="00B600FE">
              <w:rPr>
                <w:color w:val="000000"/>
                <w:szCs w:val="22"/>
              </w:rPr>
              <w:t xml:space="preserve"> </w:t>
            </w:r>
            <w:r w:rsidR="00DC3AE2" w:rsidRPr="00B600FE">
              <w:rPr>
                <w:color w:val="000000"/>
                <w:szCs w:val="22"/>
              </w:rPr>
              <w:t>des calendriers contradictoires concernant la campagne de lancement</w:t>
            </w:r>
            <w:r w:rsidR="002A6C9C" w:rsidRPr="00B600FE">
              <w:rPr>
                <w:color w:val="000000"/>
                <w:szCs w:val="22"/>
              </w:rPr>
              <w:t>;</w:t>
            </w:r>
          </w:p>
          <w:p w14:paraId="414AEF2F" w14:textId="7E3EDF69" w:rsidR="00060360" w:rsidRPr="00B600FE" w:rsidRDefault="00B757A0" w:rsidP="00602B42">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02707" w:rsidRPr="00B600FE">
              <w:rPr>
                <w:color w:val="000000"/>
                <w:szCs w:val="22"/>
              </w:rPr>
              <w:t xml:space="preserve">que </w:t>
            </w:r>
            <w:r w:rsidR="00DC3AE2" w:rsidRPr="00B600FE">
              <w:rPr>
                <w:color w:val="000000"/>
                <w:szCs w:val="22"/>
              </w:rPr>
              <w:t>la période de prorogation demandée de 24 mois semblait difficile à justifier,</w:t>
            </w:r>
            <w:r w:rsidR="002A6C9C" w:rsidRPr="00B600FE">
              <w:rPr>
                <w:color w:val="000000"/>
                <w:szCs w:val="22"/>
              </w:rPr>
              <w:t xml:space="preserve"> </w:t>
            </w:r>
            <w:r w:rsidR="00DC3AE2" w:rsidRPr="00B600FE">
              <w:rPr>
                <w:color w:val="000000"/>
                <w:szCs w:val="22"/>
              </w:rPr>
              <w:t>les renseignements fournis donnant à penser qu'une prorogation de 13 mois était suffisante.</w:t>
            </w:r>
          </w:p>
          <w:p w14:paraId="53723754" w14:textId="1CE88B98" w:rsidR="00822398" w:rsidRPr="00B600FE" w:rsidRDefault="00020D2D" w:rsidP="00602B42">
            <w:pPr>
              <w:pStyle w:val="Tabletext"/>
              <w:keepNext/>
              <w:keepLines/>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En outre, le Comité</w:t>
            </w:r>
            <w:r w:rsidR="002A6C9C" w:rsidRPr="00B600FE">
              <w:t xml:space="preserve"> </w:t>
            </w:r>
            <w:r w:rsidRPr="00B600FE">
              <w:rPr>
                <w:color w:val="000000"/>
                <w:szCs w:val="22"/>
              </w:rPr>
              <w:t>a</w:t>
            </w:r>
            <w:r w:rsidR="002A6C9C" w:rsidRPr="00B600FE">
              <w:rPr>
                <w:color w:val="000000"/>
                <w:szCs w:val="22"/>
              </w:rPr>
              <w:t xml:space="preserve"> </w:t>
            </w:r>
            <w:r w:rsidRPr="00B600FE">
              <w:rPr>
                <w:color w:val="000000"/>
                <w:szCs w:val="22"/>
              </w:rPr>
              <w:t>noté que la communication soumise par</w:t>
            </w:r>
            <w:r w:rsidR="002A6C9C" w:rsidRPr="00B600FE">
              <w:rPr>
                <w:color w:val="000000"/>
                <w:szCs w:val="22"/>
              </w:rPr>
              <w:t xml:space="preserve"> </w:t>
            </w:r>
            <w:r w:rsidRPr="00B600FE">
              <w:rPr>
                <w:color w:val="000000"/>
                <w:szCs w:val="22"/>
              </w:rPr>
              <w:t xml:space="preserve">l'Administration de l'Inde ne contenait pas de </w:t>
            </w:r>
            <w:r w:rsidRPr="00B600FE">
              <w:rPr>
                <w:color w:val="000000"/>
              </w:rPr>
              <w:t>nouvelles données probantes</w:t>
            </w:r>
            <w:r w:rsidR="002A6C9C" w:rsidRPr="00B600FE">
              <w:rPr>
                <w:color w:val="000000"/>
              </w:rPr>
              <w:t>,</w:t>
            </w:r>
            <w:r w:rsidRPr="00B600FE">
              <w:rPr>
                <w:color w:val="000000"/>
                <w:szCs w:val="22"/>
              </w:rPr>
              <w:t xml:space="preserve"> </w:t>
            </w:r>
            <w:r w:rsidRPr="00B600FE">
              <w:rPr>
                <w:color w:val="000000"/>
              </w:rPr>
              <w:t>d'éléments étayés par des faits</w:t>
            </w:r>
            <w:r w:rsidRPr="00B600FE">
              <w:rPr>
                <w:color w:val="000000"/>
                <w:szCs w:val="22"/>
              </w:rPr>
              <w:t xml:space="preserve"> ou de nouveaux arguments à l'appui de la demande. En conséquence, le Comité a conclu qu'il ne pouvait pas accéder à la demande de l'Administration de l'Inde visant à modifier la décision prise à la </w:t>
            </w:r>
            <w:r w:rsidR="002A6C9C" w:rsidRPr="00B600FE">
              <w:rPr>
                <w:color w:val="000000"/>
                <w:szCs w:val="22"/>
              </w:rPr>
              <w:t>86ème</w:t>
            </w:r>
            <w:r w:rsidRPr="00B600FE">
              <w:rPr>
                <w:color w:val="000000"/>
                <w:szCs w:val="22"/>
              </w:rPr>
              <w:t xml:space="preserve"> réunion. En outre, le Comité a chargé le Bureau de supprimer du </w:t>
            </w:r>
            <w:r w:rsidRPr="00B600FE">
              <w:rPr>
                <w:color w:val="000000"/>
              </w:rPr>
              <w:t>Fichier de référence international des fréquences</w:t>
            </w:r>
            <w:r w:rsidRPr="00B600FE">
              <w:rPr>
                <w:color w:val="000000"/>
                <w:szCs w:val="22"/>
              </w:rPr>
              <w:t xml:space="preserve"> les assignations de fréquence du réseau à satellite INSAT</w:t>
            </w:r>
            <w:r w:rsidR="00B929B4" w:rsidRPr="00B600FE">
              <w:rPr>
                <w:color w:val="000000"/>
                <w:szCs w:val="22"/>
              </w:rPr>
              <w:noBreakHyphen/>
            </w:r>
            <w:r w:rsidRPr="00B600FE">
              <w:rPr>
                <w:color w:val="000000"/>
                <w:szCs w:val="22"/>
              </w:rPr>
              <w:t>EXK82.5E.</w:t>
            </w:r>
          </w:p>
        </w:tc>
        <w:tc>
          <w:tcPr>
            <w:tcW w:w="3395" w:type="dxa"/>
            <w:hideMark/>
          </w:tcPr>
          <w:p w14:paraId="5FC1686E" w14:textId="16FB7560" w:rsidR="00822398" w:rsidRPr="00B600FE" w:rsidRDefault="00822398" w:rsidP="00602B42">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Secrétaire exécutif communiquera ces décisions à l'administration concernée.</w:t>
            </w:r>
          </w:p>
          <w:p w14:paraId="641EE496" w14:textId="64691122" w:rsidR="00822398" w:rsidRPr="00B600FE" w:rsidRDefault="00020D2D" w:rsidP="00602B42">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B600FE">
              <w:rPr>
                <w:szCs w:val="22"/>
              </w:rPr>
              <w:t xml:space="preserve">Le </w:t>
            </w:r>
            <w:r w:rsidR="004D4EE2" w:rsidRPr="00B600FE">
              <w:rPr>
                <w:szCs w:val="22"/>
              </w:rPr>
              <w:t xml:space="preserve">Bureau </w:t>
            </w:r>
            <w:r w:rsidRPr="00B600FE">
              <w:rPr>
                <w:color w:val="000000"/>
                <w:szCs w:val="22"/>
              </w:rPr>
              <w:t xml:space="preserve">supprimera du </w:t>
            </w:r>
            <w:r w:rsidRPr="00B600FE">
              <w:rPr>
                <w:color w:val="000000"/>
              </w:rPr>
              <w:t>Fichier de référence international des fréquences</w:t>
            </w:r>
            <w:r w:rsidRPr="00B600FE">
              <w:rPr>
                <w:color w:val="000000"/>
                <w:szCs w:val="22"/>
              </w:rPr>
              <w:t xml:space="preserve"> les assignations de fréquence du réseau à satellite INSAT-EXK82.5E.</w:t>
            </w:r>
          </w:p>
        </w:tc>
      </w:tr>
      <w:tr w:rsidR="00060360" w:rsidRPr="00B600FE" w14:paraId="3C19D64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A156F30" w14:textId="652C1138" w:rsidR="00060360" w:rsidRPr="00B600FE" w:rsidRDefault="00060360" w:rsidP="005014D9">
            <w:pPr>
              <w:pStyle w:val="Tabletext"/>
              <w:jc w:val="center"/>
              <w:rPr>
                <w:szCs w:val="22"/>
              </w:rPr>
            </w:pPr>
            <w:r w:rsidRPr="00B600FE">
              <w:rPr>
                <w:szCs w:val="22"/>
              </w:rPr>
              <w:t>5.5</w:t>
            </w:r>
          </w:p>
        </w:tc>
        <w:tc>
          <w:tcPr>
            <w:tcW w:w="3827" w:type="dxa"/>
          </w:tcPr>
          <w:p w14:paraId="635750B6" w14:textId="024765AA" w:rsidR="00060360"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Communication soumise par l'Administration des États-Unis concernant une demande de prorogation </w:t>
            </w:r>
            <w:r w:rsidRPr="00B600FE">
              <w:rPr>
                <w:szCs w:val="22"/>
              </w:rPr>
              <w:lastRenderedPageBreak/>
              <w:t xml:space="preserve">de la période de suspension de l'exploitation au titre du numéro </w:t>
            </w:r>
            <w:r w:rsidRPr="00B600FE">
              <w:rPr>
                <w:b/>
                <w:bCs/>
                <w:szCs w:val="22"/>
              </w:rPr>
              <w:t>11.49</w:t>
            </w:r>
            <w:r w:rsidRPr="00B600FE">
              <w:rPr>
                <w:szCs w:val="22"/>
              </w:rPr>
              <w:t xml:space="preserve"> des assignations de fréquence du réseau à satellite AFRIBSS à 21° E</w:t>
            </w:r>
            <w:r w:rsidRPr="00B600FE">
              <w:rPr>
                <w:szCs w:val="22"/>
              </w:rPr>
              <w:br/>
            </w:r>
            <w:hyperlink r:id="rId30" w:history="1">
              <w:r w:rsidRPr="00B600FE">
                <w:rPr>
                  <w:rStyle w:val="Hyperlink"/>
                  <w:szCs w:val="22"/>
                </w:rPr>
                <w:t>RRB21-2/5</w:t>
              </w:r>
            </w:hyperlink>
          </w:p>
        </w:tc>
        <w:tc>
          <w:tcPr>
            <w:tcW w:w="6662" w:type="dxa"/>
          </w:tcPr>
          <w:p w14:paraId="304FB97A" w14:textId="1237B473" w:rsidR="00020D2D" w:rsidRPr="00B600FE" w:rsidRDefault="00020D2D"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lastRenderedPageBreak/>
              <w:t xml:space="preserve">Le Comité a examiné de manière détaillée la demande de l'Administration des </w:t>
            </w:r>
            <w:r w:rsidR="00B929B4" w:rsidRPr="00B600FE">
              <w:rPr>
                <w:color w:val="000000"/>
                <w:szCs w:val="22"/>
              </w:rPr>
              <w:t>É</w:t>
            </w:r>
            <w:r w:rsidRPr="00B600FE">
              <w:rPr>
                <w:color w:val="000000"/>
                <w:szCs w:val="22"/>
              </w:rPr>
              <w:t>tats-Unis contenue dans le Document RRB21-2/5. Le Comité a noté</w:t>
            </w:r>
            <w:r w:rsidR="002A6C9C" w:rsidRPr="00B600FE">
              <w:rPr>
                <w:color w:val="000000"/>
                <w:szCs w:val="22"/>
              </w:rPr>
              <w:t>:</w:t>
            </w:r>
          </w:p>
          <w:p w14:paraId="42378012" w14:textId="75665724" w:rsidR="00060360" w:rsidRPr="00B600FE" w:rsidRDefault="00B929B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lastRenderedPageBreak/>
              <w:t>•</w:t>
            </w:r>
            <w:r w:rsidRPr="00B600FE">
              <w:rPr>
                <w:color w:val="000000"/>
                <w:szCs w:val="22"/>
              </w:rPr>
              <w:tab/>
            </w:r>
            <w:r w:rsidR="00876C35" w:rsidRPr="00B600FE">
              <w:rPr>
                <w:color w:val="000000"/>
                <w:szCs w:val="22"/>
              </w:rPr>
              <w:t>qu</w:t>
            </w:r>
            <w:r w:rsidR="002A6C9C" w:rsidRPr="00B600FE">
              <w:rPr>
                <w:color w:val="000000"/>
                <w:szCs w:val="22"/>
              </w:rPr>
              <w:t>'</w:t>
            </w:r>
            <w:r w:rsidR="00876C35" w:rsidRPr="00B600FE">
              <w:rPr>
                <w:color w:val="000000"/>
                <w:szCs w:val="22"/>
              </w:rPr>
              <w:t>il avait uniquement pour mandat d'examiner la prorogation des délais réglementaires applicables à la mise en service ou à la remise en service</w:t>
            </w:r>
            <w:r w:rsidR="002A6C9C" w:rsidRPr="00B600FE">
              <w:rPr>
                <w:color w:val="000000"/>
                <w:szCs w:val="22"/>
              </w:rPr>
              <w:t xml:space="preserve"> </w:t>
            </w:r>
            <w:r w:rsidR="00876C35" w:rsidRPr="00B600FE">
              <w:rPr>
                <w:color w:val="000000"/>
                <w:szCs w:val="22"/>
              </w:rPr>
              <w:t>des assignations de fréquence</w:t>
            </w:r>
            <w:r w:rsidR="002A6C9C" w:rsidRPr="00B600FE">
              <w:rPr>
                <w:color w:val="000000"/>
                <w:szCs w:val="22"/>
              </w:rPr>
              <w:t xml:space="preserve"> </w:t>
            </w:r>
            <w:r w:rsidR="00876C35" w:rsidRPr="00B600FE">
              <w:rPr>
                <w:color w:val="000000"/>
                <w:szCs w:val="22"/>
              </w:rPr>
              <w:t>de</w:t>
            </w:r>
            <w:r w:rsidR="00876C35" w:rsidRPr="00B600FE">
              <w:rPr>
                <w:szCs w:val="22"/>
              </w:rPr>
              <w:t xml:space="preserve"> réseaux à satellite</w:t>
            </w:r>
            <w:r w:rsidR="002A6C9C" w:rsidRPr="00B600FE">
              <w:rPr>
                <w:color w:val="000000"/>
                <w:szCs w:val="22"/>
              </w:rPr>
              <w:t xml:space="preserve"> </w:t>
            </w:r>
            <w:r w:rsidR="00876C35" w:rsidRPr="00B600FE">
              <w:rPr>
                <w:color w:val="000000"/>
                <w:szCs w:val="22"/>
              </w:rPr>
              <w:t>dans les</w:t>
            </w:r>
            <w:r w:rsidR="00802707" w:rsidRPr="00B600FE">
              <w:rPr>
                <w:color w:val="000000"/>
              </w:rPr>
              <w:t xml:space="preserve"> situations</w:t>
            </w:r>
            <w:r w:rsidR="002A6C9C" w:rsidRPr="00B600FE">
              <w:rPr>
                <w:color w:val="000000"/>
              </w:rPr>
              <w:t xml:space="preserve"> </w:t>
            </w:r>
            <w:r w:rsidR="00876C35" w:rsidRPr="00B600FE">
              <w:rPr>
                <w:color w:val="000000"/>
              </w:rPr>
              <w:t>considéré</w:t>
            </w:r>
            <w:r w:rsidR="00802707" w:rsidRPr="00B600FE">
              <w:rPr>
                <w:color w:val="000000"/>
              </w:rPr>
              <w:t>e</w:t>
            </w:r>
            <w:r w:rsidR="00876C35" w:rsidRPr="00B600FE">
              <w:rPr>
                <w:color w:val="000000"/>
              </w:rPr>
              <w:t>s comme des cas de force majeure</w:t>
            </w:r>
            <w:r w:rsidR="002A6C9C" w:rsidRPr="00B600FE">
              <w:rPr>
                <w:color w:val="000000"/>
              </w:rPr>
              <w:t xml:space="preserve"> </w:t>
            </w:r>
            <w:r w:rsidR="00876C35" w:rsidRPr="00B600FE">
              <w:rPr>
                <w:color w:val="000000"/>
                <w:szCs w:val="22"/>
              </w:rPr>
              <w:t xml:space="preserve">ou </w:t>
            </w:r>
            <w:r w:rsidR="00802707" w:rsidRPr="00B600FE">
              <w:rPr>
                <w:color w:val="000000"/>
                <w:szCs w:val="22"/>
              </w:rPr>
              <w:t xml:space="preserve">en cas </w:t>
            </w:r>
            <w:r w:rsidR="00876C35" w:rsidRPr="00B600FE">
              <w:rPr>
                <w:color w:val="000000"/>
                <w:szCs w:val="22"/>
              </w:rPr>
              <w:t>de retards</w:t>
            </w:r>
            <w:r w:rsidR="00876C35" w:rsidRPr="00B600FE">
              <w:rPr>
                <w:color w:val="000000"/>
              </w:rPr>
              <w:t xml:space="preserve"> dus à l'embarquement d'un autre satellite sur le même lanceur</w:t>
            </w:r>
            <w:r w:rsidRPr="00B600FE">
              <w:rPr>
                <w:color w:val="000000"/>
                <w:szCs w:val="22"/>
              </w:rPr>
              <w:t>;</w:t>
            </w:r>
          </w:p>
          <w:p w14:paraId="4A3C4826" w14:textId="79A8413D" w:rsidR="00876C35"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76C35" w:rsidRPr="00B600FE">
              <w:rPr>
                <w:color w:val="000000"/>
                <w:szCs w:val="22"/>
              </w:rPr>
              <w:t>que l'Administration des États-Unis n'avait pas expressément invoqué un cas de force majeure</w:t>
            </w:r>
            <w:r w:rsidR="002A6C9C" w:rsidRPr="00B600FE">
              <w:rPr>
                <w:color w:val="000000"/>
                <w:szCs w:val="22"/>
              </w:rPr>
              <w:t>;</w:t>
            </w:r>
          </w:p>
          <w:p w14:paraId="05A8AC01" w14:textId="58C920EA" w:rsidR="00876C35" w:rsidRPr="00B600FE" w:rsidRDefault="00B929B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76C35" w:rsidRPr="00B600FE">
              <w:rPr>
                <w:color w:val="000000"/>
                <w:szCs w:val="22"/>
              </w:rPr>
              <w:t>qu</w:t>
            </w:r>
            <w:r w:rsidR="002A6C9C" w:rsidRPr="00B600FE">
              <w:rPr>
                <w:color w:val="000000"/>
                <w:szCs w:val="22"/>
              </w:rPr>
              <w:t>'</w:t>
            </w:r>
            <w:r w:rsidR="00876C35" w:rsidRPr="00B600FE">
              <w:rPr>
                <w:color w:val="000000"/>
                <w:szCs w:val="22"/>
              </w:rPr>
              <w:t>aucun élément de preuve permettant de démontrer que les conditions constitutives de la force majeure étaient réunies n'avait été fourni</w:t>
            </w:r>
            <w:r w:rsidR="002A6C9C" w:rsidRPr="00B600FE">
              <w:rPr>
                <w:color w:val="000000"/>
                <w:szCs w:val="22"/>
              </w:rPr>
              <w:t>;</w:t>
            </w:r>
          </w:p>
          <w:p w14:paraId="6465062A" w14:textId="0E667C37" w:rsidR="00060360" w:rsidRPr="00B600FE" w:rsidRDefault="00B929B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76C35" w:rsidRPr="00B600FE">
              <w:rPr>
                <w:color w:val="000000"/>
                <w:szCs w:val="22"/>
              </w:rPr>
              <w:t>que l'Administration des États-Unis avait signalé que le satellite avait subi une défaillance sur</w:t>
            </w:r>
            <w:r w:rsidR="002A6C9C" w:rsidRPr="00B600FE">
              <w:rPr>
                <w:color w:val="000000"/>
                <w:szCs w:val="22"/>
              </w:rPr>
              <w:t xml:space="preserve"> </w:t>
            </w:r>
            <w:r w:rsidR="00876C35" w:rsidRPr="00B600FE">
              <w:rPr>
                <w:color w:val="000000"/>
                <w:szCs w:val="22"/>
              </w:rPr>
              <w:t>orbite</w:t>
            </w:r>
            <w:r w:rsidR="002A6C9C" w:rsidRPr="00B600FE">
              <w:rPr>
                <w:color w:val="000000"/>
                <w:szCs w:val="22"/>
              </w:rPr>
              <w:t xml:space="preserve"> </w:t>
            </w:r>
            <w:r w:rsidR="00876C35" w:rsidRPr="00B600FE">
              <w:rPr>
                <w:color w:val="000000"/>
                <w:szCs w:val="22"/>
              </w:rPr>
              <w:t>en novembre 2017</w:t>
            </w:r>
            <w:r w:rsidR="002A6C9C" w:rsidRPr="00B600FE">
              <w:rPr>
                <w:color w:val="000000"/>
                <w:szCs w:val="22"/>
              </w:rPr>
              <w:t>;</w:t>
            </w:r>
          </w:p>
          <w:p w14:paraId="4945FC66" w14:textId="47502D69" w:rsidR="00876C35"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76C35" w:rsidRPr="00B600FE">
              <w:rPr>
                <w:color w:val="000000"/>
                <w:szCs w:val="22"/>
              </w:rPr>
              <w:t>que le satellite lancé en 1998 approchait de la fin de sa durée de vie prév</w:t>
            </w:r>
            <w:r w:rsidR="000A79FF" w:rsidRPr="00B600FE">
              <w:rPr>
                <w:color w:val="000000"/>
                <w:szCs w:val="22"/>
              </w:rPr>
              <w:t>isionnelle</w:t>
            </w:r>
            <w:r w:rsidR="00876C35" w:rsidRPr="00B600FE">
              <w:rPr>
                <w:color w:val="000000"/>
                <w:szCs w:val="22"/>
              </w:rPr>
              <w:t>, de sorte que l'on pouvait s'attendre à des défaillances</w:t>
            </w:r>
            <w:r w:rsidR="002A6C9C" w:rsidRPr="00B600FE">
              <w:rPr>
                <w:color w:val="000000"/>
                <w:szCs w:val="22"/>
              </w:rPr>
              <w:t>;</w:t>
            </w:r>
          </w:p>
          <w:p w14:paraId="2D595FB3" w14:textId="3456F568" w:rsidR="00060360" w:rsidRPr="00B600FE" w:rsidRDefault="00B929B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0A79FF" w:rsidRPr="00B600FE">
              <w:rPr>
                <w:color w:val="000000"/>
                <w:szCs w:val="22"/>
              </w:rPr>
              <w:t>qu</w:t>
            </w:r>
            <w:r w:rsidR="002A6C9C" w:rsidRPr="00B600FE">
              <w:rPr>
                <w:color w:val="000000"/>
                <w:szCs w:val="22"/>
              </w:rPr>
              <w:t>'</w:t>
            </w:r>
            <w:r w:rsidR="00876C35" w:rsidRPr="00B600FE">
              <w:rPr>
                <w:color w:val="000000"/>
                <w:szCs w:val="22"/>
              </w:rPr>
              <w:t>il était prévu de commencer la construction d'un satellite de remplacement au cours du dernier trimestre de 2020</w:t>
            </w:r>
            <w:r w:rsidR="000A79FF" w:rsidRPr="00B600FE">
              <w:rPr>
                <w:color w:val="000000"/>
                <w:szCs w:val="22"/>
              </w:rPr>
              <w:t>,</w:t>
            </w:r>
            <w:r w:rsidR="00876C35" w:rsidRPr="00B600FE">
              <w:rPr>
                <w:color w:val="000000"/>
                <w:szCs w:val="22"/>
              </w:rPr>
              <w:t xml:space="preserve"> afin que celui-ci soit achevé en octobre 2023, </w:t>
            </w:r>
            <w:r w:rsidR="00802707" w:rsidRPr="00B600FE">
              <w:rPr>
                <w:color w:val="000000"/>
                <w:szCs w:val="22"/>
              </w:rPr>
              <w:t xml:space="preserve">alors </w:t>
            </w:r>
            <w:r w:rsidR="00876C35" w:rsidRPr="00B600FE">
              <w:rPr>
                <w:color w:val="000000"/>
                <w:szCs w:val="22"/>
              </w:rPr>
              <w:t>qu</w:t>
            </w:r>
            <w:r w:rsidR="00802707" w:rsidRPr="00B600FE">
              <w:rPr>
                <w:color w:val="000000"/>
                <w:szCs w:val="22"/>
              </w:rPr>
              <w:t>e le satellite</w:t>
            </w:r>
            <w:r w:rsidR="00876C35" w:rsidRPr="00B600FE">
              <w:rPr>
                <w:color w:val="000000"/>
                <w:szCs w:val="22"/>
              </w:rPr>
              <w:t xml:space="preserve"> ne dispos</w:t>
            </w:r>
            <w:r w:rsidR="00802707" w:rsidRPr="00B600FE">
              <w:rPr>
                <w:color w:val="000000"/>
                <w:szCs w:val="22"/>
              </w:rPr>
              <w:t>ait</w:t>
            </w:r>
            <w:r w:rsidR="00876C35" w:rsidRPr="00B600FE">
              <w:rPr>
                <w:color w:val="000000"/>
                <w:szCs w:val="22"/>
              </w:rPr>
              <w:t xml:space="preserve"> que d'une quantité de carburant suffisante pour</w:t>
            </w:r>
            <w:r w:rsidR="00802707" w:rsidRPr="00B600FE">
              <w:rPr>
                <w:color w:val="000000"/>
                <w:szCs w:val="22"/>
              </w:rPr>
              <w:t xml:space="preserve"> être</w:t>
            </w:r>
            <w:r w:rsidR="00876C35" w:rsidRPr="00B600FE">
              <w:rPr>
                <w:color w:val="000000"/>
                <w:szCs w:val="22"/>
              </w:rPr>
              <w:t xml:space="preserve"> mainten</w:t>
            </w:r>
            <w:r w:rsidR="00802707" w:rsidRPr="00B600FE">
              <w:rPr>
                <w:color w:val="000000"/>
                <w:szCs w:val="22"/>
              </w:rPr>
              <w:t>u</w:t>
            </w:r>
            <w:r w:rsidR="002A6C9C" w:rsidRPr="00B600FE">
              <w:rPr>
                <w:color w:val="000000"/>
                <w:szCs w:val="22"/>
              </w:rPr>
              <w:t xml:space="preserve"> </w:t>
            </w:r>
            <w:r w:rsidR="00876C35" w:rsidRPr="00B600FE">
              <w:rPr>
                <w:color w:val="000000"/>
                <w:szCs w:val="22"/>
              </w:rPr>
              <w:t>en orbite jusqu'en juin 2021</w:t>
            </w:r>
            <w:r w:rsidR="002A6C9C" w:rsidRPr="00B600FE">
              <w:rPr>
                <w:color w:val="000000"/>
                <w:szCs w:val="22"/>
              </w:rPr>
              <w:t>;</w:t>
            </w:r>
          </w:p>
          <w:p w14:paraId="58B9302A" w14:textId="438DAEF6" w:rsidR="00060360" w:rsidRPr="00B600FE" w:rsidRDefault="00060360" w:rsidP="00572EC1">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0A79FF" w:rsidRPr="00B600FE">
              <w:rPr>
                <w:color w:val="000000"/>
                <w:szCs w:val="22"/>
              </w:rPr>
              <w:t>que l'Administration des États-Unis a déployé des efforts considérables pour trouver un satellite de remplacement après la défaillance, mais qu</w:t>
            </w:r>
            <w:r w:rsidR="002A6C9C" w:rsidRPr="00B600FE">
              <w:rPr>
                <w:color w:val="000000"/>
                <w:szCs w:val="22"/>
              </w:rPr>
              <w:t>'</w:t>
            </w:r>
            <w:r w:rsidR="000A79FF" w:rsidRPr="00B600FE">
              <w:rPr>
                <w:color w:val="000000"/>
                <w:szCs w:val="22"/>
              </w:rPr>
              <w:t>aucune information n'a été fournie sur le</w:t>
            </w:r>
            <w:r w:rsidR="002A6C9C" w:rsidRPr="00B600FE">
              <w:rPr>
                <w:color w:val="000000"/>
                <w:szCs w:val="22"/>
              </w:rPr>
              <w:t xml:space="preserve"> </w:t>
            </w:r>
            <w:r w:rsidR="000A79FF" w:rsidRPr="00B600FE">
              <w:rPr>
                <w:color w:val="000000"/>
                <w:szCs w:val="22"/>
              </w:rPr>
              <w:t>satellite de remplacement ainsi que sur les</w:t>
            </w:r>
            <w:r w:rsidR="002A6C9C" w:rsidRPr="00B600FE">
              <w:rPr>
                <w:color w:val="000000"/>
                <w:szCs w:val="22"/>
              </w:rPr>
              <w:t xml:space="preserve"> </w:t>
            </w:r>
            <w:r w:rsidR="000A79FF" w:rsidRPr="00B600FE">
              <w:rPr>
                <w:color w:val="000000"/>
                <w:szCs w:val="22"/>
              </w:rPr>
              <w:t>projets et les échéances pour déplacer le satellite de remplacement temporaire de 105°</w:t>
            </w:r>
            <w:r w:rsidR="00B929B4" w:rsidRPr="00B600FE">
              <w:rPr>
                <w:color w:val="000000"/>
                <w:szCs w:val="22"/>
              </w:rPr>
              <w:t> </w:t>
            </w:r>
            <w:r w:rsidR="000A79FF" w:rsidRPr="00B600FE">
              <w:rPr>
                <w:color w:val="000000"/>
                <w:szCs w:val="22"/>
              </w:rPr>
              <w:t>E à 21°</w:t>
            </w:r>
            <w:r w:rsidR="00B929B4" w:rsidRPr="00B600FE">
              <w:rPr>
                <w:color w:val="000000"/>
                <w:szCs w:val="22"/>
              </w:rPr>
              <w:t> </w:t>
            </w:r>
            <w:r w:rsidR="000A79FF" w:rsidRPr="00B600FE">
              <w:rPr>
                <w:color w:val="000000"/>
                <w:szCs w:val="22"/>
              </w:rPr>
              <w:t>E et</w:t>
            </w:r>
            <w:r w:rsidR="002A6C9C" w:rsidRPr="00B600FE">
              <w:rPr>
                <w:color w:val="000000"/>
                <w:szCs w:val="22"/>
              </w:rPr>
              <w:t xml:space="preserve"> </w:t>
            </w:r>
            <w:r w:rsidR="000A79FF" w:rsidRPr="00B600FE">
              <w:rPr>
                <w:color w:val="000000"/>
                <w:szCs w:val="22"/>
              </w:rPr>
              <w:t>obtenir les approbations réglementaires nécessaires au niveau national</w:t>
            </w:r>
            <w:r w:rsidR="002A6C9C" w:rsidRPr="00B600FE">
              <w:rPr>
                <w:color w:val="000000"/>
                <w:szCs w:val="22"/>
              </w:rPr>
              <w:t>;</w:t>
            </w:r>
          </w:p>
          <w:p w14:paraId="0C5CC28F" w14:textId="2D7DFF1E" w:rsidR="000A79FF"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w:t>
            </w:r>
            <w:r w:rsidRPr="00B600FE">
              <w:rPr>
                <w:color w:val="000000"/>
                <w:szCs w:val="22"/>
              </w:rPr>
              <w:tab/>
            </w:r>
            <w:r w:rsidR="00802707" w:rsidRPr="00B600FE">
              <w:rPr>
                <w:color w:val="000000"/>
                <w:szCs w:val="22"/>
              </w:rPr>
              <w:t>qu</w:t>
            </w:r>
            <w:r w:rsidR="002A6C9C" w:rsidRPr="00B600FE">
              <w:rPr>
                <w:color w:val="000000"/>
                <w:szCs w:val="22"/>
              </w:rPr>
              <w:t>'</w:t>
            </w:r>
            <w:r w:rsidR="000A79FF" w:rsidRPr="00B600FE">
              <w:rPr>
                <w:color w:val="000000"/>
                <w:szCs w:val="22"/>
              </w:rPr>
              <w:t>aucun</w:t>
            </w:r>
            <w:r w:rsidR="002A6C9C" w:rsidRPr="00B600FE">
              <w:rPr>
                <w:color w:val="000000"/>
                <w:szCs w:val="22"/>
              </w:rPr>
              <w:t xml:space="preserve"> </w:t>
            </w:r>
            <w:r w:rsidR="000A79FF" w:rsidRPr="00B600FE">
              <w:rPr>
                <w:color w:val="000000"/>
                <w:szCs w:val="22"/>
              </w:rPr>
              <w:t xml:space="preserve">renseignement précis n'a été communiqué </w:t>
            </w:r>
            <w:r w:rsidR="001B0B78" w:rsidRPr="00B600FE">
              <w:rPr>
                <w:color w:val="000000"/>
                <w:szCs w:val="22"/>
              </w:rPr>
              <w:t>quant aux</w:t>
            </w:r>
            <w:r w:rsidR="000A79FF" w:rsidRPr="00B600FE">
              <w:rPr>
                <w:color w:val="000000"/>
                <w:szCs w:val="22"/>
              </w:rPr>
              <w:t xml:space="preserve"> difficultés rencontrées qui ont directement</w:t>
            </w:r>
            <w:r w:rsidR="002A6C9C" w:rsidRPr="00B600FE">
              <w:rPr>
                <w:color w:val="000000"/>
                <w:szCs w:val="22"/>
              </w:rPr>
              <w:t xml:space="preserve"> </w:t>
            </w:r>
            <w:r w:rsidR="000A79FF" w:rsidRPr="00B600FE">
              <w:rPr>
                <w:color w:val="000000"/>
                <w:szCs w:val="22"/>
              </w:rPr>
              <w:t>retardé le processus national d'octroi de licences</w:t>
            </w:r>
            <w:r w:rsidR="002A6C9C" w:rsidRPr="00B600FE">
              <w:rPr>
                <w:color w:val="000000"/>
                <w:szCs w:val="22"/>
              </w:rPr>
              <w:t xml:space="preserve"> </w:t>
            </w:r>
            <w:r w:rsidR="000A79FF" w:rsidRPr="00B600FE">
              <w:rPr>
                <w:color w:val="000000"/>
                <w:szCs w:val="22"/>
              </w:rPr>
              <w:t xml:space="preserve">et </w:t>
            </w:r>
            <w:r w:rsidR="001B0B78" w:rsidRPr="00B600FE">
              <w:rPr>
                <w:color w:val="000000"/>
                <w:szCs w:val="22"/>
              </w:rPr>
              <w:t xml:space="preserve">aux </w:t>
            </w:r>
            <w:r w:rsidR="000A79FF" w:rsidRPr="00B600FE">
              <w:rPr>
                <w:color w:val="000000"/>
                <w:szCs w:val="22"/>
              </w:rPr>
              <w:t>conséquences</w:t>
            </w:r>
            <w:r w:rsidR="002A6C9C" w:rsidRPr="00B600FE">
              <w:rPr>
                <w:color w:val="000000"/>
                <w:szCs w:val="22"/>
              </w:rPr>
              <w:t xml:space="preserve"> </w:t>
            </w:r>
            <w:r w:rsidR="000A79FF" w:rsidRPr="00B600FE">
              <w:rPr>
                <w:color w:val="000000"/>
                <w:szCs w:val="22"/>
              </w:rPr>
              <w:t>de la pandémie mondiale de COVID-19</w:t>
            </w:r>
            <w:r w:rsidR="002A6C9C" w:rsidRPr="00B600FE">
              <w:rPr>
                <w:color w:val="000000"/>
                <w:szCs w:val="22"/>
              </w:rPr>
              <w:t xml:space="preserve"> </w:t>
            </w:r>
            <w:r w:rsidR="000A79FF" w:rsidRPr="00B600FE">
              <w:rPr>
                <w:color w:val="000000"/>
                <w:szCs w:val="22"/>
              </w:rPr>
              <w:t>sur ces retards</w:t>
            </w:r>
            <w:r w:rsidR="00B929B4" w:rsidRPr="00B600FE">
              <w:rPr>
                <w:color w:val="000000"/>
                <w:szCs w:val="22"/>
              </w:rPr>
              <w:t>.</w:t>
            </w:r>
          </w:p>
          <w:p w14:paraId="27C052E0" w14:textId="1DCC5480" w:rsidR="00060360" w:rsidRPr="00B600FE" w:rsidRDefault="001B0B78" w:rsidP="005014D9">
            <w:pPr>
              <w:pStyle w:val="Tabletext"/>
              <w:tabs>
                <w:tab w:val="clear" w:pos="284"/>
              </w:tabs>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Le Comité a décidé qu</w:t>
            </w:r>
            <w:r w:rsidR="002A6C9C" w:rsidRPr="00B600FE">
              <w:rPr>
                <w:color w:val="000000"/>
                <w:szCs w:val="22"/>
              </w:rPr>
              <w:t>'</w:t>
            </w:r>
            <w:r w:rsidRPr="00B600FE">
              <w:rPr>
                <w:color w:val="000000"/>
                <w:szCs w:val="22"/>
              </w:rPr>
              <w:t>il n</w:t>
            </w:r>
            <w:r w:rsidR="002A6C9C" w:rsidRPr="00B600FE">
              <w:rPr>
                <w:color w:val="000000"/>
                <w:szCs w:val="22"/>
              </w:rPr>
              <w:t>'</w:t>
            </w:r>
            <w:r w:rsidRPr="00B600FE">
              <w:rPr>
                <w:color w:val="000000"/>
                <w:szCs w:val="22"/>
              </w:rPr>
              <w:t xml:space="preserve">y avait </w:t>
            </w:r>
            <w:r w:rsidRPr="00B600FE">
              <w:rPr>
                <w:color w:val="000000"/>
              </w:rPr>
              <w:t>pas suffisamment d'informations permettant de conclure</w:t>
            </w:r>
            <w:r w:rsidR="002A6C9C" w:rsidRPr="00B600FE">
              <w:rPr>
                <w:color w:val="000000"/>
              </w:rPr>
              <w:t xml:space="preserve"> </w:t>
            </w:r>
            <w:r w:rsidRPr="00B600FE">
              <w:rPr>
                <w:color w:val="000000"/>
                <w:szCs w:val="22"/>
              </w:rPr>
              <w:t xml:space="preserve">que la demande remplissait les conditions requises pour être considérée comme un cas de force majeure. Par conséquent, le Comité a également décidé qu'il n'était pas en mesure </w:t>
            </w:r>
            <w:r w:rsidRPr="00B600FE">
              <w:rPr>
                <w:color w:val="000000"/>
                <w:szCs w:val="22"/>
              </w:rPr>
              <w:lastRenderedPageBreak/>
              <w:t>d'accorder une prorogation du délai réglementaire applicable à la remise en service des assignations de fréquence du réseau à satellite AFRIBSS jusqu'au 31 janvier 2022.</w:t>
            </w:r>
            <w:r w:rsidRPr="00B600FE">
              <w:t xml:space="preserve"> </w:t>
            </w:r>
            <w:r w:rsidRPr="00B600FE">
              <w:rPr>
                <w:color w:val="000000"/>
                <w:szCs w:val="22"/>
              </w:rPr>
              <w:t>Le Comité a chargé le Bureau de continuer de prendre en considération les assignations de fréquence</w:t>
            </w:r>
            <w:r w:rsidR="002A6C9C" w:rsidRPr="00B600FE">
              <w:rPr>
                <w:color w:val="000000"/>
                <w:szCs w:val="22"/>
              </w:rPr>
              <w:t xml:space="preserve"> </w:t>
            </w:r>
            <w:r w:rsidRPr="00B600FE">
              <w:rPr>
                <w:color w:val="000000"/>
                <w:szCs w:val="22"/>
              </w:rPr>
              <w:t>du réseau à satellite</w:t>
            </w:r>
            <w:r w:rsidR="002A6C9C" w:rsidRPr="00B600FE">
              <w:rPr>
                <w:color w:val="000000"/>
                <w:szCs w:val="22"/>
              </w:rPr>
              <w:t xml:space="preserve"> </w:t>
            </w:r>
            <w:r w:rsidRPr="00B600FE">
              <w:rPr>
                <w:color w:val="000000"/>
                <w:szCs w:val="22"/>
              </w:rPr>
              <w:t>AFRIBSS jusqu'à la fin</w:t>
            </w:r>
            <w:r w:rsidRPr="00B600FE">
              <w:t xml:space="preserve"> </w:t>
            </w:r>
            <w:r w:rsidRPr="00B600FE">
              <w:rPr>
                <w:color w:val="000000"/>
                <w:szCs w:val="22"/>
              </w:rPr>
              <w:t>de la 88ème réunion du Comité</w:t>
            </w:r>
            <w:r w:rsidR="00B929B4" w:rsidRPr="00B600FE">
              <w:rPr>
                <w:color w:val="000000"/>
                <w:szCs w:val="22"/>
              </w:rPr>
              <w:t>.</w:t>
            </w:r>
          </w:p>
        </w:tc>
        <w:tc>
          <w:tcPr>
            <w:tcW w:w="3395" w:type="dxa"/>
          </w:tcPr>
          <w:p w14:paraId="20EC4AD1" w14:textId="77777777" w:rsidR="00060360" w:rsidRPr="00B600FE" w:rsidRDefault="004D4EE2"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à l'administration concernée.</w:t>
            </w:r>
          </w:p>
          <w:p w14:paraId="18381F6A" w14:textId="70B8DC52" w:rsidR="004D4EE2" w:rsidRPr="00B600FE" w:rsidRDefault="001B0B78" w:rsidP="005014D9">
            <w:pPr>
              <w:pStyle w:val="Tabletext"/>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B600FE">
              <w:rPr>
                <w:szCs w:val="22"/>
              </w:rPr>
              <w:lastRenderedPageBreak/>
              <w:t xml:space="preserve">Le </w:t>
            </w:r>
            <w:r w:rsidR="004D4EE2" w:rsidRPr="00B600FE">
              <w:rPr>
                <w:szCs w:val="22"/>
              </w:rPr>
              <w:t>Bureau</w:t>
            </w:r>
            <w:r w:rsidRPr="00B600FE">
              <w:rPr>
                <w:color w:val="000000"/>
                <w:szCs w:val="22"/>
              </w:rPr>
              <w:t xml:space="preserve"> continuera de prendre en considération les assignations de fréquence</w:t>
            </w:r>
            <w:r w:rsidR="002A6C9C" w:rsidRPr="00B600FE">
              <w:rPr>
                <w:color w:val="000000"/>
                <w:szCs w:val="22"/>
              </w:rPr>
              <w:t xml:space="preserve"> </w:t>
            </w:r>
            <w:r w:rsidRPr="00B600FE">
              <w:rPr>
                <w:color w:val="000000"/>
                <w:szCs w:val="22"/>
              </w:rPr>
              <w:t>du réseau à satellite</w:t>
            </w:r>
            <w:r w:rsidR="002A6C9C" w:rsidRPr="00B600FE">
              <w:rPr>
                <w:color w:val="000000"/>
                <w:szCs w:val="22"/>
              </w:rPr>
              <w:t xml:space="preserve"> </w:t>
            </w:r>
            <w:r w:rsidRPr="00B600FE">
              <w:rPr>
                <w:color w:val="000000"/>
                <w:szCs w:val="22"/>
              </w:rPr>
              <w:t>AFRIBSS jusqu'à la fin</w:t>
            </w:r>
            <w:r w:rsidRPr="00B600FE">
              <w:t xml:space="preserve"> </w:t>
            </w:r>
            <w:r w:rsidR="002515EF">
              <w:rPr>
                <w:color w:val="000000"/>
                <w:szCs w:val="22"/>
              </w:rPr>
              <w:t>de la </w:t>
            </w:r>
            <w:r w:rsidRPr="00B600FE">
              <w:rPr>
                <w:color w:val="000000"/>
                <w:szCs w:val="22"/>
              </w:rPr>
              <w:t>88ème réunion du Comité</w:t>
            </w:r>
            <w:r w:rsidR="00B929B4" w:rsidRPr="00B600FE">
              <w:rPr>
                <w:color w:val="000000"/>
                <w:szCs w:val="22"/>
              </w:rPr>
              <w:t>.</w:t>
            </w:r>
          </w:p>
        </w:tc>
      </w:tr>
      <w:tr w:rsidR="00822398" w:rsidRPr="00B600FE" w14:paraId="174D4D17" w14:textId="77777777" w:rsidTr="006D2DE8">
        <w:trPr>
          <w:trHeight w:val="1842"/>
        </w:trPr>
        <w:tc>
          <w:tcPr>
            <w:cnfStyle w:val="001000000000" w:firstRow="0" w:lastRow="0" w:firstColumn="1" w:lastColumn="0" w:oddVBand="0" w:evenVBand="0" w:oddHBand="0" w:evenHBand="0" w:firstRowFirstColumn="0" w:firstRowLastColumn="0" w:lastRowFirstColumn="0" w:lastRowLastColumn="0"/>
            <w:tcW w:w="846" w:type="dxa"/>
            <w:hideMark/>
          </w:tcPr>
          <w:p w14:paraId="360BB8DF" w14:textId="613A6181" w:rsidR="00822398" w:rsidRPr="00B600FE" w:rsidRDefault="00822398" w:rsidP="005014D9">
            <w:pPr>
              <w:pStyle w:val="Tabletext"/>
              <w:jc w:val="center"/>
              <w:rPr>
                <w:szCs w:val="22"/>
              </w:rPr>
            </w:pPr>
            <w:r w:rsidRPr="00B600FE">
              <w:rPr>
                <w:szCs w:val="22"/>
              </w:rPr>
              <w:lastRenderedPageBreak/>
              <w:t>6</w:t>
            </w:r>
          </w:p>
        </w:tc>
        <w:tc>
          <w:tcPr>
            <w:tcW w:w="3827" w:type="dxa"/>
            <w:hideMark/>
          </w:tcPr>
          <w:p w14:paraId="7AC00E89" w14:textId="370D204C" w:rsidR="00822398"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des États-Unis concernant le statut du réseau à satellite USABSS-38</w:t>
            </w:r>
            <w:r w:rsidR="00822398" w:rsidRPr="00B600FE">
              <w:rPr>
                <w:szCs w:val="22"/>
              </w:rPr>
              <w:br/>
            </w:r>
            <w:hyperlink r:id="rId31" w:history="1">
              <w:r w:rsidRPr="00B600FE">
                <w:rPr>
                  <w:rStyle w:val="Hyperlink"/>
                </w:rPr>
                <w:t>RRB21-2/4</w:t>
              </w:r>
            </w:hyperlink>
          </w:p>
        </w:tc>
        <w:tc>
          <w:tcPr>
            <w:tcW w:w="6662" w:type="dxa"/>
            <w:hideMark/>
          </w:tcPr>
          <w:p w14:paraId="7D09A9A8" w14:textId="66C797BD" w:rsidR="001B0B78" w:rsidRPr="00B600FE" w:rsidRDefault="001B0B78"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examiné de manière détaillée la demande de l'Administration des </w:t>
            </w:r>
            <w:r w:rsidR="00FD582E" w:rsidRPr="00B600FE">
              <w:rPr>
                <w:color w:val="000000"/>
                <w:szCs w:val="22"/>
              </w:rPr>
              <w:t>É</w:t>
            </w:r>
            <w:r w:rsidRPr="00B600FE">
              <w:rPr>
                <w:color w:val="000000"/>
                <w:szCs w:val="22"/>
              </w:rPr>
              <w:t xml:space="preserve">tats-Unis contenue dans le Document </w:t>
            </w:r>
            <w:r w:rsidRPr="00B600FE">
              <w:rPr>
                <w:szCs w:val="22"/>
              </w:rPr>
              <w:t>RRB21-2/4</w:t>
            </w:r>
            <w:r w:rsidRPr="00B600FE">
              <w:rPr>
                <w:color w:val="000000"/>
                <w:szCs w:val="22"/>
              </w:rPr>
              <w:t>. Le Comité a noté</w:t>
            </w:r>
            <w:r w:rsidR="002A6C9C" w:rsidRPr="00B600FE">
              <w:rPr>
                <w:color w:val="000000"/>
                <w:szCs w:val="22"/>
              </w:rPr>
              <w:t>:</w:t>
            </w:r>
          </w:p>
          <w:p w14:paraId="4CE79A9F" w14:textId="37708DFD" w:rsidR="00060360" w:rsidRPr="00B600FE" w:rsidRDefault="00FD582E" w:rsidP="005014D9">
            <w:pPr>
              <w:pStyle w:val="Tabletext"/>
              <w:ind w:left="284" w:hanging="284"/>
              <w:cnfStyle w:val="000000000000" w:firstRow="0" w:lastRow="0" w:firstColumn="0" w:lastColumn="0" w:oddVBand="0" w:evenVBand="0" w:oddHBand="0" w:evenHBand="0" w:firstRowFirstColumn="0" w:firstRowLastColumn="0" w:lastRowFirstColumn="0" w:lastRowLastColumn="0"/>
            </w:pPr>
            <w:r w:rsidRPr="00B600FE">
              <w:rPr>
                <w:color w:val="000000"/>
                <w:szCs w:val="22"/>
              </w:rPr>
              <w:t>•</w:t>
            </w:r>
            <w:r w:rsidRPr="00B600FE">
              <w:rPr>
                <w:color w:val="000000"/>
                <w:szCs w:val="22"/>
              </w:rPr>
              <w:tab/>
            </w:r>
            <w:r w:rsidRPr="00B600FE">
              <w:t>q</w:t>
            </w:r>
            <w:r w:rsidR="001B0B78" w:rsidRPr="00B600FE">
              <w:t xml:space="preserve">ue l'Administration des </w:t>
            </w:r>
            <w:r w:rsidRPr="00B600FE">
              <w:t>É</w:t>
            </w:r>
            <w:r w:rsidR="001B0B78" w:rsidRPr="00B600FE">
              <w:t>tats-Unis n'avait pas réagi au rappel envoyé par le Bureau six mois avant le délai réglementaire pour indiquer qu</w:t>
            </w:r>
            <w:r w:rsidR="002A6C9C" w:rsidRPr="00B600FE">
              <w:t>'</w:t>
            </w:r>
            <w:r w:rsidR="001B0B78" w:rsidRPr="00B600FE">
              <w:t>il était nécessaire</w:t>
            </w:r>
            <w:r w:rsidR="002A6C9C" w:rsidRPr="00B600FE">
              <w:t xml:space="preserve"> </w:t>
            </w:r>
            <w:r w:rsidR="001B0B78" w:rsidRPr="00B600FE">
              <w:t xml:space="preserve">de soumettre les renseignements au titre de la Résolution </w:t>
            </w:r>
            <w:r w:rsidR="001B0B78" w:rsidRPr="00B600FE">
              <w:rPr>
                <w:b/>
                <w:bCs/>
              </w:rPr>
              <w:t>49 (</w:t>
            </w:r>
            <w:r w:rsidR="000E376F" w:rsidRPr="00B600FE">
              <w:rPr>
                <w:b/>
                <w:bCs/>
              </w:rPr>
              <w:t>Rév.</w:t>
            </w:r>
            <w:r w:rsidR="001B0B78" w:rsidRPr="00B600FE">
              <w:rPr>
                <w:b/>
                <w:bCs/>
              </w:rPr>
              <w:t>CMR-19)</w:t>
            </w:r>
            <w:r w:rsidR="001B0B78" w:rsidRPr="00B600FE">
              <w:t xml:space="preserve"> et de mener à bonne fin la procédure applicable à la mise en service décrite dans l'Appendice</w:t>
            </w:r>
            <w:r w:rsidRPr="00B600FE">
              <w:t> </w:t>
            </w:r>
            <w:r w:rsidR="001B0B78" w:rsidRPr="00B600FE">
              <w:rPr>
                <w:b/>
                <w:bCs/>
              </w:rPr>
              <w:t>30</w:t>
            </w:r>
            <w:r w:rsidR="002A6C9C" w:rsidRPr="00B600FE">
              <w:t>;</w:t>
            </w:r>
          </w:p>
          <w:p w14:paraId="5FB1E887" w14:textId="2FB56151" w:rsidR="00716B1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716B10" w:rsidRPr="00B600FE">
              <w:rPr>
                <w:color w:val="000000"/>
                <w:szCs w:val="22"/>
              </w:rPr>
              <w:t xml:space="preserve">que l'Administration des </w:t>
            </w:r>
            <w:r w:rsidR="00FD582E" w:rsidRPr="00B600FE">
              <w:rPr>
                <w:color w:val="000000"/>
                <w:szCs w:val="22"/>
              </w:rPr>
              <w:t>É</w:t>
            </w:r>
            <w:r w:rsidR="00716B10" w:rsidRPr="00B600FE">
              <w:rPr>
                <w:color w:val="000000"/>
                <w:szCs w:val="22"/>
              </w:rPr>
              <w:t>tats-Unis avait présenté les informations requises au titre de</w:t>
            </w:r>
            <w:r w:rsidR="002A6C9C" w:rsidRPr="00B600FE">
              <w:rPr>
                <w:color w:val="000000"/>
                <w:szCs w:val="22"/>
              </w:rPr>
              <w:t xml:space="preserve"> </w:t>
            </w:r>
            <w:r w:rsidR="00716B10" w:rsidRPr="00B600FE">
              <w:rPr>
                <w:color w:val="000000"/>
                <w:szCs w:val="22"/>
              </w:rPr>
              <w:t xml:space="preserve">la Résolution </w:t>
            </w:r>
            <w:r w:rsidR="00716B10" w:rsidRPr="00B600FE">
              <w:rPr>
                <w:b/>
                <w:bCs/>
                <w:color w:val="000000"/>
                <w:szCs w:val="22"/>
              </w:rPr>
              <w:t>49 (Rév.CMR-19)</w:t>
            </w:r>
            <w:r w:rsidR="00716B10" w:rsidRPr="00B600FE">
              <w:rPr>
                <w:color w:val="000000"/>
                <w:szCs w:val="22"/>
              </w:rPr>
              <w:t>, la soumission au titre de la Partie B et la notification six jours après que le Bureau a informé l'administration de la suppression des assignations de fréquence du réseau à satellite USABSS-38</w:t>
            </w:r>
            <w:r w:rsidR="002A6C9C" w:rsidRPr="00B600FE">
              <w:rPr>
                <w:color w:val="000000"/>
                <w:szCs w:val="22"/>
              </w:rPr>
              <w:t>;</w:t>
            </w:r>
          </w:p>
          <w:p w14:paraId="2CC0135A" w14:textId="2FF3468E" w:rsidR="00060360" w:rsidRPr="00B600FE" w:rsidRDefault="00FD582E" w:rsidP="005014D9">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pPr>
            <w:r w:rsidRPr="00B600FE">
              <w:rPr>
                <w:color w:val="000000"/>
                <w:szCs w:val="22"/>
              </w:rPr>
              <w:t>•</w:t>
            </w:r>
            <w:r w:rsidRPr="00B600FE">
              <w:rPr>
                <w:color w:val="000000"/>
                <w:szCs w:val="22"/>
              </w:rPr>
              <w:tab/>
              <w:t>q</w:t>
            </w:r>
            <w:r w:rsidR="00716B10" w:rsidRPr="00B600FE">
              <w:t>ue l'</w:t>
            </w:r>
            <w:r w:rsidR="002515EF">
              <w:t>A</w:t>
            </w:r>
            <w:r w:rsidR="00716B10" w:rsidRPr="00B600FE">
              <w:t>dministration des États-Unis avait confirmé que les assignations de fréquence</w:t>
            </w:r>
            <w:r w:rsidR="002A6C9C" w:rsidRPr="00B600FE">
              <w:t xml:space="preserve"> </w:t>
            </w:r>
            <w:r w:rsidR="00716B10" w:rsidRPr="00B600FE">
              <w:t>du réseau</w:t>
            </w:r>
            <w:r w:rsidR="002A6C9C" w:rsidRPr="00B600FE">
              <w:t xml:space="preserve"> </w:t>
            </w:r>
            <w:r w:rsidR="00716B10" w:rsidRPr="00B600FE">
              <w:t>à satellite</w:t>
            </w:r>
            <w:r w:rsidR="002A6C9C" w:rsidRPr="00B600FE">
              <w:t xml:space="preserve"> </w:t>
            </w:r>
            <w:r w:rsidR="00716B10" w:rsidRPr="00B600FE">
              <w:t>USABSS-38 avaient été mises en service et que le Bureau avait également confirmé qu'un satellite était opérationnel</w:t>
            </w:r>
            <w:r w:rsidR="002A6C9C" w:rsidRPr="00B600FE">
              <w:t xml:space="preserve"> </w:t>
            </w:r>
            <w:r w:rsidR="00716B10" w:rsidRPr="00B600FE">
              <w:t>à</w:t>
            </w:r>
            <w:r w:rsidR="002A6C9C" w:rsidRPr="00B600FE">
              <w:t xml:space="preserve"> </w:t>
            </w:r>
            <w:r w:rsidR="00716B10" w:rsidRPr="00B600FE">
              <w:t>la position orbitale depuis mai 2012 et qu</w:t>
            </w:r>
            <w:r w:rsidR="002A6C9C" w:rsidRPr="00B600FE">
              <w:t>'</w:t>
            </w:r>
            <w:r w:rsidR="00716B10" w:rsidRPr="00B600FE">
              <w:t>à ce titre, la suppression aurait des incidences négatives sur les utilisateurs finals</w:t>
            </w:r>
            <w:r w:rsidR="002A6C9C" w:rsidRPr="00B600FE">
              <w:t>;</w:t>
            </w:r>
            <w:r w:rsidR="0071566D" w:rsidRPr="00B600FE">
              <w:t xml:space="preserve"> </w:t>
            </w:r>
          </w:p>
          <w:p w14:paraId="5FB339F0" w14:textId="1C17DF31"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71566D" w:rsidRPr="00B600FE">
              <w:rPr>
                <w:color w:val="000000"/>
                <w:szCs w:val="22"/>
              </w:rPr>
              <w:t>que bien qu'il s'agisse d'un autre cas dans lequel l'Administration des États-Unis n</w:t>
            </w:r>
            <w:r w:rsidR="002A6C9C" w:rsidRPr="00B600FE">
              <w:rPr>
                <w:color w:val="000000"/>
                <w:szCs w:val="22"/>
              </w:rPr>
              <w:t>'</w:t>
            </w:r>
            <w:r w:rsidR="0071566D" w:rsidRPr="00B600FE">
              <w:rPr>
                <w:color w:val="000000"/>
                <w:szCs w:val="22"/>
              </w:rPr>
              <w:t>avait pas respecté les</w:t>
            </w:r>
            <w:r w:rsidR="002A6C9C" w:rsidRPr="00B600FE">
              <w:rPr>
                <w:color w:val="000000"/>
                <w:szCs w:val="22"/>
              </w:rPr>
              <w:t xml:space="preserve"> </w:t>
            </w:r>
            <w:r w:rsidR="0071566D" w:rsidRPr="00B600FE">
              <w:rPr>
                <w:color w:val="000000"/>
                <w:szCs w:val="22"/>
              </w:rPr>
              <w:t>délais réglementaires</w:t>
            </w:r>
            <w:r w:rsidR="002A6C9C" w:rsidRPr="00B600FE">
              <w:rPr>
                <w:color w:val="000000"/>
                <w:szCs w:val="22"/>
              </w:rPr>
              <w:t>,</w:t>
            </w:r>
            <w:r w:rsidR="0071566D" w:rsidRPr="00B600FE">
              <w:rPr>
                <w:color w:val="000000"/>
                <w:szCs w:val="22"/>
              </w:rPr>
              <w:t xml:space="preserve"> cette</w:t>
            </w:r>
            <w:r w:rsidR="0071566D" w:rsidRPr="00B600FE">
              <w:rPr>
                <w:szCs w:val="22"/>
              </w:rPr>
              <w:t xml:space="preserve"> administration</w:t>
            </w:r>
            <w:r w:rsidR="002A6C9C" w:rsidRPr="00B600FE">
              <w:rPr>
                <w:szCs w:val="22"/>
              </w:rPr>
              <w:t xml:space="preserve"> </w:t>
            </w:r>
            <w:r w:rsidR="0071566D" w:rsidRPr="00B600FE">
              <w:rPr>
                <w:color w:val="000000"/>
                <w:szCs w:val="22"/>
              </w:rPr>
              <w:t xml:space="preserve">avait par la suite pris des mesures pour éviter que de tels cas ne se reproduisent et que la </w:t>
            </w:r>
            <w:r w:rsidR="002515EF">
              <w:rPr>
                <w:color w:val="000000"/>
                <w:szCs w:val="22"/>
              </w:rPr>
              <w:t>pandémie mondiale de </w:t>
            </w:r>
            <w:r w:rsidR="0071566D" w:rsidRPr="00B600FE">
              <w:rPr>
                <w:color w:val="000000"/>
                <w:szCs w:val="22"/>
              </w:rPr>
              <w:t>COVID</w:t>
            </w:r>
            <w:r w:rsidR="00FD582E" w:rsidRPr="00B600FE">
              <w:rPr>
                <w:color w:val="000000"/>
                <w:szCs w:val="22"/>
              </w:rPr>
              <w:noBreakHyphen/>
            </w:r>
            <w:r w:rsidR="0071566D" w:rsidRPr="00B600FE">
              <w:rPr>
                <w:color w:val="000000"/>
                <w:szCs w:val="22"/>
              </w:rPr>
              <w:t>19 avait contribué aux retards pris</w:t>
            </w:r>
            <w:r w:rsidR="002A6C9C" w:rsidRPr="00B600FE">
              <w:rPr>
                <w:color w:val="000000"/>
                <w:szCs w:val="22"/>
              </w:rPr>
              <w:t xml:space="preserve"> </w:t>
            </w:r>
            <w:r w:rsidR="0071566D" w:rsidRPr="00B600FE">
              <w:rPr>
                <w:color w:val="000000"/>
                <w:szCs w:val="22"/>
              </w:rPr>
              <w:t xml:space="preserve">dans les </w:t>
            </w:r>
            <w:r w:rsidR="0071566D" w:rsidRPr="00B600FE">
              <w:rPr>
                <w:color w:val="000000"/>
              </w:rPr>
              <w:t>procédures administratives</w:t>
            </w:r>
            <w:r w:rsidR="0071566D" w:rsidRPr="00B600FE">
              <w:rPr>
                <w:color w:val="000000"/>
                <w:szCs w:val="22"/>
              </w:rPr>
              <w:t xml:space="preserve">; </w:t>
            </w:r>
          </w:p>
          <w:p w14:paraId="79C288A5" w14:textId="41F19EDF"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71566D" w:rsidRPr="00B600FE">
              <w:rPr>
                <w:color w:val="000000"/>
                <w:szCs w:val="22"/>
              </w:rPr>
              <w:t xml:space="preserve">que l'Administration des </w:t>
            </w:r>
            <w:r w:rsidR="00FD582E" w:rsidRPr="00B600FE">
              <w:rPr>
                <w:color w:val="000000"/>
                <w:szCs w:val="22"/>
              </w:rPr>
              <w:t>É</w:t>
            </w:r>
            <w:r w:rsidR="0071566D" w:rsidRPr="00B600FE">
              <w:rPr>
                <w:color w:val="000000"/>
                <w:szCs w:val="22"/>
              </w:rPr>
              <w:t>tats-Unis avait demandé que les assignations du réseau à satellite USABSS-38 soient inscrites à titre provisoire</w:t>
            </w:r>
            <w:r w:rsidR="002A6C9C" w:rsidRPr="00B600FE">
              <w:rPr>
                <w:color w:val="000000"/>
                <w:szCs w:val="22"/>
              </w:rPr>
              <w:t xml:space="preserve"> </w:t>
            </w:r>
            <w:r w:rsidR="0071566D" w:rsidRPr="00B600FE">
              <w:rPr>
                <w:color w:val="000000"/>
                <w:szCs w:val="22"/>
              </w:rPr>
              <w:t xml:space="preserve">dans la Liste de l'Appendice </w:t>
            </w:r>
            <w:r w:rsidR="0071566D" w:rsidRPr="00B600FE">
              <w:rPr>
                <w:b/>
                <w:bCs/>
                <w:color w:val="000000"/>
                <w:szCs w:val="22"/>
              </w:rPr>
              <w:t>30</w:t>
            </w:r>
            <w:r w:rsidR="0071566D" w:rsidRPr="00B600FE">
              <w:rPr>
                <w:color w:val="000000"/>
                <w:szCs w:val="22"/>
              </w:rPr>
              <w:t xml:space="preserve"> en invoquant le </w:t>
            </w:r>
            <w:r w:rsidR="00C930D4" w:rsidRPr="00B600FE">
              <w:rPr>
                <w:color w:val="000000"/>
                <w:szCs w:val="22"/>
              </w:rPr>
              <w:t xml:space="preserve">§ </w:t>
            </w:r>
            <w:r w:rsidR="0071566D" w:rsidRPr="00B600FE">
              <w:rPr>
                <w:color w:val="000000"/>
                <w:szCs w:val="22"/>
              </w:rPr>
              <w:t>4.1.18</w:t>
            </w:r>
            <w:r w:rsidR="002A6C9C" w:rsidRPr="00B600FE">
              <w:rPr>
                <w:color w:val="000000"/>
                <w:szCs w:val="22"/>
              </w:rPr>
              <w:t xml:space="preserve"> </w:t>
            </w:r>
            <w:r w:rsidR="0071566D" w:rsidRPr="00B600FE">
              <w:rPr>
                <w:color w:val="000000"/>
                <w:szCs w:val="22"/>
              </w:rPr>
              <w:t>dudit Appendice</w:t>
            </w:r>
            <w:r w:rsidR="002A6C9C" w:rsidRPr="00B600FE">
              <w:rPr>
                <w:color w:val="000000"/>
                <w:szCs w:val="22"/>
              </w:rPr>
              <w:t>;</w:t>
            </w:r>
          </w:p>
          <w:p w14:paraId="1072F007" w14:textId="6152D72E" w:rsidR="00E36D71"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lastRenderedPageBreak/>
              <w:t>•</w:t>
            </w:r>
            <w:r w:rsidRPr="00B600FE">
              <w:rPr>
                <w:color w:val="000000"/>
                <w:szCs w:val="22"/>
              </w:rPr>
              <w:tab/>
            </w:r>
            <w:r w:rsidR="0071566D" w:rsidRPr="00B600FE">
              <w:rPr>
                <w:color w:val="000000"/>
                <w:szCs w:val="22"/>
              </w:rPr>
              <w:t>que</w:t>
            </w:r>
            <w:r w:rsidR="0071566D" w:rsidRPr="00B600FE">
              <w:t xml:space="preserve"> </w:t>
            </w:r>
            <w:r w:rsidR="0071566D" w:rsidRPr="00B600FE">
              <w:rPr>
                <w:color w:val="000000"/>
                <w:szCs w:val="22"/>
              </w:rPr>
              <w:t>le rétablissement des assignations de fréquence</w:t>
            </w:r>
            <w:r w:rsidR="002A6C9C" w:rsidRPr="00B600FE">
              <w:rPr>
                <w:color w:val="000000"/>
                <w:szCs w:val="22"/>
              </w:rPr>
              <w:t xml:space="preserve"> </w:t>
            </w:r>
            <w:r w:rsidR="0071566D" w:rsidRPr="00B600FE">
              <w:rPr>
                <w:color w:val="000000"/>
                <w:szCs w:val="22"/>
              </w:rPr>
              <w:t>du réseau à satellite USABSS-38 n'aurait pas d'incidences négatives sur les réseaux à satellite d'autres administrations.</w:t>
            </w:r>
          </w:p>
          <w:p w14:paraId="34FAA192" w14:textId="482F2EFC" w:rsidR="00822398" w:rsidRPr="00B600FE" w:rsidRDefault="00E36D71"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En conséquence, et étant donné qu</w:t>
            </w:r>
            <w:r w:rsidR="002A6C9C" w:rsidRPr="00B600FE">
              <w:rPr>
                <w:szCs w:val="22"/>
              </w:rPr>
              <w:t>'</w:t>
            </w:r>
            <w:r w:rsidRPr="00B600FE">
              <w:rPr>
                <w:szCs w:val="22"/>
              </w:rPr>
              <w:t>un</w:t>
            </w:r>
            <w:r w:rsidRPr="00B600FE">
              <w:t xml:space="preserve"> </w:t>
            </w:r>
            <w:r w:rsidRPr="00B600FE">
              <w:rPr>
                <w:szCs w:val="22"/>
              </w:rPr>
              <w:t>cas analogue s'est présenté</w:t>
            </w:r>
            <w:r w:rsidR="002A6C9C" w:rsidRPr="00B600FE">
              <w:rPr>
                <w:szCs w:val="22"/>
              </w:rPr>
              <w:t xml:space="preserve"> </w:t>
            </w:r>
            <w:r w:rsidRPr="00B600FE">
              <w:rPr>
                <w:szCs w:val="22"/>
              </w:rPr>
              <w:t xml:space="preserve">à </w:t>
            </w:r>
            <w:r w:rsidR="00E5015D" w:rsidRPr="00B600FE">
              <w:rPr>
                <w:szCs w:val="22"/>
              </w:rPr>
              <w:t>l</w:t>
            </w:r>
            <w:r w:rsidR="002515EF">
              <w:rPr>
                <w:szCs w:val="22"/>
              </w:rPr>
              <w:t>a </w:t>
            </w:r>
            <w:r w:rsidRPr="00B600FE">
              <w:rPr>
                <w:szCs w:val="22"/>
              </w:rPr>
              <w:t>84</w:t>
            </w:r>
            <w:r w:rsidR="00FD582E" w:rsidRPr="00B600FE">
              <w:rPr>
                <w:szCs w:val="22"/>
              </w:rPr>
              <w:t>ème </w:t>
            </w:r>
            <w:r w:rsidRPr="00B600FE">
              <w:rPr>
                <w:szCs w:val="22"/>
              </w:rPr>
              <w:t xml:space="preserve">réunion, le Comité a décidé d'accéder à la demande de l'Administration des </w:t>
            </w:r>
            <w:r w:rsidR="00FD582E" w:rsidRPr="00B600FE">
              <w:rPr>
                <w:szCs w:val="22"/>
              </w:rPr>
              <w:t>É</w:t>
            </w:r>
            <w:r w:rsidRPr="00B600FE">
              <w:rPr>
                <w:szCs w:val="22"/>
              </w:rPr>
              <w:t xml:space="preserve">tats-Unis. Le Comité a </w:t>
            </w:r>
            <w:r w:rsidR="00D35D39" w:rsidRPr="00B600FE">
              <w:rPr>
                <w:szCs w:val="22"/>
              </w:rPr>
              <w:t>chargé le</w:t>
            </w:r>
            <w:r w:rsidRPr="00B600FE">
              <w:rPr>
                <w:szCs w:val="22"/>
              </w:rPr>
              <w:t xml:space="preserve"> Bureau de rétablir les assignations de fréquence </w:t>
            </w:r>
            <w:r w:rsidR="00D35D39" w:rsidRPr="00B600FE">
              <w:rPr>
                <w:szCs w:val="22"/>
              </w:rPr>
              <w:t>d</w:t>
            </w:r>
            <w:r w:rsidRPr="00B600FE">
              <w:rPr>
                <w:szCs w:val="22"/>
              </w:rPr>
              <w:t>u réseau à satellite USABSS-38</w:t>
            </w:r>
            <w:r w:rsidR="00D35D39" w:rsidRPr="00B600FE">
              <w:rPr>
                <w:szCs w:val="22"/>
              </w:rPr>
              <w:t>,</w:t>
            </w:r>
            <w:r w:rsidRPr="00B600FE">
              <w:rPr>
                <w:szCs w:val="22"/>
              </w:rPr>
              <w:t xml:space="preserve"> avec </w:t>
            </w:r>
            <w:r w:rsidR="00D35D39" w:rsidRPr="00B600FE">
              <w:rPr>
                <w:szCs w:val="22"/>
              </w:rPr>
              <w:t xml:space="preserve">la </w:t>
            </w:r>
            <w:r w:rsidRPr="00B600FE">
              <w:rPr>
                <w:szCs w:val="22"/>
              </w:rPr>
              <w:t xml:space="preserve">nouvelle date de réception du 13 juillet 2021 pour les soumissions </w:t>
            </w:r>
            <w:r w:rsidR="00D35D39" w:rsidRPr="00B600FE">
              <w:rPr>
                <w:szCs w:val="22"/>
              </w:rPr>
              <w:t xml:space="preserve">au titre </w:t>
            </w:r>
            <w:r w:rsidRPr="00B600FE">
              <w:rPr>
                <w:szCs w:val="22"/>
              </w:rPr>
              <w:t xml:space="preserve">de la </w:t>
            </w:r>
            <w:r w:rsidR="00D35D39" w:rsidRPr="00B600FE">
              <w:rPr>
                <w:szCs w:val="22"/>
              </w:rPr>
              <w:t>P</w:t>
            </w:r>
            <w:r w:rsidRPr="00B600FE">
              <w:rPr>
                <w:szCs w:val="22"/>
              </w:rPr>
              <w:t>artie B et</w:t>
            </w:r>
            <w:r w:rsidR="00D35D39" w:rsidRPr="00B600FE">
              <w:rPr>
                <w:szCs w:val="22"/>
              </w:rPr>
              <w:t xml:space="preserve"> les soumissions</w:t>
            </w:r>
            <w:r w:rsidRPr="00B600FE">
              <w:rPr>
                <w:szCs w:val="22"/>
              </w:rPr>
              <w:t xml:space="preserve"> </w:t>
            </w:r>
            <w:r w:rsidR="00D35D39" w:rsidRPr="00B600FE">
              <w:rPr>
                <w:color w:val="000000"/>
              </w:rPr>
              <w:t>relatives à</w:t>
            </w:r>
            <w:r w:rsidR="002A6C9C" w:rsidRPr="00B600FE">
              <w:rPr>
                <w:color w:val="000000"/>
              </w:rPr>
              <w:t xml:space="preserve"> </w:t>
            </w:r>
            <w:r w:rsidRPr="00B600FE">
              <w:rPr>
                <w:szCs w:val="22"/>
              </w:rPr>
              <w:t>la notification</w:t>
            </w:r>
            <w:r w:rsidR="00FD582E" w:rsidRPr="00B600FE">
              <w:rPr>
                <w:szCs w:val="22"/>
              </w:rPr>
              <w:t>.</w:t>
            </w:r>
          </w:p>
        </w:tc>
        <w:tc>
          <w:tcPr>
            <w:tcW w:w="3395" w:type="dxa"/>
            <w:hideMark/>
          </w:tcPr>
          <w:p w14:paraId="0E152500"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à l'administration concernée.</w:t>
            </w:r>
          </w:p>
          <w:p w14:paraId="5C392500" w14:textId="72064805"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 xml:space="preserve">Le Bureau </w:t>
            </w:r>
            <w:r w:rsidR="00D35D39" w:rsidRPr="00B600FE">
              <w:rPr>
                <w:szCs w:val="22"/>
              </w:rPr>
              <w:t>rétablira les assignations de fréquence du réseau à satellite USABSS-38, avec la nouvelle date de réception du 13 juillet 2021 pour les soumissions au titre de la Partie</w:t>
            </w:r>
            <w:r w:rsidR="00FD582E" w:rsidRPr="00B600FE">
              <w:rPr>
                <w:szCs w:val="22"/>
              </w:rPr>
              <w:t> </w:t>
            </w:r>
            <w:r w:rsidR="00D35D39" w:rsidRPr="00B600FE">
              <w:rPr>
                <w:szCs w:val="22"/>
              </w:rPr>
              <w:t xml:space="preserve">B et les soumissions </w:t>
            </w:r>
            <w:r w:rsidR="00D35D39" w:rsidRPr="00B600FE">
              <w:rPr>
                <w:color w:val="000000"/>
              </w:rPr>
              <w:t>relatives à</w:t>
            </w:r>
            <w:r w:rsidR="002A6C9C" w:rsidRPr="00B600FE">
              <w:rPr>
                <w:color w:val="000000"/>
              </w:rPr>
              <w:t xml:space="preserve"> </w:t>
            </w:r>
            <w:r w:rsidR="00D35D39" w:rsidRPr="00B600FE">
              <w:rPr>
                <w:szCs w:val="22"/>
              </w:rPr>
              <w:t>la notification.</w:t>
            </w:r>
          </w:p>
        </w:tc>
      </w:tr>
      <w:tr w:rsidR="00822398" w:rsidRPr="00B600FE" w14:paraId="2E0D1C7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3245F5E1" w14:textId="77777777" w:rsidR="00822398" w:rsidRPr="00B600FE" w:rsidRDefault="00822398" w:rsidP="005014D9">
            <w:pPr>
              <w:pStyle w:val="Tabletext"/>
              <w:jc w:val="center"/>
              <w:rPr>
                <w:szCs w:val="22"/>
              </w:rPr>
            </w:pPr>
            <w:r w:rsidRPr="00B600FE">
              <w:rPr>
                <w:szCs w:val="22"/>
              </w:rPr>
              <w:t>7</w:t>
            </w:r>
          </w:p>
        </w:tc>
        <w:tc>
          <w:tcPr>
            <w:tcW w:w="3827" w:type="dxa"/>
            <w:hideMark/>
          </w:tcPr>
          <w:p w14:paraId="40F6949A" w14:textId="1D8B4D68" w:rsidR="00822398" w:rsidRPr="00B600FE" w:rsidRDefault="00060360"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du Royaume-Uni de Grande-Bretagne et d'Irlande du Nord concernant une demande visant à faire appel de la décision du Bureau des radiocommunications relative à certaines assignations de fréquence des réseaux à satellite O3B-D et O3B-E figurant dans le Fichier de référence international des fréquences</w:t>
            </w:r>
            <w:r w:rsidR="00822398" w:rsidRPr="00B600FE">
              <w:rPr>
                <w:szCs w:val="22"/>
              </w:rPr>
              <w:br/>
            </w:r>
            <w:hyperlink r:id="rId32" w:history="1">
              <w:r w:rsidRPr="00B600FE">
                <w:rPr>
                  <w:rStyle w:val="Hyperlink"/>
                </w:rPr>
                <w:t>RRB21-2/7</w:t>
              </w:r>
            </w:hyperlink>
          </w:p>
        </w:tc>
        <w:tc>
          <w:tcPr>
            <w:tcW w:w="6662" w:type="dxa"/>
            <w:hideMark/>
          </w:tcPr>
          <w:p w14:paraId="143FF722" w14:textId="4072A979" w:rsidR="00D35D39" w:rsidRPr="00B600FE" w:rsidRDefault="00D35D39" w:rsidP="005014D9">
            <w:pPr>
              <w:pStyle w:val="Tabletext"/>
              <w:cnfStyle w:val="000000000000" w:firstRow="0" w:lastRow="0" w:firstColumn="0" w:lastColumn="0" w:oddVBand="0" w:evenVBand="0" w:oddHBand="0" w:evenHBand="0" w:firstRowFirstColumn="0" w:firstRowLastColumn="0" w:lastRowFirstColumn="0" w:lastRowLastColumn="0"/>
              <w:rPr>
                <w:color w:val="000000"/>
                <w:szCs w:val="22"/>
              </w:rPr>
            </w:pPr>
            <w:r w:rsidRPr="00B600FE">
              <w:rPr>
                <w:color w:val="000000"/>
                <w:szCs w:val="22"/>
              </w:rPr>
              <w:t xml:space="preserve">Le Comité a examiné de manière détaillée la demande de l'Administration </w:t>
            </w:r>
            <w:r w:rsidRPr="00B600FE">
              <w:rPr>
                <w:szCs w:val="22"/>
              </w:rPr>
              <w:t xml:space="preserve">du Royaume-Uni de Grande-Bretagne et d'Irlande du Nord </w:t>
            </w:r>
            <w:r w:rsidRPr="00B600FE">
              <w:rPr>
                <w:color w:val="000000"/>
                <w:szCs w:val="22"/>
              </w:rPr>
              <w:t xml:space="preserve">contenue dans le Document </w:t>
            </w:r>
            <w:r w:rsidRPr="00B600FE">
              <w:rPr>
                <w:szCs w:val="22"/>
              </w:rPr>
              <w:t>RRB21-2/7</w:t>
            </w:r>
            <w:r w:rsidRPr="00B600FE">
              <w:rPr>
                <w:color w:val="000000"/>
                <w:szCs w:val="22"/>
              </w:rPr>
              <w:t>. Le Comité a noté</w:t>
            </w:r>
            <w:r w:rsidR="002A6C9C" w:rsidRPr="00B600FE">
              <w:rPr>
                <w:color w:val="000000"/>
                <w:szCs w:val="22"/>
              </w:rPr>
              <w:t>:</w:t>
            </w:r>
          </w:p>
          <w:p w14:paraId="272BCEE8" w14:textId="6F2492CC" w:rsidR="00D35D39"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D35D39" w:rsidRPr="00B600FE">
              <w:rPr>
                <w:szCs w:val="22"/>
              </w:rPr>
              <w:t>que le Bureau avait agi correctement et</w:t>
            </w:r>
            <w:r w:rsidR="002A6C9C" w:rsidRPr="00B600FE">
              <w:rPr>
                <w:szCs w:val="22"/>
              </w:rPr>
              <w:t xml:space="preserve"> </w:t>
            </w:r>
            <w:r w:rsidR="00D35D39" w:rsidRPr="00B600FE">
              <w:rPr>
                <w:szCs w:val="22"/>
              </w:rPr>
              <w:t>conformément aux</w:t>
            </w:r>
            <w:r w:rsidR="002A6C9C" w:rsidRPr="00B600FE">
              <w:rPr>
                <w:szCs w:val="22"/>
              </w:rPr>
              <w:t xml:space="preserve"> </w:t>
            </w:r>
            <w:r w:rsidR="00D35D39" w:rsidRPr="00B600FE">
              <w:rPr>
                <w:szCs w:val="22"/>
              </w:rPr>
              <w:t>dispositions du Règlement des radiocommunications lors du traitement de ce cas</w:t>
            </w:r>
            <w:r w:rsidR="002A6C9C" w:rsidRPr="00B600FE">
              <w:rPr>
                <w:szCs w:val="22"/>
              </w:rPr>
              <w:t>;</w:t>
            </w:r>
          </w:p>
          <w:p w14:paraId="2F07A5F2" w14:textId="5359C7DB" w:rsidR="00060360"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D35D39" w:rsidRPr="00B600FE">
              <w:rPr>
                <w:szCs w:val="22"/>
              </w:rPr>
              <w:t>que le Bureau a</w:t>
            </w:r>
            <w:r w:rsidR="00E5015D" w:rsidRPr="00B600FE">
              <w:rPr>
                <w:szCs w:val="22"/>
              </w:rPr>
              <w:t>vait</w:t>
            </w:r>
            <w:r w:rsidR="002A6C9C" w:rsidRPr="00B600FE">
              <w:rPr>
                <w:szCs w:val="22"/>
              </w:rPr>
              <w:t xml:space="preserve"> </w:t>
            </w:r>
            <w:r w:rsidR="00D35D39" w:rsidRPr="00B600FE">
              <w:rPr>
                <w:szCs w:val="22"/>
              </w:rPr>
              <w:t>indiqué à intervalles réguliers aux administrations, lors des séminaires mondiaux</w:t>
            </w:r>
            <w:r w:rsidR="002A6C9C" w:rsidRPr="00B600FE">
              <w:rPr>
                <w:szCs w:val="22"/>
              </w:rPr>
              <w:t xml:space="preserve"> </w:t>
            </w:r>
            <w:r w:rsidR="00D35D39" w:rsidRPr="00B600FE">
              <w:rPr>
                <w:szCs w:val="22"/>
              </w:rPr>
              <w:t>sur les radiocommunications, qu</w:t>
            </w:r>
            <w:r w:rsidR="002A6C9C" w:rsidRPr="00B600FE">
              <w:rPr>
                <w:szCs w:val="22"/>
              </w:rPr>
              <w:t>'</w:t>
            </w:r>
            <w:r w:rsidR="00D35D39" w:rsidRPr="00B600FE">
              <w:rPr>
                <w:szCs w:val="22"/>
              </w:rPr>
              <w:t>elles devaient se garder de</w:t>
            </w:r>
            <w:r w:rsidR="002A6C9C" w:rsidRPr="00B600FE">
              <w:rPr>
                <w:szCs w:val="22"/>
              </w:rPr>
              <w:t xml:space="preserve"> </w:t>
            </w:r>
            <w:r w:rsidR="00D35D39" w:rsidRPr="00B600FE">
              <w:rPr>
                <w:szCs w:val="22"/>
              </w:rPr>
              <w:t>notifier des assignations avec de grandes largeurs de bande auxquelles différentes dispositions du Règlement des radiocommunications pou</w:t>
            </w:r>
            <w:r w:rsidR="00E5015D" w:rsidRPr="00B600FE">
              <w:rPr>
                <w:szCs w:val="22"/>
              </w:rPr>
              <w:t>v</w:t>
            </w:r>
            <w:r w:rsidR="00D35D39" w:rsidRPr="00B600FE">
              <w:rPr>
                <w:szCs w:val="22"/>
              </w:rPr>
              <w:t>aient s'appliquer avec des limites et des restrictions différentes</w:t>
            </w:r>
            <w:r w:rsidR="002A6C9C" w:rsidRPr="00B600FE">
              <w:rPr>
                <w:szCs w:val="22"/>
              </w:rPr>
              <w:t>;</w:t>
            </w:r>
          </w:p>
          <w:p w14:paraId="5375F50D" w14:textId="184D4959" w:rsidR="00060360" w:rsidRPr="00B600FE" w:rsidRDefault="0092503F"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AB0274" w:rsidRPr="00B600FE">
              <w:rPr>
                <w:szCs w:val="22"/>
              </w:rPr>
              <w:t xml:space="preserve">que </w:t>
            </w:r>
            <w:r w:rsidR="00D35D39" w:rsidRPr="00B600FE">
              <w:rPr>
                <w:szCs w:val="22"/>
              </w:rPr>
              <w:t>la valeur notifiée</w:t>
            </w:r>
            <w:r w:rsidR="002A6C9C" w:rsidRPr="00B600FE">
              <w:rPr>
                <w:szCs w:val="22"/>
              </w:rPr>
              <w:t xml:space="preserve"> </w:t>
            </w:r>
            <w:r w:rsidR="00D35D39" w:rsidRPr="00B600FE">
              <w:rPr>
                <w:szCs w:val="22"/>
              </w:rPr>
              <w:t>de l'epfd pour les assignations de fréquence</w:t>
            </w:r>
            <w:r w:rsidR="00AB0274" w:rsidRPr="00B600FE">
              <w:rPr>
                <w:szCs w:val="22"/>
              </w:rPr>
              <w:t xml:space="preserve"> des</w:t>
            </w:r>
            <w:r w:rsidR="00D35D39" w:rsidRPr="00B600FE">
              <w:rPr>
                <w:szCs w:val="22"/>
              </w:rPr>
              <w:t xml:space="preserve"> réseaux</w:t>
            </w:r>
            <w:r w:rsidR="002A6C9C" w:rsidRPr="00B600FE">
              <w:rPr>
                <w:szCs w:val="22"/>
              </w:rPr>
              <w:t xml:space="preserve"> </w:t>
            </w:r>
            <w:r w:rsidR="00AB0274" w:rsidRPr="00B600FE">
              <w:rPr>
                <w:szCs w:val="22"/>
              </w:rPr>
              <w:t xml:space="preserve">à </w:t>
            </w:r>
            <w:r w:rsidR="00D35D39" w:rsidRPr="00B600FE">
              <w:rPr>
                <w:szCs w:val="22"/>
              </w:rPr>
              <w:t>satellite</w:t>
            </w:r>
            <w:r w:rsidR="002A6C9C" w:rsidRPr="00B600FE">
              <w:rPr>
                <w:szCs w:val="22"/>
              </w:rPr>
              <w:t xml:space="preserve"> </w:t>
            </w:r>
            <w:r w:rsidR="00D35D39" w:rsidRPr="00B600FE">
              <w:rPr>
                <w:szCs w:val="22"/>
              </w:rPr>
              <w:t xml:space="preserve">O3B-D et O3B-E dépassait la limite d'epfd </w:t>
            </w:r>
            <w:r w:rsidR="00AB0274" w:rsidRPr="00B600FE">
              <w:rPr>
                <w:color w:val="000000"/>
              </w:rPr>
              <w:t xml:space="preserve">à respecter pour assurer </w:t>
            </w:r>
            <w:r w:rsidR="00D35D39" w:rsidRPr="00B600FE">
              <w:rPr>
                <w:szCs w:val="22"/>
              </w:rPr>
              <w:t xml:space="preserve">la protection du service de radioastronomie conformément au numéro </w:t>
            </w:r>
            <w:r w:rsidR="00D35D39" w:rsidRPr="00B600FE">
              <w:rPr>
                <w:b/>
                <w:bCs/>
                <w:szCs w:val="22"/>
              </w:rPr>
              <w:t>5.551H</w:t>
            </w:r>
            <w:r w:rsidR="00D35D39" w:rsidRPr="00B600FE">
              <w:rPr>
                <w:szCs w:val="22"/>
              </w:rPr>
              <w:t xml:space="preserve"> du RR</w:t>
            </w:r>
            <w:r w:rsidR="002A6C9C" w:rsidRPr="00B600FE">
              <w:rPr>
                <w:szCs w:val="22"/>
              </w:rPr>
              <w:t>;</w:t>
            </w:r>
          </w:p>
          <w:p w14:paraId="762F5262" w14:textId="3B903B57" w:rsidR="00AB027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bookmarkStart w:id="17" w:name="_Hlk77668588"/>
            <w:r w:rsidR="00AB0274" w:rsidRPr="00B600FE">
              <w:rPr>
                <w:szCs w:val="22"/>
              </w:rPr>
              <w:t>qu</w:t>
            </w:r>
            <w:r w:rsidR="002A6C9C" w:rsidRPr="00B600FE">
              <w:rPr>
                <w:szCs w:val="22"/>
              </w:rPr>
              <w:t>'</w:t>
            </w:r>
            <w:r w:rsidR="00AB0274" w:rsidRPr="00B600FE">
              <w:rPr>
                <w:szCs w:val="22"/>
              </w:rPr>
              <w:t>il n'était pas possible pour le Bureau de subdiviser les bandes de fréquences assignées notifiées</w:t>
            </w:r>
            <w:r w:rsidR="00261EA4" w:rsidRPr="00B600FE">
              <w:rPr>
                <w:szCs w:val="22"/>
              </w:rPr>
              <w:t xml:space="preserve"> correspondant aux</w:t>
            </w:r>
            <w:r w:rsidR="00AB0274" w:rsidRPr="00B600FE">
              <w:rPr>
                <w:szCs w:val="22"/>
              </w:rPr>
              <w:t xml:space="preserve"> assignations de fréquence, car cela constituerait une modification créée par le Bureau qui ne relève pas de sa compétence en vertu du Règlement des radiocommunications</w:t>
            </w:r>
            <w:bookmarkEnd w:id="17"/>
            <w:r w:rsidR="002A6C9C" w:rsidRPr="00B600FE">
              <w:rPr>
                <w:szCs w:val="22"/>
              </w:rPr>
              <w:t>;</w:t>
            </w:r>
          </w:p>
          <w:p w14:paraId="58C95FC1" w14:textId="0EF67D3F" w:rsidR="00AB027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AB0274" w:rsidRPr="00B600FE">
              <w:rPr>
                <w:szCs w:val="22"/>
              </w:rPr>
              <w:t>qu</w:t>
            </w:r>
            <w:r w:rsidR="002A6C9C" w:rsidRPr="00B600FE">
              <w:rPr>
                <w:szCs w:val="22"/>
              </w:rPr>
              <w:t>'</w:t>
            </w:r>
            <w:r w:rsidR="00AB0274" w:rsidRPr="00B600FE">
              <w:rPr>
                <w:szCs w:val="22"/>
              </w:rPr>
              <w:t>il appartenait aux administrations de préparer et de soumettre les fiches de notification</w:t>
            </w:r>
            <w:r w:rsidR="002A6C9C" w:rsidRPr="00B600FE">
              <w:rPr>
                <w:szCs w:val="22"/>
              </w:rPr>
              <w:t xml:space="preserve"> </w:t>
            </w:r>
            <w:r w:rsidR="00AB0274" w:rsidRPr="00B600FE">
              <w:rPr>
                <w:szCs w:val="22"/>
              </w:rPr>
              <w:t>et de se conformer aux dispositions applicables du Règlement des radiocommunications.</w:t>
            </w:r>
          </w:p>
          <w:p w14:paraId="7CD5D7F8" w14:textId="07C6F0BE" w:rsidR="00060360" w:rsidRPr="00B600FE" w:rsidRDefault="00AB0274" w:rsidP="005014D9">
            <w:pPr>
              <w:pStyle w:val="Tabletext"/>
              <w:cnfStyle w:val="000000000000" w:firstRow="0" w:lastRow="0" w:firstColumn="0" w:lastColumn="0" w:oddVBand="0" w:evenVBand="0" w:oddHBand="0" w:evenHBand="0" w:firstRowFirstColumn="0" w:firstRowLastColumn="0" w:lastRowFirstColumn="0" w:lastRowLastColumn="0"/>
            </w:pPr>
            <w:r w:rsidRPr="00B600FE">
              <w:lastRenderedPageBreak/>
              <w:t>En conséquence, le Comité a décidé de ne pas accéder à la demande de l'Administration du Royaume-Uni et a chargé le Bureau d'informer l'Administration de cette décision. En outre, le Comité</w:t>
            </w:r>
            <w:r w:rsidR="002A6C9C" w:rsidRPr="00B600FE">
              <w:t xml:space="preserve"> </w:t>
            </w:r>
            <w:r w:rsidRPr="00B600FE">
              <w:t>a chargé le Bureau</w:t>
            </w:r>
            <w:r w:rsidR="002A6C9C" w:rsidRPr="00B600FE">
              <w:t>:</w:t>
            </w:r>
          </w:p>
          <w:p w14:paraId="32CB3171" w14:textId="1F23C4D3" w:rsidR="00060360" w:rsidRPr="00B600FE" w:rsidRDefault="00060360"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AB0274" w:rsidRPr="00B600FE">
              <w:rPr>
                <w:szCs w:val="22"/>
              </w:rPr>
              <w:t>d</w:t>
            </w:r>
            <w:r w:rsidR="002A6C9C" w:rsidRPr="00B600FE">
              <w:rPr>
                <w:szCs w:val="22"/>
              </w:rPr>
              <w:t>'</w:t>
            </w:r>
            <w:r w:rsidR="00AB0274" w:rsidRPr="00B600FE">
              <w:rPr>
                <w:szCs w:val="22"/>
              </w:rPr>
              <w:t xml:space="preserve">élaborer une règle de validation </w:t>
            </w:r>
            <w:r w:rsidR="00D25A73" w:rsidRPr="00B600FE">
              <w:rPr>
                <w:szCs w:val="22"/>
              </w:rPr>
              <w:t>visant à envoyer</w:t>
            </w:r>
            <w:r w:rsidR="00AB0274" w:rsidRPr="00B600FE">
              <w:rPr>
                <w:szCs w:val="22"/>
              </w:rPr>
              <w:t xml:space="preserve"> un </w:t>
            </w:r>
            <w:r w:rsidR="00D25A73" w:rsidRPr="00B600FE">
              <w:rPr>
                <w:szCs w:val="22"/>
              </w:rPr>
              <w:t>message d</w:t>
            </w:r>
            <w:r w:rsidR="002A6C9C" w:rsidRPr="00B600FE">
              <w:rPr>
                <w:szCs w:val="22"/>
              </w:rPr>
              <w:t>'</w:t>
            </w:r>
            <w:r w:rsidR="00AB0274" w:rsidRPr="00B600FE">
              <w:rPr>
                <w:szCs w:val="22"/>
              </w:rPr>
              <w:t xml:space="preserve">avertissement lorsque les limites </w:t>
            </w:r>
            <w:r w:rsidR="00D25A73" w:rsidRPr="00B600FE">
              <w:rPr>
                <w:szCs w:val="22"/>
              </w:rPr>
              <w:t>d</w:t>
            </w:r>
            <w:r w:rsidR="002A6C9C" w:rsidRPr="00B600FE">
              <w:rPr>
                <w:szCs w:val="22"/>
              </w:rPr>
              <w:t>'</w:t>
            </w:r>
            <w:r w:rsidR="00AB0274" w:rsidRPr="00B600FE">
              <w:rPr>
                <w:szCs w:val="22"/>
              </w:rPr>
              <w:t xml:space="preserve">epfd notifiées d'une assignation de fréquence </w:t>
            </w:r>
            <w:r w:rsidR="00D25A73" w:rsidRPr="00B600FE">
              <w:rPr>
                <w:szCs w:val="22"/>
              </w:rPr>
              <w:t xml:space="preserve">donnée </w:t>
            </w:r>
            <w:r w:rsidR="00AB0274" w:rsidRPr="00B600FE">
              <w:rPr>
                <w:szCs w:val="22"/>
              </w:rPr>
              <w:t xml:space="preserve">dépassent les limites requises conformément au numéro </w:t>
            </w:r>
            <w:r w:rsidR="00AB0274" w:rsidRPr="00B600FE">
              <w:rPr>
                <w:b/>
                <w:bCs/>
                <w:szCs w:val="22"/>
              </w:rPr>
              <w:t>5.551H</w:t>
            </w:r>
            <w:r w:rsidR="00AB0274" w:rsidRPr="00B600FE">
              <w:rPr>
                <w:szCs w:val="22"/>
              </w:rPr>
              <w:t xml:space="preserve"> du RR et à d'autres dispositions</w:t>
            </w:r>
            <w:r w:rsidR="00D25A73" w:rsidRPr="00B600FE">
              <w:rPr>
                <w:szCs w:val="22"/>
              </w:rPr>
              <w:t xml:space="preserve"> analogues</w:t>
            </w:r>
            <w:r w:rsidR="00AB0274" w:rsidRPr="00B600FE">
              <w:rPr>
                <w:szCs w:val="22"/>
              </w:rPr>
              <w:t xml:space="preserve"> du Règlement des radiocommunications (voir la section A.17 de l'Annexe 2 de l'Appendice </w:t>
            </w:r>
            <w:r w:rsidR="00AB0274" w:rsidRPr="00B600FE">
              <w:rPr>
                <w:b/>
                <w:bCs/>
                <w:szCs w:val="22"/>
              </w:rPr>
              <w:t>4</w:t>
            </w:r>
            <w:r w:rsidR="00AB0274" w:rsidRPr="00B600FE">
              <w:rPr>
                <w:szCs w:val="22"/>
              </w:rPr>
              <w:t>)</w:t>
            </w:r>
            <w:r w:rsidR="002A6C9C" w:rsidRPr="00B600FE">
              <w:rPr>
                <w:szCs w:val="22"/>
              </w:rPr>
              <w:t>;</w:t>
            </w:r>
          </w:p>
          <w:p w14:paraId="6CA7667E" w14:textId="60AFC159" w:rsidR="00822398" w:rsidRPr="00B600FE" w:rsidRDefault="0092503F"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D25A73" w:rsidRPr="00B600FE">
              <w:rPr>
                <w:szCs w:val="22"/>
              </w:rPr>
              <w:t>de modifier le logiciel SpaceCap, afin d'ajouter un message d</w:t>
            </w:r>
            <w:r w:rsidR="002A6C9C" w:rsidRPr="00B600FE">
              <w:rPr>
                <w:szCs w:val="22"/>
              </w:rPr>
              <w:t>'</w:t>
            </w:r>
            <w:r w:rsidR="00D25A73" w:rsidRPr="00B600FE">
              <w:rPr>
                <w:szCs w:val="22"/>
              </w:rPr>
              <w:t>avertissement général destiné à rappeler aux administrations que les assignations de fréquence</w:t>
            </w:r>
            <w:r w:rsidR="002A6C9C" w:rsidRPr="00B600FE">
              <w:rPr>
                <w:szCs w:val="22"/>
              </w:rPr>
              <w:t xml:space="preserve"> </w:t>
            </w:r>
            <w:r w:rsidR="00D25A73" w:rsidRPr="00B600FE">
              <w:rPr>
                <w:szCs w:val="22"/>
              </w:rPr>
              <w:t>pour lesquelles des bandes de fréquences assignées chevauchent plusieurs attributions</w:t>
            </w:r>
            <w:r w:rsidR="002A6C9C" w:rsidRPr="00B600FE">
              <w:rPr>
                <w:szCs w:val="22"/>
              </w:rPr>
              <w:t xml:space="preserve"> </w:t>
            </w:r>
            <w:r w:rsidR="00D25A73" w:rsidRPr="00B600FE">
              <w:rPr>
                <w:szCs w:val="22"/>
              </w:rPr>
              <w:t>de fréquences du Tableau d</w:t>
            </w:r>
            <w:r w:rsidR="002A6C9C" w:rsidRPr="00B600FE">
              <w:rPr>
                <w:szCs w:val="22"/>
              </w:rPr>
              <w:t>'</w:t>
            </w:r>
            <w:r w:rsidR="00D25A73" w:rsidRPr="00B600FE">
              <w:rPr>
                <w:szCs w:val="22"/>
              </w:rPr>
              <w:t>attribution</w:t>
            </w:r>
            <w:r w:rsidR="002A6C9C" w:rsidRPr="00B600FE">
              <w:rPr>
                <w:szCs w:val="22"/>
              </w:rPr>
              <w:t xml:space="preserve"> </w:t>
            </w:r>
            <w:r w:rsidR="00D25A73" w:rsidRPr="00B600FE">
              <w:rPr>
                <w:szCs w:val="22"/>
              </w:rPr>
              <w:t>des bandes de fréquences sont susceptibles d</w:t>
            </w:r>
            <w:r w:rsidR="002A6C9C" w:rsidRPr="00B600FE">
              <w:rPr>
                <w:szCs w:val="22"/>
              </w:rPr>
              <w:t>'</w:t>
            </w:r>
            <w:r w:rsidR="00D25A73" w:rsidRPr="00B600FE">
              <w:rPr>
                <w:szCs w:val="22"/>
              </w:rPr>
              <w:t>être assujetties à différentes dispositions du Règlement des radiocommunications</w:t>
            </w:r>
            <w:r w:rsidR="00E5015D" w:rsidRPr="00B600FE">
              <w:rPr>
                <w:szCs w:val="22"/>
              </w:rPr>
              <w:t>,</w:t>
            </w:r>
            <w:r w:rsidR="00D25A73" w:rsidRPr="00B600FE">
              <w:rPr>
                <w:szCs w:val="22"/>
              </w:rPr>
              <w:t xml:space="preserve"> et</w:t>
            </w:r>
            <w:r w:rsidR="002A6C9C" w:rsidRPr="00B600FE">
              <w:rPr>
                <w:szCs w:val="22"/>
              </w:rPr>
              <w:t xml:space="preserve"> </w:t>
            </w:r>
            <w:r w:rsidR="00D25A73" w:rsidRPr="00B600FE">
              <w:rPr>
                <w:szCs w:val="22"/>
              </w:rPr>
              <w:t>d</w:t>
            </w:r>
            <w:r w:rsidR="002A6C9C" w:rsidRPr="00B600FE">
              <w:rPr>
                <w:szCs w:val="22"/>
              </w:rPr>
              <w:t>'</w:t>
            </w:r>
            <w:r w:rsidR="00D25A73" w:rsidRPr="00B600FE">
              <w:rPr>
                <w:szCs w:val="22"/>
              </w:rPr>
              <w:t>encourager les administrations à soumettre des groupes distincts pour chaque régime réglementaire, de façon à</w:t>
            </w:r>
            <w:r w:rsidR="002A6C9C" w:rsidRPr="00B600FE">
              <w:rPr>
                <w:szCs w:val="22"/>
              </w:rPr>
              <w:t xml:space="preserve"> </w:t>
            </w:r>
            <w:r w:rsidR="00D25A73" w:rsidRPr="00B600FE">
              <w:rPr>
                <w:szCs w:val="22"/>
              </w:rPr>
              <w:t xml:space="preserve">éviter </w:t>
            </w:r>
            <w:r w:rsidR="00873691" w:rsidRPr="00B600FE">
              <w:rPr>
                <w:szCs w:val="22"/>
              </w:rPr>
              <w:t>que des conclusions défavorables soient formulées</w:t>
            </w:r>
            <w:r w:rsidR="002A6C9C" w:rsidRPr="00B600FE">
              <w:rPr>
                <w:szCs w:val="22"/>
              </w:rPr>
              <w:t xml:space="preserve"> </w:t>
            </w:r>
            <w:r w:rsidR="00D25A73" w:rsidRPr="00B600FE">
              <w:rPr>
                <w:szCs w:val="22"/>
              </w:rPr>
              <w:t>au cas où les prescriptions réglementaires applicables à un sous-ensemble seulement de ces attributions de fréquences ne seraient pas respectées.</w:t>
            </w:r>
          </w:p>
        </w:tc>
        <w:tc>
          <w:tcPr>
            <w:tcW w:w="3395" w:type="dxa"/>
            <w:hideMark/>
          </w:tcPr>
          <w:p w14:paraId="6327C4B2"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à l'administration concernée.</w:t>
            </w:r>
          </w:p>
          <w:p w14:paraId="407EF1E5" w14:textId="7D6D06DD" w:rsidR="004D4EE2" w:rsidRPr="00B600FE" w:rsidRDefault="00E322C3"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w:t>
            </w:r>
            <w:r w:rsidR="004D4EE2" w:rsidRPr="00B600FE">
              <w:rPr>
                <w:szCs w:val="22"/>
              </w:rPr>
              <w:t>Bureau</w:t>
            </w:r>
            <w:r w:rsidR="002A6C9C" w:rsidRPr="00B600FE">
              <w:rPr>
                <w:szCs w:val="22"/>
              </w:rPr>
              <w:t>:</w:t>
            </w:r>
          </w:p>
          <w:p w14:paraId="6112AFF0" w14:textId="2A3F31FE" w:rsidR="004D4EE2" w:rsidRPr="00B600FE" w:rsidRDefault="004D4EE2" w:rsidP="005014D9">
            <w:pPr>
              <w:pStyle w:val="Tabletext"/>
              <w:tabs>
                <w:tab w:val="clear" w:pos="284"/>
              </w:tabs>
              <w:ind w:left="567" w:hanging="567"/>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E322C3" w:rsidRPr="00B600FE">
              <w:rPr>
                <w:szCs w:val="22"/>
              </w:rPr>
              <w:t>élaborera une règle de validation visant à envoyer un message d</w:t>
            </w:r>
            <w:r w:rsidR="002A6C9C" w:rsidRPr="00B600FE">
              <w:rPr>
                <w:szCs w:val="22"/>
              </w:rPr>
              <w:t>'</w:t>
            </w:r>
            <w:r w:rsidR="00E322C3" w:rsidRPr="00B600FE">
              <w:rPr>
                <w:szCs w:val="22"/>
              </w:rPr>
              <w:t>avertissement lorsque les limites d</w:t>
            </w:r>
            <w:r w:rsidR="002A6C9C" w:rsidRPr="00B600FE">
              <w:rPr>
                <w:szCs w:val="22"/>
              </w:rPr>
              <w:t>'</w:t>
            </w:r>
            <w:r w:rsidR="00E322C3" w:rsidRPr="00B600FE">
              <w:rPr>
                <w:szCs w:val="22"/>
              </w:rPr>
              <w:t xml:space="preserve">epfd notifiées d'une assignation de fréquence donnée dépassent les limites </w:t>
            </w:r>
            <w:r w:rsidR="009A6852">
              <w:rPr>
                <w:szCs w:val="22"/>
              </w:rPr>
              <w:t>requises conformément au numéro </w:t>
            </w:r>
            <w:r w:rsidR="00E322C3" w:rsidRPr="00B600FE">
              <w:rPr>
                <w:b/>
                <w:bCs/>
                <w:szCs w:val="22"/>
              </w:rPr>
              <w:t>5.551H</w:t>
            </w:r>
            <w:r w:rsidR="00E322C3" w:rsidRPr="00B600FE">
              <w:rPr>
                <w:szCs w:val="22"/>
              </w:rPr>
              <w:t xml:space="preserve"> du RR et à d'autres dispositions analogues du Règlement des radiocommunications (voir la section A.17 de l'Annexe 2 de l'Appendice </w:t>
            </w:r>
            <w:r w:rsidR="00E322C3" w:rsidRPr="00B600FE">
              <w:rPr>
                <w:b/>
                <w:bCs/>
                <w:szCs w:val="22"/>
              </w:rPr>
              <w:t>4</w:t>
            </w:r>
            <w:r w:rsidR="00E322C3" w:rsidRPr="00B600FE">
              <w:rPr>
                <w:szCs w:val="22"/>
              </w:rPr>
              <w:t>)</w:t>
            </w:r>
            <w:r w:rsidR="00073F04" w:rsidRPr="00B600FE">
              <w:rPr>
                <w:szCs w:val="22"/>
              </w:rPr>
              <w:t>;</w:t>
            </w:r>
          </w:p>
          <w:p w14:paraId="6D13DCDE" w14:textId="3C08FD95" w:rsidR="004D4EE2" w:rsidRPr="00B600FE" w:rsidRDefault="004D4EE2" w:rsidP="005014D9">
            <w:pPr>
              <w:pStyle w:val="Tabletext"/>
              <w:tabs>
                <w:tab w:val="clear" w:pos="284"/>
              </w:tabs>
              <w:ind w:left="567" w:hanging="567"/>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E322C3" w:rsidRPr="00B600FE">
              <w:rPr>
                <w:szCs w:val="22"/>
              </w:rPr>
              <w:t>modifiera le logiciel SpaceCap, afin d'ajouter un message d</w:t>
            </w:r>
            <w:r w:rsidR="002A6C9C" w:rsidRPr="00B600FE">
              <w:rPr>
                <w:szCs w:val="22"/>
              </w:rPr>
              <w:t>'</w:t>
            </w:r>
            <w:r w:rsidR="00E322C3" w:rsidRPr="00B600FE">
              <w:rPr>
                <w:szCs w:val="22"/>
              </w:rPr>
              <w:t>avertissement général destiné à rappeler aux administrations que les assignations de fréquence</w:t>
            </w:r>
            <w:r w:rsidR="002A6C9C" w:rsidRPr="00B600FE">
              <w:rPr>
                <w:szCs w:val="22"/>
              </w:rPr>
              <w:t xml:space="preserve"> </w:t>
            </w:r>
            <w:r w:rsidR="00E322C3" w:rsidRPr="00B600FE">
              <w:rPr>
                <w:szCs w:val="22"/>
              </w:rPr>
              <w:t xml:space="preserve">pour lesquelles des bandes de </w:t>
            </w:r>
            <w:r w:rsidR="00E322C3" w:rsidRPr="00B600FE">
              <w:rPr>
                <w:szCs w:val="22"/>
              </w:rPr>
              <w:lastRenderedPageBreak/>
              <w:t>fréquences assignées chevauchent plusieurs attributions</w:t>
            </w:r>
            <w:r w:rsidR="002A6C9C" w:rsidRPr="00B600FE">
              <w:rPr>
                <w:szCs w:val="22"/>
              </w:rPr>
              <w:t xml:space="preserve"> </w:t>
            </w:r>
            <w:r w:rsidR="00E322C3" w:rsidRPr="00B600FE">
              <w:rPr>
                <w:szCs w:val="22"/>
              </w:rPr>
              <w:t>de fréquences du Tableau d</w:t>
            </w:r>
            <w:r w:rsidR="002A6C9C" w:rsidRPr="00B600FE">
              <w:rPr>
                <w:szCs w:val="22"/>
              </w:rPr>
              <w:t>'</w:t>
            </w:r>
            <w:r w:rsidR="00E322C3" w:rsidRPr="00B600FE">
              <w:rPr>
                <w:szCs w:val="22"/>
              </w:rPr>
              <w:t>attribution</w:t>
            </w:r>
            <w:r w:rsidR="002A6C9C" w:rsidRPr="00B600FE">
              <w:rPr>
                <w:szCs w:val="22"/>
              </w:rPr>
              <w:t xml:space="preserve"> </w:t>
            </w:r>
            <w:r w:rsidR="00E322C3" w:rsidRPr="00B600FE">
              <w:rPr>
                <w:szCs w:val="22"/>
              </w:rPr>
              <w:t>des bandes de fréquences sont susceptibles d</w:t>
            </w:r>
            <w:r w:rsidR="002A6C9C" w:rsidRPr="00B600FE">
              <w:rPr>
                <w:szCs w:val="22"/>
              </w:rPr>
              <w:t>'</w:t>
            </w:r>
            <w:r w:rsidR="00E322C3" w:rsidRPr="00B600FE">
              <w:rPr>
                <w:szCs w:val="22"/>
              </w:rPr>
              <w:t>être assujetties à différentes dispositions du Règlement des radiocommunications et</w:t>
            </w:r>
            <w:r w:rsidR="002A6C9C" w:rsidRPr="00B600FE">
              <w:rPr>
                <w:szCs w:val="22"/>
              </w:rPr>
              <w:t xml:space="preserve"> </w:t>
            </w:r>
            <w:r w:rsidR="00E322C3" w:rsidRPr="00B600FE">
              <w:rPr>
                <w:szCs w:val="22"/>
              </w:rPr>
              <w:t>d</w:t>
            </w:r>
            <w:r w:rsidR="002A6C9C" w:rsidRPr="00B600FE">
              <w:rPr>
                <w:szCs w:val="22"/>
              </w:rPr>
              <w:t>'</w:t>
            </w:r>
            <w:r w:rsidR="00E322C3" w:rsidRPr="00B600FE">
              <w:rPr>
                <w:szCs w:val="22"/>
              </w:rPr>
              <w:t>encourager les administrations à soumettre des groupes distincts pour chaque régime réglementaire, de façon à</w:t>
            </w:r>
            <w:r w:rsidR="002A6C9C" w:rsidRPr="00B600FE">
              <w:rPr>
                <w:szCs w:val="22"/>
              </w:rPr>
              <w:t xml:space="preserve"> </w:t>
            </w:r>
            <w:r w:rsidR="00E322C3" w:rsidRPr="00B600FE">
              <w:rPr>
                <w:szCs w:val="22"/>
              </w:rPr>
              <w:t xml:space="preserve">éviter </w:t>
            </w:r>
            <w:r w:rsidR="00DE41DB" w:rsidRPr="00B600FE">
              <w:rPr>
                <w:szCs w:val="22"/>
              </w:rPr>
              <w:t xml:space="preserve">que </w:t>
            </w:r>
            <w:r w:rsidR="00E322C3" w:rsidRPr="00B600FE">
              <w:rPr>
                <w:szCs w:val="22"/>
              </w:rPr>
              <w:t xml:space="preserve">des conclusions défavorables </w:t>
            </w:r>
            <w:r w:rsidR="00DE41DB" w:rsidRPr="00B600FE">
              <w:rPr>
                <w:szCs w:val="22"/>
              </w:rPr>
              <w:t xml:space="preserve">soient formulées </w:t>
            </w:r>
            <w:r w:rsidR="00E322C3" w:rsidRPr="00B600FE">
              <w:rPr>
                <w:szCs w:val="22"/>
              </w:rPr>
              <w:t>au cas où les prescriptions réglementaires applicables à un sous-ensemble seulement de ces attributions de fréquences ne seraient pas respectées.</w:t>
            </w:r>
          </w:p>
        </w:tc>
      </w:tr>
      <w:tr w:rsidR="00595E64" w:rsidRPr="00B600FE" w14:paraId="1FFAA15D" w14:textId="77777777" w:rsidTr="00E8614F">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262C1825" w14:textId="6D0D2CFF" w:rsidR="00595E64" w:rsidRPr="00B600FE" w:rsidRDefault="00595E64" w:rsidP="005014D9">
            <w:pPr>
              <w:pStyle w:val="Tabletext"/>
              <w:jc w:val="center"/>
              <w:rPr>
                <w:szCs w:val="22"/>
              </w:rPr>
            </w:pPr>
            <w:r w:rsidRPr="00B600FE">
              <w:rPr>
                <w:szCs w:val="22"/>
              </w:rPr>
              <w:lastRenderedPageBreak/>
              <w:t>8</w:t>
            </w:r>
          </w:p>
        </w:tc>
        <w:tc>
          <w:tcPr>
            <w:tcW w:w="13884" w:type="dxa"/>
            <w:gridSpan w:val="3"/>
          </w:tcPr>
          <w:p w14:paraId="4A6857BC" w14:textId="50194C75" w:rsidR="00595E64" w:rsidRPr="00B600FE" w:rsidRDefault="00595E64" w:rsidP="005014D9">
            <w:pPr>
              <w:pStyle w:val="Tabletext"/>
              <w:cnfStyle w:val="000000000000" w:firstRow="0" w:lastRow="0" w:firstColumn="0" w:lastColumn="0" w:oddVBand="0" w:evenVBand="0" w:oddHBand="0" w:evenHBand="0" w:firstRowFirstColumn="0" w:firstRowLastColumn="0" w:lastRowFirstColumn="0" w:lastRowLastColumn="0"/>
              <w:rPr>
                <w:b/>
                <w:bCs/>
                <w:szCs w:val="22"/>
              </w:rPr>
            </w:pPr>
            <w:r w:rsidRPr="00B600FE">
              <w:rPr>
                <w:b/>
                <w:bCs/>
                <w:szCs w:val="22"/>
              </w:rPr>
              <w:t>Statut des réseaux à satellite ARABSAT-5A et 6A et TURKSAT-5A</w:t>
            </w:r>
            <w:r w:rsidRPr="00B600FE">
              <w:rPr>
                <w:b/>
                <w:bCs/>
                <w:szCs w:val="22"/>
              </w:rPr>
              <w:br/>
            </w:r>
            <w:hyperlink r:id="rId33" w:history="1">
              <w:r w:rsidRPr="00B600FE">
                <w:rPr>
                  <w:rStyle w:val="Hyperlink"/>
                  <w:szCs w:val="22"/>
                </w:rPr>
                <w:t>RRB21-2/3(Add.7)</w:t>
              </w:r>
            </w:hyperlink>
            <w:r w:rsidRPr="00B600FE">
              <w:rPr>
                <w:szCs w:val="22"/>
              </w:rPr>
              <w:t xml:space="preserve">; </w:t>
            </w:r>
            <w:hyperlink r:id="rId34" w:history="1">
              <w:r w:rsidRPr="00B600FE">
                <w:rPr>
                  <w:rStyle w:val="Hyperlink"/>
                  <w:szCs w:val="22"/>
                </w:rPr>
                <w:t>RRB21-2/3(Add.8)</w:t>
              </w:r>
            </w:hyperlink>
          </w:p>
        </w:tc>
      </w:tr>
      <w:tr w:rsidR="00595E64" w:rsidRPr="00B600FE" w14:paraId="44885A3B" w14:textId="77777777" w:rsidTr="006D2DE8">
        <w:trPr>
          <w:trHeight w:val="982"/>
        </w:trPr>
        <w:tc>
          <w:tcPr>
            <w:cnfStyle w:val="001000000000" w:firstRow="0" w:lastRow="0" w:firstColumn="1" w:lastColumn="0" w:oddVBand="0" w:evenVBand="0" w:oddHBand="0" w:evenHBand="0" w:firstRowFirstColumn="0" w:firstRowLastColumn="0" w:lastRowFirstColumn="0" w:lastRowLastColumn="0"/>
            <w:tcW w:w="846" w:type="dxa"/>
            <w:hideMark/>
          </w:tcPr>
          <w:p w14:paraId="480A101E" w14:textId="3548209E" w:rsidR="00595E64" w:rsidRPr="00B600FE" w:rsidRDefault="00595E64" w:rsidP="005014D9">
            <w:pPr>
              <w:pStyle w:val="Tabletext"/>
              <w:jc w:val="center"/>
              <w:rPr>
                <w:szCs w:val="22"/>
              </w:rPr>
            </w:pPr>
            <w:r w:rsidRPr="00B600FE">
              <w:rPr>
                <w:szCs w:val="22"/>
              </w:rPr>
              <w:t>8.1</w:t>
            </w:r>
          </w:p>
        </w:tc>
        <w:tc>
          <w:tcPr>
            <w:tcW w:w="3827" w:type="dxa"/>
            <w:hideMark/>
          </w:tcPr>
          <w:p w14:paraId="451937A6" w14:textId="2BE2ADF8" w:rsidR="00595E64" w:rsidRPr="00B600FE" w:rsidRDefault="00595E6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de l'Arabie saoudite (Royaume d') concernant la coordination entre les réseaux à satellite ARABSAT</w:t>
            </w:r>
            <w:r w:rsidR="00073F04" w:rsidRPr="00B600FE">
              <w:rPr>
                <w:szCs w:val="22"/>
              </w:rPr>
              <w:noBreakHyphen/>
            </w:r>
            <w:r w:rsidRPr="00B600FE">
              <w:rPr>
                <w:szCs w:val="22"/>
              </w:rPr>
              <w:t>5A et 6A à la position orbitale 30,5° E et le futur réseau à satellite TURKSAT-5A à la position orbitale 31° E dans la bande Ku (10,95</w:t>
            </w:r>
            <w:r w:rsidR="00073F04" w:rsidRPr="00B600FE">
              <w:rPr>
                <w:szCs w:val="22"/>
              </w:rPr>
              <w:noBreakHyphen/>
            </w:r>
            <w:r w:rsidRPr="00B600FE">
              <w:rPr>
                <w:szCs w:val="22"/>
              </w:rPr>
              <w:t>11,2 GHz, 11,45-11,7 GHz et 14,0-14,5 GHz)</w:t>
            </w:r>
            <w:r w:rsidRPr="00B600FE">
              <w:rPr>
                <w:szCs w:val="22"/>
              </w:rPr>
              <w:br/>
            </w:r>
            <w:hyperlink r:id="rId35" w:history="1">
              <w:r w:rsidRPr="00B600FE">
                <w:rPr>
                  <w:rStyle w:val="Hyperlink"/>
                </w:rPr>
                <w:t>RRB21-2/9</w:t>
              </w:r>
            </w:hyperlink>
          </w:p>
        </w:tc>
        <w:tc>
          <w:tcPr>
            <w:tcW w:w="6662" w:type="dxa"/>
            <w:vMerge w:val="restart"/>
            <w:hideMark/>
          </w:tcPr>
          <w:p w14:paraId="6D886FFA" w14:textId="71E187DF" w:rsidR="009A6334" w:rsidRPr="00B600FE" w:rsidRDefault="009A633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Comité a examiné de manière </w:t>
            </w:r>
            <w:r w:rsidR="00261EA4" w:rsidRPr="00B600FE">
              <w:rPr>
                <w:szCs w:val="22"/>
              </w:rPr>
              <w:t>a</w:t>
            </w:r>
            <w:r w:rsidRPr="00B600FE">
              <w:rPr>
                <w:szCs w:val="22"/>
              </w:rPr>
              <w:t>pprofondie les Addenda 7 et 8 au Document RRB21-2/3(Rév.1)</w:t>
            </w:r>
            <w:r w:rsidR="00E5015D" w:rsidRPr="00B600FE">
              <w:rPr>
                <w:szCs w:val="22"/>
              </w:rPr>
              <w:t xml:space="preserve"> et </w:t>
            </w:r>
            <w:r w:rsidRPr="00B600FE">
              <w:rPr>
                <w:szCs w:val="22"/>
              </w:rPr>
              <w:t>les communications soumises par les Administrations de l'Arabie saoudite (Royaume d') et de la Turquie, telles qu</w:t>
            </w:r>
            <w:r w:rsidR="002A6C9C" w:rsidRPr="00B600FE">
              <w:rPr>
                <w:szCs w:val="22"/>
              </w:rPr>
              <w:t>'</w:t>
            </w:r>
            <w:r w:rsidRPr="00B600FE">
              <w:rPr>
                <w:szCs w:val="22"/>
              </w:rPr>
              <w:t xml:space="preserve">elles figurent respectivement </w:t>
            </w:r>
            <w:r w:rsidR="009A6852">
              <w:rPr>
                <w:szCs w:val="22"/>
              </w:rPr>
              <w:t>dans les Documents RRB21-2/9 et </w:t>
            </w:r>
            <w:r w:rsidRPr="00B600FE">
              <w:rPr>
                <w:szCs w:val="22"/>
              </w:rPr>
              <w:t>RRB21-2/12</w:t>
            </w:r>
            <w:r w:rsidR="00E5015D" w:rsidRPr="00B600FE">
              <w:rPr>
                <w:szCs w:val="22"/>
              </w:rPr>
              <w:t xml:space="preserve"> </w:t>
            </w:r>
            <w:r w:rsidRPr="00B600FE">
              <w:rPr>
                <w:szCs w:val="22"/>
              </w:rPr>
              <w:t>et a étudié pour information la contribution tardive faisant l</w:t>
            </w:r>
            <w:r w:rsidR="002A6C9C" w:rsidRPr="00B600FE">
              <w:rPr>
                <w:szCs w:val="22"/>
              </w:rPr>
              <w:t>'</w:t>
            </w:r>
            <w:r w:rsidRPr="00B600FE">
              <w:rPr>
                <w:szCs w:val="22"/>
              </w:rPr>
              <w:t>objet du</w:t>
            </w:r>
            <w:r w:rsidR="002A6C9C" w:rsidRPr="00B600FE">
              <w:rPr>
                <w:szCs w:val="22"/>
              </w:rPr>
              <w:t xml:space="preserve"> </w:t>
            </w:r>
            <w:r w:rsidRPr="00B600FE">
              <w:rPr>
                <w:szCs w:val="22"/>
              </w:rPr>
              <w:t>Document RRB21-2/DELAYED/3</w:t>
            </w:r>
            <w:r w:rsidR="002A6C9C" w:rsidRPr="00B600FE">
              <w:rPr>
                <w:szCs w:val="22"/>
              </w:rPr>
              <w:t>.</w:t>
            </w:r>
            <w:r w:rsidRPr="00B600FE">
              <w:rPr>
                <w:szCs w:val="22"/>
              </w:rPr>
              <w:t xml:space="preserve"> Le Comité a remercié le Bureau pour les rapports sur le</w:t>
            </w:r>
            <w:r w:rsidR="002A6C9C" w:rsidRPr="00B600FE">
              <w:rPr>
                <w:szCs w:val="22"/>
              </w:rPr>
              <w:t xml:space="preserve"> </w:t>
            </w:r>
            <w:r w:rsidRPr="00B600FE">
              <w:rPr>
                <w:szCs w:val="22"/>
              </w:rPr>
              <w:t>statut</w:t>
            </w:r>
            <w:r w:rsidR="002A6C9C" w:rsidRPr="00B600FE">
              <w:rPr>
                <w:szCs w:val="22"/>
              </w:rPr>
              <w:t xml:space="preserve"> </w:t>
            </w:r>
            <w:r w:rsidRPr="00B600FE">
              <w:rPr>
                <w:szCs w:val="22"/>
              </w:rPr>
              <w:t>réglementaire</w:t>
            </w:r>
            <w:r w:rsidR="002A6C9C" w:rsidRPr="00B600FE">
              <w:rPr>
                <w:szCs w:val="22"/>
              </w:rPr>
              <w:t xml:space="preserve"> </w:t>
            </w:r>
            <w:r w:rsidRPr="00B600FE">
              <w:rPr>
                <w:szCs w:val="22"/>
              </w:rPr>
              <w:t xml:space="preserve">des réseaux à satellite </w:t>
            </w:r>
            <w:r w:rsidR="00261EA4" w:rsidRPr="00B600FE">
              <w:rPr>
                <w:szCs w:val="22"/>
              </w:rPr>
              <w:t>concernés</w:t>
            </w:r>
            <w:r w:rsidRPr="00B600FE">
              <w:rPr>
                <w:szCs w:val="22"/>
              </w:rPr>
              <w:t xml:space="preserve"> des Administrations de l'Arabie saoudite et de </w:t>
            </w:r>
            <w:r w:rsidR="00E5015D" w:rsidRPr="00B600FE">
              <w:rPr>
                <w:szCs w:val="22"/>
              </w:rPr>
              <w:t xml:space="preserve">la </w:t>
            </w:r>
            <w:r w:rsidRPr="00B600FE">
              <w:rPr>
                <w:szCs w:val="22"/>
              </w:rPr>
              <w:t>Turquie</w:t>
            </w:r>
            <w:r w:rsidR="002A6C9C" w:rsidRPr="00B600FE">
              <w:rPr>
                <w:szCs w:val="22"/>
              </w:rPr>
              <w:t xml:space="preserve"> </w:t>
            </w:r>
            <w:r w:rsidR="00E5015D" w:rsidRPr="00B600FE">
              <w:rPr>
                <w:szCs w:val="22"/>
              </w:rPr>
              <w:t>et</w:t>
            </w:r>
            <w:r w:rsidRPr="00B600FE">
              <w:rPr>
                <w:szCs w:val="22"/>
              </w:rPr>
              <w:t xml:space="preserve"> les résultats des activités de coordination entre les deux</w:t>
            </w:r>
            <w:r w:rsidR="00073F04" w:rsidRPr="00B600FE">
              <w:rPr>
                <w:szCs w:val="22"/>
              </w:rPr>
              <w:t> </w:t>
            </w:r>
            <w:r w:rsidRPr="00B600FE">
              <w:rPr>
                <w:szCs w:val="22"/>
              </w:rPr>
              <w:t>administrations, ainsi que pour l'appui fourni aux administrations dans le cadre de leurs efforts de coordination.</w:t>
            </w:r>
            <w:r w:rsidR="002A6C9C" w:rsidRPr="00B600FE">
              <w:rPr>
                <w:szCs w:val="22"/>
              </w:rPr>
              <w:t xml:space="preserve"> </w:t>
            </w:r>
            <w:r w:rsidRPr="00B600FE">
              <w:rPr>
                <w:szCs w:val="22"/>
              </w:rPr>
              <w:t>Le Comité a noté</w:t>
            </w:r>
            <w:r w:rsidR="00073F04" w:rsidRPr="00B600FE">
              <w:rPr>
                <w:szCs w:val="22"/>
              </w:rPr>
              <w:t>:</w:t>
            </w:r>
          </w:p>
          <w:p w14:paraId="263CB6EB" w14:textId="4485AC05" w:rsidR="009A633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lastRenderedPageBreak/>
              <w:t>•</w:t>
            </w:r>
            <w:r w:rsidRPr="00B600FE">
              <w:rPr>
                <w:color w:val="000000"/>
                <w:szCs w:val="22"/>
              </w:rPr>
              <w:tab/>
            </w:r>
            <w:r w:rsidR="009A6334" w:rsidRPr="00B600FE">
              <w:rPr>
                <w:szCs w:val="22"/>
              </w:rPr>
              <w:t>que plusieurs réunions de coordination seraient nécessaires pour résoudre une situation aussi complexe concernant des systèmes à satellites opérationnels</w:t>
            </w:r>
            <w:r w:rsidR="002A6C9C" w:rsidRPr="00B600FE">
              <w:rPr>
                <w:szCs w:val="22"/>
              </w:rPr>
              <w:t>;</w:t>
            </w:r>
          </w:p>
          <w:p w14:paraId="02421AD5" w14:textId="1954E7AF" w:rsidR="009A633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9A6334" w:rsidRPr="00B600FE">
              <w:rPr>
                <w:szCs w:val="22"/>
              </w:rPr>
              <w:t>avec satisfaction que les administrations étaient disposées à poursuivre les discussions relatives à la coordination et qu'il était déjà prévu de tenir</w:t>
            </w:r>
            <w:r w:rsidR="002A6C9C" w:rsidRPr="00B600FE">
              <w:rPr>
                <w:szCs w:val="22"/>
              </w:rPr>
              <w:t xml:space="preserve"> </w:t>
            </w:r>
            <w:r w:rsidR="009A6334" w:rsidRPr="00B600FE">
              <w:rPr>
                <w:szCs w:val="22"/>
              </w:rPr>
              <w:t>une prochaine réunion de coordination;</w:t>
            </w:r>
          </w:p>
          <w:p w14:paraId="3D0C1F77" w14:textId="1B623730" w:rsidR="009A633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9A6334" w:rsidRPr="00B600FE">
              <w:rPr>
                <w:szCs w:val="22"/>
              </w:rPr>
              <w:t>que l'accent ne devrait pas être mis sur la date de protection des assignations de fréquence, mais qu</w:t>
            </w:r>
            <w:r w:rsidR="002A6C9C" w:rsidRPr="00B600FE">
              <w:rPr>
                <w:szCs w:val="22"/>
              </w:rPr>
              <w:t>'</w:t>
            </w:r>
            <w:r w:rsidR="009A6334" w:rsidRPr="00B600FE">
              <w:rPr>
                <w:szCs w:val="22"/>
              </w:rPr>
              <w:t xml:space="preserve">il conviendrait plutôt de garantir </w:t>
            </w:r>
            <w:r w:rsidR="009A6334" w:rsidRPr="00B600FE">
              <w:rPr>
                <w:color w:val="000000"/>
              </w:rPr>
              <w:t>la compatibilité de l'utilisation</w:t>
            </w:r>
            <w:r w:rsidR="009A6334" w:rsidRPr="00B600FE">
              <w:rPr>
                <w:szCs w:val="22"/>
              </w:rPr>
              <w:t>;</w:t>
            </w:r>
          </w:p>
          <w:p w14:paraId="151FFA04" w14:textId="0AC01F13" w:rsidR="009A6334" w:rsidRPr="00B600FE" w:rsidRDefault="00073F04" w:rsidP="005014D9">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color w:val="000000"/>
                <w:szCs w:val="22"/>
              </w:rPr>
              <w:t>•</w:t>
            </w:r>
            <w:r w:rsidRPr="00B600FE">
              <w:rPr>
                <w:color w:val="000000"/>
                <w:szCs w:val="22"/>
              </w:rPr>
              <w:tab/>
            </w:r>
            <w:r w:rsidR="009A6334" w:rsidRPr="00B600FE">
              <w:rPr>
                <w:szCs w:val="22"/>
              </w:rPr>
              <w:t xml:space="preserve">que les deux administrations </w:t>
            </w:r>
            <w:r w:rsidRPr="00B600FE">
              <w:rPr>
                <w:szCs w:val="22"/>
              </w:rPr>
              <w:t>envisageaient</w:t>
            </w:r>
            <w:r w:rsidR="009A6334" w:rsidRPr="00B600FE">
              <w:rPr>
                <w:szCs w:val="22"/>
              </w:rPr>
              <w:t xml:space="preserve"> de procéder à une segmentation des fréquences pour faire progresser la coordination de manière satisfaisante.</w:t>
            </w:r>
          </w:p>
          <w:p w14:paraId="78686282" w14:textId="274DFEA7" w:rsidR="00595E64" w:rsidRPr="00B600FE" w:rsidRDefault="009A633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En conséquence, le Comité a encouragé les Administrations de l'Arabie saoudite et de la Turquie à poursuivre leurs efforts de coordination </w:t>
            </w:r>
            <w:r w:rsidR="00D5318D" w:rsidRPr="00B600FE">
              <w:rPr>
                <w:color w:val="000000"/>
              </w:rPr>
              <w:t>en faisant preuve de bonne volonté</w:t>
            </w:r>
            <w:r w:rsidRPr="00B600FE">
              <w:rPr>
                <w:szCs w:val="22"/>
              </w:rPr>
              <w:t xml:space="preserve">, en tenant compte des </w:t>
            </w:r>
            <w:r w:rsidR="00D5318D" w:rsidRPr="00B600FE">
              <w:rPr>
                <w:szCs w:val="22"/>
              </w:rPr>
              <w:t>R</w:t>
            </w:r>
            <w:r w:rsidRPr="00B600FE">
              <w:rPr>
                <w:szCs w:val="22"/>
              </w:rPr>
              <w:t xml:space="preserve">ègles de procédure relatives au numéro </w:t>
            </w:r>
            <w:r w:rsidRPr="00B600FE">
              <w:rPr>
                <w:b/>
                <w:bCs/>
                <w:szCs w:val="22"/>
              </w:rPr>
              <w:t>9.6</w:t>
            </w:r>
            <w:r w:rsidRPr="00B600FE">
              <w:rPr>
                <w:szCs w:val="22"/>
              </w:rPr>
              <w:t xml:space="preserve"> du RR</w:t>
            </w:r>
            <w:r w:rsidR="002A6C9C" w:rsidRPr="00B600FE">
              <w:rPr>
                <w:szCs w:val="22"/>
              </w:rPr>
              <w:t xml:space="preserve"> </w:t>
            </w:r>
            <w:r w:rsidRPr="00B600FE">
              <w:rPr>
                <w:szCs w:val="22"/>
              </w:rPr>
              <w:t>ainsi que d'une approche fondée sur la segmentation des fréquences, et à trouver des solutions mutuellement acceptables</w:t>
            </w:r>
            <w:r w:rsidR="00D5318D" w:rsidRPr="00B600FE">
              <w:rPr>
                <w:szCs w:val="22"/>
              </w:rPr>
              <w:t>,</w:t>
            </w:r>
            <w:r w:rsidRPr="00B600FE">
              <w:rPr>
                <w:szCs w:val="22"/>
              </w:rPr>
              <w:t xml:space="preserve"> afin que les systèmes à satellites des deux</w:t>
            </w:r>
            <w:r w:rsidR="00073F04" w:rsidRPr="00B600FE">
              <w:rPr>
                <w:szCs w:val="22"/>
              </w:rPr>
              <w:t> </w:t>
            </w:r>
            <w:r w:rsidRPr="00B600FE">
              <w:rPr>
                <w:szCs w:val="22"/>
              </w:rPr>
              <w:t xml:space="preserve">administrations puissent fonctionner </w:t>
            </w:r>
            <w:r w:rsidR="00261EA4" w:rsidRPr="00B600FE">
              <w:rPr>
                <w:szCs w:val="22"/>
              </w:rPr>
              <w:t>dans des conditions exemptes de</w:t>
            </w:r>
            <w:r w:rsidRPr="00B600FE">
              <w:rPr>
                <w:szCs w:val="22"/>
              </w:rPr>
              <w:t xml:space="preserve"> brouillage</w:t>
            </w:r>
            <w:r w:rsidR="00261EA4" w:rsidRPr="00B600FE">
              <w:rPr>
                <w:szCs w:val="22"/>
              </w:rPr>
              <w:t>s</w:t>
            </w:r>
            <w:r w:rsidRPr="00B600FE">
              <w:rPr>
                <w:szCs w:val="22"/>
              </w:rPr>
              <w:t xml:space="preserve"> préjudiciable</w:t>
            </w:r>
            <w:r w:rsidR="00261EA4" w:rsidRPr="00B600FE">
              <w:rPr>
                <w:szCs w:val="22"/>
              </w:rPr>
              <w:t>s</w:t>
            </w:r>
            <w:r w:rsidRPr="00B600FE">
              <w:rPr>
                <w:szCs w:val="22"/>
              </w:rPr>
              <w:t xml:space="preserve">. Le Comité a chargé le Bureau de continuer </w:t>
            </w:r>
            <w:r w:rsidR="00261EA4" w:rsidRPr="00B600FE">
              <w:rPr>
                <w:szCs w:val="22"/>
              </w:rPr>
              <w:t>d</w:t>
            </w:r>
            <w:r w:rsidR="002A6C9C" w:rsidRPr="00B600FE">
              <w:rPr>
                <w:szCs w:val="22"/>
              </w:rPr>
              <w:t>'</w:t>
            </w:r>
            <w:r w:rsidR="00261EA4" w:rsidRPr="00B600FE">
              <w:rPr>
                <w:szCs w:val="22"/>
              </w:rPr>
              <w:t>appo</w:t>
            </w:r>
            <w:r w:rsidR="00E5015D" w:rsidRPr="00B600FE">
              <w:rPr>
                <w:szCs w:val="22"/>
              </w:rPr>
              <w:t>r</w:t>
            </w:r>
            <w:r w:rsidR="00261EA4" w:rsidRPr="00B600FE">
              <w:rPr>
                <w:szCs w:val="22"/>
              </w:rPr>
              <w:t>ter</w:t>
            </w:r>
            <w:r w:rsidR="002A6C9C" w:rsidRPr="00B600FE">
              <w:rPr>
                <w:szCs w:val="22"/>
              </w:rPr>
              <w:t xml:space="preserve"> </w:t>
            </w:r>
            <w:r w:rsidRPr="00B600FE">
              <w:rPr>
                <w:szCs w:val="22"/>
              </w:rPr>
              <w:t>un appui aux deux administrations dans</w:t>
            </w:r>
            <w:r w:rsidR="00261EA4" w:rsidRPr="00B600FE">
              <w:rPr>
                <w:szCs w:val="22"/>
              </w:rPr>
              <w:t xml:space="preserve"> le cadre de</w:t>
            </w:r>
            <w:r w:rsidR="002A6C9C" w:rsidRPr="00B600FE">
              <w:rPr>
                <w:szCs w:val="22"/>
              </w:rPr>
              <w:t xml:space="preserve"> </w:t>
            </w:r>
            <w:r w:rsidRPr="00B600FE">
              <w:rPr>
                <w:szCs w:val="22"/>
              </w:rPr>
              <w:t>leurs efforts de coordination, de continuer</w:t>
            </w:r>
            <w:r w:rsidR="00261EA4" w:rsidRPr="00B600FE">
              <w:rPr>
                <w:szCs w:val="22"/>
              </w:rPr>
              <w:t xml:space="preserve"> d</w:t>
            </w:r>
            <w:r w:rsidR="002A6C9C" w:rsidRPr="00B600FE">
              <w:rPr>
                <w:szCs w:val="22"/>
              </w:rPr>
              <w:t>'</w:t>
            </w:r>
            <w:r w:rsidRPr="00B600FE">
              <w:rPr>
                <w:szCs w:val="22"/>
              </w:rPr>
              <w:t xml:space="preserve">organiser des réunions de coordination </w:t>
            </w:r>
            <w:r w:rsidR="00261EA4" w:rsidRPr="00B600FE">
              <w:rPr>
                <w:szCs w:val="22"/>
              </w:rPr>
              <w:t>en fonction des</w:t>
            </w:r>
            <w:r w:rsidRPr="00B600FE">
              <w:rPr>
                <w:szCs w:val="22"/>
              </w:rPr>
              <w:t xml:space="preserve"> besoins et de faire rapport sur les progrès </w:t>
            </w:r>
            <w:r w:rsidR="00261EA4" w:rsidRPr="00B600FE">
              <w:rPr>
                <w:szCs w:val="22"/>
              </w:rPr>
              <w:t>accomplis</w:t>
            </w:r>
            <w:r w:rsidRPr="00B600FE">
              <w:rPr>
                <w:szCs w:val="22"/>
              </w:rPr>
              <w:t xml:space="preserve"> lors des</w:t>
            </w:r>
            <w:r w:rsidR="002A6C9C" w:rsidRPr="00B600FE">
              <w:rPr>
                <w:szCs w:val="22"/>
              </w:rPr>
              <w:t xml:space="preserve"> </w:t>
            </w:r>
            <w:r w:rsidRPr="00B600FE">
              <w:rPr>
                <w:szCs w:val="22"/>
              </w:rPr>
              <w:t>réunions</w:t>
            </w:r>
            <w:r w:rsidR="00261EA4" w:rsidRPr="00B600FE">
              <w:rPr>
                <w:szCs w:val="22"/>
              </w:rPr>
              <w:t xml:space="preserve"> futures</w:t>
            </w:r>
            <w:r w:rsidRPr="00B600FE">
              <w:rPr>
                <w:szCs w:val="22"/>
              </w:rPr>
              <w:t xml:space="preserve"> du Comité.</w:t>
            </w:r>
          </w:p>
        </w:tc>
        <w:tc>
          <w:tcPr>
            <w:tcW w:w="3395" w:type="dxa"/>
            <w:vMerge w:val="restart"/>
            <w:hideMark/>
          </w:tcPr>
          <w:p w14:paraId="579807A4" w14:textId="77777777" w:rsidR="00595E64" w:rsidRPr="00B600FE" w:rsidRDefault="00595E64"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aux administrations concernées.</w:t>
            </w:r>
          </w:p>
          <w:p w14:paraId="7E6A0680" w14:textId="199D45F1" w:rsidR="00595E64" w:rsidRPr="00B600FE" w:rsidRDefault="00595E64"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Bureau </w:t>
            </w:r>
            <w:r w:rsidR="00261EA4" w:rsidRPr="00B600FE">
              <w:rPr>
                <w:szCs w:val="22"/>
              </w:rPr>
              <w:t>continuera d</w:t>
            </w:r>
            <w:r w:rsidR="002A6C9C" w:rsidRPr="00B600FE">
              <w:rPr>
                <w:szCs w:val="22"/>
              </w:rPr>
              <w:t>'</w:t>
            </w:r>
            <w:r w:rsidR="00261EA4" w:rsidRPr="00B600FE">
              <w:rPr>
                <w:szCs w:val="22"/>
              </w:rPr>
              <w:t>apporter</w:t>
            </w:r>
            <w:r w:rsidR="002A6C9C" w:rsidRPr="00B600FE">
              <w:rPr>
                <w:szCs w:val="22"/>
              </w:rPr>
              <w:t xml:space="preserve"> </w:t>
            </w:r>
            <w:r w:rsidR="00261EA4" w:rsidRPr="00B600FE">
              <w:rPr>
                <w:szCs w:val="22"/>
              </w:rPr>
              <w:t>un appui aux deux administrations dans le cadre de</w:t>
            </w:r>
            <w:r w:rsidR="002A6C9C" w:rsidRPr="00B600FE">
              <w:rPr>
                <w:szCs w:val="22"/>
              </w:rPr>
              <w:t xml:space="preserve"> </w:t>
            </w:r>
            <w:r w:rsidR="00261EA4" w:rsidRPr="00B600FE">
              <w:rPr>
                <w:szCs w:val="22"/>
              </w:rPr>
              <w:t>leurs efforts de coordination et d</w:t>
            </w:r>
            <w:r w:rsidR="002A6C9C" w:rsidRPr="00B600FE">
              <w:rPr>
                <w:szCs w:val="22"/>
              </w:rPr>
              <w:t>'</w:t>
            </w:r>
            <w:r w:rsidR="00261EA4" w:rsidRPr="00B600FE">
              <w:rPr>
                <w:szCs w:val="22"/>
              </w:rPr>
              <w:t>organiser des réunions de coordination en fonction des besoins et fera</w:t>
            </w:r>
            <w:r w:rsidR="002A6C9C" w:rsidRPr="00B600FE">
              <w:rPr>
                <w:szCs w:val="22"/>
              </w:rPr>
              <w:t xml:space="preserve"> </w:t>
            </w:r>
            <w:r w:rsidR="00261EA4" w:rsidRPr="00B600FE">
              <w:rPr>
                <w:szCs w:val="22"/>
              </w:rPr>
              <w:t xml:space="preserve">rapport </w:t>
            </w:r>
            <w:r w:rsidR="00261EA4" w:rsidRPr="00B600FE">
              <w:rPr>
                <w:szCs w:val="22"/>
              </w:rPr>
              <w:lastRenderedPageBreak/>
              <w:t>sur les progrès accomplis lors des</w:t>
            </w:r>
            <w:r w:rsidR="002A6C9C" w:rsidRPr="00B600FE">
              <w:rPr>
                <w:szCs w:val="22"/>
              </w:rPr>
              <w:t xml:space="preserve"> </w:t>
            </w:r>
            <w:r w:rsidR="00261EA4" w:rsidRPr="00B600FE">
              <w:rPr>
                <w:szCs w:val="22"/>
              </w:rPr>
              <w:t>réunions futures du Comité.</w:t>
            </w:r>
          </w:p>
        </w:tc>
      </w:tr>
      <w:tr w:rsidR="00595E64" w:rsidRPr="00B600FE" w14:paraId="337B8891" w14:textId="77777777" w:rsidTr="006D2DE8">
        <w:trPr>
          <w:trHeight w:val="2212"/>
        </w:trPr>
        <w:tc>
          <w:tcPr>
            <w:cnfStyle w:val="001000000000" w:firstRow="0" w:lastRow="0" w:firstColumn="1" w:lastColumn="0" w:oddVBand="0" w:evenVBand="0" w:oddHBand="0" w:evenHBand="0" w:firstRowFirstColumn="0" w:firstRowLastColumn="0" w:lastRowFirstColumn="0" w:lastRowLastColumn="0"/>
            <w:tcW w:w="846" w:type="dxa"/>
          </w:tcPr>
          <w:p w14:paraId="4FCF7645" w14:textId="6CADF3A3" w:rsidR="00595E64" w:rsidRPr="00B600FE" w:rsidRDefault="00595E64" w:rsidP="005014D9">
            <w:pPr>
              <w:pStyle w:val="Tabletext"/>
              <w:jc w:val="center"/>
              <w:rPr>
                <w:szCs w:val="22"/>
              </w:rPr>
            </w:pPr>
            <w:r w:rsidRPr="00B600FE">
              <w:rPr>
                <w:szCs w:val="22"/>
              </w:rPr>
              <w:lastRenderedPageBreak/>
              <w:t>8.2</w:t>
            </w:r>
          </w:p>
        </w:tc>
        <w:tc>
          <w:tcPr>
            <w:tcW w:w="3827" w:type="dxa"/>
          </w:tcPr>
          <w:p w14:paraId="64F90FCD" w14:textId="0E7DDE1A" w:rsidR="00595E64" w:rsidRPr="00B600FE" w:rsidRDefault="00595E6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de la Turquie concernant la coordination entre les réseaux à satellite ARABSAT-5A et 6A à la position orbitale 30,5° E et le futur réseau à satellite TURKSAT-5A à la position orbitale 31° E dans la bande Ku (10,95</w:t>
            </w:r>
            <w:r w:rsidRPr="00B600FE">
              <w:rPr>
                <w:szCs w:val="22"/>
              </w:rPr>
              <w:noBreakHyphen/>
              <w:t>11,2 GHz, 11,45</w:t>
            </w:r>
            <w:r w:rsidRPr="00B600FE">
              <w:rPr>
                <w:szCs w:val="22"/>
              </w:rPr>
              <w:noBreakHyphen/>
              <w:t>11,7 GHz et 14,0-14,5 GHz)</w:t>
            </w:r>
            <w:r w:rsidRPr="00B600FE">
              <w:rPr>
                <w:szCs w:val="22"/>
              </w:rPr>
              <w:br/>
            </w:r>
            <w:hyperlink r:id="rId36" w:history="1">
              <w:r w:rsidRPr="00B600FE">
                <w:rPr>
                  <w:rStyle w:val="Hyperlink"/>
                  <w:szCs w:val="22"/>
                </w:rPr>
                <w:t>RRB21-2/12</w:t>
              </w:r>
            </w:hyperlink>
            <w:r w:rsidRPr="00B600FE">
              <w:rPr>
                <w:szCs w:val="22"/>
              </w:rPr>
              <w:t xml:space="preserve">; </w:t>
            </w:r>
            <w:hyperlink r:id="rId37" w:history="1">
              <w:r w:rsidRPr="00B600FE">
                <w:rPr>
                  <w:rStyle w:val="Hyperlink"/>
                  <w:szCs w:val="22"/>
                </w:rPr>
                <w:t>RRB21-2/DELAYED/3</w:t>
              </w:r>
            </w:hyperlink>
          </w:p>
        </w:tc>
        <w:tc>
          <w:tcPr>
            <w:tcW w:w="6662" w:type="dxa"/>
            <w:vMerge/>
          </w:tcPr>
          <w:p w14:paraId="41E02A67" w14:textId="77777777" w:rsidR="00595E64" w:rsidRPr="00B600FE" w:rsidRDefault="00595E64" w:rsidP="005014D9">
            <w:pPr>
              <w:pStyle w:val="Tabletext"/>
              <w:cnfStyle w:val="000000000000" w:firstRow="0" w:lastRow="0" w:firstColumn="0" w:lastColumn="0" w:oddVBand="0" w:evenVBand="0" w:oddHBand="0" w:evenHBand="0" w:firstRowFirstColumn="0" w:firstRowLastColumn="0" w:lastRowFirstColumn="0" w:lastRowLastColumn="0"/>
              <w:rPr>
                <w:szCs w:val="22"/>
              </w:rPr>
            </w:pPr>
          </w:p>
        </w:tc>
        <w:tc>
          <w:tcPr>
            <w:tcW w:w="3395" w:type="dxa"/>
            <w:vMerge/>
          </w:tcPr>
          <w:p w14:paraId="4FC77FB8" w14:textId="77777777" w:rsidR="00595E64" w:rsidRPr="00B600FE" w:rsidRDefault="00595E64"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p>
        </w:tc>
      </w:tr>
      <w:tr w:rsidR="00822398" w:rsidRPr="00B600FE" w14:paraId="12DDE36A"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3DFA5B7B" w14:textId="77777777" w:rsidR="00822398" w:rsidRPr="00B600FE" w:rsidRDefault="00822398" w:rsidP="005014D9">
            <w:pPr>
              <w:pStyle w:val="Tabletext"/>
              <w:jc w:val="center"/>
              <w:rPr>
                <w:szCs w:val="22"/>
              </w:rPr>
            </w:pPr>
            <w:r w:rsidRPr="00B600FE">
              <w:rPr>
                <w:szCs w:val="22"/>
              </w:rPr>
              <w:t>9</w:t>
            </w:r>
          </w:p>
        </w:tc>
        <w:tc>
          <w:tcPr>
            <w:tcW w:w="3827" w:type="dxa"/>
            <w:hideMark/>
          </w:tcPr>
          <w:p w14:paraId="4894538D" w14:textId="16F28CF4" w:rsidR="00822398" w:rsidRPr="00B600FE" w:rsidRDefault="00595E64" w:rsidP="005014D9">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Communication soumise par l'Administration de l'Arabie saoudite (Royaume d') concernant la mise en œuvre des décisions du RRB relatives à la coordin</w:t>
            </w:r>
            <w:r w:rsidR="009A6852">
              <w:rPr>
                <w:szCs w:val="22"/>
              </w:rPr>
              <w:t>ation des réseaux à satellite à </w:t>
            </w:r>
            <w:r w:rsidRPr="00B600FE">
              <w:rPr>
                <w:szCs w:val="22"/>
              </w:rPr>
              <w:t>25,5° E/26° E dans la bande Ku</w:t>
            </w:r>
            <w:r w:rsidR="00822398" w:rsidRPr="00B600FE">
              <w:rPr>
                <w:szCs w:val="22"/>
              </w:rPr>
              <w:br/>
            </w:r>
            <w:hyperlink r:id="rId38" w:history="1">
              <w:r w:rsidRPr="00B600FE">
                <w:rPr>
                  <w:rStyle w:val="Hyperlink"/>
                </w:rPr>
                <w:t>RRB21-2/10</w:t>
              </w:r>
            </w:hyperlink>
            <w:r w:rsidRPr="00B600FE">
              <w:t xml:space="preserve">; </w:t>
            </w:r>
            <w:hyperlink r:id="rId39" w:history="1">
              <w:r w:rsidRPr="00B600FE">
                <w:rPr>
                  <w:rStyle w:val="Hyperlink"/>
                </w:rPr>
                <w:t>RRB21-2/3(Add.1)</w:t>
              </w:r>
            </w:hyperlink>
            <w:r w:rsidRPr="00B600FE">
              <w:t xml:space="preserve">; </w:t>
            </w:r>
            <w:r w:rsidRPr="00B600FE">
              <w:rPr>
                <w:u w:val="single"/>
              </w:rPr>
              <w:br/>
            </w:r>
            <w:hyperlink r:id="rId40" w:history="1">
              <w:r w:rsidRPr="00B600FE">
                <w:rPr>
                  <w:rStyle w:val="Hyperlink"/>
                </w:rPr>
                <w:t>RRB21-2/DELAYED/5</w:t>
              </w:r>
            </w:hyperlink>
          </w:p>
        </w:tc>
        <w:tc>
          <w:tcPr>
            <w:tcW w:w="6662" w:type="dxa"/>
            <w:hideMark/>
          </w:tcPr>
          <w:p w14:paraId="7B554156" w14:textId="38F0A350" w:rsidR="000D044B" w:rsidRPr="00B600FE" w:rsidRDefault="00286E8D" w:rsidP="005014D9">
            <w:pPr>
              <w:pStyle w:val="Tabletext"/>
              <w:tabs>
                <w:tab w:val="clear" w:pos="284"/>
              </w:tabs>
              <w:cnfStyle w:val="000000000000" w:firstRow="0" w:lastRow="0" w:firstColumn="0" w:lastColumn="0" w:oddVBand="0" w:evenVBand="0" w:oddHBand="0" w:evenHBand="0" w:firstRowFirstColumn="0" w:firstRowLastColumn="0" w:lastRowFirstColumn="0" w:lastRowLastColumn="0"/>
            </w:pPr>
            <w:r w:rsidRPr="00B600FE">
              <w:t>Le Comité a examiné de manière</w:t>
            </w:r>
            <w:r w:rsidR="002A6C9C" w:rsidRPr="00B600FE">
              <w:t xml:space="preserve"> </w:t>
            </w:r>
            <w:r w:rsidRPr="00B600FE">
              <w:t>dét</w:t>
            </w:r>
            <w:r w:rsidR="009A6852">
              <w:t>aillée l'Addendum 1 au Document </w:t>
            </w:r>
            <w:r w:rsidRPr="00B600FE">
              <w:t>RRB21-2/3(Rév.1) et la communication soumise par l'Administration de l'Arabie saoudite (Royaume d')</w:t>
            </w:r>
            <w:r w:rsidR="002A6C9C" w:rsidRPr="00B600FE">
              <w:t>,</w:t>
            </w:r>
            <w:r w:rsidR="009A6852">
              <w:t xml:space="preserve"> figurant dans le </w:t>
            </w:r>
            <w:r w:rsidRPr="00B600FE">
              <w:t>Document RRB21-2/10, et a égalem</w:t>
            </w:r>
            <w:r w:rsidR="009A6852">
              <w:t>ent examiné pour information la </w:t>
            </w:r>
            <w:r w:rsidRPr="00B600FE">
              <w:t>contribution tardive</w:t>
            </w:r>
            <w:r w:rsidR="002A6C9C" w:rsidRPr="00B600FE">
              <w:t xml:space="preserve"> </w:t>
            </w:r>
            <w:r w:rsidRPr="00B600FE">
              <w:t>faisant l</w:t>
            </w:r>
            <w:r w:rsidR="002A6C9C" w:rsidRPr="00B600FE">
              <w:t>'</w:t>
            </w:r>
            <w:r w:rsidR="009A6852">
              <w:t>objet du Document RRB21</w:t>
            </w:r>
            <w:r w:rsidR="009A6852">
              <w:noBreakHyphen/>
            </w:r>
            <w:r w:rsidRPr="00B600FE">
              <w:t>2/DELAYED/5</w:t>
            </w:r>
            <w:r w:rsidR="002A6C9C" w:rsidRPr="00B600FE">
              <w:t>.</w:t>
            </w:r>
            <w:r w:rsidRPr="00B600FE">
              <w:t xml:space="preserve"> Le Comité a de nouveau noté avec satisfaction que les satellites étaient exploités de façon satisfaisante depuis plusieurs années, sans qu'il en résulte des brouillages préjudiciables, et que les parties étaient prêtes à reprendre les discussions pour mettre la dernière main à un accord de coordination.</w:t>
            </w:r>
          </w:p>
          <w:p w14:paraId="5249EEF6" w14:textId="0BB35F22" w:rsidR="00822398" w:rsidRPr="00B600FE" w:rsidRDefault="00286E8D" w:rsidP="005014D9">
            <w:pPr>
              <w:pStyle w:val="Tabletext"/>
              <w:tabs>
                <w:tab w:val="clear" w:pos="284"/>
              </w:tabs>
              <w:cnfStyle w:val="000000000000" w:firstRow="0" w:lastRow="0" w:firstColumn="0" w:lastColumn="0" w:oddVBand="0" w:evenVBand="0" w:oddHBand="0" w:evenHBand="0" w:firstRowFirstColumn="0" w:firstRowLastColumn="0" w:lastRowFirstColumn="0" w:lastRowLastColumn="0"/>
            </w:pPr>
            <w:r w:rsidRPr="00B600FE">
              <w:lastRenderedPageBreak/>
              <w:t>Le Comité a décidé d'encourager les Administrations de l'Arabie saoudite, de la France et de la République islamique d'Iran</w:t>
            </w:r>
            <w:r w:rsidR="002A6C9C" w:rsidRPr="00B600FE">
              <w:t xml:space="preserve"> </w:t>
            </w:r>
            <w:r w:rsidRPr="00B600FE">
              <w:t>à officialiser la coordination de leurs réseaux à satellite à la position 25,5° E/26° E dans la bande Ku et d'encourager les Administrations de l'Arabie saoudite et de la France à officialiser dès que possible la coordination de leurs réseaux à satellite à la position 25,5° E/26° E dans la bande Ka.</w:t>
            </w:r>
            <w:r w:rsidR="002A6C9C" w:rsidRPr="00B600FE">
              <w:t xml:space="preserve"> </w:t>
            </w:r>
            <w:r w:rsidRPr="00B600FE">
              <w:t>En outre, le Comité a encouragé les administrations à poursuivre les discussions sur les efforts de coordination dans les bandes Ku et Ka en parallèle et dans un esprit de bonne volonté,</w:t>
            </w:r>
            <w:r w:rsidR="002A6C9C" w:rsidRPr="00B600FE">
              <w:t xml:space="preserve"> </w:t>
            </w:r>
            <w:r w:rsidRPr="00B600FE">
              <w:t>en vue de mener à bonne fin la coordination requise entre leurs réseaux à satellite pour éviter les brouillages préjudiciables. Le Comité a chargé le Bureau de continuer de fournir l'assistance nécessaire aux administrations et de rendre compte des progrès accomplis à la 88ème réunion du Comité</w:t>
            </w:r>
            <w:r w:rsidR="005014D9" w:rsidRPr="00B600FE">
              <w:t>.</w:t>
            </w:r>
          </w:p>
        </w:tc>
        <w:tc>
          <w:tcPr>
            <w:tcW w:w="3395" w:type="dxa"/>
            <w:hideMark/>
          </w:tcPr>
          <w:p w14:paraId="79613824" w14:textId="77777777" w:rsidR="00822398" w:rsidRPr="00B600FE" w:rsidRDefault="00822398" w:rsidP="005014D9">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lastRenderedPageBreak/>
              <w:t>Le Secrétaire exécutif communiquera ces décisions aux administrations concernées.</w:t>
            </w:r>
          </w:p>
          <w:p w14:paraId="52B55DD7" w14:textId="4434F585" w:rsidR="00822398" w:rsidRPr="00B600FE" w:rsidRDefault="00286E8D" w:rsidP="005014D9">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w:t>
            </w:r>
            <w:r w:rsidR="004D4EE2" w:rsidRPr="00B600FE">
              <w:rPr>
                <w:szCs w:val="22"/>
              </w:rPr>
              <w:t xml:space="preserve">Bureau </w:t>
            </w:r>
            <w:r w:rsidRPr="00B600FE">
              <w:t>continuera de fournir l'assistance nécessaire aux administrations et</w:t>
            </w:r>
            <w:r w:rsidR="002A6C9C" w:rsidRPr="00B600FE">
              <w:t xml:space="preserve"> </w:t>
            </w:r>
            <w:r w:rsidRPr="00B600FE">
              <w:t>rendr</w:t>
            </w:r>
            <w:r w:rsidR="00873691" w:rsidRPr="00B600FE">
              <w:t>a</w:t>
            </w:r>
            <w:r w:rsidRPr="00B600FE">
              <w:t xml:space="preserve"> co</w:t>
            </w:r>
            <w:r w:rsidR="009A6852">
              <w:t>mpte des progrès accomplis à la </w:t>
            </w:r>
            <w:r w:rsidRPr="00B600FE">
              <w:t>88ème</w:t>
            </w:r>
            <w:r w:rsidR="005014D9" w:rsidRPr="00B600FE">
              <w:t> </w:t>
            </w:r>
            <w:r w:rsidRPr="00B600FE">
              <w:t>réunion du Comité</w:t>
            </w:r>
            <w:r w:rsidR="005014D9" w:rsidRPr="00B600FE">
              <w:t>.</w:t>
            </w:r>
          </w:p>
        </w:tc>
      </w:tr>
      <w:tr w:rsidR="00822398" w:rsidRPr="00B600FE" w14:paraId="3144DB55"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656A18F8" w14:textId="77777777" w:rsidR="00822398" w:rsidRPr="00B600FE" w:rsidRDefault="00822398" w:rsidP="00572EC1">
            <w:pPr>
              <w:pStyle w:val="Tabletext"/>
              <w:jc w:val="center"/>
              <w:rPr>
                <w:szCs w:val="22"/>
              </w:rPr>
            </w:pPr>
            <w:r w:rsidRPr="00B600FE">
              <w:rPr>
                <w:szCs w:val="22"/>
              </w:rPr>
              <w:t>10</w:t>
            </w:r>
          </w:p>
        </w:tc>
        <w:tc>
          <w:tcPr>
            <w:tcW w:w="3827" w:type="dxa"/>
            <w:hideMark/>
          </w:tcPr>
          <w:p w14:paraId="324CDC87" w14:textId="749B7624" w:rsidR="00822398" w:rsidRPr="00B600FE" w:rsidRDefault="00595E64" w:rsidP="00572EC1">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Confirmation de la date de la prochaine réunion de 2021 et dates indicatives des réunions futures</w:t>
            </w:r>
          </w:p>
        </w:tc>
        <w:tc>
          <w:tcPr>
            <w:tcW w:w="6662" w:type="dxa"/>
            <w:hideMark/>
          </w:tcPr>
          <w:p w14:paraId="59340FC5" w14:textId="096A93C9" w:rsidR="00595E64" w:rsidRPr="00B600FE" w:rsidRDefault="00286E8D" w:rsidP="00572EC1">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color w:val="000000"/>
              </w:rPr>
              <w:t xml:space="preserve">Le Comité a confirmé qu'il tiendrait sa 88ème réunion du </w:t>
            </w:r>
            <w:r w:rsidR="009A6852">
              <w:rPr>
                <w:szCs w:val="22"/>
              </w:rPr>
              <w:t>11 au </w:t>
            </w:r>
            <w:r w:rsidRPr="00B600FE">
              <w:rPr>
                <w:szCs w:val="22"/>
              </w:rPr>
              <w:t>15 octobre 2021</w:t>
            </w:r>
            <w:r w:rsidR="002A6C9C" w:rsidRPr="00B600FE">
              <w:rPr>
                <w:szCs w:val="22"/>
              </w:rPr>
              <w:t xml:space="preserve"> </w:t>
            </w:r>
            <w:r w:rsidRPr="00B600FE">
              <w:rPr>
                <w:color w:val="000000"/>
              </w:rPr>
              <w:t>dans la Salle L,</w:t>
            </w:r>
            <w:r w:rsidRPr="00B600FE">
              <w:t xml:space="preserve"> </w:t>
            </w:r>
            <w:r w:rsidRPr="00B600FE">
              <w:rPr>
                <w:color w:val="000000"/>
              </w:rPr>
              <w:t>ou du 11 au 19 octobre 2021</w:t>
            </w:r>
            <w:r w:rsidR="00E5015D" w:rsidRPr="00B600FE">
              <w:rPr>
                <w:color w:val="000000"/>
              </w:rPr>
              <w:t xml:space="preserve"> </w:t>
            </w:r>
            <w:r w:rsidRPr="00B600FE">
              <w:rPr>
                <w:color w:val="000000"/>
              </w:rPr>
              <w:t>si la réunion se tient</w:t>
            </w:r>
            <w:r w:rsidR="00E5015D" w:rsidRPr="00B600FE">
              <w:rPr>
                <w:color w:val="000000"/>
              </w:rPr>
              <w:t xml:space="preserve"> </w:t>
            </w:r>
            <w:r w:rsidRPr="00B600FE">
              <w:rPr>
                <w:color w:val="000000"/>
              </w:rPr>
              <w:t>de manière</w:t>
            </w:r>
            <w:r w:rsidR="002A6C9C" w:rsidRPr="00B600FE">
              <w:rPr>
                <w:color w:val="000000"/>
              </w:rPr>
              <w:t xml:space="preserve"> </w:t>
            </w:r>
            <w:r w:rsidRPr="00B600FE">
              <w:rPr>
                <w:color w:val="000000"/>
              </w:rPr>
              <w:t>virtuelle.</w:t>
            </w:r>
          </w:p>
          <w:p w14:paraId="3D4DE849" w14:textId="320B31B5" w:rsidR="00595E64" w:rsidRPr="00B600FE" w:rsidRDefault="00286E8D" w:rsidP="00572EC1">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color w:val="000000"/>
              </w:rPr>
              <w:t>Le Comité</w:t>
            </w:r>
            <w:r w:rsidR="002A6C9C" w:rsidRPr="00B600FE">
              <w:rPr>
                <w:color w:val="000000"/>
              </w:rPr>
              <w:t xml:space="preserve"> </w:t>
            </w:r>
            <w:r w:rsidRPr="00B600FE">
              <w:rPr>
                <w:color w:val="000000"/>
              </w:rPr>
              <w:t>a également confirmé provisoirement qu'il tiendrait ses réunions suivantes de 202</w:t>
            </w:r>
            <w:r w:rsidR="00D05B37" w:rsidRPr="00B600FE">
              <w:rPr>
                <w:color w:val="000000"/>
              </w:rPr>
              <w:t>2</w:t>
            </w:r>
            <w:r w:rsidRPr="00B600FE">
              <w:rPr>
                <w:color w:val="000000"/>
              </w:rPr>
              <w:t xml:space="preserve"> aux dates suivantes:</w:t>
            </w:r>
          </w:p>
          <w:p w14:paraId="5AC62F7D" w14:textId="30751DA1" w:rsidR="00D05B37" w:rsidRPr="00B600FE" w:rsidRDefault="00595E64" w:rsidP="00572EC1">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D05B37" w:rsidRPr="00B600FE">
              <w:rPr>
                <w:szCs w:val="22"/>
              </w:rPr>
              <w:t>89ème réunion</w:t>
            </w:r>
            <w:r w:rsidR="002A6C9C" w:rsidRPr="00B600FE">
              <w:rPr>
                <w:szCs w:val="22"/>
              </w:rPr>
              <w:t>:</w:t>
            </w:r>
            <w:r w:rsidR="005014D9" w:rsidRPr="00B600FE">
              <w:rPr>
                <w:szCs w:val="22"/>
              </w:rPr>
              <w:t xml:space="preserve"> </w:t>
            </w:r>
            <w:r w:rsidR="00D05B37" w:rsidRPr="00B600FE">
              <w:rPr>
                <w:szCs w:val="22"/>
              </w:rPr>
              <w:t>14-18 mars 2022 (Salle L)</w:t>
            </w:r>
          </w:p>
          <w:p w14:paraId="0018BAE9" w14:textId="7B3F4479" w:rsidR="00D05B37" w:rsidRPr="00B600FE" w:rsidRDefault="005014D9" w:rsidP="00572EC1">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D05B37" w:rsidRPr="00B600FE">
              <w:rPr>
                <w:szCs w:val="22"/>
              </w:rPr>
              <w:t>90</w:t>
            </w:r>
            <w:r w:rsidRPr="00B600FE">
              <w:rPr>
                <w:szCs w:val="22"/>
              </w:rPr>
              <w:t>ème</w:t>
            </w:r>
            <w:r w:rsidR="00D05B37" w:rsidRPr="00B600FE">
              <w:rPr>
                <w:szCs w:val="22"/>
              </w:rPr>
              <w:t xml:space="preserve"> réunion</w:t>
            </w:r>
            <w:r w:rsidR="002A6C9C" w:rsidRPr="00B600FE">
              <w:rPr>
                <w:szCs w:val="22"/>
              </w:rPr>
              <w:t>:</w:t>
            </w:r>
            <w:r w:rsidR="00D05B37" w:rsidRPr="00B600FE">
              <w:rPr>
                <w:szCs w:val="22"/>
              </w:rPr>
              <w:t xml:space="preserve"> 27 juin</w:t>
            </w:r>
            <w:r w:rsidRPr="00B600FE">
              <w:rPr>
                <w:szCs w:val="22"/>
              </w:rPr>
              <w:t xml:space="preserve"> – </w:t>
            </w:r>
            <w:r w:rsidR="00D05B37" w:rsidRPr="00B600FE">
              <w:rPr>
                <w:szCs w:val="22"/>
              </w:rPr>
              <w:t xml:space="preserve">1er juillet 2022 (salle </w:t>
            </w:r>
            <w:r w:rsidR="00D05B37" w:rsidRPr="00B600FE">
              <w:rPr>
                <w:color w:val="000000"/>
              </w:rPr>
              <w:t>du Centre de conférences de Genève (CCV)</w:t>
            </w:r>
            <w:r w:rsidR="00D05B37" w:rsidRPr="00B600FE">
              <w:rPr>
                <w:szCs w:val="22"/>
              </w:rPr>
              <w:t>, si la salle L n'est pas disponible)</w:t>
            </w:r>
          </w:p>
          <w:p w14:paraId="3ECA7CF7" w14:textId="212350C0" w:rsidR="00822398" w:rsidRPr="00B600FE" w:rsidRDefault="005014D9" w:rsidP="00572EC1">
            <w:pPr>
              <w:pStyle w:val="Tabletext"/>
              <w:ind w:left="284" w:hanging="284"/>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r w:rsidRPr="00B600FE">
              <w:rPr>
                <w:szCs w:val="22"/>
              </w:rPr>
              <w:tab/>
            </w:r>
            <w:r w:rsidR="00D05B37" w:rsidRPr="00B600FE">
              <w:rPr>
                <w:szCs w:val="22"/>
              </w:rPr>
              <w:t>91</w:t>
            </w:r>
            <w:r w:rsidRPr="00B600FE">
              <w:rPr>
                <w:szCs w:val="22"/>
              </w:rPr>
              <w:t>ème</w:t>
            </w:r>
            <w:r w:rsidR="00D05B37" w:rsidRPr="00B600FE">
              <w:rPr>
                <w:szCs w:val="22"/>
              </w:rPr>
              <w:t xml:space="preserve"> réunion</w:t>
            </w:r>
            <w:r w:rsidR="002A6C9C" w:rsidRPr="00B600FE">
              <w:rPr>
                <w:szCs w:val="22"/>
              </w:rPr>
              <w:t>:</w:t>
            </w:r>
            <w:r w:rsidRPr="00B600FE">
              <w:rPr>
                <w:szCs w:val="22"/>
              </w:rPr>
              <w:t xml:space="preserve"> </w:t>
            </w:r>
            <w:r w:rsidR="00D05B37" w:rsidRPr="00B600FE">
              <w:rPr>
                <w:szCs w:val="22"/>
              </w:rPr>
              <w:t>31 octobre</w:t>
            </w:r>
            <w:r w:rsidRPr="00B600FE">
              <w:rPr>
                <w:szCs w:val="22"/>
              </w:rPr>
              <w:t xml:space="preserve"> – </w:t>
            </w:r>
            <w:r w:rsidR="00D05B37" w:rsidRPr="00B600FE">
              <w:rPr>
                <w:szCs w:val="22"/>
              </w:rPr>
              <w:t xml:space="preserve">4 novembre 2022 (Salle </w:t>
            </w:r>
            <w:r w:rsidR="00D05B37" w:rsidRPr="00B600FE">
              <w:rPr>
                <w:color w:val="000000"/>
              </w:rPr>
              <w:t>du Centre de conférences de Genève (CCV)</w:t>
            </w:r>
            <w:r w:rsidR="00D05B37" w:rsidRPr="00B600FE">
              <w:rPr>
                <w:szCs w:val="22"/>
              </w:rPr>
              <w:t>, si la salle L n'est pas disponible).</w:t>
            </w:r>
          </w:p>
        </w:tc>
        <w:tc>
          <w:tcPr>
            <w:tcW w:w="3395" w:type="dxa"/>
            <w:hideMark/>
          </w:tcPr>
          <w:p w14:paraId="7928E778" w14:textId="77777777" w:rsidR="00822398" w:rsidRPr="00B600FE" w:rsidRDefault="00822398" w:rsidP="00572EC1">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595E64" w:rsidRPr="00B600FE" w14:paraId="081429F0" w14:textId="77777777" w:rsidTr="00E8614F">
        <w:trPr>
          <w:trHeight w:val="127"/>
        </w:trPr>
        <w:tc>
          <w:tcPr>
            <w:cnfStyle w:val="001000000000" w:firstRow="0" w:lastRow="0" w:firstColumn="1" w:lastColumn="0" w:oddVBand="0" w:evenVBand="0" w:oddHBand="0" w:evenHBand="0" w:firstRowFirstColumn="0" w:firstRowLastColumn="0" w:lastRowFirstColumn="0" w:lastRowLastColumn="0"/>
            <w:tcW w:w="846" w:type="dxa"/>
            <w:hideMark/>
          </w:tcPr>
          <w:p w14:paraId="399F25B8" w14:textId="77777777" w:rsidR="00595E64" w:rsidRPr="00B600FE" w:rsidRDefault="00595E64" w:rsidP="00602B42">
            <w:pPr>
              <w:pStyle w:val="Tabletext"/>
              <w:jc w:val="center"/>
              <w:rPr>
                <w:szCs w:val="22"/>
              </w:rPr>
            </w:pPr>
            <w:r w:rsidRPr="00B600FE">
              <w:rPr>
                <w:szCs w:val="22"/>
              </w:rPr>
              <w:t>11</w:t>
            </w:r>
          </w:p>
        </w:tc>
        <w:tc>
          <w:tcPr>
            <w:tcW w:w="13884" w:type="dxa"/>
            <w:gridSpan w:val="3"/>
            <w:hideMark/>
          </w:tcPr>
          <w:p w14:paraId="539B4E35" w14:textId="13B6594D" w:rsidR="00595E64" w:rsidRPr="00B600FE" w:rsidRDefault="00595E64" w:rsidP="00602B42">
            <w:pPr>
              <w:pStyle w:val="Tabletext"/>
              <w:cnfStyle w:val="000000000000" w:firstRow="0" w:lastRow="0" w:firstColumn="0" w:lastColumn="0" w:oddVBand="0" w:evenVBand="0" w:oddHBand="0" w:evenHBand="0" w:firstRowFirstColumn="0" w:firstRowLastColumn="0" w:lastRowFirstColumn="0" w:lastRowLastColumn="0"/>
              <w:rPr>
                <w:b/>
                <w:bCs/>
                <w:szCs w:val="22"/>
              </w:rPr>
            </w:pPr>
            <w:r w:rsidRPr="00B600FE">
              <w:rPr>
                <w:b/>
                <w:bCs/>
                <w:szCs w:val="22"/>
              </w:rPr>
              <w:t>Divers</w:t>
            </w:r>
          </w:p>
        </w:tc>
      </w:tr>
      <w:tr w:rsidR="00822398" w:rsidRPr="00B600FE" w14:paraId="15BF0F30" w14:textId="77777777" w:rsidTr="006D2DE8">
        <w:trPr>
          <w:trHeight w:val="545"/>
        </w:trPr>
        <w:tc>
          <w:tcPr>
            <w:cnfStyle w:val="001000000000" w:firstRow="0" w:lastRow="0" w:firstColumn="1" w:lastColumn="0" w:oddVBand="0" w:evenVBand="0" w:oddHBand="0" w:evenHBand="0" w:firstRowFirstColumn="0" w:firstRowLastColumn="0" w:lastRowFirstColumn="0" w:lastRowLastColumn="0"/>
            <w:tcW w:w="846" w:type="dxa"/>
            <w:hideMark/>
          </w:tcPr>
          <w:p w14:paraId="08999822" w14:textId="683BBE80" w:rsidR="00822398" w:rsidRPr="00B600FE" w:rsidRDefault="00822398" w:rsidP="00602B42">
            <w:pPr>
              <w:pStyle w:val="Tabletext"/>
              <w:jc w:val="center"/>
              <w:rPr>
                <w:szCs w:val="22"/>
              </w:rPr>
            </w:pPr>
            <w:r w:rsidRPr="00B600FE">
              <w:rPr>
                <w:szCs w:val="22"/>
              </w:rPr>
              <w:t>1</w:t>
            </w:r>
            <w:r w:rsidR="00595E64" w:rsidRPr="00B600FE">
              <w:rPr>
                <w:szCs w:val="22"/>
              </w:rPr>
              <w:t>1.1</w:t>
            </w:r>
          </w:p>
        </w:tc>
        <w:tc>
          <w:tcPr>
            <w:tcW w:w="3827" w:type="dxa"/>
            <w:hideMark/>
          </w:tcPr>
          <w:p w14:paraId="076E0FD2" w14:textId="7E15673A" w:rsidR="00822398" w:rsidRPr="00B600FE" w:rsidRDefault="00595E64" w:rsidP="00602B42">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Mise à jour des méthodes de travail au titre de la Partie C des Règles de procédure</w:t>
            </w:r>
          </w:p>
        </w:tc>
        <w:tc>
          <w:tcPr>
            <w:tcW w:w="6662" w:type="dxa"/>
          </w:tcPr>
          <w:p w14:paraId="246198FF" w14:textId="2F9C11C3" w:rsidR="00822398" w:rsidRPr="00B600FE" w:rsidRDefault="00D05B37" w:rsidP="00602B42">
            <w:pPr>
              <w:pStyle w:val="Tabletext"/>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Le Comité a examiné les dispositions actuelles relatives aux méthodes de travail au titre de la Partie C des Règles de procédure</w:t>
            </w:r>
            <w:r w:rsidR="002A6C9C" w:rsidRPr="00B600FE">
              <w:rPr>
                <w:szCs w:val="22"/>
              </w:rPr>
              <w:t xml:space="preserve"> </w:t>
            </w:r>
            <w:r w:rsidRPr="00B600FE">
              <w:rPr>
                <w:szCs w:val="22"/>
              </w:rPr>
              <w:t xml:space="preserve">lors d'une réunion du </w:t>
            </w:r>
            <w:r w:rsidRPr="00B600FE">
              <w:rPr>
                <w:color w:val="000000"/>
              </w:rPr>
              <w:t>Groupe de travail chargé d'examiner les Règles de procédure</w:t>
            </w:r>
            <w:r w:rsidR="002A6C9C" w:rsidRPr="00B600FE">
              <w:rPr>
                <w:szCs w:val="22"/>
              </w:rPr>
              <w:t xml:space="preserve"> </w:t>
            </w:r>
            <w:r w:rsidRPr="00B600FE">
              <w:rPr>
                <w:szCs w:val="22"/>
              </w:rPr>
              <w:t>et a élaboré un projet de texte sur le traitement des contributions tardives. Le Comité a chargé le Bureau d'élaborer ce projet de Règle de procédure et</w:t>
            </w:r>
            <w:r w:rsidR="002A6C9C" w:rsidRPr="00B600FE">
              <w:rPr>
                <w:szCs w:val="22"/>
              </w:rPr>
              <w:t xml:space="preserve"> </w:t>
            </w:r>
            <w:r w:rsidRPr="00B600FE">
              <w:rPr>
                <w:color w:val="000000"/>
              </w:rPr>
              <w:t>de le</w:t>
            </w:r>
            <w:r w:rsidR="002A6C9C" w:rsidRPr="00B600FE">
              <w:rPr>
                <w:color w:val="000000"/>
              </w:rPr>
              <w:t xml:space="preserve"> </w:t>
            </w:r>
            <w:r w:rsidRPr="00B600FE">
              <w:rPr>
                <w:color w:val="000000"/>
              </w:rPr>
              <w:t>communiquer aux administrations pour observations et examen</w:t>
            </w:r>
            <w:r w:rsidR="002A6C9C" w:rsidRPr="00B600FE">
              <w:rPr>
                <w:color w:val="000000"/>
              </w:rPr>
              <w:t xml:space="preserve"> </w:t>
            </w:r>
            <w:r w:rsidRPr="00B600FE">
              <w:rPr>
                <w:szCs w:val="22"/>
              </w:rPr>
              <w:t xml:space="preserve">à sa </w:t>
            </w:r>
            <w:r w:rsidR="002A6C9C" w:rsidRPr="00B600FE">
              <w:rPr>
                <w:szCs w:val="22"/>
              </w:rPr>
              <w:t>88ème</w:t>
            </w:r>
            <w:r w:rsidRPr="00B600FE">
              <w:rPr>
                <w:szCs w:val="22"/>
              </w:rPr>
              <w:t xml:space="preserve"> réunion (voir également les décisions prises au titre du point</w:t>
            </w:r>
            <w:r w:rsidR="002A6C9C" w:rsidRPr="00B600FE">
              <w:rPr>
                <w:szCs w:val="22"/>
              </w:rPr>
              <w:t xml:space="preserve"> </w:t>
            </w:r>
            <w:r w:rsidRPr="00B600FE">
              <w:rPr>
                <w:szCs w:val="22"/>
              </w:rPr>
              <w:t>4.1 de l'ordre du jour)</w:t>
            </w:r>
            <w:r w:rsidR="005014D9" w:rsidRPr="00B600FE">
              <w:rPr>
                <w:szCs w:val="22"/>
              </w:rPr>
              <w:t>.</w:t>
            </w:r>
          </w:p>
        </w:tc>
        <w:tc>
          <w:tcPr>
            <w:tcW w:w="3395" w:type="dxa"/>
          </w:tcPr>
          <w:p w14:paraId="4F3740D5" w14:textId="75BA9E65" w:rsidR="00822398" w:rsidRPr="00B600FE" w:rsidRDefault="00D05B37" w:rsidP="00602B42">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 xml:space="preserve">Le </w:t>
            </w:r>
            <w:r w:rsidR="004D4EE2" w:rsidRPr="00B600FE">
              <w:rPr>
                <w:szCs w:val="22"/>
              </w:rPr>
              <w:t>Bureau</w:t>
            </w:r>
            <w:r w:rsidRPr="00B600FE">
              <w:rPr>
                <w:szCs w:val="22"/>
              </w:rPr>
              <w:t xml:space="preserve"> élaborera ce projet de Règle de procédure et</w:t>
            </w:r>
            <w:r w:rsidR="002A6C9C" w:rsidRPr="00B600FE">
              <w:rPr>
                <w:szCs w:val="22"/>
              </w:rPr>
              <w:t xml:space="preserve"> </w:t>
            </w:r>
            <w:r w:rsidRPr="00B600FE">
              <w:rPr>
                <w:color w:val="000000"/>
              </w:rPr>
              <w:t>le</w:t>
            </w:r>
            <w:r w:rsidR="002A6C9C" w:rsidRPr="00B600FE">
              <w:rPr>
                <w:color w:val="000000"/>
              </w:rPr>
              <w:t xml:space="preserve"> </w:t>
            </w:r>
            <w:r w:rsidRPr="00B600FE">
              <w:rPr>
                <w:color w:val="000000"/>
              </w:rPr>
              <w:t>communiquera aux administrations pour observations et examen</w:t>
            </w:r>
            <w:r w:rsidR="002A6C9C" w:rsidRPr="00B600FE">
              <w:rPr>
                <w:color w:val="000000"/>
              </w:rPr>
              <w:t xml:space="preserve"> </w:t>
            </w:r>
            <w:r w:rsidR="009A6852">
              <w:rPr>
                <w:szCs w:val="22"/>
              </w:rPr>
              <w:t>à sa </w:t>
            </w:r>
            <w:r w:rsidRPr="00B600FE">
              <w:rPr>
                <w:szCs w:val="22"/>
              </w:rPr>
              <w:t>88ème réunion</w:t>
            </w:r>
            <w:r w:rsidR="009A6852">
              <w:rPr>
                <w:szCs w:val="22"/>
              </w:rPr>
              <w:t>.</w:t>
            </w:r>
          </w:p>
        </w:tc>
      </w:tr>
      <w:tr w:rsidR="00822398" w:rsidRPr="00B600FE" w14:paraId="2839AC68" w14:textId="77777777" w:rsidTr="006D2DE8">
        <w:trPr>
          <w:trHeight w:val="461"/>
        </w:trPr>
        <w:tc>
          <w:tcPr>
            <w:cnfStyle w:val="001000000000" w:firstRow="0" w:lastRow="0" w:firstColumn="1" w:lastColumn="0" w:oddVBand="0" w:evenVBand="0" w:oddHBand="0" w:evenHBand="0" w:firstRowFirstColumn="0" w:firstRowLastColumn="0" w:lastRowFirstColumn="0" w:lastRowLastColumn="0"/>
            <w:tcW w:w="846" w:type="dxa"/>
            <w:hideMark/>
          </w:tcPr>
          <w:p w14:paraId="5DB655D0" w14:textId="145ABC0D" w:rsidR="00822398" w:rsidRPr="00B600FE" w:rsidRDefault="00822398" w:rsidP="00602B42">
            <w:pPr>
              <w:pStyle w:val="Tabletext"/>
              <w:keepNext/>
              <w:keepLines/>
              <w:jc w:val="center"/>
              <w:rPr>
                <w:szCs w:val="22"/>
              </w:rPr>
            </w:pPr>
            <w:r w:rsidRPr="00B600FE">
              <w:rPr>
                <w:szCs w:val="22"/>
              </w:rPr>
              <w:lastRenderedPageBreak/>
              <w:t>1</w:t>
            </w:r>
            <w:r w:rsidR="00595E64" w:rsidRPr="00B600FE">
              <w:rPr>
                <w:szCs w:val="22"/>
              </w:rPr>
              <w:t>2</w:t>
            </w:r>
          </w:p>
        </w:tc>
        <w:tc>
          <w:tcPr>
            <w:tcW w:w="3827" w:type="dxa"/>
            <w:hideMark/>
          </w:tcPr>
          <w:p w14:paraId="3707014D" w14:textId="7A8138FE" w:rsidR="00822398" w:rsidRPr="00B600FE" w:rsidRDefault="00595E64" w:rsidP="00602B42">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Approbation du résumé des décisions</w:t>
            </w:r>
          </w:p>
        </w:tc>
        <w:tc>
          <w:tcPr>
            <w:tcW w:w="6662" w:type="dxa"/>
            <w:hideMark/>
          </w:tcPr>
          <w:p w14:paraId="22C9C0AA" w14:textId="701BD752" w:rsidR="00822398" w:rsidRPr="00B600FE" w:rsidRDefault="00602B42" w:rsidP="00602B42">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c>
          <w:tcPr>
            <w:tcW w:w="3395" w:type="dxa"/>
            <w:hideMark/>
          </w:tcPr>
          <w:p w14:paraId="30F0FD7F" w14:textId="77777777" w:rsidR="00822398" w:rsidRPr="00B600FE" w:rsidRDefault="00822398" w:rsidP="00602B42">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r w:rsidR="00822398" w:rsidRPr="00B600FE" w14:paraId="18DDD4A0" w14:textId="77777777" w:rsidTr="006D2DE8">
        <w:trPr>
          <w:trHeight w:val="620"/>
        </w:trPr>
        <w:tc>
          <w:tcPr>
            <w:cnfStyle w:val="001000000000" w:firstRow="0" w:lastRow="0" w:firstColumn="1" w:lastColumn="0" w:oddVBand="0" w:evenVBand="0" w:oddHBand="0" w:evenHBand="0" w:firstRowFirstColumn="0" w:firstRowLastColumn="0" w:lastRowFirstColumn="0" w:lastRowLastColumn="0"/>
            <w:tcW w:w="846" w:type="dxa"/>
            <w:hideMark/>
          </w:tcPr>
          <w:p w14:paraId="4797DF42" w14:textId="708DCE68" w:rsidR="00822398" w:rsidRPr="00B600FE" w:rsidRDefault="00822398" w:rsidP="00602B42">
            <w:pPr>
              <w:pStyle w:val="Tabletext"/>
              <w:keepNext/>
              <w:keepLines/>
              <w:jc w:val="center"/>
              <w:rPr>
                <w:szCs w:val="22"/>
              </w:rPr>
            </w:pPr>
            <w:r w:rsidRPr="00B600FE">
              <w:rPr>
                <w:szCs w:val="22"/>
              </w:rPr>
              <w:t>1</w:t>
            </w:r>
            <w:r w:rsidR="00595E64" w:rsidRPr="00B600FE">
              <w:rPr>
                <w:szCs w:val="22"/>
              </w:rPr>
              <w:t>3</w:t>
            </w:r>
          </w:p>
        </w:tc>
        <w:tc>
          <w:tcPr>
            <w:tcW w:w="3827" w:type="dxa"/>
            <w:hideMark/>
          </w:tcPr>
          <w:p w14:paraId="285CB9C6" w14:textId="77777777" w:rsidR="00822398" w:rsidRPr="00B600FE" w:rsidRDefault="00822398" w:rsidP="00602B42">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Clôture de la réunion</w:t>
            </w:r>
          </w:p>
        </w:tc>
        <w:tc>
          <w:tcPr>
            <w:tcW w:w="6662" w:type="dxa"/>
            <w:hideMark/>
          </w:tcPr>
          <w:p w14:paraId="084FAFC2" w14:textId="6F04A0FA" w:rsidR="00822398" w:rsidRPr="00B600FE" w:rsidRDefault="00822398" w:rsidP="00602B42">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B600FE">
              <w:rPr>
                <w:szCs w:val="22"/>
              </w:rPr>
              <w:t>La réunion a été déclarée close à 1</w:t>
            </w:r>
            <w:r w:rsidR="00D05B37" w:rsidRPr="00B600FE">
              <w:rPr>
                <w:szCs w:val="22"/>
              </w:rPr>
              <w:t>5</w:t>
            </w:r>
            <w:r w:rsidRPr="00B600FE">
              <w:rPr>
                <w:szCs w:val="22"/>
              </w:rPr>
              <w:t xml:space="preserve"> h </w:t>
            </w:r>
            <w:r w:rsidR="00D05B37" w:rsidRPr="00B600FE">
              <w:rPr>
                <w:szCs w:val="22"/>
              </w:rPr>
              <w:t>13</w:t>
            </w:r>
            <w:r w:rsidRPr="00B600FE">
              <w:rPr>
                <w:szCs w:val="22"/>
              </w:rPr>
              <w:t xml:space="preserve"> le </w:t>
            </w:r>
            <w:r w:rsidR="00D05B37" w:rsidRPr="00B600FE">
              <w:rPr>
                <w:szCs w:val="22"/>
              </w:rPr>
              <w:t xml:space="preserve">13 juillet </w:t>
            </w:r>
            <w:r w:rsidRPr="00B600FE">
              <w:rPr>
                <w:szCs w:val="22"/>
              </w:rPr>
              <w:t>202</w:t>
            </w:r>
            <w:r w:rsidR="00D05B37" w:rsidRPr="00B600FE">
              <w:rPr>
                <w:szCs w:val="22"/>
              </w:rPr>
              <w:t>1</w:t>
            </w:r>
            <w:r w:rsidRPr="00B600FE">
              <w:rPr>
                <w:szCs w:val="22"/>
              </w:rPr>
              <w:t>.</w:t>
            </w:r>
          </w:p>
        </w:tc>
        <w:tc>
          <w:tcPr>
            <w:tcW w:w="3395" w:type="dxa"/>
            <w:hideMark/>
          </w:tcPr>
          <w:p w14:paraId="74165C3F" w14:textId="77777777" w:rsidR="00822398" w:rsidRPr="00B600FE" w:rsidRDefault="00822398" w:rsidP="00602B42">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B600FE">
              <w:rPr>
                <w:szCs w:val="22"/>
              </w:rPr>
              <w:t>–</w:t>
            </w:r>
          </w:p>
        </w:tc>
      </w:tr>
    </w:tbl>
    <w:p w14:paraId="6E78A054" w14:textId="77777777" w:rsidR="00595E64" w:rsidRPr="00B600FE" w:rsidRDefault="00595E64" w:rsidP="002A6C9C">
      <w:pPr>
        <w:spacing w:before="360"/>
        <w:jc w:val="center"/>
      </w:pPr>
      <w:r w:rsidRPr="00B600FE">
        <w:t>______________</w:t>
      </w:r>
    </w:p>
    <w:sectPr w:rsidR="00595E64" w:rsidRPr="00B600FE" w:rsidSect="00073F04">
      <w:headerReference w:type="default" r:id="rId41"/>
      <w:footerReference w:type="default" r:id="rId42"/>
      <w:headerReference w:type="first" r:id="rId43"/>
      <w:footerReference w:type="first" r:id="rId44"/>
      <w:pgSz w:w="16834" w:h="11907" w:orient="landscape" w:code="9"/>
      <w:pgMar w:top="1134" w:right="1418" w:bottom="851"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7F10" w14:textId="77777777" w:rsidR="00AA18A0" w:rsidRDefault="00AA18A0">
      <w:r>
        <w:separator/>
      </w:r>
    </w:p>
  </w:endnote>
  <w:endnote w:type="continuationSeparator" w:id="0">
    <w:p w14:paraId="1DD01B52" w14:textId="77777777" w:rsidR="00AA18A0" w:rsidRDefault="00AA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A977" w14:textId="1047AEFB" w:rsidR="00E36D71" w:rsidRDefault="00E36D71">
    <w:pPr>
      <w:pStyle w:val="Footer"/>
      <w:rPr>
        <w:lang w:val="en-US"/>
      </w:rPr>
    </w:pPr>
    <w:r>
      <w:fldChar w:fldCharType="begin"/>
    </w:r>
    <w:r w:rsidRPr="00E95901">
      <w:rPr>
        <w:lang w:val="en-US"/>
      </w:rPr>
      <w:instrText xml:space="preserve"> FILENAME \p \* MERGEFORMAT </w:instrText>
    </w:r>
    <w:r>
      <w:fldChar w:fldCharType="separate"/>
    </w:r>
    <w:r w:rsidR="00FE4565">
      <w:rPr>
        <w:lang w:val="en-US"/>
      </w:rPr>
      <w:t>M:\RRB\RRB21\RRB21-2\Summary\013F.docx</w:t>
    </w:r>
    <w:r>
      <w:rPr>
        <w:lang w:val="en-US"/>
      </w:rPr>
      <w:fldChar w:fldCharType="end"/>
    </w:r>
    <w:r>
      <w:rPr>
        <w:lang w:val="en-US"/>
      </w:rPr>
      <w:tab/>
    </w:r>
    <w:r>
      <w:fldChar w:fldCharType="begin"/>
    </w:r>
    <w:r>
      <w:instrText xml:space="preserve"> savedate \@ dd.MM.yy </w:instrText>
    </w:r>
    <w:r>
      <w:fldChar w:fldCharType="separate"/>
    </w:r>
    <w:r w:rsidR="00FE4565">
      <w:t>21.07.21</w:t>
    </w:r>
    <w:r>
      <w:fldChar w:fldCharType="end"/>
    </w:r>
    <w:r>
      <w:rPr>
        <w:lang w:val="en-US"/>
      </w:rPr>
      <w:tab/>
    </w:r>
    <w:r>
      <w:fldChar w:fldCharType="begin"/>
    </w:r>
    <w:r>
      <w:instrText xml:space="preserve"> printdate \@ dd.MM.yy </w:instrText>
    </w:r>
    <w:r>
      <w:fldChar w:fldCharType="separate"/>
    </w:r>
    <w:r w:rsidR="00FE4565">
      <w:t>21.07.21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742F" w14:textId="7BBCDF89" w:rsidR="00E36D71" w:rsidRDefault="00E36D71" w:rsidP="0045611B">
    <w:pPr>
      <w:pStyle w:val="Footer"/>
      <w:rPr>
        <w:lang w:val="en-US"/>
      </w:rPr>
    </w:pPr>
    <w:r>
      <w:fldChar w:fldCharType="begin"/>
    </w:r>
    <w:r w:rsidRPr="005C0A99">
      <w:rPr>
        <w:lang w:val="en-US"/>
      </w:rPr>
      <w:instrText xml:space="preserve"> FILENAME \p  \* MERGEFORMAT </w:instrText>
    </w:r>
    <w:r>
      <w:fldChar w:fldCharType="separate"/>
    </w:r>
    <w:r w:rsidR="00FE4565">
      <w:rPr>
        <w:lang w:val="en-US"/>
      </w:rPr>
      <w:t>M:\RRB\RRB21\RRB21-2\Summary\013F.docx</w:t>
    </w:r>
    <w:r>
      <w:fldChar w:fldCharType="end"/>
    </w:r>
    <w:r w:rsidRPr="005C0A99">
      <w:rPr>
        <w:lang w:val="en-US"/>
      </w:rPr>
      <w:t xml:space="preserve"> (</w:t>
    </w:r>
    <w:r>
      <w:rPr>
        <w:lang w:val="en-US"/>
      </w:rPr>
      <w:t>492282</w:t>
    </w:r>
    <w:r w:rsidRPr="005C0A9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746D" w14:textId="1F610BC8" w:rsidR="00E36D71" w:rsidRPr="005C0A99" w:rsidRDefault="00E36D71" w:rsidP="005C0A99">
    <w:pPr>
      <w:pStyle w:val="Footer"/>
      <w:rPr>
        <w:lang w:val="en-US"/>
      </w:rPr>
    </w:pPr>
    <w:r w:rsidRPr="005C0A99">
      <w:rPr>
        <w:lang w:val="en-US"/>
      </w:rPr>
      <w:t>(</w:t>
    </w:r>
    <w:r>
      <w:rPr>
        <w:lang w:val="en-US"/>
      </w:rPr>
      <w:t>492282</w:t>
    </w:r>
    <w:r w:rsidRPr="005C0A99">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2C2A" w14:textId="0A0C5ABE" w:rsidR="00E36D71" w:rsidRDefault="00E36D71" w:rsidP="0045611B">
    <w:pPr>
      <w:pStyle w:val="Footer"/>
      <w:rPr>
        <w:lang w:val="en-US"/>
      </w:rPr>
    </w:pPr>
    <w:r w:rsidRPr="005C0A99">
      <w:rPr>
        <w:lang w:val="en-US"/>
      </w:rPr>
      <w:t xml:space="preserve"> (</w:t>
    </w:r>
    <w:r>
      <w:rPr>
        <w:lang w:val="en-US"/>
      </w:rPr>
      <w:t>492282</w:t>
    </w:r>
    <w:r w:rsidRPr="005C0A99">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12FC" w14:textId="139D066E" w:rsidR="00E36D71" w:rsidRPr="005C0A99" w:rsidRDefault="00E36D71" w:rsidP="005C0A99">
    <w:pPr>
      <w:pStyle w:val="Footer"/>
      <w:rPr>
        <w:lang w:val="en-US"/>
      </w:rPr>
    </w:pPr>
    <w:r w:rsidRPr="005C0A99">
      <w:rPr>
        <w:lang w:val="en-US"/>
      </w:rPr>
      <w:t>(</w:t>
    </w:r>
    <w:r>
      <w:rPr>
        <w:lang w:val="en-US"/>
      </w:rPr>
      <w:t>492282</w:t>
    </w:r>
    <w:r w:rsidRPr="005C0A9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88DD" w14:textId="77777777" w:rsidR="00AA18A0" w:rsidRDefault="00AA18A0">
      <w:r>
        <w:t>____________________</w:t>
      </w:r>
    </w:p>
  </w:footnote>
  <w:footnote w:type="continuationSeparator" w:id="0">
    <w:p w14:paraId="4C08BB7C" w14:textId="77777777" w:rsidR="00AA18A0" w:rsidRDefault="00AA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B69C" w14:textId="77777777" w:rsidR="00E36D71" w:rsidRDefault="00E36D7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487CED" w14:textId="42C1F7CD" w:rsidR="00E36D71" w:rsidRDefault="00E36D71" w:rsidP="00E2195E">
    <w:pPr>
      <w:pStyle w:val="Header"/>
      <w:rPr>
        <w:rStyle w:val="PageNumber"/>
      </w:rPr>
    </w:pPr>
    <w:r w:rsidRPr="00E2195E">
      <w:t>RRB21-2/</w:t>
    </w:r>
    <w:r>
      <w:t>13</w:t>
    </w:r>
    <w:r w:rsidRPr="00E2195E">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49B2" w14:textId="241E753F" w:rsidR="00E36D71" w:rsidRDefault="00E36D7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2B42">
      <w:rPr>
        <w:rStyle w:val="PageNumber"/>
        <w:noProof/>
      </w:rPr>
      <w:t>19</w:t>
    </w:r>
    <w:r>
      <w:rPr>
        <w:rStyle w:val="PageNumber"/>
      </w:rPr>
      <w:fldChar w:fldCharType="end"/>
    </w:r>
  </w:p>
  <w:p w14:paraId="7F5B1371" w14:textId="77777777" w:rsidR="00E36D71" w:rsidRDefault="00E36D71" w:rsidP="00E2195E">
    <w:pPr>
      <w:pStyle w:val="Header"/>
      <w:rPr>
        <w:rStyle w:val="PageNumber"/>
      </w:rPr>
    </w:pPr>
    <w:r w:rsidRPr="00E2195E">
      <w:t>RRB21-2/</w:t>
    </w:r>
    <w:r>
      <w:t>13</w:t>
    </w:r>
    <w:r w:rsidRPr="00E2195E">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C05B" w14:textId="067D2DB3" w:rsidR="00E36D71" w:rsidRDefault="00E36D71" w:rsidP="005C0A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2B42">
      <w:rPr>
        <w:rStyle w:val="PageNumber"/>
        <w:noProof/>
      </w:rPr>
      <w:t>2</w:t>
    </w:r>
    <w:r>
      <w:rPr>
        <w:rStyle w:val="PageNumber"/>
      </w:rPr>
      <w:fldChar w:fldCharType="end"/>
    </w:r>
  </w:p>
  <w:p w14:paraId="3CA7A1DF" w14:textId="59551C74" w:rsidR="00E36D71" w:rsidRDefault="00E36D71" w:rsidP="005C0A99">
    <w:pPr>
      <w:pStyle w:val="Header"/>
    </w:pPr>
    <w:r w:rsidRPr="00E2195E">
      <w:t>RRB21-2/</w:t>
    </w:r>
    <w:r>
      <w:t>13</w:t>
    </w:r>
    <w:r w:rsidRPr="00E2195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6D0587"/>
    <w:multiLevelType w:val="hybridMultilevel"/>
    <w:tmpl w:val="66FAF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753346"/>
    <w:multiLevelType w:val="hybridMultilevel"/>
    <w:tmpl w:val="131A3384"/>
    <w:lvl w:ilvl="0" w:tplc="B5982F76">
      <w:start w:val="1"/>
      <w:numFmt w:val="lowerLetter"/>
      <w:lvlText w:val="%1)"/>
      <w:lvlJc w:val="left"/>
      <w:pPr>
        <w:ind w:left="360" w:hanging="360"/>
      </w:pPr>
      <w:rPr>
        <w:rFonts w:asciiTheme="minorHAnsi" w:hAnsiTheme="minorHAnsi" w:cstheme="maj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DF647D"/>
    <w:multiLevelType w:val="hybridMultilevel"/>
    <w:tmpl w:val="3D5EA36C"/>
    <w:lvl w:ilvl="0" w:tplc="585AFB9C">
      <w:start w:val="5"/>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24"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DC2979"/>
    <w:multiLevelType w:val="hybridMultilevel"/>
    <w:tmpl w:val="439AC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5"/>
  </w:num>
  <w:num w:numId="5">
    <w:abstractNumId w:val="23"/>
  </w:num>
  <w:num w:numId="6">
    <w:abstractNumId w:val="3"/>
  </w:num>
  <w:num w:numId="7">
    <w:abstractNumId w:val="22"/>
  </w:num>
  <w:num w:numId="8">
    <w:abstractNumId w:val="16"/>
  </w:num>
  <w:num w:numId="9">
    <w:abstractNumId w:val="13"/>
  </w:num>
  <w:num w:numId="10">
    <w:abstractNumId w:val="15"/>
  </w:num>
  <w:num w:numId="11">
    <w:abstractNumId w:val="24"/>
  </w:num>
  <w:num w:numId="12">
    <w:abstractNumId w:val="27"/>
  </w:num>
  <w:num w:numId="13">
    <w:abstractNumId w:val="1"/>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7"/>
  </w:num>
  <w:num w:numId="19">
    <w:abstractNumId w:val="10"/>
  </w:num>
  <w:num w:numId="20">
    <w:abstractNumId w:val="11"/>
  </w:num>
  <w:num w:numId="21">
    <w:abstractNumId w:val="17"/>
  </w:num>
  <w:num w:numId="22">
    <w:abstractNumId w:val="8"/>
  </w:num>
  <w:num w:numId="23">
    <w:abstractNumId w:val="12"/>
  </w:num>
  <w:num w:numId="24">
    <w:abstractNumId w:val="26"/>
  </w:num>
  <w:num w:numId="25">
    <w:abstractNumId w:val="0"/>
  </w:num>
  <w:num w:numId="26">
    <w:abstractNumId w:val="4"/>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A18C47-62DD-4C82-B553-103DBBB50C0E}"/>
    <w:docVar w:name="dgnword-eventsink" w:val="1740687023152"/>
  </w:docVars>
  <w:rsids>
    <w:rsidRoot w:val="00822398"/>
    <w:rsid w:val="00020D2D"/>
    <w:rsid w:val="00035837"/>
    <w:rsid w:val="00045B9D"/>
    <w:rsid w:val="00046B38"/>
    <w:rsid w:val="00046CD7"/>
    <w:rsid w:val="00051C7E"/>
    <w:rsid w:val="00053BFA"/>
    <w:rsid w:val="0005629F"/>
    <w:rsid w:val="00060360"/>
    <w:rsid w:val="00073F04"/>
    <w:rsid w:val="00090E2B"/>
    <w:rsid w:val="00092809"/>
    <w:rsid w:val="000A79FF"/>
    <w:rsid w:val="000D044B"/>
    <w:rsid w:val="000E376F"/>
    <w:rsid w:val="000E4410"/>
    <w:rsid w:val="000E451C"/>
    <w:rsid w:val="000F373F"/>
    <w:rsid w:val="00132C0D"/>
    <w:rsid w:val="00144F9E"/>
    <w:rsid w:val="00145B67"/>
    <w:rsid w:val="001518D6"/>
    <w:rsid w:val="00170516"/>
    <w:rsid w:val="0018082F"/>
    <w:rsid w:val="001A13E5"/>
    <w:rsid w:val="001B0B78"/>
    <w:rsid w:val="001B493F"/>
    <w:rsid w:val="001D1C71"/>
    <w:rsid w:val="001D3D07"/>
    <w:rsid w:val="001E14AB"/>
    <w:rsid w:val="001E3104"/>
    <w:rsid w:val="001E7A27"/>
    <w:rsid w:val="001F3032"/>
    <w:rsid w:val="00206500"/>
    <w:rsid w:val="00213757"/>
    <w:rsid w:val="00214DE6"/>
    <w:rsid w:val="00215E09"/>
    <w:rsid w:val="00217705"/>
    <w:rsid w:val="00247ACA"/>
    <w:rsid w:val="002515EF"/>
    <w:rsid w:val="00252719"/>
    <w:rsid w:val="0026151F"/>
    <w:rsid w:val="00261EA4"/>
    <w:rsid w:val="00286E8D"/>
    <w:rsid w:val="0029217E"/>
    <w:rsid w:val="00293E9C"/>
    <w:rsid w:val="002A601B"/>
    <w:rsid w:val="002A6C9C"/>
    <w:rsid w:val="002C6B2C"/>
    <w:rsid w:val="002D5272"/>
    <w:rsid w:val="002D5EBC"/>
    <w:rsid w:val="002F2199"/>
    <w:rsid w:val="002F4626"/>
    <w:rsid w:val="002F63D7"/>
    <w:rsid w:val="00306593"/>
    <w:rsid w:val="003121DA"/>
    <w:rsid w:val="00320648"/>
    <w:rsid w:val="00332B97"/>
    <w:rsid w:val="003340AC"/>
    <w:rsid w:val="00353B9B"/>
    <w:rsid w:val="003763FE"/>
    <w:rsid w:val="003772E9"/>
    <w:rsid w:val="00386A98"/>
    <w:rsid w:val="003A4B49"/>
    <w:rsid w:val="003A4BC8"/>
    <w:rsid w:val="003A66A0"/>
    <w:rsid w:val="003F2831"/>
    <w:rsid w:val="004043FD"/>
    <w:rsid w:val="00406EB5"/>
    <w:rsid w:val="00415FB1"/>
    <w:rsid w:val="00440519"/>
    <w:rsid w:val="0045611B"/>
    <w:rsid w:val="004661FF"/>
    <w:rsid w:val="00474767"/>
    <w:rsid w:val="004C6B38"/>
    <w:rsid w:val="004D4EE2"/>
    <w:rsid w:val="004E75E2"/>
    <w:rsid w:val="004F101E"/>
    <w:rsid w:val="005014D9"/>
    <w:rsid w:val="00513B5C"/>
    <w:rsid w:val="00524BA9"/>
    <w:rsid w:val="00533914"/>
    <w:rsid w:val="0055145E"/>
    <w:rsid w:val="0055741F"/>
    <w:rsid w:val="005616B0"/>
    <w:rsid w:val="00572EC1"/>
    <w:rsid w:val="00583F08"/>
    <w:rsid w:val="005901AB"/>
    <w:rsid w:val="00595E64"/>
    <w:rsid w:val="005C0A99"/>
    <w:rsid w:val="005C3F21"/>
    <w:rsid w:val="005E0965"/>
    <w:rsid w:val="005E787A"/>
    <w:rsid w:val="00602B42"/>
    <w:rsid w:val="0061328D"/>
    <w:rsid w:val="0066128B"/>
    <w:rsid w:val="006926EF"/>
    <w:rsid w:val="006D2DE8"/>
    <w:rsid w:val="006E078D"/>
    <w:rsid w:val="006F76F7"/>
    <w:rsid w:val="0070144E"/>
    <w:rsid w:val="00707C32"/>
    <w:rsid w:val="0071566D"/>
    <w:rsid w:val="00716B10"/>
    <w:rsid w:val="00755883"/>
    <w:rsid w:val="007571AB"/>
    <w:rsid w:val="00766D8E"/>
    <w:rsid w:val="00780DF4"/>
    <w:rsid w:val="007B6A97"/>
    <w:rsid w:val="007B7BA6"/>
    <w:rsid w:val="007C38EA"/>
    <w:rsid w:val="007C60E4"/>
    <w:rsid w:val="007C7855"/>
    <w:rsid w:val="007D61F0"/>
    <w:rsid w:val="007F00A9"/>
    <w:rsid w:val="00802707"/>
    <w:rsid w:val="00802EA7"/>
    <w:rsid w:val="00813550"/>
    <w:rsid w:val="00822398"/>
    <w:rsid w:val="008242EA"/>
    <w:rsid w:val="008353EB"/>
    <w:rsid w:val="00860074"/>
    <w:rsid w:val="00873691"/>
    <w:rsid w:val="00876C35"/>
    <w:rsid w:val="008A10CE"/>
    <w:rsid w:val="008B1E29"/>
    <w:rsid w:val="008B6EB4"/>
    <w:rsid w:val="008C345A"/>
    <w:rsid w:val="008E016C"/>
    <w:rsid w:val="008E0EF7"/>
    <w:rsid w:val="008E4678"/>
    <w:rsid w:val="008F7058"/>
    <w:rsid w:val="00904861"/>
    <w:rsid w:val="00910697"/>
    <w:rsid w:val="0091184E"/>
    <w:rsid w:val="00924964"/>
    <w:rsid w:val="0092503F"/>
    <w:rsid w:val="00960B40"/>
    <w:rsid w:val="009808CE"/>
    <w:rsid w:val="009837B7"/>
    <w:rsid w:val="009A2F22"/>
    <w:rsid w:val="009A6334"/>
    <w:rsid w:val="009A6852"/>
    <w:rsid w:val="009B6C04"/>
    <w:rsid w:val="009C4FD4"/>
    <w:rsid w:val="009D0416"/>
    <w:rsid w:val="009D4A49"/>
    <w:rsid w:val="00A13501"/>
    <w:rsid w:val="00A16014"/>
    <w:rsid w:val="00A32733"/>
    <w:rsid w:val="00A367FC"/>
    <w:rsid w:val="00A47990"/>
    <w:rsid w:val="00A54E48"/>
    <w:rsid w:val="00AA18A0"/>
    <w:rsid w:val="00AB0274"/>
    <w:rsid w:val="00AB34F8"/>
    <w:rsid w:val="00AC31B0"/>
    <w:rsid w:val="00AD6D3E"/>
    <w:rsid w:val="00AF0174"/>
    <w:rsid w:val="00AF7E5D"/>
    <w:rsid w:val="00B052A8"/>
    <w:rsid w:val="00B36104"/>
    <w:rsid w:val="00B41351"/>
    <w:rsid w:val="00B46779"/>
    <w:rsid w:val="00B600FE"/>
    <w:rsid w:val="00B757A0"/>
    <w:rsid w:val="00B929B4"/>
    <w:rsid w:val="00BA23F1"/>
    <w:rsid w:val="00BA524A"/>
    <w:rsid w:val="00BD0F63"/>
    <w:rsid w:val="00BF0CA1"/>
    <w:rsid w:val="00C00DAA"/>
    <w:rsid w:val="00C01B60"/>
    <w:rsid w:val="00C23770"/>
    <w:rsid w:val="00C26083"/>
    <w:rsid w:val="00C27328"/>
    <w:rsid w:val="00C51AEC"/>
    <w:rsid w:val="00C51C61"/>
    <w:rsid w:val="00C76F22"/>
    <w:rsid w:val="00C90A0E"/>
    <w:rsid w:val="00C930D4"/>
    <w:rsid w:val="00CA64C8"/>
    <w:rsid w:val="00CC28AC"/>
    <w:rsid w:val="00D04830"/>
    <w:rsid w:val="00D05B37"/>
    <w:rsid w:val="00D141AE"/>
    <w:rsid w:val="00D16B07"/>
    <w:rsid w:val="00D207A1"/>
    <w:rsid w:val="00D25A73"/>
    <w:rsid w:val="00D35D39"/>
    <w:rsid w:val="00D5318D"/>
    <w:rsid w:val="00D614B7"/>
    <w:rsid w:val="00D831EC"/>
    <w:rsid w:val="00D913E9"/>
    <w:rsid w:val="00DB11A2"/>
    <w:rsid w:val="00DB3784"/>
    <w:rsid w:val="00DB4FF7"/>
    <w:rsid w:val="00DC3AE2"/>
    <w:rsid w:val="00DC7268"/>
    <w:rsid w:val="00DE41DB"/>
    <w:rsid w:val="00E05784"/>
    <w:rsid w:val="00E2195E"/>
    <w:rsid w:val="00E322C3"/>
    <w:rsid w:val="00E36D71"/>
    <w:rsid w:val="00E5015D"/>
    <w:rsid w:val="00E62EF5"/>
    <w:rsid w:val="00E65599"/>
    <w:rsid w:val="00E8614F"/>
    <w:rsid w:val="00E95901"/>
    <w:rsid w:val="00EA5D6A"/>
    <w:rsid w:val="00EA6BAB"/>
    <w:rsid w:val="00EB35AA"/>
    <w:rsid w:val="00EE3DB9"/>
    <w:rsid w:val="00EE46E5"/>
    <w:rsid w:val="00F827AB"/>
    <w:rsid w:val="00FB247A"/>
    <w:rsid w:val="00FB6433"/>
    <w:rsid w:val="00FC198E"/>
    <w:rsid w:val="00FC2636"/>
    <w:rsid w:val="00FD09B7"/>
    <w:rsid w:val="00FD582E"/>
    <w:rsid w:val="00FE22BF"/>
    <w:rsid w:val="00FE33CF"/>
    <w:rsid w:val="00FE4565"/>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2FE57A"/>
  <w15:docId w15:val="{7D2BFF08-DD40-4DBA-BEED-F2DE758B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link w:val="Heading6Char"/>
    <w:uiPriority w:val="9"/>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link w:val="TableheadChar"/>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Latin) +H...,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paragraph" w:styleId="BalloonText">
    <w:name w:val="Balloon Text"/>
    <w:basedOn w:val="Normal"/>
    <w:link w:val="BalloonTextChar"/>
    <w:uiPriority w:val="99"/>
    <w:unhideWhenUsed/>
    <w:rsid w:val="0082239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22398"/>
    <w:rPr>
      <w:rFonts w:ascii="Segoe UI" w:hAnsi="Segoe UI" w:cs="Segoe UI"/>
      <w:sz w:val="18"/>
      <w:szCs w:val="18"/>
      <w:lang w:val="fr-FR" w:eastAsia="en-US"/>
    </w:rPr>
  </w:style>
  <w:style w:type="character" w:styleId="Hyperlink">
    <w:name w:val="Hyperlink"/>
    <w:basedOn w:val="DefaultParagraphFont"/>
    <w:unhideWhenUsed/>
    <w:rsid w:val="00822398"/>
    <w:rPr>
      <w:color w:val="0000FF" w:themeColor="hyperlink"/>
      <w:u w:val="single"/>
    </w:rPr>
  </w:style>
  <w:style w:type="paragraph" w:styleId="ListParagraph">
    <w:name w:val="List Paragraph"/>
    <w:basedOn w:val="Normal"/>
    <w:uiPriority w:val="34"/>
    <w:qFormat/>
    <w:rsid w:val="0082239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TableheadChar">
    <w:name w:val="Table_head Char"/>
    <w:basedOn w:val="DefaultParagraphFont"/>
    <w:link w:val="Tablehead"/>
    <w:locked/>
    <w:rsid w:val="00822398"/>
    <w:rPr>
      <w:rFonts w:ascii="Times New Roman" w:hAnsi="Times New Roman"/>
      <w:b/>
      <w:sz w:val="22"/>
      <w:lang w:val="fr-FR" w:eastAsia="en-US"/>
    </w:rPr>
  </w:style>
  <w:style w:type="character" w:customStyle="1" w:styleId="TabletextChar">
    <w:name w:val="Table_text Char"/>
    <w:basedOn w:val="DefaultParagraphFont"/>
    <w:link w:val="Tabletext"/>
    <w:locked/>
    <w:rsid w:val="00822398"/>
    <w:rPr>
      <w:rFonts w:ascii="Times New Roman" w:hAnsi="Times New Roman"/>
      <w:sz w:val="22"/>
      <w:lang w:val="fr-FR" w:eastAsia="en-US"/>
    </w:rPr>
  </w:style>
  <w:style w:type="paragraph" w:customStyle="1" w:styleId="Default">
    <w:name w:val="Default"/>
    <w:rsid w:val="00822398"/>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822398"/>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22398"/>
    <w:rPr>
      <w:b/>
      <w:bCs/>
    </w:rPr>
  </w:style>
  <w:style w:type="character" w:customStyle="1" w:styleId="Heading1Char">
    <w:name w:val="Heading 1 Char"/>
    <w:basedOn w:val="DefaultParagraphFont"/>
    <w:link w:val="Heading1"/>
    <w:uiPriority w:val="9"/>
    <w:rsid w:val="00822398"/>
    <w:rPr>
      <w:rFonts w:ascii="Times New Roman" w:hAnsi="Times New Roman"/>
      <w:b/>
      <w:sz w:val="24"/>
      <w:lang w:val="fr-FR" w:eastAsia="en-US"/>
    </w:rPr>
  </w:style>
  <w:style w:type="character" w:customStyle="1" w:styleId="Heading2Char">
    <w:name w:val="Heading 2 Char"/>
    <w:basedOn w:val="DefaultParagraphFont"/>
    <w:link w:val="Heading2"/>
    <w:rsid w:val="00822398"/>
    <w:rPr>
      <w:rFonts w:ascii="Times New Roman" w:hAnsi="Times New Roman"/>
      <w:b/>
      <w:sz w:val="24"/>
      <w:lang w:val="fr-FR" w:eastAsia="en-US"/>
    </w:rPr>
  </w:style>
  <w:style w:type="character" w:customStyle="1" w:styleId="Heading6Char">
    <w:name w:val="Heading 6 Char"/>
    <w:basedOn w:val="DefaultParagraphFont"/>
    <w:link w:val="Heading6"/>
    <w:uiPriority w:val="9"/>
    <w:rsid w:val="00822398"/>
    <w:rPr>
      <w:rFonts w:ascii="Times New Roman" w:hAnsi="Times New Roman"/>
      <w:b/>
      <w:sz w:val="24"/>
      <w:lang w:val="fr-FR" w:eastAsia="en-US"/>
    </w:rPr>
  </w:style>
  <w:style w:type="character" w:customStyle="1" w:styleId="Heading8Char">
    <w:name w:val="Heading 8 Char"/>
    <w:basedOn w:val="DefaultParagraphFont"/>
    <w:link w:val="Heading8"/>
    <w:rsid w:val="00822398"/>
    <w:rPr>
      <w:rFonts w:ascii="Times New Roman" w:hAnsi="Times New Roman"/>
      <w:b/>
      <w:sz w:val="24"/>
      <w:lang w:val="fr-FR" w:eastAsia="en-US"/>
    </w:rPr>
  </w:style>
  <w:style w:type="character" w:customStyle="1" w:styleId="FooterChar">
    <w:name w:val="Footer Char"/>
    <w:basedOn w:val="DefaultParagraphFont"/>
    <w:link w:val="Footer"/>
    <w:rsid w:val="00822398"/>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822398"/>
    <w:rPr>
      <w:rFonts w:ascii="Times New Roman" w:hAnsi="Times New Roman"/>
      <w:sz w:val="18"/>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822398"/>
    <w:rPr>
      <w:rFonts w:ascii="Times New Roman" w:hAnsi="Times New Roman"/>
      <w:sz w:val="24"/>
      <w:lang w:val="fr-FR" w:eastAsia="en-US"/>
    </w:rPr>
  </w:style>
  <w:style w:type="paragraph" w:styleId="TOC9">
    <w:name w:val="toc 9"/>
    <w:basedOn w:val="TOC3"/>
    <w:semiHidden/>
    <w:rsid w:val="00822398"/>
    <w:pPr>
      <w:spacing w:line="280" w:lineRule="exact"/>
    </w:pPr>
    <w:rPr>
      <w:rFonts w:ascii="Calibri" w:hAnsi="Calibri" w:cs="Calibri"/>
      <w:szCs w:val="22"/>
      <w:lang w:val="en-US"/>
    </w:rPr>
  </w:style>
  <w:style w:type="paragraph" w:customStyle="1" w:styleId="AnnexNoTitle0">
    <w:name w:val="Annex_NoTitle"/>
    <w:basedOn w:val="Normal"/>
    <w:next w:val="Normalaftertitle"/>
    <w:rsid w:val="00822398"/>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822398"/>
  </w:style>
  <w:style w:type="paragraph" w:customStyle="1" w:styleId="FigureNoTitle0">
    <w:name w:val="Figure_NoTitle"/>
    <w:basedOn w:val="Normal"/>
    <w:next w:val="Normalaftertitle"/>
    <w:rsid w:val="00822398"/>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822398"/>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822398"/>
    <w:rPr>
      <w:sz w:val="16"/>
      <w:szCs w:val="16"/>
    </w:rPr>
  </w:style>
  <w:style w:type="paragraph" w:styleId="CommentText">
    <w:name w:val="annotation text"/>
    <w:basedOn w:val="Normal"/>
    <w:link w:val="CommentTextChar"/>
    <w:semiHidden/>
    <w:rsid w:val="00822398"/>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22398"/>
    <w:rPr>
      <w:rFonts w:ascii="Calibri" w:hAnsi="Calibri" w:cs="Calibri"/>
      <w:szCs w:val="22"/>
      <w:lang w:eastAsia="en-US"/>
    </w:rPr>
  </w:style>
  <w:style w:type="character" w:customStyle="1" w:styleId="href">
    <w:name w:val="href"/>
    <w:basedOn w:val="DefaultParagraphFont"/>
    <w:rsid w:val="00822398"/>
  </w:style>
  <w:style w:type="paragraph" w:customStyle="1" w:styleId="NormalIndent">
    <w:name w:val="Normal_Indent"/>
    <w:basedOn w:val="Normal"/>
    <w:rsid w:val="00822398"/>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822398"/>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822398"/>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822398"/>
    <w:rPr>
      <w:rFonts w:ascii="Calibri" w:eastAsia="SimSun" w:hAnsi="Calibri" w:cs="Calibri"/>
      <w:sz w:val="24"/>
      <w:szCs w:val="22"/>
    </w:rPr>
  </w:style>
  <w:style w:type="paragraph" w:customStyle="1" w:styleId="FromRef">
    <w:name w:val="FromRef"/>
    <w:basedOn w:val="Normal"/>
    <w:uiPriority w:val="99"/>
    <w:rsid w:val="00822398"/>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822398"/>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table" w:styleId="TableGrid">
    <w:name w:val="Table Grid"/>
    <w:basedOn w:val="TableNormal"/>
    <w:rsid w:val="0082239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
    <w:name w:val="Normal + Italic"/>
    <w:basedOn w:val="Normal"/>
    <w:rsid w:val="00822398"/>
    <w:pPr>
      <w:spacing w:before="160"/>
      <w:jc w:val="both"/>
    </w:pPr>
    <w:rPr>
      <w:rFonts w:ascii="Calibri" w:hAnsi="Calibri" w:cs="Calibri"/>
      <w:i/>
      <w:iCs/>
      <w:szCs w:val="22"/>
      <w:lang w:val="fr-CH"/>
    </w:rPr>
  </w:style>
  <w:style w:type="paragraph" w:customStyle="1" w:styleId="Tabletitle">
    <w:name w:val="Table_title"/>
    <w:basedOn w:val="Normal"/>
    <w:rsid w:val="00822398"/>
    <w:pPr>
      <w:spacing w:before="240" w:after="60"/>
      <w:jc w:val="center"/>
    </w:pPr>
    <w:rPr>
      <w:rFonts w:ascii="Calibri" w:hAnsi="Calibri" w:cs="Calibri"/>
      <w:szCs w:val="22"/>
      <w:lang w:val="en-US"/>
    </w:rPr>
  </w:style>
  <w:style w:type="paragraph" w:customStyle="1" w:styleId="NormalTimesNewRoman">
    <w:name w:val="Normal + Times New Roman"/>
    <w:aliases w:val="Black,Pattern: Clear (Custom Color(RGB(240,240,240..."/>
    <w:basedOn w:val="Normal"/>
    <w:rsid w:val="00822398"/>
    <w:pPr>
      <w:spacing w:before="160" w:line="280" w:lineRule="exact"/>
      <w:ind w:left="720"/>
      <w:jc w:val="both"/>
    </w:pPr>
    <w:rPr>
      <w:color w:val="000000"/>
      <w:szCs w:val="22"/>
      <w:shd w:val="clear" w:color="auto" w:fill="F0F0F0"/>
      <w:lang w:val="fr-CH"/>
    </w:rPr>
  </w:style>
  <w:style w:type="character" w:styleId="FollowedHyperlink">
    <w:name w:val="FollowedHyperlink"/>
    <w:basedOn w:val="DefaultParagraphFont"/>
    <w:semiHidden/>
    <w:unhideWhenUsed/>
    <w:rsid w:val="00822398"/>
    <w:rPr>
      <w:color w:val="800080" w:themeColor="followedHyperlink"/>
      <w:u w:val="single"/>
    </w:rPr>
  </w:style>
  <w:style w:type="paragraph" w:customStyle="1" w:styleId="TableHead0">
    <w:name w:val="Table_Head"/>
    <w:basedOn w:val="Normal"/>
    <w:next w:val="Normal"/>
    <w:rsid w:val="00822398"/>
    <w:pPr>
      <w:tabs>
        <w:tab w:val="clear" w:pos="794"/>
        <w:tab w:val="clear" w:pos="1191"/>
        <w:tab w:val="clear" w:pos="1588"/>
        <w:tab w:val="clear" w:pos="1985"/>
      </w:tabs>
      <w:spacing w:before="80" w:after="80"/>
      <w:jc w:val="center"/>
    </w:pPr>
    <w:rPr>
      <w:b/>
      <w:sz w:val="20"/>
      <w:lang w:val="en-GB"/>
    </w:rPr>
  </w:style>
  <w:style w:type="paragraph" w:styleId="TableofFigures">
    <w:name w:val="table of figures"/>
    <w:basedOn w:val="Normal"/>
    <w:next w:val="Normal"/>
    <w:uiPriority w:val="99"/>
    <w:semiHidden/>
    <w:rsid w:val="00822398"/>
    <w:pPr>
      <w:tabs>
        <w:tab w:val="clear" w:pos="794"/>
        <w:tab w:val="clear" w:pos="1191"/>
        <w:tab w:val="clear" w:pos="1588"/>
        <w:tab w:val="clear" w:pos="1985"/>
        <w:tab w:val="right" w:leader="dot" w:pos="10773"/>
      </w:tabs>
      <w:spacing w:before="0"/>
    </w:pPr>
    <w:rPr>
      <w:rFonts w:ascii="Arial" w:hAnsi="Arial"/>
      <w:sz w:val="16"/>
      <w:lang w:val="en-US"/>
    </w:rPr>
  </w:style>
  <w:style w:type="paragraph" w:styleId="BodyText3">
    <w:name w:val="Body Text 3"/>
    <w:basedOn w:val="Normal"/>
    <w:link w:val="BodyText3Char"/>
    <w:rsid w:val="00822398"/>
    <w:pPr>
      <w:tabs>
        <w:tab w:val="clear" w:pos="794"/>
        <w:tab w:val="clear" w:pos="1191"/>
        <w:tab w:val="clear" w:pos="1588"/>
        <w:tab w:val="clear" w:pos="1985"/>
      </w:tabs>
      <w:overflowPunct/>
      <w:autoSpaceDE/>
      <w:autoSpaceDN/>
      <w:adjustRightInd/>
      <w:spacing w:before="0"/>
      <w:textAlignment w:val="auto"/>
    </w:pPr>
    <w:rPr>
      <w:rFonts w:ascii="Arial" w:hAnsi="Arial"/>
      <w:sz w:val="16"/>
    </w:rPr>
  </w:style>
  <w:style w:type="character" w:customStyle="1" w:styleId="BodyText3Char">
    <w:name w:val="Body Text 3 Char"/>
    <w:basedOn w:val="DefaultParagraphFont"/>
    <w:link w:val="BodyText3"/>
    <w:rsid w:val="00822398"/>
    <w:rPr>
      <w:rFonts w:ascii="Arial" w:hAnsi="Arial"/>
      <w:sz w:val="16"/>
      <w:lang w:val="fr-FR" w:eastAsia="en-US"/>
    </w:rPr>
  </w:style>
  <w:style w:type="character" w:customStyle="1" w:styleId="Artref0">
    <w:name w:val="Art#_ref"/>
    <w:basedOn w:val="DefaultParagraphFont"/>
    <w:rsid w:val="00822398"/>
  </w:style>
  <w:style w:type="character" w:customStyle="1" w:styleId="enumlev1Char">
    <w:name w:val="enumlev1 Char"/>
    <w:basedOn w:val="DefaultParagraphFont"/>
    <w:link w:val="enumlev1"/>
    <w:rsid w:val="00822398"/>
    <w:rPr>
      <w:rFonts w:ascii="Times New Roman" w:hAnsi="Times New Roman"/>
      <w:sz w:val="24"/>
      <w:lang w:val="fr-FR" w:eastAsia="en-US"/>
    </w:rPr>
  </w:style>
  <w:style w:type="paragraph" w:customStyle="1" w:styleId="Reasons">
    <w:name w:val="Reasons"/>
    <w:basedOn w:val="Normal"/>
    <w:qFormat/>
    <w:rsid w:val="0082239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0">
    <w:name w:val="Table_Title"/>
    <w:basedOn w:val="Normal"/>
    <w:next w:val="Tabletext"/>
    <w:rsid w:val="00822398"/>
    <w:pPr>
      <w:keepNext/>
      <w:tabs>
        <w:tab w:val="clear" w:pos="794"/>
        <w:tab w:val="clear" w:pos="1191"/>
        <w:tab w:val="clear" w:pos="1588"/>
        <w:tab w:val="clear" w:pos="1985"/>
      </w:tabs>
      <w:spacing w:before="0" w:after="120"/>
      <w:jc w:val="center"/>
    </w:pPr>
    <w:rPr>
      <w:rFonts w:eastAsia="Batang"/>
      <w:b/>
      <w:sz w:val="20"/>
      <w:lang w:val="en-GB"/>
    </w:rPr>
  </w:style>
  <w:style w:type="table" w:customStyle="1" w:styleId="TableGrid12">
    <w:name w:val="Table Grid12"/>
    <w:basedOn w:val="TableNormal"/>
    <w:next w:val="TableGrid"/>
    <w:rsid w:val="0082239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822398"/>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82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R21-RRB21.2-SP-0001/en" TargetMode="External"/><Relationship Id="rId18" Type="http://schemas.openxmlformats.org/officeDocument/2006/relationships/hyperlink" Target="https://www.itu.int/md/R21-RRB21.2-C-0003/en" TargetMode="External"/><Relationship Id="rId26" Type="http://schemas.openxmlformats.org/officeDocument/2006/relationships/hyperlink" Target="https://www.itu.int/md/R21-RRB21.2-C-0002/en" TargetMode="External"/><Relationship Id="rId39" Type="http://schemas.openxmlformats.org/officeDocument/2006/relationships/hyperlink" Target="https://www.itu.int/md/R21-RRB21.2-C-0003/en" TargetMode="External"/><Relationship Id="rId3" Type="http://schemas.openxmlformats.org/officeDocument/2006/relationships/settings" Target="settings.xml"/><Relationship Id="rId21" Type="http://schemas.openxmlformats.org/officeDocument/2006/relationships/hyperlink" Target="https://www.itu.int/md/R21-RRB21.2-C-0003/en" TargetMode="External"/><Relationship Id="rId34" Type="http://schemas.openxmlformats.org/officeDocument/2006/relationships/hyperlink" Target="https://www.itu.int/md/R21-RRB21.2-C-0003/en" TargetMode="External"/><Relationship Id="rId42"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itu.int/md/R21-RRB21.2-OJ-0001/en" TargetMode="External"/><Relationship Id="rId17" Type="http://schemas.openxmlformats.org/officeDocument/2006/relationships/hyperlink" Target="https://www.itu.int/md/R21-RRB21.2-C-0003/en" TargetMode="External"/><Relationship Id="rId25" Type="http://schemas.openxmlformats.org/officeDocument/2006/relationships/hyperlink" Target="https://www.itu.int/md/R21-RRB21.2-C-0001/en" TargetMode="External"/><Relationship Id="rId33" Type="http://schemas.openxmlformats.org/officeDocument/2006/relationships/hyperlink" Target="https://www.itu.int/md/R21-RRB21.2-C-0003/en" TargetMode="External"/><Relationship Id="rId38" Type="http://schemas.openxmlformats.org/officeDocument/2006/relationships/hyperlink" Target="https://www.itu.int/md/R21-RRB21.2-C-0010/e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R21-RRB21.2-C-0003/en" TargetMode="External"/><Relationship Id="rId20" Type="http://schemas.openxmlformats.org/officeDocument/2006/relationships/hyperlink" Target="https://www.itu.int/md/R21-RRB21.2-C-0003/en" TargetMode="External"/><Relationship Id="rId29" Type="http://schemas.openxmlformats.org/officeDocument/2006/relationships/hyperlink" Target="https://www.itu.int/md/R21-RRB21.2-C-0011/en"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itu.int/md/R21-RRB21.2-C-0001/en" TargetMode="External"/><Relationship Id="rId32" Type="http://schemas.openxmlformats.org/officeDocument/2006/relationships/hyperlink" Target="https://www.itu.int/md/R21-RRB21.2-C-0007/en" TargetMode="External"/><Relationship Id="rId37" Type="http://schemas.openxmlformats.org/officeDocument/2006/relationships/hyperlink" Target="https://www.itu.int/md/R21-RRB21.2-SP-0003/en" TargetMode="External"/><Relationship Id="rId40" Type="http://schemas.openxmlformats.org/officeDocument/2006/relationships/hyperlink" Target="https://www.itu.int/md/R21-RRB21.2-SP-0005/e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21-RRB21.2-C-0003/en" TargetMode="External"/><Relationship Id="rId23" Type="http://schemas.openxmlformats.org/officeDocument/2006/relationships/hyperlink" Target="https://www.itu.int/md/R21-RRB21.2-SP-0004/en" TargetMode="External"/><Relationship Id="rId28" Type="http://schemas.openxmlformats.org/officeDocument/2006/relationships/hyperlink" Target="https://www.itu.int/md/R21-RRB21.2-C-0008/en" TargetMode="External"/><Relationship Id="rId36" Type="http://schemas.openxmlformats.org/officeDocument/2006/relationships/hyperlink" Target="https://www.itu.int/md/R21-RRB21.2-C-0012/en" TargetMode="External"/><Relationship Id="rId10" Type="http://schemas.openxmlformats.org/officeDocument/2006/relationships/footer" Target="footer2.xml"/><Relationship Id="rId19" Type="http://schemas.openxmlformats.org/officeDocument/2006/relationships/hyperlink" Target="https://www.itu.int/md/R21-RRB21.2-C-0003/en" TargetMode="External"/><Relationship Id="rId31" Type="http://schemas.openxmlformats.org/officeDocument/2006/relationships/hyperlink" Target="https://www.itu.int/md/R21-RRB21.2-C-0004/en"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21-RRB21.2-C-0003/en" TargetMode="External"/><Relationship Id="rId22" Type="http://schemas.openxmlformats.org/officeDocument/2006/relationships/hyperlink" Target="https://www.itu.int/md/R21-RRB21.2-SP-0002/en" TargetMode="External"/><Relationship Id="rId27" Type="http://schemas.openxmlformats.org/officeDocument/2006/relationships/hyperlink" Target="https://www.itu.int/md/R21-RRB21.2-C-0006/en" TargetMode="External"/><Relationship Id="rId30" Type="http://schemas.openxmlformats.org/officeDocument/2006/relationships/hyperlink" Target="https://www.itu.int/md/R21-RRB21.2-C-0005/en" TargetMode="External"/><Relationship Id="rId35" Type="http://schemas.openxmlformats.org/officeDocument/2006/relationships/hyperlink" Target="https://www.itu.int/md/R21-RRB21.2-C-0009/en" TargetMode="External"/><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RB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PF_RRB21.dotx</Template>
  <TotalTime>2</TotalTime>
  <Pages>23</Pages>
  <Words>8625</Words>
  <Characters>49439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Chanavat, Emilie</dc:creator>
  <cp:keywords>RRB03</cp:keywords>
  <dc:description>PF_RRB08.DOT  For: _x000d_Document date: _x000d_Saved by TRA44246 at 15:28:08 on 30.07.2008</dc:description>
  <cp:lastModifiedBy>Gozal, Karine</cp:lastModifiedBy>
  <cp:revision>3</cp:revision>
  <cp:lastPrinted>2021-07-21T12:58:00Z</cp:lastPrinted>
  <dcterms:created xsi:type="dcterms:W3CDTF">2021-07-21T12:57:00Z</dcterms:created>
  <dcterms:modified xsi:type="dcterms:W3CDTF">2021-07-21T12:58:00Z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