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rsidRPr="00143AC4" w:rsidTr="00E1203F">
        <w:trPr>
          <w:cantSplit/>
        </w:trPr>
        <w:tc>
          <w:tcPr>
            <w:tcW w:w="6772" w:type="dxa"/>
            <w:vAlign w:val="center"/>
          </w:tcPr>
          <w:p w:rsidR="0057336B" w:rsidRPr="00143AC4" w:rsidRDefault="0057336B" w:rsidP="00AB4BAD">
            <w:pPr>
              <w:shd w:val="solid" w:color="FFFFFF" w:fill="FFFFFF"/>
              <w:tabs>
                <w:tab w:val="left" w:pos="568"/>
              </w:tabs>
              <w:spacing w:before="360" w:after="240"/>
              <w:rPr>
                <w:b/>
                <w:caps/>
                <w:sz w:val="32"/>
              </w:rPr>
            </w:pPr>
            <w:r w:rsidRPr="00143AC4">
              <w:rPr>
                <w:rFonts w:ascii="Verdana" w:hAnsi="Verdana" w:cs="Times New Roman Bold"/>
                <w:b/>
                <w:sz w:val="26"/>
                <w:szCs w:val="26"/>
              </w:rPr>
              <w:t>Grupo Asesor de Radiocomunicaciones</w:t>
            </w:r>
            <w:r w:rsidRPr="00143AC4">
              <w:rPr>
                <w:b/>
                <w:caps/>
                <w:sz w:val="32"/>
              </w:rPr>
              <w:br/>
            </w:r>
            <w:r w:rsidRPr="00143AC4">
              <w:rPr>
                <w:rFonts w:ascii="Verdana" w:hAnsi="Verdana" w:cs="Times New Roman Bold"/>
                <w:b/>
                <w:bCs/>
                <w:sz w:val="20"/>
              </w:rPr>
              <w:t xml:space="preserve">Ginebra, </w:t>
            </w:r>
            <w:r w:rsidR="00A7663C" w:rsidRPr="00143AC4">
              <w:rPr>
                <w:rFonts w:ascii="Verdana" w:hAnsi="Verdana" w:cs="Times New Roman Bold"/>
                <w:b/>
                <w:bCs/>
                <w:sz w:val="20"/>
              </w:rPr>
              <w:t>25</w:t>
            </w:r>
            <w:r w:rsidRPr="00143AC4">
              <w:rPr>
                <w:rFonts w:ascii="Verdana" w:hAnsi="Verdana" w:cs="Times New Roman Bold"/>
                <w:b/>
                <w:bCs/>
                <w:sz w:val="20"/>
              </w:rPr>
              <w:t>-</w:t>
            </w:r>
            <w:r w:rsidR="00A7663C" w:rsidRPr="00143AC4">
              <w:rPr>
                <w:rFonts w:ascii="Verdana" w:hAnsi="Verdana" w:cs="Times New Roman Bold"/>
                <w:b/>
                <w:bCs/>
                <w:sz w:val="20"/>
              </w:rPr>
              <w:t>27</w:t>
            </w:r>
            <w:r w:rsidRPr="00143AC4">
              <w:rPr>
                <w:rFonts w:ascii="Verdana" w:hAnsi="Verdana" w:cs="Times New Roman Bold"/>
                <w:b/>
                <w:bCs/>
                <w:sz w:val="20"/>
              </w:rPr>
              <w:t xml:space="preserve"> de </w:t>
            </w:r>
            <w:r w:rsidR="00A7663C" w:rsidRPr="00143AC4">
              <w:rPr>
                <w:rFonts w:ascii="Verdana" w:hAnsi="Verdana" w:cs="Times New Roman Bold"/>
                <w:b/>
                <w:bCs/>
                <w:sz w:val="20"/>
              </w:rPr>
              <w:t xml:space="preserve">mayo </w:t>
            </w:r>
            <w:r w:rsidRPr="00143AC4">
              <w:rPr>
                <w:rFonts w:ascii="Verdana" w:hAnsi="Verdana" w:cs="Times New Roman Bold"/>
                <w:b/>
                <w:bCs/>
                <w:sz w:val="20"/>
              </w:rPr>
              <w:t>de 20</w:t>
            </w:r>
            <w:r w:rsidR="00AB4BAD" w:rsidRPr="00143AC4">
              <w:rPr>
                <w:rFonts w:ascii="Verdana" w:hAnsi="Verdana" w:cs="Times New Roman Bold"/>
                <w:b/>
                <w:bCs/>
                <w:sz w:val="20"/>
              </w:rPr>
              <w:t>20</w:t>
            </w:r>
          </w:p>
        </w:tc>
        <w:tc>
          <w:tcPr>
            <w:tcW w:w="3117" w:type="dxa"/>
            <w:vAlign w:val="center"/>
          </w:tcPr>
          <w:p w:rsidR="0057336B" w:rsidRPr="00143AC4" w:rsidRDefault="00AB4BAD" w:rsidP="00A7663C">
            <w:pPr>
              <w:shd w:val="solid" w:color="FFFFFF" w:fill="FFFFFF"/>
              <w:spacing w:before="0"/>
            </w:pPr>
            <w:r w:rsidRPr="00143AC4">
              <w:rPr>
                <w:noProof/>
                <w:lang w:val="en-US"/>
              </w:rPr>
              <w:drawing>
                <wp:inline distT="0" distB="0" distL="0" distR="0" wp14:anchorId="0EE722E4" wp14:editId="5432477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143AC4" w:rsidTr="00E1203F">
        <w:trPr>
          <w:cantSplit/>
        </w:trPr>
        <w:tc>
          <w:tcPr>
            <w:tcW w:w="6772" w:type="dxa"/>
            <w:tcBorders>
              <w:bottom w:val="single" w:sz="12" w:space="0" w:color="auto"/>
            </w:tcBorders>
          </w:tcPr>
          <w:p w:rsidR="006E291F" w:rsidRPr="00143AC4"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rsidR="006E291F" w:rsidRPr="00143AC4" w:rsidRDefault="006E291F" w:rsidP="00CB7A43">
            <w:pPr>
              <w:shd w:val="solid" w:color="FFFFFF" w:fill="FFFFFF"/>
              <w:spacing w:before="0" w:after="48" w:line="240" w:lineRule="atLeast"/>
              <w:rPr>
                <w:sz w:val="22"/>
                <w:szCs w:val="22"/>
              </w:rPr>
            </w:pPr>
          </w:p>
        </w:tc>
      </w:tr>
      <w:tr w:rsidR="006E291F" w:rsidRPr="00143AC4" w:rsidTr="00E1203F">
        <w:trPr>
          <w:cantSplit/>
        </w:trPr>
        <w:tc>
          <w:tcPr>
            <w:tcW w:w="6772" w:type="dxa"/>
            <w:tcBorders>
              <w:top w:val="single" w:sz="12" w:space="0" w:color="auto"/>
            </w:tcBorders>
          </w:tcPr>
          <w:p w:rsidR="006E291F" w:rsidRPr="00143AC4"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rsidR="006E291F" w:rsidRPr="00143AC4" w:rsidRDefault="006E291F" w:rsidP="00CB7A43">
            <w:pPr>
              <w:shd w:val="solid" w:color="FFFFFF" w:fill="FFFFFF"/>
              <w:spacing w:before="0" w:after="48" w:line="240" w:lineRule="atLeast"/>
              <w:rPr>
                <w:rFonts w:ascii="Verdana" w:hAnsi="Verdana"/>
                <w:sz w:val="22"/>
                <w:szCs w:val="22"/>
              </w:rPr>
            </w:pPr>
          </w:p>
        </w:tc>
      </w:tr>
      <w:tr w:rsidR="006E291F" w:rsidRPr="00143AC4" w:rsidTr="00E1203F">
        <w:trPr>
          <w:cantSplit/>
        </w:trPr>
        <w:tc>
          <w:tcPr>
            <w:tcW w:w="6772" w:type="dxa"/>
            <w:vMerge w:val="restart"/>
          </w:tcPr>
          <w:p w:rsidR="006E291F" w:rsidRPr="00143AC4" w:rsidRDefault="006E291F" w:rsidP="00CB7A43">
            <w:pPr>
              <w:shd w:val="solid" w:color="FFFFFF" w:fill="FFFFFF"/>
              <w:spacing w:after="240"/>
              <w:rPr>
                <w:sz w:val="20"/>
              </w:rPr>
            </w:pPr>
            <w:bookmarkStart w:id="0" w:name="dnum" w:colFirst="1" w:colLast="1"/>
          </w:p>
        </w:tc>
        <w:tc>
          <w:tcPr>
            <w:tcW w:w="3117" w:type="dxa"/>
          </w:tcPr>
          <w:p w:rsidR="006E291F" w:rsidRPr="00143AC4" w:rsidRDefault="00E1203F" w:rsidP="00E1203F">
            <w:pPr>
              <w:shd w:val="solid" w:color="FFFFFF" w:fill="FFFFFF"/>
              <w:spacing w:before="0" w:line="240" w:lineRule="atLeast"/>
              <w:rPr>
                <w:rFonts w:ascii="Verdana" w:hAnsi="Verdana"/>
                <w:sz w:val="20"/>
              </w:rPr>
            </w:pPr>
            <w:r w:rsidRPr="00143AC4">
              <w:rPr>
                <w:rFonts w:ascii="Verdana" w:hAnsi="Verdana"/>
                <w:b/>
                <w:sz w:val="20"/>
              </w:rPr>
              <w:t>Documento RAG20/22-S</w:t>
            </w:r>
          </w:p>
        </w:tc>
      </w:tr>
      <w:tr w:rsidR="006E291F" w:rsidRPr="00143AC4" w:rsidTr="00E1203F">
        <w:trPr>
          <w:cantSplit/>
        </w:trPr>
        <w:tc>
          <w:tcPr>
            <w:tcW w:w="6772" w:type="dxa"/>
            <w:vMerge/>
          </w:tcPr>
          <w:p w:rsidR="006E291F" w:rsidRPr="00143AC4" w:rsidRDefault="006E291F" w:rsidP="00CB7A43">
            <w:pPr>
              <w:spacing w:before="60"/>
              <w:jc w:val="center"/>
              <w:rPr>
                <w:b/>
                <w:smallCaps/>
                <w:sz w:val="32"/>
              </w:rPr>
            </w:pPr>
            <w:bookmarkStart w:id="1" w:name="ddate" w:colFirst="1" w:colLast="1"/>
            <w:bookmarkEnd w:id="0"/>
          </w:p>
        </w:tc>
        <w:tc>
          <w:tcPr>
            <w:tcW w:w="3117" w:type="dxa"/>
          </w:tcPr>
          <w:p w:rsidR="006E291F" w:rsidRPr="00143AC4" w:rsidRDefault="00E1203F" w:rsidP="00E1203F">
            <w:pPr>
              <w:shd w:val="solid" w:color="FFFFFF" w:fill="FFFFFF"/>
              <w:spacing w:before="0" w:line="240" w:lineRule="atLeast"/>
              <w:rPr>
                <w:rFonts w:ascii="Verdana" w:hAnsi="Verdana"/>
                <w:sz w:val="20"/>
              </w:rPr>
            </w:pPr>
            <w:r w:rsidRPr="00143AC4">
              <w:rPr>
                <w:rFonts w:ascii="Verdana" w:hAnsi="Verdana"/>
                <w:b/>
                <w:sz w:val="20"/>
              </w:rPr>
              <w:t>11 de mayo de 2020</w:t>
            </w:r>
          </w:p>
        </w:tc>
      </w:tr>
      <w:tr w:rsidR="006E291F" w:rsidRPr="00143AC4" w:rsidTr="00E1203F">
        <w:trPr>
          <w:cantSplit/>
        </w:trPr>
        <w:tc>
          <w:tcPr>
            <w:tcW w:w="6772" w:type="dxa"/>
            <w:vMerge/>
          </w:tcPr>
          <w:p w:rsidR="006E291F" w:rsidRPr="00143AC4" w:rsidRDefault="006E291F" w:rsidP="00CB7A43">
            <w:pPr>
              <w:spacing w:before="60"/>
              <w:jc w:val="center"/>
              <w:rPr>
                <w:b/>
                <w:smallCaps/>
                <w:sz w:val="32"/>
              </w:rPr>
            </w:pPr>
            <w:bookmarkStart w:id="2" w:name="dorlang" w:colFirst="1" w:colLast="1"/>
            <w:bookmarkEnd w:id="1"/>
          </w:p>
        </w:tc>
        <w:tc>
          <w:tcPr>
            <w:tcW w:w="3117" w:type="dxa"/>
          </w:tcPr>
          <w:p w:rsidR="006E291F" w:rsidRPr="00143AC4" w:rsidRDefault="00E1203F" w:rsidP="00E1203F">
            <w:pPr>
              <w:shd w:val="solid" w:color="FFFFFF" w:fill="FFFFFF"/>
              <w:spacing w:before="0" w:after="120" w:line="240" w:lineRule="atLeast"/>
              <w:rPr>
                <w:rFonts w:ascii="Verdana" w:hAnsi="Verdana"/>
                <w:sz w:val="20"/>
              </w:rPr>
            </w:pPr>
            <w:r w:rsidRPr="00143AC4">
              <w:rPr>
                <w:rFonts w:ascii="Verdana" w:hAnsi="Verdana"/>
                <w:b/>
                <w:sz w:val="20"/>
              </w:rPr>
              <w:t>Original: inglés</w:t>
            </w:r>
          </w:p>
        </w:tc>
      </w:tr>
      <w:tr w:rsidR="006E291F" w:rsidRPr="00143AC4" w:rsidTr="008F0106">
        <w:trPr>
          <w:cantSplit/>
        </w:trPr>
        <w:tc>
          <w:tcPr>
            <w:tcW w:w="9889" w:type="dxa"/>
            <w:gridSpan w:val="2"/>
          </w:tcPr>
          <w:p w:rsidR="006E291F" w:rsidRPr="00143AC4" w:rsidRDefault="00E1203F" w:rsidP="00CB7A43">
            <w:pPr>
              <w:pStyle w:val="Source"/>
            </w:pPr>
            <w:bookmarkStart w:id="3" w:name="dsource" w:colFirst="0" w:colLast="0"/>
            <w:bookmarkEnd w:id="2"/>
            <w:r w:rsidRPr="00143AC4">
              <w:t>Brasil (República Federativa de)</w:t>
            </w:r>
          </w:p>
        </w:tc>
      </w:tr>
      <w:tr w:rsidR="006E291F" w:rsidRPr="00143AC4" w:rsidTr="008F0106">
        <w:trPr>
          <w:cantSplit/>
        </w:trPr>
        <w:tc>
          <w:tcPr>
            <w:tcW w:w="9889" w:type="dxa"/>
            <w:gridSpan w:val="2"/>
          </w:tcPr>
          <w:p w:rsidR="006E291F" w:rsidRPr="00143AC4" w:rsidRDefault="00E1203F" w:rsidP="00CB7A43">
            <w:pPr>
              <w:pStyle w:val="Title1"/>
            </w:pPr>
            <w:bookmarkStart w:id="4" w:name="dtitle1" w:colFirst="0" w:colLast="0"/>
            <w:bookmarkEnd w:id="3"/>
            <w:r w:rsidRPr="00143AC4">
              <w:t>PROPUESTA RELATIVA A LA INTELIGENCIA empresarial Y A LOS INSTRUMENTOS DE ANÁLISIS DE DATOS PARA LA INFORMACIÓN SOBRE LOS SERVICIOS ESPACIALES</w:t>
            </w:r>
          </w:p>
        </w:tc>
      </w:tr>
    </w:tbl>
    <w:bookmarkEnd w:id="4"/>
    <w:p w:rsidR="00E1203F" w:rsidRPr="00143AC4" w:rsidRDefault="00E1203F" w:rsidP="00E1203F">
      <w:pPr>
        <w:pStyle w:val="Heading1"/>
      </w:pPr>
      <w:r w:rsidRPr="00143AC4">
        <w:t>1</w:t>
      </w:r>
      <w:r w:rsidRPr="00143AC4">
        <w:tab/>
        <w:t>Introducción</w:t>
      </w:r>
    </w:p>
    <w:p w:rsidR="00E1203F" w:rsidRPr="00143AC4" w:rsidRDefault="00E1203F" w:rsidP="00E1203F">
      <w:r w:rsidRPr="00143AC4">
        <w:t>Habida cuenta de la necesidad de realizar esfuerzos continuos para hacer que evolucionen los sistemas informáticos de gestión de los recursos del espectro y orbitales por medio de herramientas de análisis de datos, y que hoy en día existen formas fáciles, rápidas y eficaces de integrar y generar datos de recopilación de información de varias fuentes de bases de datos mediante el despliegue de herramientas de inteligencia empresarial, Brasil desearía señalar esta cuestión a la atención del GAR y examinar la posibilidad de asesorar al Director de la BR para que evalúe la posibilidad de estudiar las oportunidades que ofrecen los nuevos enfoques, especialmente para las herramientas de inteligencia empresarial de los servicios espaciales, en el contexto de los futuros proyectos de sistemas informáticos de la BR.</w:t>
      </w:r>
    </w:p>
    <w:p w:rsidR="00E1203F" w:rsidRPr="00143AC4" w:rsidRDefault="00E1203F" w:rsidP="00E1203F">
      <w:pPr>
        <w:pStyle w:val="Heading1"/>
      </w:pPr>
      <w:r w:rsidRPr="00143AC4">
        <w:t>2</w:t>
      </w:r>
      <w:r w:rsidRPr="00143AC4">
        <w:tab/>
        <w:t xml:space="preserve">Herramientas de inteligencia empresarial y análisis de datos </w:t>
      </w:r>
    </w:p>
    <w:p w:rsidR="00E1203F" w:rsidRPr="00143AC4" w:rsidRDefault="00E1203F" w:rsidP="00E1203F">
      <w:r w:rsidRPr="00143AC4">
        <w:t>Teniendo en cuenta la aparición de los macrodatos y las posibles nuevas oportunidades de mejorar considerablemente el intercambio de información respecto de todos los procesos económicos y las actividades humanas, varias organizaciones han estado aplicando, y desplegando públicamente, cuadros de mando interactivos en paneles de datos que reúnen a varias fuentes de datos y facilitan la adopción de decisiones de una manera mucho más rápida y eficiente.</w:t>
      </w:r>
    </w:p>
    <w:p w:rsidR="00E1203F" w:rsidRPr="00143AC4" w:rsidRDefault="00E1203F" w:rsidP="00E1203F">
      <w:r w:rsidRPr="00143AC4">
        <w:t>En el sector de las telecomunicaciones se pueden citar varios ejemplos, como un panel de datos lanzado por el Organismo Nacional de Telecomunicaciones (ANATEL), una herramienta abierta en su sitio web con filtros, gráficos, mapas, indicadores sobre el sector de las telecomunicaciones en Brasil, incluidos los satélites con derecho de aterraje por posición orbital, banda de frecuencias y operador, a los que se puede acceder en el URL que figura a continuación.</w:t>
      </w:r>
    </w:p>
    <w:p w:rsidR="00E1203F" w:rsidRPr="00143AC4" w:rsidRDefault="00E1203F" w:rsidP="00E1203F">
      <w:pPr>
        <w:pStyle w:val="enumlev1"/>
      </w:pPr>
      <w:r w:rsidRPr="00143AC4">
        <w:t>•</w:t>
      </w:r>
      <w:r w:rsidRPr="00143AC4">
        <w:tab/>
      </w:r>
      <w:hyperlink r:id="rId7" w:history="1">
        <w:r w:rsidRPr="00143AC4">
          <w:rPr>
            <w:rStyle w:val="Hyperlink"/>
          </w:rPr>
          <w:t>https://www.anatel.gov.br/paineis/espectro-e-orbita</w:t>
        </w:r>
      </w:hyperlink>
    </w:p>
    <w:p w:rsidR="00E1203F" w:rsidRPr="00143AC4" w:rsidRDefault="00E1203F" w:rsidP="00E1203F">
      <w:r w:rsidRPr="00143AC4">
        <w:t xml:space="preserve">Otros ejemplos, que también incluyen datos </w:t>
      </w:r>
      <w:r w:rsidR="00143AC4" w:rsidRPr="00143AC4">
        <w:t>georreferenciados</w:t>
      </w:r>
      <w:r w:rsidRPr="00143AC4">
        <w:t>, son:</w:t>
      </w:r>
    </w:p>
    <w:p w:rsidR="00E1203F" w:rsidRPr="00566BE0" w:rsidRDefault="00E1203F" w:rsidP="00E1203F">
      <w:pPr>
        <w:pStyle w:val="enumlev1"/>
        <w:rPr>
          <w:lang w:val="fr-CH"/>
        </w:rPr>
      </w:pPr>
      <w:r w:rsidRPr="00566BE0">
        <w:rPr>
          <w:lang w:val="fr-CH"/>
        </w:rPr>
        <w:t>•</w:t>
      </w:r>
      <w:r w:rsidRPr="00566BE0">
        <w:rPr>
          <w:lang w:val="fr-CH"/>
        </w:rPr>
        <w:tab/>
        <w:t xml:space="preserve">Agence </w:t>
      </w:r>
      <w:proofErr w:type="spellStart"/>
      <w:r w:rsidRPr="00566BE0">
        <w:rPr>
          <w:lang w:val="fr-CH"/>
        </w:rPr>
        <w:t>Nacionale</w:t>
      </w:r>
      <w:proofErr w:type="spellEnd"/>
      <w:r w:rsidRPr="00566BE0">
        <w:rPr>
          <w:lang w:val="fr-CH"/>
        </w:rPr>
        <w:t xml:space="preserve"> des Fréquences (ANFR): </w:t>
      </w:r>
      <w:hyperlink r:id="rId8" w:history="1">
        <w:r w:rsidRPr="00566BE0">
          <w:rPr>
            <w:rStyle w:val="Hyperlink"/>
            <w:lang w:val="fr-CH"/>
          </w:rPr>
          <w:t>https://data.anfr.fr/</w:t>
        </w:r>
      </w:hyperlink>
    </w:p>
    <w:p w:rsidR="00E1203F" w:rsidRPr="00566BE0" w:rsidRDefault="00E1203F" w:rsidP="00E1203F">
      <w:pPr>
        <w:pStyle w:val="enumlev1"/>
        <w:rPr>
          <w:lang w:val="en-US"/>
        </w:rPr>
      </w:pPr>
      <w:r w:rsidRPr="00566BE0">
        <w:rPr>
          <w:lang w:val="en-US"/>
        </w:rPr>
        <w:t>•</w:t>
      </w:r>
      <w:r w:rsidRPr="00566BE0">
        <w:rPr>
          <w:lang w:val="en-US"/>
        </w:rPr>
        <w:tab/>
        <w:t>UK spectrum map (</w:t>
      </w:r>
      <w:proofErr w:type="spellStart"/>
      <w:r w:rsidRPr="00566BE0">
        <w:rPr>
          <w:lang w:val="en-US"/>
        </w:rPr>
        <w:t>Ofcom</w:t>
      </w:r>
      <w:proofErr w:type="spellEnd"/>
      <w:r w:rsidRPr="00566BE0">
        <w:rPr>
          <w:lang w:val="en-US"/>
        </w:rPr>
        <w:t xml:space="preserve">): </w:t>
      </w:r>
      <w:hyperlink r:id="rId9" w:history="1">
        <w:r w:rsidRPr="00566BE0">
          <w:rPr>
            <w:rStyle w:val="Hyperlink"/>
            <w:lang w:val="en-US"/>
          </w:rPr>
          <w:t>http://static.ofcom.org.uk/static/spectrum/map.html</w:t>
        </w:r>
      </w:hyperlink>
    </w:p>
    <w:p w:rsidR="00E1203F" w:rsidRPr="00566BE0" w:rsidRDefault="00E1203F" w:rsidP="00E1203F">
      <w:pPr>
        <w:pStyle w:val="enumlev1"/>
        <w:rPr>
          <w:lang w:val="en-US"/>
        </w:rPr>
      </w:pPr>
      <w:r w:rsidRPr="00566BE0">
        <w:rPr>
          <w:lang w:val="en-US"/>
        </w:rPr>
        <w:t>•</w:t>
      </w:r>
      <w:r w:rsidRPr="00566BE0">
        <w:rPr>
          <w:lang w:val="en-US"/>
        </w:rPr>
        <w:tab/>
        <w:t xml:space="preserve">FCC Maps: </w:t>
      </w:r>
      <w:hyperlink r:id="rId10" w:history="1">
        <w:r w:rsidRPr="00566BE0">
          <w:rPr>
            <w:rStyle w:val="Hyperlink"/>
            <w:lang w:val="en-US"/>
          </w:rPr>
          <w:t>https://www.fcc.gov/reports-research/maps/</w:t>
        </w:r>
      </w:hyperlink>
    </w:p>
    <w:p w:rsidR="00E1203F" w:rsidRPr="00143AC4" w:rsidRDefault="00E1203F" w:rsidP="00E1203F">
      <w:pPr>
        <w:keepLines/>
      </w:pPr>
      <w:r w:rsidRPr="00143AC4">
        <w:lastRenderedPageBreak/>
        <w:t xml:space="preserve">Las plataformas de inteligencia empresarial se implementan típicamente usando soluciones de </w:t>
      </w:r>
      <w:r w:rsidRPr="00566BE0">
        <w:rPr>
          <w:i/>
        </w:rPr>
        <w:t>software</w:t>
      </w:r>
      <w:r w:rsidRPr="00143AC4">
        <w:t xml:space="preserve"> disponibles en el comercio. Teniendo en cuenta el alto nivel de competencia en esta esfera, en el mercado hay varios productos disponibles capaces de leer, correlacionar, transformar y presentar información interactiva de infinitas maneras, siendo a veces más rentables y fáciles de usar que los sistemas de presentación de informes que se desarrollan internamente aplicando en cierto modo un enfoque de «reinvención de la rueda». </w:t>
      </w:r>
    </w:p>
    <w:p w:rsidR="00E1203F" w:rsidRPr="00143AC4" w:rsidRDefault="00E1203F" w:rsidP="00E1203F">
      <w:r w:rsidRPr="00143AC4">
        <w:t xml:space="preserve">La idea de adoptar instrumentos de inteligencia empresarial disponibles en el comercio permite a los equipos de desarrollo de </w:t>
      </w:r>
      <w:r w:rsidRPr="00566BE0">
        <w:rPr>
          <w:i/>
        </w:rPr>
        <w:t>software</w:t>
      </w:r>
      <w:r w:rsidRPr="00143AC4">
        <w:t xml:space="preserve"> de la organización concentrar sus esfuerzos en la elaboración de instrumentos estrechamente relacionados con su actividad principal, es decir, las aplicaciones muy específicas que no están fácilmente disponibles en el comercio y de las que la BR tiene una gran experiencia, como son los complejos programas informáticos de cálculos de ingeniería y las bases de datos con fines reglamentarios, por ejemplo los diversos requisitos técnicos y de validación del Reglamento de Radiocomunicaciones que se aplican a las notificaciones de redes de satélites. </w:t>
      </w:r>
    </w:p>
    <w:p w:rsidR="00E1203F" w:rsidRPr="00143AC4" w:rsidRDefault="00E1203F" w:rsidP="00E1203F">
      <w:r w:rsidRPr="00143AC4">
        <w:t xml:space="preserve">Una vez que los datos gestionados por las aplicaciones informáticas básicas (es decir, notificaciones, validaciones y cálculos de ingeniería) se almacenan en bases de datos transaccionales que utilizan tecnologías estándar (es decir, Microsoft SQL o SQL Lite), la mayoría de las tecnologías de </w:t>
      </w:r>
      <w:bookmarkStart w:id="5" w:name="_Hlk40178378"/>
      <w:r w:rsidRPr="00143AC4">
        <w:t xml:space="preserve">inteligencia empresarial </w:t>
      </w:r>
      <w:bookmarkEnd w:id="5"/>
      <w:r w:rsidRPr="00143AC4">
        <w:t>disponibles en el comercio pueden leerlos, integrarlos con fuentes de datos adicionales y hacer el resto con un mínimo de esfuerzos de desarrollo interno. Otro enfoque más evolucionado es permitir que el usuario final emplee un autoservicio de inteligencia empresarial.</w:t>
      </w:r>
    </w:p>
    <w:p w:rsidR="00E1203F" w:rsidRPr="00143AC4" w:rsidRDefault="00E1203F" w:rsidP="00E1203F">
      <w:r w:rsidRPr="00143AC4">
        <w:t xml:space="preserve">Por último, también es importante destacar el mandato dado por la Conferencia de Plenipotenciarios de 2018, en el </w:t>
      </w:r>
      <w:r w:rsidRPr="00143AC4">
        <w:rPr>
          <w:i/>
          <w:iCs/>
        </w:rPr>
        <w:t>resuelve</w:t>
      </w:r>
      <w:r w:rsidRPr="00143AC4">
        <w:t xml:space="preserve"> 4 de la Resolución 186, en el que se pide una oportunidad en este sentido</w:t>
      </w:r>
      <w:r w:rsidR="00566BE0">
        <w:t>:</w:t>
      </w:r>
      <w:r w:rsidRPr="00143AC4">
        <w:t xml:space="preserve"> </w:t>
      </w:r>
    </w:p>
    <w:p w:rsidR="00E1203F" w:rsidRPr="00143AC4" w:rsidRDefault="00E1203F" w:rsidP="00E1203F">
      <w:r w:rsidRPr="00143AC4">
        <w:t>«…</w:t>
      </w:r>
      <w:r w:rsidRPr="00143AC4">
        <w:rPr>
          <w:i/>
          <w:iCs/>
        </w:rPr>
        <w:t>que mejore el acceso a la información del Registro Internacional de Frecuencias publicada en el sitio web de la UIT sobre las asignaciones de frecuencias de satélites a las que se refiere la presente Resolución y aumente la transparencia de dicha información</w:t>
      </w:r>
      <w:r w:rsidRPr="00143AC4">
        <w:t>…».</w:t>
      </w:r>
    </w:p>
    <w:p w:rsidR="00E1203F" w:rsidRPr="00143AC4" w:rsidRDefault="00E1203F" w:rsidP="00E1203F">
      <w:pPr>
        <w:pStyle w:val="Heading1"/>
        <w:rPr>
          <w:lang w:eastAsia="ja-JP"/>
        </w:rPr>
      </w:pPr>
      <w:r w:rsidRPr="00143AC4">
        <w:rPr>
          <w:lang w:eastAsia="ja-JP"/>
        </w:rPr>
        <w:t>3</w:t>
      </w:r>
      <w:r w:rsidRPr="00143AC4">
        <w:rPr>
          <w:lang w:eastAsia="ja-JP"/>
        </w:rPr>
        <w:tab/>
        <w:t>Propuesta</w:t>
      </w:r>
    </w:p>
    <w:p w:rsidR="00E1203F" w:rsidRPr="00143AC4" w:rsidRDefault="00E1203F" w:rsidP="00E1203F">
      <w:r w:rsidRPr="00143AC4">
        <w:t>En el contexto de la mejora de los sistemas informáticos de la BR, el intercambio de conocimientos y las actividades de gestión de los recursos del espectro y orbitales, y teniendo también en cuenta la Resolución 186 de la PP-18, Brasil propone que la BR pueda estudiar la viabilidad, mediante un análisis de costo-beneficio, de la adquisición y puesta en práctica de herramientas de inteligencia comercial y análisis de datos basadas en la web disponibles en el comercio que sean capaces de leer todos los datos de las notificaciones y publicaciones de redes de satélites, incluido el SIE, y las bases de datos de las redes previstas, junto con los contornos del GIMS, a fin de proporcionar a los miembros nuevas tecnologías para consultar los datos de las redes de satélites, incluidos los contornos georreferenciados de la cobertura y las zonas de servicio de los satélites en mapas basados en la web.</w:t>
      </w:r>
    </w:p>
    <w:p w:rsidR="00F77D5F" w:rsidRDefault="00E1203F" w:rsidP="00E1203F">
      <w:r w:rsidRPr="00143AC4">
        <w:t xml:space="preserve">Además, y aplicando el enfoque mencionado, que dicho estudio evalúe los riesgos y oportunidades de permitir a la BR concentrar sus esfuerzos de desarrollo de </w:t>
      </w:r>
      <w:r w:rsidRPr="008F7181">
        <w:rPr>
          <w:i/>
        </w:rPr>
        <w:t>software</w:t>
      </w:r>
      <w:r w:rsidRPr="00143AC4">
        <w:t xml:space="preserve"> en aplicaciones relacionadas con las actividades básicas de la UIT, tales como la presentación de notificaciones, los formularios de validación, los cálculos técnicos de ingeniería y reglamentarios relacionados con los requisitos del Reglamento de Radiocomunicaciones, incluidos los sistemas de transacción y bases de datos conexos, dejando que los informes, mapas y sistemas de consulta se apliquen principalmente mediante herramientas web de inteligencia empresarial disponibles en el comercio y consolidadas en el mercado.</w:t>
      </w:r>
    </w:p>
    <w:p w:rsidR="008E4BF9" w:rsidRDefault="008E4BF9" w:rsidP="00411C49">
      <w:pPr>
        <w:pStyle w:val="Reasons"/>
      </w:pPr>
    </w:p>
    <w:p w:rsidR="008E4BF9" w:rsidRPr="00143AC4" w:rsidRDefault="008E4BF9" w:rsidP="008E4BF9">
      <w:pPr>
        <w:jc w:val="center"/>
      </w:pPr>
      <w:r>
        <w:t>______________</w:t>
      </w:r>
      <w:bookmarkStart w:id="6" w:name="_GoBack"/>
      <w:bookmarkEnd w:id="6"/>
    </w:p>
    <w:sectPr w:rsidR="008E4BF9" w:rsidRPr="00143AC4" w:rsidSect="004D6C0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3F" w:rsidRDefault="00E1203F">
      <w:r>
        <w:separator/>
      </w:r>
    </w:p>
  </w:endnote>
  <w:endnote w:type="continuationSeparator" w:id="0">
    <w:p w:rsidR="00E1203F" w:rsidRDefault="00E1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7A1" w:rsidRDefault="001317A1" w:rsidP="001317A1">
    <w:pPr>
      <w:pStyle w:val="Footer"/>
      <w:rPr>
        <w:lang w:val="en-US"/>
      </w:rPr>
    </w:pPr>
    <w:fldSimple w:instr=" FILENAME \p  \* MERGEFORMAT ">
      <w:r>
        <w:t>P:\ESP\ITU-R\AG\RAG\RAG20\000\022S.docx</w:t>
      </w:r>
    </w:fldSimple>
    <w:r>
      <w:t xml:space="preserve"> (471096)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01" w:rsidRDefault="009B3519" w:rsidP="001317A1">
    <w:pPr>
      <w:pStyle w:val="Footer"/>
      <w:rPr>
        <w:lang w:val="en-US"/>
      </w:rPr>
    </w:pPr>
    <w:r>
      <w:fldChar w:fldCharType="begin"/>
    </w:r>
    <w:r>
      <w:instrText xml:space="preserve"> FILENAME \p  \* MERGEFORMAT </w:instrText>
    </w:r>
    <w:r>
      <w:fldChar w:fldCharType="separate"/>
    </w:r>
    <w:r w:rsidR="001317A1">
      <w:t>P:\ESP\ITU-R\AG\RAG\RAG20\000\022S.docx</w:t>
    </w:r>
    <w:r>
      <w:fldChar w:fldCharType="end"/>
    </w:r>
    <w:r w:rsidR="001317A1">
      <w:t xml:space="preserve"> (471096)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3F" w:rsidRDefault="00E1203F">
      <w:r>
        <w:t>____________________</w:t>
      </w:r>
    </w:p>
  </w:footnote>
  <w:footnote w:type="continuationSeparator" w:id="0">
    <w:p w:rsidR="00E1203F" w:rsidRDefault="00E1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B63DC7">
      <w:rPr>
        <w:rStyle w:val="PageNumber"/>
        <w:noProof/>
      </w:rPr>
      <w:t>2</w:t>
    </w:r>
    <w:r>
      <w:rPr>
        <w:rStyle w:val="PageNumber"/>
      </w:rPr>
      <w:fldChar w:fldCharType="end"/>
    </w:r>
  </w:p>
  <w:p w:rsidR="00616601" w:rsidRDefault="0034043B" w:rsidP="00AB4BAD">
    <w:pPr>
      <w:pStyle w:val="Header"/>
      <w:rPr>
        <w:lang w:val="es-ES"/>
      </w:rPr>
    </w:pPr>
    <w:r>
      <w:rPr>
        <w:lang w:val="es-ES"/>
      </w:rPr>
      <w:t>RAG</w:t>
    </w:r>
    <w:r w:rsidR="00AB4BAD">
      <w:rPr>
        <w:lang w:val="es-ES"/>
      </w:rPr>
      <w:t>20</w:t>
    </w:r>
    <w:r w:rsidR="00616601">
      <w:rPr>
        <w:lang w:val="es-ES"/>
      </w:rPr>
      <w:t>/</w:t>
    </w:r>
    <w:r w:rsidR="00E1203F">
      <w:rPr>
        <w:lang w:val="es-ES"/>
      </w:rPr>
      <w:t>22</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3F"/>
    <w:rsid w:val="000C62BA"/>
    <w:rsid w:val="000D756D"/>
    <w:rsid w:val="0012592F"/>
    <w:rsid w:val="001317A1"/>
    <w:rsid w:val="00143AC4"/>
    <w:rsid w:val="001F2F50"/>
    <w:rsid w:val="0031432E"/>
    <w:rsid w:val="0034043B"/>
    <w:rsid w:val="00414D8B"/>
    <w:rsid w:val="00482905"/>
    <w:rsid w:val="004D6C09"/>
    <w:rsid w:val="00566BE0"/>
    <w:rsid w:val="0057336B"/>
    <w:rsid w:val="005A2195"/>
    <w:rsid w:val="005D3E02"/>
    <w:rsid w:val="00610642"/>
    <w:rsid w:val="00616601"/>
    <w:rsid w:val="00646EEF"/>
    <w:rsid w:val="00663829"/>
    <w:rsid w:val="006A42AB"/>
    <w:rsid w:val="006B5313"/>
    <w:rsid w:val="006E291F"/>
    <w:rsid w:val="008506C9"/>
    <w:rsid w:val="008E4BF9"/>
    <w:rsid w:val="008F0106"/>
    <w:rsid w:val="008F7181"/>
    <w:rsid w:val="00924B63"/>
    <w:rsid w:val="00982618"/>
    <w:rsid w:val="009B3519"/>
    <w:rsid w:val="009C205E"/>
    <w:rsid w:val="00A0579C"/>
    <w:rsid w:val="00A7663C"/>
    <w:rsid w:val="00AB4BAD"/>
    <w:rsid w:val="00B32E51"/>
    <w:rsid w:val="00B63DC7"/>
    <w:rsid w:val="00C16FA3"/>
    <w:rsid w:val="00C837F0"/>
    <w:rsid w:val="00CB7A43"/>
    <w:rsid w:val="00CF4CAC"/>
    <w:rsid w:val="00D51E1E"/>
    <w:rsid w:val="00DE77E6"/>
    <w:rsid w:val="00E1203F"/>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1F744"/>
  <w15:docId w15:val="{7B9EB3AC-8CB6-498F-A164-8FF00B28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basedOn w:val="DefaultParagraphFont"/>
    <w:unhideWhenUsed/>
    <w:rsid w:val="00E1203F"/>
    <w:rPr>
      <w:color w:val="0000FF" w:themeColor="hyperlink"/>
      <w:u w:val="single"/>
    </w:rPr>
  </w:style>
  <w:style w:type="paragraph" w:customStyle="1" w:styleId="Reasons">
    <w:name w:val="Reasons"/>
    <w:basedOn w:val="Normal"/>
    <w:qFormat/>
    <w:rsid w:val="008E4BF9"/>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anfr.f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natel.gov.br/paineis/espectro-e-orbit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cc.gov/reports-research/maps/" TargetMode="External"/><Relationship Id="rId4" Type="http://schemas.openxmlformats.org/officeDocument/2006/relationships/footnotes" Target="footnotes.xml"/><Relationship Id="rId9" Type="http://schemas.openxmlformats.org/officeDocument/2006/relationships/hyperlink" Target="http://static.ofcom.org.uk/static/spectrum/map.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PS_RAG20.dotm</Template>
  <TotalTime>52</TotalTime>
  <Pages>2</Pages>
  <Words>937</Words>
  <Characters>5386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RELATIVA A LA INTELIGENCIA EMPRESARIAL Y A LOS INSTRUMENTOS DE ANÁLISIS DE DATOS PARA LA INFORMACIÓN SOBRE LOS SERVICIOS ESPACIALES</dc:title>
  <dc:subject>GRUPO ASESOR DE RADIOCOMUNICACIONES</dc:subject>
  <dc:creator>Brasil (República Federativa de)</dc:creator>
  <cp:keywords>RAG03-1</cp:keywords>
  <dc:description>Documento RAG20/22-S  For: _x000d_Document date: 11 de mayo de 2020_x000d_Saved by R01 at 4:25:11 PM on 5/12/2020</dc:description>
  <cp:lastModifiedBy>Spanish</cp:lastModifiedBy>
  <cp:revision>9</cp:revision>
  <cp:lastPrinted>1993-02-18T11:12:00Z</cp:lastPrinted>
  <dcterms:created xsi:type="dcterms:W3CDTF">2020-05-12T13:29:00Z</dcterms:created>
  <dcterms:modified xsi:type="dcterms:W3CDTF">2020-05-12T14:25:00Z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RAG20/22-S</vt:lpwstr>
  </property>
  <property fmtid="{D5CDD505-2E9C-101B-9397-08002B2CF9AE}" pid="3" name="Docdate">
    <vt:lpwstr>11 de mayo de 2020</vt:lpwstr>
  </property>
  <property fmtid="{D5CDD505-2E9C-101B-9397-08002B2CF9AE}" pid="4" name="Docorlang">
    <vt:lpwstr>Original: inglés</vt:lpwstr>
  </property>
  <property fmtid="{D5CDD505-2E9C-101B-9397-08002B2CF9AE}" pid="5" name="Docauthor">
    <vt:lpwstr>Brasil (República Federativa de)</vt:lpwstr>
  </property>
</Properties>
</file>