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tblpY="-766"/>
        <w:tblW w:w="9889" w:type="dxa"/>
        <w:tblLayout w:type="fixed"/>
        <w:tblLook w:val="0000" w:firstRow="0" w:lastRow="0" w:firstColumn="0" w:lastColumn="0" w:noHBand="0" w:noVBand="0"/>
      </w:tblPr>
      <w:tblGrid>
        <w:gridCol w:w="6771"/>
        <w:gridCol w:w="3118"/>
      </w:tblGrid>
      <w:tr w:rsidR="00443261" w:rsidRPr="002B0CC6" w14:paraId="770CD4C3" w14:textId="77777777" w:rsidTr="00443261">
        <w:trPr>
          <w:cantSplit/>
        </w:trPr>
        <w:tc>
          <w:tcPr>
            <w:tcW w:w="6771" w:type="dxa"/>
            <w:vAlign w:val="center"/>
          </w:tcPr>
          <w:p w14:paraId="5C1659C5" w14:textId="77777777" w:rsidR="00443261" w:rsidRPr="002B0CC6" w:rsidRDefault="00443261" w:rsidP="00100A5E">
            <w:pPr>
              <w:shd w:val="solid" w:color="FFFFFF" w:fill="FFFFFF"/>
              <w:spacing w:before="360" w:after="240"/>
              <w:rPr>
                <w:rFonts w:ascii="Verdana" w:hAnsi="Verdana"/>
                <w:b/>
                <w:bCs/>
              </w:rPr>
            </w:pPr>
            <w:r w:rsidRPr="002B0CC6">
              <w:rPr>
                <w:rFonts w:ascii="Verdana" w:hAnsi="Verdana" w:cs="Times New Roman Bold"/>
                <w:b/>
                <w:sz w:val="25"/>
                <w:szCs w:val="25"/>
              </w:rPr>
              <w:t>Groupe Consultatif des Radiocommunications</w:t>
            </w:r>
            <w:r w:rsidRPr="002B0CC6">
              <w:rPr>
                <w:rFonts w:ascii="Verdana" w:hAnsi="Verdana"/>
                <w:b/>
                <w:sz w:val="25"/>
                <w:szCs w:val="25"/>
              </w:rPr>
              <w:br/>
            </w:r>
            <w:r w:rsidRPr="002B0CC6">
              <w:rPr>
                <w:rFonts w:ascii="Verdana" w:hAnsi="Verdana" w:cs="Times New Roman Bold"/>
                <w:b/>
                <w:bCs/>
                <w:sz w:val="20"/>
              </w:rPr>
              <w:t>Genève,</w:t>
            </w:r>
            <w:r w:rsidRPr="002B0CC6">
              <w:rPr>
                <w:rFonts w:ascii="Verdana" w:hAnsi="Verdana"/>
                <w:b/>
                <w:bCs/>
                <w:sz w:val="20"/>
              </w:rPr>
              <w:t xml:space="preserve"> </w:t>
            </w:r>
            <w:r w:rsidR="004E76DF" w:rsidRPr="002B0CC6">
              <w:rPr>
                <w:rFonts w:ascii="Verdana" w:hAnsi="Verdana"/>
                <w:b/>
                <w:bCs/>
                <w:sz w:val="20"/>
              </w:rPr>
              <w:t>25</w:t>
            </w:r>
            <w:r w:rsidRPr="002B0CC6">
              <w:rPr>
                <w:rFonts w:ascii="Verdana" w:hAnsi="Verdana"/>
                <w:b/>
                <w:bCs/>
                <w:sz w:val="20"/>
              </w:rPr>
              <w:t>-</w:t>
            </w:r>
            <w:r w:rsidR="004E76DF" w:rsidRPr="002B0CC6">
              <w:rPr>
                <w:rFonts w:ascii="Verdana" w:hAnsi="Verdana"/>
                <w:b/>
                <w:bCs/>
                <w:sz w:val="20"/>
              </w:rPr>
              <w:t>27</w:t>
            </w:r>
            <w:r w:rsidRPr="002B0CC6">
              <w:rPr>
                <w:rFonts w:ascii="Verdana" w:hAnsi="Verdana"/>
                <w:b/>
                <w:bCs/>
                <w:sz w:val="20"/>
              </w:rPr>
              <w:t xml:space="preserve"> </w:t>
            </w:r>
            <w:r w:rsidR="004E76DF" w:rsidRPr="002B0CC6">
              <w:rPr>
                <w:rFonts w:ascii="Verdana" w:hAnsi="Verdana"/>
                <w:b/>
                <w:bCs/>
                <w:sz w:val="20"/>
              </w:rPr>
              <w:t>mai</w:t>
            </w:r>
            <w:r w:rsidRPr="002B0CC6">
              <w:rPr>
                <w:rFonts w:ascii="Verdana" w:hAnsi="Verdana"/>
                <w:b/>
                <w:bCs/>
                <w:sz w:val="20"/>
              </w:rPr>
              <w:t xml:space="preserve"> 20</w:t>
            </w:r>
            <w:r w:rsidR="007711EA" w:rsidRPr="002B0CC6">
              <w:rPr>
                <w:rFonts w:ascii="Verdana" w:hAnsi="Verdana"/>
                <w:b/>
                <w:bCs/>
                <w:sz w:val="20"/>
              </w:rPr>
              <w:t>20</w:t>
            </w:r>
          </w:p>
        </w:tc>
        <w:tc>
          <w:tcPr>
            <w:tcW w:w="3118" w:type="dxa"/>
          </w:tcPr>
          <w:p w14:paraId="607EAF02" w14:textId="77777777" w:rsidR="00443261" w:rsidRPr="002B0CC6" w:rsidRDefault="007711EA" w:rsidP="00100A5E">
            <w:pPr>
              <w:shd w:val="solid" w:color="FFFFFF" w:fill="FFFFFF"/>
              <w:spacing w:before="0"/>
            </w:pPr>
            <w:r w:rsidRPr="002B0CC6">
              <w:rPr>
                <w:noProof/>
                <w:lang w:eastAsia="zh-CN"/>
              </w:rPr>
              <w:drawing>
                <wp:inline distT="0" distB="0" distL="0" distR="0" wp14:anchorId="0EB9BFC8" wp14:editId="06FF1821">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2D238A" w:rsidRPr="002B0CC6" w14:paraId="0621BCE9" w14:textId="77777777">
        <w:trPr>
          <w:cantSplit/>
        </w:trPr>
        <w:tc>
          <w:tcPr>
            <w:tcW w:w="6771" w:type="dxa"/>
            <w:tcBorders>
              <w:bottom w:val="single" w:sz="12" w:space="0" w:color="auto"/>
            </w:tcBorders>
          </w:tcPr>
          <w:p w14:paraId="424B3267" w14:textId="77777777" w:rsidR="002D238A" w:rsidRPr="002B0CC6" w:rsidRDefault="002D238A" w:rsidP="00100A5E">
            <w:pPr>
              <w:shd w:val="solid" w:color="FFFFFF" w:fill="FFFFFF"/>
              <w:spacing w:before="0" w:after="48"/>
              <w:rPr>
                <w:rFonts w:ascii="Verdana" w:hAnsi="Verdana" w:cs="Times New Roman Bold"/>
                <w:b/>
                <w:sz w:val="22"/>
                <w:szCs w:val="22"/>
              </w:rPr>
            </w:pPr>
          </w:p>
        </w:tc>
        <w:tc>
          <w:tcPr>
            <w:tcW w:w="3118" w:type="dxa"/>
            <w:tcBorders>
              <w:bottom w:val="single" w:sz="12" w:space="0" w:color="auto"/>
            </w:tcBorders>
          </w:tcPr>
          <w:p w14:paraId="59D9731B" w14:textId="77777777" w:rsidR="002D238A" w:rsidRPr="002B0CC6" w:rsidRDefault="002D238A" w:rsidP="00100A5E">
            <w:pPr>
              <w:shd w:val="solid" w:color="FFFFFF" w:fill="FFFFFF"/>
              <w:spacing w:before="0" w:after="48"/>
              <w:rPr>
                <w:sz w:val="22"/>
                <w:szCs w:val="22"/>
              </w:rPr>
            </w:pPr>
          </w:p>
        </w:tc>
      </w:tr>
      <w:tr w:rsidR="002D238A" w:rsidRPr="002B0CC6" w14:paraId="243946D8" w14:textId="77777777">
        <w:trPr>
          <w:cantSplit/>
        </w:trPr>
        <w:tc>
          <w:tcPr>
            <w:tcW w:w="6771" w:type="dxa"/>
            <w:tcBorders>
              <w:top w:val="single" w:sz="12" w:space="0" w:color="auto"/>
            </w:tcBorders>
          </w:tcPr>
          <w:p w14:paraId="5758F1E9" w14:textId="77777777" w:rsidR="002D238A" w:rsidRPr="002B0CC6" w:rsidRDefault="002D238A" w:rsidP="00100A5E">
            <w:pPr>
              <w:shd w:val="solid" w:color="FFFFFF" w:fill="FFFFFF"/>
              <w:spacing w:before="0" w:after="48"/>
              <w:rPr>
                <w:rFonts w:ascii="Verdana" w:hAnsi="Verdana" w:cs="Times New Roman Bold"/>
                <w:bCs/>
                <w:sz w:val="22"/>
                <w:szCs w:val="22"/>
              </w:rPr>
            </w:pPr>
          </w:p>
        </w:tc>
        <w:tc>
          <w:tcPr>
            <w:tcW w:w="3118" w:type="dxa"/>
            <w:tcBorders>
              <w:top w:val="single" w:sz="12" w:space="0" w:color="auto"/>
            </w:tcBorders>
          </w:tcPr>
          <w:p w14:paraId="0A456B7D" w14:textId="77777777" w:rsidR="002D238A" w:rsidRPr="002B0CC6" w:rsidRDefault="002D238A" w:rsidP="00100A5E">
            <w:pPr>
              <w:shd w:val="solid" w:color="FFFFFF" w:fill="FFFFFF"/>
              <w:spacing w:before="0" w:after="48"/>
              <w:rPr>
                <w:rFonts w:ascii="Verdana" w:hAnsi="Verdana"/>
                <w:sz w:val="22"/>
                <w:szCs w:val="22"/>
              </w:rPr>
            </w:pPr>
          </w:p>
        </w:tc>
      </w:tr>
      <w:tr w:rsidR="002D238A" w:rsidRPr="002B0CC6" w14:paraId="7038A5F9" w14:textId="77777777">
        <w:trPr>
          <w:cantSplit/>
        </w:trPr>
        <w:tc>
          <w:tcPr>
            <w:tcW w:w="6771" w:type="dxa"/>
            <w:vMerge w:val="restart"/>
          </w:tcPr>
          <w:p w14:paraId="445F9B4B" w14:textId="77777777" w:rsidR="002D238A" w:rsidRPr="002B0CC6" w:rsidRDefault="002D238A" w:rsidP="00100A5E">
            <w:pPr>
              <w:shd w:val="solid" w:color="FFFFFF" w:fill="FFFFFF"/>
              <w:spacing w:before="0"/>
              <w:rPr>
                <w:rFonts w:ascii="Verdana" w:hAnsi="Verdana"/>
                <w:sz w:val="20"/>
              </w:rPr>
            </w:pPr>
            <w:bookmarkStart w:id="0" w:name="dnum" w:colFirst="1" w:colLast="1"/>
          </w:p>
        </w:tc>
        <w:tc>
          <w:tcPr>
            <w:tcW w:w="3118" w:type="dxa"/>
          </w:tcPr>
          <w:p w14:paraId="22D56962" w14:textId="04886597" w:rsidR="002D238A" w:rsidRPr="002B0CC6" w:rsidRDefault="007A20D5" w:rsidP="00100A5E">
            <w:pPr>
              <w:shd w:val="solid" w:color="FFFFFF" w:fill="FFFFFF"/>
              <w:spacing w:before="0"/>
              <w:rPr>
                <w:rFonts w:ascii="Verdana" w:hAnsi="Verdana"/>
                <w:sz w:val="20"/>
              </w:rPr>
            </w:pPr>
            <w:r w:rsidRPr="002B0CC6">
              <w:rPr>
                <w:rFonts w:ascii="Verdana" w:hAnsi="Verdana"/>
                <w:b/>
                <w:sz w:val="20"/>
              </w:rPr>
              <w:t>Document RAG20/22-F</w:t>
            </w:r>
          </w:p>
        </w:tc>
      </w:tr>
      <w:tr w:rsidR="002D238A" w:rsidRPr="002B0CC6" w14:paraId="6E0764C3" w14:textId="77777777">
        <w:trPr>
          <w:cantSplit/>
        </w:trPr>
        <w:tc>
          <w:tcPr>
            <w:tcW w:w="6771" w:type="dxa"/>
            <w:vMerge/>
          </w:tcPr>
          <w:p w14:paraId="48442556" w14:textId="77777777" w:rsidR="002D238A" w:rsidRPr="002B0CC6" w:rsidRDefault="002D238A" w:rsidP="00100A5E">
            <w:pPr>
              <w:spacing w:before="60"/>
              <w:jc w:val="center"/>
              <w:rPr>
                <w:b/>
                <w:smallCaps/>
                <w:sz w:val="32"/>
              </w:rPr>
            </w:pPr>
            <w:bookmarkStart w:id="1" w:name="ddate" w:colFirst="1" w:colLast="1"/>
            <w:bookmarkEnd w:id="0"/>
          </w:p>
        </w:tc>
        <w:tc>
          <w:tcPr>
            <w:tcW w:w="3118" w:type="dxa"/>
          </w:tcPr>
          <w:p w14:paraId="79593306" w14:textId="73EF1856" w:rsidR="002D238A" w:rsidRPr="002B0CC6" w:rsidRDefault="007A20D5" w:rsidP="00100A5E">
            <w:pPr>
              <w:shd w:val="solid" w:color="FFFFFF" w:fill="FFFFFF"/>
              <w:spacing w:before="0"/>
              <w:rPr>
                <w:rFonts w:ascii="Verdana" w:hAnsi="Verdana"/>
                <w:sz w:val="20"/>
              </w:rPr>
            </w:pPr>
            <w:r w:rsidRPr="002B0CC6">
              <w:rPr>
                <w:rFonts w:ascii="Verdana" w:hAnsi="Verdana"/>
                <w:b/>
                <w:sz w:val="20"/>
              </w:rPr>
              <w:t>11 mai 2020</w:t>
            </w:r>
          </w:p>
        </w:tc>
      </w:tr>
      <w:tr w:rsidR="002D238A" w:rsidRPr="002B0CC6" w14:paraId="0E47C712" w14:textId="77777777">
        <w:trPr>
          <w:cantSplit/>
        </w:trPr>
        <w:tc>
          <w:tcPr>
            <w:tcW w:w="6771" w:type="dxa"/>
            <w:vMerge/>
          </w:tcPr>
          <w:p w14:paraId="2CB18926" w14:textId="77777777" w:rsidR="002D238A" w:rsidRPr="002B0CC6" w:rsidRDefault="002D238A" w:rsidP="00100A5E">
            <w:pPr>
              <w:spacing w:before="60"/>
              <w:jc w:val="center"/>
              <w:rPr>
                <w:b/>
                <w:smallCaps/>
                <w:sz w:val="32"/>
              </w:rPr>
            </w:pPr>
            <w:bookmarkStart w:id="2" w:name="dorlang" w:colFirst="1" w:colLast="1"/>
            <w:bookmarkEnd w:id="1"/>
          </w:p>
        </w:tc>
        <w:tc>
          <w:tcPr>
            <w:tcW w:w="3118" w:type="dxa"/>
          </w:tcPr>
          <w:p w14:paraId="31E73778" w14:textId="10B8FE48" w:rsidR="002D238A" w:rsidRPr="002B0CC6" w:rsidRDefault="007A20D5" w:rsidP="00100A5E">
            <w:pPr>
              <w:shd w:val="solid" w:color="FFFFFF" w:fill="FFFFFF"/>
              <w:spacing w:before="0" w:after="120"/>
              <w:rPr>
                <w:rFonts w:ascii="Verdana" w:hAnsi="Verdana"/>
                <w:sz w:val="20"/>
              </w:rPr>
            </w:pPr>
            <w:r w:rsidRPr="002B0CC6">
              <w:rPr>
                <w:rFonts w:ascii="Verdana" w:hAnsi="Verdana"/>
                <w:b/>
                <w:sz w:val="20"/>
              </w:rPr>
              <w:t>Original: anglais</w:t>
            </w:r>
          </w:p>
        </w:tc>
      </w:tr>
      <w:tr w:rsidR="002D238A" w:rsidRPr="002B0CC6" w14:paraId="668872B1" w14:textId="77777777">
        <w:trPr>
          <w:cantSplit/>
        </w:trPr>
        <w:tc>
          <w:tcPr>
            <w:tcW w:w="9889" w:type="dxa"/>
            <w:gridSpan w:val="2"/>
          </w:tcPr>
          <w:p w14:paraId="72ACB429" w14:textId="1DC40160" w:rsidR="002D238A" w:rsidRPr="002B0CC6" w:rsidRDefault="007A20D5" w:rsidP="00100A5E">
            <w:pPr>
              <w:pStyle w:val="Source"/>
            </w:pPr>
            <w:bookmarkStart w:id="3" w:name="dsource" w:colFirst="0" w:colLast="0"/>
            <w:bookmarkEnd w:id="2"/>
            <w:r w:rsidRPr="002B0CC6">
              <w:t>Brésil (République fédérative du)</w:t>
            </w:r>
          </w:p>
        </w:tc>
      </w:tr>
      <w:tr w:rsidR="002D238A" w:rsidRPr="002B0CC6" w14:paraId="1EA8F932" w14:textId="77777777">
        <w:trPr>
          <w:cantSplit/>
        </w:trPr>
        <w:tc>
          <w:tcPr>
            <w:tcW w:w="9889" w:type="dxa"/>
            <w:gridSpan w:val="2"/>
          </w:tcPr>
          <w:p w14:paraId="1BA4DC6D" w14:textId="4E07AC9A" w:rsidR="002D238A" w:rsidRPr="002B0CC6" w:rsidRDefault="007A20D5" w:rsidP="00100A5E">
            <w:pPr>
              <w:pStyle w:val="Title1"/>
            </w:pPr>
            <w:bookmarkStart w:id="4" w:name="dtitle1" w:colFirst="0" w:colLast="0"/>
            <w:bookmarkEnd w:id="3"/>
            <w:r w:rsidRPr="002B0CC6">
              <w:t>Proposition concernant les outils de veille économique et d'analyse des données pour les informations</w:t>
            </w:r>
            <w:r w:rsidRPr="002B0CC6">
              <w:br/>
              <w:t>relatives aux services spatiaux</w:t>
            </w:r>
          </w:p>
        </w:tc>
      </w:tr>
    </w:tbl>
    <w:bookmarkEnd w:id="4"/>
    <w:p w14:paraId="245A3E9B" w14:textId="17755EFF" w:rsidR="007A20D5" w:rsidRPr="002B0CC6" w:rsidRDefault="007A20D5" w:rsidP="00100A5E">
      <w:pPr>
        <w:pStyle w:val="Heading1"/>
        <w:spacing w:before="240"/>
      </w:pPr>
      <w:r w:rsidRPr="002B0CC6">
        <w:t>1</w:t>
      </w:r>
      <w:r w:rsidRPr="002B0CC6">
        <w:tab/>
        <w:t>Introduction</w:t>
      </w:r>
    </w:p>
    <w:p w14:paraId="352079B4" w14:textId="2DBBC9C9" w:rsidR="007A20D5" w:rsidRPr="002B0CC6" w:rsidRDefault="007A20D5" w:rsidP="00100A5E">
      <w:r w:rsidRPr="002B0CC6">
        <w:t>Étant donné qu'il est nécessaire de poursuivre les efforts pour faire évoluer les systèmes informatiques de gestion des ressources spectre</w:t>
      </w:r>
      <w:r w:rsidR="00683D69" w:rsidRPr="002B0CC6">
        <w:t>-</w:t>
      </w:r>
      <w:r w:rsidRPr="002B0CC6">
        <w:t>orbites au moyen d'outils d'analyse des données, et qu'il existe aujourd'hui des moyens simples, rapides et efficaces d'intégrer et de produire des informations rassemblant des données issues de plusieurs sources de base de données, en mettant en place des outils de veille économique (BI), le Brésil souhaite porter cette question à l'attention du GCR et examiner s'il serait possible de recommander au Directeur du BR d'étudier la possibilité d'envisager de nouvelles approches, en particulier pour les outils de veille économique destinés aux services spatiaux dans le contexte des projets futurs relatifs aux systèmes informatisés du BR.</w:t>
      </w:r>
    </w:p>
    <w:p w14:paraId="39E9CD7A" w14:textId="47DB3754" w:rsidR="007A20D5" w:rsidRPr="002B0CC6" w:rsidRDefault="007A20D5" w:rsidP="00100A5E">
      <w:pPr>
        <w:pStyle w:val="Heading1"/>
        <w:spacing w:before="240"/>
      </w:pPr>
      <w:r w:rsidRPr="002B0CC6">
        <w:t>2</w:t>
      </w:r>
      <w:r w:rsidRPr="002B0CC6">
        <w:tab/>
        <w:t>Outils de veille économique et d'analyse des données</w:t>
      </w:r>
    </w:p>
    <w:p w14:paraId="597C880D" w14:textId="3FE665A9" w:rsidR="007A20D5" w:rsidRPr="002B0CC6" w:rsidRDefault="007A20D5" w:rsidP="00100A5E">
      <w:r w:rsidRPr="002B0CC6">
        <w:t>Alors que les mégadonnées sont de plus en plus omniprésentes, et compte tenu des nouvelles possibilités qui s'offrent pour améliorer considérablement l'échange d'informations concernant tous les processus économiques et toutes les activités humaines, plusieurs organisations ont mis en place et déployé publiquement des tableaux de bord interactifs dans des panneaux de données qui rassemblent plusieurs sources de données et permettent de prendre des décisions de manière beaucoup plus rapide et efficace.</w:t>
      </w:r>
    </w:p>
    <w:p w14:paraId="4FAB2AF2" w14:textId="26B47013" w:rsidR="007A20D5" w:rsidRPr="007A20D5" w:rsidRDefault="007A20D5" w:rsidP="00100A5E">
      <w:r w:rsidRPr="002B0CC6">
        <w:t>Dans le secteur des télécommunications, on peut citer comme exemple le panneau de données créé par l'Agence nationale des télécommunications (ANATEL). Cet outil ouvert, disponible sur le site web d'ANATEL, comporte des filtres, des graphiques, des cartes et des indicateurs sur le secteur des télécommunications au Brésil, y compris sur les satellites soumis à des droits d'atterrissement par position orbitale, bande de fréquences et opérateur, et est accessible à l'adresse URL ci</w:t>
      </w:r>
      <w:r w:rsidR="00683D69" w:rsidRPr="002B0CC6">
        <w:noBreakHyphen/>
      </w:r>
      <w:r w:rsidRPr="002B0CC6">
        <w:t>dessous:</w:t>
      </w:r>
    </w:p>
    <w:p w14:paraId="749B67B1" w14:textId="4AE99518" w:rsidR="007A20D5" w:rsidRPr="002B0CC6" w:rsidRDefault="007A20D5" w:rsidP="00100A5E">
      <w:pPr>
        <w:pStyle w:val="enumlev1"/>
        <w:rPr>
          <w:iCs/>
        </w:rPr>
      </w:pPr>
      <w:r w:rsidRPr="002B0CC6">
        <w:t>•</w:t>
      </w:r>
      <w:r w:rsidRPr="002B0CC6">
        <w:tab/>
      </w:r>
      <w:hyperlink r:id="rId8" w:history="1">
        <w:r w:rsidRPr="002B0CC6">
          <w:rPr>
            <w:rStyle w:val="Hyperlink"/>
          </w:rPr>
          <w:t>https://www.anatel.gov.br/paineis/espectro-e-orbita</w:t>
        </w:r>
      </w:hyperlink>
      <w:r w:rsidR="009220FB" w:rsidRPr="009220FB">
        <w:rPr>
          <w:rStyle w:val="Hyperlink"/>
          <w:u w:val="none"/>
        </w:rPr>
        <w:t>.</w:t>
      </w:r>
    </w:p>
    <w:p w14:paraId="08E5F315" w14:textId="328C8F9A" w:rsidR="007A20D5" w:rsidRPr="002B0CC6" w:rsidRDefault="007A20D5" w:rsidP="00100A5E">
      <w:r w:rsidRPr="002B0CC6">
        <w:t>On peut également citer comme exemple les données géoréférencées émanant des sources suivantes:</w:t>
      </w:r>
    </w:p>
    <w:p w14:paraId="78AB10D1" w14:textId="20459CD8" w:rsidR="007A20D5" w:rsidRPr="002B0CC6" w:rsidRDefault="007A20D5" w:rsidP="00100A5E">
      <w:pPr>
        <w:pStyle w:val="enumlev1"/>
      </w:pPr>
      <w:r w:rsidRPr="002B0CC6">
        <w:t>•</w:t>
      </w:r>
      <w:r w:rsidRPr="002B0CC6">
        <w:tab/>
        <w:t xml:space="preserve">Agence </w:t>
      </w:r>
      <w:r w:rsidR="002B0CC6" w:rsidRPr="002B0CC6">
        <w:t>Nationale</w:t>
      </w:r>
      <w:r w:rsidRPr="002B0CC6">
        <w:t xml:space="preserve"> des Fréquences (ANFR): </w:t>
      </w:r>
      <w:hyperlink r:id="rId9" w:history="1">
        <w:r w:rsidRPr="002B0CC6">
          <w:rPr>
            <w:rStyle w:val="Hyperlink"/>
          </w:rPr>
          <w:t>https://data.anfr.fr/</w:t>
        </w:r>
      </w:hyperlink>
    </w:p>
    <w:p w14:paraId="55B117DD" w14:textId="080B6C4D" w:rsidR="007A20D5" w:rsidRPr="002B0CC6" w:rsidRDefault="007A20D5" w:rsidP="00100A5E">
      <w:pPr>
        <w:pStyle w:val="enumlev1"/>
        <w:rPr>
          <w:iCs/>
        </w:rPr>
      </w:pPr>
      <w:r w:rsidRPr="002B0CC6">
        <w:t>•</w:t>
      </w:r>
      <w:r w:rsidRPr="002B0CC6">
        <w:tab/>
      </w:r>
      <w:r w:rsidR="00120B50" w:rsidRPr="002B0CC6">
        <w:t>C</w:t>
      </w:r>
      <w:r w:rsidRPr="002B0CC6">
        <w:t>arte du spectre du Royaume-Uni (Ofcom):</w:t>
      </w:r>
      <w:r w:rsidR="0058780E">
        <w:t xml:space="preserve"> </w:t>
      </w:r>
      <w:hyperlink r:id="rId10" w:history="1">
        <w:r w:rsidR="0058780E" w:rsidRPr="006D5C1F">
          <w:rPr>
            <w:rStyle w:val="Hyperlink"/>
          </w:rPr>
          <w:t>http://static.ofcom.org.uk/static/spectrum/</w:t>
        </w:r>
        <w:r w:rsidR="0058780E" w:rsidRPr="006D5C1F">
          <w:rPr>
            <w:rStyle w:val="Hyperlink"/>
          </w:rPr>
          <w:br/>
          <w:t>map.html</w:t>
        </w:r>
      </w:hyperlink>
    </w:p>
    <w:p w14:paraId="05ED4F88" w14:textId="72268A4F" w:rsidR="007A20D5" w:rsidRPr="002B0CC6" w:rsidRDefault="007A20D5" w:rsidP="0058780E">
      <w:pPr>
        <w:rPr>
          <w:iCs/>
        </w:rPr>
      </w:pPr>
      <w:r w:rsidRPr="002B0CC6">
        <w:t>•</w:t>
      </w:r>
      <w:r w:rsidRPr="002B0CC6">
        <w:tab/>
        <w:t xml:space="preserve">Cartes de la FCC: </w:t>
      </w:r>
      <w:hyperlink r:id="rId11" w:history="1">
        <w:r w:rsidRPr="002B0CC6">
          <w:rPr>
            <w:rStyle w:val="Hyperlink"/>
          </w:rPr>
          <w:t>https://www.fcc.gov/reports-research/maps/</w:t>
        </w:r>
      </w:hyperlink>
      <w:r w:rsidR="0058780E" w:rsidRPr="009220FB">
        <w:rPr>
          <w:rStyle w:val="Hyperlink"/>
          <w:u w:val="none"/>
        </w:rPr>
        <w:t>.</w:t>
      </w:r>
    </w:p>
    <w:p w14:paraId="7C10CA80" w14:textId="6372F4B2" w:rsidR="007A20D5" w:rsidRPr="002B0CC6" w:rsidRDefault="007A20D5" w:rsidP="00100A5E">
      <w:pPr>
        <w:rPr>
          <w:iCs/>
        </w:rPr>
      </w:pPr>
      <w:r w:rsidRPr="002B0CC6">
        <w:rPr>
          <w:iCs/>
        </w:rPr>
        <w:lastRenderedPageBreak/>
        <w:t xml:space="preserve">Les plates-formes de </w:t>
      </w:r>
      <w:r w:rsidR="00120B50" w:rsidRPr="002B0CC6">
        <w:rPr>
          <w:iCs/>
        </w:rPr>
        <w:t>«</w:t>
      </w:r>
      <w:r w:rsidRPr="002B0CC6">
        <w:rPr>
          <w:iCs/>
        </w:rPr>
        <w:t>veille économique</w:t>
      </w:r>
      <w:r w:rsidR="00120B50" w:rsidRPr="002B0CC6">
        <w:rPr>
          <w:iCs/>
        </w:rPr>
        <w:t>»</w:t>
      </w:r>
      <w:r w:rsidRPr="002B0CC6">
        <w:rPr>
          <w:iCs/>
        </w:rPr>
        <w:t xml:space="preserve"> sont généralement mises en œuvre à l'aide de solutions logicielles</w:t>
      </w:r>
      <w:r w:rsidRPr="002B0CC6">
        <w:t xml:space="preserve"> disponibles dans le commerce. Étant donné qu'une concurrence particulièrement âpre s'exerce dans ce secteur, on trouve sur le marché plusieurs produits qui permettent de lire, de corréler, de transformer et de présenter des informations interactives d'innombrables façons, et qui sont parfois plus rentables et conviviaux que les systèmes d'établissement de rapports mis au point en interne dans le but en quelque sorte de «réinventer la roue».</w:t>
      </w:r>
    </w:p>
    <w:p w14:paraId="41D1D191" w14:textId="1281309F" w:rsidR="007A20D5" w:rsidRPr="002B0CC6" w:rsidRDefault="007A20D5" w:rsidP="00100A5E">
      <w:pPr>
        <w:rPr>
          <w:iCs/>
        </w:rPr>
      </w:pPr>
      <w:r w:rsidRPr="002B0CC6">
        <w:rPr>
          <w:iCs/>
        </w:rPr>
        <w:t xml:space="preserve">L'idée d'adopter des outils de </w:t>
      </w:r>
      <w:r w:rsidR="00120B50" w:rsidRPr="002B0CC6">
        <w:rPr>
          <w:iCs/>
        </w:rPr>
        <w:t>«</w:t>
      </w:r>
      <w:r w:rsidRPr="002B0CC6">
        <w:rPr>
          <w:iCs/>
        </w:rPr>
        <w:t>veille économique</w:t>
      </w:r>
      <w:r w:rsidR="00120B50" w:rsidRPr="002B0CC6">
        <w:rPr>
          <w:iCs/>
        </w:rPr>
        <w:t>»</w:t>
      </w:r>
      <w:r w:rsidRPr="002B0CC6">
        <w:rPr>
          <w:iCs/>
        </w:rPr>
        <w:t xml:space="preserve"> disponibles sur le marché permet aux équipes chargées de la conception des logiciels informatiques de l'organisation de faire porter leurs efforts sur la mise au point d'outils étroitement liés au domaine d'activité principal de l'organisation, c'est</w:t>
      </w:r>
      <w:r w:rsidR="0058780E">
        <w:rPr>
          <w:iCs/>
        </w:rPr>
        <w:noBreakHyphen/>
      </w:r>
      <w:r w:rsidRPr="002B0CC6">
        <w:rPr>
          <w:iCs/>
        </w:rPr>
        <w:t>à-dire sur les applications très spécifiques qui ne sont pas facilement disponibles sur le marché, et pour lesquelles le BR possède un savoir-faire spécialisé, par exemple les outils logiciels de calcul technique et les bases de données à des fins réglementaires comme les diverses exigences techniques et procédures de validation du Règlement des radiocommunications appliquées aux fiches de notification des réseaux à satellite par exemple.</w:t>
      </w:r>
    </w:p>
    <w:p w14:paraId="296189FC" w14:textId="1AA2B814" w:rsidR="007A20D5" w:rsidRPr="002B0CC6" w:rsidRDefault="007A20D5" w:rsidP="00100A5E">
      <w:pPr>
        <w:rPr>
          <w:iCs/>
        </w:rPr>
      </w:pPr>
      <w:r w:rsidRPr="002B0CC6">
        <w:rPr>
          <w:iCs/>
        </w:rPr>
        <w:t xml:space="preserve">Une fois que les données gérées par les applications logicielles centrales (c'est-à-dire les fiches de notification, les opérations de validation et les calculs techniques) sont mémorisées dans les bases de données transactionnelles utilisant des technologies normalisées (Microsoft SQL ou SQL Lite), la plupart des technologies de veille économique disponibles sur le marché permettent de lire ces données, de les intégrer à d'autres sources de données et d'exécuter d'autres opérations moyennant le minimum de travail de conception en interne. Une autre approche plus élaborée consiste à permettre </w:t>
      </w:r>
      <w:r w:rsidR="0058780E">
        <w:rPr>
          <w:iCs/>
        </w:rPr>
        <w:t xml:space="preserve">à </w:t>
      </w:r>
      <w:r w:rsidRPr="002B0CC6">
        <w:rPr>
          <w:iCs/>
        </w:rPr>
        <w:t>l'utilisateur final d'avoir recours à un outil de veille économique en libre-service.</w:t>
      </w:r>
    </w:p>
    <w:p w14:paraId="1DF74803" w14:textId="75045A6A" w:rsidR="007A20D5" w:rsidRPr="002B0CC6" w:rsidRDefault="007A20D5" w:rsidP="00100A5E">
      <w:pPr>
        <w:rPr>
          <w:iCs/>
        </w:rPr>
      </w:pPr>
      <w:r w:rsidRPr="002B0CC6">
        <w:rPr>
          <w:iCs/>
        </w:rPr>
        <w:t xml:space="preserve">Enfin, il est important de souligner que le point 4 du </w:t>
      </w:r>
      <w:r w:rsidRPr="002B0CC6">
        <w:rPr>
          <w:i/>
        </w:rPr>
        <w:t>décide</w:t>
      </w:r>
      <w:r w:rsidRPr="002B0CC6">
        <w:rPr>
          <w:iCs/>
        </w:rPr>
        <w:t xml:space="preserve"> de la Résolution 186 de la Conférence de plénipotentiaires tenue en 2018 prévoit une possibilité à cet égard:</w:t>
      </w:r>
    </w:p>
    <w:p w14:paraId="32926F29" w14:textId="5C929BAA" w:rsidR="007A20D5" w:rsidRPr="002B0CC6" w:rsidRDefault="007A20D5" w:rsidP="00100A5E">
      <w:pPr>
        <w:rPr>
          <w:i/>
        </w:rPr>
      </w:pPr>
      <w:r w:rsidRPr="002B0CC6">
        <w:rPr>
          <w:i/>
        </w:rPr>
        <w:t>«…de faciliter encore l'accès aux renseignements figurant dans le Fichier de référence international des fréquences qui sont publiés sur le site web de l'UIT concernant les assignations de fréquence aux réseaux à satellite dont il est question dans la présente résolution et d'améliorer la transparence de ces renseignements…».</w:t>
      </w:r>
    </w:p>
    <w:p w14:paraId="36BF4A17" w14:textId="77777777" w:rsidR="007A20D5" w:rsidRPr="002B0CC6" w:rsidRDefault="007A20D5" w:rsidP="00100A5E">
      <w:pPr>
        <w:pStyle w:val="Headingb"/>
      </w:pPr>
      <w:r w:rsidRPr="002B0CC6">
        <w:t>Proposition</w:t>
      </w:r>
    </w:p>
    <w:p w14:paraId="638A3828" w14:textId="38EA06FF" w:rsidR="007A20D5" w:rsidRPr="002B0CC6" w:rsidRDefault="007A20D5" w:rsidP="00100A5E">
      <w:r w:rsidRPr="002B0CC6">
        <w:t>Afin d'améliorer les systèmes informatiques, le partage de connaissances et les activités liées à la gestion des ressources spectre-orbites au sein du BR, et compte tenu également de la Résolution 186 de la PP-18, le Brésil propose que le BR envisage la possibilité, au moyen d'une analyse coûts</w:t>
      </w:r>
      <w:r w:rsidR="00120B50" w:rsidRPr="002B0CC6">
        <w:noBreakHyphen/>
      </w:r>
      <w:r w:rsidRPr="002B0CC6">
        <w:t xml:space="preserve">avantages, d'acquérir et de mettre en œuvre des outils web d'analyse des données et de </w:t>
      </w:r>
      <w:r w:rsidR="00120B50" w:rsidRPr="002B0CC6">
        <w:t>«</w:t>
      </w:r>
      <w:r w:rsidRPr="002B0CC6">
        <w:t>veille</w:t>
      </w:r>
      <w:r w:rsidR="002B0CC6" w:rsidRPr="002B0CC6">
        <w:t> </w:t>
      </w:r>
      <w:r w:rsidRPr="002B0CC6">
        <w:t>économique</w:t>
      </w:r>
      <w:r w:rsidR="00120B50" w:rsidRPr="002B0CC6">
        <w:t>»</w:t>
      </w:r>
      <w:r w:rsidRPr="002B0CC6">
        <w:t xml:space="preserve"> disponibles sur le marché, qui permettraient de lire toutes les données provenant des fiches de notification des réseaux à satellite et des publications, y compris la base de données du SRS, et les bases de données des réseaux en projet, ainsi que les contours générés à l'aide du logiciel GIMS, afin que les membres disposent de nouvelles technologies pour consulter les données relatives aux réseaux à satellite, y compris les données géoréférencées relatives aux contours de la couverture des satellites et aux zones de service, sur des cartes web.</w:t>
      </w:r>
    </w:p>
    <w:p w14:paraId="536CC476" w14:textId="56F701BD" w:rsidR="008069E9" w:rsidRPr="002B0CC6" w:rsidRDefault="007A20D5" w:rsidP="00100A5E">
      <w:r w:rsidRPr="002B0CC6">
        <w:t xml:space="preserve">En outre, et conformément à l'approche décrite ci-dessus, on pourrait analyser, dans le cadre de cette étude, les risques et les possibilités si le BR s'attachait essentiellement à concevoir des logiciels axés sur les applications relatives au domaine d'activité principal de l'UIT, par exemple la soumission de fiches de notification, les formulaires de validation, les calculs techniques et réglementaires relatifs aux dispositions du Règlement des radiocommunications, y compris les systèmes et les bases de données transactionnels connexes, et si les rapports, les cartes et les systèmes de consultation étaient mis en œuvre principalement au moyen d'outils web de </w:t>
      </w:r>
      <w:r w:rsidR="00120B50" w:rsidRPr="002B0CC6">
        <w:t>«</w:t>
      </w:r>
      <w:r w:rsidRPr="002B0CC6">
        <w:t>veille</w:t>
      </w:r>
      <w:r w:rsidR="002B0CC6" w:rsidRPr="002B0CC6">
        <w:t> </w:t>
      </w:r>
      <w:r w:rsidRPr="002B0CC6">
        <w:t>économique</w:t>
      </w:r>
      <w:r w:rsidR="00120B50" w:rsidRPr="002B0CC6">
        <w:t>»</w:t>
      </w:r>
      <w:r w:rsidRPr="002B0CC6">
        <w:t xml:space="preserve"> disponibles sur le marché.</w:t>
      </w:r>
    </w:p>
    <w:p w14:paraId="5EAD1C41" w14:textId="77777777" w:rsidR="007A20D5" w:rsidRPr="002B0CC6" w:rsidRDefault="007A20D5" w:rsidP="00100A5E">
      <w:pPr>
        <w:jc w:val="center"/>
      </w:pPr>
      <w:r w:rsidRPr="002B0CC6">
        <w:t>______________</w:t>
      </w:r>
    </w:p>
    <w:sectPr w:rsidR="007A20D5" w:rsidRPr="002B0CC6">
      <w:headerReference w:type="even" r:id="rId12"/>
      <w:headerReference w:type="default" r:id="rId13"/>
      <w:footerReference w:type="even" r:id="rId14"/>
      <w:footerReference w:type="default" r:id="rId15"/>
      <w:footerReference w:type="first" r:id="rId16"/>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DC3188" w14:textId="77777777" w:rsidR="007A20D5" w:rsidRDefault="007A20D5">
      <w:r>
        <w:separator/>
      </w:r>
    </w:p>
  </w:endnote>
  <w:endnote w:type="continuationSeparator" w:id="0">
    <w:p w14:paraId="4877F6E7" w14:textId="77777777" w:rsidR="007A20D5" w:rsidRDefault="007A2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7D81B" w14:textId="08856386" w:rsidR="00847AAC" w:rsidRDefault="00A9055C">
    <w:pPr>
      <w:pStyle w:val="Footer"/>
      <w:rPr>
        <w:lang w:val="en-US"/>
      </w:rPr>
    </w:pPr>
    <w:r>
      <w:fldChar w:fldCharType="begin"/>
    </w:r>
    <w:r w:rsidRPr="00A9055C">
      <w:rPr>
        <w:lang w:val="en-US"/>
      </w:rPr>
      <w:instrText xml:space="preserve"> FILENAME \p \* MERGEFORMAT </w:instrText>
    </w:r>
    <w:r>
      <w:fldChar w:fldCharType="separate"/>
    </w:r>
    <w:r w:rsidR="00100A5E">
      <w:rPr>
        <w:lang w:val="en-US"/>
      </w:rPr>
      <w:t>P:\FRA\ITU-R\AG\RAG\RAG20\000\022F.docx</w:t>
    </w:r>
    <w:r>
      <w:rPr>
        <w:lang w:val="en-US"/>
      </w:rPr>
      <w:fldChar w:fldCharType="end"/>
    </w:r>
    <w:r w:rsidR="00847AAC">
      <w:rPr>
        <w:lang w:val="en-US"/>
      </w:rPr>
      <w:tab/>
    </w:r>
    <w:r w:rsidR="00847AAC">
      <w:fldChar w:fldCharType="begin"/>
    </w:r>
    <w:r w:rsidR="00847AAC">
      <w:instrText xml:space="preserve"> savedate \@ dd.MM.yy </w:instrText>
    </w:r>
    <w:r w:rsidR="00847AAC">
      <w:fldChar w:fldCharType="separate"/>
    </w:r>
    <w:r w:rsidR="0058780E">
      <w:t>12.05.20</w:t>
    </w:r>
    <w:r w:rsidR="00847AAC">
      <w:fldChar w:fldCharType="end"/>
    </w:r>
    <w:r w:rsidR="00847AAC">
      <w:rPr>
        <w:lang w:val="en-US"/>
      </w:rPr>
      <w:tab/>
    </w:r>
    <w:r w:rsidR="00847AAC">
      <w:fldChar w:fldCharType="begin"/>
    </w:r>
    <w:r w:rsidR="00847AAC">
      <w:instrText xml:space="preserve"> printdate \@ dd.MM.yy </w:instrText>
    </w:r>
    <w:r w:rsidR="00847AAC">
      <w:fldChar w:fldCharType="separate"/>
    </w:r>
    <w:r w:rsidR="00100A5E">
      <w:t>11.10.99</w:t>
    </w:r>
    <w:r w:rsidR="00847AA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D874EF" w14:textId="5E9E4BEE" w:rsidR="00847AAC" w:rsidRPr="00683D69" w:rsidRDefault="00A9055C">
    <w:pPr>
      <w:pStyle w:val="Footer"/>
      <w:rPr>
        <w:lang w:val="en-GB"/>
      </w:rPr>
    </w:pPr>
    <w:r>
      <w:fldChar w:fldCharType="begin"/>
    </w:r>
    <w:r w:rsidRPr="00A9055C">
      <w:rPr>
        <w:lang w:val="en-US"/>
      </w:rPr>
      <w:instrText xml:space="preserve"> FILENAME \p \* MERGEFORMAT </w:instrText>
    </w:r>
    <w:r>
      <w:fldChar w:fldCharType="separate"/>
    </w:r>
    <w:r w:rsidR="00100A5E">
      <w:rPr>
        <w:lang w:val="en-US"/>
      </w:rPr>
      <w:t>P:\FRA\ITU-R\AG\RAG\RAG20\000\022F.docx</w:t>
    </w:r>
    <w:r>
      <w:rPr>
        <w:lang w:val="en-US"/>
      </w:rPr>
      <w:fldChar w:fldCharType="end"/>
    </w:r>
    <w:r w:rsidR="00683D69" w:rsidRPr="00683D69">
      <w:rPr>
        <w:lang w:val="en-GB"/>
      </w:rPr>
      <w:t xml:space="preserve"> </w:t>
    </w:r>
    <w:r w:rsidR="00683D69">
      <w:rPr>
        <w:lang w:val="en-GB"/>
      </w:rPr>
      <w:t>(471096)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BD5E80" w14:textId="4F454C9F" w:rsidR="00847AAC" w:rsidRDefault="00A9055C" w:rsidP="007711EA">
    <w:pPr>
      <w:pStyle w:val="Footer"/>
      <w:rPr>
        <w:lang w:val="en-US"/>
      </w:rPr>
    </w:pPr>
    <w:r>
      <w:fldChar w:fldCharType="begin"/>
    </w:r>
    <w:r w:rsidRPr="00A9055C">
      <w:rPr>
        <w:lang w:val="en-US"/>
      </w:rPr>
      <w:instrText xml:space="preserve"> FILENAME \p \* MERGEFORMAT </w:instrText>
    </w:r>
    <w:r>
      <w:fldChar w:fldCharType="separate"/>
    </w:r>
    <w:r w:rsidR="00100A5E">
      <w:rPr>
        <w:lang w:val="en-US"/>
      </w:rPr>
      <w:t>P:\FRA\ITU-R\AG\RAG\RAG20\000\022F.docx</w:t>
    </w:r>
    <w:r>
      <w:rPr>
        <w:lang w:val="en-US"/>
      </w:rPr>
      <w:fldChar w:fldCharType="end"/>
    </w:r>
    <w:r w:rsidR="00683D69">
      <w:rPr>
        <w:lang w:val="en-US"/>
      </w:rPr>
      <w:t xml:space="preserve"> (471096)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A32B73" w14:textId="77777777" w:rsidR="007A20D5" w:rsidRDefault="007A20D5">
      <w:r>
        <w:t>____________________</w:t>
      </w:r>
    </w:p>
  </w:footnote>
  <w:footnote w:type="continuationSeparator" w:id="0">
    <w:p w14:paraId="364B62BD" w14:textId="77777777" w:rsidR="007A20D5" w:rsidRDefault="007A20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0857D5" w14:textId="77777777" w:rsidR="00847AAC" w:rsidRDefault="00847AAC">
    <w:pPr>
      <w:pStyle w:val="Header"/>
    </w:pPr>
    <w:r>
      <w:rPr>
        <w:lang w:val="es-ES"/>
      </w:rPr>
      <w:t xml:space="preserve">- </w:t>
    </w:r>
    <w:r w:rsidR="00A9055C">
      <w:fldChar w:fldCharType="begin"/>
    </w:r>
    <w:r w:rsidR="00A9055C">
      <w:instrText xml:space="preserve"> PAGE </w:instrText>
    </w:r>
    <w:r w:rsidR="00A9055C">
      <w:fldChar w:fldCharType="separate"/>
    </w:r>
    <w:r>
      <w:rPr>
        <w:noProof/>
      </w:rPr>
      <w:t>2</w:t>
    </w:r>
    <w:r w:rsidR="00A9055C">
      <w:rPr>
        <w:noProof/>
      </w:rPr>
      <w:fldChar w:fldCharType="end"/>
    </w:r>
    <w:r>
      <w:rPr>
        <w:lang w:val="es-E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E3D46" w14:textId="77777777" w:rsidR="00847AAC" w:rsidRDefault="00A9055C" w:rsidP="00925627">
    <w:pPr>
      <w:pStyle w:val="Header"/>
      <w:rPr>
        <w:lang w:val="es-ES"/>
      </w:rPr>
    </w:pPr>
    <w:r>
      <w:fldChar w:fldCharType="begin"/>
    </w:r>
    <w:r>
      <w:instrText xml:space="preserve"> PAGE </w:instrText>
    </w:r>
    <w:r>
      <w:fldChar w:fldCharType="separate"/>
    </w:r>
    <w:r w:rsidR="007711EA">
      <w:rPr>
        <w:noProof/>
      </w:rPr>
      <w:t>2</w:t>
    </w:r>
    <w:r>
      <w:rPr>
        <w:noProof/>
      </w:rPr>
      <w:fldChar w:fldCharType="end"/>
    </w:r>
  </w:p>
  <w:p w14:paraId="02F18717" w14:textId="069AFDBE" w:rsidR="00847AAC" w:rsidRDefault="0097156E" w:rsidP="007711EA">
    <w:pPr>
      <w:pStyle w:val="Header"/>
      <w:rPr>
        <w:lang w:val="es-ES"/>
      </w:rPr>
    </w:pPr>
    <w:r>
      <w:rPr>
        <w:lang w:val="es-ES"/>
      </w:rPr>
      <w:t>RAG</w:t>
    </w:r>
    <w:r w:rsidR="007711EA">
      <w:rPr>
        <w:lang w:val="es-ES"/>
      </w:rPr>
      <w:t>20</w:t>
    </w:r>
    <w:r w:rsidR="00847AAC">
      <w:rPr>
        <w:lang w:val="es-ES"/>
      </w:rPr>
      <w:t>/</w:t>
    </w:r>
    <w:r w:rsidR="00683D69">
      <w:rPr>
        <w:lang w:val="es-ES"/>
      </w:rPr>
      <w:t>22</w:t>
    </w:r>
    <w:r w:rsidR="00847AAC">
      <w:rPr>
        <w:lang w:val="es-ES"/>
      </w:rPr>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B7B3D"/>
    <w:multiLevelType w:val="hybridMultilevel"/>
    <w:tmpl w:val="286C38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67FD1DAE"/>
    <w:multiLevelType w:val="hybridMultilevel"/>
    <w:tmpl w:val="86D297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0D5"/>
    <w:rsid w:val="000C06D8"/>
    <w:rsid w:val="00100A5E"/>
    <w:rsid w:val="00120B50"/>
    <w:rsid w:val="00140AE6"/>
    <w:rsid w:val="00222A1C"/>
    <w:rsid w:val="002B0CC6"/>
    <w:rsid w:val="002D238A"/>
    <w:rsid w:val="003A6CEE"/>
    <w:rsid w:val="00405FBE"/>
    <w:rsid w:val="00443261"/>
    <w:rsid w:val="004E1CCF"/>
    <w:rsid w:val="004E76DF"/>
    <w:rsid w:val="004F12CA"/>
    <w:rsid w:val="005031C8"/>
    <w:rsid w:val="005207F5"/>
    <w:rsid w:val="005430E4"/>
    <w:rsid w:val="0057256F"/>
    <w:rsid w:val="0058780E"/>
    <w:rsid w:val="00606F6B"/>
    <w:rsid w:val="0067019B"/>
    <w:rsid w:val="00677EE5"/>
    <w:rsid w:val="00683D69"/>
    <w:rsid w:val="00694DEF"/>
    <w:rsid w:val="007711EA"/>
    <w:rsid w:val="00773E5E"/>
    <w:rsid w:val="007A20D5"/>
    <w:rsid w:val="008069E9"/>
    <w:rsid w:val="00847AAC"/>
    <w:rsid w:val="00902253"/>
    <w:rsid w:val="009220FB"/>
    <w:rsid w:val="00925627"/>
    <w:rsid w:val="0093101F"/>
    <w:rsid w:val="0097156E"/>
    <w:rsid w:val="00A9055C"/>
    <w:rsid w:val="00AB7F92"/>
    <w:rsid w:val="00AC39EE"/>
    <w:rsid w:val="00B41D84"/>
    <w:rsid w:val="00B8400C"/>
    <w:rsid w:val="00BA0C7B"/>
    <w:rsid w:val="00BC4591"/>
    <w:rsid w:val="00C72A86"/>
    <w:rsid w:val="00CC5B9E"/>
    <w:rsid w:val="00CC7208"/>
    <w:rsid w:val="00CE6184"/>
    <w:rsid w:val="00D228F7"/>
    <w:rsid w:val="00D34E1C"/>
    <w:rsid w:val="00D95965"/>
    <w:rsid w:val="00DD55EB"/>
    <w:rsid w:val="00E2659D"/>
    <w:rsid w:val="00EC0F12"/>
    <w:rsid w:val="00ED59FA"/>
    <w:rsid w:val="00F775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A9B4070"/>
  <w15:docId w15:val="{37DE70D9-BB14-4EEF-B843-B36F89AFE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360"/>
      <w:ind w:left="794" w:hanging="794"/>
      <w:outlineLvl w:val="0"/>
    </w:pPr>
    <w:rPr>
      <w:b/>
    </w:rPr>
  </w:style>
  <w:style w:type="paragraph" w:styleId="Heading2">
    <w:name w:val="heading 2"/>
    <w:basedOn w:val="Heading1"/>
    <w:next w:val="Normal"/>
    <w:qFormat/>
    <w:pPr>
      <w:spacing w:before="240"/>
      <w:outlineLvl w:val="1"/>
    </w:pPr>
  </w:style>
  <w:style w:type="paragraph" w:styleId="Heading3">
    <w:name w:val="heading 3"/>
    <w:basedOn w:val="Heading1"/>
    <w:next w:val="Normal"/>
    <w:qFormat/>
    <w:pPr>
      <w:spacing w:before="16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aftertitle"/>
    <w:pPr>
      <w:keepLines/>
      <w:spacing w:before="240" w:after="120"/>
      <w:jc w:val="center"/>
    </w:pPr>
    <w:rPr>
      <w:b/>
    </w:rPr>
  </w:style>
  <w:style w:type="paragraph" w:customStyle="1" w:styleId="Normalaftertitle">
    <w:name w:val="Normal_after_title"/>
    <w:basedOn w:val="Normal"/>
    <w:next w:val="Normal"/>
    <w:pPr>
      <w:spacing w:before="360"/>
    </w:pPr>
  </w:style>
  <w:style w:type="paragraph" w:customStyle="1" w:styleId="TabletitleBR">
    <w:name w:val="Table_title_BR"/>
    <w:basedOn w:val="Normal"/>
    <w:next w:val="Tablehead"/>
    <w:pPr>
      <w:keepNext/>
      <w:keepLines/>
      <w:spacing w:before="0" w:after="120"/>
      <w:jc w:val="center"/>
    </w:pPr>
    <w:rPr>
      <w:b/>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pPr>
      <w:keepNext/>
      <w:keepLines/>
      <w:spacing w:before="480"/>
      <w:jc w:val="center"/>
    </w:pPr>
    <w:rPr>
      <w:b/>
      <w:sz w:val="28"/>
    </w:rPr>
  </w:style>
  <w:style w:type="paragraph" w:customStyle="1" w:styleId="AppendixNotitle">
    <w:name w:val="Appendix_No &amp; title"/>
    <w:basedOn w:val="AnnexNotitle"/>
    <w:next w:val="Normalaftertitle"/>
  </w:style>
  <w:style w:type="paragraph" w:customStyle="1" w:styleId="Figure">
    <w:name w:val="Figure"/>
    <w:basedOn w:val="Normal"/>
    <w:next w:val="FigureNotitle"/>
    <w:pPr>
      <w:keepNext/>
      <w:keepLines/>
      <w:spacing w:before="240" w:after="120"/>
      <w:jc w:val="center"/>
    </w:p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Normal"/>
    <w:next w:val="Chaptitle"/>
    <w:pPr>
      <w:keepNext/>
      <w:keepLines/>
      <w:spacing w:before="480"/>
      <w:jc w:val="center"/>
    </w:pPr>
    <w:rPr>
      <w:b/>
      <w:caps/>
      <w:sz w:val="28"/>
    </w:rPr>
  </w:style>
  <w:style w:type="paragraph" w:customStyle="1" w:styleId="Chaptitle">
    <w:name w:val="Chap_title"/>
    <w:basedOn w:val="Normal"/>
    <w:next w:val="Normalaftertitle"/>
    <w:pPr>
      <w:keepNext/>
      <w:keepLines/>
      <w:spacing w:before="240"/>
      <w:jc w:val="center"/>
    </w:pPr>
    <w:rPr>
      <w:b/>
      <w:sz w:val="28"/>
    </w:rPr>
  </w:style>
  <w:style w:type="character" w:styleId="EndnoteReference">
    <w:name w:val="endnote reference"/>
    <w:basedOn w:val="DefaultParagraphFont"/>
    <w:semiHidden/>
    <w:rPr>
      <w:vertAlign w:val="superscript"/>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character" w:styleId="PageNumber">
    <w:name w:val="page number"/>
    <w:basedOn w:val="DefaultParagraphFont"/>
  </w:style>
  <w:style w:type="paragraph" w:customStyle="1" w:styleId="RecNoBR">
    <w:name w:val="Rec_No_BR"/>
    <w:basedOn w:val="Normal"/>
    <w:next w:val="Rectitle"/>
    <w:pPr>
      <w:keepNext/>
      <w:keepLines/>
      <w:spacing w:before="480"/>
      <w:jc w:val="center"/>
    </w:pPr>
    <w:rPr>
      <w:caps/>
      <w:sz w:val="28"/>
    </w:rPr>
  </w:style>
  <w:style w:type="paragraph" w:customStyle="1" w:styleId="Rectitle">
    <w:name w:val="Rec_title"/>
    <w:basedOn w:val="Normal"/>
    <w:next w:val="Normalaftertitle"/>
    <w:pPr>
      <w:keepNext/>
      <w:keepLines/>
      <w:spacing w:before="360"/>
      <w:jc w:val="center"/>
    </w:pPr>
    <w:rPr>
      <w:b/>
      <w:sz w:val="28"/>
    </w:rPr>
  </w:style>
  <w:style w:type="paragraph" w:customStyle="1" w:styleId="QuestionNoBR">
    <w:name w:val="Question_No_BR"/>
    <w:basedOn w:val="RecNoBR"/>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style>
  <w:style w:type="paragraph" w:customStyle="1" w:styleId="Figurewithouttitle">
    <w:name w:val="Figure_without_title"/>
    <w:basedOn w:val="Normal"/>
    <w:next w:val="Normalaftertitle"/>
    <w:pPr>
      <w:keepLines/>
      <w:spacing w:before="240" w:after="120"/>
      <w:jc w:val="center"/>
    </w:pPr>
  </w:style>
  <w:style w:type="paragraph" w:styleId="Footer">
    <w:name w:val="footer"/>
    <w:basedOn w:val="Normal"/>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semiHidden/>
    <w:rPr>
      <w:position w:val="6"/>
      <w:sz w:val="18"/>
    </w:rPr>
  </w:style>
  <w:style w:type="paragraph" w:styleId="FootnoteText">
    <w:name w:val="footnote text"/>
    <w:basedOn w:val="Note"/>
    <w:semiHidden/>
    <w:pPr>
      <w:keepLines/>
      <w:tabs>
        <w:tab w:val="left" w:pos="255"/>
      </w:tabs>
      <w:ind w:left="255" w:hanging="255"/>
    </w:pPr>
  </w:style>
  <w:style w:type="paragraph" w:customStyle="1" w:styleId="Note">
    <w:name w:val="Note"/>
    <w:basedOn w:val="Normal"/>
    <w:pPr>
      <w:spacing w:before="80"/>
    </w:pPr>
  </w:style>
  <w:style w:type="paragraph" w:styleId="Header">
    <w:name w:val="header"/>
    <w:basedOn w:val="Normal"/>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pPr>
      <w:keepNext/>
      <w:spacing w:before="160"/>
    </w:pPr>
    <w:rPr>
      <w:b/>
    </w:rPr>
  </w:style>
  <w:style w:type="paragraph" w:customStyle="1" w:styleId="Headingi">
    <w:name w:val="Heading_i"/>
    <w:basedOn w:val="Normal"/>
    <w:next w:val="Normal"/>
    <w:pPr>
      <w:keepNext/>
      <w:spacing w:before="160"/>
    </w:pPr>
    <w:rPr>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customStyle="1" w:styleId="RepNoBR">
    <w:name w:val="Rep_No_BR"/>
    <w:basedOn w:val="RecNoBR"/>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pdate">
    <w:name w:val="Rep_date"/>
    <w:basedOn w:val="Recdate"/>
    <w:next w:val="Normalaftertitle"/>
  </w:style>
  <w:style w:type="paragraph" w:customStyle="1" w:styleId="ResNoBR">
    <w:name w:val="Res_No_BR"/>
    <w:basedOn w:val="RecNoBR"/>
    <w:next w:val="Restitle"/>
  </w:style>
  <w:style w:type="paragraph" w:customStyle="1" w:styleId="Restitle">
    <w:name w:val="Res_title"/>
    <w:basedOn w:val="Rectitle"/>
    <w:next w:val="Resref"/>
  </w:style>
  <w:style w:type="paragraph" w:customStyle="1" w:styleId="Resref">
    <w:name w:val="Res_ref"/>
    <w:basedOn w:val="Recref"/>
    <w:next w:val="Resdate"/>
  </w:style>
  <w:style w:type="paragraph" w:customStyle="1" w:styleId="Resdate">
    <w:name w:val="Res_date"/>
    <w:basedOn w:val="Recdate"/>
    <w:next w:val="Normalaftertitle"/>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pPr>
      <w:keepNext/>
      <w:keepLines/>
      <w:spacing w:before="360" w:after="120"/>
      <w:jc w:val="center"/>
    </w:pPr>
    <w:rPr>
      <w:b/>
    </w:rPr>
  </w:style>
  <w:style w:type="paragraph" w:customStyle="1" w:styleId="PartNo">
    <w:name w:val="Part_No"/>
    <w:basedOn w:val="Normal"/>
    <w:next w:val="Partref"/>
    <w:pPr>
      <w:keepNext/>
      <w:keepLines/>
      <w:spacing w:before="480" w:after="80"/>
      <w:jc w:val="center"/>
    </w:pPr>
    <w:rPr>
      <w:caps/>
      <w:sz w:val="28"/>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No">
    <w:name w:val="Rec_No"/>
    <w:basedOn w:val="Normal"/>
    <w:next w:val="Rectitle"/>
    <w:pPr>
      <w:keepNext/>
      <w:keepLines/>
      <w:spacing w:before="0"/>
    </w:pPr>
    <w:rPr>
      <w:b/>
      <w:sz w:val="28"/>
    </w:rPr>
  </w:style>
  <w:style w:type="paragraph" w:customStyle="1" w:styleId="QuestionNo">
    <w:name w:val="Question_No"/>
    <w:basedOn w:val="RecNo"/>
    <w:next w:val="Questiontitle"/>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b/>
    </w:rPr>
  </w:style>
  <w:style w:type="paragraph" w:customStyle="1" w:styleId="RepNo">
    <w:name w:val="Rep_No"/>
    <w:basedOn w:val="RecNo"/>
    <w:next w:val="Reptitle"/>
  </w:style>
  <w:style w:type="paragraph" w:customStyle="1" w:styleId="ResNo">
    <w:name w:val="Res_No"/>
    <w:basedOn w:val="RecNo"/>
    <w:next w:val="Restitle"/>
  </w:style>
  <w:style w:type="paragraph" w:customStyle="1" w:styleId="SectionNo">
    <w:name w:val="Section_No"/>
    <w:basedOn w:val="Normal"/>
    <w:next w:val="Sectiontitle"/>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BR">
    <w:name w:val="Table_No_BR"/>
    <w:basedOn w:val="Normal"/>
    <w:next w:val="TabletitleBR"/>
    <w:pPr>
      <w:keepNext/>
      <w:spacing w:before="560" w:after="120"/>
      <w:jc w:val="center"/>
    </w:pPr>
    <w:rPr>
      <w:caps/>
    </w:rPr>
  </w:style>
  <w:style w:type="paragraph" w:customStyle="1" w:styleId="Tableref">
    <w:name w:val="Table_ref"/>
    <w:basedOn w:val="Normal"/>
    <w:next w:val="TabletitleBR"/>
    <w:pPr>
      <w:keepNext/>
      <w:spacing w:before="0" w:after="120"/>
      <w:jc w:val="center"/>
    </w:p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semiHidden/>
    <w:pPr>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pPr>
      <w:spacing w:before="80"/>
      <w:ind w:left="1531" w:hanging="851"/>
    </w:pPr>
  </w:style>
  <w:style w:type="paragraph" w:styleId="TOC3">
    <w:name w:val="toc 3"/>
    <w:basedOn w:val="TOC2"/>
    <w:semiHidden/>
  </w:style>
  <w:style w:type="paragraph" w:styleId="TOC4">
    <w:name w:val="toc 4"/>
    <w:basedOn w:val="TOC3"/>
    <w:semiHidden/>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customStyle="1" w:styleId="Tablefreq">
    <w:name w:val="Table_freq"/>
    <w:basedOn w:val="DefaultParagraphFont"/>
    <w:rPr>
      <w:b/>
      <w:color w:val="auto"/>
    </w:rPr>
  </w:style>
  <w:style w:type="paragraph" w:customStyle="1" w:styleId="FiguretitleBR">
    <w:name w:val="Figure_title_BR"/>
    <w:basedOn w:val="TabletitleBR"/>
    <w:next w:val="Figurewithouttitle"/>
    <w:pPr>
      <w:keepNext w:val="0"/>
      <w:spacing w:after="480"/>
    </w:pPr>
  </w:style>
  <w:style w:type="paragraph" w:customStyle="1" w:styleId="FigureNoBR">
    <w:name w:val="Figure_No_BR"/>
    <w:basedOn w:val="Normal"/>
    <w:next w:val="FiguretitleBR"/>
    <w:pPr>
      <w:keepNext/>
      <w:keepLines/>
      <w:spacing w:before="480" w:after="120"/>
      <w:jc w:val="center"/>
    </w:pPr>
    <w:rPr>
      <w:caps/>
    </w:rPr>
  </w:style>
  <w:style w:type="character" w:styleId="Hyperlink">
    <w:name w:val="Hyperlink"/>
    <w:basedOn w:val="DefaultParagraphFont"/>
    <w:unhideWhenUsed/>
    <w:rsid w:val="007A20D5"/>
    <w:rPr>
      <w:color w:val="0000FF" w:themeColor="hyperlink"/>
      <w:u w:val="single"/>
    </w:rPr>
  </w:style>
  <w:style w:type="character" w:styleId="UnresolvedMention">
    <w:name w:val="Unresolved Mention"/>
    <w:basedOn w:val="DefaultParagraphFont"/>
    <w:uiPriority w:val="99"/>
    <w:semiHidden/>
    <w:unhideWhenUsed/>
    <w:rsid w:val="007A20D5"/>
    <w:rPr>
      <w:color w:val="605E5C"/>
      <w:shd w:val="clear" w:color="auto" w:fill="E1DFDD"/>
    </w:rPr>
  </w:style>
  <w:style w:type="paragraph" w:customStyle="1" w:styleId="Reasons">
    <w:name w:val="Reasons"/>
    <w:basedOn w:val="Normal"/>
    <w:qFormat/>
    <w:rsid w:val="007A20D5"/>
    <w:pPr>
      <w:tabs>
        <w:tab w:val="clear" w:pos="794"/>
        <w:tab w:val="clear" w:pos="1191"/>
        <w:tab w:val="clear" w:pos="1588"/>
        <w:tab w:val="clear" w:pos="1985"/>
      </w:tabs>
      <w:overflowPunct/>
      <w:autoSpaceDE/>
      <w:autoSpaceDN/>
      <w:adjustRightInd/>
      <w:spacing w:before="0"/>
      <w:textAlignment w:val="auto"/>
    </w:pPr>
    <w:rPr>
      <w:lang w:val="en-US"/>
    </w:rPr>
  </w:style>
  <w:style w:type="character" w:styleId="FollowedHyperlink">
    <w:name w:val="FollowedHyperlink"/>
    <w:basedOn w:val="DefaultParagraphFont"/>
    <w:semiHidden/>
    <w:unhideWhenUsed/>
    <w:rsid w:val="00120B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natel.gov.br/paineis/espectro-e-orbita"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cc.gov/reports-research/map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tatic.ofcom.org.uk/static/spectrum/map.html" TargetMode="External"/><Relationship Id="rId4" Type="http://schemas.openxmlformats.org/officeDocument/2006/relationships/webSettings" Target="webSettings.xml"/><Relationship Id="rId9" Type="http://schemas.openxmlformats.org/officeDocument/2006/relationships/hyperlink" Target="https://data.anfr.fr/"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navat\AppData\Roaming\Microsoft\Templates\POOL%20F%20-%20ITU\PF_RAG2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PF_RAG20.dotm</Template>
  <TotalTime>46</TotalTime>
  <Pages>2</Pages>
  <Words>963</Words>
  <Characters>5981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PROPOSITION CONCERNANT LES OUTILS DE VEILLE ÉCONOMIQUE ET D'ANALYSE DES DONNÉES POUR LES INFORMATIONS RELATIVES AUX SERVICES SPATIAUX</vt:lpstr>
    </vt:vector>
  </TitlesOfParts>
  <Manager>General Secretariat - Pool</Manager>
  <Company>International Telecommunication Union (ITU)</Company>
  <LinksUpToDate>false</LinksUpToDate>
  <CharactersWithSpaces>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PROPOSITION CONCERNANT LES OUTILS DE VEILLE ÉCONOMIQUE ET D'ANALYSE DES DONNÉES POUR LES INFORMATIONS RELATIVES AUX SERVICES SPATIAUX</dc:title>
  <dc:subject>GROUPE CONSULTATIF DES RADIOCOMMUNICATIONS</dc:subject>
  <dc:creator>Brésil (République fédérative du)</dc:creator>
  <cp:keywords>RAG03-1</cp:keywords>
  <dc:description>Document RAG20/22-F  For: _x000d_Document date: 11 mai 2020_x000d_Saved by ITU51014352 at 15:57:20 on 12.05.2020</dc:description>
  <cp:lastModifiedBy>French</cp:lastModifiedBy>
  <cp:revision>8</cp:revision>
  <cp:lastPrinted>1999-10-11T14:58:00Z</cp:lastPrinted>
  <dcterms:created xsi:type="dcterms:W3CDTF">2020-05-12T13:30:00Z</dcterms:created>
  <dcterms:modified xsi:type="dcterms:W3CDTF">2020-05-12T14:29:00Z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RAG20/22-F</vt:lpwstr>
  </property>
  <property fmtid="{D5CDD505-2E9C-101B-9397-08002B2CF9AE}" pid="3" name="Docdate">
    <vt:lpwstr>11 mai 2020</vt:lpwstr>
  </property>
  <property fmtid="{D5CDD505-2E9C-101B-9397-08002B2CF9AE}" pid="4" name="Docorlang">
    <vt:lpwstr>Original: anglais</vt:lpwstr>
  </property>
  <property fmtid="{D5CDD505-2E9C-101B-9397-08002B2CF9AE}" pid="5" name="Docauthor">
    <vt:lpwstr>Brésil (République fédérative du)</vt:lpwstr>
  </property>
</Properties>
</file>