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24E2499C" w14:textId="77777777" w:rsidTr="00553F66">
        <w:trPr>
          <w:cantSplit/>
          <w:trHeight w:val="20"/>
        </w:trPr>
        <w:tc>
          <w:tcPr>
            <w:tcW w:w="6619" w:type="dxa"/>
          </w:tcPr>
          <w:p w14:paraId="566F44D5" w14:textId="77777777" w:rsidR="00A375BD" w:rsidRPr="00136B82" w:rsidRDefault="0057610B" w:rsidP="00136B82">
            <w:pPr>
              <w:pStyle w:val="LOGO"/>
              <w:framePr w:hSpace="0" w:wrap="auto" w:xAlign="left" w:yAlign="inline"/>
              <w:rPr>
                <w:rtl/>
              </w:rPr>
            </w:pPr>
            <w:r>
              <w:rPr>
                <w:rFonts w:hint="cs"/>
                <w:rtl/>
              </w:rPr>
              <w:t>الفريق الاستشاري للاتصالات الراديوية</w:t>
            </w:r>
          </w:p>
          <w:p w14:paraId="05B094CC" w14:textId="77777777" w:rsidR="00280E04" w:rsidRPr="00136B82" w:rsidRDefault="00553F66" w:rsidP="002F3031">
            <w:pPr>
              <w:pStyle w:val="LOGO"/>
              <w:framePr w:hSpace="0" w:wrap="auto" w:xAlign="left" w:yAlign="inline"/>
              <w:spacing w:before="160"/>
              <w:rPr>
                <w:rtl/>
              </w:rPr>
            </w:pPr>
            <w:r w:rsidRPr="00553F66">
              <w:rPr>
                <w:rFonts w:hint="cs"/>
                <w:sz w:val="24"/>
                <w:szCs w:val="24"/>
                <w:rtl/>
              </w:rPr>
              <w:t xml:space="preserve">جنيف، </w:t>
            </w:r>
            <w:r w:rsidR="00E26732">
              <w:rPr>
                <w:sz w:val="24"/>
                <w:szCs w:val="24"/>
              </w:rPr>
              <w:t>27-25</w:t>
            </w:r>
            <w:r w:rsidRPr="00553F66">
              <w:rPr>
                <w:rFonts w:hint="cs"/>
                <w:sz w:val="24"/>
                <w:szCs w:val="24"/>
                <w:rtl/>
              </w:rPr>
              <w:t xml:space="preserve"> </w:t>
            </w:r>
            <w:r w:rsidR="00E26732">
              <w:rPr>
                <w:rFonts w:hint="cs"/>
                <w:sz w:val="24"/>
                <w:szCs w:val="24"/>
                <w:rtl/>
              </w:rPr>
              <w:t>مايو</w:t>
            </w:r>
            <w:r w:rsidRPr="00553F66">
              <w:rPr>
                <w:rFonts w:hint="cs"/>
                <w:sz w:val="24"/>
                <w:szCs w:val="24"/>
                <w:rtl/>
              </w:rPr>
              <w:t xml:space="preserve"> </w:t>
            </w:r>
            <w:r w:rsidRPr="00553F66">
              <w:rPr>
                <w:sz w:val="24"/>
                <w:szCs w:val="24"/>
              </w:rPr>
              <w:t>2020</w:t>
            </w:r>
          </w:p>
        </w:tc>
        <w:tc>
          <w:tcPr>
            <w:tcW w:w="3053" w:type="dxa"/>
          </w:tcPr>
          <w:p w14:paraId="6248FB6C" w14:textId="77777777" w:rsidR="00280E04" w:rsidRDefault="00553F66" w:rsidP="002F3031">
            <w:pPr>
              <w:spacing w:before="0"/>
              <w:jc w:val="right"/>
              <w:rPr>
                <w:rtl/>
                <w:lang w:bidi="ar-EG"/>
              </w:rPr>
            </w:pPr>
            <w:bookmarkStart w:id="0" w:name="ditulogo"/>
            <w:bookmarkEnd w:id="0"/>
            <w:r w:rsidRPr="00C126C1">
              <w:rPr>
                <w:noProof/>
                <w:lang w:eastAsia="zh-CN"/>
              </w:rPr>
              <w:drawing>
                <wp:inline distT="0" distB="0" distL="0" distR="0" wp14:anchorId="5ED19328" wp14:editId="29074777">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69D17B6B" w14:textId="77777777" w:rsidTr="00553F66">
        <w:trPr>
          <w:cantSplit/>
          <w:trHeight w:val="20"/>
        </w:trPr>
        <w:tc>
          <w:tcPr>
            <w:tcW w:w="6619" w:type="dxa"/>
            <w:tcBorders>
              <w:bottom w:val="single" w:sz="12" w:space="0" w:color="auto"/>
            </w:tcBorders>
          </w:tcPr>
          <w:p w14:paraId="182EA451"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50626535" w14:textId="77777777" w:rsidR="00280E04" w:rsidRPr="00A9645C" w:rsidRDefault="00280E04" w:rsidP="002F3031">
            <w:pPr>
              <w:spacing w:before="0" w:line="120" w:lineRule="auto"/>
              <w:rPr>
                <w:lang w:bidi="ar-EG"/>
              </w:rPr>
            </w:pPr>
          </w:p>
        </w:tc>
      </w:tr>
      <w:tr w:rsidR="00280E04" w14:paraId="5A50963E" w14:textId="77777777" w:rsidTr="00553F66">
        <w:trPr>
          <w:cantSplit/>
          <w:trHeight w:val="20"/>
        </w:trPr>
        <w:tc>
          <w:tcPr>
            <w:tcW w:w="6619" w:type="dxa"/>
            <w:tcBorders>
              <w:top w:val="single" w:sz="12" w:space="0" w:color="auto"/>
            </w:tcBorders>
          </w:tcPr>
          <w:p w14:paraId="2478978E"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415AFAB4" w14:textId="77777777" w:rsidR="00280E04" w:rsidRPr="00BD6EF3" w:rsidRDefault="00280E04" w:rsidP="00D44350">
            <w:pPr>
              <w:pStyle w:val="Adress"/>
              <w:framePr w:hSpace="0" w:wrap="auto" w:xAlign="left" w:yAlign="inline"/>
            </w:pPr>
          </w:p>
        </w:tc>
      </w:tr>
      <w:tr w:rsidR="00A809E8" w14:paraId="7AD8E532" w14:textId="77777777" w:rsidTr="00553F66">
        <w:trPr>
          <w:cantSplit/>
        </w:trPr>
        <w:tc>
          <w:tcPr>
            <w:tcW w:w="6619" w:type="dxa"/>
          </w:tcPr>
          <w:p w14:paraId="60A0B3F8" w14:textId="77777777" w:rsidR="00A809E8" w:rsidRPr="0012545F" w:rsidRDefault="00A809E8" w:rsidP="00C34E09">
            <w:pPr>
              <w:pStyle w:val="Committee"/>
              <w:framePr w:hSpace="0" w:wrap="auto" w:hAnchor="text" w:yAlign="inline"/>
              <w:bidi/>
              <w:spacing w:before="40" w:after="40"/>
              <w:rPr>
                <w:rtl/>
              </w:rPr>
            </w:pPr>
          </w:p>
        </w:tc>
        <w:tc>
          <w:tcPr>
            <w:tcW w:w="3053" w:type="dxa"/>
            <w:vAlign w:val="center"/>
          </w:tcPr>
          <w:p w14:paraId="10251D12" w14:textId="6E211C02" w:rsidR="00A809E8" w:rsidRPr="0012545F" w:rsidRDefault="00A809E8" w:rsidP="00C34E09">
            <w:pPr>
              <w:pStyle w:val="Adress"/>
              <w:framePr w:hSpace="0" w:wrap="auto" w:xAlign="left" w:yAlign="inline"/>
              <w:spacing w:before="40" w:after="40"/>
              <w:rPr>
                <w:rtl/>
              </w:rPr>
            </w:pPr>
            <w:r w:rsidRPr="0012545F">
              <w:rPr>
                <w:rtl/>
              </w:rPr>
              <w:t>ا</w:t>
            </w:r>
            <w:r w:rsidRPr="0012545F">
              <w:rPr>
                <w:rFonts w:hint="cs"/>
                <w:rtl/>
              </w:rPr>
              <w:t>ل</w:t>
            </w:r>
            <w:r w:rsidRPr="0012545F">
              <w:rPr>
                <w:rtl/>
              </w:rPr>
              <w:t>و</w:t>
            </w:r>
            <w:r w:rsidRPr="0012545F">
              <w:rPr>
                <w:rFonts w:hint="cs"/>
                <w:rtl/>
              </w:rPr>
              <w:t xml:space="preserve">ثيقة </w:t>
            </w:r>
            <w:r w:rsidR="00553F66">
              <w:t>R</w:t>
            </w:r>
            <w:r w:rsidR="0057610B">
              <w:t>AG</w:t>
            </w:r>
            <w:r w:rsidR="00553F66">
              <w:t>20/</w:t>
            </w:r>
            <w:r w:rsidR="00EE22BA">
              <w:t>22</w:t>
            </w:r>
            <w:r w:rsidRPr="0012545F">
              <w:t>-A</w:t>
            </w:r>
          </w:p>
        </w:tc>
      </w:tr>
      <w:tr w:rsidR="00A809E8" w14:paraId="3766DC10" w14:textId="77777777" w:rsidTr="00553F66">
        <w:trPr>
          <w:cantSplit/>
        </w:trPr>
        <w:tc>
          <w:tcPr>
            <w:tcW w:w="6619" w:type="dxa"/>
          </w:tcPr>
          <w:p w14:paraId="6DDDAF10" w14:textId="77777777" w:rsidR="00A809E8" w:rsidRPr="0012545F" w:rsidRDefault="00A809E8" w:rsidP="00C34E09">
            <w:pPr>
              <w:pStyle w:val="Adress"/>
              <w:framePr w:hSpace="0" w:wrap="auto" w:xAlign="left" w:yAlign="inline"/>
              <w:spacing w:before="40" w:after="40"/>
              <w:rPr>
                <w:rtl/>
              </w:rPr>
            </w:pPr>
          </w:p>
        </w:tc>
        <w:tc>
          <w:tcPr>
            <w:tcW w:w="3053" w:type="dxa"/>
            <w:vAlign w:val="center"/>
          </w:tcPr>
          <w:p w14:paraId="6C91FB69" w14:textId="56C7385C" w:rsidR="00A809E8" w:rsidRPr="0012545F" w:rsidRDefault="00EE22BA" w:rsidP="00C34E09">
            <w:pPr>
              <w:pStyle w:val="Adress"/>
              <w:framePr w:hSpace="0" w:wrap="auto" w:xAlign="left" w:yAlign="inline"/>
              <w:spacing w:before="40" w:after="40"/>
              <w:rPr>
                <w:rtl/>
              </w:rPr>
            </w:pPr>
            <w:r>
              <w:t>11</w:t>
            </w:r>
            <w:r w:rsidR="00A809E8" w:rsidRPr="0012545F">
              <w:rPr>
                <w:rFonts w:hint="cs"/>
                <w:rtl/>
              </w:rPr>
              <w:t xml:space="preserve"> </w:t>
            </w:r>
            <w:r>
              <w:rPr>
                <w:rFonts w:hint="cs"/>
                <w:rtl/>
              </w:rPr>
              <w:t>مايو</w:t>
            </w:r>
            <w:r w:rsidR="00A809E8" w:rsidRPr="0012545F">
              <w:rPr>
                <w:rFonts w:hint="cs"/>
                <w:rtl/>
              </w:rPr>
              <w:t xml:space="preserve"> </w:t>
            </w:r>
            <w:r w:rsidR="002F3031">
              <w:t>2020</w:t>
            </w:r>
          </w:p>
        </w:tc>
      </w:tr>
      <w:tr w:rsidR="00A809E8" w14:paraId="46DEDCDE" w14:textId="77777777" w:rsidTr="00553F66">
        <w:trPr>
          <w:cantSplit/>
        </w:trPr>
        <w:tc>
          <w:tcPr>
            <w:tcW w:w="6619" w:type="dxa"/>
          </w:tcPr>
          <w:p w14:paraId="00152177" w14:textId="77777777" w:rsidR="00A809E8" w:rsidRPr="0012545F" w:rsidRDefault="00A809E8" w:rsidP="00C34E09">
            <w:pPr>
              <w:pStyle w:val="Adress"/>
              <w:framePr w:hSpace="0" w:wrap="auto" w:xAlign="left" w:yAlign="inline"/>
              <w:spacing w:before="40" w:after="40"/>
              <w:rPr>
                <w:rFonts w:eastAsia="SimSun"/>
                <w:rtl/>
              </w:rPr>
            </w:pPr>
          </w:p>
        </w:tc>
        <w:tc>
          <w:tcPr>
            <w:tcW w:w="3053" w:type="dxa"/>
            <w:vAlign w:val="center"/>
          </w:tcPr>
          <w:p w14:paraId="45B188EE" w14:textId="77777777" w:rsidR="00A809E8" w:rsidRPr="0012545F" w:rsidRDefault="00A809E8" w:rsidP="00C34E09">
            <w:pPr>
              <w:pStyle w:val="Adress"/>
              <w:framePr w:hSpace="0" w:wrap="auto" w:xAlign="left" w:yAlign="inline"/>
              <w:spacing w:before="40" w:after="40"/>
              <w:rPr>
                <w:rFonts w:eastAsia="SimSun"/>
              </w:rPr>
            </w:pPr>
            <w:r w:rsidRPr="0012545F">
              <w:rPr>
                <w:rFonts w:hint="cs"/>
                <w:rtl/>
              </w:rPr>
              <w:t>الأصل: بالإنكليزية</w:t>
            </w:r>
          </w:p>
        </w:tc>
      </w:tr>
      <w:tr w:rsidR="00764079" w14:paraId="2325E152" w14:textId="77777777" w:rsidTr="00553F66">
        <w:trPr>
          <w:cantSplit/>
        </w:trPr>
        <w:tc>
          <w:tcPr>
            <w:tcW w:w="9672" w:type="dxa"/>
            <w:gridSpan w:val="2"/>
          </w:tcPr>
          <w:p w14:paraId="6ECBFFEC" w14:textId="19B9B0B7" w:rsidR="00764079" w:rsidRPr="00E621A3" w:rsidRDefault="00EE22BA" w:rsidP="00EE22BA">
            <w:pPr>
              <w:pStyle w:val="Source"/>
              <w:rPr>
                <w:rtl/>
              </w:rPr>
            </w:pPr>
            <w:r w:rsidRPr="00EE22BA">
              <w:rPr>
                <w:rtl/>
                <w:lang w:bidi="ar-SA"/>
              </w:rPr>
              <w:t>جمهورية البرازيل الاتحادية</w:t>
            </w:r>
          </w:p>
        </w:tc>
      </w:tr>
      <w:tr w:rsidR="00764079" w14:paraId="185CCB53" w14:textId="77777777" w:rsidTr="00553F66">
        <w:trPr>
          <w:cantSplit/>
        </w:trPr>
        <w:tc>
          <w:tcPr>
            <w:tcW w:w="9672" w:type="dxa"/>
            <w:gridSpan w:val="2"/>
          </w:tcPr>
          <w:p w14:paraId="7F41BF82" w14:textId="06AE9BD7" w:rsidR="00764079" w:rsidRPr="008B1008" w:rsidRDefault="00EE22BA" w:rsidP="00EE22BA">
            <w:pPr>
              <w:pStyle w:val="Title1"/>
            </w:pPr>
            <w:r w:rsidRPr="008B1008">
              <w:rPr>
                <w:rFonts w:hint="cs"/>
                <w:rtl/>
              </w:rPr>
              <w:t>مقترح</w:t>
            </w:r>
            <w:r w:rsidRPr="008B1008">
              <w:rPr>
                <w:rFonts w:hint="cs"/>
                <w:rtl/>
                <w:lang w:bidi="ar"/>
              </w:rPr>
              <w:t xml:space="preserve"> بشأن أدوات تحليل معلومات الأعمال وتحليل البيانات </w:t>
            </w:r>
            <w:r w:rsidR="00CB294E" w:rsidRPr="008B1008">
              <w:rPr>
                <w:lang w:bidi="ar"/>
              </w:rPr>
              <w:br/>
            </w:r>
            <w:r w:rsidRPr="008B1008">
              <w:rPr>
                <w:rFonts w:hint="cs"/>
                <w:rtl/>
                <w:lang w:bidi="ar"/>
              </w:rPr>
              <w:t>المتعلقة بمعلومات الخدمات الفضائية</w:t>
            </w:r>
          </w:p>
        </w:tc>
      </w:tr>
      <w:tr w:rsidR="0012545F" w14:paraId="48E4ED1F" w14:textId="77777777" w:rsidTr="00553F66">
        <w:trPr>
          <w:cantSplit/>
        </w:trPr>
        <w:tc>
          <w:tcPr>
            <w:tcW w:w="9672" w:type="dxa"/>
            <w:gridSpan w:val="2"/>
          </w:tcPr>
          <w:p w14:paraId="3AF0F49D" w14:textId="77777777" w:rsidR="0012545F" w:rsidRDefault="0012545F" w:rsidP="0012545F">
            <w:pPr>
              <w:rPr>
                <w:rtl/>
              </w:rPr>
            </w:pPr>
          </w:p>
        </w:tc>
      </w:tr>
    </w:tbl>
    <w:p w14:paraId="06CB395F" w14:textId="77777777" w:rsidR="00EE22BA" w:rsidRPr="00EE22BA" w:rsidRDefault="00EE22BA" w:rsidP="00CB294E">
      <w:pPr>
        <w:pStyle w:val="Heading1"/>
        <w:rPr>
          <w:lang w:bidi="ar-SA"/>
        </w:rPr>
      </w:pPr>
      <w:bookmarkStart w:id="1" w:name="_Hlk40957685"/>
      <w:r w:rsidRPr="00EE22BA">
        <w:rPr>
          <w:rFonts w:hint="cs"/>
          <w:rtl/>
        </w:rPr>
        <w:t>1</w:t>
      </w:r>
      <w:r w:rsidRPr="00EE22BA">
        <w:rPr>
          <w:rFonts w:hint="cs"/>
          <w:rtl/>
        </w:rPr>
        <w:tab/>
        <w:t>مقدمة</w:t>
      </w:r>
    </w:p>
    <w:p w14:paraId="3D64B4B9" w14:textId="0A7CACDC" w:rsidR="00EE22BA" w:rsidRPr="00EE22BA" w:rsidRDefault="00EE22BA" w:rsidP="00EE22BA">
      <w:pPr>
        <w:rPr>
          <w:rtl/>
        </w:rPr>
      </w:pPr>
      <w:r w:rsidRPr="00EE22BA">
        <w:rPr>
          <w:rFonts w:hint="cs"/>
          <w:rtl/>
        </w:rPr>
        <w:t>نظراً إلى الحاجة إلى بذل جهود متواصلة لتطوير أنظمة معلومات إدارة موارد الطيف والمدارات من خلال أدوات تحليل البيانات، ووجود طرق سهلة وسريعة وفع</w:t>
      </w:r>
      <w:r w:rsidR="007260BD">
        <w:rPr>
          <w:rFonts w:hint="cs"/>
          <w:rtl/>
        </w:rPr>
        <w:t>ّ</w:t>
      </w:r>
      <w:r w:rsidRPr="00EE22BA">
        <w:rPr>
          <w:rFonts w:hint="cs"/>
          <w:rtl/>
        </w:rPr>
        <w:t xml:space="preserve">الة في الوقت الحاضر لدمج وتوليد </w:t>
      </w:r>
      <w:r w:rsidRPr="008B1008">
        <w:rPr>
          <w:rFonts w:hint="cs"/>
          <w:highlight w:val="yellow"/>
          <w:rtl/>
        </w:rPr>
        <w:t>البيانات</w:t>
      </w:r>
      <w:r w:rsidRPr="00EE22BA">
        <w:rPr>
          <w:rFonts w:hint="cs"/>
          <w:rtl/>
        </w:rPr>
        <w:t xml:space="preserve"> بجمع معلومات من مصادر ق</w:t>
      </w:r>
      <w:r w:rsidRPr="00EE22BA">
        <w:rPr>
          <w:rFonts w:hint="cs"/>
          <w:rtl/>
          <w:lang w:bidi="ar-EG"/>
        </w:rPr>
        <w:t>واعد</w:t>
      </w:r>
      <w:r w:rsidRPr="00EE22BA">
        <w:rPr>
          <w:rFonts w:hint="cs"/>
          <w:rtl/>
        </w:rPr>
        <w:t xml:space="preserve"> بيانات عدّة عن طريق نشر أدوات تحليل معلومات الأعمال </w:t>
      </w:r>
      <w:r w:rsidRPr="00EE22BA">
        <w:t>(BI)</w:t>
      </w:r>
      <w:r w:rsidRPr="00EE22BA">
        <w:rPr>
          <w:rFonts w:hint="cs"/>
          <w:rtl/>
        </w:rPr>
        <w:t xml:space="preserve">، تود البرازيل أن تلفت انتباه الفريق الاستشاري للاتصالات الراديوية </w:t>
      </w:r>
      <w:r w:rsidRPr="00EE22BA">
        <w:t xml:space="preserve"> (RAG)</w:t>
      </w:r>
      <w:r w:rsidRPr="00EE22BA">
        <w:rPr>
          <w:rFonts w:hint="cs"/>
          <w:rtl/>
        </w:rPr>
        <w:t>إلى هذه المسألة وتناقش إمكانية الإيعاز إلى مدير مكتب الاتصالات الراديوية بتقييم إمكانية دراسة الفرص التي تتيحها النُهج الجديدة خاصةً فيما يتعلق بأدوات تحليل معلومات الأعمال للخدمات الفضائية في سياق المشاريع المستقبلية لمكتب الاتصالات الراديوية في مجال أنظمة المعلومات.</w:t>
      </w:r>
    </w:p>
    <w:p w14:paraId="5B75FFEC" w14:textId="77777777" w:rsidR="00EE22BA" w:rsidRPr="00EE22BA" w:rsidRDefault="00EE22BA" w:rsidP="00CB294E">
      <w:pPr>
        <w:pStyle w:val="Heading1"/>
      </w:pPr>
      <w:r w:rsidRPr="00EE22BA">
        <w:rPr>
          <w:rFonts w:hint="cs"/>
          <w:rtl/>
        </w:rPr>
        <w:t>2</w:t>
      </w:r>
      <w:r w:rsidRPr="00EE22BA">
        <w:rPr>
          <w:rFonts w:hint="cs"/>
          <w:rtl/>
        </w:rPr>
        <w:tab/>
        <w:t>أدوات تحليل معلومات الأعمال وتحليل البيانات</w:t>
      </w:r>
    </w:p>
    <w:p w14:paraId="58E7F9AB" w14:textId="1F2A27D9" w:rsidR="00EE22BA" w:rsidRPr="00EE22BA" w:rsidRDefault="00EE22BA" w:rsidP="00EE22BA">
      <w:pPr>
        <w:rPr>
          <w:rtl/>
          <w:lang w:bidi="ar"/>
        </w:rPr>
      </w:pPr>
      <w:r w:rsidRPr="00EE22BA">
        <w:rPr>
          <w:rFonts w:hint="cs"/>
          <w:rtl/>
        </w:rPr>
        <w:t xml:space="preserve">نظراً إلى </w:t>
      </w:r>
      <w:r w:rsidRPr="00EE22BA">
        <w:rPr>
          <w:rFonts w:hint="cs"/>
          <w:rtl/>
          <w:lang w:bidi="ar"/>
        </w:rPr>
        <w:t>حركة البيانات الضخمة، والفرص الجديدة المحتملة لتحقيق تحسين كبير في تبادل المعلومات بشأن جميع العمليات الاقتصادية والأنشطة البشرية، دأبت منظمات عديدة على تنفيذ لوحات معلومات تفاعلية ونشرها علنياً في لوحات بيانات تجمع العديد من مصادر البيانات وتسهل عملية صنع القرار بطرق أسرع وأكفأ</w:t>
      </w:r>
      <w:r w:rsidRPr="00EE22BA">
        <w:rPr>
          <w:rFonts w:hint="cs"/>
          <w:rtl/>
        </w:rPr>
        <w:t xml:space="preserve"> بكثير</w:t>
      </w:r>
      <w:r w:rsidRPr="00EE22BA">
        <w:rPr>
          <w:rFonts w:hint="cs"/>
          <w:rtl/>
          <w:lang w:bidi="ar"/>
        </w:rPr>
        <w:t>.</w:t>
      </w:r>
    </w:p>
    <w:p w14:paraId="5661F567" w14:textId="651CCB55" w:rsidR="00EE22BA" w:rsidRPr="00EE22BA" w:rsidRDefault="00EE22BA" w:rsidP="00EE22BA">
      <w:pPr>
        <w:rPr>
          <w:rtl/>
          <w:lang w:bidi="ar-EG"/>
        </w:rPr>
      </w:pPr>
      <w:r w:rsidRPr="00EE22BA">
        <w:rPr>
          <w:rFonts w:hint="cs"/>
          <w:rtl/>
          <w:lang w:bidi="ar"/>
        </w:rPr>
        <w:t xml:space="preserve">وفي قطاع الاتصالات، يمكن الإشارة إلى العديد من الأمثلة مثل لوحة البيانات التي أطلقتها الوكالة الوطنية </w:t>
      </w:r>
      <w:r w:rsidRPr="00EE22BA">
        <w:rPr>
          <w:rFonts w:hint="cs"/>
          <w:rtl/>
        </w:rPr>
        <w:t>للاتصالات</w:t>
      </w:r>
      <w:r w:rsidR="00CB294E">
        <w:rPr>
          <w:rFonts w:hint="eastAsia"/>
          <w:rtl/>
          <w:lang w:bidi="ar"/>
        </w:rPr>
        <w:t> </w:t>
      </w:r>
      <w:r w:rsidRPr="00EE22BA">
        <w:rPr>
          <w:rFonts w:hint="cs"/>
          <w:rtl/>
          <w:lang w:bidi="ar"/>
        </w:rPr>
        <w:t>(</w:t>
      </w:r>
      <w:r w:rsidRPr="00EE22BA">
        <w:rPr>
          <w:lang w:val="fr-FR"/>
        </w:rPr>
        <w:t>ANATEL</w:t>
      </w:r>
      <w:r w:rsidRPr="00EE22BA">
        <w:rPr>
          <w:rFonts w:hint="cs"/>
          <w:rtl/>
          <w:lang w:bidi="ar"/>
        </w:rPr>
        <w:t>)، وهي أداة مفتوحة موضوعة في موقعها الإلكتروني تتضمن أدوات فرز ورسوماً بيانية وخرائط ومؤشرات بشأن قطاع الاتصالات في</w:t>
      </w:r>
      <w:r w:rsidR="00CB294E">
        <w:rPr>
          <w:rFonts w:hint="eastAsia"/>
          <w:rtl/>
          <w:lang w:bidi="ar"/>
        </w:rPr>
        <w:t> </w:t>
      </w:r>
      <w:r w:rsidRPr="00EE22BA">
        <w:rPr>
          <w:rFonts w:hint="cs"/>
          <w:rtl/>
          <w:lang w:bidi="ar"/>
        </w:rPr>
        <w:t>البرازيل، بما في ذلك معلومات عن السواتل التي تتمتع بحقوق الهبوط بحسب الموقع المداري ونطاق التردد والمشغل، ويمكن النفاذ إليها من خلال الرابط أدناه.</w:t>
      </w:r>
    </w:p>
    <w:p w14:paraId="071059EC" w14:textId="77777777" w:rsidR="00EE22BA" w:rsidRPr="00EE22BA" w:rsidRDefault="00EE22BA" w:rsidP="00CB294E">
      <w:pPr>
        <w:pStyle w:val="enumlev1"/>
      </w:pPr>
      <w:r w:rsidRPr="00EE22BA">
        <w:sym w:font="Symbol" w:char="F0B7"/>
      </w:r>
      <w:r w:rsidRPr="00EE22BA">
        <w:rPr>
          <w:rFonts w:hint="cs"/>
          <w:rtl/>
          <w:lang w:bidi="ar-EG"/>
        </w:rPr>
        <w:tab/>
      </w:r>
      <w:hyperlink r:id="rId13" w:history="1">
        <w:bookmarkStart w:id="2" w:name="lt_pId016"/>
        <w:r w:rsidRPr="00EE22BA">
          <w:rPr>
            <w:rStyle w:val="Hyperlink"/>
            <w:lang w:val="fr-FR"/>
          </w:rPr>
          <w:t>https://www.anatel.gov.br/paineis/espectro-e-orbita</w:t>
        </w:r>
        <w:bookmarkEnd w:id="2"/>
      </w:hyperlink>
    </w:p>
    <w:p w14:paraId="19565C9F" w14:textId="5CA1B110" w:rsidR="00EE22BA" w:rsidRPr="00EE22BA" w:rsidRDefault="00EE22BA" w:rsidP="00EE22BA">
      <w:pPr>
        <w:rPr>
          <w:rtl/>
          <w:lang w:bidi="ar-EG"/>
        </w:rPr>
      </w:pPr>
      <w:r w:rsidRPr="00EE22BA">
        <w:rPr>
          <w:rFonts w:hint="cs"/>
          <w:rtl/>
          <w:lang w:bidi="ar"/>
        </w:rPr>
        <w:t xml:space="preserve">وفيما يلي أمثلة جيدة أخرى تتضمن أيضاً بيانات </w:t>
      </w:r>
      <w:r w:rsidRPr="00EE22BA">
        <w:rPr>
          <w:rFonts w:hint="cs"/>
          <w:rtl/>
        </w:rPr>
        <w:t>جغرافية مرجعية</w:t>
      </w:r>
      <w:r w:rsidRPr="00EE22BA">
        <w:rPr>
          <w:rFonts w:hint="cs"/>
          <w:rtl/>
          <w:lang w:bidi="ar"/>
        </w:rPr>
        <w:t>:</w:t>
      </w:r>
    </w:p>
    <w:p w14:paraId="212C07D8" w14:textId="73452E07" w:rsidR="00EE22BA" w:rsidRPr="00EE22BA" w:rsidRDefault="00EE22BA" w:rsidP="00CB294E">
      <w:pPr>
        <w:pStyle w:val="enumlev1"/>
      </w:pPr>
      <w:r w:rsidRPr="00EE22BA">
        <w:sym w:font="Symbol" w:char="F0B7"/>
      </w:r>
      <w:r w:rsidRPr="00EE22BA">
        <w:rPr>
          <w:rFonts w:hint="cs"/>
          <w:rtl/>
          <w:lang w:bidi="ar-EG"/>
        </w:rPr>
        <w:tab/>
      </w:r>
      <w:r w:rsidRPr="00EE22BA">
        <w:rPr>
          <w:rFonts w:hint="cs"/>
          <w:rtl/>
        </w:rPr>
        <w:t>الوكالة الوطنية للترددات</w:t>
      </w:r>
      <w:r w:rsidR="00CB294E">
        <w:rPr>
          <w:rFonts w:hint="cs"/>
          <w:rtl/>
        </w:rPr>
        <w:t xml:space="preserve"> </w:t>
      </w:r>
      <w:r w:rsidRPr="00EE22BA">
        <w:t>(ANFR)</w:t>
      </w:r>
      <w:r w:rsidR="00CB294E">
        <w:rPr>
          <w:rFonts w:hint="cs"/>
          <w:rtl/>
          <w:lang w:bidi="ar-EG"/>
        </w:rPr>
        <w:t xml:space="preserve">: </w:t>
      </w:r>
      <w:hyperlink r:id="rId14" w:history="1">
        <w:r w:rsidRPr="00EE22BA">
          <w:rPr>
            <w:rStyle w:val="Hyperlink"/>
            <w:lang w:val="pt-BR"/>
          </w:rPr>
          <w:t>https://data.anfr.fr/</w:t>
        </w:r>
      </w:hyperlink>
    </w:p>
    <w:p w14:paraId="3135B945" w14:textId="62328C01" w:rsidR="00EE22BA" w:rsidRPr="00EE22BA" w:rsidRDefault="00EE22BA" w:rsidP="00CB294E">
      <w:pPr>
        <w:pStyle w:val="enumlev1"/>
        <w:rPr>
          <w:rtl/>
          <w:lang w:bidi="ar-EG"/>
        </w:rPr>
      </w:pPr>
      <w:r w:rsidRPr="00EE22BA">
        <w:sym w:font="Symbol" w:char="F0B7"/>
      </w:r>
      <w:r w:rsidRPr="00EE22BA">
        <w:rPr>
          <w:rFonts w:hint="cs"/>
          <w:rtl/>
          <w:lang w:bidi="ar-EG"/>
        </w:rPr>
        <w:tab/>
      </w:r>
      <w:r w:rsidRPr="00EE22BA">
        <w:rPr>
          <w:rFonts w:hint="cs"/>
          <w:rtl/>
          <w:lang w:bidi="ar"/>
        </w:rPr>
        <w:t>خريطة الطيف في المملكة المتحدة (</w:t>
      </w:r>
      <w:r w:rsidRPr="00EE22BA">
        <w:rPr>
          <w:rFonts w:hint="cs"/>
          <w:rtl/>
        </w:rPr>
        <w:t xml:space="preserve">هيئة تنظيم الاتصالات) </w:t>
      </w:r>
      <w:r w:rsidRPr="00EE22BA">
        <w:t>(</w:t>
      </w:r>
      <w:proofErr w:type="spellStart"/>
      <w:r w:rsidRPr="00EE22BA">
        <w:t>Ofcom</w:t>
      </w:r>
      <w:proofErr w:type="spellEnd"/>
      <w:r w:rsidRPr="00EE22BA">
        <w:t>)</w:t>
      </w:r>
      <w:r w:rsidR="00CB294E">
        <w:rPr>
          <w:rFonts w:hint="cs"/>
          <w:rtl/>
        </w:rPr>
        <w:t>:</w:t>
      </w:r>
      <w:r w:rsidRPr="00EE22BA">
        <w:rPr>
          <w:rtl/>
        </w:rPr>
        <w:t xml:space="preserve"> </w:t>
      </w:r>
      <w:hyperlink r:id="rId15" w:history="1">
        <w:r w:rsidRPr="00EE22BA">
          <w:rPr>
            <w:rStyle w:val="Hyperlink"/>
          </w:rPr>
          <w:t>http://static.ofcom.org.uk/static/</w:t>
        </w:r>
        <w:r w:rsidR="00CB294E">
          <w:rPr>
            <w:rStyle w:val="Hyperlink"/>
          </w:rPr>
          <w:br/>
        </w:r>
        <w:r w:rsidRPr="00EE22BA">
          <w:rPr>
            <w:rStyle w:val="Hyperlink"/>
          </w:rPr>
          <w:t>spectrum/map.html</w:t>
        </w:r>
      </w:hyperlink>
    </w:p>
    <w:p w14:paraId="751150B3" w14:textId="4003C106" w:rsidR="00EE22BA" w:rsidRPr="00EE22BA" w:rsidRDefault="00EE22BA" w:rsidP="00CB294E">
      <w:pPr>
        <w:pStyle w:val="enumlev1"/>
        <w:rPr>
          <w:rtl/>
          <w:lang w:bidi="ar-EG"/>
        </w:rPr>
      </w:pPr>
      <w:r w:rsidRPr="00EE22BA">
        <w:sym w:font="Symbol" w:char="F0B7"/>
      </w:r>
      <w:r w:rsidRPr="00EE22BA">
        <w:rPr>
          <w:rFonts w:hint="cs"/>
          <w:rtl/>
          <w:lang w:bidi="ar-EG"/>
        </w:rPr>
        <w:tab/>
        <w:t xml:space="preserve">خرائط </w:t>
      </w:r>
      <w:r w:rsidRPr="00EE22BA">
        <w:rPr>
          <w:rFonts w:hint="cs"/>
          <w:rtl/>
        </w:rPr>
        <w:t>اللجنة الفيدرالية للاتصالات</w:t>
      </w:r>
      <w:r w:rsidR="00CB294E">
        <w:rPr>
          <w:rFonts w:hint="cs"/>
          <w:rtl/>
        </w:rPr>
        <w:t>:</w:t>
      </w:r>
      <w:r w:rsidRPr="00EE22BA">
        <w:rPr>
          <w:rFonts w:hint="cs"/>
          <w:rtl/>
          <w:lang w:bidi="ar-EG"/>
        </w:rPr>
        <w:t xml:space="preserve"> </w:t>
      </w:r>
      <w:hyperlink r:id="rId16" w:history="1">
        <w:r w:rsidRPr="00EE22BA">
          <w:rPr>
            <w:rStyle w:val="Hyperlink"/>
          </w:rPr>
          <w:t>https://www.fcc.gov/reports-research/maps/</w:t>
        </w:r>
      </w:hyperlink>
    </w:p>
    <w:p w14:paraId="3451CB8E" w14:textId="077B02AC" w:rsidR="00EE22BA" w:rsidRPr="00EE22BA" w:rsidRDefault="00EE22BA" w:rsidP="00EE22BA">
      <w:pPr>
        <w:rPr>
          <w:rtl/>
          <w:lang w:bidi="ar-EG"/>
        </w:rPr>
      </w:pPr>
      <w:r w:rsidRPr="00EE22BA">
        <w:rPr>
          <w:rFonts w:hint="cs"/>
          <w:rtl/>
          <w:lang w:bidi="ar"/>
        </w:rPr>
        <w:t xml:space="preserve">وعادةً ما تُنفَذ منصات تحليل </w:t>
      </w:r>
      <w:r w:rsidRPr="00EE22BA">
        <w:rPr>
          <w:rFonts w:hint="cs"/>
          <w:rtl/>
          <w:lang w:bidi="ar-EG"/>
        </w:rPr>
        <w:t>معلومات الأعمال</w:t>
      </w:r>
      <w:r w:rsidRPr="00EE22BA">
        <w:rPr>
          <w:rFonts w:hint="cs"/>
          <w:rtl/>
          <w:lang w:bidi="ar"/>
        </w:rPr>
        <w:t xml:space="preserve"> باستخدام حلول البرامج "الجاهزة للاستخدام". وبالنظر إلى المستوى العالي من المنافسة في هذا المجال، هناك العديد من المنتجات المتاحة في السوق التي يمكنها قراءة المعلومات التفاعلية وربطها وتحويلها وتقديمها بطرق ممكنة لا تعد ولا</w:t>
      </w:r>
      <w:r w:rsidR="00F1733C">
        <w:rPr>
          <w:rFonts w:hint="eastAsia"/>
          <w:rtl/>
          <w:lang w:bidi="ar"/>
        </w:rPr>
        <w:t> </w:t>
      </w:r>
      <w:r w:rsidRPr="00EE22BA">
        <w:rPr>
          <w:rFonts w:hint="cs"/>
          <w:rtl/>
          <w:lang w:bidi="ar"/>
        </w:rPr>
        <w:t xml:space="preserve">تحصى، وتكون في بعض الأحيان أكثر فعالية من حيث التكلفة وسهلة الاستخدام مقارنةً بأنظمة إعداد التقارير التي طُورت في الداخل والتي وضعت استناداً إلى نهج </w:t>
      </w:r>
      <w:r w:rsidRPr="00EE22BA">
        <w:t>"</w:t>
      </w:r>
      <w:r w:rsidRPr="00EE22BA">
        <w:rPr>
          <w:rFonts w:hint="cs"/>
          <w:rtl/>
        </w:rPr>
        <w:t>البدء من نقطة الصفر</w:t>
      </w:r>
      <w:r w:rsidRPr="00EE22BA">
        <w:t>"</w:t>
      </w:r>
      <w:r w:rsidRPr="00EE22BA">
        <w:rPr>
          <w:rFonts w:hint="cs"/>
          <w:rtl/>
          <w:lang w:bidi="ar"/>
        </w:rPr>
        <w:t>.</w:t>
      </w:r>
    </w:p>
    <w:p w14:paraId="40FAC90C" w14:textId="77777777" w:rsidR="00EE22BA" w:rsidRPr="00EE22BA" w:rsidRDefault="00EE22BA" w:rsidP="00EE22BA">
      <w:r w:rsidRPr="00EE22BA">
        <w:rPr>
          <w:rFonts w:hint="cs"/>
          <w:rtl/>
          <w:lang w:bidi="ar"/>
        </w:rPr>
        <w:lastRenderedPageBreak/>
        <w:t xml:space="preserve">وتُمكّن فكرة اعتماد أدوات تحليل </w:t>
      </w:r>
      <w:r w:rsidRPr="00EE22BA">
        <w:rPr>
          <w:rFonts w:hint="cs"/>
          <w:rtl/>
          <w:lang w:bidi="ar-EG"/>
        </w:rPr>
        <w:t>معلومات الأعمال</w:t>
      </w:r>
      <w:r w:rsidRPr="00EE22BA">
        <w:rPr>
          <w:rFonts w:hint="cs"/>
          <w:rtl/>
          <w:lang w:bidi="ar"/>
        </w:rPr>
        <w:t xml:space="preserve"> "الجاهزة</w:t>
      </w:r>
      <w:r w:rsidRPr="00EE22BA">
        <w:rPr>
          <w:rFonts w:hint="cs"/>
        </w:rPr>
        <w:t xml:space="preserve"> </w:t>
      </w:r>
      <w:r w:rsidRPr="00EE22BA">
        <w:rPr>
          <w:rFonts w:hint="cs"/>
          <w:rtl/>
          <w:lang w:bidi="ar"/>
        </w:rPr>
        <w:t>للاستخدام" والمتاحة في السوق، أفرقة تطوير برمجيات تكنولوجيا المعلومات في المنظمة من تركيز الجهود على وضع أدوات ترتبط بشكل وثيق بأعمالها الأساسية، ما يعني أن هذه التطبيقات المحددة جداً ليست متاحة بسهولة في السوق، ولكن مكتب الاتصالات الراديوية يمتلك خبرةً عاليةً للغاية بشأنها مثل أدوات برمجيات الحساب الهندسي المعقدة وقواعد البيانات للأغراض التنظيمية، على سبيل المثال المتطلبات التقنية المتعددة للوائح الراديو وعمليات التحقق التي يجري تطبيقها على بطاقات التبليغ عن الشبكات الساتلية.</w:t>
      </w:r>
    </w:p>
    <w:p w14:paraId="6FFFAF9E" w14:textId="77777777" w:rsidR="00EE22BA" w:rsidRPr="00EE22BA" w:rsidRDefault="00EE22BA" w:rsidP="00EE22BA">
      <w:pPr>
        <w:rPr>
          <w:rtl/>
          <w:lang w:bidi="ar"/>
        </w:rPr>
      </w:pPr>
      <w:r w:rsidRPr="00EE22BA">
        <w:rPr>
          <w:rFonts w:hint="cs"/>
          <w:rtl/>
          <w:lang w:bidi="ar"/>
        </w:rPr>
        <w:t xml:space="preserve">وبمجرد تخزين البيانات المُدارة بواسطة تطبيقات البرمجيات الرئيسية (مثل بطاقات التبليغ وعمليات التحقق والحسابات الهندسية) في قواعد بيانات المعاملات التي تعمل بالتكنولوجيات القياسية (مثل </w:t>
      </w:r>
      <w:r w:rsidRPr="00EE22BA">
        <w:rPr>
          <w:lang w:val="fr-FR"/>
        </w:rPr>
        <w:t>Microsoft SQL</w:t>
      </w:r>
      <w:r w:rsidRPr="00EE22BA">
        <w:rPr>
          <w:rFonts w:hint="cs"/>
          <w:rtl/>
          <w:lang w:bidi="ar"/>
        </w:rPr>
        <w:t xml:space="preserve"> أو </w:t>
      </w:r>
      <w:r w:rsidRPr="00EE22BA">
        <w:rPr>
          <w:lang w:val="fr-FR"/>
        </w:rPr>
        <w:t>SQL Lite</w:t>
      </w:r>
      <w:r w:rsidRPr="00EE22BA">
        <w:rPr>
          <w:rFonts w:hint="cs"/>
          <w:rtl/>
          <w:lang w:bidi="ar"/>
        </w:rPr>
        <w:t>)، يمكن لمعظم تكنولوجيات تحليل معلومات الأعمال المتاحة في السوق قراءتها وإدماجها مع مصادر بيانات إضافية، والقيام بما تبقى بأدنى حدّ من جهود التطوير الداخلي. ويتمثل النهج الآخر الأكثر تطوراً في السماح للمستخدم النهائي بخدمة نفسه بنفسه من خلال استخدام الخدمة الذاتية لتحليل معلومات الأعمال.</w:t>
      </w:r>
    </w:p>
    <w:p w14:paraId="3F012D92" w14:textId="44F898BE" w:rsidR="00EE22BA" w:rsidRPr="00EE22BA" w:rsidRDefault="00EE22BA" w:rsidP="00EE22BA">
      <w:pPr>
        <w:rPr>
          <w:rtl/>
          <w:lang w:bidi="ar-EG"/>
        </w:rPr>
      </w:pPr>
      <w:r w:rsidRPr="00EE22BA">
        <w:rPr>
          <w:rFonts w:hint="cs"/>
          <w:rtl/>
          <w:lang w:bidi="ar"/>
        </w:rPr>
        <w:t xml:space="preserve">وختاماً، من المهم أيضاً ملاحظة توجيهات مؤتمر المندوبين المفوضين لعام 2018 (الفقرة </w:t>
      </w:r>
      <w:r w:rsidRPr="00EE22BA">
        <w:rPr>
          <w:lang w:val="fr-FR"/>
        </w:rPr>
        <w:t>4</w:t>
      </w:r>
      <w:r w:rsidRPr="00EE22BA">
        <w:rPr>
          <w:rFonts w:hint="cs"/>
          <w:rtl/>
          <w:lang w:bidi="ar-EG"/>
        </w:rPr>
        <w:t xml:space="preserve"> من </w:t>
      </w:r>
      <w:r w:rsidRPr="00EE22BA">
        <w:rPr>
          <w:rFonts w:hint="cs"/>
          <w:i/>
          <w:iCs/>
          <w:rtl/>
          <w:lang w:bidi="ar-EG"/>
        </w:rPr>
        <w:t>يقرر</w:t>
      </w:r>
      <w:r w:rsidRPr="00EE22BA">
        <w:rPr>
          <w:rFonts w:hint="cs"/>
          <w:rtl/>
          <w:lang w:bidi="ar-EG"/>
        </w:rPr>
        <w:t xml:space="preserve"> في </w:t>
      </w:r>
      <w:r w:rsidRPr="00EE22BA">
        <w:rPr>
          <w:rFonts w:hint="cs"/>
          <w:rtl/>
          <w:lang w:bidi="ar"/>
        </w:rPr>
        <w:t>القرار 186) الذي يدعو إلى إتاحة الفرصة في هذا الصدد:</w:t>
      </w:r>
    </w:p>
    <w:p w14:paraId="2B3E068B" w14:textId="463F17B1" w:rsidR="00EE22BA" w:rsidRPr="00EE22BA" w:rsidRDefault="00705042" w:rsidP="00EE22BA">
      <w:pPr>
        <w:rPr>
          <w:i/>
          <w:iCs/>
        </w:rPr>
      </w:pPr>
      <w:r>
        <w:rPr>
          <w:rFonts w:hint="eastAsia"/>
          <w:i/>
          <w:iCs/>
          <w:rtl/>
        </w:rPr>
        <w:t> </w:t>
      </w:r>
      <w:r w:rsidR="00EE22BA" w:rsidRPr="00EE22BA">
        <w:rPr>
          <w:rFonts w:hint="cs"/>
          <w:i/>
          <w:iCs/>
          <w:rtl/>
        </w:rPr>
        <w:t>"...بتحسين سهولة النفاذ إلى المعلومات الواردة في السجل الأساسي الدولي للترددات المنشورة في الموقع الإلكتروني للاتحاد بشأن تخصيصات التردد للشبكات الساتلية الخاضعة لهذا القرار، وتحسين شفافية هذه المعلومات..."،</w:t>
      </w:r>
    </w:p>
    <w:p w14:paraId="058DC76F" w14:textId="77777777" w:rsidR="00EE22BA" w:rsidRPr="00EE22BA" w:rsidRDefault="00EE22BA" w:rsidP="00CB294E">
      <w:pPr>
        <w:pStyle w:val="Headingb"/>
        <w:rPr>
          <w:lang w:bidi="ar-SA"/>
        </w:rPr>
      </w:pPr>
      <w:r w:rsidRPr="00EE22BA">
        <w:rPr>
          <w:rFonts w:hint="cs"/>
          <w:rtl/>
        </w:rPr>
        <w:t>المقترح</w:t>
      </w:r>
    </w:p>
    <w:p w14:paraId="2B28A4FF" w14:textId="6807D39D" w:rsidR="00EE22BA" w:rsidRPr="00EE22BA" w:rsidRDefault="00EE22BA" w:rsidP="00CB294E">
      <w:pPr>
        <w:rPr>
          <w:rtl/>
          <w:lang w:bidi="ar"/>
        </w:rPr>
      </w:pPr>
      <w:r w:rsidRPr="00EE22BA">
        <w:rPr>
          <w:rFonts w:hint="cs"/>
          <w:rtl/>
          <w:lang w:bidi="ar-EG"/>
        </w:rPr>
        <w:t>بهدف</w:t>
      </w:r>
      <w:r w:rsidRPr="00EE22BA">
        <w:rPr>
          <w:rFonts w:hint="cs"/>
          <w:rtl/>
          <w:lang w:bidi="ar"/>
        </w:rPr>
        <w:t xml:space="preserve"> تحسين أنظمة معلومات مكتب الاتصالات الراديوية وتبادل المعارف وأنشطة إدارة موارد الطيف والمدارات بالإضافة إلى مراعاة القرار </w:t>
      </w:r>
      <w:r w:rsidRPr="00EE22BA">
        <w:rPr>
          <w:lang w:val="fr-FR"/>
        </w:rPr>
        <w:t>186</w:t>
      </w:r>
      <w:r w:rsidRPr="00EE22BA">
        <w:rPr>
          <w:rtl/>
          <w:lang w:bidi="ar"/>
        </w:rPr>
        <w:t xml:space="preserve"> </w:t>
      </w:r>
      <w:r w:rsidRPr="00EE22BA">
        <w:rPr>
          <w:rFonts w:hint="cs"/>
          <w:rtl/>
          <w:lang w:bidi="ar"/>
        </w:rPr>
        <w:t xml:space="preserve">الصادر عن مؤتمر المندوبين المفوضين لعام 2018، تقترح البرازيل أن يدرس مكتب الاتصالات الراديوية، من خلال </w:t>
      </w:r>
      <w:r w:rsidRPr="00EE22BA">
        <w:rPr>
          <w:rFonts w:hint="cs"/>
          <w:rtl/>
        </w:rPr>
        <w:t>تحليل التكاليف والمنافع</w:t>
      </w:r>
      <w:r w:rsidRPr="00EE22BA">
        <w:rPr>
          <w:rFonts w:hint="cs"/>
          <w:rtl/>
          <w:lang w:bidi="ar"/>
        </w:rPr>
        <w:t>، جدوى حيازة وتنفيذ أدوات تحليل معلومات الأعمال وتحليل البيانات "الجاهزة</w:t>
      </w:r>
      <w:r w:rsidRPr="00EE22BA">
        <w:rPr>
          <w:rFonts w:hint="cs"/>
        </w:rPr>
        <w:t xml:space="preserve"> </w:t>
      </w:r>
      <w:r w:rsidRPr="00EE22BA">
        <w:rPr>
          <w:rFonts w:hint="cs"/>
          <w:rtl/>
          <w:lang w:bidi="ar"/>
        </w:rPr>
        <w:t>للاستخدام" القائمة على الويب والتي يمكنها قراءة جميع البيانات الواردة في بطاقات التبليغ والمنشورات ذات الصلة بالشبكات الساتلية، بما في ذلك</w:t>
      </w:r>
      <w:r w:rsidRPr="00EE22BA">
        <w:rPr>
          <w:rFonts w:hint="cs"/>
          <w:rtl/>
        </w:rPr>
        <w:t xml:space="preserve"> محطات الاتصالات الراديوية الفضائية </w:t>
      </w:r>
      <w:r w:rsidRPr="00EE22BA">
        <w:t>(SRS)</w:t>
      </w:r>
      <w:r w:rsidRPr="00EE22BA">
        <w:rPr>
          <w:rFonts w:hint="cs"/>
          <w:rtl/>
          <w:lang w:bidi="ar"/>
        </w:rPr>
        <w:t xml:space="preserve">، وقواعد بيانات الشبكات المخطط لها، إلى جانب أكفة </w:t>
      </w:r>
      <w:r w:rsidRPr="00EE22BA">
        <w:rPr>
          <w:rFonts w:hint="cs"/>
          <w:rtl/>
        </w:rPr>
        <w:t xml:space="preserve">النظام البياني لإدارة التداخل </w:t>
      </w:r>
      <w:r w:rsidRPr="00EE22BA">
        <w:t>(GIMS)</w:t>
      </w:r>
      <w:r w:rsidRPr="00EE22BA">
        <w:rPr>
          <w:rFonts w:hint="cs"/>
          <w:rtl/>
          <w:lang w:bidi="ar"/>
        </w:rPr>
        <w:t>، من أجل تزويد الأعضاء بتكنولوجيات جديدة تمكّنهم من الاطلاع على بيانات الشبكات الساتلية، بما</w:t>
      </w:r>
      <w:r w:rsidR="00CB294E">
        <w:rPr>
          <w:rFonts w:hint="eastAsia"/>
          <w:rtl/>
          <w:lang w:bidi="ar"/>
        </w:rPr>
        <w:t> </w:t>
      </w:r>
      <w:r w:rsidRPr="00EE22BA">
        <w:rPr>
          <w:rFonts w:hint="cs"/>
          <w:rtl/>
          <w:lang w:bidi="ar"/>
        </w:rPr>
        <w:t>في</w:t>
      </w:r>
      <w:r w:rsidR="00CB294E">
        <w:rPr>
          <w:rFonts w:hint="eastAsia"/>
          <w:rtl/>
          <w:lang w:bidi="ar"/>
        </w:rPr>
        <w:t> </w:t>
      </w:r>
      <w:r w:rsidRPr="00EE22BA">
        <w:rPr>
          <w:rFonts w:hint="cs"/>
          <w:rtl/>
          <w:lang w:bidi="ar"/>
        </w:rPr>
        <w:t xml:space="preserve">ذلك </w:t>
      </w:r>
      <w:r w:rsidRPr="00EE22BA">
        <w:rPr>
          <w:rFonts w:hint="cs"/>
          <w:rtl/>
        </w:rPr>
        <w:t>البيانات</w:t>
      </w:r>
      <w:r w:rsidRPr="00EE22BA">
        <w:rPr>
          <w:rFonts w:hint="cs"/>
          <w:rtl/>
          <w:lang w:bidi="ar"/>
        </w:rPr>
        <w:t xml:space="preserve"> الجغرافية المرجعية لأكفة التغطية الساتلية ومناطق الخدمة في الخرائط القائمة على الويب.</w:t>
      </w:r>
    </w:p>
    <w:p w14:paraId="514EA2E7" w14:textId="2934C0FA" w:rsidR="00EE22BA" w:rsidRPr="00EE22BA" w:rsidRDefault="00EE22BA" w:rsidP="00EE22BA">
      <w:pPr>
        <w:rPr>
          <w:rtl/>
        </w:rPr>
      </w:pPr>
      <w:r w:rsidRPr="00EE22BA">
        <w:rPr>
          <w:rFonts w:hint="cs"/>
          <w:rtl/>
          <w:lang w:bidi="ar"/>
        </w:rPr>
        <w:t>وعلاوةً على ذلك، ومن خلال النهج المذكور أعلاه، يمكن لهذه الدراسة تقييم مخاطر وفرص ترك مكتب الاتصالات الراديوية يركز جهود تطوير برمجياته على تلك التطبيقات المرتبطة بالأعمال الأساسية للاتحاد، مثل تقديم بطاقات التبليغ ونماذج التحقق والحسابات التقنية الهندسية والتنظيمية المرتبطة بمتطلبات لوائح الراديو، بما في ذلك أنظمة المعاملات وقواعد البيانات ذات</w:t>
      </w:r>
      <w:r w:rsidR="00C65AF5">
        <w:rPr>
          <w:rFonts w:hint="eastAsia"/>
          <w:rtl/>
          <w:lang w:bidi="ar"/>
        </w:rPr>
        <w:t> </w:t>
      </w:r>
      <w:r w:rsidRPr="00EE22BA">
        <w:rPr>
          <w:rFonts w:hint="cs"/>
          <w:rtl/>
          <w:lang w:bidi="ar"/>
        </w:rPr>
        <w:t>الصلة، وترك المهام ذات الصلة بالتقارير والخرائط وأنظمة التشاور كي يتم تنفيذها بشكل رئيسي من خلال أدوات الويب "الجاهزة للاستخدام" الخاصة بتحليل معلومات الأعمال والمتاحة في السوق.</w:t>
      </w:r>
    </w:p>
    <w:bookmarkEnd w:id="1"/>
    <w:p w14:paraId="7DD49127"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17"/>
      <w:headerReference w:type="default" r:id="rId18"/>
      <w:footerReference w:type="default" r:id="rId19"/>
      <w:footerReference w:type="first" r:id="rId20"/>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9B956" w14:textId="77777777" w:rsidR="00EE22BA" w:rsidRDefault="00EE22BA" w:rsidP="002919E1">
      <w:r>
        <w:separator/>
      </w:r>
    </w:p>
    <w:p w14:paraId="0C57F169" w14:textId="77777777" w:rsidR="00EE22BA" w:rsidRDefault="00EE22BA" w:rsidP="002919E1"/>
    <w:p w14:paraId="24D50277" w14:textId="77777777" w:rsidR="00EE22BA" w:rsidRDefault="00EE22BA" w:rsidP="002919E1"/>
    <w:p w14:paraId="1ACC6759" w14:textId="77777777" w:rsidR="00EE22BA" w:rsidRDefault="00EE22BA"/>
  </w:endnote>
  <w:endnote w:type="continuationSeparator" w:id="0">
    <w:p w14:paraId="1FFFD286" w14:textId="77777777" w:rsidR="00EE22BA" w:rsidRDefault="00EE22BA" w:rsidP="002919E1">
      <w:r>
        <w:continuationSeparator/>
      </w:r>
    </w:p>
    <w:p w14:paraId="343C244A" w14:textId="77777777" w:rsidR="00EE22BA" w:rsidRDefault="00EE22BA" w:rsidP="002919E1"/>
    <w:p w14:paraId="0248FAE9" w14:textId="77777777" w:rsidR="00EE22BA" w:rsidRDefault="00EE22BA" w:rsidP="002919E1"/>
    <w:p w14:paraId="44CE6FD2" w14:textId="77777777" w:rsidR="00EE22BA" w:rsidRDefault="00EE2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5B20A" w14:textId="22A48236" w:rsidR="00281F5F" w:rsidRPr="0012545F" w:rsidRDefault="0012545F" w:rsidP="0012545F">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sidR="00CB294E">
      <w:rPr>
        <w:noProof/>
      </w:rPr>
      <w:t>P:\ARA\ITU-R\AG\RAG\RAG20\000\022A.docx</w:t>
    </w:r>
    <w:r>
      <w:fldChar w:fldCharType="end"/>
    </w:r>
    <w:proofErr w:type="gramStart"/>
    <w:r w:rsidRPr="00A809E8">
      <w:t xml:space="preserve">   (</w:t>
    </w:r>
    <w:proofErr w:type="gramEnd"/>
    <w:r w:rsidR="00CB294E" w:rsidRPr="00CB294E">
      <w:t>471096</w:t>
    </w:r>
    <w:r w:rsidRPr="00A809E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FBBD4" w14:textId="0FEAC60E" w:rsidR="00281F5F" w:rsidRPr="00A809E8" w:rsidRDefault="00CB294E" w:rsidP="00CB294E">
    <w:pPr>
      <w:pStyle w:val="Footer"/>
    </w:pPr>
    <w:fldSimple w:instr=" FILENAME \p \* MERGEFORMAT ">
      <w:r w:rsidRPr="00CB294E">
        <w:t>P:\ARA\ITU-R\AG\RAG\RAG20\000\022A.docx</w:t>
      </w:r>
    </w:fldSimple>
    <w:proofErr w:type="gramStart"/>
    <w:r w:rsidRPr="00CB294E">
      <w:t xml:space="preserve">   (</w:t>
    </w:r>
    <w:proofErr w:type="gramEnd"/>
    <w:r w:rsidRPr="00CB294E">
      <w:t>471096)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D6338" w14:textId="77777777" w:rsidR="00EE22BA" w:rsidRDefault="00EE22BA" w:rsidP="002919E1">
      <w:r>
        <w:t>___________________</w:t>
      </w:r>
    </w:p>
  </w:footnote>
  <w:footnote w:type="continuationSeparator" w:id="0">
    <w:p w14:paraId="6052865A" w14:textId="77777777" w:rsidR="00EE22BA" w:rsidRDefault="00EE22BA" w:rsidP="002919E1">
      <w:r>
        <w:continuationSeparator/>
      </w:r>
    </w:p>
    <w:p w14:paraId="58F9201B" w14:textId="77777777" w:rsidR="00EE22BA" w:rsidRDefault="00EE22BA" w:rsidP="002919E1"/>
    <w:p w14:paraId="68519DD9" w14:textId="77777777" w:rsidR="00EE22BA" w:rsidRDefault="00EE22BA" w:rsidP="002919E1"/>
    <w:p w14:paraId="1E217935" w14:textId="77777777" w:rsidR="00EE22BA" w:rsidRDefault="00EE22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8E7A7" w14:textId="77777777" w:rsidR="00281F5F" w:rsidRDefault="00281F5F" w:rsidP="002919E1"/>
  <w:p w14:paraId="499BDBB1" w14:textId="77777777" w:rsidR="00281F5F" w:rsidRDefault="00281F5F" w:rsidP="002919E1"/>
  <w:p w14:paraId="7B47EFF6"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F7104" w14:textId="652BF490"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2F3031">
      <w:rPr>
        <w:rStyle w:val="PageNumber"/>
      </w:rPr>
      <w:t>20</w:t>
    </w:r>
    <w:r w:rsidR="00A809E8">
      <w:rPr>
        <w:rStyle w:val="PageNumber"/>
      </w:rPr>
      <w:t>/</w:t>
    </w:r>
    <w:r w:rsidR="00CB294E">
      <w:rPr>
        <w:rStyle w:val="PageNumber"/>
      </w:rPr>
      <w:t>22</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00E1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6E29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9EE4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CA3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52D6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BA"/>
    <w:rsid w:val="00011021"/>
    <w:rsid w:val="000114EC"/>
    <w:rsid w:val="00011F8C"/>
    <w:rsid w:val="00022B74"/>
    <w:rsid w:val="0002327C"/>
    <w:rsid w:val="00034B65"/>
    <w:rsid w:val="00040C94"/>
    <w:rsid w:val="000425FC"/>
    <w:rsid w:val="00044D43"/>
    <w:rsid w:val="00051907"/>
    <w:rsid w:val="00075A3F"/>
    <w:rsid w:val="000A1B16"/>
    <w:rsid w:val="000B3896"/>
    <w:rsid w:val="000B5404"/>
    <w:rsid w:val="000D1708"/>
    <w:rsid w:val="000E2AFC"/>
    <w:rsid w:val="000E6D30"/>
    <w:rsid w:val="000F05F5"/>
    <w:rsid w:val="000F518F"/>
    <w:rsid w:val="0010081C"/>
    <w:rsid w:val="001013E3"/>
    <w:rsid w:val="0010363F"/>
    <w:rsid w:val="00123AA6"/>
    <w:rsid w:val="0012545F"/>
    <w:rsid w:val="00136B82"/>
    <w:rsid w:val="001464F2"/>
    <w:rsid w:val="00167364"/>
    <w:rsid w:val="001903B2"/>
    <w:rsid w:val="001B5953"/>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48BF"/>
    <w:rsid w:val="002E61C2"/>
    <w:rsid w:val="002F3031"/>
    <w:rsid w:val="002F3E46"/>
    <w:rsid w:val="00311E3F"/>
    <w:rsid w:val="00314B1E"/>
    <w:rsid w:val="0033737F"/>
    <w:rsid w:val="00353652"/>
    <w:rsid w:val="003569E1"/>
    <w:rsid w:val="003815E2"/>
    <w:rsid w:val="00381FAD"/>
    <w:rsid w:val="00382A66"/>
    <w:rsid w:val="003923B1"/>
    <w:rsid w:val="0039465C"/>
    <w:rsid w:val="003965FE"/>
    <w:rsid w:val="003B27AD"/>
    <w:rsid w:val="003B4F23"/>
    <w:rsid w:val="003C12F6"/>
    <w:rsid w:val="003C3A13"/>
    <w:rsid w:val="003E02EF"/>
    <w:rsid w:val="003E1D90"/>
    <w:rsid w:val="00400CD4"/>
    <w:rsid w:val="004147B9"/>
    <w:rsid w:val="00422C04"/>
    <w:rsid w:val="00423A40"/>
    <w:rsid w:val="00426144"/>
    <w:rsid w:val="004636E2"/>
    <w:rsid w:val="00470CBD"/>
    <w:rsid w:val="0047407D"/>
    <w:rsid w:val="004909DD"/>
    <w:rsid w:val="004A05E6"/>
    <w:rsid w:val="004A6230"/>
    <w:rsid w:val="004A6C66"/>
    <w:rsid w:val="004A7AA0"/>
    <w:rsid w:val="004C11BC"/>
    <w:rsid w:val="004C5C04"/>
    <w:rsid w:val="004D0448"/>
    <w:rsid w:val="004D4AE6"/>
    <w:rsid w:val="004F0BED"/>
    <w:rsid w:val="00505FCA"/>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77C0"/>
    <w:rsid w:val="006779A4"/>
    <w:rsid w:val="00680A66"/>
    <w:rsid w:val="00681391"/>
    <w:rsid w:val="00694690"/>
    <w:rsid w:val="0069526C"/>
    <w:rsid w:val="006A12AC"/>
    <w:rsid w:val="006A2162"/>
    <w:rsid w:val="006B4B90"/>
    <w:rsid w:val="006B658C"/>
    <w:rsid w:val="006D2674"/>
    <w:rsid w:val="006E38D0"/>
    <w:rsid w:val="006E465B"/>
    <w:rsid w:val="006F70BF"/>
    <w:rsid w:val="00705042"/>
    <w:rsid w:val="00716B1D"/>
    <w:rsid w:val="007248EC"/>
    <w:rsid w:val="007260BD"/>
    <w:rsid w:val="00726744"/>
    <w:rsid w:val="00731150"/>
    <w:rsid w:val="00734E41"/>
    <w:rsid w:val="007351CE"/>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E6847"/>
    <w:rsid w:val="007E6B0A"/>
    <w:rsid w:val="007F08CA"/>
    <w:rsid w:val="007F7FC3"/>
    <w:rsid w:val="00810482"/>
    <w:rsid w:val="00817568"/>
    <w:rsid w:val="008204AC"/>
    <w:rsid w:val="008261C2"/>
    <w:rsid w:val="00830D96"/>
    <w:rsid w:val="0085569D"/>
    <w:rsid w:val="00855B59"/>
    <w:rsid w:val="0085774F"/>
    <w:rsid w:val="008614B8"/>
    <w:rsid w:val="008657CB"/>
    <w:rsid w:val="00873A6F"/>
    <w:rsid w:val="0088384B"/>
    <w:rsid w:val="00893E53"/>
    <w:rsid w:val="008A1137"/>
    <w:rsid w:val="008A1788"/>
    <w:rsid w:val="008A3E57"/>
    <w:rsid w:val="008A4185"/>
    <w:rsid w:val="008A6552"/>
    <w:rsid w:val="008B1008"/>
    <w:rsid w:val="008B4E93"/>
    <w:rsid w:val="008B52B7"/>
    <w:rsid w:val="008C3818"/>
    <w:rsid w:val="008D6ACC"/>
    <w:rsid w:val="008D7AF0"/>
    <w:rsid w:val="008E2CBE"/>
    <w:rsid w:val="008E32DD"/>
    <w:rsid w:val="008F4626"/>
    <w:rsid w:val="009004DF"/>
    <w:rsid w:val="00904AA5"/>
    <w:rsid w:val="00951718"/>
    <w:rsid w:val="00960962"/>
    <w:rsid w:val="00972CE0"/>
    <w:rsid w:val="009A3D30"/>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9E8"/>
    <w:rsid w:val="00A870AD"/>
    <w:rsid w:val="00A90843"/>
    <w:rsid w:val="00A9645C"/>
    <w:rsid w:val="00AB2A33"/>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C1165E"/>
    <w:rsid w:val="00C17DCD"/>
    <w:rsid w:val="00C22074"/>
    <w:rsid w:val="00C2377B"/>
    <w:rsid w:val="00C34E09"/>
    <w:rsid w:val="00C3693C"/>
    <w:rsid w:val="00C449F7"/>
    <w:rsid w:val="00C53F6F"/>
    <w:rsid w:val="00C5489D"/>
    <w:rsid w:val="00C65AF5"/>
    <w:rsid w:val="00C71759"/>
    <w:rsid w:val="00C8199C"/>
    <w:rsid w:val="00C84112"/>
    <w:rsid w:val="00C841EB"/>
    <w:rsid w:val="00C8665F"/>
    <w:rsid w:val="00C917B5"/>
    <w:rsid w:val="00C94DFA"/>
    <w:rsid w:val="00CA298C"/>
    <w:rsid w:val="00CB294E"/>
    <w:rsid w:val="00CB2BF9"/>
    <w:rsid w:val="00CB4300"/>
    <w:rsid w:val="00CB454E"/>
    <w:rsid w:val="00CC030E"/>
    <w:rsid w:val="00CC68C4"/>
    <w:rsid w:val="00CC79A4"/>
    <w:rsid w:val="00CD0FDE"/>
    <w:rsid w:val="00CD1574"/>
    <w:rsid w:val="00CE0E68"/>
    <w:rsid w:val="00CE5BA4"/>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C29DD"/>
    <w:rsid w:val="00DC7C0E"/>
    <w:rsid w:val="00DE7387"/>
    <w:rsid w:val="00DF2A6A"/>
    <w:rsid w:val="00DF3B72"/>
    <w:rsid w:val="00E10821"/>
    <w:rsid w:val="00E2489D"/>
    <w:rsid w:val="00E26520"/>
    <w:rsid w:val="00E26732"/>
    <w:rsid w:val="00E343A3"/>
    <w:rsid w:val="00E47277"/>
    <w:rsid w:val="00E51BFA"/>
    <w:rsid w:val="00E621A3"/>
    <w:rsid w:val="00E833BC"/>
    <w:rsid w:val="00E8580E"/>
    <w:rsid w:val="00E97E21"/>
    <w:rsid w:val="00EA1B76"/>
    <w:rsid w:val="00EA77D7"/>
    <w:rsid w:val="00EC09B9"/>
    <w:rsid w:val="00ED048C"/>
    <w:rsid w:val="00EE22BA"/>
    <w:rsid w:val="00EE60E9"/>
    <w:rsid w:val="00EF38AF"/>
    <w:rsid w:val="00F00143"/>
    <w:rsid w:val="00F055F8"/>
    <w:rsid w:val="00F10CB4"/>
    <w:rsid w:val="00F11B3D"/>
    <w:rsid w:val="00F146AC"/>
    <w:rsid w:val="00F14763"/>
    <w:rsid w:val="00F16212"/>
    <w:rsid w:val="00F16602"/>
    <w:rsid w:val="00F1733C"/>
    <w:rsid w:val="00F25B80"/>
    <w:rsid w:val="00F2685F"/>
    <w:rsid w:val="00F33A34"/>
    <w:rsid w:val="00F350C8"/>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155C79"/>
  <w15:docId w15:val="{C4E35369-DD11-4781-8C11-BCC26274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AD"/>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873A6F"/>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lear" w:pos="1134"/>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31B5"/>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5431B5"/>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semiHidden/>
    <w:unhideWhenUsed/>
    <w:rsid w:val="00A04CF4"/>
    <w:pPr>
      <w:tabs>
        <w:tab w:val="clear" w:pos="1134"/>
        <w:tab w:val="clear" w:pos="1871"/>
        <w:tab w:val="clear" w:pos="2268"/>
      </w:tabs>
    </w:pPr>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923697">
      <w:bodyDiv w:val="1"/>
      <w:marLeft w:val="0"/>
      <w:marRight w:val="0"/>
      <w:marTop w:val="0"/>
      <w:marBottom w:val="0"/>
      <w:divBdr>
        <w:top w:val="none" w:sz="0" w:space="0" w:color="auto"/>
        <w:left w:val="none" w:sz="0" w:space="0" w:color="auto"/>
        <w:bottom w:val="none" w:sz="0" w:space="0" w:color="auto"/>
        <w:right w:val="none" w:sz="0" w:space="0" w:color="auto"/>
      </w:divBdr>
    </w:div>
    <w:div w:id="819617295">
      <w:bodyDiv w:val="1"/>
      <w:marLeft w:val="0"/>
      <w:marRight w:val="0"/>
      <w:marTop w:val="0"/>
      <w:marBottom w:val="0"/>
      <w:divBdr>
        <w:top w:val="none" w:sz="0" w:space="0" w:color="auto"/>
        <w:left w:val="none" w:sz="0" w:space="0" w:color="auto"/>
        <w:bottom w:val="none" w:sz="0" w:space="0" w:color="auto"/>
        <w:right w:val="none" w:sz="0" w:space="0" w:color="auto"/>
      </w:divBdr>
    </w:div>
    <w:div w:id="1021784210">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905677956">
      <w:bodyDiv w:val="1"/>
      <w:marLeft w:val="0"/>
      <w:marRight w:val="0"/>
      <w:marTop w:val="0"/>
      <w:marBottom w:val="0"/>
      <w:divBdr>
        <w:top w:val="none" w:sz="0" w:space="0" w:color="auto"/>
        <w:left w:val="none" w:sz="0" w:space="0" w:color="auto"/>
        <w:bottom w:val="none" w:sz="0" w:space="0" w:color="auto"/>
        <w:right w:val="none" w:sz="0" w:space="0" w:color="auto"/>
      </w:divBdr>
    </w:div>
    <w:div w:id="192683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natel.gov.br/paineis/espectro-e-orbit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cc.gov/reports-research/map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atic.ofcom.org.uk/static/spectrum/map.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anfr.fr/"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20\ITU-R%20(BR)\PA_RAG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64943E-2607-4D00-A313-8E3104D3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PA_RAG20.dotx</Template>
  <TotalTime>25</TotalTime>
  <Pages>2</Pages>
  <Words>743</Words>
  <Characters>4704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Tahawi, Hiba</dc:creator>
  <cp:keywords>WRC-12</cp:keywords>
  <cp:lastModifiedBy>Arabic</cp:lastModifiedBy>
  <cp:revision>7</cp:revision>
  <cp:lastPrinted>2019-06-26T10:10:00Z</cp:lastPrinted>
  <dcterms:created xsi:type="dcterms:W3CDTF">2020-05-21T10:47:00Z</dcterms:created>
  <dcterms:modified xsi:type="dcterms:W3CDTF">2020-05-21T11:51:00Z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