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05C525D6" w14:textId="77777777" w:rsidTr="00AF7098">
        <w:trPr>
          <w:cantSplit/>
        </w:trPr>
        <w:tc>
          <w:tcPr>
            <w:tcW w:w="6772" w:type="dxa"/>
            <w:vAlign w:val="center"/>
          </w:tcPr>
          <w:p w14:paraId="0A7F855D"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r>
              <w:rPr>
                <w:rFonts w:ascii="Verdana" w:hAnsi="Verdana" w:cs="Times New Roman Bold"/>
                <w:b/>
                <w:bCs/>
                <w:sz w:val="20"/>
              </w:rPr>
              <w:t xml:space="preserve">Ginebra, </w:t>
            </w:r>
            <w:r w:rsidR="00A7663C">
              <w:rPr>
                <w:rFonts w:ascii="Verdana" w:hAnsi="Verdana" w:cs="Times New Roman Bold"/>
                <w:b/>
                <w:bCs/>
                <w:sz w:val="20"/>
              </w:rPr>
              <w:t>25</w:t>
            </w:r>
            <w:r>
              <w:rPr>
                <w:rFonts w:ascii="Verdana" w:hAnsi="Verdana" w:cs="Times New Roman Bold"/>
                <w:b/>
                <w:bCs/>
                <w:sz w:val="20"/>
              </w:rPr>
              <w:t>-</w:t>
            </w:r>
            <w:r w:rsidR="00A7663C">
              <w:rPr>
                <w:rFonts w:ascii="Verdana" w:hAnsi="Verdana" w:cs="Times New Roman Bold"/>
                <w:b/>
                <w:bCs/>
                <w:sz w:val="20"/>
              </w:rPr>
              <w:t>27</w:t>
            </w:r>
            <w:r>
              <w:rPr>
                <w:rFonts w:ascii="Verdana" w:hAnsi="Verdana" w:cs="Times New Roman Bold"/>
                <w:b/>
                <w:bCs/>
                <w:sz w:val="20"/>
              </w:rPr>
              <w:t xml:space="preserve"> de </w:t>
            </w:r>
            <w:r w:rsidR="00A7663C">
              <w:rPr>
                <w:rFonts w:ascii="Verdana" w:hAnsi="Verdana" w:cs="Times New Roman Bold"/>
                <w:b/>
                <w:bCs/>
                <w:sz w:val="20"/>
              </w:rPr>
              <w:t xml:space="preserve">mayo </w:t>
            </w:r>
            <w:r>
              <w:rPr>
                <w:rFonts w:ascii="Verdana" w:hAnsi="Verdana" w:cs="Times New Roman Bold"/>
                <w:b/>
                <w:bCs/>
                <w:sz w:val="20"/>
              </w:rPr>
              <w:t>de 20</w:t>
            </w:r>
            <w:r w:rsidR="00AB4BAD">
              <w:rPr>
                <w:rFonts w:ascii="Verdana" w:hAnsi="Verdana" w:cs="Times New Roman Bold"/>
                <w:b/>
                <w:bCs/>
                <w:sz w:val="20"/>
              </w:rPr>
              <w:t>20</w:t>
            </w:r>
          </w:p>
        </w:tc>
        <w:tc>
          <w:tcPr>
            <w:tcW w:w="3117" w:type="dxa"/>
            <w:vAlign w:val="center"/>
          </w:tcPr>
          <w:p w14:paraId="592BF0E3" w14:textId="77777777" w:rsidR="0057336B" w:rsidRDefault="00AB4BAD" w:rsidP="00A7663C">
            <w:pPr>
              <w:shd w:val="solid" w:color="FFFFFF" w:fill="FFFFFF"/>
              <w:spacing w:before="0"/>
            </w:pPr>
            <w:r w:rsidRPr="00C126C1">
              <w:rPr>
                <w:noProof/>
                <w:lang w:val="en-US" w:eastAsia="zh-CN"/>
              </w:rPr>
              <w:drawing>
                <wp:inline distT="0" distB="0" distL="0" distR="0" wp14:anchorId="6B562BFD" wp14:editId="63E27F99">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6417D2DE" w14:textId="77777777" w:rsidTr="00AF7098">
        <w:trPr>
          <w:cantSplit/>
        </w:trPr>
        <w:tc>
          <w:tcPr>
            <w:tcW w:w="6772" w:type="dxa"/>
            <w:tcBorders>
              <w:bottom w:val="single" w:sz="12" w:space="0" w:color="auto"/>
            </w:tcBorders>
          </w:tcPr>
          <w:p w14:paraId="77492F65"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4DAC3FC9"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68F6CE90" w14:textId="77777777" w:rsidTr="00AF7098">
        <w:trPr>
          <w:cantSplit/>
        </w:trPr>
        <w:tc>
          <w:tcPr>
            <w:tcW w:w="6772" w:type="dxa"/>
            <w:tcBorders>
              <w:top w:val="single" w:sz="12" w:space="0" w:color="auto"/>
            </w:tcBorders>
          </w:tcPr>
          <w:p w14:paraId="0101681E"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2E03F5BB"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AF7098" w:rsidRPr="002A127E" w14:paraId="4B961C59" w14:textId="77777777" w:rsidTr="00AF7098">
        <w:trPr>
          <w:cantSplit/>
        </w:trPr>
        <w:tc>
          <w:tcPr>
            <w:tcW w:w="6772" w:type="dxa"/>
            <w:vMerge w:val="restart"/>
          </w:tcPr>
          <w:p w14:paraId="5F5F6887" w14:textId="77777777" w:rsidR="00AF7098" w:rsidRDefault="00AF7098" w:rsidP="00AF7098">
            <w:pPr>
              <w:shd w:val="solid" w:color="FFFFFF" w:fill="FFFFFF"/>
              <w:spacing w:after="240"/>
              <w:rPr>
                <w:sz w:val="20"/>
              </w:rPr>
            </w:pPr>
            <w:bookmarkStart w:id="0" w:name="dnum" w:colFirst="1" w:colLast="1"/>
          </w:p>
        </w:tc>
        <w:tc>
          <w:tcPr>
            <w:tcW w:w="3117" w:type="dxa"/>
          </w:tcPr>
          <w:p w14:paraId="6A39EF16" w14:textId="3470170D" w:rsidR="00AF7098" w:rsidRPr="00786266" w:rsidRDefault="00AF7098" w:rsidP="00AF7098">
            <w:pPr>
              <w:shd w:val="solid" w:color="FFFFFF" w:fill="FFFFFF"/>
              <w:spacing w:before="0" w:line="240" w:lineRule="atLeast"/>
              <w:rPr>
                <w:rFonts w:ascii="Verdana" w:hAnsi="Verdana"/>
                <w:sz w:val="20"/>
              </w:rPr>
            </w:pPr>
            <w:r w:rsidRPr="0086057D">
              <w:rPr>
                <w:rFonts w:ascii="Verdana" w:hAnsi="Verdana"/>
                <w:b/>
                <w:bCs/>
                <w:sz w:val="20"/>
              </w:rPr>
              <w:t>Documento RAG20/1</w:t>
            </w:r>
            <w:r>
              <w:rPr>
                <w:rFonts w:ascii="Verdana" w:hAnsi="Verdana"/>
                <w:b/>
                <w:bCs/>
                <w:sz w:val="20"/>
              </w:rPr>
              <w:t>9</w:t>
            </w:r>
            <w:r w:rsidRPr="0086057D">
              <w:rPr>
                <w:rFonts w:ascii="Verdana" w:hAnsi="Verdana"/>
                <w:b/>
                <w:bCs/>
                <w:sz w:val="20"/>
              </w:rPr>
              <w:t>-S</w:t>
            </w:r>
          </w:p>
        </w:tc>
      </w:tr>
      <w:tr w:rsidR="00AF7098" w:rsidRPr="002A127E" w14:paraId="295CFFE0" w14:textId="77777777" w:rsidTr="00AF7098">
        <w:trPr>
          <w:cantSplit/>
        </w:trPr>
        <w:tc>
          <w:tcPr>
            <w:tcW w:w="6772" w:type="dxa"/>
            <w:vMerge/>
          </w:tcPr>
          <w:p w14:paraId="58CA57C0" w14:textId="77777777" w:rsidR="00AF7098" w:rsidRDefault="00AF7098" w:rsidP="00AF7098">
            <w:pPr>
              <w:spacing w:before="60"/>
              <w:jc w:val="center"/>
              <w:rPr>
                <w:b/>
                <w:smallCaps/>
                <w:sz w:val="32"/>
              </w:rPr>
            </w:pPr>
            <w:bookmarkStart w:id="1" w:name="ddate" w:colFirst="1" w:colLast="1"/>
            <w:bookmarkEnd w:id="0"/>
          </w:p>
        </w:tc>
        <w:tc>
          <w:tcPr>
            <w:tcW w:w="3117" w:type="dxa"/>
          </w:tcPr>
          <w:p w14:paraId="65953D49" w14:textId="4B3123BD" w:rsidR="00AF7098" w:rsidRPr="00786266" w:rsidRDefault="00AF7098" w:rsidP="00AF7098">
            <w:pPr>
              <w:shd w:val="solid" w:color="FFFFFF" w:fill="FFFFFF"/>
              <w:spacing w:before="0" w:line="240" w:lineRule="atLeast"/>
              <w:rPr>
                <w:rFonts w:ascii="Verdana" w:hAnsi="Verdana"/>
                <w:sz w:val="20"/>
              </w:rPr>
            </w:pPr>
            <w:r>
              <w:rPr>
                <w:rFonts w:ascii="Verdana" w:hAnsi="Verdana"/>
                <w:b/>
                <w:bCs/>
                <w:sz w:val="20"/>
              </w:rPr>
              <w:t>11 de mayo</w:t>
            </w:r>
            <w:r w:rsidRPr="0086057D">
              <w:rPr>
                <w:rFonts w:ascii="Verdana" w:hAnsi="Verdana"/>
                <w:b/>
                <w:bCs/>
                <w:sz w:val="20"/>
              </w:rPr>
              <w:t xml:space="preserve"> de 2020</w:t>
            </w:r>
          </w:p>
        </w:tc>
      </w:tr>
      <w:tr w:rsidR="00AF7098" w:rsidRPr="002A127E" w14:paraId="4EBA2E42" w14:textId="77777777" w:rsidTr="00AF7098">
        <w:trPr>
          <w:cantSplit/>
        </w:trPr>
        <w:tc>
          <w:tcPr>
            <w:tcW w:w="6772" w:type="dxa"/>
            <w:vMerge/>
          </w:tcPr>
          <w:p w14:paraId="6FD0EC7E" w14:textId="77777777" w:rsidR="00AF7098" w:rsidRDefault="00AF7098" w:rsidP="00AF7098">
            <w:pPr>
              <w:spacing w:before="60"/>
              <w:jc w:val="center"/>
              <w:rPr>
                <w:b/>
                <w:smallCaps/>
                <w:sz w:val="32"/>
              </w:rPr>
            </w:pPr>
            <w:bookmarkStart w:id="2" w:name="dorlang" w:colFirst="1" w:colLast="1"/>
            <w:bookmarkEnd w:id="1"/>
          </w:p>
        </w:tc>
        <w:tc>
          <w:tcPr>
            <w:tcW w:w="3117" w:type="dxa"/>
          </w:tcPr>
          <w:p w14:paraId="3D0D9FD9" w14:textId="3734F795" w:rsidR="00AF7098" w:rsidRPr="00786266" w:rsidRDefault="00AF7098" w:rsidP="00AF7098">
            <w:pPr>
              <w:shd w:val="solid" w:color="FFFFFF" w:fill="FFFFFF"/>
              <w:spacing w:before="0" w:after="120" w:line="240" w:lineRule="atLeast"/>
              <w:rPr>
                <w:rFonts w:ascii="Verdana" w:hAnsi="Verdana"/>
                <w:sz w:val="20"/>
              </w:rPr>
            </w:pPr>
            <w:r w:rsidRPr="0086057D">
              <w:rPr>
                <w:rFonts w:ascii="Verdana" w:hAnsi="Verdana"/>
                <w:b/>
                <w:bCs/>
                <w:sz w:val="20"/>
              </w:rPr>
              <w:t xml:space="preserve">Original: </w:t>
            </w:r>
            <w:r>
              <w:rPr>
                <w:rFonts w:ascii="Verdana" w:hAnsi="Verdana"/>
                <w:b/>
                <w:bCs/>
                <w:sz w:val="20"/>
              </w:rPr>
              <w:t>chino</w:t>
            </w:r>
          </w:p>
        </w:tc>
      </w:tr>
      <w:tr w:rsidR="00AF7098" w14:paraId="6A5E768D" w14:textId="77777777" w:rsidTr="008F0106">
        <w:trPr>
          <w:cantSplit/>
        </w:trPr>
        <w:tc>
          <w:tcPr>
            <w:tcW w:w="9889" w:type="dxa"/>
            <w:gridSpan w:val="2"/>
          </w:tcPr>
          <w:p w14:paraId="578D7F6E" w14:textId="795101AB" w:rsidR="00AF7098" w:rsidRDefault="00AF7098" w:rsidP="00AF7098">
            <w:pPr>
              <w:pStyle w:val="Source"/>
            </w:pPr>
            <w:bookmarkStart w:id="3" w:name="dsource" w:colFirst="0" w:colLast="0"/>
            <w:bookmarkEnd w:id="2"/>
            <w:r>
              <w:t>China (República Popular de)</w:t>
            </w:r>
          </w:p>
        </w:tc>
      </w:tr>
      <w:tr w:rsidR="00AF7098" w14:paraId="4EE3561C" w14:textId="77777777" w:rsidTr="008F0106">
        <w:trPr>
          <w:cantSplit/>
        </w:trPr>
        <w:tc>
          <w:tcPr>
            <w:tcW w:w="9889" w:type="dxa"/>
            <w:gridSpan w:val="2"/>
          </w:tcPr>
          <w:p w14:paraId="44F6E606" w14:textId="00BC840D" w:rsidR="00AF7098" w:rsidRDefault="00AF7098" w:rsidP="00AF7098">
            <w:pPr>
              <w:pStyle w:val="Title1"/>
            </w:pPr>
            <w:bookmarkStart w:id="4" w:name="dtitle1" w:colFirst="0" w:colLast="0"/>
            <w:bookmarkEnd w:id="3"/>
            <w:r w:rsidRPr="0086057D">
              <w:t>I</w:t>
            </w:r>
            <w:r>
              <w:t xml:space="preserve">mplementación de las instrucciones de la ar-19 </w:t>
            </w:r>
            <w:r w:rsidR="00597366">
              <w:br/>
            </w:r>
            <w:r>
              <w:t xml:space="preserve">y la cmr-19 al gar </w:t>
            </w:r>
          </w:p>
        </w:tc>
      </w:tr>
    </w:tbl>
    <w:bookmarkEnd w:id="4"/>
    <w:p w14:paraId="32526FBB" w14:textId="77777777" w:rsidR="00AF7098" w:rsidRPr="00AF7098" w:rsidRDefault="00AF7098" w:rsidP="00597366">
      <w:pPr>
        <w:pStyle w:val="Headingb"/>
      </w:pPr>
      <w:r w:rsidRPr="00AF7098">
        <w:t>Antecedentes</w:t>
      </w:r>
    </w:p>
    <w:p w14:paraId="1F9514CE" w14:textId="41BA4B89" w:rsidR="00AF7098" w:rsidRPr="00AF7098" w:rsidRDefault="00AF7098" w:rsidP="00597366">
      <w:pPr>
        <w:pStyle w:val="Normalaftertitle"/>
        <w:spacing w:before="120"/>
      </w:pPr>
      <w:bookmarkStart w:id="5" w:name="_Toc446060752"/>
      <w:r w:rsidRPr="00AF7098">
        <w:t>Esta Administración observó que tanto la Asamblea de Radiocomunicaciones de 2019 (AR-19) como la Conferencia Mundial de Radiocomunicaciones de 2019 (CMR-19), celebradas en Sharm</w:t>
      </w:r>
      <w:r w:rsidR="007E2D5F">
        <w:t> </w:t>
      </w:r>
      <w:r w:rsidRPr="00AF7098">
        <w:t>el-Sheikh (Egipto) en los meses de octubre y noviembre de 2019, dieron instrucciones al Grupo Asesor de Radiocomunicaciones (GAR). Concretamente, la AR-19 dio instrucciones al</w:t>
      </w:r>
      <w:r w:rsidR="007E2D5F">
        <w:t> </w:t>
      </w:r>
      <w:r w:rsidRPr="00AF7098">
        <w:t>GAR</w:t>
      </w:r>
      <w:r w:rsidR="007E2D5F">
        <w:t> </w:t>
      </w:r>
      <w:r w:rsidRPr="00AF7098">
        <w:t>para que:</w:t>
      </w:r>
    </w:p>
    <w:bookmarkEnd w:id="5"/>
    <w:p w14:paraId="354BDB55" w14:textId="6B6EF6A7" w:rsidR="00AF7098" w:rsidRPr="00AF7098" w:rsidRDefault="00597366" w:rsidP="00597366">
      <w:pPr>
        <w:pStyle w:val="enumlev1"/>
      </w:pPr>
      <w:r>
        <w:t>1)</w:t>
      </w:r>
      <w:r>
        <w:tab/>
      </w:r>
      <w:r w:rsidR="00AF7098" w:rsidRPr="00AF7098">
        <w:t>examinase el periodo máximo de mandato de los Presidentes de los Grupos de Trabajo de Radiocomunicaciones y comunicase los resultados de dicho examen a la AR-23;</w:t>
      </w:r>
    </w:p>
    <w:p w14:paraId="3A2A2412" w14:textId="30CDADE6" w:rsidR="00AF7098" w:rsidRPr="00AF7098" w:rsidRDefault="00597366" w:rsidP="00597366">
      <w:pPr>
        <w:pStyle w:val="enumlev1"/>
      </w:pPr>
      <w:r>
        <w:t>2)</w:t>
      </w:r>
      <w:r>
        <w:tab/>
      </w:r>
      <w:r w:rsidR="00AF7098" w:rsidRPr="00AF7098">
        <w:t xml:space="preserve">identificase posibles modificaciones de la Resolución UIT-R 1 con respecto a los procedimientos de aprobación, cuando un texto era pertinente para los temas de varias Comisiones de Estudio, y a la distribución de las objeciones recibidas durante el proceso de aprobación; </w:t>
      </w:r>
    </w:p>
    <w:p w14:paraId="7DB6985B" w14:textId="22E2753A" w:rsidR="00AF7098" w:rsidRPr="00AF7098" w:rsidRDefault="00597366" w:rsidP="00597366">
      <w:pPr>
        <w:pStyle w:val="enumlev1"/>
      </w:pPr>
      <w:r>
        <w:t>3)</w:t>
      </w:r>
      <w:r>
        <w:tab/>
      </w:r>
      <w:r w:rsidR="00AF7098" w:rsidRPr="00AF7098">
        <w:t>considerase la necesidad de revisar la Resolución UIT-R 1, entre otras cosas con miras a añadir disposiciones que regulasen la formación de los nuevos Presidentes y Vicepresidentes electos de las Comisiones de Estudio.</w:t>
      </w:r>
    </w:p>
    <w:p w14:paraId="60FFE8BF" w14:textId="7FA5C9BE" w:rsidR="00AF7098" w:rsidRPr="00AF7098" w:rsidRDefault="00AF7098" w:rsidP="00597366">
      <w:pPr>
        <w:pStyle w:val="Normalaftertitle"/>
        <w:spacing w:before="120"/>
      </w:pPr>
      <w:r w:rsidRPr="00AF7098">
        <w:t>La AR-19 también propuso preparar una suerte de nota informativa y directrices para que los nuevos Vicepresidentes electos se familiarizaran con los métodos de trabajo de las Comisiones de</w:t>
      </w:r>
      <w:r w:rsidR="00597366">
        <w:t> </w:t>
      </w:r>
      <w:r w:rsidRPr="00AF7098">
        <w:t>Estudio.</w:t>
      </w:r>
    </w:p>
    <w:p w14:paraId="5490D3CF" w14:textId="77777777" w:rsidR="00AF7098" w:rsidRPr="00AF7098" w:rsidRDefault="00AF7098" w:rsidP="00597366">
      <w:pPr>
        <w:pStyle w:val="Normalaftertitle"/>
        <w:spacing w:before="120"/>
      </w:pPr>
      <w:r w:rsidRPr="00AF7098">
        <w:t>Además, como importante logro de la CRM-19, la Conferencia adoptó su primera «Declaración de Género», en la que dejó constancia del compromiso del Sector para con la igualdad y el equilibrio entre hombre y mujeres. En ella se definen medidas específicas para que el UIT-R intensifique sus esfuerzos a fin de garantizar que todas sus políticas, programas de trabajo, actividades de difusión de información, publicaciones, comisiones de estudio, seminarios, cursos, asambleas y conferencias reflejen el compromiso con la igualdad de género y promuevan el equilibrio entre hombres y mujeres. Además, se declara que los Estados Miembros y Miembros de Sector de la UIT deben alentar la adopción de medidas de demostrada eficacia destinadas a aumentar el número de mujeres que cursan en todo el mundo estudios universitarios en todos los niveles en los ámbitos de la ciencia, la tecnología, la ingeniería y las matemáticas (STEM), en particular en aquellos relacionados con las TIC. La CMR-19 también declaró que los Estados Miembros deberían examinar y adoptar una Resolución, en el marco de la Asamblea de Radiocomunicaciones de 2023, sobre igualdad, equidad y paridad entre hombres y mujeres en el UIT-R. También identificó varias medidas que pueden apoyarse a través de las labores del GAR.</w:t>
      </w:r>
    </w:p>
    <w:p w14:paraId="531A7FAB" w14:textId="77777777" w:rsidR="00AF7098" w:rsidRPr="00AF7098" w:rsidRDefault="00AF7098" w:rsidP="00597366">
      <w:pPr>
        <w:pStyle w:val="Normalaftertitle"/>
        <w:spacing w:before="120"/>
      </w:pPr>
      <w:r w:rsidRPr="00AF7098">
        <w:lastRenderedPageBreak/>
        <w:t>Con arreglo al § 3.2.5 del Informe del Director (Documento RAG20/1) el GAR podría promover los objetivos de la Declaración de Género:</w:t>
      </w:r>
    </w:p>
    <w:p w14:paraId="3AA0AA4C" w14:textId="3DFBFCC3" w:rsidR="00AF7098" w:rsidRPr="00AF7098" w:rsidRDefault="00597366" w:rsidP="00597366">
      <w:pPr>
        <w:pStyle w:val="enumlev1"/>
      </w:pPr>
      <w:r>
        <w:t>1)</w:t>
      </w:r>
      <w:r>
        <w:tab/>
      </w:r>
      <w:r w:rsidR="00AF7098" w:rsidRPr="00AF7098">
        <w:t>Facilitando orientaciones y estímulos para la selección equitativa de los Presidentes, Vicepresidentes y Relatores en las Comisiones de Estudio del UIT-R, la RPC y el propio</w:t>
      </w:r>
      <w:r>
        <w:t> </w:t>
      </w:r>
      <w:r w:rsidR="00AF7098" w:rsidRPr="00AF7098">
        <w:t>GAR.</w:t>
      </w:r>
    </w:p>
    <w:p w14:paraId="40B20405" w14:textId="237C2FA8" w:rsidR="00AF7098" w:rsidRPr="00AF7098" w:rsidRDefault="00597366" w:rsidP="00597366">
      <w:pPr>
        <w:pStyle w:val="enumlev1"/>
      </w:pPr>
      <w:r>
        <w:t>2)</w:t>
      </w:r>
      <w:r>
        <w:tab/>
      </w:r>
      <w:r w:rsidR="00AF7098" w:rsidRPr="00AF7098">
        <w:t>Elaborando un proyecto de resolución sobre igualdad, equidad y paridad entre hombres y mujeres en el UIT-R, que se sometería al examen y la aprobación de la Asamblea de Radiocomunicaciones de 2023.</w:t>
      </w:r>
    </w:p>
    <w:p w14:paraId="08510890" w14:textId="7F5EE1EA" w:rsidR="00AF7098" w:rsidRPr="00AF7098" w:rsidRDefault="00597366" w:rsidP="00597366">
      <w:pPr>
        <w:pStyle w:val="enumlev1"/>
      </w:pPr>
      <w:r>
        <w:t>3)</w:t>
      </w:r>
      <w:r>
        <w:tab/>
      </w:r>
      <w:r w:rsidR="00AF7098" w:rsidRPr="00AF7098">
        <w:t>Prestando apoyo y aportando contribuciones a la labor en curso de la «Red de Mujeres», a fin de mejorar y maximizar la eficacia de esta iniciativa; y</w:t>
      </w:r>
    </w:p>
    <w:p w14:paraId="27C24080" w14:textId="47D75EC1" w:rsidR="00AF7098" w:rsidRPr="00AF7098" w:rsidRDefault="00597366" w:rsidP="00597366">
      <w:pPr>
        <w:pStyle w:val="enumlev1"/>
      </w:pPr>
      <w:r>
        <w:t>4)</w:t>
      </w:r>
      <w:r>
        <w:tab/>
      </w:r>
      <w:r w:rsidR="00AF7098" w:rsidRPr="00AF7098">
        <w:t>Prestando asesoramiento, siempre que sea posible, sobre cuestiones relativas al UIT-R que contribuyan al objetivo de lograr la igualdad, la equidad y la paridad entre hombres y mujeres en los trabajos del Sector.</w:t>
      </w:r>
    </w:p>
    <w:p w14:paraId="62312D37" w14:textId="77777777" w:rsidR="00AF7098" w:rsidRPr="00597366" w:rsidRDefault="00AF7098" w:rsidP="00597366">
      <w:pPr>
        <w:pStyle w:val="Headingb"/>
      </w:pPr>
      <w:r w:rsidRPr="00597366">
        <w:t>Propuesta</w:t>
      </w:r>
    </w:p>
    <w:p w14:paraId="14E969CB" w14:textId="39A743F5" w:rsidR="00AF7098" w:rsidRDefault="00AF7098" w:rsidP="00597366">
      <w:pPr>
        <w:pStyle w:val="Normalaftertitle"/>
        <w:spacing w:before="120"/>
      </w:pPr>
      <w:r w:rsidRPr="00AF7098">
        <w:t>Para aplicar mejor las instrucciones arriba citadas, se propone que el GAR cree dos Grupos de Relator para debatir las cuestiones mencionadas en forma de reuniones de menor escala, como respuesta a las instrucciones dadas al GAR por la AR-19 y la CMR-19, respectivamente</w:t>
      </w:r>
      <w:r>
        <w:t>.</w:t>
      </w:r>
    </w:p>
    <w:p w14:paraId="6459E7E8" w14:textId="77777777" w:rsidR="007E2D5F" w:rsidRPr="006337FF" w:rsidRDefault="007E2D5F" w:rsidP="007E2D5F">
      <w:pPr>
        <w:rPr>
          <w:szCs w:val="24"/>
        </w:rPr>
      </w:pPr>
    </w:p>
    <w:p w14:paraId="60E6D8A1" w14:textId="6A3D8A88" w:rsidR="00597366" w:rsidRPr="00597366" w:rsidRDefault="007E2D5F" w:rsidP="007E2D5F">
      <w:pPr>
        <w:jc w:val="center"/>
      </w:pPr>
      <w:r w:rsidRPr="006337FF">
        <w:t>______________</w:t>
      </w:r>
      <w:bookmarkStart w:id="6" w:name="_GoBack"/>
      <w:bookmarkEnd w:id="6"/>
    </w:p>
    <w:sectPr w:rsidR="00597366" w:rsidRPr="00597366" w:rsidSect="004D6C09">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2415" w14:textId="77777777" w:rsidR="00AF7098" w:rsidRDefault="00AF7098">
      <w:r>
        <w:separator/>
      </w:r>
    </w:p>
  </w:endnote>
  <w:endnote w:type="continuationSeparator" w:id="0">
    <w:p w14:paraId="3CF0C9F0" w14:textId="77777777" w:rsidR="00AF7098" w:rsidRDefault="00AF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29A04" w14:textId="4D3CA353" w:rsidR="00616601" w:rsidRPr="006E18F3" w:rsidRDefault="006E18F3" w:rsidP="006E18F3">
    <w:pPr>
      <w:pStyle w:val="Footer"/>
    </w:pPr>
    <w:r>
      <w:fldChar w:fldCharType="begin"/>
    </w:r>
    <w:r>
      <w:instrText xml:space="preserve"> FILENAME \p  \* MERGEFORMAT </w:instrText>
    </w:r>
    <w:r>
      <w:fldChar w:fldCharType="separate"/>
    </w:r>
    <w:r>
      <w:t>P:\ESP\ITU-R\AG\RAG\RAG20\000\019S.docx</w:t>
    </w:r>
    <w:r>
      <w:fldChar w:fldCharType="end"/>
    </w:r>
    <w:r>
      <w:t xml:space="preserve"> (471076)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2BB0" w14:textId="778C4CB3" w:rsidR="00616601" w:rsidRPr="006E18F3" w:rsidRDefault="006E18F3" w:rsidP="006E18F3">
    <w:pPr>
      <w:pStyle w:val="Footer"/>
      <w:rPr>
        <w:lang w:val="en-US"/>
      </w:rPr>
    </w:pPr>
    <w:r>
      <w:fldChar w:fldCharType="begin"/>
    </w:r>
    <w:r>
      <w:instrText xml:space="preserve"> FILENAME \p  \* MERGEFORMAT </w:instrText>
    </w:r>
    <w:r>
      <w:fldChar w:fldCharType="separate"/>
    </w:r>
    <w:r>
      <w:t>P:\ESP\ITU-R\AG\RAG\RAG20\000\0</w:t>
    </w:r>
    <w:r>
      <w:t>19</w:t>
    </w:r>
    <w:r>
      <w:t>S.docx</w:t>
    </w:r>
    <w:r>
      <w:fldChar w:fldCharType="end"/>
    </w:r>
    <w:r>
      <w:t xml:space="preserve"> (4710</w:t>
    </w:r>
    <w:r>
      <w:t>76</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66DB3" w14:textId="77777777" w:rsidR="00AF7098" w:rsidRDefault="00AF7098">
      <w:r>
        <w:t>____________________</w:t>
      </w:r>
    </w:p>
  </w:footnote>
  <w:footnote w:type="continuationSeparator" w:id="0">
    <w:p w14:paraId="6996A7F7" w14:textId="77777777" w:rsidR="00AF7098" w:rsidRDefault="00AF7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A38AB"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04ECC394" w14:textId="1982A4A4" w:rsidR="00616601" w:rsidRDefault="0034043B" w:rsidP="00AB4BAD">
    <w:pPr>
      <w:pStyle w:val="Header"/>
      <w:rPr>
        <w:lang w:val="es-ES"/>
      </w:rPr>
    </w:pPr>
    <w:r>
      <w:rPr>
        <w:lang w:val="es-ES"/>
      </w:rPr>
      <w:t>RAG</w:t>
    </w:r>
    <w:r w:rsidR="00AB4BAD">
      <w:rPr>
        <w:lang w:val="es-ES"/>
      </w:rPr>
      <w:t>20</w:t>
    </w:r>
    <w:r w:rsidR="00616601">
      <w:rPr>
        <w:lang w:val="es-ES"/>
      </w:rPr>
      <w:t>/</w:t>
    </w:r>
    <w:r w:rsidR="00597366">
      <w:rPr>
        <w:lang w:val="es-ES"/>
      </w:rPr>
      <w:t>19</w:t>
    </w:r>
    <w:r w:rsidR="00616601">
      <w:rPr>
        <w:lang w:val="es-E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303F2"/>
    <w:multiLevelType w:val="hybridMultilevel"/>
    <w:tmpl w:val="16CCDDE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974667"/>
    <w:multiLevelType w:val="hybridMultilevel"/>
    <w:tmpl w:val="45926C9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98"/>
    <w:rsid w:val="000C62BA"/>
    <w:rsid w:val="000D756D"/>
    <w:rsid w:val="0012592F"/>
    <w:rsid w:val="001F2F50"/>
    <w:rsid w:val="0031432E"/>
    <w:rsid w:val="0034043B"/>
    <w:rsid w:val="00414D8B"/>
    <w:rsid w:val="00482905"/>
    <w:rsid w:val="004A2729"/>
    <w:rsid w:val="004D6C09"/>
    <w:rsid w:val="0057336B"/>
    <w:rsid w:val="00597366"/>
    <w:rsid w:val="005A2195"/>
    <w:rsid w:val="005D3E02"/>
    <w:rsid w:val="00610642"/>
    <w:rsid w:val="00616601"/>
    <w:rsid w:val="00646EEF"/>
    <w:rsid w:val="00663829"/>
    <w:rsid w:val="006A42AB"/>
    <w:rsid w:val="006B5313"/>
    <w:rsid w:val="006E18F3"/>
    <w:rsid w:val="006E291F"/>
    <w:rsid w:val="007E2D5F"/>
    <w:rsid w:val="008506C9"/>
    <w:rsid w:val="008F0106"/>
    <w:rsid w:val="00924B63"/>
    <w:rsid w:val="00982618"/>
    <w:rsid w:val="009C205E"/>
    <w:rsid w:val="00A0579C"/>
    <w:rsid w:val="00A7663C"/>
    <w:rsid w:val="00AB4BAD"/>
    <w:rsid w:val="00AF7098"/>
    <w:rsid w:val="00B32E51"/>
    <w:rsid w:val="00C837F0"/>
    <w:rsid w:val="00CB7A43"/>
    <w:rsid w:val="00CF4CAC"/>
    <w:rsid w:val="00D51E1E"/>
    <w:rsid w:val="00DE77E6"/>
    <w:rsid w:val="00E72EA7"/>
    <w:rsid w:val="00EA4101"/>
    <w:rsid w:val="00F23715"/>
    <w:rsid w:val="00F7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C06F3"/>
  <w15:docId w15:val="{DD60E08E-A18D-4C32-BC1A-3CACE7A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ell\AppData\Roaming\Microsoft\Templates\POOL%20S%20-%20ITU\PS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PS_RAG20.dotm</Template>
  <TotalTime>12</TotalTime>
  <Pages>2</Pages>
  <Words>615</Words>
  <Characters>3317</Characters>
  <Application>Microsoft Office Word</Application>
  <DocSecurity>0</DocSecurity>
  <Lines>67</Lines>
  <Paragraphs>21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IMPLEMENTACIÓN DE LAS INSTRUCCIONES DE LA AR-19 Y LA CMR-19 AL GAR</dc:title>
  <dc:subject>GRUPO ASESOR DE RADIOCOMUNICACIONES</dc:subject>
  <dc:creator>China (República Popular de)</dc:creator>
  <cp:keywords>RAG03-1</cp:keywords>
  <dc:description>Documento RAG20/19-S  For: _x000d_Document date: 11 de mayo de 2020_x000d_Saved by ITU51014343 at 14:49:23 on 15/05/2020</dc:description>
  <cp:lastModifiedBy>Casellas, Mercedes</cp:lastModifiedBy>
  <cp:revision>4</cp:revision>
  <cp:lastPrinted>1993-02-18T11:12:00Z</cp:lastPrinted>
  <dcterms:created xsi:type="dcterms:W3CDTF">2020-05-15T12:30:00Z</dcterms:created>
  <dcterms:modified xsi:type="dcterms:W3CDTF">2020-05-15T12:49:00Z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RAG20/19-S</vt:lpwstr>
  </property>
  <property fmtid="{D5CDD505-2E9C-101B-9397-08002B2CF9AE}" pid="3" name="Docdate">
    <vt:lpwstr>11 de mayo de 2020</vt:lpwstr>
  </property>
  <property fmtid="{D5CDD505-2E9C-101B-9397-08002B2CF9AE}" pid="4" name="Docorlang">
    <vt:lpwstr>Original: chino</vt:lpwstr>
  </property>
  <property fmtid="{D5CDD505-2E9C-101B-9397-08002B2CF9AE}" pid="5" name="Docauthor">
    <vt:lpwstr>China (República Popular de)</vt:lpwstr>
  </property>
</Properties>
</file>