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:rsidRPr="00E94AD9" w:rsidTr="00E101E8">
        <w:trPr>
          <w:cantSplit/>
        </w:trPr>
        <w:tc>
          <w:tcPr>
            <w:tcW w:w="6772" w:type="dxa"/>
            <w:vAlign w:val="center"/>
          </w:tcPr>
          <w:p w:rsidR="0057336B" w:rsidRPr="00E94AD9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E94AD9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 w:rsidRPr="00E94AD9">
              <w:rPr>
                <w:b/>
                <w:caps/>
                <w:sz w:val="32"/>
              </w:rPr>
              <w:br/>
            </w:r>
            <w:r w:rsidRPr="00E94AD9">
              <w:rPr>
                <w:rFonts w:ascii="Verdana" w:hAnsi="Verdana" w:cs="Times New Roman Bold"/>
                <w:b/>
                <w:bCs/>
                <w:sz w:val="20"/>
              </w:rPr>
              <w:t xml:space="preserve">Ginebra, </w:t>
            </w:r>
            <w:r w:rsidR="00A7663C" w:rsidRPr="00E94AD9">
              <w:rPr>
                <w:rFonts w:ascii="Verdana" w:hAnsi="Verdana" w:cs="Times New Roman Bold"/>
                <w:b/>
                <w:bCs/>
                <w:sz w:val="20"/>
              </w:rPr>
              <w:t>25</w:t>
            </w:r>
            <w:r w:rsidRPr="00E94AD9"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A7663C" w:rsidRPr="00E94AD9">
              <w:rPr>
                <w:rFonts w:ascii="Verdana" w:hAnsi="Verdana" w:cs="Times New Roman Bold"/>
                <w:b/>
                <w:bCs/>
                <w:sz w:val="20"/>
              </w:rPr>
              <w:t>27</w:t>
            </w:r>
            <w:r w:rsidRPr="00E94AD9">
              <w:rPr>
                <w:rFonts w:ascii="Verdana" w:hAnsi="Verdana" w:cs="Times New Roman Bold"/>
                <w:b/>
                <w:bCs/>
                <w:sz w:val="20"/>
              </w:rPr>
              <w:t xml:space="preserve"> de </w:t>
            </w:r>
            <w:r w:rsidR="00A7663C" w:rsidRPr="00E94AD9">
              <w:rPr>
                <w:rFonts w:ascii="Verdana" w:hAnsi="Verdana" w:cs="Times New Roman Bold"/>
                <w:b/>
                <w:bCs/>
                <w:sz w:val="20"/>
              </w:rPr>
              <w:t xml:space="preserve">mayo </w:t>
            </w:r>
            <w:r w:rsidRPr="00E94AD9">
              <w:rPr>
                <w:rFonts w:ascii="Verdana" w:hAnsi="Verdana" w:cs="Times New Roman Bold"/>
                <w:b/>
                <w:bCs/>
                <w:sz w:val="20"/>
              </w:rPr>
              <w:t>de 20</w:t>
            </w:r>
            <w:r w:rsidR="00AB4BAD" w:rsidRPr="00E94AD9">
              <w:rPr>
                <w:rFonts w:ascii="Verdana" w:hAnsi="Verdana" w:cs="Times New Roman Bold"/>
                <w:b/>
                <w:bCs/>
                <w:sz w:val="20"/>
              </w:rPr>
              <w:t>20</w:t>
            </w:r>
          </w:p>
        </w:tc>
        <w:tc>
          <w:tcPr>
            <w:tcW w:w="3117" w:type="dxa"/>
            <w:vAlign w:val="center"/>
          </w:tcPr>
          <w:p w:rsidR="0057336B" w:rsidRPr="00E94AD9" w:rsidRDefault="00AB4BAD" w:rsidP="00A7663C">
            <w:pPr>
              <w:shd w:val="solid" w:color="FFFFFF" w:fill="FFFFFF"/>
              <w:spacing w:before="0"/>
            </w:pPr>
            <w:r w:rsidRPr="00E94AD9">
              <w:rPr>
                <w:noProof/>
                <w:lang w:val="en-US"/>
              </w:rPr>
              <w:drawing>
                <wp:inline distT="0" distB="0" distL="0" distR="0" wp14:anchorId="0EE722E4" wp14:editId="54324770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E94AD9" w:rsidTr="00E101E8">
        <w:trPr>
          <w:cantSplit/>
        </w:trPr>
        <w:tc>
          <w:tcPr>
            <w:tcW w:w="6772" w:type="dxa"/>
            <w:tcBorders>
              <w:bottom w:val="single" w:sz="12" w:space="0" w:color="auto"/>
            </w:tcBorders>
          </w:tcPr>
          <w:p w:rsidR="006E291F" w:rsidRPr="00E94AD9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:rsidR="006E291F" w:rsidRPr="00E94AD9" w:rsidRDefault="006E291F" w:rsidP="00CB7A43">
            <w:pPr>
              <w:shd w:val="solid" w:color="FFFFFF" w:fill="FFFFFF"/>
              <w:spacing w:before="0" w:after="48" w:line="240" w:lineRule="atLeast"/>
              <w:rPr>
                <w:sz w:val="20"/>
              </w:rPr>
            </w:pPr>
          </w:p>
        </w:tc>
      </w:tr>
      <w:tr w:rsidR="006E291F" w:rsidRPr="00E94AD9" w:rsidTr="00E101E8">
        <w:trPr>
          <w:cantSplit/>
        </w:trPr>
        <w:tc>
          <w:tcPr>
            <w:tcW w:w="6772" w:type="dxa"/>
            <w:tcBorders>
              <w:top w:val="single" w:sz="12" w:space="0" w:color="auto"/>
            </w:tcBorders>
          </w:tcPr>
          <w:p w:rsidR="006E291F" w:rsidRPr="00E94AD9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:rsidR="006E291F" w:rsidRPr="00E94AD9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0"/>
              </w:rPr>
            </w:pPr>
          </w:p>
        </w:tc>
      </w:tr>
      <w:tr w:rsidR="00E101E8" w:rsidRPr="00E94AD9" w:rsidTr="00E101E8">
        <w:trPr>
          <w:cantSplit/>
        </w:trPr>
        <w:tc>
          <w:tcPr>
            <w:tcW w:w="6772" w:type="dxa"/>
            <w:vMerge w:val="restart"/>
          </w:tcPr>
          <w:p w:rsidR="00E101E8" w:rsidRPr="00E94AD9" w:rsidRDefault="00E101E8" w:rsidP="00E101E8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7" w:type="dxa"/>
          </w:tcPr>
          <w:p w:rsidR="00E101E8" w:rsidRPr="00E94AD9" w:rsidRDefault="00E101E8" w:rsidP="00E101E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E94AD9">
              <w:rPr>
                <w:rFonts w:ascii="Verdana" w:hAnsi="Verdana"/>
                <w:b/>
                <w:sz w:val="20"/>
              </w:rPr>
              <w:t>Documento RAG20/18-S</w:t>
            </w:r>
          </w:p>
        </w:tc>
      </w:tr>
      <w:tr w:rsidR="00E101E8" w:rsidRPr="00E94AD9" w:rsidTr="00E101E8">
        <w:trPr>
          <w:cantSplit/>
        </w:trPr>
        <w:tc>
          <w:tcPr>
            <w:tcW w:w="6772" w:type="dxa"/>
            <w:vMerge/>
          </w:tcPr>
          <w:p w:rsidR="00E101E8" w:rsidRPr="00E94AD9" w:rsidRDefault="00E101E8" w:rsidP="00E101E8">
            <w:pPr>
              <w:spacing w:before="60"/>
              <w:jc w:val="center"/>
              <w:rPr>
                <w:b/>
                <w:smallCaps/>
                <w:sz w:val="20"/>
              </w:rPr>
            </w:pPr>
            <w:bookmarkStart w:id="1" w:name="ddate" w:colFirst="1" w:colLast="1"/>
            <w:bookmarkEnd w:id="0"/>
          </w:p>
        </w:tc>
        <w:tc>
          <w:tcPr>
            <w:tcW w:w="3117" w:type="dxa"/>
          </w:tcPr>
          <w:p w:rsidR="00E101E8" w:rsidRPr="00E94AD9" w:rsidRDefault="00E101E8" w:rsidP="00E101E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E94AD9">
              <w:rPr>
                <w:rFonts w:ascii="Verdana" w:hAnsi="Verdana"/>
                <w:b/>
                <w:sz w:val="20"/>
              </w:rPr>
              <w:t>11 de mayo de 2020</w:t>
            </w:r>
          </w:p>
        </w:tc>
      </w:tr>
      <w:tr w:rsidR="00E101E8" w:rsidRPr="00E94AD9" w:rsidTr="00E101E8">
        <w:trPr>
          <w:cantSplit/>
        </w:trPr>
        <w:tc>
          <w:tcPr>
            <w:tcW w:w="6772" w:type="dxa"/>
            <w:vMerge/>
          </w:tcPr>
          <w:p w:rsidR="00E101E8" w:rsidRPr="00E94AD9" w:rsidRDefault="00E101E8" w:rsidP="00E101E8">
            <w:pPr>
              <w:spacing w:before="60"/>
              <w:jc w:val="center"/>
              <w:rPr>
                <w:b/>
                <w:smallCaps/>
                <w:sz w:val="20"/>
              </w:rPr>
            </w:pPr>
            <w:bookmarkStart w:id="2" w:name="dorlang" w:colFirst="1" w:colLast="1"/>
            <w:bookmarkEnd w:id="1"/>
          </w:p>
        </w:tc>
        <w:tc>
          <w:tcPr>
            <w:tcW w:w="3117" w:type="dxa"/>
          </w:tcPr>
          <w:p w:rsidR="00E101E8" w:rsidRPr="00E94AD9" w:rsidRDefault="00E101E8" w:rsidP="00E101E8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 w:rsidRPr="00E94AD9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E101E8" w:rsidRPr="00E94AD9" w:rsidTr="008F0106">
        <w:trPr>
          <w:cantSplit/>
        </w:trPr>
        <w:tc>
          <w:tcPr>
            <w:tcW w:w="9889" w:type="dxa"/>
            <w:gridSpan w:val="2"/>
          </w:tcPr>
          <w:p w:rsidR="00E101E8" w:rsidRPr="00E94AD9" w:rsidRDefault="00E101E8" w:rsidP="00E101E8">
            <w:pPr>
              <w:pStyle w:val="Source"/>
            </w:pPr>
            <w:bookmarkStart w:id="3" w:name="dsource" w:colFirst="0" w:colLast="0"/>
            <w:bookmarkEnd w:id="2"/>
            <w:r w:rsidRPr="00E94AD9">
              <w:t>Japón</w:t>
            </w:r>
          </w:p>
        </w:tc>
      </w:tr>
      <w:tr w:rsidR="00E101E8" w:rsidRPr="00E94AD9" w:rsidTr="008F0106">
        <w:trPr>
          <w:cantSplit/>
        </w:trPr>
        <w:tc>
          <w:tcPr>
            <w:tcW w:w="9889" w:type="dxa"/>
            <w:gridSpan w:val="2"/>
          </w:tcPr>
          <w:p w:rsidR="00E101E8" w:rsidRPr="00E94AD9" w:rsidRDefault="00E101E8" w:rsidP="00E101E8">
            <w:pPr>
              <w:pStyle w:val="Title1"/>
            </w:pPr>
            <w:bookmarkStart w:id="4" w:name="dtitle1" w:colFirst="0" w:colLast="0"/>
            <w:bookmarkEnd w:id="3"/>
            <w:r w:rsidRPr="00E94AD9">
              <w:t>consideración al haer referencia a normas externas</w:t>
            </w:r>
            <w:r w:rsidRPr="00E94AD9">
              <w:br/>
              <w:t>desde una recomendación uit-r</w:t>
            </w:r>
          </w:p>
        </w:tc>
      </w:tr>
    </w:tbl>
    <w:bookmarkEnd w:id="4"/>
    <w:p w:rsidR="00E101E8" w:rsidRPr="00E94AD9" w:rsidRDefault="00E101E8" w:rsidP="00E101E8">
      <w:pPr>
        <w:pStyle w:val="Heading1"/>
      </w:pPr>
      <w:r w:rsidRPr="00E94AD9">
        <w:t>1</w:t>
      </w:r>
      <w:r w:rsidRPr="00E94AD9">
        <w:tab/>
        <w:t>Antecedentes</w:t>
      </w:r>
    </w:p>
    <w:p w:rsidR="00E101E8" w:rsidRPr="00E94AD9" w:rsidRDefault="00E101E8" w:rsidP="00E101E8">
      <w:r w:rsidRPr="00E94AD9">
        <w:t xml:space="preserve">En el </w:t>
      </w:r>
      <w:r w:rsidRPr="00E94AD9">
        <w:rPr>
          <w:i/>
          <w:iCs/>
        </w:rPr>
        <w:t>resuelve</w:t>
      </w:r>
      <w:r w:rsidRPr="00E94AD9">
        <w:t xml:space="preserve"> 2 de la Resolución UIT-R 9-6 se estipula que </w:t>
      </w:r>
      <w:r w:rsidRPr="00E94AD9">
        <w:rPr>
          <w:i/>
          <w:iCs/>
        </w:rPr>
        <w:t>las Recomendaciones y los Informes del UIT</w:t>
      </w:r>
      <w:r w:rsidR="008238EF">
        <w:rPr>
          <w:i/>
          <w:iCs/>
        </w:rPr>
        <w:t>-</w:t>
      </w:r>
      <w:r w:rsidRPr="00E94AD9">
        <w:rPr>
          <w:i/>
          <w:iCs/>
        </w:rPr>
        <w:t>R, determinados por la Comisión de Estudio, hagan referencia a las normas aprobadas de cuyo mantenimiento se encargan otras organizaciones</w:t>
      </w:r>
      <w:r w:rsidRPr="00E94AD9">
        <w:t>. Esto facilitaría la labor de las Comisiones de Estudio en la elaboración de textos del UIT-R. Sin embargo, la referencia a documentos de organizaciones externas no significa necesariamente meras citas d</w:t>
      </w:r>
      <w:r w:rsidR="00BF7AF1" w:rsidRPr="00E94AD9">
        <w:t>e una o varias normas externas.</w:t>
      </w:r>
    </w:p>
    <w:p w:rsidR="00E101E8" w:rsidRPr="00E94AD9" w:rsidRDefault="00E101E8" w:rsidP="00E101E8">
      <w:r w:rsidRPr="00E94AD9">
        <w:t>En la elaboración de una Recomendación del UIT-R, cuyas especificaciones son coherentes y están armonizadas con normas externas, pueden ser posibles diferentes enfoques, entre ellos:</w:t>
      </w:r>
    </w:p>
    <w:p w:rsidR="00E101E8" w:rsidRPr="00E94AD9" w:rsidRDefault="00E101E8" w:rsidP="00E101E8">
      <w:pPr>
        <w:pStyle w:val="enumlev1"/>
      </w:pPr>
      <w:r w:rsidRPr="00E94AD9">
        <w:t>a)</w:t>
      </w:r>
      <w:r w:rsidRPr="00E94AD9">
        <w:tab/>
        <w:t xml:space="preserve">Simples citas de normas externas en la parte de los </w:t>
      </w:r>
      <w:r w:rsidRPr="00E94AD9">
        <w:rPr>
          <w:i/>
          <w:iCs/>
        </w:rPr>
        <w:t>recomienda</w:t>
      </w:r>
      <w:r w:rsidR="00DA3658" w:rsidRPr="00E94AD9">
        <w:t>.</w:t>
      </w:r>
    </w:p>
    <w:p w:rsidR="00E101E8" w:rsidRPr="00E94AD9" w:rsidRDefault="00E101E8" w:rsidP="00E101E8">
      <w:pPr>
        <w:pStyle w:val="enumlev1"/>
      </w:pPr>
      <w:r w:rsidRPr="00E94AD9">
        <w:t>b)</w:t>
      </w:r>
      <w:r w:rsidRPr="00E94AD9">
        <w:tab/>
        <w:t xml:space="preserve">Citas de normas externas en la parte de los </w:t>
      </w:r>
      <w:r w:rsidRPr="00E94AD9">
        <w:rPr>
          <w:i/>
          <w:iCs/>
        </w:rPr>
        <w:t>recomienda</w:t>
      </w:r>
      <w:r w:rsidRPr="00E94AD9">
        <w:t xml:space="preserve"> junto con reproducciones de las especificaciones de normas externas de manera apropiada como una Recomendación UIT</w:t>
      </w:r>
      <w:r w:rsidR="00BF7AF1" w:rsidRPr="00E94AD9">
        <w:noBreakHyphen/>
      </w:r>
      <w:r w:rsidRPr="00E94AD9">
        <w:t>R en uno o varios anexos</w:t>
      </w:r>
      <w:r w:rsidR="00DA3658" w:rsidRPr="00E94AD9">
        <w:t>.</w:t>
      </w:r>
    </w:p>
    <w:p w:rsidR="00E101E8" w:rsidRPr="00E94AD9" w:rsidRDefault="00E101E8" w:rsidP="00E101E8">
      <w:pPr>
        <w:pStyle w:val="enumlev1"/>
      </w:pPr>
      <w:r w:rsidRPr="00E94AD9">
        <w:t>c)</w:t>
      </w:r>
      <w:r w:rsidRPr="00E94AD9">
        <w:tab/>
        <w:t xml:space="preserve">Sin ninguna cita de normas externas en la parte de los </w:t>
      </w:r>
      <w:r w:rsidRPr="00E94AD9">
        <w:rPr>
          <w:i/>
          <w:iCs/>
        </w:rPr>
        <w:t>recomienda</w:t>
      </w:r>
      <w:r w:rsidRPr="00E94AD9">
        <w:t xml:space="preserve"> pero con reproducción de las especificaciones de normas externas de manera apropiada como una </w:t>
      </w:r>
      <w:r w:rsidR="008238EF" w:rsidRPr="00E94AD9">
        <w:t xml:space="preserve">Recomendación </w:t>
      </w:r>
      <w:r w:rsidRPr="00E94AD9">
        <w:t>UIT-R.</w:t>
      </w:r>
    </w:p>
    <w:p w:rsidR="00E101E8" w:rsidRPr="00E94AD9" w:rsidRDefault="00E101E8" w:rsidP="00E101E8">
      <w:pPr>
        <w:pStyle w:val="Heading1"/>
      </w:pPr>
      <w:r w:rsidRPr="00E94AD9">
        <w:t>2</w:t>
      </w:r>
      <w:r w:rsidRPr="00E94AD9">
        <w:tab/>
        <w:t>Requisitos de una Recomendación UIT-R</w:t>
      </w:r>
    </w:p>
    <w:p w:rsidR="00E101E8" w:rsidRPr="00E94AD9" w:rsidRDefault="00E101E8" w:rsidP="00257680">
      <w:pPr>
        <w:pStyle w:val="enumlev1"/>
        <w:spacing w:before="120"/>
      </w:pPr>
      <w:r w:rsidRPr="00E94AD9">
        <w:t>1)</w:t>
      </w:r>
      <w:r w:rsidRPr="00E94AD9">
        <w:tab/>
        <w:t xml:space="preserve">Una Recomendación del UIT-R no debe ser una mera repetición, sino un producto con valor añadido. </w:t>
      </w:r>
    </w:p>
    <w:p w:rsidR="00E101E8" w:rsidRPr="00E94AD9" w:rsidRDefault="00BF7AF1" w:rsidP="00257680">
      <w:pPr>
        <w:pStyle w:val="enumlev1"/>
      </w:pPr>
      <w:r w:rsidRPr="00E94AD9">
        <w:tab/>
      </w:r>
      <w:r w:rsidR="00E101E8" w:rsidRPr="00E94AD9">
        <w:t xml:space="preserve">La mera cita de normas externas en la parte de los </w:t>
      </w:r>
      <w:r w:rsidR="00E101E8" w:rsidRPr="00E94AD9">
        <w:rPr>
          <w:i/>
          <w:iCs/>
        </w:rPr>
        <w:t>recomienda</w:t>
      </w:r>
      <w:r w:rsidR="00E101E8" w:rsidRPr="00E94AD9">
        <w:t xml:space="preserve"> no aporta un valor añadido. Entre los ejemplos de una Recomendación UIT-R que hace referencia a normas externas con un valor añadido, cabe citar:</w:t>
      </w:r>
    </w:p>
    <w:p w:rsidR="00E101E8" w:rsidRPr="00E94AD9" w:rsidRDefault="00BF7AF1" w:rsidP="00E101E8">
      <w:pPr>
        <w:pStyle w:val="enumlev2"/>
      </w:pPr>
      <w:r w:rsidRPr="00E94AD9">
        <w:t>–</w:t>
      </w:r>
      <w:r w:rsidRPr="00E94AD9">
        <w:tab/>
      </w:r>
      <w:r w:rsidR="00E101E8" w:rsidRPr="00E94AD9">
        <w:t>Cuando sea necesario utilizar múltiples normas externas para llevar a cabo una tarea específica o para implementar una aplicación de radiocomunicaciones concreta, una Recomendación del UIT-R puede proporcionar la información y orientación necesarias.</w:t>
      </w:r>
    </w:p>
    <w:p w:rsidR="00E101E8" w:rsidRPr="00E94AD9" w:rsidRDefault="00BF7AF1" w:rsidP="00E101E8">
      <w:pPr>
        <w:pStyle w:val="enumlev2"/>
      </w:pPr>
      <w:r w:rsidRPr="00E94AD9">
        <w:t>–</w:t>
      </w:r>
      <w:r w:rsidRPr="00E94AD9">
        <w:tab/>
      </w:r>
      <w:r w:rsidR="00E101E8" w:rsidRPr="00E94AD9">
        <w:t>Cuando una Recomendación contenga información sobre diversos sistemas basados en normas externas relativos a una aplicación de radiocomunicaciones precisa, debería incluir, cuando sea posible</w:t>
      </w:r>
      <w:r w:rsidR="008238EF">
        <w:t>,</w:t>
      </w:r>
      <w:r w:rsidR="00E101E8" w:rsidRPr="00E94AD9">
        <w:t xml:space="preserve"> una evaluación de los sistemas recomendados, según se estipula en la NOTA 1 al punto A.2.6.1 de la Resolución UIT-R 1-8.</w:t>
      </w:r>
    </w:p>
    <w:p w:rsidR="00E101E8" w:rsidRPr="00E94AD9" w:rsidRDefault="00BF7AF1" w:rsidP="00BF7AF1">
      <w:pPr>
        <w:pStyle w:val="enumlev2"/>
      </w:pPr>
      <w:r w:rsidRPr="00E94AD9">
        <w:lastRenderedPageBreak/>
        <w:t>–</w:t>
      </w:r>
      <w:r w:rsidRPr="00E94AD9">
        <w:tab/>
      </w:r>
      <w:r w:rsidR="00E101E8" w:rsidRPr="00E94AD9">
        <w:t>Cuando el alcance de una norma externa es amplio o versátil en su aplicabilidad, una Recomendación del UIT-R puede proporcionar la información y orientación necesarias para la utilización de la norma externa en una aplicación específica de radiocomunicaciones.</w:t>
      </w:r>
    </w:p>
    <w:p w:rsidR="00E101E8" w:rsidRPr="00E94AD9" w:rsidRDefault="00E101E8" w:rsidP="00BF7AF1">
      <w:pPr>
        <w:pStyle w:val="enumlev1"/>
      </w:pPr>
      <w:r w:rsidRPr="00E94AD9">
        <w:t>2)</w:t>
      </w:r>
      <w:r w:rsidR="00BF7AF1" w:rsidRPr="00E94AD9">
        <w:tab/>
      </w:r>
      <w:r w:rsidRPr="00E94AD9">
        <w:t>Una Recomendación UIT-R debería ser, en la medida de lo posible, autónoma.</w:t>
      </w:r>
    </w:p>
    <w:p w:rsidR="00E101E8" w:rsidRPr="00E94AD9" w:rsidRDefault="008238EF" w:rsidP="008238EF">
      <w:pPr>
        <w:pStyle w:val="enumlev1"/>
      </w:pPr>
      <w:r>
        <w:tab/>
      </w:r>
      <w:r w:rsidR="00E101E8" w:rsidRPr="00E94AD9">
        <w:t xml:space="preserve">Las Recomendaciones autónomas del UIT-R están exentas de los problemas siguientes que conllevarían las meras citas de normas externas: </w:t>
      </w:r>
    </w:p>
    <w:p w:rsidR="00E101E8" w:rsidRPr="00E94AD9" w:rsidRDefault="00BF7AF1" w:rsidP="008238EF">
      <w:pPr>
        <w:pStyle w:val="enumlev2"/>
      </w:pPr>
      <w:r w:rsidRPr="00E94AD9">
        <w:t>–</w:t>
      </w:r>
      <w:r w:rsidRPr="00E94AD9">
        <w:tab/>
      </w:r>
      <w:r w:rsidR="00E101E8" w:rsidRPr="00E94AD9">
        <w:t>Las normas externas pueden contener referencias normativas a otras normas. La revisión de esas normas no es fácil.</w:t>
      </w:r>
    </w:p>
    <w:p w:rsidR="00E101E8" w:rsidRPr="00E94AD9" w:rsidRDefault="00BF7AF1" w:rsidP="008238EF">
      <w:pPr>
        <w:pStyle w:val="enumlev2"/>
      </w:pPr>
      <w:r w:rsidRPr="00E94AD9">
        <w:t>–</w:t>
      </w:r>
      <w:r w:rsidRPr="00E94AD9">
        <w:tab/>
      </w:r>
      <w:r w:rsidR="00E101E8" w:rsidRPr="00E94AD9">
        <w:t>Las normas externas a las que se hace referencia en una Recomendación del UIT-R pueden ser revisadas en el futuro, y esto puede ocurrir sin el consentimiento de la Comisión de Estudio del UIT-R pertinente que elaboró la Recomendación.</w:t>
      </w:r>
    </w:p>
    <w:p w:rsidR="00E101E8" w:rsidRPr="00E94AD9" w:rsidRDefault="00BF7AF1" w:rsidP="008238EF">
      <w:pPr>
        <w:pStyle w:val="enumlev2"/>
      </w:pPr>
      <w:r w:rsidRPr="00E94AD9">
        <w:t>–</w:t>
      </w:r>
      <w:r w:rsidRPr="00E94AD9">
        <w:tab/>
      </w:r>
      <w:r w:rsidR="00E101E8" w:rsidRPr="00E94AD9">
        <w:t>La Comisión de Estudio del UIT-R puede estudiar la revisión de una Recomendación UIT</w:t>
      </w:r>
      <w:r w:rsidR="00DA3658" w:rsidRPr="00E94AD9">
        <w:noBreakHyphen/>
      </w:r>
      <w:r w:rsidR="00E101E8" w:rsidRPr="00E94AD9">
        <w:t>R que haga referencia a normas externas. La revisión de la Recomendación resulta difícil hasta que las normas externas referidas se hayan revisado con arreglo a los deseos de la Comisión de Estudio</w:t>
      </w:r>
      <w:r w:rsidR="00FE04AF">
        <w:t>.</w:t>
      </w:r>
    </w:p>
    <w:p w:rsidR="00E101E8" w:rsidRPr="00E94AD9" w:rsidRDefault="00BF7AF1" w:rsidP="008238EF">
      <w:pPr>
        <w:pStyle w:val="enumlev2"/>
      </w:pPr>
      <w:r w:rsidRPr="00E94AD9">
        <w:t>–</w:t>
      </w:r>
      <w:r w:rsidRPr="00E94AD9">
        <w:tab/>
      </w:r>
      <w:r w:rsidR="00E101E8" w:rsidRPr="00E94AD9">
        <w:t>Las normas externas citadas como referencia suelen publicarse únicamente en inglés. Por consiguiente, la parte esencial de una Recomendación del UIT-R se facilitará únicamente en inglés, sin traducciones a los otros cinco idiomas oficiales.</w:t>
      </w:r>
    </w:p>
    <w:p w:rsidR="00E101E8" w:rsidRPr="00E94AD9" w:rsidRDefault="00BF7AF1" w:rsidP="008238EF">
      <w:pPr>
        <w:pStyle w:val="enumlev2"/>
      </w:pPr>
      <w:r w:rsidRPr="00E94AD9">
        <w:t>–</w:t>
      </w:r>
      <w:r w:rsidRPr="00E94AD9">
        <w:tab/>
      </w:r>
      <w:r w:rsidR="00E101E8" w:rsidRPr="00E94AD9">
        <w:t>No todas las normas externas se elaboran con arreglo al proceso debido.</w:t>
      </w:r>
    </w:p>
    <w:p w:rsidR="00E101E8" w:rsidRPr="00E94AD9" w:rsidRDefault="00E101E8" w:rsidP="00E101E8">
      <w:pPr>
        <w:pStyle w:val="Heading1"/>
        <w:rPr>
          <w:lang w:eastAsia="ja-JP"/>
        </w:rPr>
      </w:pPr>
      <w:r w:rsidRPr="00E94AD9">
        <w:rPr>
          <w:lang w:eastAsia="ja-JP"/>
        </w:rPr>
        <w:t>3</w:t>
      </w:r>
      <w:r w:rsidRPr="00E94AD9">
        <w:rPr>
          <w:lang w:eastAsia="ja-JP"/>
        </w:rPr>
        <w:tab/>
        <w:t>Propuesta</w:t>
      </w:r>
    </w:p>
    <w:p w:rsidR="00E101E8" w:rsidRPr="00E94AD9" w:rsidRDefault="00E101E8" w:rsidP="00E101E8">
      <w:r w:rsidRPr="00E94AD9">
        <w:t xml:space="preserve">Japón propone que el GAR proporcione las siguientes orientaciones para la labor de las Comisiones de Estudio cuando elaboren una Recomendación UIT-R que haga referencia a normas externas, sobre la base del debate anterior. También deben actualizarse las directrices elaboradas por el Director con arreglo al </w:t>
      </w:r>
      <w:r w:rsidRPr="00E94AD9">
        <w:rPr>
          <w:i/>
          <w:iCs/>
        </w:rPr>
        <w:t>encarga al Director</w:t>
      </w:r>
      <w:r w:rsidRPr="00E94AD9">
        <w:t xml:space="preserve"> 1 de la Resolución UIT-R 9-6 a fin de que reflejen el debate:</w:t>
      </w:r>
    </w:p>
    <w:p w:rsidR="00E101E8" w:rsidRPr="00E94AD9" w:rsidRDefault="00BF7AF1" w:rsidP="00BF7AF1">
      <w:pPr>
        <w:pStyle w:val="enumlev1"/>
      </w:pPr>
      <w:r w:rsidRPr="00E94AD9">
        <w:t>–</w:t>
      </w:r>
      <w:r w:rsidRPr="00E94AD9">
        <w:tab/>
      </w:r>
      <w:r w:rsidR="00E101E8" w:rsidRPr="00E94AD9">
        <w:t xml:space="preserve">Debe evitarse la mera cita de normas externas en la parte de los </w:t>
      </w:r>
      <w:r w:rsidR="00E101E8" w:rsidRPr="00E94AD9">
        <w:rPr>
          <w:i/>
          <w:iCs/>
        </w:rPr>
        <w:t>recomienda</w:t>
      </w:r>
      <w:r w:rsidR="00E101E8" w:rsidRPr="00E94AD9">
        <w:t>, y deben elaborarse Recomendaciones que tengan valor añadido.</w:t>
      </w:r>
    </w:p>
    <w:p w:rsidR="00E101E8" w:rsidRPr="00E94AD9" w:rsidRDefault="00BF7AF1" w:rsidP="00BF7AF1">
      <w:pPr>
        <w:pStyle w:val="enumlev1"/>
      </w:pPr>
      <w:r w:rsidRPr="00E94AD9">
        <w:t>–</w:t>
      </w:r>
      <w:r w:rsidRPr="00E94AD9">
        <w:tab/>
      </w:r>
      <w:r w:rsidR="00E101E8" w:rsidRPr="00E94AD9">
        <w:t>Una Recomendación UIT-R debería ser, en la medida de lo posible, autónoma.</w:t>
      </w:r>
    </w:p>
    <w:p w:rsidR="00E101E8" w:rsidRPr="00E94AD9" w:rsidRDefault="00BF7AF1" w:rsidP="00BF7AF1">
      <w:pPr>
        <w:pStyle w:val="enumlev1"/>
      </w:pPr>
      <w:r w:rsidRPr="00E94AD9">
        <w:t>–</w:t>
      </w:r>
      <w:r w:rsidRPr="00E94AD9">
        <w:tab/>
      </w:r>
      <w:r w:rsidR="00E101E8" w:rsidRPr="00E94AD9">
        <w:t>Cuando no se puedan utilizar Recomendaciones UIT-R como referencia normativa, se podrán utilizar en su lugar versiones específicas de normas externas, con especial cuidado de no introducir conflictos.</w:t>
      </w:r>
    </w:p>
    <w:p w:rsidR="00E101E8" w:rsidRPr="00E94AD9" w:rsidRDefault="00E101E8" w:rsidP="00E101E8">
      <w:r w:rsidRPr="00E94AD9">
        <w:t xml:space="preserve">Japón también observa que la redacción conjunta de textos comunes entre el UIT-T y la ISO/CEI ha sido una práctica común. El UIT-R podría estudiar la posibilidad de seguir una práctica similar </w:t>
      </w:r>
      <w:r w:rsidR="00FE04AF">
        <w:t>–</w:t>
      </w:r>
      <w:r w:rsidRPr="00E94AD9">
        <w:t xml:space="preserve"> no sólo con la ISO/CEI, sino también con otras organizaciones de normalización que cumplen con el debido proceso para la elaboración de normas.</w:t>
      </w:r>
    </w:p>
    <w:p w:rsidR="00BF7AF1" w:rsidRPr="00E94AD9" w:rsidRDefault="00BF7AF1" w:rsidP="00411C49">
      <w:pPr>
        <w:pStyle w:val="Reasons"/>
        <w:rPr>
          <w:lang w:val="es-ES_tradnl"/>
        </w:rPr>
      </w:pPr>
    </w:p>
    <w:p w:rsidR="00BF7AF1" w:rsidRPr="00E94AD9" w:rsidRDefault="00BF7AF1">
      <w:pPr>
        <w:jc w:val="center"/>
      </w:pPr>
      <w:r w:rsidRPr="00E94AD9">
        <w:t>______________</w:t>
      </w:r>
      <w:bookmarkStart w:id="5" w:name="_GoBack"/>
      <w:bookmarkEnd w:id="5"/>
    </w:p>
    <w:sectPr w:rsidR="00BF7AF1" w:rsidRPr="00E94AD9" w:rsidSect="004D6C09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98" w:rsidRDefault="00141F98">
      <w:r>
        <w:separator/>
      </w:r>
    </w:p>
  </w:endnote>
  <w:endnote w:type="continuationSeparator" w:id="0">
    <w:p w:rsidR="00141F98" w:rsidRDefault="0014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01" w:rsidRDefault="00E62F89" w:rsidP="00BF7AF1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9E1D0C">
      <w:t>P:\ESP\ITU-R\AG\RAG\RAG20\000\018S.docx</w:t>
    </w:r>
    <w:r>
      <w:fldChar w:fldCharType="end"/>
    </w:r>
    <w:r w:rsidR="00BF7AF1">
      <w:t xml:space="preserve"> (471067)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F1" w:rsidRDefault="00BF7AF1" w:rsidP="00BF7AF1">
    <w:pPr>
      <w:pStyle w:val="Footer"/>
      <w:rPr>
        <w:lang w:val="en-US"/>
      </w:rPr>
    </w:pPr>
    <w:fldSimple w:instr=" FILENAME \p  \* MERGEFORMAT ">
      <w:r w:rsidR="009E1D0C">
        <w:t>P:\ESP\ITU-R\AG\RAG\RAG20\000\018S.docx</w:t>
      </w:r>
    </w:fldSimple>
    <w:r>
      <w:t xml:space="preserve"> (471067)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98" w:rsidRDefault="00141F98">
      <w:r>
        <w:t>____________________</w:t>
      </w:r>
    </w:p>
  </w:footnote>
  <w:footnote w:type="continuationSeparator" w:id="0">
    <w:p w:rsidR="00141F98" w:rsidRDefault="0014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04AF">
      <w:rPr>
        <w:rStyle w:val="PageNumber"/>
        <w:noProof/>
      </w:rPr>
      <w:t>2</w:t>
    </w:r>
    <w:r>
      <w:rPr>
        <w:rStyle w:val="PageNumber"/>
      </w:rPr>
      <w:fldChar w:fldCharType="end"/>
    </w:r>
  </w:p>
  <w:p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AB4BAD">
      <w:rPr>
        <w:lang w:val="es-ES"/>
      </w:rPr>
      <w:t>20</w:t>
    </w:r>
    <w:r w:rsidR="00616601">
      <w:rPr>
        <w:lang w:val="es-ES"/>
      </w:rPr>
      <w:t>/</w:t>
    </w:r>
    <w:r w:rsidR="00BF7AF1">
      <w:rPr>
        <w:lang w:val="es-ES"/>
      </w:rPr>
      <w:t>18</w:t>
    </w:r>
    <w:r w:rsidR="00616601">
      <w:rPr>
        <w:lang w:val="es-ES"/>
      </w:rPr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C1A"/>
    <w:multiLevelType w:val="hybridMultilevel"/>
    <w:tmpl w:val="52DACA22"/>
    <w:lvl w:ilvl="0" w:tplc="B6C06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0E32"/>
    <w:multiLevelType w:val="hybridMultilevel"/>
    <w:tmpl w:val="7EA4F07E"/>
    <w:lvl w:ilvl="0" w:tplc="B6C06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0E6A"/>
    <w:multiLevelType w:val="hybridMultilevel"/>
    <w:tmpl w:val="EF32D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620EB"/>
    <w:multiLevelType w:val="hybridMultilevel"/>
    <w:tmpl w:val="072ED46C"/>
    <w:lvl w:ilvl="0" w:tplc="B6C06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98"/>
    <w:rsid w:val="000C62BA"/>
    <w:rsid w:val="000D756D"/>
    <w:rsid w:val="0012592F"/>
    <w:rsid w:val="00141F98"/>
    <w:rsid w:val="001F2F50"/>
    <w:rsid w:val="00257680"/>
    <w:rsid w:val="0031432E"/>
    <w:rsid w:val="0034043B"/>
    <w:rsid w:val="00414D8B"/>
    <w:rsid w:val="00482905"/>
    <w:rsid w:val="004D6C09"/>
    <w:rsid w:val="0057336B"/>
    <w:rsid w:val="005A2195"/>
    <w:rsid w:val="005D3E02"/>
    <w:rsid w:val="00610642"/>
    <w:rsid w:val="00616601"/>
    <w:rsid w:val="00646EEF"/>
    <w:rsid w:val="00663829"/>
    <w:rsid w:val="006A42AB"/>
    <w:rsid w:val="006B5313"/>
    <w:rsid w:val="006E291F"/>
    <w:rsid w:val="008238EF"/>
    <w:rsid w:val="008506C9"/>
    <w:rsid w:val="008F0106"/>
    <w:rsid w:val="00924B63"/>
    <w:rsid w:val="00982618"/>
    <w:rsid w:val="009C205E"/>
    <w:rsid w:val="009E1D0C"/>
    <w:rsid w:val="00A0579C"/>
    <w:rsid w:val="00A7663C"/>
    <w:rsid w:val="00AB4BAD"/>
    <w:rsid w:val="00B32E51"/>
    <w:rsid w:val="00BF7AF1"/>
    <w:rsid w:val="00C837F0"/>
    <w:rsid w:val="00CB7A43"/>
    <w:rsid w:val="00CF4CAC"/>
    <w:rsid w:val="00D51E1E"/>
    <w:rsid w:val="00DA3658"/>
    <w:rsid w:val="00DE77E6"/>
    <w:rsid w:val="00E101E8"/>
    <w:rsid w:val="00E62F89"/>
    <w:rsid w:val="00E72EA7"/>
    <w:rsid w:val="00E94AD9"/>
    <w:rsid w:val="00EA4101"/>
    <w:rsid w:val="00F23715"/>
    <w:rsid w:val="00F77D5F"/>
    <w:rsid w:val="00FE04AF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32740"/>
  <w15:docId w15:val="{78F1364B-BE81-4053-968D-341FA526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paragraph" w:styleId="ListParagraph">
    <w:name w:val="List Paragraph"/>
    <w:basedOn w:val="Normal"/>
    <w:uiPriority w:val="34"/>
    <w:qFormat/>
    <w:rsid w:val="00E101E8"/>
    <w:pPr>
      <w:ind w:left="720"/>
      <w:contextualSpacing/>
    </w:pPr>
  </w:style>
  <w:style w:type="paragraph" w:customStyle="1" w:styleId="Reasons">
    <w:name w:val="Reasons"/>
    <w:basedOn w:val="Normal"/>
    <w:qFormat/>
    <w:rsid w:val="00BF7AF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ano\AppData\Roaming\Microsoft\Templates\POOL%20S%20-%20ITU\PS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PS_RAG20.dotm</Template>
  <TotalTime>38</TotalTime>
  <Pages>2</Pages>
  <Words>743</Words>
  <Characters>4107</Characters>
  <Application>Microsoft Office Word</Application>
  <DocSecurity>0</DocSecurity>
  <Lines>82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CONSIDERACIÓN AL HAER REFERENCIA A NORMAS EXTERNAS DESDE UNA RECOMENDACIÓN UIT-R</dc:title>
  <dc:subject>GRUPO ASESOR DE RADIOCOMUNICACIONES</dc:subject>
  <dc:creator>Japón</dc:creator>
  <cp:keywords>RAG03-1</cp:keywords>
  <dc:description>Documento RAG20/18-S  For: _x000d_Document date: 11 de mayo de 2020_x000d_Saved by R01 at 11:49:20 AM on 5/12/2020</dc:description>
  <cp:lastModifiedBy>Spanish</cp:lastModifiedBy>
  <cp:revision>12</cp:revision>
  <cp:lastPrinted>2020-05-12T09:32:00Z</cp:lastPrinted>
  <dcterms:created xsi:type="dcterms:W3CDTF">2020-05-12T08:59:00Z</dcterms:created>
  <dcterms:modified xsi:type="dcterms:W3CDTF">2020-05-12T09:49:00Z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RAG20/18-S</vt:lpwstr>
  </property>
  <property fmtid="{D5CDD505-2E9C-101B-9397-08002B2CF9AE}" pid="3" name="Docdate">
    <vt:lpwstr>11 de mayo de 2020</vt:lpwstr>
  </property>
  <property fmtid="{D5CDD505-2E9C-101B-9397-08002B2CF9AE}" pid="4" name="Docorlang">
    <vt:lpwstr>Original: inglés</vt:lpwstr>
  </property>
  <property fmtid="{D5CDD505-2E9C-101B-9397-08002B2CF9AE}" pid="5" name="Docauthor">
    <vt:lpwstr>Japón</vt:lpwstr>
  </property>
</Properties>
</file>