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8F6656A" w14:textId="77777777" w:rsidTr="001B4810">
        <w:trPr>
          <w:cantSplit/>
        </w:trPr>
        <w:tc>
          <w:tcPr>
            <w:tcW w:w="6771" w:type="dxa"/>
            <w:vAlign w:val="center"/>
          </w:tcPr>
          <w:p w14:paraId="703FBB37" w14:textId="0948DCED" w:rsidR="001B4810" w:rsidRPr="00D872CB" w:rsidRDefault="008723C0" w:rsidP="005358EA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 w:rsidRPr="00F22157"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 w:rsidRPr="00F22157"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5-</w:t>
            </w:r>
            <w:r w:rsidR="00D8128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Pr="00F22157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7</w:t>
            </w:r>
            <w:r w:rsidRPr="00F22157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57FE119C" w14:textId="758E0943" w:rsidR="001B4810" w:rsidRPr="00432D7F" w:rsidRDefault="00D8128B" w:rsidP="00D8128B">
            <w:pPr>
              <w:shd w:val="solid" w:color="FFFFFF" w:fill="FFFFFF"/>
              <w:spacing w:before="0"/>
              <w:rPr>
                <w:lang w:val="en-US" w:eastAsia="zh-CN"/>
              </w:rPr>
            </w:pPr>
            <w:r w:rsidRPr="00C848C8">
              <w:rPr>
                <w:noProof/>
                <w:lang w:val="en-US" w:eastAsia="zh-CN"/>
              </w:rPr>
              <w:drawing>
                <wp:inline distT="0" distB="0" distL="0" distR="0" wp14:anchorId="6506431A" wp14:editId="3C492EB6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79394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5C7BD37B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F9D61E2" w14:textId="4B501ABB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43C0F4CA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  <w:lang w:eastAsia="zh-CN"/>
              </w:rPr>
            </w:pPr>
          </w:p>
        </w:tc>
      </w:tr>
      <w:tr w:rsidR="0051782D" w:rsidRPr="00D872CB" w14:paraId="34C78FB7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56CF75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1058ABE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lang w:eastAsia="zh-CN"/>
              </w:rPr>
            </w:pPr>
          </w:p>
        </w:tc>
      </w:tr>
      <w:tr w:rsidR="0051782D" w:rsidRPr="00D872CB" w14:paraId="6FBB4A54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66E12E4E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  <w:lang w:eastAsia="zh-CN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7BA4378" w14:textId="7324FF01" w:rsidR="0051782D" w:rsidRPr="000A4F34" w:rsidRDefault="006A7022" w:rsidP="008723C0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D8128B" w:rsidRPr="00D8128B">
              <w:rPr>
                <w:rFonts w:ascii="Verdana" w:hAnsi="Verdana"/>
                <w:b/>
                <w:sz w:val="20"/>
                <w:lang w:eastAsia="zh-CN"/>
              </w:rPr>
              <w:t>RAG20/1</w:t>
            </w:r>
            <w:r w:rsidR="008C326A">
              <w:rPr>
                <w:rFonts w:ascii="Verdana" w:hAnsi="Verdana" w:hint="eastAsia"/>
                <w:b/>
                <w:sz w:val="20"/>
                <w:lang w:eastAsia="zh-CN"/>
              </w:rPr>
              <w:t>8</w:t>
            </w:r>
            <w:r w:rsidR="00D8128B" w:rsidRPr="00D8128B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6FCB29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7F1F5C64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71286D79" w14:textId="62AF7E8E" w:rsidR="0051782D" w:rsidRPr="000A4F34" w:rsidRDefault="00BD7223" w:rsidP="008723C0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D8128B">
              <w:rPr>
                <w:rFonts w:ascii="Verdana" w:hAnsi="Verdana"/>
                <w:b/>
                <w:sz w:val="20"/>
                <w:lang w:eastAsia="zh-CN"/>
              </w:rPr>
              <w:t>11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006A9E2E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75D3463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6DAF7D66" w14:textId="77777777" w:rsidR="0051782D" w:rsidRPr="000A4F34" w:rsidRDefault="00426448" w:rsidP="00DE23E5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DE23E5">
              <w:rPr>
                <w:rFonts w:ascii="Verdana" w:hAnsi="SimSun" w:hint="eastAsia"/>
                <w:b/>
                <w:sz w:val="20"/>
                <w:lang w:eastAsia="zh-CN"/>
              </w:rPr>
              <w:t>英</w:t>
            </w:r>
            <w:r w:rsidR="000E69E8">
              <w:rPr>
                <w:rFonts w:ascii="Verdana" w:hAnsi="SimSun" w:hint="eastAsia"/>
                <w:b/>
                <w:sz w:val="20"/>
                <w:lang w:eastAsia="zh-CN"/>
              </w:rPr>
              <w:t>文</w:t>
            </w:r>
          </w:p>
        </w:tc>
      </w:tr>
      <w:tr w:rsidR="00DE23E5" w:rsidRPr="00D872CB" w14:paraId="46BF41DE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15430263" w14:textId="77777777" w:rsidR="00DE23E5" w:rsidRDefault="00DE23E5" w:rsidP="00DE23E5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>
              <w:rPr>
                <w:rFonts w:hint="eastAsia"/>
                <w:lang w:eastAsia="zh-CN"/>
              </w:rPr>
              <w:t>日本</w:t>
            </w:r>
          </w:p>
        </w:tc>
      </w:tr>
      <w:tr w:rsidR="00DE23E5" w:rsidRPr="00D872CB" w14:paraId="130C7A1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324EC5F1" w14:textId="630C8189" w:rsidR="00DE23E5" w:rsidRDefault="004F436B" w:rsidP="007347E5">
            <w:pPr>
              <w:pStyle w:val="Title1"/>
              <w:rPr>
                <w:lang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eastAsia="zh-CN"/>
              </w:rPr>
              <w:t>ITU-R</w:t>
            </w:r>
            <w:r>
              <w:rPr>
                <w:rFonts w:hint="eastAsia"/>
                <w:lang w:eastAsia="zh-CN"/>
              </w:rPr>
              <w:t>建议书中</w:t>
            </w:r>
            <w:r w:rsidR="0097577A">
              <w:rPr>
                <w:rFonts w:hint="eastAsia"/>
                <w:lang w:eastAsia="zh-CN"/>
              </w:rPr>
              <w:t>引用</w:t>
            </w:r>
            <w:r>
              <w:rPr>
                <w:rFonts w:hint="eastAsia"/>
                <w:lang w:eastAsia="zh-CN"/>
              </w:rPr>
              <w:t>外部标准的考虑</w:t>
            </w:r>
          </w:p>
        </w:tc>
      </w:tr>
    </w:tbl>
    <w:bookmarkEnd w:id="4"/>
    <w:p w14:paraId="22A2B9EF" w14:textId="54494D0D" w:rsidR="004F11CA" w:rsidRPr="00832EAB" w:rsidRDefault="00DE23E5" w:rsidP="004F11CA">
      <w:pPr>
        <w:pStyle w:val="Heading1"/>
        <w:rPr>
          <w:lang w:eastAsia="ja-JP"/>
        </w:rPr>
      </w:pPr>
      <w:r w:rsidRPr="00F8366F">
        <w:rPr>
          <w:rFonts w:eastAsia="Batang"/>
          <w:lang w:eastAsia="zh-CN"/>
        </w:rPr>
        <w:t>1</w:t>
      </w:r>
      <w:r w:rsidRPr="00F8366F">
        <w:rPr>
          <w:rFonts w:eastAsia="Batang"/>
          <w:lang w:eastAsia="zh-CN"/>
        </w:rPr>
        <w:tab/>
      </w:r>
      <w:r w:rsidR="004F436B">
        <w:rPr>
          <w:rFonts w:hint="eastAsia"/>
          <w:lang w:eastAsia="zh-CN"/>
        </w:rPr>
        <w:t>引言</w:t>
      </w:r>
    </w:p>
    <w:p w14:paraId="57C3CEE1" w14:textId="15D1B0DE" w:rsidR="004F11CA" w:rsidRDefault="005E79EE" w:rsidP="0043364E">
      <w:pPr>
        <w:overflowPunct/>
        <w:autoSpaceDE/>
        <w:autoSpaceDN/>
        <w:adjustRightInd/>
        <w:ind w:firstLineChars="200" w:firstLine="480"/>
        <w:textAlignment w:val="auto"/>
        <w:rPr>
          <w:szCs w:val="24"/>
          <w:lang w:eastAsia="ja-JP"/>
        </w:rPr>
      </w:pPr>
      <w:bookmarkStart w:id="5" w:name="lt_pId011"/>
      <w:r>
        <w:rPr>
          <w:rFonts w:hint="eastAsia"/>
          <w:szCs w:val="24"/>
          <w:lang w:eastAsia="zh-CN"/>
        </w:rPr>
        <w:t>ITU-R</w:t>
      </w:r>
      <w:r>
        <w:rPr>
          <w:rFonts w:hint="eastAsia"/>
          <w:szCs w:val="24"/>
          <w:lang w:eastAsia="zh-CN"/>
        </w:rPr>
        <w:t>第</w:t>
      </w:r>
      <w:r w:rsidRPr="00091D3F">
        <w:rPr>
          <w:szCs w:val="24"/>
          <w:lang w:eastAsia="ja-JP"/>
        </w:rPr>
        <w:t>9-6</w:t>
      </w:r>
      <w:proofErr w:type="gramStart"/>
      <w:r>
        <w:rPr>
          <w:rFonts w:hint="eastAsia"/>
          <w:szCs w:val="24"/>
          <w:lang w:eastAsia="zh-CN"/>
        </w:rPr>
        <w:t>号决议在</w:t>
      </w:r>
      <w:r w:rsidR="00253098">
        <w:rPr>
          <w:rFonts w:hint="eastAsia"/>
          <w:szCs w:val="24"/>
          <w:lang w:eastAsia="zh-CN"/>
        </w:rPr>
        <w:t>“</w:t>
      </w:r>
      <w:proofErr w:type="gramEnd"/>
      <w:r w:rsidR="00253098" w:rsidRPr="005C3314">
        <w:rPr>
          <w:rFonts w:ascii="STKaiti" w:eastAsia="STKaiti" w:hAnsi="STKaiti" w:hint="eastAsia"/>
          <w:szCs w:val="24"/>
          <w:lang w:eastAsia="ja-JP"/>
        </w:rPr>
        <w:t>做出决议</w:t>
      </w:r>
      <w:r w:rsidR="00253098" w:rsidRPr="005C3314">
        <w:rPr>
          <w:szCs w:val="24"/>
          <w:lang w:eastAsia="ja-JP"/>
        </w:rPr>
        <w:t>2</w:t>
      </w:r>
      <w:r w:rsidR="00253098">
        <w:rPr>
          <w:rFonts w:hint="eastAsia"/>
          <w:szCs w:val="24"/>
          <w:lang w:eastAsia="zh-CN"/>
        </w:rPr>
        <w:t>”中</w:t>
      </w:r>
      <w:r>
        <w:rPr>
          <w:rFonts w:hint="eastAsia"/>
          <w:szCs w:val="24"/>
          <w:lang w:eastAsia="ja-JP"/>
        </w:rPr>
        <w:t>规定</w:t>
      </w:r>
      <w:r w:rsidR="00013505">
        <w:rPr>
          <w:rFonts w:hint="eastAsia"/>
          <w:szCs w:val="24"/>
          <w:lang w:eastAsia="zh-CN"/>
        </w:rPr>
        <w:t>，</w:t>
      </w:r>
      <w:r w:rsidR="00013505" w:rsidRPr="00013505">
        <w:rPr>
          <w:rFonts w:ascii="STKaiti" w:eastAsia="STKaiti" w:hAnsi="STKaiti" w:hint="eastAsia"/>
          <w:szCs w:val="24"/>
          <w:lang w:eastAsia="ja-JP"/>
        </w:rPr>
        <w:t>经</w:t>
      </w:r>
      <w:r w:rsidRPr="00C243C7">
        <w:rPr>
          <w:rFonts w:ascii="STKaiti" w:eastAsia="STKaiti" w:hAnsi="STKaiti" w:hint="eastAsia"/>
          <w:szCs w:val="24"/>
          <w:lang w:eastAsia="ja-JP"/>
        </w:rPr>
        <w:t>由研究组</w:t>
      </w:r>
      <w:r w:rsidR="00013505">
        <w:rPr>
          <w:rFonts w:ascii="STKaiti" w:eastAsia="STKaiti" w:hAnsi="STKaiti" w:hint="eastAsia"/>
          <w:szCs w:val="24"/>
          <w:lang w:eastAsia="zh-CN"/>
        </w:rPr>
        <w:t>确</w:t>
      </w:r>
      <w:r w:rsidRPr="00C243C7">
        <w:rPr>
          <w:rFonts w:ascii="STKaiti" w:eastAsia="STKaiti" w:hAnsi="STKaiti" w:hint="eastAsia"/>
          <w:szCs w:val="24"/>
          <w:lang w:eastAsia="ja-JP"/>
        </w:rPr>
        <w:t>定的</w:t>
      </w:r>
      <w:r w:rsidRPr="00C243C7">
        <w:rPr>
          <w:rFonts w:ascii="STKaiti" w:eastAsia="STKaiti" w:hAnsi="STKaiti"/>
          <w:szCs w:val="24"/>
          <w:lang w:eastAsia="ja-JP"/>
        </w:rPr>
        <w:t>ITU-R</w:t>
      </w:r>
      <w:r w:rsidRPr="00C243C7">
        <w:rPr>
          <w:rFonts w:ascii="STKaiti" w:eastAsia="STKaiti" w:hAnsi="STKaiti" w:hint="eastAsia"/>
          <w:szCs w:val="24"/>
          <w:lang w:eastAsia="ja-JP"/>
        </w:rPr>
        <w:t>建议书和</w:t>
      </w:r>
      <w:r w:rsidRPr="00C243C7">
        <w:rPr>
          <w:rFonts w:ascii="STKaiti" w:eastAsia="STKaiti" w:hAnsi="STKaiti"/>
          <w:szCs w:val="24"/>
          <w:lang w:eastAsia="ja-JP"/>
        </w:rPr>
        <w:t>报告</w:t>
      </w:r>
      <w:r w:rsidRPr="00C243C7">
        <w:rPr>
          <w:rFonts w:ascii="STKaiti" w:eastAsia="STKaiti" w:hAnsi="STKaiti" w:hint="eastAsia"/>
          <w:szCs w:val="24"/>
          <w:lang w:eastAsia="ja-JP"/>
        </w:rPr>
        <w:t>可以引用其他组织</w:t>
      </w:r>
      <w:r w:rsidR="00013505">
        <w:rPr>
          <w:rFonts w:ascii="STKaiti" w:eastAsia="STKaiti" w:hAnsi="STKaiti" w:hint="eastAsia"/>
          <w:szCs w:val="24"/>
          <w:lang w:eastAsia="zh-CN"/>
        </w:rPr>
        <w:t>所</w:t>
      </w:r>
      <w:r w:rsidRPr="00C243C7">
        <w:rPr>
          <w:rFonts w:ascii="STKaiti" w:eastAsia="STKaiti" w:hAnsi="STKaiti" w:hint="eastAsia"/>
          <w:szCs w:val="24"/>
          <w:lang w:eastAsia="ja-JP"/>
        </w:rPr>
        <w:t>持有的已获批准的标准</w:t>
      </w:r>
      <w:bookmarkStart w:id="6" w:name="lt_pId012"/>
      <w:bookmarkEnd w:id="5"/>
      <w:r>
        <w:rPr>
          <w:rFonts w:hint="eastAsia"/>
          <w:szCs w:val="24"/>
          <w:lang w:eastAsia="zh-CN"/>
        </w:rPr>
        <w:t>。</w:t>
      </w:r>
      <w:r w:rsidRPr="005E79EE">
        <w:rPr>
          <w:rFonts w:hint="eastAsia"/>
          <w:szCs w:val="24"/>
          <w:lang w:eastAsia="zh-CN"/>
        </w:rPr>
        <w:t>这有助于</w:t>
      </w:r>
      <w:r w:rsidR="00013505">
        <w:rPr>
          <w:rFonts w:hint="eastAsia"/>
          <w:szCs w:val="24"/>
          <w:lang w:eastAsia="zh-CN"/>
        </w:rPr>
        <w:t>推进</w:t>
      </w:r>
      <w:r w:rsidRPr="005E79EE">
        <w:rPr>
          <w:rFonts w:hint="eastAsia"/>
          <w:szCs w:val="24"/>
          <w:lang w:eastAsia="zh-CN"/>
        </w:rPr>
        <w:t>研究组在制定</w:t>
      </w:r>
      <w:r w:rsidRPr="005E79EE">
        <w:rPr>
          <w:rFonts w:hint="eastAsia"/>
          <w:szCs w:val="24"/>
          <w:lang w:eastAsia="zh-CN"/>
        </w:rPr>
        <w:t>ITU-R</w:t>
      </w:r>
      <w:r w:rsidRPr="005E79EE">
        <w:rPr>
          <w:rFonts w:hint="eastAsia"/>
          <w:szCs w:val="24"/>
          <w:lang w:eastAsia="zh-CN"/>
        </w:rPr>
        <w:t>案文方面的工作</w:t>
      </w:r>
      <w:r w:rsidR="009F7C2C">
        <w:rPr>
          <w:rFonts w:hint="eastAsia"/>
          <w:szCs w:val="24"/>
          <w:lang w:eastAsia="zh-CN"/>
        </w:rPr>
        <w:t>，然而</w:t>
      </w:r>
      <w:r w:rsidRPr="005E79EE">
        <w:rPr>
          <w:rFonts w:hint="eastAsia"/>
          <w:szCs w:val="24"/>
          <w:lang w:eastAsia="zh-CN"/>
        </w:rPr>
        <w:t>引用外部组织的文</w:t>
      </w:r>
      <w:r w:rsidR="00013505">
        <w:rPr>
          <w:rFonts w:hint="eastAsia"/>
          <w:szCs w:val="24"/>
          <w:lang w:eastAsia="zh-CN"/>
        </w:rPr>
        <w:t>件</w:t>
      </w:r>
      <w:r w:rsidRPr="005E79EE">
        <w:rPr>
          <w:rFonts w:hint="eastAsia"/>
          <w:szCs w:val="24"/>
          <w:lang w:eastAsia="zh-CN"/>
        </w:rPr>
        <w:t>并不一定意味着简单引用</w:t>
      </w:r>
      <w:r>
        <w:rPr>
          <w:rFonts w:hint="eastAsia"/>
          <w:szCs w:val="24"/>
          <w:lang w:eastAsia="zh-CN"/>
        </w:rPr>
        <w:t>一项或多项</w:t>
      </w:r>
      <w:r w:rsidR="00013505">
        <w:rPr>
          <w:rFonts w:hint="eastAsia"/>
          <w:szCs w:val="24"/>
          <w:lang w:eastAsia="zh-CN"/>
        </w:rPr>
        <w:t>具体</w:t>
      </w:r>
      <w:r w:rsidRPr="005E79EE">
        <w:rPr>
          <w:rFonts w:hint="eastAsia"/>
          <w:szCs w:val="24"/>
          <w:lang w:eastAsia="zh-CN"/>
        </w:rPr>
        <w:t>的外部标准。</w:t>
      </w:r>
      <w:bookmarkEnd w:id="6"/>
    </w:p>
    <w:p w14:paraId="0DE46B67" w14:textId="0581B8C0" w:rsidR="004F11CA" w:rsidRPr="00766427" w:rsidRDefault="00766427" w:rsidP="0043364E">
      <w:pPr>
        <w:overflowPunct/>
        <w:autoSpaceDE/>
        <w:autoSpaceDN/>
        <w:adjustRightInd/>
        <w:ind w:firstLineChars="200" w:firstLine="480"/>
        <w:textAlignment w:val="auto"/>
        <w:rPr>
          <w:szCs w:val="24"/>
          <w:lang w:eastAsia="ja-JP"/>
        </w:rPr>
      </w:pPr>
      <w:r w:rsidRPr="00766427">
        <w:rPr>
          <w:rFonts w:ascii="SimSun" w:hAnsi="SimSun" w:cs="SimSun" w:hint="eastAsia"/>
          <w:szCs w:val="24"/>
          <w:lang w:eastAsia="ja-JP"/>
        </w:rPr>
        <w:t>在制定</w:t>
      </w:r>
      <w:r w:rsidRPr="00766427">
        <w:rPr>
          <w:rFonts w:hint="eastAsia"/>
          <w:szCs w:val="24"/>
          <w:lang w:eastAsia="ja-JP"/>
        </w:rPr>
        <w:t>ITU-R</w:t>
      </w:r>
      <w:r w:rsidRPr="00766427">
        <w:rPr>
          <w:rFonts w:ascii="SimSun" w:hAnsi="SimSun" w:cs="SimSun" w:hint="eastAsia"/>
          <w:szCs w:val="24"/>
          <w:lang w:eastAsia="ja-JP"/>
        </w:rPr>
        <w:t>建议书时可能采用不同的方法，</w:t>
      </w:r>
      <w:r w:rsidR="00013505">
        <w:rPr>
          <w:rFonts w:ascii="SimSun" w:hAnsi="SimSun" w:cs="SimSun" w:hint="eastAsia"/>
          <w:szCs w:val="24"/>
          <w:lang w:eastAsia="zh-CN"/>
        </w:rPr>
        <w:t>而这些</w:t>
      </w:r>
      <w:r w:rsidRPr="00766427">
        <w:rPr>
          <w:rFonts w:ascii="SimSun" w:hAnsi="SimSun" w:cs="SimSun" w:hint="eastAsia"/>
          <w:szCs w:val="24"/>
          <w:lang w:eastAsia="ja-JP"/>
        </w:rPr>
        <w:t>建议书的规范</w:t>
      </w:r>
      <w:r w:rsidR="00013505">
        <w:rPr>
          <w:rFonts w:ascii="SimSun" w:hAnsi="SimSun" w:cs="SimSun" w:hint="eastAsia"/>
          <w:szCs w:val="24"/>
          <w:lang w:eastAsia="zh-CN"/>
        </w:rPr>
        <w:t>要</w:t>
      </w:r>
      <w:r w:rsidRPr="00766427">
        <w:rPr>
          <w:rFonts w:ascii="SimSun" w:hAnsi="SimSun" w:cs="SimSun" w:hint="eastAsia"/>
          <w:szCs w:val="24"/>
          <w:lang w:eastAsia="ja-JP"/>
        </w:rPr>
        <w:t>与外部标准</w:t>
      </w:r>
      <w:r w:rsidR="006621A7">
        <w:rPr>
          <w:rFonts w:ascii="SimSun" w:hAnsi="SimSun" w:cs="SimSun" w:hint="eastAsia"/>
          <w:szCs w:val="24"/>
          <w:lang w:eastAsia="zh-CN"/>
        </w:rPr>
        <w:t>要</w:t>
      </w:r>
      <w:r w:rsidRPr="00766427">
        <w:rPr>
          <w:rFonts w:ascii="SimSun" w:hAnsi="SimSun" w:cs="SimSun" w:hint="eastAsia"/>
          <w:szCs w:val="24"/>
          <w:lang w:eastAsia="ja-JP"/>
        </w:rPr>
        <w:t>保持一致</w:t>
      </w:r>
      <w:r w:rsidR="009F7C2C">
        <w:rPr>
          <w:rFonts w:ascii="SimSun" w:hAnsi="SimSun" w:cs="SimSun" w:hint="eastAsia"/>
          <w:szCs w:val="24"/>
          <w:lang w:eastAsia="zh-CN"/>
        </w:rPr>
        <w:t>和</w:t>
      </w:r>
      <w:r>
        <w:rPr>
          <w:rFonts w:ascii="SimSun" w:hAnsi="SimSun" w:cs="SimSun" w:hint="eastAsia"/>
          <w:szCs w:val="24"/>
          <w:lang w:eastAsia="zh-CN"/>
        </w:rPr>
        <w:t>统一</w:t>
      </w:r>
      <w:r w:rsidRPr="00766427">
        <w:rPr>
          <w:rFonts w:ascii="SimSun" w:hAnsi="SimSun" w:cs="SimSun" w:hint="eastAsia"/>
          <w:szCs w:val="24"/>
          <w:lang w:eastAsia="ja-JP"/>
        </w:rPr>
        <w:t>，</w:t>
      </w:r>
      <w:r>
        <w:rPr>
          <w:rFonts w:ascii="SimSun" w:hAnsi="SimSun" w:cs="SimSun" w:hint="eastAsia"/>
          <w:szCs w:val="24"/>
          <w:lang w:eastAsia="zh-CN"/>
        </w:rPr>
        <w:t>包括：</w:t>
      </w:r>
    </w:p>
    <w:p w14:paraId="3D53F393" w14:textId="44E01854" w:rsidR="00766427" w:rsidRPr="00766427" w:rsidRDefault="00A06A5C" w:rsidP="00A06A5C">
      <w:pPr>
        <w:pStyle w:val="enumlev1"/>
        <w:rPr>
          <w:lang w:eastAsia="ja-JP"/>
        </w:rPr>
      </w:pPr>
      <w:r w:rsidRPr="00A06A5C">
        <w:rPr>
          <w:lang w:val="fr-FR" w:eastAsia="ja-JP"/>
        </w:rPr>
        <w:t>a)</w:t>
      </w:r>
      <w:r w:rsidRPr="00A06A5C">
        <w:rPr>
          <w:lang w:val="fr-FR" w:eastAsia="ja-JP"/>
        </w:rPr>
        <w:tab/>
      </w:r>
      <w:r w:rsidR="00766427" w:rsidRPr="00766427">
        <w:rPr>
          <w:rFonts w:hint="eastAsia"/>
          <w:lang w:eastAsia="ja-JP"/>
        </w:rPr>
        <w:t>在</w:t>
      </w:r>
      <w:r w:rsidR="00F94061" w:rsidRPr="00F94061">
        <w:rPr>
          <w:rFonts w:ascii="STKaiti" w:eastAsia="STKaiti" w:hAnsi="STKaiti" w:hint="eastAsia"/>
          <w:lang w:eastAsia="ja-JP"/>
        </w:rPr>
        <w:t>“</w:t>
      </w:r>
      <w:r w:rsidR="000C3C4B">
        <w:rPr>
          <w:rFonts w:ascii="STKaiti" w:eastAsia="STKaiti" w:hAnsi="STKaiti" w:hint="eastAsia"/>
          <w:lang w:eastAsia="zh-CN"/>
        </w:rPr>
        <w:t>建议</w:t>
      </w:r>
      <w:r w:rsidR="00F94061" w:rsidRPr="00F94061">
        <w:rPr>
          <w:rFonts w:ascii="STKaiti" w:eastAsia="STKaiti" w:hAnsi="STKaiti" w:hint="eastAsia"/>
          <w:lang w:eastAsia="ja-JP"/>
        </w:rPr>
        <w:t>”</w:t>
      </w:r>
      <w:r w:rsidR="00766427" w:rsidRPr="00766427">
        <w:rPr>
          <w:rFonts w:hint="eastAsia"/>
          <w:lang w:eastAsia="ja-JP"/>
        </w:rPr>
        <w:t>部分简单</w:t>
      </w:r>
      <w:r w:rsidR="00495855">
        <w:rPr>
          <w:rFonts w:hint="eastAsia"/>
          <w:lang w:eastAsia="zh-CN"/>
        </w:rPr>
        <w:t>中</w:t>
      </w:r>
      <w:r w:rsidR="00766427" w:rsidRPr="00766427">
        <w:rPr>
          <w:rFonts w:hint="eastAsia"/>
          <w:lang w:eastAsia="ja-JP"/>
        </w:rPr>
        <w:t>引用外部标准。</w:t>
      </w:r>
    </w:p>
    <w:p w14:paraId="58B426BE" w14:textId="25D9616F" w:rsidR="00766427" w:rsidRPr="00766427" w:rsidRDefault="00A06A5C" w:rsidP="00A06A5C">
      <w:pPr>
        <w:pStyle w:val="enumlev1"/>
        <w:rPr>
          <w:lang w:eastAsia="ja-JP"/>
        </w:rPr>
      </w:pPr>
      <w:r w:rsidRPr="00A06A5C">
        <w:rPr>
          <w:lang w:val="fr-FR" w:eastAsia="ja-JP"/>
        </w:rPr>
        <w:t>b)</w:t>
      </w:r>
      <w:r w:rsidRPr="00A06A5C">
        <w:rPr>
          <w:lang w:val="fr-FR" w:eastAsia="ja-JP"/>
        </w:rPr>
        <w:tab/>
      </w:r>
      <w:r w:rsidR="00766427" w:rsidRPr="00766427">
        <w:rPr>
          <w:rFonts w:hint="eastAsia"/>
          <w:lang w:eastAsia="ja-JP"/>
        </w:rPr>
        <w:t>在</w:t>
      </w:r>
      <w:r w:rsidR="00F94061" w:rsidRPr="00F94061">
        <w:rPr>
          <w:rFonts w:ascii="STKaiti" w:eastAsia="STKaiti" w:hAnsi="STKaiti" w:hint="eastAsia"/>
          <w:lang w:eastAsia="ja-JP"/>
        </w:rPr>
        <w:t>“</w:t>
      </w:r>
      <w:r w:rsidR="000C3C4B">
        <w:rPr>
          <w:rFonts w:ascii="STKaiti" w:eastAsia="STKaiti" w:hAnsi="STKaiti" w:hint="eastAsia"/>
          <w:lang w:eastAsia="zh-CN"/>
        </w:rPr>
        <w:t>建议</w:t>
      </w:r>
      <w:r w:rsidR="00F94061" w:rsidRPr="00F94061">
        <w:rPr>
          <w:rFonts w:ascii="STKaiti" w:eastAsia="STKaiti" w:hAnsi="STKaiti" w:hint="eastAsia"/>
          <w:lang w:eastAsia="ja-JP"/>
        </w:rPr>
        <w:t>”</w:t>
      </w:r>
      <w:r w:rsidR="00F94061" w:rsidRPr="00766427">
        <w:rPr>
          <w:rFonts w:hint="eastAsia"/>
          <w:lang w:eastAsia="ja-JP"/>
        </w:rPr>
        <w:t>部分</w:t>
      </w:r>
      <w:r w:rsidR="00766427" w:rsidRPr="00766427">
        <w:rPr>
          <w:rFonts w:hint="eastAsia"/>
          <w:lang w:eastAsia="ja-JP"/>
        </w:rPr>
        <w:t>中引用外部标准，</w:t>
      </w:r>
      <w:r w:rsidR="00495855">
        <w:rPr>
          <w:rFonts w:hint="eastAsia"/>
          <w:lang w:eastAsia="zh-CN"/>
        </w:rPr>
        <w:t>同时</w:t>
      </w:r>
      <w:r w:rsidR="00766427" w:rsidRPr="00766427">
        <w:rPr>
          <w:rFonts w:hint="eastAsia"/>
          <w:lang w:eastAsia="ja-JP"/>
        </w:rPr>
        <w:t>以适当的形式</w:t>
      </w:r>
      <w:bookmarkStart w:id="7" w:name="_Hlk40629924"/>
      <w:r w:rsidR="00766427" w:rsidRPr="00766427">
        <w:rPr>
          <w:rFonts w:hint="eastAsia"/>
          <w:lang w:eastAsia="ja-JP"/>
        </w:rPr>
        <w:t>复制外部标准中的规范</w:t>
      </w:r>
      <w:bookmarkEnd w:id="7"/>
      <w:r w:rsidR="00766427" w:rsidRPr="00766427">
        <w:rPr>
          <w:rFonts w:hint="eastAsia"/>
          <w:lang w:eastAsia="ja-JP"/>
        </w:rPr>
        <w:t>，作为</w:t>
      </w:r>
      <w:r w:rsidR="00F94061" w:rsidRPr="00766427">
        <w:rPr>
          <w:rFonts w:hint="eastAsia"/>
          <w:lang w:eastAsia="ja-JP"/>
        </w:rPr>
        <w:t>ITU-R</w:t>
      </w:r>
      <w:r w:rsidR="00F94061" w:rsidRPr="00766427">
        <w:rPr>
          <w:rFonts w:hint="eastAsia"/>
          <w:lang w:eastAsia="ja-JP"/>
        </w:rPr>
        <w:t>建议书</w:t>
      </w:r>
      <w:r w:rsidR="00F94061">
        <w:rPr>
          <w:rFonts w:hint="eastAsia"/>
          <w:lang w:eastAsia="zh-CN"/>
        </w:rPr>
        <w:t>的（一个或多个）</w:t>
      </w:r>
      <w:r w:rsidR="00766427" w:rsidRPr="00766427">
        <w:rPr>
          <w:rFonts w:hint="eastAsia"/>
          <w:lang w:eastAsia="ja-JP"/>
        </w:rPr>
        <w:t>附件。</w:t>
      </w:r>
    </w:p>
    <w:p w14:paraId="1B15946A" w14:textId="6A1A2A98" w:rsidR="000C3C4B" w:rsidRPr="000C3C4B" w:rsidRDefault="00A06A5C" w:rsidP="00A06A5C">
      <w:pPr>
        <w:pStyle w:val="enumlev1"/>
        <w:rPr>
          <w:lang w:eastAsia="ja-JP"/>
        </w:rPr>
      </w:pPr>
      <w:r w:rsidRPr="00A06A5C">
        <w:rPr>
          <w:lang w:val="fr-FR" w:eastAsia="ja-JP"/>
        </w:rPr>
        <w:t>c)</w:t>
      </w:r>
      <w:r w:rsidRPr="00A06A5C">
        <w:rPr>
          <w:lang w:val="fr-FR" w:eastAsia="ja-JP"/>
        </w:rPr>
        <w:tab/>
      </w:r>
      <w:r w:rsidR="00766427" w:rsidRPr="00766427">
        <w:rPr>
          <w:rFonts w:hint="eastAsia"/>
          <w:lang w:eastAsia="ja-JP"/>
        </w:rPr>
        <w:t>在</w:t>
      </w:r>
      <w:r w:rsidR="005012E7" w:rsidRPr="00F94061">
        <w:rPr>
          <w:rFonts w:ascii="STKaiti" w:eastAsia="STKaiti" w:hAnsi="STKaiti" w:hint="eastAsia"/>
          <w:lang w:eastAsia="ja-JP"/>
        </w:rPr>
        <w:t>“</w:t>
      </w:r>
      <w:r w:rsidR="000C3C4B">
        <w:rPr>
          <w:rFonts w:ascii="STKaiti" w:eastAsia="STKaiti" w:hAnsi="STKaiti" w:hint="eastAsia"/>
          <w:lang w:eastAsia="zh-CN"/>
        </w:rPr>
        <w:t>建议</w:t>
      </w:r>
      <w:r w:rsidR="005012E7" w:rsidRPr="00F94061">
        <w:rPr>
          <w:rFonts w:ascii="STKaiti" w:eastAsia="STKaiti" w:hAnsi="STKaiti" w:hint="eastAsia"/>
          <w:lang w:eastAsia="ja-JP"/>
        </w:rPr>
        <w:t>”</w:t>
      </w:r>
      <w:r w:rsidR="005012E7" w:rsidRPr="00766427">
        <w:rPr>
          <w:rFonts w:hint="eastAsia"/>
          <w:lang w:eastAsia="ja-JP"/>
        </w:rPr>
        <w:t>部分</w:t>
      </w:r>
      <w:r w:rsidR="00766427" w:rsidRPr="00766427">
        <w:rPr>
          <w:rFonts w:hint="eastAsia"/>
          <w:lang w:eastAsia="ja-JP"/>
        </w:rPr>
        <w:t>中</w:t>
      </w:r>
      <w:r w:rsidR="00303673">
        <w:rPr>
          <w:rFonts w:hint="eastAsia"/>
          <w:lang w:eastAsia="zh-CN"/>
        </w:rPr>
        <w:t>不</w:t>
      </w:r>
      <w:r w:rsidR="00766427" w:rsidRPr="00766427">
        <w:rPr>
          <w:rFonts w:hint="eastAsia"/>
          <w:lang w:eastAsia="ja-JP"/>
        </w:rPr>
        <w:t>引用任何外部标准，但</w:t>
      </w:r>
      <w:r w:rsidR="000C3C4B">
        <w:rPr>
          <w:rFonts w:hint="eastAsia"/>
          <w:lang w:eastAsia="zh-CN"/>
        </w:rPr>
        <w:t>在</w:t>
      </w:r>
      <w:r w:rsidR="000C3C4B" w:rsidRPr="00766427">
        <w:rPr>
          <w:rFonts w:hint="eastAsia"/>
          <w:lang w:eastAsia="ja-JP"/>
        </w:rPr>
        <w:t>ITU-R</w:t>
      </w:r>
      <w:r w:rsidR="000C3C4B" w:rsidRPr="00766427">
        <w:rPr>
          <w:rFonts w:hint="eastAsia"/>
          <w:lang w:eastAsia="ja-JP"/>
        </w:rPr>
        <w:t>建议书</w:t>
      </w:r>
      <w:r w:rsidR="00303673" w:rsidRPr="00766427">
        <w:rPr>
          <w:rFonts w:hint="eastAsia"/>
          <w:lang w:eastAsia="ja-JP"/>
        </w:rPr>
        <w:t>以适当的形式</w:t>
      </w:r>
      <w:r w:rsidR="00766427" w:rsidRPr="00766427">
        <w:rPr>
          <w:rFonts w:hint="eastAsia"/>
          <w:lang w:eastAsia="ja-JP"/>
        </w:rPr>
        <w:t>复制这些外部标准中的规范。</w:t>
      </w:r>
    </w:p>
    <w:p w14:paraId="4C045259" w14:textId="3257BF78" w:rsidR="004F11CA" w:rsidRPr="00832EAB" w:rsidRDefault="004F11CA" w:rsidP="004F11CA">
      <w:pPr>
        <w:pStyle w:val="Heading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ab/>
      </w:r>
      <w:r w:rsidR="00A32690">
        <w:rPr>
          <w:rFonts w:hint="eastAsia"/>
          <w:lang w:eastAsia="zh-CN"/>
        </w:rPr>
        <w:t>对</w:t>
      </w:r>
      <w:r w:rsidR="00A32690" w:rsidRPr="00A32690">
        <w:rPr>
          <w:rFonts w:hint="eastAsia"/>
          <w:lang w:eastAsia="ja-JP"/>
        </w:rPr>
        <w:t>ITU-R</w:t>
      </w:r>
      <w:r w:rsidR="00A32690" w:rsidRPr="00A32690">
        <w:rPr>
          <w:rFonts w:hint="eastAsia"/>
          <w:lang w:eastAsia="ja-JP"/>
        </w:rPr>
        <w:t>建议书的要求</w:t>
      </w:r>
    </w:p>
    <w:p w14:paraId="5CD7F43E" w14:textId="01892E05" w:rsidR="004F11CA" w:rsidRPr="00A06A5C" w:rsidRDefault="00A06A5C" w:rsidP="00A06A5C">
      <w:pPr>
        <w:pStyle w:val="enumlev1"/>
        <w:rPr>
          <w:lang w:val="fr-FR" w:eastAsia="ja-JP"/>
        </w:rPr>
      </w:pPr>
      <w:bookmarkStart w:id="8" w:name="_Hlk40630411"/>
      <w:r w:rsidRPr="00A06A5C">
        <w:rPr>
          <w:lang w:val="fr-FR" w:eastAsia="ja-JP"/>
        </w:rPr>
        <w:t>1)</w:t>
      </w:r>
      <w:r w:rsidRPr="00A06A5C">
        <w:rPr>
          <w:lang w:val="fr-FR" w:eastAsia="ja-JP"/>
        </w:rPr>
        <w:tab/>
      </w:r>
      <w:r w:rsidR="009371D0" w:rsidRPr="00A06A5C">
        <w:rPr>
          <w:rFonts w:hint="eastAsia"/>
          <w:lang w:val="fr-FR" w:eastAsia="ja-JP"/>
        </w:rPr>
        <w:t>ITU-R</w:t>
      </w:r>
      <w:r w:rsidR="009371D0" w:rsidRPr="00A06A5C">
        <w:rPr>
          <w:rFonts w:hint="eastAsia"/>
          <w:lang w:val="fr-FR" w:eastAsia="ja-JP"/>
        </w:rPr>
        <w:t>建议书不应是简单的</w:t>
      </w:r>
      <w:r w:rsidR="00495855" w:rsidRPr="00A06A5C">
        <w:rPr>
          <w:rFonts w:hint="eastAsia"/>
          <w:lang w:val="fr-FR" w:eastAsia="ja-JP"/>
        </w:rPr>
        <w:t>盖</w:t>
      </w:r>
      <w:r w:rsidR="009371D0" w:rsidRPr="00A06A5C">
        <w:rPr>
          <w:rFonts w:hint="eastAsia"/>
          <w:lang w:val="fr-FR" w:eastAsia="ja-JP"/>
        </w:rPr>
        <w:t>章</w:t>
      </w:r>
      <w:r w:rsidR="00495855" w:rsidRPr="00A06A5C">
        <w:rPr>
          <w:rFonts w:hint="eastAsia"/>
          <w:lang w:val="fr-FR" w:eastAsia="ja-JP"/>
        </w:rPr>
        <w:t>批准</w:t>
      </w:r>
      <w:r w:rsidR="009371D0" w:rsidRPr="00A06A5C">
        <w:rPr>
          <w:rFonts w:hint="eastAsia"/>
          <w:lang w:val="fr-FR" w:eastAsia="ja-JP"/>
        </w:rPr>
        <w:t>产品，而应是增值产品。</w:t>
      </w:r>
      <w:bookmarkEnd w:id="8"/>
    </w:p>
    <w:p w14:paraId="544A1137" w14:textId="31703E68" w:rsidR="009371D0" w:rsidRPr="009371D0" w:rsidRDefault="009371D0" w:rsidP="009371D0">
      <w:pPr>
        <w:overflowPunct/>
        <w:autoSpaceDE/>
        <w:autoSpaceDN/>
        <w:adjustRightInd/>
        <w:ind w:firstLineChars="200" w:firstLine="480"/>
        <w:textAlignment w:val="auto"/>
        <w:rPr>
          <w:rFonts w:eastAsia="MS Mincho"/>
          <w:szCs w:val="24"/>
          <w:lang w:eastAsia="ja-JP"/>
        </w:rPr>
      </w:pPr>
      <w:r w:rsidRPr="009371D0">
        <w:rPr>
          <w:rFonts w:hint="eastAsia"/>
          <w:szCs w:val="24"/>
          <w:lang w:eastAsia="ja-JP"/>
        </w:rPr>
        <w:t>在</w:t>
      </w:r>
      <w:r w:rsidRPr="00F94061">
        <w:rPr>
          <w:rFonts w:ascii="STKaiti" w:eastAsia="STKaiti" w:hAnsi="STKaiti" w:hint="eastAsia"/>
          <w:szCs w:val="24"/>
          <w:lang w:eastAsia="ja-JP"/>
        </w:rPr>
        <w:t>“</w:t>
      </w:r>
      <w:r>
        <w:rPr>
          <w:rFonts w:ascii="STKaiti" w:eastAsia="STKaiti" w:hAnsi="STKaiti" w:hint="eastAsia"/>
          <w:szCs w:val="24"/>
          <w:lang w:eastAsia="zh-CN"/>
        </w:rPr>
        <w:t>建议</w:t>
      </w:r>
      <w:r w:rsidRPr="00F94061">
        <w:rPr>
          <w:rFonts w:ascii="STKaiti" w:eastAsia="STKaiti" w:hAnsi="STKaiti" w:hint="eastAsia"/>
          <w:szCs w:val="24"/>
          <w:lang w:eastAsia="ja-JP"/>
        </w:rPr>
        <w:t>”</w:t>
      </w:r>
      <w:r w:rsidRPr="00766427">
        <w:rPr>
          <w:rFonts w:ascii="SimSun" w:hAnsi="SimSun" w:cs="SimSun" w:hint="eastAsia"/>
          <w:szCs w:val="24"/>
          <w:lang w:eastAsia="ja-JP"/>
        </w:rPr>
        <w:t>部分</w:t>
      </w:r>
      <w:r w:rsidRPr="009371D0">
        <w:rPr>
          <w:rFonts w:hint="eastAsia"/>
          <w:szCs w:val="24"/>
          <w:lang w:eastAsia="ja-JP"/>
        </w:rPr>
        <w:t>中简单引用外部标准并不能</w:t>
      </w:r>
      <w:r w:rsidR="003A19A8">
        <w:rPr>
          <w:rFonts w:hint="eastAsia"/>
          <w:szCs w:val="24"/>
          <w:lang w:eastAsia="zh-CN"/>
        </w:rPr>
        <w:t>带来附加价值</w:t>
      </w:r>
      <w:r w:rsidRPr="009371D0">
        <w:rPr>
          <w:rFonts w:hint="eastAsia"/>
          <w:szCs w:val="24"/>
          <w:lang w:eastAsia="ja-JP"/>
        </w:rPr>
        <w:t>。</w:t>
      </w:r>
      <w:r w:rsidR="00703473">
        <w:rPr>
          <w:rFonts w:hint="eastAsia"/>
          <w:szCs w:val="24"/>
          <w:lang w:eastAsia="zh-CN"/>
        </w:rPr>
        <w:t>参</w:t>
      </w:r>
      <w:r>
        <w:rPr>
          <w:rFonts w:hint="eastAsia"/>
          <w:szCs w:val="24"/>
          <w:lang w:eastAsia="zh-CN"/>
        </w:rPr>
        <w:t>引</w:t>
      </w:r>
      <w:r w:rsidRPr="009371D0">
        <w:rPr>
          <w:rFonts w:hint="eastAsia"/>
          <w:szCs w:val="24"/>
          <w:lang w:eastAsia="ja-JP"/>
        </w:rPr>
        <w:t>外部标准的</w:t>
      </w:r>
      <w:r w:rsidR="00703473">
        <w:rPr>
          <w:rFonts w:hint="eastAsia"/>
          <w:szCs w:val="24"/>
          <w:lang w:eastAsia="zh-CN"/>
        </w:rPr>
        <w:t>、实现</w:t>
      </w:r>
      <w:r w:rsidR="00703473" w:rsidRPr="009371D0">
        <w:rPr>
          <w:rFonts w:hint="eastAsia"/>
          <w:szCs w:val="24"/>
          <w:lang w:eastAsia="ja-JP"/>
        </w:rPr>
        <w:t>增值</w:t>
      </w:r>
      <w:r w:rsidR="00703473">
        <w:rPr>
          <w:rFonts w:hint="eastAsia"/>
          <w:szCs w:val="24"/>
          <w:lang w:eastAsia="zh-CN"/>
        </w:rPr>
        <w:t>的</w:t>
      </w:r>
      <w:r w:rsidRPr="009371D0">
        <w:rPr>
          <w:rFonts w:hint="eastAsia"/>
          <w:szCs w:val="24"/>
          <w:lang w:eastAsia="ja-JP"/>
        </w:rPr>
        <w:t>ITU-R</w:t>
      </w:r>
      <w:r w:rsidRPr="009371D0">
        <w:rPr>
          <w:rFonts w:hint="eastAsia"/>
          <w:szCs w:val="24"/>
          <w:lang w:eastAsia="ja-JP"/>
        </w:rPr>
        <w:t>建议书示例包括：</w:t>
      </w:r>
    </w:p>
    <w:p w14:paraId="7DF0F84E" w14:textId="77FA385D" w:rsidR="009371D0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9371D0" w:rsidRPr="00A06A5C">
        <w:rPr>
          <w:rFonts w:hint="eastAsia"/>
          <w:lang w:val="fr-FR" w:eastAsia="ja-JP"/>
        </w:rPr>
        <w:t>当需要使用多个外部标准来</w:t>
      </w:r>
      <w:r w:rsidR="00703473" w:rsidRPr="00A06A5C">
        <w:rPr>
          <w:rFonts w:hint="eastAsia"/>
          <w:lang w:val="fr-FR" w:eastAsia="ja-JP"/>
        </w:rPr>
        <w:t>执行一项具体</w:t>
      </w:r>
      <w:r w:rsidR="009371D0" w:rsidRPr="00A06A5C">
        <w:rPr>
          <w:rFonts w:hint="eastAsia"/>
          <w:lang w:val="fr-FR" w:eastAsia="ja-JP"/>
        </w:rPr>
        <w:t>任务或实施</w:t>
      </w:r>
      <w:r w:rsidR="00703473" w:rsidRPr="00A06A5C">
        <w:rPr>
          <w:rFonts w:hint="eastAsia"/>
          <w:lang w:val="fr-FR" w:eastAsia="ja-JP"/>
        </w:rPr>
        <w:t>一具体</w:t>
      </w:r>
      <w:r w:rsidR="009371D0" w:rsidRPr="00A06A5C">
        <w:rPr>
          <w:rFonts w:hint="eastAsia"/>
          <w:lang w:val="fr-FR" w:eastAsia="ja-JP"/>
        </w:rPr>
        <w:t>无线电通信应用时，</w:t>
      </w:r>
      <w:r w:rsidR="009371D0" w:rsidRPr="00A06A5C">
        <w:rPr>
          <w:rFonts w:hint="eastAsia"/>
          <w:lang w:val="fr-FR" w:eastAsia="ja-JP"/>
        </w:rPr>
        <w:t>ITU-R</w:t>
      </w:r>
      <w:r w:rsidR="009371D0" w:rsidRPr="00A06A5C">
        <w:rPr>
          <w:rFonts w:hint="eastAsia"/>
          <w:lang w:val="fr-FR" w:eastAsia="ja-JP"/>
        </w:rPr>
        <w:t>建议书可提供必要的信息和指导。</w:t>
      </w:r>
    </w:p>
    <w:p w14:paraId="25CACCB5" w14:textId="413F602C" w:rsidR="004F11CA" w:rsidRPr="00A06A5C" w:rsidRDefault="00A06A5C" w:rsidP="00A06A5C">
      <w:pPr>
        <w:pStyle w:val="enumlev1"/>
        <w:rPr>
          <w:lang w:val="fr-FR" w:eastAsia="ja-JP"/>
        </w:rPr>
      </w:pPr>
      <w:bookmarkStart w:id="9" w:name="lt_pId024"/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5C3314" w:rsidRPr="00A06A5C">
        <w:rPr>
          <w:rFonts w:hint="eastAsia"/>
          <w:lang w:val="fr-FR" w:eastAsia="ja-JP"/>
        </w:rPr>
        <w:t>当</w:t>
      </w:r>
      <w:r w:rsidR="00703473" w:rsidRPr="00A06A5C">
        <w:rPr>
          <w:rFonts w:hint="eastAsia"/>
          <w:lang w:val="fr-FR" w:eastAsia="ja-JP"/>
        </w:rPr>
        <w:t>一</w:t>
      </w:r>
      <w:r w:rsidR="005C3314" w:rsidRPr="00A06A5C">
        <w:rPr>
          <w:rFonts w:hint="eastAsia"/>
          <w:lang w:val="fr-FR" w:eastAsia="ja-JP"/>
        </w:rPr>
        <w:t>建议书提供</w:t>
      </w:r>
      <w:r w:rsidR="00703473" w:rsidRPr="00A06A5C">
        <w:rPr>
          <w:rFonts w:hint="eastAsia"/>
          <w:lang w:val="fr-FR" w:eastAsia="ja-JP"/>
        </w:rPr>
        <w:t>与一特定无线电应用相关的、基于外部标准的各种不同系统</w:t>
      </w:r>
      <w:r w:rsidR="005C3314" w:rsidRPr="00A06A5C">
        <w:rPr>
          <w:rFonts w:hint="eastAsia"/>
          <w:lang w:val="fr-FR" w:eastAsia="ja-JP"/>
        </w:rPr>
        <w:t>的信息时，该建议书应</w:t>
      </w:r>
      <w:r w:rsidR="00A10F62" w:rsidRPr="00A06A5C">
        <w:rPr>
          <w:rFonts w:hint="eastAsia"/>
          <w:lang w:val="fr-FR" w:eastAsia="ja-JP"/>
        </w:rPr>
        <w:t>按照</w:t>
      </w:r>
      <w:r w:rsidR="00A10F62" w:rsidRPr="00A06A5C">
        <w:rPr>
          <w:rFonts w:hint="eastAsia"/>
          <w:lang w:val="fr-FR" w:eastAsia="ja-JP"/>
        </w:rPr>
        <w:t>ITU-R</w:t>
      </w:r>
      <w:r w:rsidR="00A10F62" w:rsidRPr="00A06A5C">
        <w:rPr>
          <w:rFonts w:hint="eastAsia"/>
          <w:lang w:val="fr-FR" w:eastAsia="ja-JP"/>
        </w:rPr>
        <w:t>第</w:t>
      </w:r>
      <w:r w:rsidR="00A10F62" w:rsidRPr="00A06A5C">
        <w:rPr>
          <w:rFonts w:hint="eastAsia"/>
          <w:lang w:val="fr-FR" w:eastAsia="ja-JP"/>
        </w:rPr>
        <w:t>1-8</w:t>
      </w:r>
      <w:r w:rsidR="00A10F62" w:rsidRPr="00A06A5C">
        <w:rPr>
          <w:rFonts w:hint="eastAsia"/>
          <w:lang w:val="fr-FR" w:eastAsia="ja-JP"/>
        </w:rPr>
        <w:t>号建议书第</w:t>
      </w:r>
      <w:r w:rsidR="00A10F62" w:rsidRPr="00A06A5C">
        <w:rPr>
          <w:rFonts w:hint="eastAsia"/>
          <w:lang w:val="fr-FR" w:eastAsia="ja-JP"/>
        </w:rPr>
        <w:t>A.2.6.1</w:t>
      </w:r>
      <w:r w:rsidR="00A10F62" w:rsidRPr="00A06A5C">
        <w:rPr>
          <w:rFonts w:hint="eastAsia"/>
          <w:lang w:val="fr-FR" w:eastAsia="ja-JP"/>
        </w:rPr>
        <w:t>段注</w:t>
      </w:r>
      <w:r w:rsidR="00A10F62" w:rsidRPr="00A06A5C">
        <w:rPr>
          <w:rFonts w:hint="eastAsia"/>
          <w:lang w:val="fr-FR" w:eastAsia="ja-JP"/>
        </w:rPr>
        <w:t>1</w:t>
      </w:r>
      <w:r w:rsidR="00A10F62" w:rsidRPr="00A06A5C">
        <w:rPr>
          <w:rFonts w:hint="eastAsia"/>
          <w:lang w:val="fr-FR" w:eastAsia="ja-JP"/>
        </w:rPr>
        <w:t>中的规定</w:t>
      </w:r>
      <w:r w:rsidR="00703473" w:rsidRPr="00A06A5C">
        <w:rPr>
          <w:rFonts w:hint="eastAsia"/>
          <w:lang w:val="fr-FR" w:eastAsia="ja-JP"/>
        </w:rPr>
        <w:t>，</w:t>
      </w:r>
      <w:r w:rsidR="005C3314" w:rsidRPr="00A06A5C">
        <w:rPr>
          <w:rFonts w:hint="eastAsia"/>
          <w:lang w:val="fr-FR" w:eastAsia="ja-JP"/>
        </w:rPr>
        <w:t>在可能</w:t>
      </w:r>
      <w:r w:rsidR="00703473" w:rsidRPr="00A06A5C">
        <w:rPr>
          <w:rFonts w:hint="eastAsia"/>
          <w:lang w:val="fr-FR" w:eastAsia="ja-JP"/>
        </w:rPr>
        <w:t>的</w:t>
      </w:r>
      <w:r w:rsidR="005C3314" w:rsidRPr="00A06A5C">
        <w:rPr>
          <w:rFonts w:hint="eastAsia"/>
          <w:lang w:val="fr-FR" w:eastAsia="ja-JP"/>
        </w:rPr>
        <w:t>情况下包含</w:t>
      </w:r>
      <w:r w:rsidR="00703473" w:rsidRPr="00A06A5C">
        <w:rPr>
          <w:rFonts w:hint="eastAsia"/>
          <w:lang w:val="fr-FR" w:eastAsia="ja-JP"/>
        </w:rPr>
        <w:t>一份被</w:t>
      </w:r>
      <w:r w:rsidR="005C3314" w:rsidRPr="00A06A5C">
        <w:rPr>
          <w:rFonts w:hint="eastAsia"/>
          <w:lang w:val="fr-FR" w:eastAsia="ja-JP"/>
        </w:rPr>
        <w:t>推荐系统的评估。</w:t>
      </w:r>
      <w:bookmarkEnd w:id="9"/>
    </w:p>
    <w:p w14:paraId="5CA453A2" w14:textId="484B090F" w:rsidR="00907B5C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703473" w:rsidRPr="00A06A5C">
        <w:rPr>
          <w:rFonts w:hint="eastAsia"/>
          <w:lang w:val="fr-FR" w:eastAsia="ja-JP"/>
        </w:rPr>
        <w:t>当一</w:t>
      </w:r>
      <w:r w:rsidR="00907B5C" w:rsidRPr="00A06A5C">
        <w:rPr>
          <w:rFonts w:hint="eastAsia"/>
          <w:lang w:val="fr-FR" w:eastAsia="ja-JP"/>
        </w:rPr>
        <w:t>外部标准的适用范围很广或用途广泛，</w:t>
      </w:r>
      <w:r w:rsidR="00907B5C" w:rsidRPr="00A06A5C">
        <w:rPr>
          <w:lang w:val="fr-FR" w:eastAsia="ja-JP"/>
        </w:rPr>
        <w:t>ITU-R</w:t>
      </w:r>
      <w:r w:rsidR="00907B5C" w:rsidRPr="00A06A5C">
        <w:rPr>
          <w:rFonts w:hint="eastAsia"/>
          <w:lang w:val="fr-FR" w:eastAsia="ja-JP"/>
        </w:rPr>
        <w:t>建议书可为在</w:t>
      </w:r>
      <w:r w:rsidR="00703473" w:rsidRPr="00A06A5C">
        <w:rPr>
          <w:rFonts w:hint="eastAsia"/>
          <w:lang w:val="fr-FR" w:eastAsia="ja-JP"/>
        </w:rPr>
        <w:t>一具体</w:t>
      </w:r>
      <w:r w:rsidR="00907B5C" w:rsidRPr="00A06A5C">
        <w:rPr>
          <w:rFonts w:hint="eastAsia"/>
          <w:lang w:val="fr-FR" w:eastAsia="ja-JP"/>
        </w:rPr>
        <w:t>无线电通信应用中使用外部标准提供必要的信息和指导。</w:t>
      </w:r>
    </w:p>
    <w:p w14:paraId="7FD72100" w14:textId="00CA2F67" w:rsidR="004F11CA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2)</w:t>
      </w:r>
      <w:r w:rsidRPr="00A06A5C">
        <w:rPr>
          <w:lang w:val="fr-FR" w:eastAsia="ja-JP"/>
        </w:rPr>
        <w:tab/>
      </w:r>
      <w:r w:rsidR="00907B5C" w:rsidRPr="00A06A5C">
        <w:rPr>
          <w:rFonts w:hint="eastAsia"/>
          <w:lang w:val="fr-FR" w:eastAsia="ja-JP"/>
        </w:rPr>
        <w:t>ITU-R</w:t>
      </w:r>
      <w:r w:rsidR="00907B5C" w:rsidRPr="00A06A5C">
        <w:rPr>
          <w:rFonts w:hint="eastAsia"/>
          <w:lang w:val="fr-FR" w:eastAsia="ja-JP"/>
        </w:rPr>
        <w:t>建议书应</w:t>
      </w:r>
      <w:r w:rsidR="00483631" w:rsidRPr="00A06A5C">
        <w:rPr>
          <w:rFonts w:hint="eastAsia"/>
          <w:lang w:val="fr-FR" w:eastAsia="ja-JP"/>
        </w:rPr>
        <w:t>尽量</w:t>
      </w:r>
      <w:r w:rsidR="00267349" w:rsidRPr="00A06A5C">
        <w:rPr>
          <w:rFonts w:hint="eastAsia"/>
          <w:lang w:val="fr-FR" w:eastAsia="ja-JP"/>
        </w:rPr>
        <w:t>自成一体</w:t>
      </w:r>
      <w:r w:rsidR="00907B5C" w:rsidRPr="00A06A5C">
        <w:rPr>
          <w:rFonts w:hint="eastAsia"/>
          <w:lang w:val="fr-FR" w:eastAsia="ja-JP"/>
        </w:rPr>
        <w:t>。</w:t>
      </w:r>
    </w:p>
    <w:p w14:paraId="7B19F94E" w14:textId="16B86C07" w:rsidR="004F11CA" w:rsidRPr="00293F3B" w:rsidRDefault="00267349" w:rsidP="00A06A5C">
      <w:pPr>
        <w:overflowPunct/>
        <w:autoSpaceDE/>
        <w:autoSpaceDN/>
        <w:adjustRightInd/>
        <w:ind w:firstLineChars="200" w:firstLine="480"/>
        <w:textAlignment w:val="auto"/>
        <w:rPr>
          <w:szCs w:val="24"/>
          <w:lang w:eastAsia="ja-JP"/>
        </w:rPr>
      </w:pPr>
      <w:r>
        <w:rPr>
          <w:rFonts w:ascii="SimSun" w:hAnsi="SimSun" w:cs="SimSun" w:hint="eastAsia"/>
          <w:szCs w:val="24"/>
          <w:lang w:eastAsia="zh-CN"/>
        </w:rPr>
        <w:t>自成一体的</w:t>
      </w:r>
      <w:r w:rsidRPr="00267349">
        <w:rPr>
          <w:rFonts w:hint="eastAsia"/>
          <w:szCs w:val="24"/>
          <w:lang w:eastAsia="ja-JP"/>
        </w:rPr>
        <w:t>ITU-R</w:t>
      </w:r>
      <w:r w:rsidRPr="00267349">
        <w:rPr>
          <w:rFonts w:hint="eastAsia"/>
          <w:szCs w:val="24"/>
          <w:lang w:eastAsia="ja-JP"/>
        </w:rPr>
        <w:t>建议书</w:t>
      </w:r>
      <w:r>
        <w:rPr>
          <w:rFonts w:hint="eastAsia"/>
          <w:szCs w:val="24"/>
          <w:lang w:eastAsia="zh-CN"/>
        </w:rPr>
        <w:t>不会出现</w:t>
      </w:r>
      <w:r w:rsidRPr="00267349">
        <w:rPr>
          <w:rFonts w:hint="eastAsia"/>
          <w:szCs w:val="24"/>
          <w:lang w:eastAsia="ja-JP"/>
        </w:rPr>
        <w:t>以下简单引用外部标准</w:t>
      </w:r>
      <w:r>
        <w:rPr>
          <w:rFonts w:hint="eastAsia"/>
          <w:szCs w:val="24"/>
          <w:lang w:eastAsia="zh-CN"/>
        </w:rPr>
        <w:t>可能引发的</w:t>
      </w:r>
      <w:r w:rsidRPr="00267349">
        <w:rPr>
          <w:rFonts w:hint="eastAsia"/>
          <w:szCs w:val="24"/>
          <w:lang w:eastAsia="ja-JP"/>
        </w:rPr>
        <w:t>问题</w:t>
      </w:r>
      <w:r>
        <w:rPr>
          <w:rFonts w:hint="eastAsia"/>
          <w:szCs w:val="24"/>
          <w:lang w:eastAsia="zh-CN"/>
        </w:rPr>
        <w:t>：</w:t>
      </w:r>
    </w:p>
    <w:p w14:paraId="2BAD11CE" w14:textId="44A57D07" w:rsidR="00267349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lastRenderedPageBreak/>
        <w:t>–</w:t>
      </w:r>
      <w:r w:rsidRPr="00A06A5C">
        <w:rPr>
          <w:lang w:val="fr-FR" w:eastAsia="ja-JP"/>
        </w:rPr>
        <w:tab/>
      </w:r>
      <w:r w:rsidR="00267349" w:rsidRPr="00A06A5C">
        <w:rPr>
          <w:rFonts w:hint="eastAsia"/>
          <w:lang w:val="fr-FR" w:eastAsia="ja-JP"/>
        </w:rPr>
        <w:t>外部标准可能包含对其他标准的规范性引用</w:t>
      </w:r>
      <w:r w:rsidR="00CC300B" w:rsidRPr="00A06A5C">
        <w:rPr>
          <w:rFonts w:hint="eastAsia"/>
          <w:lang w:val="fr-FR" w:eastAsia="ja-JP"/>
        </w:rPr>
        <w:t>，</w:t>
      </w:r>
      <w:r w:rsidR="00267349" w:rsidRPr="00A06A5C">
        <w:rPr>
          <w:rFonts w:hint="eastAsia"/>
          <w:lang w:val="fr-FR" w:eastAsia="ja-JP"/>
        </w:rPr>
        <w:t>审查这些规范</w:t>
      </w:r>
      <w:r w:rsidR="002B78F9" w:rsidRPr="00A06A5C">
        <w:rPr>
          <w:rFonts w:hint="eastAsia"/>
          <w:lang w:val="fr-FR" w:eastAsia="ja-JP"/>
        </w:rPr>
        <w:t>性</w:t>
      </w:r>
      <w:r w:rsidR="00267349" w:rsidRPr="00A06A5C">
        <w:rPr>
          <w:rFonts w:hint="eastAsia"/>
          <w:lang w:val="fr-FR" w:eastAsia="ja-JP"/>
        </w:rPr>
        <w:t>标准</w:t>
      </w:r>
      <w:r w:rsidR="002B78F9" w:rsidRPr="00A06A5C">
        <w:rPr>
          <w:rFonts w:hint="eastAsia"/>
          <w:lang w:val="fr-FR" w:eastAsia="ja-JP"/>
        </w:rPr>
        <w:t>并非易事</w:t>
      </w:r>
      <w:r w:rsidR="00267349" w:rsidRPr="00A06A5C">
        <w:rPr>
          <w:rFonts w:hint="eastAsia"/>
          <w:lang w:val="fr-FR" w:eastAsia="ja-JP"/>
        </w:rPr>
        <w:t>。</w:t>
      </w:r>
    </w:p>
    <w:p w14:paraId="7024CCD5" w14:textId="190D25BB" w:rsidR="004F11CA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267349" w:rsidRPr="00A06A5C">
        <w:rPr>
          <w:rFonts w:hint="eastAsia"/>
          <w:lang w:val="fr-FR" w:eastAsia="ja-JP"/>
        </w:rPr>
        <w:t>ITU-R</w:t>
      </w:r>
      <w:r w:rsidR="00267349" w:rsidRPr="00A06A5C">
        <w:rPr>
          <w:rFonts w:hint="eastAsia"/>
          <w:lang w:val="fr-FR" w:eastAsia="ja-JP"/>
        </w:rPr>
        <w:t>建议书中引用的外部标准</w:t>
      </w:r>
      <w:r w:rsidR="00D82A72" w:rsidRPr="00A06A5C">
        <w:rPr>
          <w:rFonts w:hint="eastAsia"/>
          <w:lang w:val="fr-FR" w:eastAsia="ja-JP"/>
        </w:rPr>
        <w:t>未来</w:t>
      </w:r>
      <w:r w:rsidR="00267349" w:rsidRPr="00A06A5C">
        <w:rPr>
          <w:rFonts w:hint="eastAsia"/>
          <w:lang w:val="fr-FR" w:eastAsia="ja-JP"/>
        </w:rPr>
        <w:t>可能会进行修订，</w:t>
      </w:r>
      <w:r w:rsidR="00AA4A7F" w:rsidRPr="00A06A5C">
        <w:rPr>
          <w:rFonts w:hint="eastAsia"/>
          <w:lang w:val="fr-FR" w:eastAsia="ja-JP"/>
        </w:rPr>
        <w:t>而这种修订可能会在未得到制定该建议书的相关</w:t>
      </w:r>
      <w:r w:rsidR="00AA4A7F" w:rsidRPr="00A06A5C">
        <w:rPr>
          <w:lang w:val="fr-FR" w:eastAsia="ja-JP"/>
        </w:rPr>
        <w:t>ITU-R</w:t>
      </w:r>
      <w:r w:rsidR="00AA4A7F" w:rsidRPr="00A06A5C">
        <w:rPr>
          <w:rFonts w:hint="eastAsia"/>
          <w:lang w:val="fr-FR" w:eastAsia="ja-JP"/>
        </w:rPr>
        <w:t>研究组同意的情况下发生。</w:t>
      </w:r>
    </w:p>
    <w:p w14:paraId="1E464A75" w14:textId="2C9BD8B1" w:rsidR="002B78F9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2B78F9" w:rsidRPr="00A06A5C">
        <w:rPr>
          <w:rFonts w:hint="eastAsia"/>
          <w:lang w:val="fr-FR" w:eastAsia="ja-JP"/>
        </w:rPr>
        <w:t>ITU-R</w:t>
      </w:r>
      <w:r w:rsidR="002B78F9" w:rsidRPr="00A06A5C">
        <w:rPr>
          <w:rFonts w:hint="eastAsia"/>
          <w:lang w:val="fr-FR" w:eastAsia="ja-JP"/>
        </w:rPr>
        <w:t>研究组可能会考虑修订</w:t>
      </w:r>
      <w:r w:rsidR="00AA4A7F" w:rsidRPr="00A06A5C">
        <w:rPr>
          <w:rFonts w:hint="eastAsia"/>
          <w:lang w:val="fr-FR" w:eastAsia="ja-JP"/>
        </w:rPr>
        <w:t>一</w:t>
      </w:r>
      <w:r w:rsidR="00AB7CD1" w:rsidRPr="00A06A5C">
        <w:rPr>
          <w:rFonts w:hint="eastAsia"/>
          <w:lang w:val="fr-FR" w:eastAsia="ja-JP"/>
        </w:rPr>
        <w:t>参考</w:t>
      </w:r>
      <w:r w:rsidR="00412AC1" w:rsidRPr="00A06A5C">
        <w:rPr>
          <w:rFonts w:hint="eastAsia"/>
          <w:lang w:val="fr-FR" w:eastAsia="ja-JP"/>
        </w:rPr>
        <w:t>了</w:t>
      </w:r>
      <w:r w:rsidR="002B78F9" w:rsidRPr="00A06A5C">
        <w:rPr>
          <w:rFonts w:hint="eastAsia"/>
          <w:lang w:val="fr-FR" w:eastAsia="ja-JP"/>
        </w:rPr>
        <w:t>外部标准的</w:t>
      </w:r>
      <w:r w:rsidR="002B78F9" w:rsidRPr="00A06A5C">
        <w:rPr>
          <w:rFonts w:hint="eastAsia"/>
          <w:lang w:val="fr-FR" w:eastAsia="ja-JP"/>
        </w:rPr>
        <w:t>ITU-R</w:t>
      </w:r>
      <w:r w:rsidR="002B78F9" w:rsidRPr="00A06A5C">
        <w:rPr>
          <w:rFonts w:hint="eastAsia"/>
          <w:lang w:val="fr-FR" w:eastAsia="ja-JP"/>
        </w:rPr>
        <w:t>建议书。除非研究组根据需要修订</w:t>
      </w:r>
      <w:r w:rsidR="00412AC1" w:rsidRPr="00A06A5C">
        <w:rPr>
          <w:rFonts w:hint="eastAsia"/>
          <w:lang w:val="fr-FR" w:eastAsia="ja-JP"/>
        </w:rPr>
        <w:t>引用</w:t>
      </w:r>
      <w:r w:rsidR="002B78F9" w:rsidRPr="00A06A5C">
        <w:rPr>
          <w:rFonts w:hint="eastAsia"/>
          <w:lang w:val="fr-FR" w:eastAsia="ja-JP"/>
        </w:rPr>
        <w:t>的外部标准，否则很难对</w:t>
      </w:r>
      <w:r w:rsidR="00CC300B" w:rsidRPr="00A06A5C">
        <w:rPr>
          <w:rFonts w:hint="eastAsia"/>
          <w:lang w:val="fr-FR" w:eastAsia="ja-JP"/>
        </w:rPr>
        <w:t>该</w:t>
      </w:r>
      <w:r w:rsidR="002B78F9" w:rsidRPr="00A06A5C">
        <w:rPr>
          <w:rFonts w:hint="eastAsia"/>
          <w:lang w:val="fr-FR" w:eastAsia="ja-JP"/>
        </w:rPr>
        <w:t>建议书进行修订。</w:t>
      </w:r>
    </w:p>
    <w:p w14:paraId="65ED5E06" w14:textId="2F68ADFF" w:rsidR="00907B5C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412AC1" w:rsidRPr="00A06A5C">
        <w:rPr>
          <w:rFonts w:hint="eastAsia"/>
          <w:lang w:val="fr-FR" w:eastAsia="ja-JP"/>
        </w:rPr>
        <w:t>引用</w:t>
      </w:r>
      <w:r w:rsidR="00907B5C" w:rsidRPr="00A06A5C">
        <w:rPr>
          <w:rFonts w:hint="eastAsia"/>
          <w:lang w:val="fr-FR" w:eastAsia="ja-JP"/>
        </w:rPr>
        <w:t>的外部标准通常仅以英文发布。因此，</w:t>
      </w:r>
      <w:r w:rsidR="00907B5C" w:rsidRPr="00A06A5C">
        <w:rPr>
          <w:rFonts w:hint="eastAsia"/>
          <w:lang w:val="fr-FR" w:eastAsia="ja-JP"/>
        </w:rPr>
        <w:t>ITU-R</w:t>
      </w:r>
      <w:r w:rsidR="00907B5C" w:rsidRPr="00A06A5C">
        <w:rPr>
          <w:rFonts w:hint="eastAsia"/>
          <w:lang w:val="fr-FR" w:eastAsia="ja-JP"/>
        </w:rPr>
        <w:t>建议书的基本部分将仅以英文提供，而不翻译</w:t>
      </w:r>
      <w:r w:rsidR="00412AC1" w:rsidRPr="00A06A5C">
        <w:rPr>
          <w:rFonts w:hint="eastAsia"/>
          <w:lang w:val="fr-FR" w:eastAsia="ja-JP"/>
        </w:rPr>
        <w:t>成</w:t>
      </w:r>
      <w:r w:rsidR="00907B5C" w:rsidRPr="00A06A5C">
        <w:rPr>
          <w:rFonts w:hint="eastAsia"/>
          <w:lang w:val="fr-FR" w:eastAsia="ja-JP"/>
        </w:rPr>
        <w:t>其他五种正式</w:t>
      </w:r>
      <w:r w:rsidR="00412AC1" w:rsidRPr="00A06A5C">
        <w:rPr>
          <w:rFonts w:hint="eastAsia"/>
          <w:lang w:val="fr-FR" w:eastAsia="ja-JP"/>
        </w:rPr>
        <w:t>语文</w:t>
      </w:r>
      <w:r w:rsidR="00907B5C" w:rsidRPr="00A06A5C">
        <w:rPr>
          <w:rFonts w:hint="eastAsia"/>
          <w:lang w:val="fr-FR" w:eastAsia="ja-JP"/>
        </w:rPr>
        <w:t>。</w:t>
      </w:r>
    </w:p>
    <w:p w14:paraId="1395F195" w14:textId="0D6B135F" w:rsidR="00907B5C" w:rsidRPr="00A06A5C" w:rsidRDefault="00A06A5C" w:rsidP="00A06A5C">
      <w:pPr>
        <w:pStyle w:val="enumlev1"/>
        <w:rPr>
          <w:lang w:val="fr-FR" w:eastAsia="ja-JP"/>
        </w:rPr>
      </w:pPr>
      <w:r w:rsidRPr="00A06A5C">
        <w:rPr>
          <w:lang w:val="fr-FR" w:eastAsia="ja-JP"/>
        </w:rPr>
        <w:t>–</w:t>
      </w:r>
      <w:r w:rsidRPr="00A06A5C">
        <w:rPr>
          <w:lang w:val="fr-FR" w:eastAsia="ja-JP"/>
        </w:rPr>
        <w:tab/>
      </w:r>
      <w:r w:rsidR="00907B5C" w:rsidRPr="00A06A5C">
        <w:rPr>
          <w:rFonts w:hint="eastAsia"/>
          <w:lang w:val="fr-FR" w:eastAsia="ja-JP"/>
        </w:rPr>
        <w:t>并非所有外部标准都是</w:t>
      </w:r>
      <w:r w:rsidR="00F01CA9" w:rsidRPr="00A06A5C">
        <w:rPr>
          <w:rFonts w:hint="eastAsia"/>
          <w:lang w:val="fr-FR" w:eastAsia="ja-JP"/>
        </w:rPr>
        <w:t>遵循</w:t>
      </w:r>
      <w:r w:rsidR="00F53DAA" w:rsidRPr="00F53DAA">
        <w:rPr>
          <w:rFonts w:ascii="SimSun" w:hAnsi="SimSun"/>
          <w:lang w:val="fr-FR" w:eastAsia="ja-JP"/>
        </w:rPr>
        <w:t>“</w:t>
      </w:r>
      <w:r w:rsidR="00412AC1" w:rsidRPr="00A06A5C">
        <w:rPr>
          <w:rFonts w:hint="eastAsia"/>
          <w:lang w:val="fr-FR" w:eastAsia="ja-JP"/>
        </w:rPr>
        <w:t>正当</w:t>
      </w:r>
      <w:r w:rsidR="00907B5C" w:rsidRPr="00A06A5C">
        <w:rPr>
          <w:rFonts w:hint="eastAsia"/>
          <w:lang w:val="fr-FR" w:eastAsia="ja-JP"/>
        </w:rPr>
        <w:t>程序</w:t>
      </w:r>
      <w:r w:rsidR="00F53DAA" w:rsidRPr="00F53DAA">
        <w:rPr>
          <w:rFonts w:ascii="SimSun" w:hAnsi="SimSun"/>
          <w:lang w:val="fr-FR" w:eastAsia="ja-JP"/>
        </w:rPr>
        <w:t>”</w:t>
      </w:r>
      <w:r w:rsidR="00907B5C" w:rsidRPr="00A06A5C">
        <w:rPr>
          <w:rFonts w:hint="eastAsia"/>
          <w:lang w:val="fr-FR" w:eastAsia="ja-JP"/>
        </w:rPr>
        <w:t>制定的。</w:t>
      </w:r>
    </w:p>
    <w:p w14:paraId="19EDF471" w14:textId="5A46EF79" w:rsidR="004F11CA" w:rsidRPr="00293F3B" w:rsidRDefault="004F11CA" w:rsidP="004F11CA">
      <w:pPr>
        <w:pStyle w:val="Heading1"/>
        <w:rPr>
          <w:lang w:eastAsia="ja-JP"/>
        </w:rPr>
      </w:pPr>
      <w:r w:rsidRPr="00293F3B">
        <w:rPr>
          <w:lang w:eastAsia="ja-JP"/>
        </w:rPr>
        <w:t>3</w:t>
      </w:r>
      <w:r w:rsidRPr="00293F3B">
        <w:rPr>
          <w:lang w:eastAsia="ja-JP"/>
        </w:rPr>
        <w:tab/>
      </w:r>
      <w:r w:rsidR="004F436B">
        <w:rPr>
          <w:rFonts w:hint="eastAsia"/>
          <w:lang w:eastAsia="zh-CN"/>
        </w:rPr>
        <w:t>提案</w:t>
      </w:r>
    </w:p>
    <w:p w14:paraId="04D64B8C" w14:textId="4ED4FCE5" w:rsidR="00412AC1" w:rsidRPr="00F53DAA" w:rsidRDefault="00412AC1" w:rsidP="005C3314">
      <w:pPr>
        <w:overflowPunct/>
        <w:autoSpaceDE/>
        <w:autoSpaceDN/>
        <w:adjustRightInd/>
        <w:ind w:firstLineChars="200" w:firstLine="480"/>
        <w:textAlignment w:val="auto"/>
        <w:rPr>
          <w:szCs w:val="24"/>
          <w:lang w:eastAsia="ja-JP"/>
        </w:rPr>
      </w:pPr>
      <w:bookmarkStart w:id="10" w:name="_Hlk35502449"/>
      <w:r w:rsidRPr="00F53DAA">
        <w:rPr>
          <w:szCs w:val="24"/>
          <w:lang w:eastAsia="zh-CN"/>
        </w:rPr>
        <w:t>基于以上讨论，</w:t>
      </w:r>
      <w:r w:rsidRPr="00F53DAA">
        <w:rPr>
          <w:szCs w:val="24"/>
          <w:lang w:eastAsia="ja-JP"/>
        </w:rPr>
        <w:t>日本建议</w:t>
      </w:r>
      <w:r w:rsidRPr="00F53DAA">
        <w:rPr>
          <w:szCs w:val="24"/>
          <w:lang w:eastAsia="ja-JP"/>
        </w:rPr>
        <w:t>RAG</w:t>
      </w:r>
      <w:r w:rsidR="00821AC5" w:rsidRPr="00F53DAA">
        <w:rPr>
          <w:szCs w:val="24"/>
          <w:lang w:eastAsia="zh-CN"/>
        </w:rPr>
        <w:t>在</w:t>
      </w:r>
      <w:proofErr w:type="gramStart"/>
      <w:r w:rsidRPr="00F53DAA">
        <w:rPr>
          <w:szCs w:val="24"/>
          <w:lang w:eastAsia="zh-CN"/>
        </w:rPr>
        <w:t>制定参</w:t>
      </w:r>
      <w:r w:rsidR="009B1959" w:rsidRPr="00F53DAA">
        <w:rPr>
          <w:szCs w:val="24"/>
          <w:lang w:eastAsia="zh-CN"/>
        </w:rPr>
        <w:t>引</w:t>
      </w:r>
      <w:r w:rsidRPr="00F53DAA">
        <w:rPr>
          <w:szCs w:val="24"/>
          <w:lang w:eastAsia="zh-CN"/>
        </w:rPr>
        <w:t>了</w:t>
      </w:r>
      <w:proofErr w:type="gramEnd"/>
      <w:r w:rsidRPr="00F53DAA">
        <w:rPr>
          <w:szCs w:val="24"/>
          <w:lang w:eastAsia="ja-JP"/>
        </w:rPr>
        <w:t>外部标准的</w:t>
      </w:r>
      <w:r w:rsidRPr="00F53DAA">
        <w:rPr>
          <w:szCs w:val="24"/>
          <w:lang w:eastAsia="ja-JP"/>
        </w:rPr>
        <w:t>ITU-R</w:t>
      </w:r>
      <w:r w:rsidRPr="00F53DAA">
        <w:rPr>
          <w:szCs w:val="24"/>
          <w:lang w:eastAsia="ja-JP"/>
        </w:rPr>
        <w:t>建议书</w:t>
      </w:r>
      <w:r w:rsidR="00821AC5" w:rsidRPr="00F53DAA">
        <w:rPr>
          <w:szCs w:val="24"/>
          <w:lang w:eastAsia="zh-CN"/>
        </w:rPr>
        <w:t>时</w:t>
      </w:r>
      <w:proofErr w:type="gramStart"/>
      <w:r w:rsidR="009B1959" w:rsidRPr="00F53DAA">
        <w:rPr>
          <w:szCs w:val="24"/>
          <w:lang w:eastAsia="zh-CN"/>
        </w:rPr>
        <w:t>向</w:t>
      </w:r>
      <w:r w:rsidR="009B1959" w:rsidRPr="00F53DAA">
        <w:rPr>
          <w:szCs w:val="24"/>
          <w:lang w:eastAsia="ja-JP"/>
        </w:rPr>
        <w:t>研究</w:t>
      </w:r>
      <w:proofErr w:type="gramEnd"/>
      <w:r w:rsidR="009B1959" w:rsidRPr="00F53DAA">
        <w:rPr>
          <w:szCs w:val="24"/>
          <w:lang w:eastAsia="ja-JP"/>
        </w:rPr>
        <w:t>组</w:t>
      </w:r>
      <w:r w:rsidRPr="00F53DAA">
        <w:rPr>
          <w:szCs w:val="24"/>
          <w:lang w:eastAsia="ja-JP"/>
        </w:rPr>
        <w:t>提供以下指导</w:t>
      </w:r>
      <w:r w:rsidR="009B1959" w:rsidRPr="00F53DAA">
        <w:rPr>
          <w:szCs w:val="24"/>
          <w:lang w:eastAsia="zh-CN"/>
        </w:rPr>
        <w:t>。</w:t>
      </w:r>
      <w:r w:rsidR="009B1959" w:rsidRPr="00F53DAA">
        <w:rPr>
          <w:szCs w:val="24"/>
          <w:lang w:eastAsia="ja-JP"/>
        </w:rPr>
        <w:t>按照</w:t>
      </w:r>
      <w:r w:rsidR="009B1959" w:rsidRPr="00F53DAA">
        <w:rPr>
          <w:szCs w:val="24"/>
          <w:lang w:eastAsia="ja-JP"/>
        </w:rPr>
        <w:t>ITU-R</w:t>
      </w:r>
      <w:r w:rsidR="009B1959" w:rsidRPr="00F53DAA">
        <w:rPr>
          <w:szCs w:val="24"/>
          <w:lang w:eastAsia="zh-CN"/>
        </w:rPr>
        <w:t>第</w:t>
      </w:r>
      <w:r w:rsidR="009B1959" w:rsidRPr="00F53DAA">
        <w:rPr>
          <w:szCs w:val="24"/>
          <w:lang w:eastAsia="ja-JP"/>
        </w:rPr>
        <w:t>9-6</w:t>
      </w:r>
      <w:r w:rsidR="009B1959" w:rsidRPr="00F53DAA">
        <w:rPr>
          <w:szCs w:val="24"/>
          <w:lang w:eastAsia="ja-JP"/>
        </w:rPr>
        <w:t>号决议中的</w:t>
      </w:r>
      <w:r w:rsidR="00F53DAA" w:rsidRPr="00F53DAA">
        <w:rPr>
          <w:rFonts w:ascii="SimSun" w:hAnsi="SimSun"/>
          <w:szCs w:val="24"/>
          <w:lang w:eastAsia="zh-CN"/>
        </w:rPr>
        <w:t>“</w:t>
      </w:r>
      <w:r w:rsidR="009B1959" w:rsidRPr="00F53DAA">
        <w:rPr>
          <w:rFonts w:eastAsia="STKaiti"/>
          <w:szCs w:val="24"/>
          <w:lang w:eastAsia="zh-CN"/>
        </w:rPr>
        <w:t>责成主任</w:t>
      </w:r>
      <w:r w:rsidR="009B1959" w:rsidRPr="00F53DAA">
        <w:rPr>
          <w:rFonts w:eastAsia="STKaiti"/>
          <w:szCs w:val="24"/>
          <w:lang w:eastAsia="zh-CN"/>
        </w:rPr>
        <w:t xml:space="preserve"> 1</w:t>
      </w:r>
      <w:r w:rsidR="00F53DAA" w:rsidRPr="00F53DAA">
        <w:rPr>
          <w:rFonts w:ascii="SimSun" w:hAnsi="SimSun"/>
          <w:szCs w:val="24"/>
          <w:lang w:eastAsia="zh-CN"/>
        </w:rPr>
        <w:t>”</w:t>
      </w:r>
      <w:r w:rsidR="009B1959" w:rsidRPr="00F53DAA">
        <w:rPr>
          <w:szCs w:val="24"/>
          <w:lang w:eastAsia="zh-CN"/>
        </w:rPr>
        <w:t>部分</w:t>
      </w:r>
      <w:r w:rsidR="009B1959" w:rsidRPr="00F53DAA">
        <w:rPr>
          <w:szCs w:val="24"/>
          <w:lang w:eastAsia="ja-JP"/>
        </w:rPr>
        <w:t>，主任</w:t>
      </w:r>
      <w:r w:rsidR="009B1959" w:rsidRPr="00F53DAA">
        <w:rPr>
          <w:szCs w:val="24"/>
          <w:lang w:eastAsia="zh-CN"/>
        </w:rPr>
        <w:t>制定的导则亦</w:t>
      </w:r>
      <w:r w:rsidRPr="00F53DAA">
        <w:rPr>
          <w:szCs w:val="24"/>
          <w:lang w:eastAsia="ja-JP"/>
        </w:rPr>
        <w:t>应</w:t>
      </w:r>
      <w:r w:rsidR="009B1959" w:rsidRPr="00F53DAA">
        <w:rPr>
          <w:szCs w:val="24"/>
          <w:lang w:eastAsia="zh-CN"/>
        </w:rPr>
        <w:t>予以</w:t>
      </w:r>
      <w:r w:rsidRPr="00F53DAA">
        <w:rPr>
          <w:szCs w:val="24"/>
          <w:lang w:eastAsia="ja-JP"/>
        </w:rPr>
        <w:t>更新以</w:t>
      </w:r>
      <w:r w:rsidR="00142BA2" w:rsidRPr="00F53DAA">
        <w:rPr>
          <w:szCs w:val="24"/>
          <w:lang w:eastAsia="zh-CN"/>
        </w:rPr>
        <w:t>体现</w:t>
      </w:r>
      <w:r w:rsidR="009B1959" w:rsidRPr="00F53DAA">
        <w:rPr>
          <w:szCs w:val="24"/>
          <w:lang w:eastAsia="zh-CN"/>
        </w:rPr>
        <w:t>出</w:t>
      </w:r>
      <w:r w:rsidR="00142BA2" w:rsidRPr="00F53DAA">
        <w:rPr>
          <w:szCs w:val="24"/>
          <w:lang w:eastAsia="zh-CN"/>
        </w:rPr>
        <w:t>讨论情况</w:t>
      </w:r>
      <w:r w:rsidRPr="00F53DAA">
        <w:rPr>
          <w:szCs w:val="24"/>
          <w:lang w:eastAsia="ja-JP"/>
        </w:rPr>
        <w:t>：</w:t>
      </w:r>
    </w:p>
    <w:bookmarkEnd w:id="10"/>
    <w:p w14:paraId="575E5E80" w14:textId="124BEA9E" w:rsidR="00821AC5" w:rsidRPr="00F53DAA" w:rsidRDefault="00A06A5C" w:rsidP="00A06A5C">
      <w:pPr>
        <w:pStyle w:val="enumlev1"/>
        <w:rPr>
          <w:lang w:eastAsia="ja-JP"/>
        </w:rPr>
      </w:pPr>
      <w:r w:rsidRPr="00F53DAA">
        <w:rPr>
          <w:lang w:val="fr-FR" w:eastAsia="ja-JP"/>
        </w:rPr>
        <w:t>–</w:t>
      </w:r>
      <w:r w:rsidRPr="00F53DAA">
        <w:rPr>
          <w:lang w:val="fr-FR" w:eastAsia="ja-JP"/>
        </w:rPr>
        <w:tab/>
      </w:r>
      <w:r w:rsidR="00412AC1" w:rsidRPr="00F53DAA">
        <w:rPr>
          <w:lang w:eastAsia="ja-JP"/>
        </w:rPr>
        <w:t>应避免</w:t>
      </w:r>
      <w:r w:rsidR="00821AC5" w:rsidRPr="00F53DAA">
        <w:rPr>
          <w:lang w:eastAsia="ja-JP"/>
        </w:rPr>
        <w:t>在</w:t>
      </w:r>
      <w:r w:rsidR="00F53DAA" w:rsidRPr="00F53DAA">
        <w:rPr>
          <w:rFonts w:ascii="SimSun" w:hAnsi="SimSun"/>
          <w:lang w:eastAsia="zh-CN"/>
        </w:rPr>
        <w:t>“</w:t>
      </w:r>
      <w:r w:rsidR="00821AC5" w:rsidRPr="00F53DAA">
        <w:rPr>
          <w:rFonts w:eastAsia="STKaiti"/>
          <w:lang w:eastAsia="zh-CN"/>
        </w:rPr>
        <w:t>建议</w:t>
      </w:r>
      <w:r w:rsidR="00F53DAA" w:rsidRPr="00F53DAA">
        <w:rPr>
          <w:rFonts w:ascii="SimSun" w:hAnsi="SimSun"/>
          <w:lang w:eastAsia="zh-CN"/>
        </w:rPr>
        <w:t>”</w:t>
      </w:r>
      <w:r w:rsidR="00821AC5" w:rsidRPr="00F53DAA">
        <w:rPr>
          <w:lang w:eastAsia="ja-JP"/>
        </w:rPr>
        <w:t>部分中简单引用外部标准，应制定可带来附加价值的建议书。</w:t>
      </w:r>
    </w:p>
    <w:p w14:paraId="71AB06B5" w14:textId="4C3A2D4F" w:rsidR="00412AC1" w:rsidRPr="00F53DAA" w:rsidRDefault="00A06A5C" w:rsidP="00A06A5C">
      <w:pPr>
        <w:pStyle w:val="enumlev1"/>
        <w:rPr>
          <w:lang w:eastAsia="ja-JP"/>
        </w:rPr>
      </w:pPr>
      <w:r w:rsidRPr="00F53DAA">
        <w:rPr>
          <w:lang w:val="fr-FR" w:eastAsia="ja-JP"/>
        </w:rPr>
        <w:t>–</w:t>
      </w:r>
      <w:r w:rsidRPr="00F53DAA">
        <w:rPr>
          <w:lang w:val="fr-FR" w:eastAsia="ja-JP"/>
        </w:rPr>
        <w:tab/>
      </w:r>
      <w:r w:rsidR="00412AC1" w:rsidRPr="00F53DAA">
        <w:rPr>
          <w:lang w:eastAsia="ja-JP"/>
        </w:rPr>
        <w:t>ITU-R</w:t>
      </w:r>
      <w:r w:rsidR="00412AC1" w:rsidRPr="00F53DAA">
        <w:rPr>
          <w:lang w:eastAsia="ja-JP"/>
        </w:rPr>
        <w:t>建议书应</w:t>
      </w:r>
      <w:r w:rsidR="000119C3" w:rsidRPr="00F53DAA">
        <w:rPr>
          <w:lang w:eastAsia="zh-CN"/>
        </w:rPr>
        <w:t>尽量</w:t>
      </w:r>
      <w:r w:rsidR="00821AC5" w:rsidRPr="00F53DAA">
        <w:rPr>
          <w:lang w:eastAsia="zh-CN"/>
        </w:rPr>
        <w:t>自成一体</w:t>
      </w:r>
      <w:r w:rsidR="00412AC1" w:rsidRPr="00F53DAA">
        <w:rPr>
          <w:lang w:eastAsia="ja-JP"/>
        </w:rPr>
        <w:t>。</w:t>
      </w:r>
    </w:p>
    <w:p w14:paraId="7E9DA8AC" w14:textId="20FF0DEC" w:rsidR="00412AC1" w:rsidRPr="00F53DAA" w:rsidRDefault="00A06A5C" w:rsidP="00A06A5C">
      <w:pPr>
        <w:pStyle w:val="enumlev1"/>
        <w:rPr>
          <w:lang w:eastAsia="ja-JP"/>
        </w:rPr>
      </w:pPr>
      <w:r w:rsidRPr="00F53DAA">
        <w:rPr>
          <w:lang w:val="fr-FR" w:eastAsia="ja-JP"/>
        </w:rPr>
        <w:t>–</w:t>
      </w:r>
      <w:r w:rsidRPr="00F53DAA">
        <w:rPr>
          <w:lang w:val="fr-FR" w:eastAsia="ja-JP"/>
        </w:rPr>
        <w:tab/>
      </w:r>
      <w:r w:rsidR="009B1959" w:rsidRPr="00F53DAA">
        <w:rPr>
          <w:lang w:eastAsia="ja-JP"/>
        </w:rPr>
        <w:t>如果没有</w:t>
      </w:r>
      <w:r w:rsidR="009B1959" w:rsidRPr="00F53DAA">
        <w:rPr>
          <w:lang w:eastAsia="ja-JP"/>
        </w:rPr>
        <w:t>ITU-R</w:t>
      </w:r>
      <w:r w:rsidR="009B1959" w:rsidRPr="00F53DAA">
        <w:rPr>
          <w:lang w:eastAsia="ja-JP"/>
        </w:rPr>
        <w:t>建议书可用作规范性参考文献，可以改用具体版本的外部标准，但是需要特别注意避免出现不一致的情况。</w:t>
      </w:r>
    </w:p>
    <w:p w14:paraId="620A3649" w14:textId="43C46D83" w:rsidR="004F11CA" w:rsidRPr="00F53DAA" w:rsidRDefault="00CD27A3" w:rsidP="000119C3">
      <w:pPr>
        <w:pStyle w:val="Reasons"/>
        <w:ind w:firstLineChars="200" w:firstLine="480"/>
        <w:rPr>
          <w:rFonts w:ascii="Times New Roman" w:hAnsi="Times New Roman"/>
          <w:lang w:eastAsia="zh-CN"/>
        </w:rPr>
      </w:pPr>
      <w:r w:rsidRPr="00F53DAA">
        <w:rPr>
          <w:rFonts w:ascii="Times New Roman" w:hAnsi="Times New Roman"/>
          <w:lang w:eastAsia="zh-CN"/>
        </w:rPr>
        <w:t>日本还注意到，</w:t>
      </w:r>
      <w:r w:rsidRPr="00F53DAA">
        <w:rPr>
          <w:rFonts w:ascii="Times New Roman" w:hAnsi="Times New Roman"/>
          <w:lang w:eastAsia="zh-CN"/>
        </w:rPr>
        <w:t>ITU-T</w:t>
      </w:r>
      <w:r w:rsidRPr="00F53DAA">
        <w:rPr>
          <w:rFonts w:ascii="Times New Roman" w:hAnsi="Times New Roman"/>
          <w:lang w:eastAsia="zh-CN"/>
        </w:rPr>
        <w:t>与</w:t>
      </w:r>
      <w:r w:rsidRPr="00F53DAA">
        <w:rPr>
          <w:rFonts w:ascii="Times New Roman" w:hAnsi="Times New Roman"/>
          <w:lang w:eastAsia="zh-CN"/>
        </w:rPr>
        <w:t>ISO/IEC</w:t>
      </w:r>
      <w:r w:rsidRPr="00F53DAA">
        <w:rPr>
          <w:rFonts w:ascii="Times New Roman" w:hAnsi="Times New Roman"/>
          <w:lang w:eastAsia="zh-CN"/>
        </w:rPr>
        <w:t>联合起草共</w:t>
      </w:r>
      <w:proofErr w:type="gramStart"/>
      <w:r w:rsidRPr="00F53DAA">
        <w:rPr>
          <w:rFonts w:ascii="Times New Roman" w:hAnsi="Times New Roman"/>
          <w:lang w:eastAsia="zh-CN"/>
        </w:rPr>
        <w:t>同案文</w:t>
      </w:r>
      <w:proofErr w:type="gramEnd"/>
      <w:r w:rsidRPr="00F53DAA">
        <w:rPr>
          <w:rFonts w:ascii="Times New Roman" w:hAnsi="Times New Roman"/>
          <w:lang w:eastAsia="zh-CN"/>
        </w:rPr>
        <w:t>已成为惯例。</w:t>
      </w:r>
      <w:r w:rsidRPr="00F53DAA">
        <w:rPr>
          <w:rFonts w:ascii="Times New Roman" w:hAnsi="Times New Roman"/>
          <w:lang w:eastAsia="zh-CN"/>
        </w:rPr>
        <w:t>ITU-R</w:t>
      </w:r>
      <w:r w:rsidRPr="00F53DAA">
        <w:rPr>
          <w:rFonts w:ascii="Times New Roman" w:hAnsi="Times New Roman"/>
          <w:lang w:eastAsia="zh-CN"/>
        </w:rPr>
        <w:t>可以考虑采取类似的做法</w:t>
      </w:r>
      <w:r w:rsidR="00A06A5C" w:rsidRPr="00F53DAA">
        <w:rPr>
          <w:rFonts w:ascii="Times New Roman" w:hAnsi="Times New Roman"/>
          <w:lang w:eastAsia="zh-CN"/>
        </w:rPr>
        <w:t xml:space="preserve"> – </w:t>
      </w:r>
      <w:r w:rsidRPr="00F53DAA">
        <w:rPr>
          <w:rFonts w:ascii="Times New Roman" w:hAnsi="Times New Roman"/>
          <w:lang w:eastAsia="zh-CN"/>
        </w:rPr>
        <w:t>不仅与</w:t>
      </w:r>
      <w:r w:rsidRPr="00F53DAA">
        <w:rPr>
          <w:rFonts w:ascii="Times New Roman" w:hAnsi="Times New Roman"/>
          <w:lang w:eastAsia="zh-CN"/>
        </w:rPr>
        <w:t>ISO/IEC</w:t>
      </w:r>
      <w:r w:rsidRPr="00F53DAA">
        <w:rPr>
          <w:rFonts w:ascii="Times New Roman" w:hAnsi="Times New Roman"/>
          <w:lang w:eastAsia="zh-CN"/>
        </w:rPr>
        <w:t>，而且还与采用正当标准制定程序的其他标准制定组织一起合作。</w:t>
      </w:r>
    </w:p>
    <w:p w14:paraId="0F7E0726" w14:textId="77777777" w:rsidR="0012056A" w:rsidRDefault="0012056A" w:rsidP="00411C49">
      <w:pPr>
        <w:pStyle w:val="Reasons"/>
        <w:rPr>
          <w:lang w:eastAsia="zh-CN"/>
        </w:rPr>
      </w:pPr>
    </w:p>
    <w:p w14:paraId="0C6234CE" w14:textId="70E4EB55" w:rsidR="00DE23E5" w:rsidRDefault="004F11CA" w:rsidP="0012056A">
      <w:pPr>
        <w:pStyle w:val="Reasons"/>
        <w:jc w:val="center"/>
        <w:rPr>
          <w:lang w:eastAsia="zh-CN"/>
        </w:rPr>
      </w:pPr>
      <w:r>
        <w:t>______________</w:t>
      </w:r>
    </w:p>
    <w:sectPr w:rsidR="00DE23E5" w:rsidSect="000E69E8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793A" w14:textId="77777777" w:rsidR="00265DC5" w:rsidRDefault="00265DC5">
      <w:r>
        <w:separator/>
      </w:r>
    </w:p>
  </w:endnote>
  <w:endnote w:type="continuationSeparator" w:id="0">
    <w:p w14:paraId="63BD2EFB" w14:textId="77777777" w:rsidR="00265DC5" w:rsidRDefault="0026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0D39" w14:textId="28EB74EC" w:rsidR="00B2413A" w:rsidRPr="006F31AB" w:rsidRDefault="008C326A" w:rsidP="004970A6">
    <w:pPr>
      <w:pStyle w:val="Footer"/>
      <w:rPr>
        <w:lang w:eastAsia="zh-CN"/>
      </w:rPr>
    </w:pPr>
    <w:fldSimple w:instr=" FILENAME \p  \* MERGEFORMAT ">
      <w:r w:rsidR="00F53DAA">
        <w:t>P:\CHI\ITU-R\AG\RAG\RAG20\000\018C.DOCX</w:t>
      </w:r>
    </w:fldSimple>
    <w:r w:rsidR="00B2413A">
      <w:t xml:space="preserve"> (</w:t>
    </w:r>
    <w:r w:rsidR="004970A6">
      <w:t>47</w:t>
    </w:r>
    <w:r w:rsidR="00365F8E">
      <w:t>106</w:t>
    </w:r>
    <w:r w:rsidR="00455DA4">
      <w:t>7</w:t>
    </w:r>
    <w:r w:rsidR="00B2413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A6A32" w14:textId="0B24B073" w:rsidR="00455DA4" w:rsidRPr="006F31AB" w:rsidRDefault="00F53DAA" w:rsidP="00455DA4">
    <w:pPr>
      <w:pStyle w:val="Footer"/>
      <w:rPr>
        <w:lang w:eastAsia="zh-CN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P:\CHI\ITU-R\AG\RAG\RAG20\000\018C.DOCX</w:t>
    </w:r>
    <w:r>
      <w:fldChar w:fldCharType="end"/>
    </w:r>
    <w:r w:rsidR="00455DA4">
      <w:t xml:space="preserve"> (471067)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08FFF" w14:textId="77777777" w:rsidR="00265DC5" w:rsidRDefault="00265DC5">
      <w:r>
        <w:t>____________________</w:t>
      </w:r>
    </w:p>
  </w:footnote>
  <w:footnote w:type="continuationSeparator" w:id="0">
    <w:p w14:paraId="28E8F09F" w14:textId="77777777" w:rsidR="00265DC5" w:rsidRDefault="0026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DAD2" w14:textId="77777777" w:rsidR="00B2413A" w:rsidRPr="00AF0B82" w:rsidRDefault="00B2413A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A15F5">
      <w:rPr>
        <w:noProof/>
      </w:rPr>
      <w:t>2</w:t>
    </w:r>
    <w:r>
      <w:fldChar w:fldCharType="end"/>
    </w:r>
  </w:p>
  <w:p w14:paraId="05D2629A" w14:textId="00256529" w:rsidR="008B10F9" w:rsidRPr="00AF0B82" w:rsidRDefault="00B2413A" w:rsidP="008B10F9">
    <w:pPr>
      <w:pStyle w:val="Header"/>
      <w:rPr>
        <w:lang w:eastAsia="zh-CN"/>
      </w:rPr>
    </w:pPr>
    <w:r w:rsidRPr="00AF0B82">
      <w:t>RAG</w:t>
    </w:r>
    <w:r w:rsidR="00365F8E">
      <w:rPr>
        <w:lang w:eastAsia="zh-CN"/>
      </w:rPr>
      <w:t>20</w:t>
    </w:r>
    <w:r w:rsidRPr="00AF0B82">
      <w:t>/</w:t>
    </w:r>
    <w:r w:rsidR="004970A6">
      <w:rPr>
        <w:lang w:eastAsia="zh-CN"/>
      </w:rPr>
      <w:t>1</w:t>
    </w:r>
    <w:r w:rsidR="00455DA4">
      <w:rPr>
        <w:lang w:eastAsia="zh-CN"/>
      </w:rPr>
      <w:t>8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96B86"/>
    <w:multiLevelType w:val="hybridMultilevel"/>
    <w:tmpl w:val="5EF2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90F77"/>
    <w:multiLevelType w:val="hybridMultilevel"/>
    <w:tmpl w:val="8B9AFD9A"/>
    <w:lvl w:ilvl="0" w:tplc="AD10C86E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8207E"/>
    <w:multiLevelType w:val="hybridMultilevel"/>
    <w:tmpl w:val="69BE0CF8"/>
    <w:lvl w:ilvl="0" w:tplc="A7A864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278E"/>
    <w:multiLevelType w:val="hybridMultilevel"/>
    <w:tmpl w:val="892CC4F2"/>
    <w:lvl w:ilvl="0" w:tplc="1D56E3E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B13B9"/>
    <w:multiLevelType w:val="hybridMultilevel"/>
    <w:tmpl w:val="4AB2F2F0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97CCF"/>
    <w:multiLevelType w:val="hybridMultilevel"/>
    <w:tmpl w:val="EF121236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6FAB"/>
    <w:multiLevelType w:val="hybridMultilevel"/>
    <w:tmpl w:val="42669536"/>
    <w:lvl w:ilvl="0" w:tplc="4A7E38FA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333F8"/>
    <w:multiLevelType w:val="hybridMultilevel"/>
    <w:tmpl w:val="1EB6B7B2"/>
    <w:lvl w:ilvl="0" w:tplc="B770F734">
      <w:start w:val="5"/>
      <w:numFmt w:val="bullet"/>
      <w:lvlText w:val="–"/>
      <w:lvlJc w:val="left"/>
      <w:pPr>
        <w:ind w:left="367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 w15:restartNumberingAfterBreak="0">
    <w:nsid w:val="159823D6"/>
    <w:multiLevelType w:val="hybridMultilevel"/>
    <w:tmpl w:val="5FD004F4"/>
    <w:lvl w:ilvl="0" w:tplc="84702B1C">
      <w:start w:val="18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E14BE"/>
    <w:multiLevelType w:val="hybridMultilevel"/>
    <w:tmpl w:val="84BA7136"/>
    <w:lvl w:ilvl="0" w:tplc="F36E608E">
      <w:start w:val="18"/>
      <w:numFmt w:val="bullet"/>
      <w:lvlText w:val="-"/>
      <w:lvlJc w:val="left"/>
      <w:pPr>
        <w:ind w:left="303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D25"/>
    <w:multiLevelType w:val="hybridMultilevel"/>
    <w:tmpl w:val="5A6AF37A"/>
    <w:lvl w:ilvl="0" w:tplc="AE6E5FD2">
      <w:start w:val="4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44431E"/>
    <w:multiLevelType w:val="hybridMultilevel"/>
    <w:tmpl w:val="2702D3B4"/>
    <w:lvl w:ilvl="0" w:tplc="1D56E3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591E"/>
    <w:multiLevelType w:val="hybridMultilevel"/>
    <w:tmpl w:val="558AF57A"/>
    <w:lvl w:ilvl="0" w:tplc="E1287EE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D1A1E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B38C4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58D7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5063D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C46D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F093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4B4A3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7DAB6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B712F5"/>
    <w:multiLevelType w:val="hybridMultilevel"/>
    <w:tmpl w:val="DDCC7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480193"/>
    <w:multiLevelType w:val="hybridMultilevel"/>
    <w:tmpl w:val="273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C01D20"/>
    <w:multiLevelType w:val="hybridMultilevel"/>
    <w:tmpl w:val="4C2C9BEA"/>
    <w:lvl w:ilvl="0" w:tplc="0568DD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75EAB"/>
    <w:multiLevelType w:val="hybridMultilevel"/>
    <w:tmpl w:val="3F3AE5B8"/>
    <w:lvl w:ilvl="0" w:tplc="FF864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B6DBE"/>
    <w:multiLevelType w:val="hybridMultilevel"/>
    <w:tmpl w:val="B308A9D4"/>
    <w:lvl w:ilvl="0" w:tplc="45AAD9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44900"/>
    <w:multiLevelType w:val="hybridMultilevel"/>
    <w:tmpl w:val="69A8AF2E"/>
    <w:lvl w:ilvl="0" w:tplc="B0924452">
      <w:start w:val="5"/>
      <w:numFmt w:val="bullet"/>
      <w:lvlText w:val="–"/>
      <w:lvlJc w:val="left"/>
      <w:pPr>
        <w:ind w:left="457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4" w15:restartNumberingAfterBreak="0">
    <w:nsid w:val="444830FB"/>
    <w:multiLevelType w:val="hybridMultilevel"/>
    <w:tmpl w:val="77E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288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8D301A3"/>
    <w:multiLevelType w:val="hybridMultilevel"/>
    <w:tmpl w:val="DFAC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F6BB3"/>
    <w:multiLevelType w:val="hybridMultilevel"/>
    <w:tmpl w:val="EB54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84404"/>
    <w:multiLevelType w:val="hybridMultilevel"/>
    <w:tmpl w:val="35CADADC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F1209"/>
    <w:multiLevelType w:val="hybridMultilevel"/>
    <w:tmpl w:val="0D50F612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163BA8"/>
    <w:multiLevelType w:val="hybridMultilevel"/>
    <w:tmpl w:val="B9A207EC"/>
    <w:lvl w:ilvl="0" w:tplc="CECE524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34B47"/>
    <w:multiLevelType w:val="hybridMultilevel"/>
    <w:tmpl w:val="25EE7BA2"/>
    <w:lvl w:ilvl="0" w:tplc="3ED6FF5C">
      <w:start w:val="5"/>
      <w:numFmt w:val="bullet"/>
      <w:lvlText w:val="﷒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92B14"/>
    <w:multiLevelType w:val="hybridMultilevel"/>
    <w:tmpl w:val="8B9AFD9A"/>
    <w:lvl w:ilvl="0" w:tplc="AD10C86E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DE65F6"/>
    <w:multiLevelType w:val="hybridMultilevel"/>
    <w:tmpl w:val="54C46B1E"/>
    <w:lvl w:ilvl="0" w:tplc="2768468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FA1ABF"/>
    <w:multiLevelType w:val="hybridMultilevel"/>
    <w:tmpl w:val="A09621C0"/>
    <w:lvl w:ilvl="0" w:tplc="1B9EBF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1CA7EA" w:tentative="1">
      <w:start w:val="1"/>
      <w:numFmt w:val="aiueoFullWidth"/>
      <w:lvlText w:val="(%2)"/>
      <w:lvlJc w:val="left"/>
      <w:pPr>
        <w:ind w:left="840" w:hanging="420"/>
      </w:pPr>
    </w:lvl>
    <w:lvl w:ilvl="2" w:tplc="4394E782" w:tentative="1">
      <w:start w:val="1"/>
      <w:numFmt w:val="decimalEnclosedCircle"/>
      <w:lvlText w:val="%3"/>
      <w:lvlJc w:val="left"/>
      <w:pPr>
        <w:ind w:left="1260" w:hanging="420"/>
      </w:pPr>
    </w:lvl>
    <w:lvl w:ilvl="3" w:tplc="F6CEC87E" w:tentative="1">
      <w:start w:val="1"/>
      <w:numFmt w:val="decimal"/>
      <w:lvlText w:val="%4."/>
      <w:lvlJc w:val="left"/>
      <w:pPr>
        <w:ind w:left="1680" w:hanging="420"/>
      </w:pPr>
    </w:lvl>
    <w:lvl w:ilvl="4" w:tplc="07BE4376" w:tentative="1">
      <w:start w:val="1"/>
      <w:numFmt w:val="aiueoFullWidth"/>
      <w:lvlText w:val="(%5)"/>
      <w:lvlJc w:val="left"/>
      <w:pPr>
        <w:ind w:left="2100" w:hanging="420"/>
      </w:pPr>
    </w:lvl>
    <w:lvl w:ilvl="5" w:tplc="86864536" w:tentative="1">
      <w:start w:val="1"/>
      <w:numFmt w:val="decimalEnclosedCircle"/>
      <w:lvlText w:val="%6"/>
      <w:lvlJc w:val="left"/>
      <w:pPr>
        <w:ind w:left="2520" w:hanging="420"/>
      </w:pPr>
    </w:lvl>
    <w:lvl w:ilvl="6" w:tplc="82CAF01A" w:tentative="1">
      <w:start w:val="1"/>
      <w:numFmt w:val="decimal"/>
      <w:lvlText w:val="%7."/>
      <w:lvlJc w:val="left"/>
      <w:pPr>
        <w:ind w:left="2940" w:hanging="420"/>
      </w:pPr>
    </w:lvl>
    <w:lvl w:ilvl="7" w:tplc="DB4A446C" w:tentative="1">
      <w:start w:val="1"/>
      <w:numFmt w:val="aiueoFullWidth"/>
      <w:lvlText w:val="(%8)"/>
      <w:lvlJc w:val="left"/>
      <w:pPr>
        <w:ind w:left="3360" w:hanging="420"/>
      </w:pPr>
    </w:lvl>
    <w:lvl w:ilvl="8" w:tplc="605E5ED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514ECE"/>
    <w:multiLevelType w:val="hybridMultilevel"/>
    <w:tmpl w:val="094CF09A"/>
    <w:lvl w:ilvl="0" w:tplc="0512E638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5DE231C8" w:tentative="1">
      <w:start w:val="1"/>
      <w:numFmt w:val="aiueoFullWidth"/>
      <w:lvlText w:val="(%2)"/>
      <w:lvlJc w:val="left"/>
      <w:pPr>
        <w:ind w:left="840" w:hanging="420"/>
      </w:pPr>
    </w:lvl>
    <w:lvl w:ilvl="2" w:tplc="4120F904" w:tentative="1">
      <w:start w:val="1"/>
      <w:numFmt w:val="decimalEnclosedCircle"/>
      <w:lvlText w:val="%3"/>
      <w:lvlJc w:val="left"/>
      <w:pPr>
        <w:ind w:left="1260" w:hanging="420"/>
      </w:pPr>
    </w:lvl>
    <w:lvl w:ilvl="3" w:tplc="D2082DEE" w:tentative="1">
      <w:start w:val="1"/>
      <w:numFmt w:val="decimal"/>
      <w:lvlText w:val="%4."/>
      <w:lvlJc w:val="left"/>
      <w:pPr>
        <w:ind w:left="1680" w:hanging="420"/>
      </w:pPr>
    </w:lvl>
    <w:lvl w:ilvl="4" w:tplc="80722830" w:tentative="1">
      <w:start w:val="1"/>
      <w:numFmt w:val="aiueoFullWidth"/>
      <w:lvlText w:val="(%5)"/>
      <w:lvlJc w:val="left"/>
      <w:pPr>
        <w:ind w:left="2100" w:hanging="420"/>
      </w:pPr>
    </w:lvl>
    <w:lvl w:ilvl="5" w:tplc="FEB289D6" w:tentative="1">
      <w:start w:val="1"/>
      <w:numFmt w:val="decimalEnclosedCircle"/>
      <w:lvlText w:val="%6"/>
      <w:lvlJc w:val="left"/>
      <w:pPr>
        <w:ind w:left="2520" w:hanging="420"/>
      </w:pPr>
    </w:lvl>
    <w:lvl w:ilvl="6" w:tplc="7630A58C" w:tentative="1">
      <w:start w:val="1"/>
      <w:numFmt w:val="decimal"/>
      <w:lvlText w:val="%7."/>
      <w:lvlJc w:val="left"/>
      <w:pPr>
        <w:ind w:left="2940" w:hanging="420"/>
      </w:pPr>
    </w:lvl>
    <w:lvl w:ilvl="7" w:tplc="78D26EDA" w:tentative="1">
      <w:start w:val="1"/>
      <w:numFmt w:val="aiueoFullWidth"/>
      <w:lvlText w:val="(%8)"/>
      <w:lvlJc w:val="left"/>
      <w:pPr>
        <w:ind w:left="3360" w:hanging="420"/>
      </w:pPr>
    </w:lvl>
    <w:lvl w:ilvl="8" w:tplc="177C55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2C23"/>
    <w:multiLevelType w:val="hybridMultilevel"/>
    <w:tmpl w:val="0542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354B78"/>
    <w:multiLevelType w:val="multilevel"/>
    <w:tmpl w:val="063CA99C"/>
    <w:lvl w:ilvl="0">
      <w:start w:val="1"/>
      <w:numFmt w:val="bullet"/>
      <w:pStyle w:val="enumlevel"/>
      <w:lvlText w:val=""/>
      <w:lvlJc w:val="left"/>
      <w:pPr>
        <w:ind w:left="1262" w:hanging="360"/>
      </w:pPr>
      <w:rPr>
        <w:rFonts w:ascii="Wingdings" w:hAnsi="Wingdings" w:hint="default"/>
        <w:color w:val="990033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C773E"/>
    <w:multiLevelType w:val="hybridMultilevel"/>
    <w:tmpl w:val="E16A5542"/>
    <w:lvl w:ilvl="0" w:tplc="F92A4906">
      <w:start w:val="4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3855E0"/>
    <w:multiLevelType w:val="hybridMultilevel"/>
    <w:tmpl w:val="826A8AAA"/>
    <w:lvl w:ilvl="0" w:tplc="FF86421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4"/>
  </w:num>
  <w:num w:numId="4">
    <w:abstractNumId w:val="22"/>
  </w:num>
  <w:num w:numId="5">
    <w:abstractNumId w:val="20"/>
  </w:num>
  <w:num w:numId="6">
    <w:abstractNumId w:val="27"/>
  </w:num>
  <w:num w:numId="7">
    <w:abstractNumId w:val="25"/>
  </w:num>
  <w:num w:numId="8">
    <w:abstractNumId w:val="33"/>
  </w:num>
  <w:num w:numId="9">
    <w:abstractNumId w:val="10"/>
  </w:num>
  <w:num w:numId="10">
    <w:abstractNumId w:val="11"/>
  </w:num>
  <w:num w:numId="11">
    <w:abstractNumId w:val="8"/>
  </w:num>
  <w:num w:numId="12">
    <w:abstractNumId w:val="37"/>
  </w:num>
  <w:num w:numId="13">
    <w:abstractNumId w:val="6"/>
  </w:num>
  <w:num w:numId="14">
    <w:abstractNumId w:val="7"/>
  </w:num>
  <w:num w:numId="15">
    <w:abstractNumId w:val="21"/>
  </w:num>
  <w:num w:numId="16">
    <w:abstractNumId w:val="9"/>
  </w:num>
  <w:num w:numId="17">
    <w:abstractNumId w:val="31"/>
  </w:num>
  <w:num w:numId="18">
    <w:abstractNumId w:val="23"/>
  </w:num>
  <w:num w:numId="19">
    <w:abstractNumId w:val="13"/>
  </w:num>
  <w:num w:numId="20">
    <w:abstractNumId w:val="40"/>
  </w:num>
  <w:num w:numId="21">
    <w:abstractNumId w:val="3"/>
  </w:num>
  <w:num w:numId="22">
    <w:abstractNumId w:val="28"/>
  </w:num>
  <w:num w:numId="23">
    <w:abstractNumId w:val="29"/>
  </w:num>
  <w:num w:numId="24">
    <w:abstractNumId w:val="42"/>
  </w:num>
  <w:num w:numId="25">
    <w:abstractNumId w:val="24"/>
  </w:num>
  <w:num w:numId="26">
    <w:abstractNumId w:val="18"/>
  </w:num>
  <w:num w:numId="27">
    <w:abstractNumId w:val="2"/>
  </w:num>
  <w:num w:numId="28">
    <w:abstractNumId w:val="26"/>
  </w:num>
  <w:num w:numId="29">
    <w:abstractNumId w:val="32"/>
  </w:num>
  <w:num w:numId="30">
    <w:abstractNumId w:val="14"/>
  </w:num>
  <w:num w:numId="31">
    <w:abstractNumId w:val="0"/>
  </w:num>
  <w:num w:numId="32">
    <w:abstractNumId w:val="30"/>
  </w:num>
  <w:num w:numId="33">
    <w:abstractNumId w:val="1"/>
  </w:num>
  <w:num w:numId="34">
    <w:abstractNumId w:val="15"/>
  </w:num>
  <w:num w:numId="35">
    <w:abstractNumId w:val="19"/>
  </w:num>
  <w:num w:numId="36">
    <w:abstractNumId w:val="36"/>
  </w:num>
  <w:num w:numId="37">
    <w:abstractNumId w:val="41"/>
  </w:num>
  <w:num w:numId="38">
    <w:abstractNumId w:val="38"/>
  </w:num>
  <w:num w:numId="39">
    <w:abstractNumId w:val="12"/>
  </w:num>
  <w:num w:numId="40">
    <w:abstractNumId w:val="17"/>
  </w:num>
  <w:num w:numId="41">
    <w:abstractNumId w:val="35"/>
  </w:num>
  <w:num w:numId="42">
    <w:abstractNumId w:val="34"/>
  </w:num>
  <w:num w:numId="4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3C"/>
    <w:rsid w:val="000119C3"/>
    <w:rsid w:val="00013505"/>
    <w:rsid w:val="00020106"/>
    <w:rsid w:val="00021007"/>
    <w:rsid w:val="000277DD"/>
    <w:rsid w:val="00032D2D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C3C4B"/>
    <w:rsid w:val="000E69E8"/>
    <w:rsid w:val="000F275A"/>
    <w:rsid w:val="000F3718"/>
    <w:rsid w:val="00107E5A"/>
    <w:rsid w:val="0012056A"/>
    <w:rsid w:val="001225EE"/>
    <w:rsid w:val="00130A81"/>
    <w:rsid w:val="00130B50"/>
    <w:rsid w:val="0013473D"/>
    <w:rsid w:val="001368A7"/>
    <w:rsid w:val="00142BA2"/>
    <w:rsid w:val="00145997"/>
    <w:rsid w:val="00147382"/>
    <w:rsid w:val="00152153"/>
    <w:rsid w:val="00152B3F"/>
    <w:rsid w:val="001539C7"/>
    <w:rsid w:val="001551D2"/>
    <w:rsid w:val="00164A74"/>
    <w:rsid w:val="00166041"/>
    <w:rsid w:val="001722B2"/>
    <w:rsid w:val="00175850"/>
    <w:rsid w:val="00193A09"/>
    <w:rsid w:val="00194089"/>
    <w:rsid w:val="00194AD3"/>
    <w:rsid w:val="0019729C"/>
    <w:rsid w:val="001A5A4C"/>
    <w:rsid w:val="001B032E"/>
    <w:rsid w:val="001B4810"/>
    <w:rsid w:val="001C70CA"/>
    <w:rsid w:val="001D2334"/>
    <w:rsid w:val="001D2E57"/>
    <w:rsid w:val="001D6E77"/>
    <w:rsid w:val="001E5A76"/>
    <w:rsid w:val="001E692F"/>
    <w:rsid w:val="001E7277"/>
    <w:rsid w:val="001F4EE7"/>
    <w:rsid w:val="001F6763"/>
    <w:rsid w:val="001F75CD"/>
    <w:rsid w:val="0020573C"/>
    <w:rsid w:val="00213AE0"/>
    <w:rsid w:val="00221367"/>
    <w:rsid w:val="00236FBE"/>
    <w:rsid w:val="00240247"/>
    <w:rsid w:val="00244613"/>
    <w:rsid w:val="00252B08"/>
    <w:rsid w:val="00253098"/>
    <w:rsid w:val="00265DC5"/>
    <w:rsid w:val="00267349"/>
    <w:rsid w:val="00271619"/>
    <w:rsid w:val="00271C4F"/>
    <w:rsid w:val="0029192D"/>
    <w:rsid w:val="0029544B"/>
    <w:rsid w:val="002A6FC3"/>
    <w:rsid w:val="002B224F"/>
    <w:rsid w:val="002B78F9"/>
    <w:rsid w:val="002C5CAC"/>
    <w:rsid w:val="002C69A2"/>
    <w:rsid w:val="002D26EB"/>
    <w:rsid w:val="002E6592"/>
    <w:rsid w:val="002F340E"/>
    <w:rsid w:val="002F666E"/>
    <w:rsid w:val="002F6A4E"/>
    <w:rsid w:val="002F7978"/>
    <w:rsid w:val="00302A9B"/>
    <w:rsid w:val="00303349"/>
    <w:rsid w:val="00303673"/>
    <w:rsid w:val="0030740E"/>
    <w:rsid w:val="003221F3"/>
    <w:rsid w:val="0033041D"/>
    <w:rsid w:val="00333980"/>
    <w:rsid w:val="003351B2"/>
    <w:rsid w:val="00342405"/>
    <w:rsid w:val="00342659"/>
    <w:rsid w:val="0034529C"/>
    <w:rsid w:val="00361609"/>
    <w:rsid w:val="00363AF1"/>
    <w:rsid w:val="00364117"/>
    <w:rsid w:val="00365F8E"/>
    <w:rsid w:val="00370DA9"/>
    <w:rsid w:val="00371A3D"/>
    <w:rsid w:val="003859B4"/>
    <w:rsid w:val="00392390"/>
    <w:rsid w:val="00397CD7"/>
    <w:rsid w:val="003A0B83"/>
    <w:rsid w:val="003A19A8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07EE7"/>
    <w:rsid w:val="00411DE5"/>
    <w:rsid w:val="00412AC1"/>
    <w:rsid w:val="0042612F"/>
    <w:rsid w:val="00426448"/>
    <w:rsid w:val="00432D7F"/>
    <w:rsid w:val="0043364E"/>
    <w:rsid w:val="0043586E"/>
    <w:rsid w:val="00441D6C"/>
    <w:rsid w:val="0045496A"/>
    <w:rsid w:val="004557A7"/>
    <w:rsid w:val="00455DA4"/>
    <w:rsid w:val="00460615"/>
    <w:rsid w:val="0046370D"/>
    <w:rsid w:val="00465D72"/>
    <w:rsid w:val="00474CCC"/>
    <w:rsid w:val="00483631"/>
    <w:rsid w:val="00491D13"/>
    <w:rsid w:val="00492483"/>
    <w:rsid w:val="00495855"/>
    <w:rsid w:val="004970A6"/>
    <w:rsid w:val="004974DE"/>
    <w:rsid w:val="004976C5"/>
    <w:rsid w:val="004A07A2"/>
    <w:rsid w:val="004B468C"/>
    <w:rsid w:val="004C1105"/>
    <w:rsid w:val="004D08EB"/>
    <w:rsid w:val="004E5C65"/>
    <w:rsid w:val="004F11CA"/>
    <w:rsid w:val="004F3435"/>
    <w:rsid w:val="004F436B"/>
    <w:rsid w:val="005012E7"/>
    <w:rsid w:val="0050528F"/>
    <w:rsid w:val="00507D0A"/>
    <w:rsid w:val="00513BEA"/>
    <w:rsid w:val="0051782D"/>
    <w:rsid w:val="005205CD"/>
    <w:rsid w:val="00522272"/>
    <w:rsid w:val="0053462E"/>
    <w:rsid w:val="005358EA"/>
    <w:rsid w:val="00544B47"/>
    <w:rsid w:val="00552474"/>
    <w:rsid w:val="00552F79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9514E"/>
    <w:rsid w:val="005A7A9C"/>
    <w:rsid w:val="005B1147"/>
    <w:rsid w:val="005C0B5E"/>
    <w:rsid w:val="005C117A"/>
    <w:rsid w:val="005C190E"/>
    <w:rsid w:val="005C3314"/>
    <w:rsid w:val="005C6906"/>
    <w:rsid w:val="005D4564"/>
    <w:rsid w:val="005D4F78"/>
    <w:rsid w:val="005D6EC1"/>
    <w:rsid w:val="005E40CA"/>
    <w:rsid w:val="005E6891"/>
    <w:rsid w:val="005E79EE"/>
    <w:rsid w:val="005F0CAC"/>
    <w:rsid w:val="005F4A85"/>
    <w:rsid w:val="0060404C"/>
    <w:rsid w:val="00606766"/>
    <w:rsid w:val="0060773B"/>
    <w:rsid w:val="00613118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21A7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03473"/>
    <w:rsid w:val="0070649E"/>
    <w:rsid w:val="00723E69"/>
    <w:rsid w:val="00725BEA"/>
    <w:rsid w:val="00726BD1"/>
    <w:rsid w:val="00730A2A"/>
    <w:rsid w:val="007347E5"/>
    <w:rsid w:val="0074537E"/>
    <w:rsid w:val="00747D24"/>
    <w:rsid w:val="0075704C"/>
    <w:rsid w:val="00757BB1"/>
    <w:rsid w:val="00766015"/>
    <w:rsid w:val="00766427"/>
    <w:rsid w:val="007669B2"/>
    <w:rsid w:val="00774C24"/>
    <w:rsid w:val="00777351"/>
    <w:rsid w:val="007A299C"/>
    <w:rsid w:val="007A31FF"/>
    <w:rsid w:val="007A6C4A"/>
    <w:rsid w:val="007B56C2"/>
    <w:rsid w:val="007B7525"/>
    <w:rsid w:val="007C031B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07833"/>
    <w:rsid w:val="008120DB"/>
    <w:rsid w:val="008127CF"/>
    <w:rsid w:val="00817FE6"/>
    <w:rsid w:val="00821AC5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7F2"/>
    <w:rsid w:val="008558A1"/>
    <w:rsid w:val="00855B4C"/>
    <w:rsid w:val="00857695"/>
    <w:rsid w:val="00861C2D"/>
    <w:rsid w:val="0087115D"/>
    <w:rsid w:val="008723C0"/>
    <w:rsid w:val="0088263F"/>
    <w:rsid w:val="0088755C"/>
    <w:rsid w:val="008954AA"/>
    <w:rsid w:val="008A56A5"/>
    <w:rsid w:val="008B06FC"/>
    <w:rsid w:val="008B10F9"/>
    <w:rsid w:val="008C1346"/>
    <w:rsid w:val="008C326A"/>
    <w:rsid w:val="008C34A4"/>
    <w:rsid w:val="008C7B07"/>
    <w:rsid w:val="008D068A"/>
    <w:rsid w:val="008D06A4"/>
    <w:rsid w:val="008E11BE"/>
    <w:rsid w:val="008F1F07"/>
    <w:rsid w:val="008F50C1"/>
    <w:rsid w:val="00903039"/>
    <w:rsid w:val="00907B5C"/>
    <w:rsid w:val="0091120B"/>
    <w:rsid w:val="00912356"/>
    <w:rsid w:val="00915949"/>
    <w:rsid w:val="00920D5A"/>
    <w:rsid w:val="009229CF"/>
    <w:rsid w:val="0092390D"/>
    <w:rsid w:val="00924B9F"/>
    <w:rsid w:val="009322FA"/>
    <w:rsid w:val="009345BB"/>
    <w:rsid w:val="009369E5"/>
    <w:rsid w:val="009371D0"/>
    <w:rsid w:val="009456BE"/>
    <w:rsid w:val="00951886"/>
    <w:rsid w:val="009540C3"/>
    <w:rsid w:val="00954917"/>
    <w:rsid w:val="00964285"/>
    <w:rsid w:val="0097307C"/>
    <w:rsid w:val="0097577A"/>
    <w:rsid w:val="0098015B"/>
    <w:rsid w:val="009A13C5"/>
    <w:rsid w:val="009A3FE6"/>
    <w:rsid w:val="009B1959"/>
    <w:rsid w:val="009B51E5"/>
    <w:rsid w:val="009B5FCA"/>
    <w:rsid w:val="009C0DC9"/>
    <w:rsid w:val="009C16F8"/>
    <w:rsid w:val="009C521B"/>
    <w:rsid w:val="009F6C40"/>
    <w:rsid w:val="009F7C2C"/>
    <w:rsid w:val="00A038FA"/>
    <w:rsid w:val="00A054E3"/>
    <w:rsid w:val="00A05E32"/>
    <w:rsid w:val="00A06654"/>
    <w:rsid w:val="00A06A5C"/>
    <w:rsid w:val="00A07083"/>
    <w:rsid w:val="00A10F62"/>
    <w:rsid w:val="00A16CB2"/>
    <w:rsid w:val="00A177BA"/>
    <w:rsid w:val="00A23E26"/>
    <w:rsid w:val="00A25EC7"/>
    <w:rsid w:val="00A27ECF"/>
    <w:rsid w:val="00A32274"/>
    <w:rsid w:val="00A32690"/>
    <w:rsid w:val="00A32C3E"/>
    <w:rsid w:val="00A363F4"/>
    <w:rsid w:val="00A42068"/>
    <w:rsid w:val="00A43ACF"/>
    <w:rsid w:val="00A43DC2"/>
    <w:rsid w:val="00A454E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4A7F"/>
    <w:rsid w:val="00AA5CA5"/>
    <w:rsid w:val="00AB1F17"/>
    <w:rsid w:val="00AB5C70"/>
    <w:rsid w:val="00AB6919"/>
    <w:rsid w:val="00AB6D53"/>
    <w:rsid w:val="00AB7ADF"/>
    <w:rsid w:val="00AB7CD1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413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B4F64"/>
    <w:rsid w:val="00BB7D97"/>
    <w:rsid w:val="00BC195C"/>
    <w:rsid w:val="00BC3ACA"/>
    <w:rsid w:val="00BC3C94"/>
    <w:rsid w:val="00BC42EE"/>
    <w:rsid w:val="00BC72C9"/>
    <w:rsid w:val="00BD05A7"/>
    <w:rsid w:val="00BD1406"/>
    <w:rsid w:val="00BD2F5F"/>
    <w:rsid w:val="00BD41C7"/>
    <w:rsid w:val="00BD7223"/>
    <w:rsid w:val="00BE163D"/>
    <w:rsid w:val="00BE1942"/>
    <w:rsid w:val="00BE1F57"/>
    <w:rsid w:val="00BE5A75"/>
    <w:rsid w:val="00BF4C09"/>
    <w:rsid w:val="00C0211F"/>
    <w:rsid w:val="00C226F4"/>
    <w:rsid w:val="00C243C7"/>
    <w:rsid w:val="00C25047"/>
    <w:rsid w:val="00C3076D"/>
    <w:rsid w:val="00C30A3C"/>
    <w:rsid w:val="00C53641"/>
    <w:rsid w:val="00C536B9"/>
    <w:rsid w:val="00C60AC9"/>
    <w:rsid w:val="00C77784"/>
    <w:rsid w:val="00C906A1"/>
    <w:rsid w:val="00C94697"/>
    <w:rsid w:val="00CA662D"/>
    <w:rsid w:val="00CB2BE8"/>
    <w:rsid w:val="00CB7F4E"/>
    <w:rsid w:val="00CC1C81"/>
    <w:rsid w:val="00CC300B"/>
    <w:rsid w:val="00CC4C3C"/>
    <w:rsid w:val="00CD27A3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5082"/>
    <w:rsid w:val="00D769B3"/>
    <w:rsid w:val="00D77F6A"/>
    <w:rsid w:val="00D80A4C"/>
    <w:rsid w:val="00D8128B"/>
    <w:rsid w:val="00D8149F"/>
    <w:rsid w:val="00D82A72"/>
    <w:rsid w:val="00D83981"/>
    <w:rsid w:val="00D862F1"/>
    <w:rsid w:val="00D872CB"/>
    <w:rsid w:val="00D91C7F"/>
    <w:rsid w:val="00DB4DB8"/>
    <w:rsid w:val="00DC75E8"/>
    <w:rsid w:val="00DE23E5"/>
    <w:rsid w:val="00DE75C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21F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01CA9"/>
    <w:rsid w:val="00F1110E"/>
    <w:rsid w:val="00F1113C"/>
    <w:rsid w:val="00F349E0"/>
    <w:rsid w:val="00F36311"/>
    <w:rsid w:val="00F36FFF"/>
    <w:rsid w:val="00F41BC0"/>
    <w:rsid w:val="00F502A8"/>
    <w:rsid w:val="00F50FD6"/>
    <w:rsid w:val="00F52278"/>
    <w:rsid w:val="00F53DAA"/>
    <w:rsid w:val="00F5472A"/>
    <w:rsid w:val="00F5795F"/>
    <w:rsid w:val="00F64817"/>
    <w:rsid w:val="00F659D0"/>
    <w:rsid w:val="00F725E1"/>
    <w:rsid w:val="00F83718"/>
    <w:rsid w:val="00F94061"/>
    <w:rsid w:val="00F9582A"/>
    <w:rsid w:val="00FA15F5"/>
    <w:rsid w:val="00FB1E59"/>
    <w:rsid w:val="00FB29A3"/>
    <w:rsid w:val="00FB630E"/>
    <w:rsid w:val="00FC36D2"/>
    <w:rsid w:val="00FC3D94"/>
    <w:rsid w:val="00FD33B0"/>
    <w:rsid w:val="00FD4917"/>
    <w:rsid w:val="00FF12DA"/>
    <w:rsid w:val="00FF3266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B5E540"/>
  <w15:docId w15:val="{48B05508-6F1D-4AE9-B9D1-8CC2F05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64285"/>
    <w:pPr>
      <w:spacing w:before="240"/>
      <w:outlineLvl w:val="1"/>
    </w:pPr>
  </w:style>
  <w:style w:type="paragraph" w:styleId="Heading3">
    <w:name w:val="heading 3"/>
    <w:aliases w:val="h3,H3,H31"/>
    <w:basedOn w:val="Heading1"/>
    <w:next w:val="Normal"/>
    <w:link w:val="Heading3Char"/>
    <w:uiPriority w:val="9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964285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964285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964285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rsid w:val="00964285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DNV-F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link w:val="HeaderChar"/>
    <w:uiPriority w:val="99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64285"/>
  </w:style>
  <w:style w:type="paragraph" w:styleId="Index2">
    <w:name w:val="index 2"/>
    <w:basedOn w:val="Normal"/>
    <w:next w:val="Normal"/>
    <w:rsid w:val="00964285"/>
    <w:pPr>
      <w:ind w:left="283"/>
    </w:pPr>
  </w:style>
  <w:style w:type="paragraph" w:styleId="Index3">
    <w:name w:val="index 3"/>
    <w:basedOn w:val="Normal"/>
    <w:next w:val="Normal"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64285"/>
    <w:pPr>
      <w:spacing w:before="80"/>
      <w:ind w:left="1531" w:hanging="851"/>
    </w:pPr>
  </w:style>
  <w:style w:type="paragraph" w:styleId="TOC3">
    <w:name w:val="toc 3"/>
    <w:basedOn w:val="TOC2"/>
    <w:rsid w:val="00964285"/>
  </w:style>
  <w:style w:type="paragraph" w:styleId="TOC4">
    <w:name w:val="toc 4"/>
    <w:basedOn w:val="TOC3"/>
    <w:rsid w:val="00964285"/>
  </w:style>
  <w:style w:type="paragraph" w:styleId="TOC5">
    <w:name w:val="toc 5"/>
    <w:basedOn w:val="TOC4"/>
    <w:rsid w:val="00964285"/>
  </w:style>
  <w:style w:type="paragraph" w:styleId="TOC6">
    <w:name w:val="toc 6"/>
    <w:basedOn w:val="TOC4"/>
    <w:rsid w:val="00964285"/>
  </w:style>
  <w:style w:type="paragraph" w:styleId="TOC7">
    <w:name w:val="toc 7"/>
    <w:basedOn w:val="TOC4"/>
    <w:rsid w:val="00964285"/>
  </w:style>
  <w:style w:type="paragraph" w:styleId="TOC8">
    <w:name w:val="toc 8"/>
    <w:basedOn w:val="TOC4"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CEO_Hyperlink"/>
    <w:basedOn w:val="DefaultParagraphFont"/>
    <w:uiPriority w:val="99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uiPriority w:val="39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4602B"/>
    <w:rPr>
      <w:color w:val="606420"/>
      <w:u w:val="single"/>
    </w:rPr>
  </w:style>
  <w:style w:type="character" w:customStyle="1" w:styleId="Heading3Char">
    <w:name w:val="Heading 3 Char"/>
    <w:aliases w:val="h3 Char,H3 Char,H31 Char"/>
    <w:basedOn w:val="DefaultParagraphFont"/>
    <w:link w:val="Heading3"/>
    <w:uiPriority w:val="9"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styleId="Index7">
    <w:name w:val="index 7"/>
    <w:basedOn w:val="Normal"/>
    <w:next w:val="Normal"/>
    <w:rsid w:val="00F1113C"/>
    <w:pPr>
      <w:ind w:left="1698"/>
    </w:pPr>
    <w:rPr>
      <w:rFonts w:ascii="Calibri" w:hAnsi="Calibri"/>
    </w:rPr>
  </w:style>
  <w:style w:type="paragraph" w:styleId="Index6">
    <w:name w:val="index 6"/>
    <w:basedOn w:val="Normal"/>
    <w:next w:val="Normal"/>
    <w:rsid w:val="00F1113C"/>
    <w:pPr>
      <w:ind w:left="1415"/>
    </w:pPr>
    <w:rPr>
      <w:rFonts w:ascii="Calibri" w:hAnsi="Calibri"/>
    </w:rPr>
  </w:style>
  <w:style w:type="paragraph" w:styleId="Index5">
    <w:name w:val="index 5"/>
    <w:basedOn w:val="Normal"/>
    <w:next w:val="Normal"/>
    <w:rsid w:val="00F1113C"/>
    <w:pPr>
      <w:ind w:left="1132"/>
    </w:pPr>
    <w:rPr>
      <w:rFonts w:ascii="Calibri" w:hAnsi="Calibri"/>
    </w:rPr>
  </w:style>
  <w:style w:type="paragraph" w:styleId="Index4">
    <w:name w:val="index 4"/>
    <w:basedOn w:val="Normal"/>
    <w:next w:val="Normal"/>
    <w:rsid w:val="00F1113C"/>
    <w:pPr>
      <w:ind w:left="849"/>
    </w:pPr>
    <w:rPr>
      <w:rFonts w:ascii="Calibri" w:hAnsi="Calibri"/>
    </w:rPr>
  </w:style>
  <w:style w:type="character" w:styleId="LineNumber">
    <w:name w:val="line number"/>
    <w:basedOn w:val="DefaultParagraphFont"/>
    <w:rsid w:val="00F1113C"/>
  </w:style>
  <w:style w:type="paragraph" w:styleId="IndexHeading">
    <w:name w:val="index heading"/>
    <w:basedOn w:val="Normal"/>
    <w:next w:val="Index1"/>
    <w:rsid w:val="00F1113C"/>
    <w:rPr>
      <w:rFonts w:ascii="Calibri" w:hAnsi="Calibri"/>
    </w:rPr>
  </w:style>
  <w:style w:type="paragraph" w:styleId="NormalIndent">
    <w:name w:val="Normal Indent"/>
    <w:basedOn w:val="Normal"/>
    <w:rsid w:val="00F1113C"/>
    <w:pPr>
      <w:ind w:left="794"/>
    </w:pPr>
    <w:rPr>
      <w:rFonts w:ascii="Calibri" w:hAnsi="Calibri"/>
    </w:rPr>
  </w:style>
  <w:style w:type="paragraph" w:customStyle="1" w:styleId="Head">
    <w:name w:val="Head"/>
    <w:basedOn w:val="Normal"/>
    <w:rsid w:val="00F1113C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ascii="Calibri" w:hAnsi="Calibri"/>
    </w:rPr>
  </w:style>
  <w:style w:type="paragraph" w:styleId="List">
    <w:name w:val="List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ascii="Calibri" w:hAnsi="Calibri"/>
    </w:rPr>
  </w:style>
  <w:style w:type="paragraph" w:customStyle="1" w:styleId="Part">
    <w:name w:val="Part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rFonts w:ascii="Calibri" w:hAnsi="Calibri"/>
      <w:caps/>
    </w:rPr>
  </w:style>
  <w:style w:type="paragraph" w:customStyle="1" w:styleId="docnoted">
    <w:name w:val="docnoted"/>
    <w:basedOn w:val="Normal"/>
    <w:next w:val="Head"/>
    <w:rsid w:val="00F111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ascii="Calibri" w:hAnsi="Calibri"/>
      <w:sz w:val="20"/>
    </w:rPr>
  </w:style>
  <w:style w:type="paragraph" w:customStyle="1" w:styleId="meeting">
    <w:name w:val="meeting"/>
    <w:basedOn w:val="Head"/>
    <w:next w:val="Head"/>
    <w:rsid w:val="00F1113C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F1113C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ascii="Calibri" w:hAnsi="Calibri"/>
    </w:rPr>
  </w:style>
  <w:style w:type="paragraph" w:customStyle="1" w:styleId="Object">
    <w:name w:val="Object"/>
    <w:basedOn w:val="Subject"/>
    <w:next w:val="Subject"/>
    <w:rsid w:val="00F1113C"/>
  </w:style>
  <w:style w:type="paragraph" w:customStyle="1" w:styleId="Data">
    <w:name w:val="Data"/>
    <w:basedOn w:val="Subject"/>
    <w:next w:val="Subject"/>
    <w:rsid w:val="00F1113C"/>
  </w:style>
  <w:style w:type="paragraph" w:customStyle="1" w:styleId="Reasons">
    <w:name w:val="Reasons"/>
    <w:basedOn w:val="Normal"/>
    <w:qFormat/>
    <w:rsid w:val="00F111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</w:style>
  <w:style w:type="paragraph" w:styleId="TOC9">
    <w:name w:val="toc 9"/>
    <w:basedOn w:val="TOC4"/>
    <w:rsid w:val="00F1113C"/>
    <w:pPr>
      <w:tabs>
        <w:tab w:val="clear" w:pos="964"/>
        <w:tab w:val="clear" w:pos="9639"/>
        <w:tab w:val="left" w:leader="dot" w:pos="7938"/>
        <w:tab w:val="center" w:pos="8789"/>
      </w:tabs>
      <w:ind w:left="567" w:right="0" w:hanging="567"/>
    </w:pPr>
    <w:rPr>
      <w:rFonts w:ascii="Calibri" w:hAnsi="Calibri"/>
    </w:rPr>
  </w:style>
  <w:style w:type="paragraph" w:customStyle="1" w:styleId="dnum">
    <w:name w:val="dnum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Calibri" w:hAnsi="Calibri"/>
      <w:b/>
      <w:bCs/>
    </w:rPr>
  </w:style>
  <w:style w:type="paragraph" w:customStyle="1" w:styleId="ddate">
    <w:name w:val="ddate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libri" w:hAnsi="Calibri"/>
      <w:b/>
      <w:bCs/>
    </w:rPr>
  </w:style>
  <w:style w:type="paragraph" w:customStyle="1" w:styleId="dorlang">
    <w:name w:val="dorlang"/>
    <w:basedOn w:val="Normal"/>
    <w:rsid w:val="00F1113C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libri" w:hAnsi="Calibri"/>
      <w:b/>
      <w:bCs/>
    </w:rPr>
  </w:style>
  <w:style w:type="paragraph" w:customStyle="1" w:styleId="AnnexNo">
    <w:name w:val="Annex_No"/>
    <w:basedOn w:val="Normal"/>
    <w:next w:val="Annextitle"/>
    <w:rsid w:val="00F1113C"/>
    <w:pPr>
      <w:keepNext/>
      <w:keepLines/>
      <w:spacing w:before="480" w:after="80"/>
      <w:jc w:val="center"/>
    </w:pPr>
    <w:rPr>
      <w:rFonts w:ascii="Calibri" w:hAnsi="Calibri"/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F1113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F1113C"/>
    <w:pPr>
      <w:keepNext/>
      <w:keepLines/>
      <w:spacing w:after="280"/>
      <w:jc w:val="center"/>
    </w:pPr>
    <w:rPr>
      <w:rFonts w:ascii="Calibri" w:hAnsi="Calibri"/>
    </w:rPr>
  </w:style>
  <w:style w:type="paragraph" w:customStyle="1" w:styleId="AppendixNo">
    <w:name w:val="Appendix_No"/>
    <w:basedOn w:val="AnnexNo"/>
    <w:next w:val="Appendixtitle"/>
    <w:rsid w:val="00F1113C"/>
  </w:style>
  <w:style w:type="paragraph" w:customStyle="1" w:styleId="Appendixtitle">
    <w:name w:val="Appendix_title"/>
    <w:basedOn w:val="Annextitle"/>
    <w:next w:val="Appendixref"/>
    <w:rsid w:val="00F1113C"/>
  </w:style>
  <w:style w:type="paragraph" w:customStyle="1" w:styleId="Appendixref">
    <w:name w:val="Appendix_ref"/>
    <w:basedOn w:val="Annexref"/>
    <w:next w:val="Normalaftertitle"/>
    <w:rsid w:val="00F1113C"/>
  </w:style>
  <w:style w:type="paragraph" w:customStyle="1" w:styleId="Figuretitle">
    <w:name w:val="Figure_title"/>
    <w:basedOn w:val="Tabletitle"/>
    <w:next w:val="Normalaftertitle"/>
    <w:rsid w:val="00F1113C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F1113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imes New Roman Bold" w:hAnsi="Times New Roman Bold"/>
      <w:b/>
      <w:caps w:val="0"/>
      <w:sz w:val="24"/>
    </w:rPr>
  </w:style>
  <w:style w:type="paragraph" w:customStyle="1" w:styleId="FigureNo">
    <w:name w:val="Figure_No"/>
    <w:basedOn w:val="Normal"/>
    <w:next w:val="Figuretitle"/>
    <w:rsid w:val="00F1113C"/>
    <w:pPr>
      <w:keepNext/>
      <w:keepLines/>
      <w:spacing w:before="240" w:after="120"/>
      <w:jc w:val="center"/>
    </w:pPr>
    <w:rPr>
      <w:rFonts w:ascii="Calibri" w:hAnsi="Calibri"/>
      <w:caps/>
    </w:rPr>
  </w:style>
  <w:style w:type="paragraph" w:styleId="BodyTextIndent3">
    <w:name w:val="Body Text Indent 3"/>
    <w:basedOn w:val="Normal"/>
    <w:link w:val="BodyTextIndent3Char"/>
    <w:rsid w:val="00F1113C"/>
    <w:pPr>
      <w:spacing w:before="0"/>
      <w:ind w:firstLine="601"/>
      <w:textAlignment w:val="auto"/>
    </w:pPr>
    <w:rPr>
      <w:rFonts w:ascii="Calibri" w:hAnsi="Calibri"/>
      <w:sz w:val="22"/>
      <w:lang w:val="fr-FR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1113C"/>
    <w:rPr>
      <w:rFonts w:ascii="Calibri" w:hAnsi="Calibri"/>
      <w:sz w:val="22"/>
      <w:lang w:val="fr-FR"/>
    </w:rPr>
  </w:style>
  <w:style w:type="paragraph" w:customStyle="1" w:styleId="NormalCH">
    <w:name w:val="NormalCH"/>
    <w:basedOn w:val="Normal"/>
    <w:next w:val="Normal"/>
    <w:qFormat/>
    <w:rsid w:val="00F1113C"/>
    <w:pPr>
      <w:ind w:firstLineChars="200" w:firstLine="200"/>
    </w:pPr>
    <w:rPr>
      <w:rFonts w:ascii="Calibri" w:hAnsi="Calibri"/>
      <w:szCs w:val="19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F111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ascii="Calibri" w:eastAsia="Times New Roman" w:hAnsi="Calibri"/>
    </w:rPr>
  </w:style>
  <w:style w:type="paragraph" w:styleId="NormalWeb">
    <w:name w:val="Normal (Web)"/>
    <w:basedOn w:val="Normal"/>
    <w:uiPriority w:val="99"/>
    <w:unhideWhenUsed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 w:eastAsia="zh-CN"/>
    </w:rPr>
  </w:style>
  <w:style w:type="character" w:customStyle="1" w:styleId="FontStyle20">
    <w:name w:val="Font Style20"/>
    <w:basedOn w:val="DefaultParagraphFont"/>
    <w:rsid w:val="00F1113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1113C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13C"/>
    <w:rPr>
      <w:rFonts w:ascii="Times New Roman" w:hAnsi="Times New Roman"/>
      <w:sz w:val="18"/>
      <w:lang w:val="en-GB" w:eastAsia="en-US"/>
    </w:rPr>
  </w:style>
  <w:style w:type="paragraph" w:customStyle="1" w:styleId="firstfooter0">
    <w:name w:val="firstfooter"/>
    <w:basedOn w:val="Normal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59" w:lineRule="auto"/>
      <w:textAlignment w:val="auto"/>
    </w:pPr>
    <w:rPr>
      <w:rFonts w:asciiTheme="minorHAnsi" w:hAnsiTheme="minorHAnsi" w:cstheme="minorBidi"/>
      <w:sz w:val="22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F1113C"/>
    <w:pPr>
      <w:keepNext/>
      <w:overflowPunct/>
      <w:autoSpaceDE/>
      <w:autoSpaceDN/>
      <w:adjustRightInd/>
      <w:spacing w:before="560" w:after="120" w:line="259" w:lineRule="auto"/>
      <w:jc w:val="center"/>
      <w:textAlignment w:val="auto"/>
    </w:pPr>
    <w:rPr>
      <w:rFonts w:eastAsiaTheme="minorEastAsia" w:cstheme="minorBidi"/>
      <w:caps/>
      <w:sz w:val="22"/>
      <w:szCs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F1113C"/>
    <w:pPr>
      <w:overflowPunct/>
      <w:autoSpaceDE/>
      <w:autoSpaceDN/>
      <w:adjustRightInd/>
      <w:spacing w:before="0" w:after="120" w:line="259" w:lineRule="auto"/>
      <w:ind w:left="283"/>
      <w:textAlignment w:val="auto"/>
    </w:pPr>
    <w:rPr>
      <w:rFonts w:eastAsiaTheme="minorEastAsia" w:cstheme="minorBidi"/>
      <w:sz w:val="22"/>
      <w:szCs w:val="22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1113C"/>
    <w:rPr>
      <w:rFonts w:ascii="Times New Roman" w:eastAsiaTheme="minorEastAsia" w:hAnsi="Times New Roman" w:cstheme="minorBidi"/>
      <w:sz w:val="22"/>
      <w:szCs w:val="22"/>
    </w:rPr>
  </w:style>
  <w:style w:type="paragraph" w:customStyle="1" w:styleId="CharCharCharCharCharChar">
    <w:name w:val="Char Char Char Char Char Char"/>
    <w:basedOn w:val="Normal"/>
    <w:rsid w:val="00F1113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="Tahoma" w:hAnsi="Tahoma" w:cstheme="minorBidi"/>
      <w:kern w:val="2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F1113C"/>
    <w:pPr>
      <w:overflowPunct/>
      <w:autoSpaceDE/>
      <w:autoSpaceDN/>
      <w:adjustRightInd/>
      <w:spacing w:before="0" w:after="160" w:line="259" w:lineRule="auto"/>
      <w:textAlignment w:val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13C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1113C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3C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3C"/>
    <w:pPr>
      <w:overflowPunct/>
      <w:autoSpaceDE/>
      <w:autoSpaceDN/>
      <w:adjustRightInd/>
      <w:spacing w:before="0" w:after="160" w:line="259" w:lineRule="auto"/>
      <w:textAlignment w:val="auto"/>
    </w:pPr>
    <w:rPr>
      <w:sz w:val="20"/>
    </w:rPr>
  </w:style>
  <w:style w:type="character" w:customStyle="1" w:styleId="CommentTextChar1">
    <w:name w:val="Comment Text Char1"/>
    <w:basedOn w:val="DefaultParagraphFont"/>
    <w:semiHidden/>
    <w:rsid w:val="00F1113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3C"/>
    <w:rPr>
      <w:rFonts w:ascii="Times New Roman" w:hAnsi="Times New Roman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3C"/>
    <w:rPr>
      <w:b/>
      <w:bCs/>
    </w:rPr>
  </w:style>
  <w:style w:type="character" w:customStyle="1" w:styleId="CommentSubjectChar1">
    <w:name w:val="Comment Subject Char1"/>
    <w:basedOn w:val="CommentTextChar1"/>
    <w:semiHidden/>
    <w:rsid w:val="00F1113C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F111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113C"/>
    <w:rPr>
      <w:sz w:val="16"/>
      <w:szCs w:val="16"/>
    </w:rPr>
  </w:style>
  <w:style w:type="paragraph" w:styleId="Revision">
    <w:name w:val="Revision"/>
    <w:hidden/>
    <w:uiPriority w:val="99"/>
    <w:semiHidden/>
    <w:rsid w:val="00F1113C"/>
    <w:rPr>
      <w:rFonts w:ascii="Calibri" w:eastAsia="Times New Roman" w:hAnsi="Calibri"/>
      <w:sz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F1113C"/>
    <w:rPr>
      <w:rFonts w:ascii="Calibri" w:eastAsia="Times New Roman" w:hAnsi="Calibr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F1113C"/>
    <w:rPr>
      <w:b/>
      <w:bCs/>
    </w:rPr>
  </w:style>
  <w:style w:type="paragraph" w:customStyle="1" w:styleId="TableText0">
    <w:name w:val="Table_Text"/>
    <w:basedOn w:val="Normal"/>
    <w:rsid w:val="00F1113C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Times New Roman"/>
      <w:sz w:val="22"/>
      <w:szCs w:val="22"/>
      <w:lang w:val="en-US"/>
    </w:rPr>
  </w:style>
  <w:style w:type="paragraph" w:customStyle="1" w:styleId="call0">
    <w:name w:val="call"/>
    <w:basedOn w:val="Normal"/>
    <w:next w:val="Normal"/>
    <w:rsid w:val="00F1113C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Calibri" w:eastAsia="STKaiti" w:hAnsi="Calibri"/>
    </w:rPr>
  </w:style>
  <w:style w:type="paragraph" w:customStyle="1" w:styleId="TableHead0">
    <w:name w:val="Table_Head"/>
    <w:basedOn w:val="TableText0"/>
    <w:rsid w:val="00F1113C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customStyle="1" w:styleId="headfoot">
    <w:name w:val="head_foot"/>
    <w:basedOn w:val="Normal"/>
    <w:next w:val="Normalaftertitle"/>
    <w:rsid w:val="00F1113C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418"/>
        <w:tab w:val="center" w:pos="4820"/>
      </w:tabs>
      <w:overflowPunct/>
      <w:autoSpaceDE/>
      <w:autoSpaceDN/>
      <w:adjustRightInd/>
      <w:spacing w:before="0"/>
      <w:jc w:val="both"/>
      <w:textAlignment w:val="auto"/>
    </w:pPr>
    <w:rPr>
      <w:rFonts w:ascii="Times" w:eastAsiaTheme="minorEastAsia" w:hAnsi="Times"/>
      <w:color w:val="FF0000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F1113C"/>
    <w:rPr>
      <w:rFonts w:ascii="Times New Roman" w:hAnsi="Times New Roman"/>
      <w:b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F1113C"/>
    <w:rPr>
      <w:rFonts w:ascii="Times New Roman Bold" w:hAnsi="Times New Roman Bold"/>
      <w:b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1113C"/>
    <w:rPr>
      <w:rFonts w:asciiTheme="majorHAnsi" w:eastAsiaTheme="majorEastAsia" w:hAnsiTheme="majorHAnsi" w:cstheme="majorBidi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1113C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13C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13C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1113C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1113C"/>
    <w:rPr>
      <w:smallCaps/>
      <w:color w:val="5A5A5A" w:themeColor="text1" w:themeTint="A5"/>
    </w:rPr>
  </w:style>
  <w:style w:type="paragraph" w:customStyle="1" w:styleId="SimpleHeading">
    <w:name w:val="Simple Heading"/>
    <w:basedOn w:val="Normal"/>
    <w:link w:val="SimpleHeadingChar"/>
    <w:qFormat/>
    <w:rsid w:val="00F1113C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F1113C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Ideas">
    <w:name w:val="Ideas"/>
    <w:basedOn w:val="Heading1"/>
    <w:link w:val="IdeasChar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1" w:hanging="431"/>
      <w:jc w:val="both"/>
      <w:textAlignment w:val="auto"/>
    </w:pPr>
    <w:rPr>
      <w:rFonts w:asciiTheme="majorHAnsi" w:eastAsiaTheme="majorEastAsia" w:hAnsiTheme="majorHAnsi" w:cstheme="majorBidi"/>
      <w:b w:val="0"/>
      <w:color w:val="F79646" w:themeColor="accent6"/>
      <w:sz w:val="32"/>
      <w:szCs w:val="32"/>
    </w:rPr>
  </w:style>
  <w:style w:type="character" w:customStyle="1" w:styleId="IdeasChar">
    <w:name w:val="Ideas Char"/>
    <w:basedOn w:val="Heading1Char"/>
    <w:link w:val="Ideas"/>
    <w:rsid w:val="00F1113C"/>
    <w:rPr>
      <w:rFonts w:asciiTheme="majorHAnsi" w:eastAsiaTheme="majorEastAsia" w:hAnsiTheme="majorHAnsi" w:cstheme="majorBidi"/>
      <w:b w:val="0"/>
      <w:color w:val="F79646" w:themeColor="accent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therideas">
    <w:name w:val="Other ideas"/>
    <w:basedOn w:val="Heading2"/>
    <w:link w:val="OtherideasChar"/>
    <w:qFormat/>
    <w:rsid w:val="00F1113C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59" w:lineRule="auto"/>
      <w:ind w:left="576" w:hanging="576"/>
      <w:jc w:val="both"/>
      <w:textAlignment w:val="auto"/>
    </w:pPr>
    <w:rPr>
      <w:rFonts w:asciiTheme="majorHAnsi" w:eastAsiaTheme="majorEastAsia" w:hAnsiTheme="majorHAnsi" w:cstheme="majorBidi"/>
      <w:b w:val="0"/>
      <w:color w:val="E36C0A" w:themeColor="accent6" w:themeShade="BF"/>
      <w:sz w:val="26"/>
      <w:szCs w:val="26"/>
    </w:rPr>
  </w:style>
  <w:style w:type="character" w:customStyle="1" w:styleId="OtherideasChar">
    <w:name w:val="Other ideas Char"/>
    <w:basedOn w:val="Heading2Char"/>
    <w:link w:val="Otherideas"/>
    <w:rsid w:val="00F1113C"/>
    <w:rPr>
      <w:rFonts w:asciiTheme="majorHAnsi" w:eastAsiaTheme="majorEastAsia" w:hAnsiTheme="majorHAnsi" w:cstheme="majorBidi"/>
      <w:b w:val="0"/>
      <w:color w:val="E36C0A" w:themeColor="accent6" w:themeShade="BF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Outputdescription">
    <w:name w:val="Output description"/>
    <w:basedOn w:val="Normal"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szCs w:val="22"/>
      <w:lang w:val="en-US"/>
    </w:rPr>
  </w:style>
  <w:style w:type="table" w:customStyle="1" w:styleId="GridTable4-Accent12">
    <w:name w:val="Grid Table 4 - Accent 12"/>
    <w:basedOn w:val="TableNormal"/>
    <w:uiPriority w:val="49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both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paragraph" w:customStyle="1" w:styleId="Normal2">
    <w:name w:val="Normal2"/>
    <w:basedOn w:val="Normal"/>
    <w:link w:val="Normal2Char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jc w:val="both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Normal2Char">
    <w:name w:val="Normal2 Char"/>
    <w:link w:val="Normal2"/>
    <w:rsid w:val="00F1113C"/>
    <w:rPr>
      <w:rFonts w:ascii="Calibri" w:eastAsiaTheme="minorEastAsia" w:hAnsi="Calibri" w:cs="Calibri"/>
      <w:sz w:val="22"/>
      <w:szCs w:val="22"/>
      <w:lang w:val="en-GB"/>
    </w:rPr>
  </w:style>
  <w:style w:type="paragraph" w:customStyle="1" w:styleId="enumlevel">
    <w:name w:val="enumlevel"/>
    <w:basedOn w:val="Normal2"/>
    <w:rsid w:val="00F1113C"/>
    <w:pPr>
      <w:numPr>
        <w:numId w:val="1"/>
      </w:numPr>
      <w:tabs>
        <w:tab w:val="num" w:pos="360"/>
      </w:tabs>
      <w:ind w:left="432" w:hanging="432"/>
    </w:pPr>
  </w:style>
  <w:style w:type="paragraph" w:customStyle="1" w:styleId="Style2">
    <w:name w:val="Style2"/>
    <w:basedOn w:val="Normal"/>
    <w:qFormat/>
    <w:rsid w:val="00F1113C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</w:tabs>
      <w:overflowPunct/>
      <w:autoSpaceDE/>
      <w:autoSpaceDN/>
      <w:adjustRightInd/>
      <w:spacing w:before="360"/>
      <w:jc w:val="both"/>
      <w:textAlignment w:val="auto"/>
      <w:outlineLvl w:val="1"/>
    </w:pPr>
    <w:rPr>
      <w:rFonts w:ascii="Calibri" w:eastAsiaTheme="minorEastAsia" w:hAnsi="Calibri" w:cs="Calibri"/>
      <w:b/>
      <w:bCs/>
      <w:color w:val="5DA4BE"/>
      <w:sz w:val="36"/>
      <w:szCs w:val="24"/>
      <w:lang w:eastAsia="zh-CN"/>
    </w:rPr>
  </w:style>
  <w:style w:type="table" w:styleId="MediumShading2-Accent1">
    <w:name w:val="Medium Shading 2 Accent 1"/>
    <w:basedOn w:val="TableNormal"/>
    <w:uiPriority w:val="64"/>
    <w:rsid w:val="00F1113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ection20">
    <w:name w:val="Section 2"/>
    <w:basedOn w:val="Normal"/>
    <w:next w:val="Normal"/>
    <w:rsid w:val="00F1113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Calibri" w:eastAsia="Times New Roman" w:hAnsi="Calibri"/>
      <w:b/>
      <w:i/>
      <w:sz w:val="28"/>
    </w:rPr>
  </w:style>
  <w:style w:type="paragraph" w:customStyle="1" w:styleId="Normalaftertitle0">
    <w:name w:val="Normal_after_title"/>
    <w:basedOn w:val="Normal"/>
    <w:next w:val="Normal"/>
    <w:rsid w:val="00F1113C"/>
    <w:pPr>
      <w:spacing w:before="360"/>
    </w:pPr>
  </w:style>
  <w:style w:type="paragraph" w:customStyle="1" w:styleId="FooterQP">
    <w:name w:val="Footer_QP"/>
    <w:basedOn w:val="Normal"/>
    <w:rsid w:val="00F1113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F1113C"/>
    <w:rPr>
      <w:b w:val="0"/>
    </w:rPr>
  </w:style>
  <w:style w:type="paragraph" w:customStyle="1" w:styleId="ASN1">
    <w:name w:val="ASN.1"/>
    <w:basedOn w:val="Normal"/>
    <w:rsid w:val="00F11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BodyText">
    <w:name w:val="Body Text"/>
    <w:basedOn w:val="Normal"/>
    <w:link w:val="BodyTextChar"/>
    <w:rsid w:val="00F1113C"/>
    <w:rPr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F1113C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character" w:customStyle="1" w:styleId="shorttext1">
    <w:name w:val="short_text1"/>
    <w:basedOn w:val="DefaultParagraphFont"/>
    <w:rsid w:val="00F1113C"/>
    <w:rPr>
      <w:sz w:val="29"/>
      <w:szCs w:val="29"/>
    </w:rPr>
  </w:style>
  <w:style w:type="character" w:customStyle="1" w:styleId="itur-title1">
    <w:name w:val="itur-title1"/>
    <w:basedOn w:val="DefaultParagraphFont"/>
    <w:rsid w:val="00F1113C"/>
    <w:rPr>
      <w:b/>
      <w:bCs/>
      <w:color w:val="5B84D7"/>
      <w:sz w:val="26"/>
      <w:szCs w:val="26"/>
    </w:rPr>
  </w:style>
  <w:style w:type="paragraph" w:customStyle="1" w:styleId="Char">
    <w:name w:val="Char"/>
    <w:basedOn w:val="Normal"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sz w:val="20"/>
      <w:lang w:val="fr-FR" w:eastAsia="zh-CN"/>
    </w:rPr>
  </w:style>
  <w:style w:type="character" w:customStyle="1" w:styleId="msoins0">
    <w:name w:val="msoins"/>
    <w:basedOn w:val="DefaultParagraphFont"/>
    <w:rsid w:val="00F1113C"/>
  </w:style>
  <w:style w:type="character" w:customStyle="1" w:styleId="msoins00">
    <w:name w:val="msoins0"/>
    <w:basedOn w:val="DefaultParagraphFont"/>
    <w:rsid w:val="00F1113C"/>
  </w:style>
  <w:style w:type="paragraph" w:customStyle="1" w:styleId="Committee">
    <w:name w:val="Committee"/>
    <w:basedOn w:val="Normal"/>
    <w:qFormat/>
    <w:rsid w:val="00F1113C"/>
    <w:rPr>
      <w:rFonts w:asciiTheme="minorHAnsi" w:eastAsia="Times New Roman" w:hAnsiTheme="minorHAnsi" w:cs="Times New Roman Bold"/>
      <w:b/>
      <w:cap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113C"/>
    <w:rPr>
      <w:rFonts w:ascii="Calibri" w:eastAsiaTheme="minorEastAsia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11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semiHidden/>
    <w:rsid w:val="00F1113C"/>
    <w:rPr>
      <w:rFonts w:ascii="Consolas" w:hAnsi="Consolas" w:cs="Consolas"/>
      <w:sz w:val="21"/>
      <w:szCs w:val="21"/>
      <w:lang w:val="en-GB" w:eastAsia="en-US"/>
    </w:rPr>
  </w:style>
  <w:style w:type="table" w:styleId="PlainTable2">
    <w:name w:val="Plain Table 2"/>
    <w:basedOn w:val="TableNormal"/>
    <w:uiPriority w:val="42"/>
    <w:rsid w:val="00F111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111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111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111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1">
    <w:name w:val="List Table 3 Accent 1"/>
    <w:basedOn w:val="TableNormal"/>
    <w:uiPriority w:val="48"/>
    <w:rsid w:val="00F1113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PlainTable22">
    <w:name w:val="Plain Table 22"/>
    <w:basedOn w:val="TableNormal"/>
    <w:uiPriority w:val="42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ghtList-Accent1">
    <w:name w:val="Light List Accent 1"/>
    <w:basedOn w:val="TableNormal"/>
    <w:uiPriority w:val="61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ocnumber">
    <w:name w:val="Docnumber"/>
    <w:basedOn w:val="Normal"/>
    <w:link w:val="DocnumberChar"/>
    <w:rsid w:val="003351B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60" w:line="259" w:lineRule="auto"/>
      <w:jc w:val="right"/>
      <w:textAlignment w:val="auto"/>
    </w:pPr>
    <w:rPr>
      <w:rFonts w:eastAsiaTheme="minorHAnsi"/>
      <w:b/>
      <w:bCs/>
      <w:sz w:val="40"/>
      <w:szCs w:val="22"/>
      <w:lang w:val="en-US"/>
    </w:rPr>
  </w:style>
  <w:style w:type="character" w:customStyle="1" w:styleId="DocnumberChar">
    <w:name w:val="Docnumber Char"/>
    <w:basedOn w:val="DefaultParagraphFont"/>
    <w:link w:val="Docnumber"/>
    <w:rsid w:val="003351B2"/>
    <w:rPr>
      <w:rFonts w:ascii="Times New Roman" w:eastAsiaTheme="minorHAnsi" w:hAnsi="Times New Roman"/>
      <w:b/>
      <w:bCs/>
      <w:sz w:val="40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351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351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">
    <w:name w:val="书籍标题1"/>
    <w:uiPriority w:val="33"/>
    <w:qFormat/>
    <w:rsid w:val="000E69E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RAG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8DEA-3E13-426C-9522-6F054496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PC_RAG17.dotx</Template>
  <TotalTime>8</TotalTime>
  <Pages>2</Pages>
  <Words>1106</Words>
  <Characters>255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1359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Kong, Hongli</dc:creator>
  <cp:keywords>RAG03-1</cp:keywords>
  <dc:description>Document RAG08-1/1-E  For: _x000d_Document date: 12 December 2007_x000d_Saved by JJF44233 at 15:38:46 on 18/12/2007</dc:description>
  <cp:lastModifiedBy>Kong, Hongli</cp:lastModifiedBy>
  <cp:revision>3</cp:revision>
  <cp:lastPrinted>2011-05-04T08:20:00Z</cp:lastPrinted>
  <dcterms:created xsi:type="dcterms:W3CDTF">2020-05-18T07:14:00Z</dcterms:created>
  <dcterms:modified xsi:type="dcterms:W3CDTF">2020-05-18T07:26:00Z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