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:rsidRPr="00FE678D" w:rsidTr="00D24BCF">
        <w:trPr>
          <w:cantSplit/>
        </w:trPr>
        <w:tc>
          <w:tcPr>
            <w:tcW w:w="6772" w:type="dxa"/>
            <w:vAlign w:val="center"/>
          </w:tcPr>
          <w:p w:rsidR="0057336B" w:rsidRPr="00FE678D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FE678D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 w:rsidRPr="00FE678D">
              <w:rPr>
                <w:b/>
                <w:caps/>
                <w:sz w:val="32"/>
              </w:rPr>
              <w:br/>
            </w:r>
            <w:r w:rsidRPr="00FE678D">
              <w:rPr>
                <w:rFonts w:ascii="Verdana" w:hAnsi="Verdana" w:cs="Times New Roman Bold"/>
                <w:b/>
                <w:bCs/>
                <w:sz w:val="20"/>
              </w:rPr>
              <w:t xml:space="preserve">Ginebra, </w:t>
            </w:r>
            <w:r w:rsidR="00A7663C" w:rsidRPr="00FE678D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 w:rsidRPr="00FE678D"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A7663C" w:rsidRPr="00FE678D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 w:rsidRPr="00FE678D">
              <w:rPr>
                <w:rFonts w:ascii="Verdana" w:hAnsi="Verdana" w:cs="Times New Roman Bold"/>
                <w:b/>
                <w:bCs/>
                <w:sz w:val="20"/>
              </w:rPr>
              <w:t xml:space="preserve"> de </w:t>
            </w:r>
            <w:r w:rsidR="00A7663C" w:rsidRPr="00FE678D">
              <w:rPr>
                <w:rFonts w:ascii="Verdana" w:hAnsi="Verdana" w:cs="Times New Roman Bold"/>
                <w:b/>
                <w:bCs/>
                <w:sz w:val="20"/>
              </w:rPr>
              <w:t xml:space="preserve">mayo </w:t>
            </w:r>
            <w:r w:rsidRPr="00FE678D">
              <w:rPr>
                <w:rFonts w:ascii="Verdana" w:hAnsi="Verdana" w:cs="Times New Roman Bold"/>
                <w:b/>
                <w:bCs/>
                <w:sz w:val="20"/>
              </w:rPr>
              <w:t>de 20</w:t>
            </w:r>
            <w:r w:rsidR="00AB4BAD" w:rsidRPr="00FE678D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117" w:type="dxa"/>
            <w:vAlign w:val="center"/>
          </w:tcPr>
          <w:p w:rsidR="0057336B" w:rsidRPr="00FE678D" w:rsidRDefault="00AB4BAD" w:rsidP="00A7663C">
            <w:pPr>
              <w:shd w:val="solid" w:color="FFFFFF" w:fill="FFFFFF"/>
              <w:spacing w:before="0"/>
            </w:pPr>
            <w:r w:rsidRPr="00FE678D">
              <w:rPr>
                <w:noProof/>
                <w:lang w:val="en-US"/>
              </w:rPr>
              <w:drawing>
                <wp:inline distT="0" distB="0" distL="0" distR="0" wp14:anchorId="0EE722E4" wp14:editId="54324770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FE678D" w:rsidTr="00D24BCF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:rsidR="006E291F" w:rsidRPr="00FE678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:rsidR="006E291F" w:rsidRPr="00FE678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6E291F" w:rsidRPr="00FE678D" w:rsidTr="00D24BCF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:rsidR="006E291F" w:rsidRPr="00FE678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:rsidR="006E291F" w:rsidRPr="00FE678D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</w:rPr>
            </w:pPr>
          </w:p>
        </w:tc>
      </w:tr>
      <w:tr w:rsidR="006E291F" w:rsidRPr="00FE678D" w:rsidTr="00D24BCF">
        <w:trPr>
          <w:cantSplit/>
        </w:trPr>
        <w:tc>
          <w:tcPr>
            <w:tcW w:w="6772" w:type="dxa"/>
            <w:vMerge w:val="restart"/>
          </w:tcPr>
          <w:p w:rsidR="006E291F" w:rsidRPr="00FE678D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:rsidR="006E291F" w:rsidRPr="00FE678D" w:rsidRDefault="00742356" w:rsidP="00742356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FE678D">
              <w:rPr>
                <w:rFonts w:ascii="Verdana" w:hAnsi="Verdana"/>
                <w:b/>
                <w:sz w:val="20"/>
              </w:rPr>
              <w:t>Documento RAG20/15-S</w:t>
            </w:r>
          </w:p>
        </w:tc>
      </w:tr>
      <w:tr w:rsidR="006E291F" w:rsidRPr="00FE678D" w:rsidTr="00D24BCF">
        <w:trPr>
          <w:cantSplit/>
        </w:trPr>
        <w:tc>
          <w:tcPr>
            <w:tcW w:w="6772" w:type="dxa"/>
            <w:vMerge/>
          </w:tcPr>
          <w:p w:rsidR="006E291F" w:rsidRPr="00FE678D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:rsidR="006E291F" w:rsidRPr="00FE678D" w:rsidRDefault="00EF7F51" w:rsidP="00742356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8</w:t>
            </w:r>
            <w:r w:rsidR="00742356" w:rsidRPr="00FE678D">
              <w:rPr>
                <w:rFonts w:ascii="Verdana" w:hAnsi="Verdana"/>
                <w:b/>
                <w:sz w:val="20"/>
              </w:rPr>
              <w:t xml:space="preserve"> de mayo de 2020</w:t>
            </w:r>
          </w:p>
        </w:tc>
      </w:tr>
      <w:tr w:rsidR="006E291F" w:rsidRPr="00FE678D" w:rsidTr="00D24BCF">
        <w:trPr>
          <w:cantSplit/>
        </w:trPr>
        <w:tc>
          <w:tcPr>
            <w:tcW w:w="6772" w:type="dxa"/>
            <w:vMerge/>
          </w:tcPr>
          <w:p w:rsidR="006E291F" w:rsidRPr="00FE678D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:rsidR="006E291F" w:rsidRPr="00FE678D" w:rsidRDefault="00742356" w:rsidP="00742356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 w:rsidRPr="00FE678D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E291F" w:rsidRPr="00FE678D" w:rsidTr="008F0106">
        <w:trPr>
          <w:cantSplit/>
        </w:trPr>
        <w:tc>
          <w:tcPr>
            <w:tcW w:w="9889" w:type="dxa"/>
            <w:gridSpan w:val="2"/>
          </w:tcPr>
          <w:p w:rsidR="006E291F" w:rsidRPr="00FE678D" w:rsidRDefault="00D24BCF" w:rsidP="00CB7A43">
            <w:pPr>
              <w:pStyle w:val="Source"/>
            </w:pPr>
            <w:bookmarkStart w:id="3" w:name="dsource" w:colFirst="0" w:colLast="0"/>
            <w:bookmarkEnd w:id="2"/>
            <w:r w:rsidRPr="00FE678D">
              <w:t>Federación de Rusia</w:t>
            </w:r>
          </w:p>
        </w:tc>
      </w:tr>
      <w:tr w:rsidR="006E291F" w:rsidRPr="00FE678D" w:rsidTr="008F0106">
        <w:trPr>
          <w:cantSplit/>
        </w:trPr>
        <w:tc>
          <w:tcPr>
            <w:tcW w:w="9889" w:type="dxa"/>
            <w:gridSpan w:val="2"/>
          </w:tcPr>
          <w:p w:rsidR="006E291F" w:rsidRPr="00FE678D" w:rsidRDefault="00D24BCF" w:rsidP="00D24BCF">
            <w:pPr>
              <w:pStyle w:val="Title1"/>
            </w:pPr>
            <w:bookmarkStart w:id="4" w:name="dtitle1" w:colFirst="0" w:colLast="0"/>
            <w:bookmarkEnd w:id="3"/>
            <w:r w:rsidRPr="00FE678D">
              <w:t>nuevas mejoras de los Métodos de trabajo de la Asamblea</w:t>
            </w:r>
            <w:r w:rsidRPr="00FE678D">
              <w:br/>
              <w:t>de Radiocomunicaciones, de las Comisiones de Estudio</w:t>
            </w:r>
            <w:r w:rsidRPr="00FE678D">
              <w:br/>
              <w:t>de Radiocomunicaciones, del Grupo Asesor de Radiocomunicaciones y de otros grupos del</w:t>
            </w:r>
            <w:r w:rsidRPr="00FE678D">
              <w:br/>
              <w:t>Sector de Radiocomunicaciones de la Unión</w:t>
            </w:r>
            <w:r w:rsidRPr="00FE678D">
              <w:br/>
              <w:t>Internacional de Telecomunicaciones</w:t>
            </w:r>
          </w:p>
        </w:tc>
      </w:tr>
    </w:tbl>
    <w:bookmarkEnd w:id="4"/>
    <w:p w:rsidR="00D24BCF" w:rsidRPr="00FE678D" w:rsidRDefault="00D24BCF" w:rsidP="00D24BCF">
      <w:pPr>
        <w:pStyle w:val="Heading1"/>
      </w:pPr>
      <w:r w:rsidRPr="00FE678D">
        <w:t>1</w:t>
      </w:r>
      <w:r w:rsidRPr="00FE678D">
        <w:tab/>
        <w:t>Introducción</w:t>
      </w:r>
    </w:p>
    <w:p w:rsidR="00D24BCF" w:rsidRPr="00FE678D" w:rsidRDefault="00D24BCF" w:rsidP="00D24BCF">
      <w:r w:rsidRPr="00FE678D">
        <w:t>La Asamblea de Radiocomunicaciones de 2019 (AR-19) introdujo una serie de enmiendas y adiciones a la Resolución UIT-R 1-7 y a otras Resoluciones del Sector de Radiocomunicaciones de la UIT (UIT-R), relacionadas con los métodos de trabajo de la Asamblea de Radiocomunicaciones, las Comisiones de Estudio de Radiocomunicaciones (CE) y otros grupos del UIT-R, centradas en mejorar las actividades del Sector.</w:t>
      </w:r>
    </w:p>
    <w:p w:rsidR="00D24BCF" w:rsidRPr="00FE678D" w:rsidRDefault="00D24BCF" w:rsidP="00D24BCF">
      <w:bookmarkStart w:id="5" w:name="lt_pId014"/>
      <w:r w:rsidRPr="00FE678D">
        <w:t>En el curso de los trabajos de la AR-19 ya se identificó una de las posibles incertidumbres existentes en la Resolución UIT-R 1 en relación con el caso concreto del examen de los proyectos de Recomendación UIT-R nueva y revisada, concretamente, cuando se utiliza el procedimiento de adopción por correspondencia de Recomendaciones por parte de una Comisión de Estudio (§</w:t>
      </w:r>
      <w:r w:rsidR="003A2FE2">
        <w:t> </w:t>
      </w:r>
      <w:r w:rsidRPr="00FE678D">
        <w:t xml:space="preserve">А2.6.2.2.3 Resolución UIT-R 1-7), cuando la Recomendación UIT-R es pertinente para los temas tratados por varias Comisiones de Estudio, y las Comisiones de Estudio en cuestión deben coordinar sus trabajos en consecuencia. </w:t>
      </w:r>
    </w:p>
    <w:p w:rsidR="00D24BCF" w:rsidRPr="00FE678D" w:rsidRDefault="00D24BCF" w:rsidP="00D24BCF">
      <w:bookmarkStart w:id="6" w:name="lt_pId015"/>
      <w:bookmarkEnd w:id="5"/>
      <w:r w:rsidRPr="00FE678D">
        <w:t xml:space="preserve">Tras debatir éste y otros asuntos relativos a los métodos de trabajo de la Asamblea de Radiocomunicaciones, las Comisiones de Estudio y otros grupos del Sector de Radiocomunicaciones, la AR-19 dio las siguientes instrucciones al Grupo Asesor de Radiocomunicaciones (véase el Documento </w:t>
      </w:r>
      <w:hyperlink r:id="rId7" w:history="1">
        <w:r w:rsidRPr="00FE678D">
          <w:rPr>
            <w:color w:val="0000FF"/>
            <w:u w:val="single"/>
          </w:rPr>
          <w:t>RA19/PLEN/84</w:t>
        </w:r>
      </w:hyperlink>
      <w:r w:rsidRPr="00FE678D">
        <w:t>):</w:t>
      </w:r>
      <w:bookmarkEnd w:id="6"/>
    </w:p>
    <w:p w:rsidR="00D24BCF" w:rsidRPr="00FE678D" w:rsidRDefault="00D24BCF" w:rsidP="00D24BCF">
      <w:pPr>
        <w:pStyle w:val="enumlev1"/>
        <w:rPr>
          <w:lang w:eastAsia="zh-CN"/>
        </w:rPr>
      </w:pPr>
      <w:r w:rsidRPr="00FE678D">
        <w:rPr>
          <w:lang w:eastAsia="zh-CN"/>
        </w:rPr>
        <w:tab/>
      </w:r>
      <w:bookmarkStart w:id="7" w:name="lt_pId016"/>
      <w:r w:rsidR="00FE678D" w:rsidRPr="00FE678D">
        <w:rPr>
          <w:lang w:eastAsia="zh-CN"/>
        </w:rPr>
        <w:t>«</w:t>
      </w:r>
      <w:r w:rsidRPr="00FE678D">
        <w:t>La AR-19 encarga al Grupo Asesor de Radiocomunicaciones (GAR), con arreglo a las propuestas de los Estados Miembros y de los Miembros de Sector y en consulta con los Presidentes de las Comisiones de Estudio, que examine el periodo máximo de mandato de los Presidentes de los Grupos de Trabajo de Radiocomunicaciones y comunique los resultados de ese examen a la AR-23</w:t>
      </w:r>
      <w:r w:rsidRPr="00FE678D">
        <w:rPr>
          <w:lang w:eastAsia="zh-CN"/>
        </w:rPr>
        <w:t>.</w:t>
      </w:r>
      <w:bookmarkEnd w:id="7"/>
      <w:r w:rsidR="00FE678D" w:rsidRPr="00FE678D">
        <w:rPr>
          <w:lang w:eastAsia="zh-CN"/>
        </w:rPr>
        <w:t>»</w:t>
      </w:r>
    </w:p>
    <w:p w:rsidR="00D24BCF" w:rsidRPr="00FE678D" w:rsidRDefault="00D24BCF" w:rsidP="00D24BCF">
      <w:pPr>
        <w:pStyle w:val="enumlev1"/>
      </w:pPr>
      <w:r w:rsidRPr="00FE678D">
        <w:rPr>
          <w:lang w:eastAsia="zh-CN"/>
        </w:rPr>
        <w:tab/>
      </w:r>
      <w:bookmarkStart w:id="8" w:name="lt_pId017"/>
      <w:r w:rsidR="00FE678D" w:rsidRPr="00FE678D">
        <w:rPr>
          <w:lang w:eastAsia="zh-CN"/>
        </w:rPr>
        <w:t>«</w:t>
      </w:r>
      <w:r w:rsidRPr="00FE678D">
        <w:t>La AR-19 encarga también al GAR, con arreglo a las propuestas de los Estados Miembros y de los Miembros de Sector y en consulta con los Presidentes de las Comisiones de Estudio, que considere la necesidad de revisar la Resolución UIT-R 1, entre otras cosas con miras a añadir disposiciones que regulen la formación de los nuevos Presidentes y Vicepresidentes electos de las Comisiones de Estudio.</w:t>
      </w:r>
      <w:bookmarkEnd w:id="8"/>
      <w:r w:rsidR="00FE678D" w:rsidRPr="00FE678D">
        <w:t>»</w:t>
      </w:r>
    </w:p>
    <w:p w:rsidR="00D24BCF" w:rsidRPr="00FE678D" w:rsidRDefault="00D24BCF" w:rsidP="00D24BCF">
      <w:pPr>
        <w:pStyle w:val="enumlev1"/>
        <w:rPr>
          <w:lang w:eastAsia="zh-CN"/>
        </w:rPr>
      </w:pPr>
      <w:r w:rsidRPr="00FE678D">
        <w:rPr>
          <w:lang w:eastAsia="zh-CN"/>
        </w:rPr>
        <w:lastRenderedPageBreak/>
        <w:tab/>
      </w:r>
      <w:bookmarkStart w:id="9" w:name="lt_pId019"/>
      <w:r w:rsidR="00FE678D" w:rsidRPr="00FE678D">
        <w:rPr>
          <w:lang w:eastAsia="zh-CN"/>
        </w:rPr>
        <w:t>«</w:t>
      </w:r>
      <w:r w:rsidRPr="00FE678D">
        <w:t>La AR invitó al GAR a identificar posibles modificaciones de la Resolución UIT-R 1 con respecto a los procedimientos de aprobación cuando un texto es pertinente para los temas de varias CE. La AR acordó asimismo que deberían distribuirse las objeciones recibidas durante el proceso de aprobación.</w:t>
      </w:r>
      <w:bookmarkEnd w:id="9"/>
      <w:r w:rsidR="00FE678D" w:rsidRPr="00FE678D">
        <w:t>»</w:t>
      </w:r>
      <w:r w:rsidRPr="00FE678D">
        <w:rPr>
          <w:lang w:eastAsia="zh-CN"/>
        </w:rPr>
        <w:t xml:space="preserve"> </w:t>
      </w:r>
    </w:p>
    <w:p w:rsidR="00D24BCF" w:rsidRPr="00FE678D" w:rsidRDefault="00D24BCF" w:rsidP="00D24BCF">
      <w:pPr>
        <w:pStyle w:val="Heading1"/>
      </w:pPr>
      <w:r w:rsidRPr="00FE678D">
        <w:t>2</w:t>
      </w:r>
      <w:r w:rsidRPr="00FE678D">
        <w:tab/>
      </w:r>
      <w:bookmarkStart w:id="10" w:name="lt_pId021"/>
      <w:r w:rsidRPr="00FE678D">
        <w:t>Propuestas</w:t>
      </w:r>
      <w:bookmarkEnd w:id="10"/>
      <w:r w:rsidRPr="00FE678D">
        <w:t xml:space="preserve"> </w:t>
      </w:r>
    </w:p>
    <w:p w:rsidR="00D24BCF" w:rsidRPr="00FE678D" w:rsidRDefault="00D24BCF" w:rsidP="00D24BCF">
      <w:pPr>
        <w:rPr>
          <w:lang w:eastAsia="zh-CN"/>
        </w:rPr>
      </w:pPr>
      <w:bookmarkStart w:id="11" w:name="lt_pId022"/>
      <w:r w:rsidRPr="00FE678D">
        <w:rPr>
          <w:lang w:eastAsia="zh-CN"/>
        </w:rPr>
        <w:t>La Federación de Rusia envía propuestas preliminares relativas a la aplicación de las Decisiones de la AR-19 que habrán de debatir los miembros del Grupo Asesor de Radiocomunicaciones.</w:t>
      </w:r>
      <w:bookmarkEnd w:id="11"/>
      <w:r w:rsidRPr="00FE678D">
        <w:rPr>
          <w:lang w:eastAsia="zh-CN"/>
        </w:rPr>
        <w:t xml:space="preserve"> </w:t>
      </w:r>
    </w:p>
    <w:p w:rsidR="00D24BCF" w:rsidRPr="00FE678D" w:rsidRDefault="00D24BCF" w:rsidP="00D24BCF">
      <w:pPr>
        <w:pStyle w:val="Heading2"/>
        <w:rPr>
          <w:lang w:eastAsia="zh-CN"/>
        </w:rPr>
      </w:pPr>
      <w:r w:rsidRPr="00FE678D">
        <w:rPr>
          <w:lang w:eastAsia="zh-CN"/>
        </w:rPr>
        <w:t>2.1</w:t>
      </w:r>
      <w:r w:rsidRPr="00FE678D">
        <w:rPr>
          <w:lang w:eastAsia="zh-CN"/>
        </w:rPr>
        <w:tab/>
      </w:r>
      <w:bookmarkStart w:id="12" w:name="lt_pId024"/>
      <w:r w:rsidRPr="00FE678D">
        <w:rPr>
          <w:lang w:eastAsia="zh-CN"/>
        </w:rPr>
        <w:t xml:space="preserve">Propuestas preliminares para una posible aclaración de las disposiciones de la Resolución 1-8 </w:t>
      </w:r>
      <w:r w:rsidR="0079606C">
        <w:rPr>
          <w:lang w:eastAsia="zh-CN"/>
        </w:rPr>
        <w:t xml:space="preserve">del </w:t>
      </w:r>
      <w:r w:rsidR="0079606C" w:rsidRPr="00FE678D">
        <w:rPr>
          <w:lang w:eastAsia="zh-CN"/>
        </w:rPr>
        <w:t xml:space="preserve">UIT-R </w:t>
      </w:r>
      <w:r w:rsidRPr="00FE678D">
        <w:rPr>
          <w:lang w:eastAsia="zh-CN"/>
        </w:rPr>
        <w:t>relativas a los procedimientos de adopción y aprobación de Recomendaciones UIT-R por correspondencia</w:t>
      </w:r>
      <w:bookmarkEnd w:id="12"/>
    </w:p>
    <w:p w:rsidR="00D24BCF" w:rsidRPr="00FE678D" w:rsidRDefault="00D24BCF" w:rsidP="00D24BCF">
      <w:bookmarkStart w:id="13" w:name="lt_pId025"/>
      <w:r w:rsidRPr="00FE678D">
        <w:t xml:space="preserve">Para evitar diferencias de interpretación en cuanto a la presentación de proyectos de Recomendación nueva y revisada para su consideración por el GAR, se presenta una propuesta preliminar sobre la modificación de la subsección A2.6.2.1 </w:t>
      </w:r>
      <w:r w:rsidR="00FE678D" w:rsidRPr="00FE678D">
        <w:t>«</w:t>
      </w:r>
      <w:r w:rsidRPr="00FE678D">
        <w:t>Consideraciones generales</w:t>
      </w:r>
      <w:r w:rsidR="00FE678D" w:rsidRPr="00FE678D">
        <w:t>»</w:t>
      </w:r>
      <w:r w:rsidRPr="00FE678D">
        <w:t xml:space="preserve"> de la sección A2.6 de la </w:t>
      </w:r>
      <w:r w:rsidR="0079606C">
        <w:t>Resolución</w:t>
      </w:r>
      <w:r w:rsidR="00767CCF">
        <w:t xml:space="preserve"> 1-8 del </w:t>
      </w:r>
      <w:r w:rsidRPr="00FE678D">
        <w:t>UIT-R. Esta propuesta determina más claramente el procedimiento para las acciones previas a la AR. Se propone añadir los nuevos puntos А2.6.2.1.8 y А2.6.2.1.9 a la subsección A2.6.2.1 como se indica a continuación</w:t>
      </w:r>
      <w:bookmarkStart w:id="14" w:name="lt_pId027"/>
      <w:bookmarkEnd w:id="13"/>
      <w:r w:rsidRPr="00FE678D">
        <w:rPr>
          <w:lang w:eastAsia="zh-CN"/>
        </w:rPr>
        <w:t>:</w:t>
      </w:r>
      <w:bookmarkEnd w:id="14"/>
      <w:r w:rsidRPr="00FE678D">
        <w:rPr>
          <w:lang w:eastAsia="zh-CN"/>
        </w:rPr>
        <w:t xml:space="preserve"> </w:t>
      </w:r>
    </w:p>
    <w:p w:rsidR="00D24BCF" w:rsidRPr="00FE678D" w:rsidRDefault="00D24BCF" w:rsidP="00D24BCF">
      <w:pPr>
        <w:rPr>
          <w:lang w:eastAsia="zh-CN"/>
        </w:rPr>
      </w:pPr>
      <w:bookmarkStart w:id="15" w:name="lt_pId028"/>
      <w:r w:rsidRPr="00FE678D">
        <w:t>А2.6.2.1.8</w:t>
      </w:r>
      <w:r w:rsidR="003A2FE2">
        <w:tab/>
      </w:r>
      <w:r w:rsidRPr="00FE678D">
        <w:t>Si el proyecto de Recomendación nueva o revisada no ha sido aprobado en la reunión de la Comisión de Estudio de acuerdo con el procedimiento del §</w:t>
      </w:r>
      <w:r w:rsidR="00EF7F51">
        <w:t xml:space="preserve"> </w:t>
      </w:r>
      <w:r w:rsidRPr="00FE678D">
        <w:t>А2.6.2.2.2 o en el caso de la Comisión de Estudio por correspondencia de acuerdo con el procedimiento del §</w:t>
      </w:r>
      <w:r w:rsidR="00EF7F51">
        <w:t xml:space="preserve"> </w:t>
      </w:r>
      <w:r w:rsidRPr="00FE678D">
        <w:t xml:space="preserve">А2.6.2.2.3, y no se ha programado ninguna otra reunión de la CE antes de la AR, el Director remitirá a la AR el texto, junto con las objeciones, e informará al Presidente de la CE correspondiente. </w:t>
      </w:r>
      <w:bookmarkEnd w:id="15"/>
    </w:p>
    <w:p w:rsidR="00D24BCF" w:rsidRPr="00FE678D" w:rsidRDefault="00D24BCF" w:rsidP="00D24BCF">
      <w:bookmarkStart w:id="16" w:name="lt_pId029"/>
      <w:r w:rsidRPr="00FE678D">
        <w:t>А2.6.2.1.9</w:t>
      </w:r>
      <w:r w:rsidR="003A2FE2">
        <w:tab/>
      </w:r>
      <w:r w:rsidRPr="00FE678D">
        <w:t>Si el proyecto de Recomendación nueva o revisada no ha sido aprobado en las consultas con los Estados Miembros, de conformidad con el procedimiento del §</w:t>
      </w:r>
      <w:r w:rsidR="00EF7F51">
        <w:t xml:space="preserve"> </w:t>
      </w:r>
      <w:r w:rsidRPr="00FE678D">
        <w:t>А2.6.2.3, o adoptado y aprobado simultáneamente por correspondencia de conformidad con el procedimiento del §</w:t>
      </w:r>
      <w:r w:rsidR="00EF7F51">
        <w:t xml:space="preserve"> </w:t>
      </w:r>
      <w:r w:rsidRPr="00FE678D">
        <w:t>А2.6.2.4, y no se ha programado ninguna otra reunión de la CE antes de la AR, el Director enviará el texto a la AR, junto con los comentarios y objeciones, e informará al Presidente d</w:t>
      </w:r>
      <w:r w:rsidR="00EF7F51">
        <w:t>e</w:t>
      </w:r>
      <w:r w:rsidRPr="00FE678D">
        <w:t xml:space="preserve"> la CE correspondiente.</w:t>
      </w:r>
    </w:p>
    <w:bookmarkEnd w:id="16"/>
    <w:p w:rsidR="00D24BCF" w:rsidRPr="00FE678D" w:rsidRDefault="00D24BCF" w:rsidP="00D24BCF">
      <w:pPr>
        <w:pStyle w:val="Heading2"/>
        <w:rPr>
          <w:lang w:eastAsia="zh-CN"/>
        </w:rPr>
      </w:pPr>
      <w:r w:rsidRPr="00FE678D">
        <w:rPr>
          <w:lang w:eastAsia="zh-CN"/>
        </w:rPr>
        <w:t>2.2</w:t>
      </w:r>
      <w:r w:rsidRPr="00FE678D">
        <w:rPr>
          <w:lang w:eastAsia="zh-CN"/>
        </w:rPr>
        <w:tab/>
      </w:r>
      <w:bookmarkStart w:id="17" w:name="lt_pId031"/>
      <w:r w:rsidRPr="00FE678D">
        <w:rPr>
          <w:lang w:eastAsia="zh-CN"/>
        </w:rPr>
        <w:t>Considerar la posibilidad de crear un Grupo por correspondencia del GAR para preparar proyectos de propuesta de enmienda a la Resolución UIT-R 1 y, de ser necesario, a otras Resoluciones del UIT-R en las que se definan los principales enfoques y métodos de trabajo de la AR, las CE, el GAR y otros grupos del Sector de Radiocomunicaciones</w:t>
      </w:r>
    </w:p>
    <w:p w:rsidR="00D24BCF" w:rsidRPr="00FE678D" w:rsidRDefault="00D24BCF" w:rsidP="00D24BCF">
      <w:pPr>
        <w:rPr>
          <w:lang w:eastAsia="zh-CN"/>
        </w:rPr>
      </w:pPr>
      <w:bookmarkStart w:id="18" w:name="lt_pId032"/>
      <w:bookmarkEnd w:id="17"/>
      <w:r w:rsidRPr="00FE678D">
        <w:rPr>
          <w:lang w:eastAsia="zh-CN"/>
        </w:rPr>
        <w:t>La Federación de Rusia propone que el GAR estudie la cuestión de la creación de un Grupo por correspondencia que examine y prepare para el GAR proyectos de propuesta sobre las siguientes cuestiones relativas a las disposiciones de las Resoluciones que tratan de los métodos de trabajo del UIT-R:</w:t>
      </w:r>
      <w:bookmarkEnd w:id="18"/>
      <w:r w:rsidRPr="00FE678D">
        <w:rPr>
          <w:lang w:eastAsia="zh-CN"/>
        </w:rPr>
        <w:t xml:space="preserve"> </w:t>
      </w:r>
    </w:p>
    <w:p w:rsidR="00D24BCF" w:rsidRPr="00FE678D" w:rsidRDefault="00D24BCF" w:rsidP="00D24BCF">
      <w:pPr>
        <w:pStyle w:val="enumlev1"/>
        <w:rPr>
          <w:lang w:eastAsia="zh-CN"/>
        </w:rPr>
      </w:pPr>
      <w:bookmarkStart w:id="19" w:name="lt_pId033"/>
      <w:r w:rsidRPr="00FE678D">
        <w:rPr>
          <w:lang w:eastAsia="zh-CN"/>
        </w:rPr>
        <w:t>a)</w:t>
      </w:r>
      <w:bookmarkEnd w:id="19"/>
      <w:r w:rsidRPr="00FE678D">
        <w:rPr>
          <w:lang w:eastAsia="zh-CN"/>
        </w:rPr>
        <w:tab/>
      </w:r>
      <w:bookmarkStart w:id="20" w:name="lt_pId034"/>
      <w:r w:rsidRPr="00FE678D">
        <w:rPr>
          <w:lang w:eastAsia="zh-CN"/>
        </w:rPr>
        <w:t>viabilidad de la determinación del mandato máximo de los Presidentes de los Grupos de Trabajo de Radiocomunicaciones;</w:t>
      </w:r>
      <w:bookmarkEnd w:id="20"/>
    </w:p>
    <w:p w:rsidR="00D24BCF" w:rsidRPr="00FE678D" w:rsidRDefault="00D24BCF" w:rsidP="00D24BCF">
      <w:pPr>
        <w:pStyle w:val="enumlev1"/>
        <w:rPr>
          <w:lang w:eastAsia="zh-CN"/>
        </w:rPr>
      </w:pPr>
      <w:bookmarkStart w:id="21" w:name="lt_pId035"/>
      <w:r w:rsidRPr="00FE678D">
        <w:t>b)</w:t>
      </w:r>
      <w:bookmarkEnd w:id="21"/>
      <w:r w:rsidRPr="00FE678D">
        <w:tab/>
      </w:r>
      <w:bookmarkStart w:id="22" w:name="lt_pId036"/>
      <w:r w:rsidRPr="00FE678D">
        <w:t xml:space="preserve">adición de disposiciones para la capacitación de los </w:t>
      </w:r>
      <w:r w:rsidR="00EF7F51" w:rsidRPr="00FE678D">
        <w:t xml:space="preserve">Presidentes </w:t>
      </w:r>
      <w:r w:rsidRPr="00FE678D">
        <w:t xml:space="preserve">y </w:t>
      </w:r>
      <w:r w:rsidR="00EF7F51" w:rsidRPr="00FE678D">
        <w:t xml:space="preserve">Vicepresidentes </w:t>
      </w:r>
      <w:r w:rsidRPr="00FE678D">
        <w:t>de l</w:t>
      </w:r>
      <w:r w:rsidR="00EF7F51">
        <w:t>a</w:t>
      </w:r>
      <w:r w:rsidRPr="00FE678D">
        <w:t xml:space="preserve">s </w:t>
      </w:r>
      <w:r w:rsidR="00EF7F51">
        <w:t>Comisiones de Estudio</w:t>
      </w:r>
      <w:r w:rsidRPr="00FE678D">
        <w:t xml:space="preserve"> de nueva elección</w:t>
      </w:r>
      <w:r w:rsidRPr="00FE678D">
        <w:rPr>
          <w:lang w:eastAsia="zh-CN"/>
        </w:rPr>
        <w:t>;</w:t>
      </w:r>
      <w:bookmarkEnd w:id="22"/>
    </w:p>
    <w:p w:rsidR="00D24BCF" w:rsidRPr="00FE678D" w:rsidRDefault="00D24BCF" w:rsidP="00D24BCF">
      <w:pPr>
        <w:pStyle w:val="enumlev1"/>
        <w:rPr>
          <w:szCs w:val="22"/>
          <w:lang w:eastAsia="zh-CN"/>
        </w:rPr>
      </w:pPr>
      <w:bookmarkStart w:id="23" w:name="lt_pId037"/>
      <w:r w:rsidRPr="00FE678D">
        <w:rPr>
          <w:szCs w:val="22"/>
          <w:lang w:eastAsia="zh-CN"/>
        </w:rPr>
        <w:t>c)</w:t>
      </w:r>
      <w:bookmarkEnd w:id="23"/>
      <w:r w:rsidRPr="00FE678D">
        <w:rPr>
          <w:szCs w:val="22"/>
          <w:lang w:eastAsia="zh-CN"/>
        </w:rPr>
        <w:tab/>
      </w:r>
      <w:bookmarkStart w:id="24" w:name="lt_pId038"/>
      <w:r w:rsidRPr="00FE678D">
        <w:rPr>
          <w:szCs w:val="22"/>
          <w:lang w:eastAsia="zh-CN"/>
        </w:rPr>
        <w:t>medidas para evitar la duplicación de las Resoluciones de la Conferencia de Plenipotenciarios y racionalizar las Resoluciones del UIT-R en consecuencia;</w:t>
      </w:r>
      <w:bookmarkEnd w:id="24"/>
    </w:p>
    <w:p w:rsidR="00D24BCF" w:rsidRPr="00FE678D" w:rsidRDefault="00D24BCF" w:rsidP="00D619F3">
      <w:pPr>
        <w:pStyle w:val="enumlev1"/>
      </w:pPr>
      <w:bookmarkStart w:id="25" w:name="lt_pId039"/>
      <w:r w:rsidRPr="00FE678D">
        <w:rPr>
          <w:szCs w:val="22"/>
          <w:lang w:eastAsia="zh-CN"/>
        </w:rPr>
        <w:t>d)</w:t>
      </w:r>
      <w:bookmarkEnd w:id="25"/>
      <w:r w:rsidRPr="00FE678D">
        <w:rPr>
          <w:szCs w:val="22"/>
          <w:lang w:eastAsia="zh-CN"/>
        </w:rPr>
        <w:tab/>
      </w:r>
      <w:bookmarkStart w:id="26" w:name="lt_pId040"/>
      <w:r w:rsidRPr="00FE678D">
        <w:rPr>
          <w:szCs w:val="22"/>
          <w:lang w:eastAsia="zh-CN"/>
        </w:rPr>
        <w:t xml:space="preserve">y otras cuestiones con arreglo a las instrucciones del GAR. </w:t>
      </w:r>
      <w:bookmarkEnd w:id="26"/>
    </w:p>
    <w:p w:rsidR="00D24BCF" w:rsidRPr="00FE678D" w:rsidRDefault="00D24BCF" w:rsidP="00D619F3">
      <w:pPr>
        <w:spacing w:before="0"/>
        <w:jc w:val="center"/>
      </w:pPr>
      <w:r w:rsidRPr="00FE678D">
        <w:t>______________</w:t>
      </w:r>
      <w:bookmarkStart w:id="27" w:name="_GoBack"/>
      <w:bookmarkEnd w:id="27"/>
    </w:p>
    <w:sectPr w:rsidR="00D24BCF" w:rsidRPr="00FE678D" w:rsidSect="004D6C09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56" w:rsidRDefault="00742356">
      <w:r>
        <w:separator/>
      </w:r>
    </w:p>
  </w:endnote>
  <w:endnote w:type="continuationSeparator" w:id="0">
    <w:p w:rsidR="00742356" w:rsidRDefault="0074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01" w:rsidRDefault="00B91BDA" w:rsidP="00FE678D">
    <w:pPr>
      <w:pStyle w:val="Footer"/>
      <w:rPr>
        <w:lang w:val="en-US"/>
      </w:rPr>
    </w:pPr>
    <w:r>
      <w:fldChar w:fldCharType="begin"/>
    </w:r>
    <w:r w:rsidRPr="00EF7F51">
      <w:rPr>
        <w:lang w:val="en-US"/>
      </w:rPr>
      <w:instrText xml:space="preserve"> FILENAME \p  \* MERGEFORMAT </w:instrText>
    </w:r>
    <w:r>
      <w:fldChar w:fldCharType="separate"/>
    </w:r>
    <w:r w:rsidR="009F3DF8">
      <w:rPr>
        <w:lang w:val="en-US"/>
      </w:rPr>
      <w:t>P:\ESP\ITU-R\AG\RAG\RAG20\000\015V2S.docx</w:t>
    </w:r>
    <w:r>
      <w:fldChar w:fldCharType="end"/>
    </w:r>
    <w:r w:rsidR="00FE678D" w:rsidRPr="00EF7F51">
      <w:rPr>
        <w:lang w:val="en-US"/>
      </w:rPr>
      <w:t xml:space="preserve"> (471042)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8D" w:rsidRDefault="00FE678D" w:rsidP="00FE678D">
    <w:pPr>
      <w:pStyle w:val="Footer"/>
      <w:rPr>
        <w:lang w:val="en-US"/>
      </w:rPr>
    </w:pPr>
    <w:r>
      <w:fldChar w:fldCharType="begin"/>
    </w:r>
    <w:r w:rsidRPr="00EF7F51">
      <w:rPr>
        <w:lang w:val="en-US"/>
      </w:rPr>
      <w:instrText xml:space="preserve"> FILENAME \p  \* MERGEFORMAT </w:instrText>
    </w:r>
    <w:r>
      <w:fldChar w:fldCharType="separate"/>
    </w:r>
    <w:r w:rsidR="009F3DF8">
      <w:rPr>
        <w:lang w:val="en-US"/>
      </w:rPr>
      <w:t>P:\ESP\ITU-R\AG\RAG\RAG20\000\015V2S.docx</w:t>
    </w:r>
    <w:r>
      <w:fldChar w:fldCharType="end"/>
    </w:r>
    <w:r w:rsidRPr="00EF7F51">
      <w:rPr>
        <w:lang w:val="en-US"/>
      </w:rPr>
      <w:t xml:space="preserve"> (471042)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56" w:rsidRDefault="00742356">
      <w:r>
        <w:t>____________________</w:t>
      </w:r>
    </w:p>
  </w:footnote>
  <w:footnote w:type="continuationSeparator" w:id="0">
    <w:p w:rsidR="00742356" w:rsidRDefault="0074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4A07">
      <w:rPr>
        <w:rStyle w:val="PageNumber"/>
        <w:noProof/>
      </w:rPr>
      <w:t>2</w:t>
    </w:r>
    <w:r>
      <w:rPr>
        <w:rStyle w:val="PageNumber"/>
      </w:rPr>
      <w:fldChar w:fldCharType="end"/>
    </w:r>
  </w:p>
  <w:p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AB4BAD">
      <w:rPr>
        <w:lang w:val="es-ES"/>
      </w:rPr>
      <w:t>20</w:t>
    </w:r>
    <w:r w:rsidR="00616601">
      <w:rPr>
        <w:lang w:val="es-ES"/>
      </w:rPr>
      <w:t>/</w:t>
    </w:r>
    <w:r w:rsidR="00FE678D">
      <w:rPr>
        <w:lang w:val="es-ES"/>
      </w:rPr>
      <w:t>15</w:t>
    </w:r>
    <w:r w:rsidR="00616601">
      <w:rPr>
        <w:lang w:val="es-ES"/>
      </w:rP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56"/>
    <w:rsid w:val="000C62BA"/>
    <w:rsid w:val="000D756D"/>
    <w:rsid w:val="0012592F"/>
    <w:rsid w:val="001F2F50"/>
    <w:rsid w:val="0031432E"/>
    <w:rsid w:val="0034043B"/>
    <w:rsid w:val="003A2FE2"/>
    <w:rsid w:val="00414D8B"/>
    <w:rsid w:val="00482905"/>
    <w:rsid w:val="004D6C09"/>
    <w:rsid w:val="0054443C"/>
    <w:rsid w:val="00554832"/>
    <w:rsid w:val="0057336B"/>
    <w:rsid w:val="005A2195"/>
    <w:rsid w:val="005D3E02"/>
    <w:rsid w:val="00610642"/>
    <w:rsid w:val="00616601"/>
    <w:rsid w:val="006202A9"/>
    <w:rsid w:val="00646EEF"/>
    <w:rsid w:val="00663829"/>
    <w:rsid w:val="006A0341"/>
    <w:rsid w:val="006A42AB"/>
    <w:rsid w:val="006B5313"/>
    <w:rsid w:val="006E291F"/>
    <w:rsid w:val="00742356"/>
    <w:rsid w:val="00767CCF"/>
    <w:rsid w:val="0079606C"/>
    <w:rsid w:val="008506C9"/>
    <w:rsid w:val="008F0106"/>
    <w:rsid w:val="00924B63"/>
    <w:rsid w:val="00982618"/>
    <w:rsid w:val="009C205E"/>
    <w:rsid w:val="009F3DF8"/>
    <w:rsid w:val="00A0579C"/>
    <w:rsid w:val="00A7663C"/>
    <w:rsid w:val="00AB4BAD"/>
    <w:rsid w:val="00B32E51"/>
    <w:rsid w:val="00B91BDA"/>
    <w:rsid w:val="00C837F0"/>
    <w:rsid w:val="00CB7A43"/>
    <w:rsid w:val="00CF4CAC"/>
    <w:rsid w:val="00D24BCF"/>
    <w:rsid w:val="00D51E1E"/>
    <w:rsid w:val="00D619F3"/>
    <w:rsid w:val="00D74A07"/>
    <w:rsid w:val="00DE77E6"/>
    <w:rsid w:val="00E72EA7"/>
    <w:rsid w:val="00EA4101"/>
    <w:rsid w:val="00EF7F51"/>
    <w:rsid w:val="00F23715"/>
    <w:rsid w:val="00F77D5F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F1B063-1D5A-433C-AA28-03FD02A7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paragraph" w:customStyle="1" w:styleId="Reasons">
    <w:name w:val="Reasons"/>
    <w:basedOn w:val="Normal"/>
    <w:qFormat/>
    <w:rsid w:val="00D24BC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19-RA19-C-0084/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OOL%20S%20-%20ITU\PS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PS_RAG20.dotm</Template>
  <TotalTime>2</TotalTime>
  <Pages>2</Pages>
  <Words>914</Words>
  <Characters>4889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NUEVAS MEJORAS DE LOS MÉTODOS DE TRABAJO DE LA ASAMBLEA DE RADIOCOMUNICACIONES, DE LAS COMISIONES DE ESTUDIO DE RADIOCOMUNICACIONES, DEL GRUPO ASESOR DE RADIOCOMUNICACIONES Y DE OTROS GRUPOS DEL SECTOR DE RADIOCOMUNICACIONES DE LA UNIÓN INTERNACIONAL DE T</vt:lpstr>
    </vt:vector>
  </TitlesOfParts>
  <Manager>General Secretariat - Pool</Manager>
  <Company>International Telecommunication Union (ITU)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NUEVAS MEJORAS DE LOS MÉTODOS DE TRABAJO DE LA ASAMBLEA DE RADIOCOMUNICACIONES, DE LAS COMISIONES DE ESTUDIO DE RADIOCOMUNICACIONES, DEL GRUPO ASESOR DE RADIOCOMUNICACIONES Y DE OTROS GRUPOS DEL SECTOR DE RADIOCOMUNICACIONES DE LA UNIÓN INTERNACIONAL DE TELECOMUNICACIONES</dc:title>
  <dc:subject>GRUPO ASESOR DE RADIOCOMUNICACIONES</dc:subject>
  <dc:creator>Federación de Rusia</dc:creator>
  <cp:keywords>RAG03-1</cp:keywords>
  <dc:description>Documento RAG20/15-S  For: _x000d_Document date: 8 de mayo de 2020_x000d_Saved by R01 at 3:19:03 PM on 5/12/2020</dc:description>
  <cp:lastModifiedBy>Spanish</cp:lastModifiedBy>
  <cp:revision>7</cp:revision>
  <cp:lastPrinted>2020-05-12T10:28:00Z</cp:lastPrinted>
  <dcterms:created xsi:type="dcterms:W3CDTF">2020-05-12T13:05:00Z</dcterms:created>
  <dcterms:modified xsi:type="dcterms:W3CDTF">2020-05-12T13:19:00Z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RAG20/15-S</vt:lpwstr>
  </property>
  <property fmtid="{D5CDD505-2E9C-101B-9397-08002B2CF9AE}" pid="3" name="Docdate">
    <vt:lpwstr>8 de mayo de 2020</vt:lpwstr>
  </property>
  <property fmtid="{D5CDD505-2E9C-101B-9397-08002B2CF9AE}" pid="4" name="Docorlang">
    <vt:lpwstr>Original: inglés</vt:lpwstr>
  </property>
  <property fmtid="{D5CDD505-2E9C-101B-9397-08002B2CF9AE}" pid="5" name="Docauthor">
    <vt:lpwstr>Federación de Rusia</vt:lpwstr>
  </property>
</Properties>
</file>