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78531305" w14:textId="77777777" w:rsidTr="00553F66">
        <w:trPr>
          <w:cantSplit/>
          <w:trHeight w:val="20"/>
        </w:trPr>
        <w:tc>
          <w:tcPr>
            <w:tcW w:w="6619" w:type="dxa"/>
          </w:tcPr>
          <w:p w14:paraId="42712639" w14:textId="77777777" w:rsidR="00A375BD" w:rsidRPr="00136B82" w:rsidRDefault="0057610B" w:rsidP="00136B82">
            <w:pPr>
              <w:pStyle w:val="LOGO"/>
              <w:framePr w:hSpace="0" w:wrap="auto" w:xAlign="left" w:yAlign="inline"/>
              <w:rPr>
                <w:rtl/>
              </w:rPr>
            </w:pPr>
            <w:r>
              <w:rPr>
                <w:rFonts w:hint="cs"/>
                <w:rtl/>
              </w:rPr>
              <w:t>الفريق الاستشاري للاتصالات الراديوية</w:t>
            </w:r>
          </w:p>
          <w:p w14:paraId="09D424B0" w14:textId="77777777" w:rsidR="00280E04" w:rsidRPr="00136B82" w:rsidRDefault="00553F66" w:rsidP="002F3031">
            <w:pPr>
              <w:pStyle w:val="LOGO"/>
              <w:framePr w:hSpace="0" w:wrap="auto" w:xAlign="left" w:yAlign="inline"/>
              <w:spacing w:before="160"/>
              <w:rPr>
                <w:rtl/>
              </w:rPr>
            </w:pPr>
            <w:r w:rsidRPr="00553F66">
              <w:rPr>
                <w:rFonts w:hint="cs"/>
                <w:sz w:val="24"/>
                <w:szCs w:val="24"/>
                <w:rtl/>
              </w:rPr>
              <w:t xml:space="preserve">جنيف، </w:t>
            </w:r>
            <w:r w:rsidR="00E26732">
              <w:rPr>
                <w:sz w:val="24"/>
                <w:szCs w:val="24"/>
              </w:rPr>
              <w:t>27-25</w:t>
            </w:r>
            <w:r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26732">
              <w:rPr>
                <w:rFonts w:hint="cs"/>
                <w:sz w:val="24"/>
                <w:szCs w:val="24"/>
                <w:rtl/>
              </w:rPr>
              <w:t>مايو</w:t>
            </w:r>
            <w:r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53F66">
              <w:rPr>
                <w:sz w:val="24"/>
                <w:szCs w:val="24"/>
              </w:rPr>
              <w:t>2020</w:t>
            </w:r>
          </w:p>
        </w:tc>
        <w:tc>
          <w:tcPr>
            <w:tcW w:w="3053" w:type="dxa"/>
          </w:tcPr>
          <w:p w14:paraId="2A902E75" w14:textId="77777777" w:rsidR="00280E04" w:rsidRDefault="00553F66" w:rsidP="002F3031">
            <w:pPr>
              <w:spacing w:before="0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6D8F698D" wp14:editId="31D12FB9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13216CB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260DA2D3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742C43CD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75DC4905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59A14562" w14:textId="77777777" w:rsidR="00280E04" w:rsidRPr="00BD6EF3" w:rsidRDefault="00280E04" w:rsidP="0075474C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1AEFA010" w14:textId="77777777" w:rsidR="00280E04" w:rsidRPr="00BD6EF3" w:rsidRDefault="00280E04" w:rsidP="0075474C">
            <w:pPr>
              <w:pStyle w:val="Adress"/>
              <w:framePr w:hSpace="0" w:wrap="auto" w:xAlign="left" w:yAlign="inline"/>
              <w:spacing w:before="0" w:after="0"/>
            </w:pPr>
          </w:p>
        </w:tc>
      </w:tr>
      <w:tr w:rsidR="00A809E8" w14:paraId="14D3F4A1" w14:textId="77777777" w:rsidTr="00553F66">
        <w:trPr>
          <w:cantSplit/>
        </w:trPr>
        <w:tc>
          <w:tcPr>
            <w:tcW w:w="6619" w:type="dxa"/>
          </w:tcPr>
          <w:p w14:paraId="1EEA4266" w14:textId="77777777" w:rsidR="00A809E8" w:rsidRPr="0012545F" w:rsidRDefault="00A809E8" w:rsidP="0075474C">
            <w:pPr>
              <w:pStyle w:val="Committee"/>
              <w:framePr w:hSpace="0" w:wrap="auto" w:hAnchor="text" w:yAlign="inline"/>
              <w:bidi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C020704" w14:textId="3294A585" w:rsidR="00A809E8" w:rsidRPr="0012545F" w:rsidRDefault="00A809E8" w:rsidP="0075474C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 w:rsidR="00553F66">
              <w:t>R</w:t>
            </w:r>
            <w:r w:rsidR="0057610B">
              <w:t>AG</w:t>
            </w:r>
            <w:r w:rsidR="00553F66">
              <w:t>20/</w:t>
            </w:r>
            <w:r w:rsidR="00EE4564">
              <w:t>20</w:t>
            </w:r>
            <w:r w:rsidRPr="0012545F">
              <w:t>-A</w:t>
            </w:r>
          </w:p>
        </w:tc>
      </w:tr>
      <w:tr w:rsidR="00A809E8" w14:paraId="4F5860E8" w14:textId="77777777" w:rsidTr="00553F66">
        <w:trPr>
          <w:cantSplit/>
        </w:trPr>
        <w:tc>
          <w:tcPr>
            <w:tcW w:w="6619" w:type="dxa"/>
          </w:tcPr>
          <w:p w14:paraId="225C859A" w14:textId="77777777" w:rsidR="00A809E8" w:rsidRPr="0012545F" w:rsidRDefault="00A809E8" w:rsidP="0075474C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27E38DD" w14:textId="6DBE282C" w:rsidR="00A809E8" w:rsidRPr="0012545F" w:rsidRDefault="00EE4564" w:rsidP="0075474C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>
              <w:t>8</w:t>
            </w:r>
            <w:r w:rsidR="00A809E8" w:rsidRPr="0012545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مايو</w:t>
            </w:r>
            <w:r w:rsidR="00A809E8" w:rsidRPr="0012545F">
              <w:rPr>
                <w:rFonts w:hint="cs"/>
                <w:rtl/>
              </w:rPr>
              <w:t xml:space="preserve"> </w:t>
            </w:r>
            <w:r w:rsidR="002F3031">
              <w:t>2020</w:t>
            </w:r>
          </w:p>
        </w:tc>
      </w:tr>
      <w:tr w:rsidR="00A809E8" w14:paraId="4EA5F9A5" w14:textId="77777777" w:rsidTr="00553F66">
        <w:trPr>
          <w:cantSplit/>
        </w:trPr>
        <w:tc>
          <w:tcPr>
            <w:tcW w:w="6619" w:type="dxa"/>
          </w:tcPr>
          <w:p w14:paraId="0C8A9055" w14:textId="77777777" w:rsidR="00A809E8" w:rsidRPr="0012545F" w:rsidRDefault="00A809E8" w:rsidP="0075474C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3ACFBD82" w14:textId="77777777" w:rsidR="00A809E8" w:rsidRPr="0012545F" w:rsidRDefault="00A809E8" w:rsidP="0075474C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>الأصل: بالإنكليزية</w:t>
            </w:r>
          </w:p>
        </w:tc>
      </w:tr>
      <w:tr w:rsidR="00764079" w14:paraId="1C302DAD" w14:textId="77777777" w:rsidTr="00553F66">
        <w:trPr>
          <w:cantSplit/>
        </w:trPr>
        <w:tc>
          <w:tcPr>
            <w:tcW w:w="9672" w:type="dxa"/>
            <w:gridSpan w:val="2"/>
          </w:tcPr>
          <w:p w14:paraId="50670B7A" w14:textId="2943F539" w:rsidR="00764079" w:rsidRPr="00E621A3" w:rsidRDefault="00A85F11" w:rsidP="00034B65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>الاتحاد الروسي</w:t>
            </w:r>
          </w:p>
        </w:tc>
      </w:tr>
      <w:tr w:rsidR="00764079" w14:paraId="7A9FEECD" w14:textId="77777777" w:rsidTr="00553F66">
        <w:trPr>
          <w:cantSplit/>
        </w:trPr>
        <w:tc>
          <w:tcPr>
            <w:tcW w:w="9672" w:type="dxa"/>
            <w:gridSpan w:val="2"/>
          </w:tcPr>
          <w:p w14:paraId="7F54FDF7" w14:textId="2BB316D7" w:rsidR="00764079" w:rsidRPr="0075474C" w:rsidRDefault="003652CE" w:rsidP="00E63B0A">
            <w:pPr>
              <w:pStyle w:val="Title1"/>
              <w:spacing w:before="240"/>
              <w:rPr>
                <w:highlight w:val="cyan"/>
                <w:lang w:val="en-GB"/>
              </w:rPr>
            </w:pPr>
            <w:r w:rsidRPr="00D20172">
              <w:rPr>
                <w:rFonts w:hint="cs"/>
                <w:rtl/>
              </w:rPr>
              <w:t xml:space="preserve">تحسينات إضافية على </w:t>
            </w:r>
            <w:r w:rsidR="00E63B0A" w:rsidRPr="00D20172">
              <w:rPr>
                <w:rFonts w:hint="cs"/>
                <w:rtl/>
                <w:lang w:bidi="ar-SA"/>
              </w:rPr>
              <w:t>طرائق عمل جمعية الاتصالات الراديوية</w:t>
            </w:r>
            <w:r w:rsidRPr="00D20172">
              <w:rPr>
                <w:rtl/>
                <w:lang w:bidi="ar-SA"/>
              </w:rPr>
              <w:br/>
            </w:r>
            <w:r w:rsidR="00E63B0A" w:rsidRPr="00D20172">
              <w:rPr>
                <w:rFonts w:hint="cs"/>
                <w:rtl/>
                <w:lang w:bidi="ar-SA"/>
              </w:rPr>
              <w:t>ولجان دراسات</w:t>
            </w:r>
            <w:r w:rsidR="00E63B0A" w:rsidRPr="00D20172">
              <w:t xml:space="preserve"> </w:t>
            </w:r>
            <w:r w:rsidR="00E63B0A" w:rsidRPr="00D20172">
              <w:rPr>
                <w:rFonts w:hint="cs"/>
                <w:rtl/>
                <w:lang w:bidi="ar-SA"/>
              </w:rPr>
              <w:t>الاتصالات الراديوية</w:t>
            </w:r>
            <w:r w:rsidR="003013BC" w:rsidRPr="00D20172">
              <w:rPr>
                <w:rFonts w:hint="cs"/>
                <w:rtl/>
              </w:rPr>
              <w:t xml:space="preserve"> </w:t>
            </w:r>
            <w:r w:rsidR="00E63B0A" w:rsidRPr="00D20172">
              <w:rPr>
                <w:rFonts w:hint="cs"/>
                <w:rtl/>
                <w:lang w:bidi="ar-SA"/>
              </w:rPr>
              <w:t>والفريق الاستشاري للاتصالات الراديوية والأفرقة الأخرى لقطاع الاتصالات الراديوية</w:t>
            </w:r>
            <w:r w:rsidR="00D20172" w:rsidRPr="00D20172">
              <w:rPr>
                <w:lang w:bidi="ar-SA"/>
              </w:rPr>
              <w:t xml:space="preserve"> </w:t>
            </w:r>
            <w:r w:rsidR="006D6BFE">
              <w:rPr>
                <w:rFonts w:hint="cs"/>
                <w:rtl/>
              </w:rPr>
              <w:t>في</w:t>
            </w:r>
            <w:r w:rsidR="00D20172" w:rsidRPr="00D20172">
              <w:rPr>
                <w:rFonts w:hint="cs"/>
                <w:rtl/>
              </w:rPr>
              <w:t xml:space="preserve"> </w:t>
            </w:r>
            <w:r w:rsidR="006D6BFE">
              <w:rPr>
                <w:rFonts w:hint="cs"/>
                <w:rtl/>
              </w:rPr>
              <w:t>ال</w:t>
            </w:r>
            <w:r w:rsidR="00D20172" w:rsidRPr="00D20172">
              <w:rPr>
                <w:rFonts w:hint="cs"/>
                <w:rtl/>
              </w:rPr>
              <w:t>اتحاد</w:t>
            </w:r>
            <w:r w:rsidR="002E31D8">
              <w:rPr>
                <w:rFonts w:hint="cs"/>
                <w:rtl/>
              </w:rPr>
              <w:t xml:space="preserve"> الدولي للاتصالات</w:t>
            </w:r>
          </w:p>
        </w:tc>
      </w:tr>
      <w:tr w:rsidR="0012545F" w14:paraId="65835EDE" w14:textId="77777777" w:rsidTr="00553F66">
        <w:trPr>
          <w:cantSplit/>
        </w:trPr>
        <w:tc>
          <w:tcPr>
            <w:tcW w:w="9672" w:type="dxa"/>
            <w:gridSpan w:val="2"/>
          </w:tcPr>
          <w:p w14:paraId="64993B43" w14:textId="77777777" w:rsidR="0012545F" w:rsidRDefault="0012545F" w:rsidP="0012545F">
            <w:pPr>
              <w:rPr>
                <w:rtl/>
              </w:rPr>
            </w:pPr>
          </w:p>
        </w:tc>
      </w:tr>
    </w:tbl>
    <w:p w14:paraId="4C67066B" w14:textId="2763D092" w:rsidR="00013F5C" w:rsidRDefault="00013F5C" w:rsidP="00013F5C">
      <w:pPr>
        <w:pStyle w:val="Heading1"/>
        <w:rPr>
          <w:rtl/>
        </w:rPr>
      </w:pPr>
      <w:r>
        <w:t>1</w:t>
      </w:r>
      <w:r>
        <w:rPr>
          <w:rtl/>
        </w:rPr>
        <w:tab/>
      </w:r>
      <w:r w:rsidR="003013BC">
        <w:rPr>
          <w:rFonts w:hint="cs"/>
          <w:rtl/>
        </w:rPr>
        <w:t>مقدمة</w:t>
      </w:r>
    </w:p>
    <w:p w14:paraId="4C7536EF" w14:textId="7A2C91F0" w:rsidR="007E549B" w:rsidRPr="007E549B" w:rsidRDefault="007E549B" w:rsidP="007E549B">
      <w:pPr>
        <w:rPr>
          <w:rtl/>
          <w:lang w:bidi="ar"/>
        </w:rPr>
      </w:pPr>
      <w:r w:rsidRPr="007E549B">
        <w:rPr>
          <w:rFonts w:hint="cs"/>
          <w:rtl/>
          <w:lang w:bidi="ar"/>
        </w:rPr>
        <w:t>أدخلت جمعية الاتصالات الراديوية لعام 2019 (</w:t>
      </w:r>
      <w:r w:rsidRPr="007E549B">
        <w:rPr>
          <w:rFonts w:hint="cs"/>
          <w:lang w:val="fr-FR" w:bidi="ar-EG"/>
        </w:rPr>
        <w:t>RA-19</w:t>
      </w:r>
      <w:r w:rsidRPr="007E549B">
        <w:rPr>
          <w:rFonts w:hint="cs"/>
          <w:rtl/>
          <w:lang w:bidi="ar"/>
        </w:rPr>
        <w:t xml:space="preserve">) عدداً من التعديلات والإضافات على القرار </w:t>
      </w:r>
      <w:r w:rsidRPr="007E549B">
        <w:rPr>
          <w:rFonts w:hint="cs"/>
          <w:lang w:val="fr-FR" w:bidi="ar-EG"/>
        </w:rPr>
        <w:t>ITU-R 1-7</w:t>
      </w:r>
      <w:r w:rsidRPr="007E549B">
        <w:rPr>
          <w:rFonts w:hint="cs"/>
          <w:rtl/>
          <w:lang w:bidi="ar"/>
        </w:rPr>
        <w:t xml:space="preserve"> والقرارات الأخرى لقطاع الاتصالات الراديوية في الاتحاد</w:t>
      </w:r>
      <w:r w:rsidR="00110F56">
        <w:rPr>
          <w:rFonts w:hint="cs"/>
          <w:rtl/>
          <w:lang w:bidi="ar"/>
        </w:rPr>
        <w:t xml:space="preserve"> </w:t>
      </w:r>
      <w:r w:rsidR="002E31D8">
        <w:rPr>
          <w:lang w:bidi="ar"/>
        </w:rPr>
        <w:t>(ITU-R)</w:t>
      </w:r>
      <w:r w:rsidR="002E31D8">
        <w:rPr>
          <w:rFonts w:hint="cs"/>
          <w:rtl/>
        </w:rPr>
        <w:t xml:space="preserve"> </w:t>
      </w:r>
      <w:r w:rsidR="005F1D33">
        <w:rPr>
          <w:rFonts w:hint="cs"/>
          <w:rtl/>
          <w:lang w:bidi="ar"/>
        </w:rPr>
        <w:t>فيما يتعلق</w:t>
      </w:r>
      <w:r w:rsidR="00110F56">
        <w:rPr>
          <w:rFonts w:hint="cs"/>
          <w:rtl/>
          <w:lang w:bidi="ar"/>
        </w:rPr>
        <w:t xml:space="preserve"> </w:t>
      </w:r>
      <w:r w:rsidRPr="007E549B">
        <w:rPr>
          <w:rFonts w:hint="cs"/>
          <w:rtl/>
          <w:lang w:bidi="ar"/>
        </w:rPr>
        <w:t>ب</w:t>
      </w:r>
      <w:r w:rsidR="00175281">
        <w:rPr>
          <w:rFonts w:hint="cs"/>
          <w:rtl/>
          <w:lang w:bidi="ar"/>
        </w:rPr>
        <w:t>طرائق</w:t>
      </w:r>
      <w:r w:rsidRPr="007E549B">
        <w:rPr>
          <w:rFonts w:hint="cs"/>
          <w:rtl/>
          <w:lang w:bidi="ar"/>
        </w:rPr>
        <w:t xml:space="preserve"> عمل جمعية الاتصالات الراديوية </w:t>
      </w:r>
      <w:r w:rsidR="00E609BF">
        <w:rPr>
          <w:rFonts w:hint="cs"/>
          <w:rtl/>
          <w:lang w:bidi="ar"/>
        </w:rPr>
        <w:t>و</w:t>
      </w:r>
      <w:r w:rsidRPr="007E549B">
        <w:rPr>
          <w:rFonts w:hint="cs"/>
          <w:rtl/>
          <w:lang w:bidi="ar"/>
        </w:rPr>
        <w:t xml:space="preserve">لجان دراسات </w:t>
      </w:r>
      <w:r w:rsidR="00110F56" w:rsidRPr="007E549B">
        <w:rPr>
          <w:rFonts w:hint="cs"/>
          <w:rtl/>
          <w:lang w:bidi="ar"/>
        </w:rPr>
        <w:t xml:space="preserve">الاتصالات الراديوية </w:t>
      </w:r>
      <w:r w:rsidRPr="007E549B">
        <w:rPr>
          <w:rFonts w:hint="cs"/>
          <w:rtl/>
          <w:lang w:bidi="ar"/>
        </w:rPr>
        <w:t>والأفرقة الأخرى لقطاع الاتصالات الراديوية</w:t>
      </w:r>
      <w:r w:rsidR="008C7BC3">
        <w:rPr>
          <w:rFonts w:hint="cs"/>
          <w:rtl/>
          <w:lang w:bidi="ar"/>
        </w:rPr>
        <w:t>،</w:t>
      </w:r>
      <w:r w:rsidRPr="007E549B">
        <w:rPr>
          <w:rFonts w:hint="cs"/>
          <w:rtl/>
          <w:lang w:bidi="ar"/>
        </w:rPr>
        <w:t xml:space="preserve"> </w:t>
      </w:r>
      <w:r w:rsidR="00E609BF">
        <w:rPr>
          <w:rFonts w:hint="cs"/>
          <w:rtl/>
          <w:lang w:bidi="ar"/>
        </w:rPr>
        <w:t xml:space="preserve">وركزت </w:t>
      </w:r>
      <w:r w:rsidR="005F1D33">
        <w:rPr>
          <w:rFonts w:hint="cs"/>
          <w:rtl/>
          <w:lang w:bidi="ar"/>
        </w:rPr>
        <w:t xml:space="preserve">هذه </w:t>
      </w:r>
      <w:r w:rsidR="008C7BC3" w:rsidRPr="007E549B">
        <w:rPr>
          <w:rFonts w:hint="cs"/>
          <w:rtl/>
          <w:lang w:bidi="ar"/>
        </w:rPr>
        <w:t xml:space="preserve">التعديلات والإضافات </w:t>
      </w:r>
      <w:r w:rsidRPr="007E549B">
        <w:rPr>
          <w:rFonts w:hint="cs"/>
          <w:rtl/>
          <w:lang w:bidi="ar"/>
        </w:rPr>
        <w:t xml:space="preserve">على تحسين </w:t>
      </w:r>
      <w:r w:rsidR="00812F36">
        <w:rPr>
          <w:rFonts w:hint="cs"/>
          <w:rtl/>
          <w:lang w:bidi="ar"/>
        </w:rPr>
        <w:t>أنشطة</w:t>
      </w:r>
      <w:r w:rsidR="00812F36" w:rsidRPr="007E549B">
        <w:rPr>
          <w:rFonts w:hint="cs"/>
          <w:rtl/>
          <w:lang w:bidi="ar"/>
        </w:rPr>
        <w:t xml:space="preserve"> </w:t>
      </w:r>
      <w:r w:rsidRPr="007E549B">
        <w:rPr>
          <w:rFonts w:hint="cs"/>
          <w:rtl/>
          <w:lang w:bidi="ar"/>
        </w:rPr>
        <w:t>القطاع.</w:t>
      </w:r>
    </w:p>
    <w:p w14:paraId="47C951F4" w14:textId="64ECEF7C" w:rsidR="007E549B" w:rsidRPr="007E549B" w:rsidRDefault="002234B2" w:rsidP="00D10A02">
      <w:pPr>
        <w:rPr>
          <w:rtl/>
          <w:lang w:bidi="ar"/>
        </w:rPr>
      </w:pPr>
      <w:r>
        <w:rPr>
          <w:rFonts w:hint="cs"/>
          <w:rtl/>
          <w:lang w:bidi="ar"/>
        </w:rPr>
        <w:t>و</w:t>
      </w:r>
      <w:r w:rsidR="007E549B" w:rsidRPr="007E549B">
        <w:rPr>
          <w:rFonts w:hint="cs"/>
          <w:rtl/>
          <w:lang w:bidi="ar"/>
        </w:rPr>
        <w:t xml:space="preserve">أثناء عمل </w:t>
      </w:r>
      <w:r w:rsidRPr="007E549B">
        <w:rPr>
          <w:rFonts w:hint="cs"/>
          <w:rtl/>
          <w:lang w:bidi="ar"/>
        </w:rPr>
        <w:t>جمعية الاتصالات الراديوية لعام 2019</w:t>
      </w:r>
      <w:r w:rsidR="007E549B" w:rsidRPr="007E549B">
        <w:rPr>
          <w:rFonts w:hint="cs"/>
          <w:rtl/>
          <w:lang w:bidi="ar"/>
        </w:rPr>
        <w:t xml:space="preserve">، </w:t>
      </w:r>
      <w:r>
        <w:rPr>
          <w:rFonts w:hint="cs"/>
          <w:rtl/>
          <w:lang w:bidi="ar"/>
        </w:rPr>
        <w:t>حُدّد</w:t>
      </w:r>
      <w:r w:rsidR="007E549B" w:rsidRPr="007E549B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 xml:space="preserve">بالفعل </w:t>
      </w:r>
      <w:r w:rsidR="007E549B" w:rsidRPr="007E549B">
        <w:rPr>
          <w:rFonts w:hint="cs"/>
          <w:rtl/>
          <w:lang w:bidi="ar"/>
        </w:rPr>
        <w:t xml:space="preserve">أحد أوجه عدم اليقين المحتملة </w:t>
      </w:r>
      <w:r w:rsidR="005F1D33">
        <w:rPr>
          <w:rFonts w:hint="cs"/>
          <w:rtl/>
          <w:lang w:bidi="ar"/>
        </w:rPr>
        <w:t>و</w:t>
      </w:r>
      <w:r w:rsidR="007E549B" w:rsidRPr="007E549B">
        <w:rPr>
          <w:rFonts w:hint="cs"/>
          <w:rtl/>
          <w:lang w:bidi="ar"/>
        </w:rPr>
        <w:t xml:space="preserve">الموجودة في القرار </w:t>
      </w:r>
      <w:r w:rsidR="007E549B" w:rsidRPr="007E549B">
        <w:rPr>
          <w:rFonts w:hint="cs"/>
          <w:lang w:val="fr-FR" w:bidi="ar-EG"/>
        </w:rPr>
        <w:t>ITU-R 1</w:t>
      </w:r>
      <w:r w:rsidR="007E549B" w:rsidRPr="007E549B">
        <w:rPr>
          <w:rFonts w:hint="cs"/>
          <w:rtl/>
          <w:lang w:bidi="ar"/>
        </w:rPr>
        <w:t xml:space="preserve"> فيما يتعلق بالحالة المحددة للنظر في مشاريع توصيات قطاع الاتصالات الراديوية الجديدة والمراجعة، </w:t>
      </w:r>
      <w:r w:rsidR="00D10A02">
        <w:rPr>
          <w:rFonts w:hint="cs"/>
          <w:rtl/>
          <w:lang w:bidi="ar"/>
        </w:rPr>
        <w:t>وخاصةً</w:t>
      </w:r>
      <w:r w:rsidR="007E549B" w:rsidRPr="007E549B">
        <w:rPr>
          <w:rFonts w:hint="cs"/>
          <w:rtl/>
          <w:lang w:bidi="ar"/>
        </w:rPr>
        <w:t xml:space="preserve"> عند استخدام </w:t>
      </w:r>
      <w:r w:rsidRPr="007E549B">
        <w:rPr>
          <w:rFonts w:hint="cs"/>
          <w:rtl/>
          <w:lang w:bidi="ar"/>
        </w:rPr>
        <w:t xml:space="preserve">لجنة الدراسات </w:t>
      </w:r>
      <w:r w:rsidR="00AE3FDA">
        <w:rPr>
          <w:rFonts w:hint="cs"/>
          <w:rtl/>
          <w:lang w:bidi="ar"/>
        </w:rPr>
        <w:t>للإجراء المتمثل في</w:t>
      </w:r>
      <w:r>
        <w:rPr>
          <w:rFonts w:hint="cs"/>
          <w:rtl/>
          <w:lang w:bidi="ar"/>
        </w:rPr>
        <w:t xml:space="preserve"> </w:t>
      </w:r>
      <w:r w:rsidR="007E549B" w:rsidRPr="007E549B">
        <w:rPr>
          <w:rFonts w:hint="cs"/>
          <w:rtl/>
          <w:lang w:bidi="ar"/>
        </w:rPr>
        <w:t xml:space="preserve">اعتماد التوصيات </w:t>
      </w:r>
      <w:r w:rsidR="00D10A02">
        <w:rPr>
          <w:rFonts w:hint="cs"/>
          <w:rtl/>
          <w:lang w:bidi="ar"/>
        </w:rPr>
        <w:t>ب</w:t>
      </w:r>
      <w:r w:rsidR="007E549B" w:rsidRPr="007E549B">
        <w:rPr>
          <w:rFonts w:hint="cs"/>
          <w:rtl/>
          <w:lang w:bidi="ar"/>
        </w:rPr>
        <w:t>المراسلة (الفقر</w:t>
      </w:r>
      <w:r>
        <w:rPr>
          <w:rFonts w:hint="cs"/>
          <w:rtl/>
          <w:lang w:bidi="ar"/>
        </w:rPr>
        <w:t>ة</w:t>
      </w:r>
      <w:r w:rsidR="00D06A98">
        <w:rPr>
          <w:rFonts w:hint="cs"/>
          <w:rtl/>
          <w:lang w:bidi="ar"/>
        </w:rPr>
        <w:t xml:space="preserve"> </w:t>
      </w:r>
      <w:r w:rsidR="00D06A98">
        <w:rPr>
          <w:lang w:bidi="ar"/>
        </w:rPr>
        <w:t>3.2.2.6.A2</w:t>
      </w:r>
      <w:r w:rsidR="00D06A98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 xml:space="preserve">من </w:t>
      </w:r>
      <w:r w:rsidR="007E549B" w:rsidRPr="007E549B">
        <w:rPr>
          <w:rFonts w:hint="cs"/>
          <w:rtl/>
          <w:lang w:bidi="ar"/>
        </w:rPr>
        <w:t xml:space="preserve">القرار </w:t>
      </w:r>
      <w:r w:rsidR="007E549B" w:rsidRPr="007E549B">
        <w:rPr>
          <w:rFonts w:hint="cs"/>
          <w:lang w:val="fr-FR" w:bidi="ar-EG"/>
        </w:rPr>
        <w:t>ITU-R 1-7</w:t>
      </w:r>
      <w:r w:rsidR="007E549B" w:rsidRPr="007E549B">
        <w:rPr>
          <w:rFonts w:hint="cs"/>
          <w:rtl/>
          <w:lang w:bidi="ar"/>
        </w:rPr>
        <w:t xml:space="preserve">)، </w:t>
      </w:r>
      <w:r w:rsidR="00D10A02">
        <w:rPr>
          <w:rFonts w:hint="cs"/>
          <w:rtl/>
          <w:lang w:bidi="ar"/>
        </w:rPr>
        <w:t xml:space="preserve">أو </w:t>
      </w:r>
      <w:r w:rsidR="007E549B" w:rsidRPr="007E549B">
        <w:rPr>
          <w:rFonts w:hint="cs"/>
          <w:rtl/>
          <w:lang w:bidi="ar"/>
        </w:rPr>
        <w:t>عندما تكون توصية قطاع الاتصالات الراديوية ذات صلة بموضوعات لجان دراسات متعددة و</w:t>
      </w:r>
      <w:r w:rsidR="009D07AC">
        <w:rPr>
          <w:rFonts w:hint="cs"/>
          <w:rtl/>
          <w:lang w:bidi="ar"/>
        </w:rPr>
        <w:t>تكون</w:t>
      </w:r>
      <w:r w:rsidR="007C36BC">
        <w:rPr>
          <w:rFonts w:hint="cs"/>
          <w:rtl/>
          <w:lang w:bidi="ar"/>
        </w:rPr>
        <w:t xml:space="preserve"> </w:t>
      </w:r>
      <w:r w:rsidR="007E549B" w:rsidRPr="007E549B">
        <w:rPr>
          <w:rFonts w:hint="cs"/>
          <w:rtl/>
          <w:lang w:bidi="ar"/>
        </w:rPr>
        <w:t>اللجان المعنية بحاجة إلى تنسيق عملها تبعاً</w:t>
      </w:r>
      <w:r w:rsidR="0075474C">
        <w:rPr>
          <w:rFonts w:hint="eastAsia"/>
          <w:rtl/>
          <w:lang w:bidi="ar"/>
        </w:rPr>
        <w:t> </w:t>
      </w:r>
      <w:r w:rsidR="007E549B" w:rsidRPr="007E549B">
        <w:rPr>
          <w:rFonts w:hint="cs"/>
          <w:rtl/>
          <w:lang w:bidi="ar"/>
        </w:rPr>
        <w:t>لذلك.</w:t>
      </w:r>
    </w:p>
    <w:p w14:paraId="009C06E7" w14:textId="63BA4C68" w:rsidR="009D07AC" w:rsidRDefault="009D07AC" w:rsidP="009D07AC">
      <w:pPr>
        <w:rPr>
          <w:rtl/>
          <w:lang w:bidi="ar-EG"/>
        </w:rPr>
      </w:pPr>
      <w:r>
        <w:rPr>
          <w:rFonts w:hint="cs"/>
          <w:rtl/>
          <w:lang w:bidi="ar"/>
        </w:rPr>
        <w:t>و</w:t>
      </w:r>
      <w:r w:rsidR="007E549B" w:rsidRPr="007E549B">
        <w:rPr>
          <w:rFonts w:hint="cs"/>
          <w:rtl/>
          <w:lang w:bidi="ar"/>
        </w:rPr>
        <w:t>بعد مناقشة هذ</w:t>
      </w:r>
      <w:r w:rsidR="007570D8">
        <w:rPr>
          <w:rFonts w:hint="cs"/>
          <w:rtl/>
          <w:lang w:bidi="ar"/>
        </w:rPr>
        <w:t>ه</w:t>
      </w:r>
      <w:r w:rsidR="007E549B" w:rsidRPr="007E549B">
        <w:rPr>
          <w:rFonts w:hint="cs"/>
          <w:rtl/>
          <w:lang w:bidi="ar"/>
        </w:rPr>
        <w:t xml:space="preserve"> ال</w:t>
      </w:r>
      <w:r>
        <w:rPr>
          <w:rFonts w:hint="cs"/>
          <w:rtl/>
          <w:lang w:bidi="ar"/>
        </w:rPr>
        <w:t xml:space="preserve">مسألة </w:t>
      </w:r>
      <w:r w:rsidR="007E549B" w:rsidRPr="007E549B">
        <w:rPr>
          <w:rFonts w:hint="cs"/>
          <w:rtl/>
          <w:lang w:bidi="ar"/>
        </w:rPr>
        <w:t xml:space="preserve">وعدد من </w:t>
      </w:r>
      <w:r>
        <w:rPr>
          <w:rFonts w:hint="cs"/>
          <w:rtl/>
          <w:lang w:bidi="ar"/>
        </w:rPr>
        <w:t>المسائل</w:t>
      </w:r>
      <w:r w:rsidR="007E549B" w:rsidRPr="007E549B">
        <w:rPr>
          <w:rFonts w:hint="cs"/>
          <w:rtl/>
          <w:lang w:bidi="ar"/>
        </w:rPr>
        <w:t xml:space="preserve"> الأخرى المتعلقة ب</w:t>
      </w:r>
      <w:r>
        <w:rPr>
          <w:rFonts w:hint="cs"/>
          <w:rtl/>
          <w:lang w:bidi="ar"/>
        </w:rPr>
        <w:t>طرائق</w:t>
      </w:r>
      <w:r w:rsidR="007E549B" w:rsidRPr="007E549B">
        <w:rPr>
          <w:rFonts w:hint="cs"/>
          <w:rtl/>
          <w:lang w:bidi="ar"/>
        </w:rPr>
        <w:t xml:space="preserve"> عمل جمعية الاتصالات الراديوية ولجان الدراسات والأفرقة الأخرى </w:t>
      </w:r>
      <w:r w:rsidR="0086352B">
        <w:rPr>
          <w:rFonts w:hint="cs"/>
          <w:rtl/>
          <w:lang w:bidi="ar"/>
        </w:rPr>
        <w:t xml:space="preserve">التابعة </w:t>
      </w:r>
      <w:r w:rsidR="007E549B" w:rsidRPr="007E549B">
        <w:rPr>
          <w:rFonts w:hint="cs"/>
          <w:rtl/>
          <w:lang w:bidi="ar"/>
        </w:rPr>
        <w:t xml:space="preserve">لقطاع الاتصالات </w:t>
      </w:r>
      <w:r w:rsidRPr="007E549B">
        <w:rPr>
          <w:rFonts w:hint="cs"/>
          <w:rtl/>
          <w:lang w:bidi="ar"/>
        </w:rPr>
        <w:t>الراديوية،</w:t>
      </w:r>
      <w:r w:rsidR="007E549B" w:rsidRPr="007E549B">
        <w:rPr>
          <w:rFonts w:hint="cs"/>
          <w:rtl/>
          <w:lang w:bidi="ar"/>
        </w:rPr>
        <w:t xml:space="preserve"> أصدر</w:t>
      </w:r>
      <w:r>
        <w:rPr>
          <w:rFonts w:hint="cs"/>
          <w:rtl/>
          <w:lang w:bidi="ar"/>
        </w:rPr>
        <w:t>ت</w:t>
      </w:r>
      <w:r w:rsidR="007E549B" w:rsidRPr="007E549B">
        <w:rPr>
          <w:rFonts w:hint="cs"/>
          <w:rtl/>
          <w:lang w:bidi="ar"/>
        </w:rPr>
        <w:t xml:space="preserve"> </w:t>
      </w:r>
      <w:r w:rsidRPr="007E549B">
        <w:rPr>
          <w:rFonts w:hint="cs"/>
          <w:rtl/>
          <w:lang w:bidi="ar"/>
        </w:rPr>
        <w:t xml:space="preserve">جمعية الاتصالات الراديوية لعام 2019 </w:t>
      </w:r>
      <w:r w:rsidR="00812F36">
        <w:rPr>
          <w:rFonts w:hint="cs"/>
          <w:rtl/>
          <w:lang w:bidi="ar"/>
        </w:rPr>
        <w:t>التكليفات</w:t>
      </w:r>
      <w:r w:rsidR="00812F36" w:rsidRPr="007E549B">
        <w:rPr>
          <w:rFonts w:hint="cs"/>
          <w:rtl/>
          <w:lang w:bidi="ar"/>
        </w:rPr>
        <w:t xml:space="preserve"> </w:t>
      </w:r>
      <w:r w:rsidRPr="007E549B">
        <w:rPr>
          <w:rFonts w:hint="cs"/>
          <w:rtl/>
          <w:lang w:bidi="ar"/>
        </w:rPr>
        <w:t xml:space="preserve">التالية </w:t>
      </w:r>
      <w:r w:rsidR="007E549B" w:rsidRPr="007E549B">
        <w:rPr>
          <w:rFonts w:hint="cs"/>
          <w:rtl/>
          <w:lang w:bidi="ar"/>
        </w:rPr>
        <w:t xml:space="preserve">إلى الفريق الاستشاري للاتصالات الراديوية </w:t>
      </w:r>
      <w:r>
        <w:rPr>
          <w:rFonts w:hint="cs"/>
          <w:rtl/>
          <w:lang w:bidi="ar-EG"/>
        </w:rPr>
        <w:t xml:space="preserve">(انظر الوثيقة </w:t>
      </w:r>
      <w:hyperlink r:id="rId13" w:history="1">
        <w:r w:rsidRPr="0066795E">
          <w:rPr>
            <w:rStyle w:val="Hyperlink"/>
          </w:rPr>
          <w:t>RA19/PLEN/84</w:t>
        </w:r>
      </w:hyperlink>
      <w:r>
        <w:rPr>
          <w:rFonts w:hint="cs"/>
          <w:rtl/>
          <w:lang w:bidi="ar-EG"/>
        </w:rPr>
        <w:t>):</w:t>
      </w:r>
    </w:p>
    <w:p w14:paraId="2FBB6415" w14:textId="46881D3D" w:rsidR="001A1D47" w:rsidRPr="003A41CC" w:rsidRDefault="001A1D47" w:rsidP="001A1D47">
      <w:pPr>
        <w:pStyle w:val="enumlev1"/>
        <w:rPr>
          <w:rtl/>
          <w:lang w:val="es-ES" w:bidi="ar-EG"/>
        </w:rPr>
      </w:pPr>
      <w:r>
        <w:rPr>
          <w:rtl/>
          <w:lang w:bidi="ar-EG"/>
        </w:rPr>
        <w:tab/>
      </w:r>
      <w:r w:rsidR="00013F5C">
        <w:rPr>
          <w:rFonts w:hint="cs"/>
          <w:rtl/>
          <w:lang w:bidi="ar-EG"/>
        </w:rPr>
        <w:t>"</w:t>
      </w:r>
      <w:r w:rsidRPr="003A41CC">
        <w:rPr>
          <w:rFonts w:hint="cs"/>
          <w:rtl/>
          <w:lang w:val="es-ES" w:bidi="ar-EG"/>
        </w:rPr>
        <w:t xml:space="preserve">تكلف جمعية الاتصالات الراديوية لعام </w:t>
      </w:r>
      <w:r w:rsidRPr="003A41CC">
        <w:rPr>
          <w:lang w:bidi="ar-EG"/>
        </w:rPr>
        <w:t>2019</w:t>
      </w:r>
      <w:r w:rsidRPr="003A41CC">
        <w:rPr>
          <w:rFonts w:hint="cs"/>
          <w:rtl/>
          <w:lang w:val="es-ES" w:bidi="ar-EG"/>
        </w:rPr>
        <w:t xml:space="preserve"> الفريق الاستشاري للاتصالات الراديوية </w:t>
      </w:r>
      <w:r w:rsidRPr="003A41CC">
        <w:rPr>
          <w:lang w:bidi="ar-EG"/>
        </w:rPr>
        <w:t>(RAG)</w:t>
      </w:r>
      <w:r w:rsidRPr="003A41CC">
        <w:rPr>
          <w:rFonts w:hint="cs"/>
          <w:rtl/>
          <w:lang w:val="es-ES" w:bidi="ar-EG"/>
        </w:rPr>
        <w:t xml:space="preserve">، استناداً إلى المقترحات المقدمة من </w:t>
      </w:r>
      <w:r>
        <w:rPr>
          <w:rFonts w:hint="cs"/>
          <w:rtl/>
          <w:lang w:val="es-ES" w:bidi="ar-EG"/>
        </w:rPr>
        <w:t xml:space="preserve">الدول الأعضاء وأعضاء القطاعات </w:t>
      </w:r>
      <w:r w:rsidRPr="003A41CC">
        <w:rPr>
          <w:rFonts w:hint="cs"/>
          <w:rtl/>
          <w:lang w:val="es-ES" w:bidi="ar-EG"/>
        </w:rPr>
        <w:t>وبالتشاور مع رؤساء لجان الدراسات، باستعراض المدة القصوى لتولي رؤساء فرق عمل الاتصالات الراديوية</w:t>
      </w:r>
      <w:r w:rsidR="00812F36">
        <w:rPr>
          <w:rFonts w:hint="cs"/>
          <w:rtl/>
          <w:lang w:val="es-ES" w:bidi="ar-EG"/>
        </w:rPr>
        <w:t xml:space="preserve"> مناصبهم</w:t>
      </w:r>
      <w:r w:rsidRPr="003A41CC">
        <w:rPr>
          <w:rFonts w:hint="cs"/>
          <w:rtl/>
          <w:lang w:val="es-ES" w:bidi="ar-EG"/>
        </w:rPr>
        <w:t xml:space="preserve"> ورفع تقرير بنتائج هذا الاستعراض إلى جمعية الاتصالات الراديوية لعام </w:t>
      </w:r>
      <w:r w:rsidRPr="003A41CC">
        <w:rPr>
          <w:lang w:bidi="ar-EG"/>
        </w:rPr>
        <w:t>2023</w:t>
      </w:r>
      <w:r w:rsidRPr="003A41CC">
        <w:rPr>
          <w:rFonts w:hint="cs"/>
          <w:rtl/>
          <w:lang w:val="es-ES" w:bidi="ar-EG"/>
        </w:rPr>
        <w:t>.</w:t>
      </w:r>
      <w:r w:rsidR="00812F36">
        <w:rPr>
          <w:rFonts w:hint="cs"/>
          <w:rtl/>
          <w:lang w:val="es-ES" w:bidi="ar-EG"/>
        </w:rPr>
        <w:t>"</w:t>
      </w:r>
    </w:p>
    <w:p w14:paraId="27F14156" w14:textId="6ED67AEF" w:rsidR="00013F5C" w:rsidRDefault="001A1D47" w:rsidP="001A1D47">
      <w:pPr>
        <w:pStyle w:val="enumlev1"/>
        <w:rPr>
          <w:rtl/>
          <w:lang w:bidi="ar-EG"/>
        </w:rPr>
      </w:pPr>
      <w:r>
        <w:rPr>
          <w:rtl/>
          <w:lang w:val="es-ES" w:bidi="ar-EG"/>
        </w:rPr>
        <w:tab/>
      </w:r>
      <w:r w:rsidR="00812F36">
        <w:rPr>
          <w:rFonts w:hint="cs"/>
          <w:rtl/>
          <w:lang w:val="es-ES" w:bidi="ar-EG"/>
        </w:rPr>
        <w:t>"</w:t>
      </w:r>
      <w:r w:rsidRPr="003A41CC">
        <w:rPr>
          <w:rFonts w:hint="cs"/>
          <w:rtl/>
          <w:lang w:val="es-ES" w:bidi="ar-EG"/>
        </w:rPr>
        <w:t xml:space="preserve">كما تكلف جمعية الاتصالات الراديوية لعام </w:t>
      </w:r>
      <w:r w:rsidRPr="003A41CC">
        <w:rPr>
          <w:lang w:bidi="ar-EG"/>
        </w:rPr>
        <w:t>2019</w:t>
      </w:r>
      <w:r w:rsidRPr="003A41CC">
        <w:rPr>
          <w:rFonts w:hint="cs"/>
          <w:rtl/>
          <w:lang w:val="es-ES" w:bidi="ar-EG"/>
        </w:rPr>
        <w:t xml:space="preserve"> الفريق الاستشاري للاتصالات الراديوية</w:t>
      </w:r>
      <w:r>
        <w:rPr>
          <w:rFonts w:hint="eastAsia"/>
          <w:rtl/>
          <w:lang w:val="es-ES" w:bidi="ar-EG"/>
        </w:rPr>
        <w:t> </w:t>
      </w:r>
      <w:r w:rsidRPr="003A41CC">
        <w:rPr>
          <w:lang w:bidi="ar-EG"/>
        </w:rPr>
        <w:t>(RAG)</w:t>
      </w:r>
      <w:r w:rsidRPr="003A41CC">
        <w:rPr>
          <w:rFonts w:hint="cs"/>
          <w:rtl/>
          <w:lang w:val="es-ES" w:bidi="ar-EG"/>
        </w:rPr>
        <w:t xml:space="preserve">، استناداً إلى المقترحات المقدمة من </w:t>
      </w:r>
      <w:r>
        <w:rPr>
          <w:rFonts w:hint="cs"/>
          <w:rtl/>
          <w:lang w:val="es-ES" w:bidi="ar-EG"/>
        </w:rPr>
        <w:t>الدول الأعضاء وأعضاء القطاعات</w:t>
      </w:r>
      <w:r w:rsidRPr="003A41CC">
        <w:rPr>
          <w:rFonts w:hint="cs"/>
          <w:rtl/>
          <w:lang w:val="es-ES" w:bidi="ar-EG"/>
        </w:rPr>
        <w:t xml:space="preserve"> وبالتشاور مع رؤساء لجان الدراسات، بالنظر في مدى الحاجة إلى مراجعة القرار </w:t>
      </w:r>
      <w:r w:rsidRPr="003A41CC">
        <w:rPr>
          <w:lang w:bidi="ar-EG"/>
        </w:rPr>
        <w:t>ITU</w:t>
      </w:r>
      <w:r w:rsidRPr="003A41CC">
        <w:rPr>
          <w:lang w:bidi="ar-EG"/>
        </w:rPr>
        <w:noBreakHyphen/>
        <w:t>R 1</w:t>
      </w:r>
      <w:r w:rsidRPr="003A41CC">
        <w:rPr>
          <w:rFonts w:hint="cs"/>
          <w:rtl/>
          <w:lang w:val="es-ES" w:bidi="ar-EG"/>
        </w:rPr>
        <w:t>، بما في ذلك إضافة أحكام بشأن تدريب رؤساء ونواب رؤساء لجان الدراسات المنتخبين حديثاً.</w:t>
      </w:r>
      <w:r>
        <w:rPr>
          <w:rFonts w:hint="cs"/>
          <w:rtl/>
          <w:lang w:val="es-ES" w:bidi="ar-EG"/>
        </w:rPr>
        <w:t>"</w:t>
      </w:r>
    </w:p>
    <w:p w14:paraId="7D4EB7E8" w14:textId="1FC78479" w:rsidR="00013F5C" w:rsidRDefault="001A1D47" w:rsidP="001926C8">
      <w:pPr>
        <w:pStyle w:val="enumlev1"/>
        <w:rPr>
          <w:rtl/>
          <w:lang w:bidi="ar-EG"/>
        </w:rPr>
      </w:pPr>
      <w:r>
        <w:rPr>
          <w:lang w:bidi="ar-EG"/>
        </w:rPr>
        <w:tab/>
      </w:r>
      <w:r w:rsidR="001926C8">
        <w:rPr>
          <w:rFonts w:hint="cs"/>
          <w:rtl/>
          <w:lang w:bidi="ar-EG"/>
        </w:rPr>
        <w:t>"</w:t>
      </w:r>
      <w:r w:rsidR="001926C8" w:rsidRPr="001926C8">
        <w:rPr>
          <w:rFonts w:hint="cs"/>
          <w:rtl/>
          <w:lang w:bidi="ar-EG"/>
        </w:rPr>
        <w:t>ودعت جمعية الاتصالات الراديوية الفريق الاستشاري للاتصالات الراديوية إلى تحديد التعديلات الممكنة للقرار</w:t>
      </w:r>
      <w:r w:rsidR="00B60278">
        <w:rPr>
          <w:rFonts w:hint="eastAsia"/>
          <w:rtl/>
          <w:lang w:bidi="ar-EG"/>
        </w:rPr>
        <w:t> </w:t>
      </w:r>
      <w:r w:rsidR="001926C8" w:rsidRPr="001926C8">
        <w:rPr>
          <w:lang w:bidi="ar-EG"/>
        </w:rPr>
        <w:t>ITU-R 1</w:t>
      </w:r>
      <w:r w:rsidR="001926C8" w:rsidRPr="001926C8">
        <w:rPr>
          <w:rFonts w:hint="cs"/>
          <w:rtl/>
        </w:rPr>
        <w:t xml:space="preserve"> فيما</w:t>
      </w:r>
      <w:r w:rsidR="001926C8" w:rsidRPr="001926C8">
        <w:rPr>
          <w:rFonts w:hint="eastAsia"/>
          <w:rtl/>
        </w:rPr>
        <w:t> </w:t>
      </w:r>
      <w:r w:rsidR="001926C8" w:rsidRPr="001926C8">
        <w:rPr>
          <w:rFonts w:hint="cs"/>
          <w:rtl/>
        </w:rPr>
        <w:t>يتعلق بإجراءات الموافقة في حال اتصال النص قيد النظر بمواضيع تُعنى بها لجان دراسات متعددة. ووافقت الجمعية أيضاً على ضرورة تعميم أي اعتراضات ترد أثناء عملية</w:t>
      </w:r>
      <w:r w:rsidR="001926C8" w:rsidRPr="001926C8">
        <w:rPr>
          <w:rFonts w:hint="eastAsia"/>
          <w:rtl/>
        </w:rPr>
        <w:t> </w:t>
      </w:r>
      <w:r w:rsidR="001926C8" w:rsidRPr="001926C8">
        <w:rPr>
          <w:rFonts w:hint="cs"/>
          <w:rtl/>
        </w:rPr>
        <w:t>الموافقة.</w:t>
      </w:r>
      <w:r w:rsidR="001926C8">
        <w:rPr>
          <w:rFonts w:hint="cs"/>
          <w:rtl/>
        </w:rPr>
        <w:t>"</w:t>
      </w:r>
    </w:p>
    <w:p w14:paraId="2D77F2B9" w14:textId="41B2BE26" w:rsidR="001926C8" w:rsidRDefault="001926C8" w:rsidP="001926C8">
      <w:pPr>
        <w:pStyle w:val="Heading1"/>
        <w:rPr>
          <w:rtl/>
        </w:rPr>
      </w:pPr>
      <w:r>
        <w:t>2</w:t>
      </w:r>
      <w:r>
        <w:rPr>
          <w:rtl/>
        </w:rPr>
        <w:tab/>
      </w:r>
      <w:r w:rsidR="003013BC">
        <w:rPr>
          <w:rFonts w:hint="cs"/>
          <w:rtl/>
        </w:rPr>
        <w:t>المقترحات</w:t>
      </w:r>
    </w:p>
    <w:p w14:paraId="7D6E7BE0" w14:textId="33D988DE" w:rsidR="00013F5C" w:rsidRDefault="00B7669C" w:rsidP="008614B8">
      <w:pPr>
        <w:rPr>
          <w:rtl/>
          <w:lang w:bidi="ar-EG"/>
        </w:rPr>
      </w:pPr>
      <w:r>
        <w:rPr>
          <w:rFonts w:hint="cs"/>
          <w:rtl/>
          <w:lang w:bidi="ar-EG"/>
        </w:rPr>
        <w:t>يقدم</w:t>
      </w:r>
      <w:r w:rsidRPr="00380E7A">
        <w:rPr>
          <w:rFonts w:hint="cs"/>
          <w:rtl/>
          <w:lang w:bidi="ar-EG"/>
        </w:rPr>
        <w:t xml:space="preserve"> </w:t>
      </w:r>
      <w:r w:rsidR="00D34774" w:rsidRPr="00380E7A">
        <w:rPr>
          <w:rFonts w:hint="cs"/>
          <w:rtl/>
          <w:lang w:bidi="ar-EG"/>
        </w:rPr>
        <w:t xml:space="preserve">الاتحاد الروسي مقترحات أولية </w:t>
      </w:r>
      <w:r w:rsidR="00380E7A" w:rsidRPr="00380E7A">
        <w:rPr>
          <w:rFonts w:hint="cs"/>
          <w:rtl/>
          <w:lang w:bidi="ar-EG"/>
        </w:rPr>
        <w:t xml:space="preserve">إلى </w:t>
      </w:r>
      <w:r w:rsidR="00D34774" w:rsidRPr="00380E7A">
        <w:rPr>
          <w:rFonts w:hint="cs"/>
          <w:rtl/>
          <w:lang w:bidi="ar-EG"/>
        </w:rPr>
        <w:t xml:space="preserve">أعضاء الفريق الاستشاري للاتصالات الراديوية </w:t>
      </w:r>
      <w:r w:rsidR="00380E7A" w:rsidRPr="00380E7A">
        <w:rPr>
          <w:rFonts w:hint="cs"/>
          <w:rtl/>
          <w:lang w:bidi="ar-EG"/>
        </w:rPr>
        <w:t xml:space="preserve">للمناقشة، الهدف منها </w:t>
      </w:r>
      <w:r w:rsidR="00D34774" w:rsidRPr="00380E7A">
        <w:rPr>
          <w:rFonts w:hint="cs"/>
          <w:rtl/>
          <w:lang w:bidi="ar-EG"/>
        </w:rPr>
        <w:t xml:space="preserve">تنفيذ </w:t>
      </w:r>
      <w:r w:rsidR="004F3374" w:rsidRPr="00380E7A">
        <w:rPr>
          <w:rFonts w:hint="cs"/>
          <w:rtl/>
          <w:lang w:bidi="ar-EG"/>
        </w:rPr>
        <w:t>م</w:t>
      </w:r>
      <w:r w:rsidR="00D34774" w:rsidRPr="00380E7A">
        <w:rPr>
          <w:rFonts w:hint="cs"/>
          <w:rtl/>
          <w:lang w:bidi="ar-EG"/>
        </w:rPr>
        <w:t xml:space="preserve">قررات جمعية الاتصالات الراديوية لعام </w:t>
      </w:r>
      <w:r w:rsidR="00D34774" w:rsidRPr="00380E7A">
        <w:rPr>
          <w:lang w:bidi="ar-EG"/>
        </w:rPr>
        <w:t>2019</w:t>
      </w:r>
      <w:r w:rsidR="00735296" w:rsidRPr="00380E7A">
        <w:rPr>
          <w:rFonts w:hint="cs"/>
          <w:rtl/>
          <w:lang w:bidi="ar-EG"/>
        </w:rPr>
        <w:t>.</w:t>
      </w:r>
    </w:p>
    <w:p w14:paraId="301EC9C6" w14:textId="0D493F17" w:rsidR="001926C8" w:rsidRDefault="005D7460" w:rsidP="005D7460">
      <w:pPr>
        <w:pStyle w:val="Heading2"/>
        <w:rPr>
          <w:rtl/>
        </w:rPr>
      </w:pPr>
      <w:r w:rsidRPr="00137F4E">
        <w:lastRenderedPageBreak/>
        <w:t>1.</w:t>
      </w:r>
      <w:r w:rsidR="001926C8" w:rsidRPr="00137F4E">
        <w:t>2</w:t>
      </w:r>
      <w:r w:rsidR="001926C8" w:rsidRPr="00137F4E">
        <w:rPr>
          <w:rtl/>
        </w:rPr>
        <w:tab/>
      </w:r>
      <w:r w:rsidR="003013BC" w:rsidRPr="00137F4E">
        <w:rPr>
          <w:rFonts w:hint="cs"/>
          <w:rtl/>
        </w:rPr>
        <w:t>مقترحات</w:t>
      </w:r>
      <w:r w:rsidR="00B7669C">
        <w:rPr>
          <w:rFonts w:hint="cs"/>
          <w:rtl/>
        </w:rPr>
        <w:t xml:space="preserve"> </w:t>
      </w:r>
      <w:r w:rsidR="003013BC" w:rsidRPr="00137F4E">
        <w:rPr>
          <w:rFonts w:hint="cs"/>
          <w:rtl/>
        </w:rPr>
        <w:t xml:space="preserve">أولية </w:t>
      </w:r>
      <w:r w:rsidR="00B7669C">
        <w:rPr>
          <w:rFonts w:hint="cs"/>
          <w:rtl/>
        </w:rPr>
        <w:t>من أجل</w:t>
      </w:r>
      <w:r w:rsidR="00B7669C" w:rsidRPr="00137F4E">
        <w:rPr>
          <w:rFonts w:hint="cs"/>
          <w:rtl/>
        </w:rPr>
        <w:t xml:space="preserve"> </w:t>
      </w:r>
      <w:r w:rsidR="003013BC" w:rsidRPr="00137F4E">
        <w:rPr>
          <w:rFonts w:hint="cs"/>
          <w:rtl/>
        </w:rPr>
        <w:t xml:space="preserve">إمكانية توضيح أحكام القرار </w:t>
      </w:r>
      <w:r w:rsidR="003013BC" w:rsidRPr="00137F4E">
        <w:t>ITU-R 1-8</w:t>
      </w:r>
      <w:r w:rsidR="003013BC" w:rsidRPr="00137F4E">
        <w:rPr>
          <w:rFonts w:hint="cs"/>
          <w:rtl/>
        </w:rPr>
        <w:t xml:space="preserve"> فيما يتعلق بإجراءات اعتماد </w:t>
      </w:r>
      <w:r w:rsidR="004F3374" w:rsidRPr="00137F4E">
        <w:rPr>
          <w:rFonts w:hint="cs"/>
          <w:rtl/>
        </w:rPr>
        <w:t xml:space="preserve">توصيات قطاع الاتصالات الراديوية </w:t>
      </w:r>
      <w:r w:rsidR="003013BC" w:rsidRPr="00137F4E">
        <w:rPr>
          <w:rFonts w:hint="cs"/>
          <w:rtl/>
        </w:rPr>
        <w:t xml:space="preserve">والموافقة </w:t>
      </w:r>
      <w:r w:rsidR="004F3374" w:rsidRPr="00137F4E">
        <w:rPr>
          <w:rFonts w:hint="cs"/>
          <w:rtl/>
        </w:rPr>
        <w:t xml:space="preserve">عليها </w:t>
      </w:r>
      <w:r w:rsidR="006906E7">
        <w:rPr>
          <w:rFonts w:hint="cs"/>
          <w:rtl/>
        </w:rPr>
        <w:t>ب</w:t>
      </w:r>
      <w:r w:rsidR="004C6C4F" w:rsidRPr="00137F4E">
        <w:rPr>
          <w:rFonts w:hint="cs"/>
          <w:rtl/>
        </w:rPr>
        <w:t>المراسلة</w:t>
      </w:r>
    </w:p>
    <w:p w14:paraId="14751D93" w14:textId="32B9A96D" w:rsidR="00137F4E" w:rsidRPr="004448DF" w:rsidRDefault="00A720E4" w:rsidP="00A720E4">
      <w:pPr>
        <w:rPr>
          <w:rFonts w:hint="cs"/>
          <w:rtl/>
          <w:lang w:bidi="ar-EG"/>
        </w:rPr>
      </w:pPr>
      <w:r w:rsidRPr="004448DF">
        <w:rPr>
          <w:rFonts w:hint="cs"/>
          <w:rtl/>
          <w:lang w:bidi="ar"/>
        </w:rPr>
        <w:t>تفادياً</w:t>
      </w:r>
      <w:r w:rsidR="00137F4E" w:rsidRPr="004448DF">
        <w:rPr>
          <w:rFonts w:hint="cs"/>
          <w:rtl/>
          <w:lang w:bidi="ar"/>
        </w:rPr>
        <w:t xml:space="preserve"> </w:t>
      </w:r>
      <w:r w:rsidRPr="004448DF">
        <w:rPr>
          <w:rFonts w:hint="cs"/>
          <w:rtl/>
          <w:lang w:bidi="ar"/>
        </w:rPr>
        <w:t>ل</w:t>
      </w:r>
      <w:r w:rsidR="00B7669C" w:rsidRPr="004448DF">
        <w:rPr>
          <w:rFonts w:hint="cs"/>
          <w:rtl/>
          <w:lang w:bidi="ar"/>
        </w:rPr>
        <w:t>ل</w:t>
      </w:r>
      <w:r w:rsidR="00137F4E" w:rsidRPr="004448DF">
        <w:rPr>
          <w:rFonts w:hint="cs"/>
          <w:rtl/>
          <w:lang w:bidi="ar"/>
        </w:rPr>
        <w:t>تفسيرات</w:t>
      </w:r>
      <w:r w:rsidR="00B7669C" w:rsidRPr="004448DF">
        <w:rPr>
          <w:rFonts w:hint="cs"/>
          <w:rtl/>
          <w:lang w:bidi="ar"/>
        </w:rPr>
        <w:t xml:space="preserve"> المختلفة</w:t>
      </w:r>
      <w:r w:rsidR="00137F4E" w:rsidRPr="004448DF">
        <w:rPr>
          <w:rFonts w:hint="cs"/>
          <w:rtl/>
          <w:lang w:bidi="ar"/>
        </w:rPr>
        <w:t xml:space="preserve"> </w:t>
      </w:r>
      <w:r w:rsidRPr="004448DF">
        <w:rPr>
          <w:rFonts w:hint="cs"/>
          <w:rtl/>
          <w:lang w:bidi="ar"/>
        </w:rPr>
        <w:t>المتعلقة</w:t>
      </w:r>
      <w:r w:rsidR="00137F4E" w:rsidRPr="004448DF">
        <w:rPr>
          <w:rFonts w:hint="cs"/>
          <w:rtl/>
          <w:lang w:bidi="ar"/>
        </w:rPr>
        <w:t xml:space="preserve"> بتقديم مشاريع التوصيات الجديدة والمراجعة لكي ينظر فيها الفريق الاستشاري للاتصالات الراديوية، يُق</w:t>
      </w:r>
      <w:r w:rsidRPr="004448DF">
        <w:rPr>
          <w:rFonts w:hint="cs"/>
          <w:rtl/>
          <w:lang w:bidi="ar"/>
        </w:rPr>
        <w:t>د</w:t>
      </w:r>
      <w:r w:rsidR="004E3152" w:rsidRPr="004448DF">
        <w:rPr>
          <w:rFonts w:hint="cs"/>
          <w:rtl/>
          <w:lang w:bidi="ar"/>
        </w:rPr>
        <w:t>َ</w:t>
      </w:r>
      <w:r w:rsidRPr="004448DF">
        <w:rPr>
          <w:rFonts w:hint="cs"/>
          <w:rtl/>
          <w:lang w:bidi="ar"/>
        </w:rPr>
        <w:t>م</w:t>
      </w:r>
      <w:r w:rsidR="00137F4E" w:rsidRPr="004448DF">
        <w:rPr>
          <w:rFonts w:hint="cs"/>
          <w:rtl/>
          <w:lang w:bidi="ar"/>
        </w:rPr>
        <w:t xml:space="preserve"> </w:t>
      </w:r>
      <w:r w:rsidRPr="004448DF">
        <w:rPr>
          <w:rFonts w:hint="cs"/>
          <w:rtl/>
          <w:lang w:bidi="ar"/>
        </w:rPr>
        <w:t>مقترح</w:t>
      </w:r>
      <w:r w:rsidR="00137F4E" w:rsidRPr="004448DF">
        <w:rPr>
          <w:rFonts w:hint="cs"/>
          <w:rtl/>
          <w:lang w:bidi="ar"/>
        </w:rPr>
        <w:t xml:space="preserve"> أولي بشأن تعديل القسم الفرعي </w:t>
      </w:r>
      <w:r w:rsidR="006A2349" w:rsidRPr="004448DF">
        <w:rPr>
          <w:lang w:val="fr-FR" w:bidi="ar-EG"/>
        </w:rPr>
        <w:t>1.2.6.A2</w:t>
      </w:r>
      <w:r w:rsidR="00137F4E" w:rsidRPr="004448DF">
        <w:rPr>
          <w:rFonts w:hint="cs"/>
          <w:rtl/>
          <w:lang w:bidi="ar"/>
        </w:rPr>
        <w:t xml:space="preserve"> "اعتبارات عامة" من القسم </w:t>
      </w:r>
      <w:r w:rsidR="002428C1" w:rsidRPr="004448DF">
        <w:rPr>
          <w:lang w:val="fr-FR" w:bidi="ar-EG"/>
        </w:rPr>
        <w:t>6.A2</w:t>
      </w:r>
      <w:r w:rsidRPr="004448DF">
        <w:rPr>
          <w:rFonts w:hint="cs"/>
          <w:rtl/>
          <w:lang w:val="fr-FR" w:bidi="ar-EG"/>
        </w:rPr>
        <w:t xml:space="preserve"> </w:t>
      </w:r>
      <w:r w:rsidR="00B7669C" w:rsidRPr="004448DF">
        <w:rPr>
          <w:rFonts w:hint="cs"/>
          <w:rtl/>
          <w:lang w:bidi="ar"/>
        </w:rPr>
        <w:t xml:space="preserve">من القرار </w:t>
      </w:r>
      <w:r w:rsidR="00B7669C" w:rsidRPr="004448DF">
        <w:t>ITU-R 1-8</w:t>
      </w:r>
      <w:r w:rsidR="00137F4E" w:rsidRPr="004448DF">
        <w:rPr>
          <w:rFonts w:hint="cs"/>
          <w:rtl/>
          <w:lang w:bidi="ar"/>
        </w:rPr>
        <w:t xml:space="preserve">. </w:t>
      </w:r>
      <w:r w:rsidR="002F4511" w:rsidRPr="004448DF">
        <w:rPr>
          <w:rFonts w:hint="cs"/>
          <w:rtl/>
          <w:lang w:bidi="ar"/>
        </w:rPr>
        <w:t>و</w:t>
      </w:r>
      <w:r w:rsidR="00137F4E" w:rsidRPr="004448DF">
        <w:rPr>
          <w:rFonts w:hint="cs"/>
          <w:rtl/>
          <w:lang w:bidi="ar"/>
        </w:rPr>
        <w:t>يحد</w:t>
      </w:r>
      <w:r w:rsidR="00A85DDA" w:rsidRPr="004448DF">
        <w:rPr>
          <w:rFonts w:hint="cs"/>
          <w:rtl/>
          <w:lang w:bidi="ar"/>
        </w:rPr>
        <w:t>ّ</w:t>
      </w:r>
      <w:r w:rsidR="00137F4E" w:rsidRPr="004448DF">
        <w:rPr>
          <w:rFonts w:hint="cs"/>
          <w:rtl/>
          <w:lang w:bidi="ar"/>
        </w:rPr>
        <w:t xml:space="preserve">د هذا </w:t>
      </w:r>
      <w:r w:rsidR="002F4511" w:rsidRPr="004448DF">
        <w:rPr>
          <w:rFonts w:hint="cs"/>
          <w:rtl/>
          <w:lang w:bidi="ar"/>
        </w:rPr>
        <w:t>المقترح</w:t>
      </w:r>
      <w:r w:rsidR="00137F4E" w:rsidRPr="004448DF">
        <w:rPr>
          <w:rFonts w:hint="cs"/>
          <w:rtl/>
          <w:lang w:bidi="ar"/>
        </w:rPr>
        <w:t xml:space="preserve"> بشكل أوضح </w:t>
      </w:r>
      <w:r w:rsidR="002F4511" w:rsidRPr="004448DF">
        <w:rPr>
          <w:rFonts w:hint="cs"/>
          <w:rtl/>
          <w:lang w:bidi="ar"/>
        </w:rPr>
        <w:t xml:space="preserve">الإجراء </w:t>
      </w:r>
      <w:r w:rsidR="004E3152" w:rsidRPr="004448DF">
        <w:rPr>
          <w:rFonts w:hint="cs"/>
          <w:rtl/>
          <w:lang w:bidi="ar"/>
        </w:rPr>
        <w:t xml:space="preserve">المتعلق بالخطوات </w:t>
      </w:r>
      <w:r w:rsidR="002F4511" w:rsidRPr="004448DF">
        <w:rPr>
          <w:rFonts w:hint="cs"/>
          <w:rtl/>
          <w:lang w:bidi="ar"/>
        </w:rPr>
        <w:t>الواجب اتخاذه</w:t>
      </w:r>
      <w:r w:rsidR="004E3152" w:rsidRPr="004448DF">
        <w:rPr>
          <w:rFonts w:hint="cs"/>
          <w:rtl/>
          <w:lang w:bidi="ar"/>
        </w:rPr>
        <w:t>ا</w:t>
      </w:r>
      <w:r w:rsidR="00137F4E" w:rsidRPr="004448DF">
        <w:rPr>
          <w:rFonts w:hint="cs"/>
          <w:rtl/>
          <w:lang w:bidi="ar"/>
        </w:rPr>
        <w:t xml:space="preserve"> قبل </w:t>
      </w:r>
      <w:r w:rsidR="002F4511" w:rsidRPr="004448DF">
        <w:rPr>
          <w:rFonts w:hint="cs"/>
          <w:rtl/>
          <w:lang w:val="fr-FR" w:bidi="ar-EG"/>
        </w:rPr>
        <w:t xml:space="preserve">عقد جمعية </w:t>
      </w:r>
      <w:r w:rsidR="004E3152" w:rsidRPr="004448DF">
        <w:rPr>
          <w:rFonts w:hint="cs"/>
          <w:rtl/>
          <w:lang w:val="fr-FR" w:bidi="ar-EG"/>
        </w:rPr>
        <w:t>ال</w:t>
      </w:r>
      <w:r w:rsidR="002F4511" w:rsidRPr="004448DF">
        <w:rPr>
          <w:rFonts w:hint="cs"/>
          <w:rtl/>
          <w:lang w:val="fr-FR" w:bidi="ar-EG"/>
        </w:rPr>
        <w:t>اتصالات الراديوية</w:t>
      </w:r>
      <w:r w:rsidR="00137F4E" w:rsidRPr="004448DF">
        <w:rPr>
          <w:rFonts w:hint="cs"/>
          <w:rtl/>
          <w:lang w:bidi="ar"/>
        </w:rPr>
        <w:t xml:space="preserve">. </w:t>
      </w:r>
      <w:r w:rsidR="002F4511" w:rsidRPr="004448DF">
        <w:rPr>
          <w:rFonts w:hint="cs"/>
          <w:rtl/>
          <w:lang w:bidi="ar"/>
        </w:rPr>
        <w:t>و</w:t>
      </w:r>
      <w:r w:rsidR="00137F4E" w:rsidRPr="004448DF">
        <w:rPr>
          <w:rFonts w:hint="cs"/>
          <w:rtl/>
          <w:lang w:bidi="ar"/>
        </w:rPr>
        <w:t>يُقترح إضافة بن</w:t>
      </w:r>
      <w:r w:rsidR="002F4511" w:rsidRPr="004448DF">
        <w:rPr>
          <w:rFonts w:hint="cs"/>
          <w:rtl/>
          <w:lang w:bidi="ar"/>
        </w:rPr>
        <w:t>دين</w:t>
      </w:r>
      <w:r w:rsidR="00137F4E" w:rsidRPr="004448DF">
        <w:rPr>
          <w:rFonts w:hint="cs"/>
          <w:rtl/>
          <w:lang w:bidi="ar"/>
        </w:rPr>
        <w:t xml:space="preserve"> جديد</w:t>
      </w:r>
      <w:r w:rsidR="002F4511" w:rsidRPr="004448DF">
        <w:rPr>
          <w:rFonts w:hint="cs"/>
          <w:rtl/>
          <w:lang w:bidi="ar"/>
        </w:rPr>
        <w:t>ين</w:t>
      </w:r>
      <w:r w:rsidR="00137F4E" w:rsidRPr="004448DF">
        <w:rPr>
          <w:rFonts w:hint="cs"/>
          <w:rtl/>
          <w:lang w:bidi="ar"/>
        </w:rPr>
        <w:t xml:space="preserve"> </w:t>
      </w:r>
      <w:r w:rsidR="008F2045" w:rsidRPr="004448DF">
        <w:rPr>
          <w:lang w:val="fr-FR" w:bidi="ar-EG"/>
        </w:rPr>
        <w:t>8.1.2.6.A2</w:t>
      </w:r>
      <w:r w:rsidR="00137F4E" w:rsidRPr="004448DF">
        <w:rPr>
          <w:rFonts w:hint="cs"/>
          <w:rtl/>
          <w:lang w:bidi="ar"/>
        </w:rPr>
        <w:t xml:space="preserve"> و</w:t>
      </w:r>
      <w:r w:rsidR="00242BB7" w:rsidRPr="004448DF">
        <w:rPr>
          <w:lang w:val="fr-FR" w:bidi="ar-EG"/>
        </w:rPr>
        <w:t>9</w:t>
      </w:r>
      <w:r w:rsidR="00242BB7" w:rsidRPr="004448DF">
        <w:rPr>
          <w:lang w:val="fr-FR" w:bidi="ar-EG"/>
        </w:rPr>
        <w:t>.1.2.</w:t>
      </w:r>
      <w:proofErr w:type="gramStart"/>
      <w:r w:rsidR="00242BB7" w:rsidRPr="004448DF">
        <w:rPr>
          <w:lang w:val="fr-FR" w:bidi="ar-EG"/>
        </w:rPr>
        <w:t>6.A</w:t>
      </w:r>
      <w:proofErr w:type="gramEnd"/>
      <w:r w:rsidR="00242BB7" w:rsidRPr="004448DF">
        <w:rPr>
          <w:lang w:val="fr-FR" w:bidi="ar-EG"/>
        </w:rPr>
        <w:t>2</w:t>
      </w:r>
      <w:r w:rsidR="00137F4E" w:rsidRPr="004448DF">
        <w:rPr>
          <w:rFonts w:hint="cs"/>
          <w:rtl/>
          <w:lang w:bidi="ar"/>
        </w:rPr>
        <w:t xml:space="preserve"> </w:t>
      </w:r>
      <w:r w:rsidR="00901FA7" w:rsidRPr="004448DF">
        <w:rPr>
          <w:rFonts w:hint="cs"/>
          <w:rtl/>
          <w:lang w:bidi="ar"/>
        </w:rPr>
        <w:t>إلى ال</w:t>
      </w:r>
      <w:r w:rsidR="00137F4E" w:rsidRPr="004448DF">
        <w:rPr>
          <w:rFonts w:hint="cs"/>
          <w:rtl/>
          <w:lang w:bidi="ar"/>
        </w:rPr>
        <w:t xml:space="preserve">قسم الفرعي </w:t>
      </w:r>
      <w:r w:rsidR="008F2045" w:rsidRPr="004448DF">
        <w:rPr>
          <w:lang w:val="fr-FR" w:bidi="ar-EG"/>
        </w:rPr>
        <w:t>1.2.6.A2</w:t>
      </w:r>
      <w:r w:rsidR="00137F4E" w:rsidRPr="004448DF">
        <w:rPr>
          <w:rFonts w:hint="cs"/>
          <w:rtl/>
          <w:lang w:bidi="ar"/>
        </w:rPr>
        <w:t xml:space="preserve"> كما هو موضح أدناه:</w:t>
      </w:r>
    </w:p>
    <w:p w14:paraId="6BFC485F" w14:textId="2D59BD83" w:rsidR="00137F4E" w:rsidRPr="004448DF" w:rsidRDefault="006F6A79" w:rsidP="00137F4E">
      <w:pPr>
        <w:rPr>
          <w:rtl/>
          <w:lang w:bidi="ar"/>
        </w:rPr>
      </w:pPr>
      <w:r w:rsidRPr="004448DF">
        <w:rPr>
          <w:lang w:bidi="ar"/>
        </w:rPr>
        <w:t>8.1.2.6.A2</w:t>
      </w:r>
      <w:r w:rsidR="00137F4E" w:rsidRPr="004448DF">
        <w:rPr>
          <w:rFonts w:hint="cs"/>
          <w:rtl/>
          <w:lang w:bidi="ar"/>
        </w:rPr>
        <w:t xml:space="preserve"> إذا لم </w:t>
      </w:r>
      <w:r w:rsidR="00485A83" w:rsidRPr="004448DF">
        <w:rPr>
          <w:rFonts w:hint="cs"/>
          <w:rtl/>
          <w:lang w:bidi="ar"/>
        </w:rPr>
        <w:t>يُواف</w:t>
      </w:r>
      <w:r w:rsidR="00901FA7" w:rsidRPr="004448DF">
        <w:rPr>
          <w:rFonts w:hint="cs"/>
          <w:rtl/>
          <w:lang w:bidi="ar"/>
        </w:rPr>
        <w:t>َ</w:t>
      </w:r>
      <w:r w:rsidR="00485A83" w:rsidRPr="004448DF">
        <w:rPr>
          <w:rFonts w:hint="cs"/>
          <w:rtl/>
          <w:lang w:bidi="ar"/>
        </w:rPr>
        <w:t>ق</w:t>
      </w:r>
      <w:r w:rsidR="00137F4E" w:rsidRPr="004448DF">
        <w:rPr>
          <w:rFonts w:hint="cs"/>
          <w:rtl/>
          <w:lang w:bidi="ar"/>
        </w:rPr>
        <w:t xml:space="preserve"> على مشروع توصية جديدة أو مراجعة في اجتماع لجنة الدراسات وفقاً للإجراء </w:t>
      </w:r>
      <w:r w:rsidR="000F0241" w:rsidRPr="004448DF">
        <w:rPr>
          <w:lang w:bidi="ar"/>
        </w:rPr>
        <w:t>2.2.2.6.A2</w:t>
      </w:r>
      <w:r w:rsidR="00137F4E" w:rsidRPr="004448DF">
        <w:rPr>
          <w:rFonts w:hint="cs"/>
          <w:rtl/>
          <w:lang w:bidi="ar"/>
        </w:rPr>
        <w:t xml:space="preserve"> أو في حالة </w:t>
      </w:r>
      <w:r w:rsidR="00901FA7" w:rsidRPr="004448DF">
        <w:rPr>
          <w:rFonts w:hint="cs"/>
          <w:rtl/>
          <w:lang w:bidi="ar"/>
        </w:rPr>
        <w:t>اعتماد</w:t>
      </w:r>
      <w:r w:rsidR="005719CC" w:rsidRPr="004448DF">
        <w:rPr>
          <w:rFonts w:hint="cs"/>
          <w:rtl/>
          <w:lang w:bidi="ar"/>
        </w:rPr>
        <w:t xml:space="preserve"> </w:t>
      </w:r>
      <w:r w:rsidR="00137F4E" w:rsidRPr="004448DF">
        <w:rPr>
          <w:rFonts w:hint="cs"/>
          <w:rtl/>
          <w:lang w:bidi="ar"/>
        </w:rPr>
        <w:t xml:space="preserve">لجنة الدراسات </w:t>
      </w:r>
      <w:r w:rsidR="00901FA7" w:rsidRPr="004448DF">
        <w:rPr>
          <w:rFonts w:hint="cs"/>
          <w:rtl/>
          <w:lang w:bidi="ar"/>
        </w:rPr>
        <w:t>على ال</w:t>
      </w:r>
      <w:r w:rsidR="00137F4E" w:rsidRPr="004448DF">
        <w:rPr>
          <w:rFonts w:hint="cs"/>
          <w:rtl/>
          <w:lang w:bidi="ar"/>
        </w:rPr>
        <w:t xml:space="preserve">مراسلة وفقاً للإجراء </w:t>
      </w:r>
      <w:r w:rsidR="003B1ECB" w:rsidRPr="004448DF">
        <w:rPr>
          <w:lang w:val="fr-FR" w:bidi="ar-EG"/>
        </w:rPr>
        <w:t>3.2.2.6.A2</w:t>
      </w:r>
      <w:r w:rsidR="005719CC" w:rsidRPr="004448DF">
        <w:rPr>
          <w:rFonts w:hint="cs"/>
          <w:rtl/>
          <w:lang w:bidi="ar"/>
        </w:rPr>
        <w:t xml:space="preserve">، </w:t>
      </w:r>
      <w:r w:rsidR="00137F4E" w:rsidRPr="004448DF">
        <w:rPr>
          <w:rFonts w:hint="cs"/>
          <w:rtl/>
          <w:lang w:bidi="ar"/>
        </w:rPr>
        <w:t>ول</w:t>
      </w:r>
      <w:r w:rsidR="005719CC" w:rsidRPr="004448DF">
        <w:rPr>
          <w:rFonts w:hint="cs"/>
          <w:rtl/>
          <w:lang w:bidi="ar"/>
        </w:rPr>
        <w:t>م</w:t>
      </w:r>
      <w:r w:rsidR="00137F4E" w:rsidRPr="004448DF">
        <w:rPr>
          <w:rFonts w:hint="cs"/>
          <w:rtl/>
          <w:lang w:bidi="ar"/>
        </w:rPr>
        <w:t xml:space="preserve"> </w:t>
      </w:r>
      <w:r w:rsidR="006B58B3" w:rsidRPr="004448DF">
        <w:rPr>
          <w:rFonts w:hint="cs"/>
          <w:rtl/>
          <w:lang w:bidi="ar"/>
        </w:rPr>
        <w:t>يُخطَط لعقد</w:t>
      </w:r>
      <w:r w:rsidR="00137F4E" w:rsidRPr="004448DF">
        <w:rPr>
          <w:rFonts w:hint="cs"/>
          <w:rtl/>
          <w:lang w:bidi="ar"/>
        </w:rPr>
        <w:t xml:space="preserve"> </w:t>
      </w:r>
      <w:r w:rsidR="005719CC" w:rsidRPr="004448DF">
        <w:rPr>
          <w:rFonts w:hint="cs"/>
          <w:rtl/>
          <w:lang w:bidi="ar"/>
        </w:rPr>
        <w:t xml:space="preserve">أي </w:t>
      </w:r>
      <w:r w:rsidR="00137F4E" w:rsidRPr="004448DF">
        <w:rPr>
          <w:rFonts w:hint="cs"/>
          <w:rtl/>
          <w:lang w:bidi="ar"/>
        </w:rPr>
        <w:t xml:space="preserve">اجتماع </w:t>
      </w:r>
      <w:r w:rsidR="005719CC" w:rsidRPr="004448DF">
        <w:rPr>
          <w:rFonts w:hint="cs"/>
          <w:rtl/>
          <w:lang w:bidi="ar"/>
        </w:rPr>
        <w:t>ل</w:t>
      </w:r>
      <w:r w:rsidR="00137F4E" w:rsidRPr="004448DF">
        <w:rPr>
          <w:rFonts w:hint="cs"/>
          <w:rtl/>
          <w:lang w:bidi="ar"/>
        </w:rPr>
        <w:t xml:space="preserve">لجنة الدراسات قبل </w:t>
      </w:r>
      <w:r w:rsidR="006B58B3" w:rsidRPr="004448DF">
        <w:rPr>
          <w:rFonts w:hint="cs"/>
          <w:rtl/>
          <w:lang w:bidi="ar"/>
        </w:rPr>
        <w:t>موعد</w:t>
      </w:r>
      <w:r w:rsidR="005719CC" w:rsidRPr="004448DF">
        <w:rPr>
          <w:rFonts w:hint="cs"/>
          <w:rtl/>
          <w:lang w:bidi="ar"/>
        </w:rPr>
        <w:t xml:space="preserve"> </w:t>
      </w:r>
      <w:r w:rsidR="005719CC" w:rsidRPr="004448DF">
        <w:rPr>
          <w:rFonts w:hint="cs"/>
          <w:rtl/>
          <w:lang w:val="fr-FR" w:bidi="ar-EG"/>
        </w:rPr>
        <w:t xml:space="preserve">جمعية </w:t>
      </w:r>
      <w:r w:rsidR="00901FA7" w:rsidRPr="004448DF">
        <w:rPr>
          <w:rFonts w:hint="cs"/>
          <w:rtl/>
          <w:lang w:val="fr-FR" w:bidi="ar-EG"/>
        </w:rPr>
        <w:t>الا</w:t>
      </w:r>
      <w:r w:rsidR="005719CC" w:rsidRPr="004448DF">
        <w:rPr>
          <w:rFonts w:hint="cs"/>
          <w:rtl/>
          <w:lang w:val="fr-FR" w:bidi="ar-EG"/>
        </w:rPr>
        <w:t>تصالات الراديوية</w:t>
      </w:r>
      <w:r w:rsidR="00137F4E" w:rsidRPr="004448DF">
        <w:rPr>
          <w:rFonts w:hint="cs"/>
          <w:rtl/>
          <w:lang w:bidi="ar"/>
        </w:rPr>
        <w:t xml:space="preserve">، </w:t>
      </w:r>
      <w:r w:rsidR="001D2FDF" w:rsidRPr="004448DF">
        <w:rPr>
          <w:rFonts w:hint="cs"/>
          <w:rtl/>
          <w:lang w:bidi="ar"/>
        </w:rPr>
        <w:t xml:space="preserve">يجب </w:t>
      </w:r>
      <w:r w:rsidR="006B58B3" w:rsidRPr="004448DF">
        <w:rPr>
          <w:rFonts w:hint="cs"/>
          <w:rtl/>
          <w:lang w:bidi="ar"/>
        </w:rPr>
        <w:t xml:space="preserve">على </w:t>
      </w:r>
      <w:r w:rsidR="00137F4E" w:rsidRPr="004448DF">
        <w:rPr>
          <w:rFonts w:hint="cs"/>
          <w:rtl/>
          <w:lang w:bidi="ar"/>
        </w:rPr>
        <w:t xml:space="preserve">المدير </w:t>
      </w:r>
      <w:r w:rsidR="005719CC" w:rsidRPr="004448DF">
        <w:rPr>
          <w:rFonts w:hint="cs"/>
          <w:rtl/>
          <w:lang w:bidi="ar"/>
        </w:rPr>
        <w:t>إحالة</w:t>
      </w:r>
      <w:r w:rsidR="00137F4E" w:rsidRPr="004448DF">
        <w:rPr>
          <w:rFonts w:hint="cs"/>
          <w:rtl/>
          <w:lang w:bidi="ar"/>
        </w:rPr>
        <w:t xml:space="preserve"> النص </w:t>
      </w:r>
      <w:r w:rsidR="006B58B3" w:rsidRPr="004448DF">
        <w:rPr>
          <w:rFonts w:hint="cs"/>
          <w:rtl/>
          <w:lang w:bidi="ar"/>
        </w:rPr>
        <w:t>مشفوعاً</w:t>
      </w:r>
      <w:r w:rsidR="00137F4E" w:rsidRPr="004448DF">
        <w:rPr>
          <w:rFonts w:hint="cs"/>
          <w:rtl/>
          <w:lang w:bidi="ar"/>
        </w:rPr>
        <w:t xml:space="preserve"> </w:t>
      </w:r>
      <w:r w:rsidR="005719CC" w:rsidRPr="004448DF">
        <w:rPr>
          <w:rFonts w:hint="cs"/>
          <w:rtl/>
          <w:lang w:bidi="ar"/>
        </w:rPr>
        <w:t>ب</w:t>
      </w:r>
      <w:r w:rsidR="00137F4E" w:rsidRPr="004448DF">
        <w:rPr>
          <w:rFonts w:hint="cs"/>
          <w:rtl/>
          <w:lang w:bidi="ar"/>
        </w:rPr>
        <w:t xml:space="preserve">الاعتراضات إلى </w:t>
      </w:r>
      <w:r w:rsidR="005719CC" w:rsidRPr="004448DF">
        <w:rPr>
          <w:rFonts w:hint="cs"/>
          <w:rtl/>
          <w:lang w:val="fr-FR" w:bidi="ar-EG"/>
        </w:rPr>
        <w:t>الجمعية</w:t>
      </w:r>
      <w:r w:rsidR="00137F4E" w:rsidRPr="004448DF">
        <w:rPr>
          <w:rFonts w:hint="cs"/>
          <w:rtl/>
          <w:lang w:bidi="ar"/>
        </w:rPr>
        <w:t>، وإبلاغ رئيس لجنة الدراسات ذات الصلة.</w:t>
      </w:r>
    </w:p>
    <w:p w14:paraId="692A4DE8" w14:textId="56F1F431" w:rsidR="005D7460" w:rsidRPr="004448DF" w:rsidRDefault="00FD24E2" w:rsidP="006B58B3">
      <w:pPr>
        <w:rPr>
          <w:rtl/>
          <w:lang w:bidi="ar"/>
        </w:rPr>
      </w:pPr>
      <w:r w:rsidRPr="004448DF">
        <w:rPr>
          <w:lang w:bidi="ar"/>
        </w:rPr>
        <w:t>9.1.2.6.A2</w:t>
      </w:r>
      <w:r w:rsidRPr="004448DF">
        <w:rPr>
          <w:rFonts w:hint="cs"/>
          <w:rtl/>
          <w:lang w:bidi="ar-EG"/>
        </w:rPr>
        <w:t xml:space="preserve">  </w:t>
      </w:r>
      <w:r w:rsidR="00137F4E" w:rsidRPr="004448DF">
        <w:rPr>
          <w:rFonts w:hint="cs"/>
          <w:rtl/>
          <w:lang w:bidi="ar"/>
        </w:rPr>
        <w:t xml:space="preserve">إذا لم </w:t>
      </w:r>
      <w:r w:rsidR="005719CC" w:rsidRPr="004448DF">
        <w:rPr>
          <w:rFonts w:hint="cs"/>
          <w:rtl/>
          <w:lang w:bidi="ar"/>
        </w:rPr>
        <w:t>يُواف</w:t>
      </w:r>
      <w:r w:rsidR="006B58B3" w:rsidRPr="004448DF">
        <w:rPr>
          <w:rFonts w:hint="cs"/>
          <w:rtl/>
          <w:lang w:bidi="ar"/>
        </w:rPr>
        <w:t>َ</w:t>
      </w:r>
      <w:r w:rsidR="005719CC" w:rsidRPr="004448DF">
        <w:rPr>
          <w:rFonts w:hint="cs"/>
          <w:rtl/>
          <w:lang w:bidi="ar"/>
        </w:rPr>
        <w:t xml:space="preserve">ق </w:t>
      </w:r>
      <w:r w:rsidR="00137F4E" w:rsidRPr="004448DF">
        <w:rPr>
          <w:rFonts w:hint="cs"/>
          <w:rtl/>
          <w:lang w:bidi="ar"/>
        </w:rPr>
        <w:t>على مشروع توصية جديدة أو مراجعة من خلال المشاورات مع الدول الأعضاء وفقا</w:t>
      </w:r>
      <w:r w:rsidR="00AE5D07" w:rsidRPr="004448DF">
        <w:rPr>
          <w:rFonts w:hint="cs"/>
          <w:rtl/>
          <w:lang w:bidi="ar"/>
        </w:rPr>
        <w:t>ً</w:t>
      </w:r>
      <w:r w:rsidR="00137F4E" w:rsidRPr="004448DF">
        <w:rPr>
          <w:rFonts w:hint="cs"/>
          <w:rtl/>
          <w:lang w:bidi="ar"/>
        </w:rPr>
        <w:t xml:space="preserve"> للإجراء </w:t>
      </w:r>
      <w:r w:rsidR="00E237C4" w:rsidRPr="004448DF">
        <w:rPr>
          <w:lang w:val="fr-FR" w:bidi="ar-EG"/>
        </w:rPr>
        <w:t>3.2.6.A2</w:t>
      </w:r>
      <w:r w:rsidR="00137F4E" w:rsidRPr="004448DF">
        <w:rPr>
          <w:rFonts w:hint="cs"/>
          <w:rtl/>
          <w:lang w:bidi="ar"/>
        </w:rPr>
        <w:t xml:space="preserve"> أو اعتماده والموافقة عليه في </w:t>
      </w:r>
      <w:r w:rsidR="001D2FDF" w:rsidRPr="004448DF">
        <w:rPr>
          <w:rFonts w:hint="cs"/>
          <w:rtl/>
        </w:rPr>
        <w:t xml:space="preserve">نفس </w:t>
      </w:r>
      <w:proofErr w:type="spellStart"/>
      <w:r w:rsidR="001D2FDF" w:rsidRPr="004448DF">
        <w:rPr>
          <w:rFonts w:hint="cs"/>
          <w:rtl/>
        </w:rPr>
        <w:t>ال</w:t>
      </w:r>
      <w:proofErr w:type="spellEnd"/>
      <w:r w:rsidR="00137F4E" w:rsidRPr="004448DF">
        <w:rPr>
          <w:rFonts w:hint="cs"/>
          <w:rtl/>
          <w:lang w:bidi="ar"/>
        </w:rPr>
        <w:t xml:space="preserve">وقت </w:t>
      </w:r>
      <w:r w:rsidR="00353A4F" w:rsidRPr="004448DF">
        <w:rPr>
          <w:rFonts w:hint="cs"/>
          <w:rtl/>
          <w:lang w:bidi="ar"/>
        </w:rPr>
        <w:t>ب</w:t>
      </w:r>
      <w:r w:rsidR="00137F4E" w:rsidRPr="004448DF">
        <w:rPr>
          <w:rFonts w:hint="cs"/>
          <w:rtl/>
          <w:lang w:bidi="ar"/>
        </w:rPr>
        <w:t>المراسلة وفقا</w:t>
      </w:r>
      <w:r w:rsidR="00AE5D07" w:rsidRPr="004448DF">
        <w:rPr>
          <w:rFonts w:hint="cs"/>
          <w:rtl/>
          <w:lang w:bidi="ar"/>
        </w:rPr>
        <w:t>ً</w:t>
      </w:r>
      <w:r w:rsidR="00137F4E" w:rsidRPr="004448DF">
        <w:rPr>
          <w:rFonts w:hint="cs"/>
          <w:rtl/>
          <w:lang w:bidi="ar"/>
        </w:rPr>
        <w:t xml:space="preserve"> للإجراء </w:t>
      </w:r>
      <w:r w:rsidR="008713E5" w:rsidRPr="004448DF">
        <w:rPr>
          <w:lang w:val="fr-FR" w:bidi="ar-EG"/>
        </w:rPr>
        <w:t>4.2.6.A2</w:t>
      </w:r>
      <w:r w:rsidR="00137F4E" w:rsidRPr="004448DF">
        <w:rPr>
          <w:rFonts w:hint="cs"/>
          <w:rtl/>
          <w:lang w:bidi="ar"/>
        </w:rPr>
        <w:t xml:space="preserve">، </w:t>
      </w:r>
      <w:r w:rsidR="006B58B3" w:rsidRPr="004448DF">
        <w:rPr>
          <w:rFonts w:hint="cs"/>
          <w:rtl/>
          <w:lang w:bidi="ar"/>
        </w:rPr>
        <w:t xml:space="preserve">ولم يُخطَط لعقد أي اجتماع للجنة الدراسات قبل موعد </w:t>
      </w:r>
      <w:r w:rsidR="006B58B3" w:rsidRPr="004448DF">
        <w:rPr>
          <w:rFonts w:hint="cs"/>
          <w:rtl/>
          <w:lang w:val="fr-FR" w:bidi="ar-EG"/>
        </w:rPr>
        <w:t>جمعية الاتصالات الراديوية</w:t>
      </w:r>
      <w:r w:rsidR="006B58B3" w:rsidRPr="004448DF">
        <w:rPr>
          <w:rFonts w:hint="cs"/>
          <w:rtl/>
          <w:lang w:bidi="ar"/>
        </w:rPr>
        <w:t xml:space="preserve">، </w:t>
      </w:r>
      <w:r w:rsidR="001D2FDF" w:rsidRPr="004448DF">
        <w:rPr>
          <w:rFonts w:hint="cs"/>
          <w:rtl/>
          <w:lang w:bidi="ar"/>
        </w:rPr>
        <w:t xml:space="preserve">يجب </w:t>
      </w:r>
      <w:r w:rsidR="006B58B3" w:rsidRPr="004448DF">
        <w:rPr>
          <w:rFonts w:hint="cs"/>
          <w:rtl/>
          <w:lang w:bidi="ar"/>
        </w:rPr>
        <w:t>على المدير إحالة النص مشفوعاً بالتعليقا</w:t>
      </w:r>
      <w:r w:rsidR="006B58B3" w:rsidRPr="004448DF">
        <w:rPr>
          <w:rFonts w:hint="eastAsia"/>
          <w:rtl/>
          <w:lang w:bidi="ar"/>
        </w:rPr>
        <w:t>ت</w:t>
      </w:r>
      <w:r w:rsidR="006B58B3" w:rsidRPr="004448DF">
        <w:rPr>
          <w:rFonts w:hint="cs"/>
          <w:rtl/>
          <w:lang w:bidi="ar"/>
        </w:rPr>
        <w:t xml:space="preserve"> والاعتراضات إلى </w:t>
      </w:r>
      <w:r w:rsidR="006B58B3" w:rsidRPr="004448DF">
        <w:rPr>
          <w:rFonts w:hint="cs"/>
          <w:rtl/>
          <w:lang w:val="fr-FR" w:bidi="ar-EG"/>
        </w:rPr>
        <w:t>الجمعية</w:t>
      </w:r>
      <w:r w:rsidR="006B58B3" w:rsidRPr="004448DF">
        <w:rPr>
          <w:rFonts w:hint="cs"/>
          <w:rtl/>
          <w:lang w:bidi="ar"/>
        </w:rPr>
        <w:t>، وإبلاغ رئيس لجنة الدراسات ذات الصلة.</w:t>
      </w:r>
    </w:p>
    <w:p w14:paraId="61011F8C" w14:textId="7FB12D4A" w:rsidR="005D7460" w:rsidRDefault="005D7460" w:rsidP="005D7460">
      <w:pPr>
        <w:pStyle w:val="Heading2"/>
        <w:rPr>
          <w:rtl/>
        </w:rPr>
      </w:pPr>
      <w:r w:rsidRPr="00A14570">
        <w:t>2.2</w:t>
      </w:r>
      <w:r w:rsidRPr="00A14570">
        <w:rPr>
          <w:rtl/>
        </w:rPr>
        <w:tab/>
      </w:r>
      <w:r w:rsidR="003013BC" w:rsidRPr="00A14570">
        <w:rPr>
          <w:rFonts w:hint="cs"/>
          <w:rtl/>
        </w:rPr>
        <w:t xml:space="preserve">النظر في إنشاء فريق عمل بالمراسلة تابع للفريق الاستشاري للاتصالات الراديوية بشأن إعداد مشاريع مقترحات لتعديل القرار </w:t>
      </w:r>
      <w:r w:rsidR="003013BC" w:rsidRPr="00A14570">
        <w:t>ITU-R 1</w:t>
      </w:r>
      <w:r w:rsidR="003013BC" w:rsidRPr="00A14570">
        <w:rPr>
          <w:rFonts w:hint="cs"/>
          <w:rtl/>
        </w:rPr>
        <w:t xml:space="preserve"> والقرارات </w:t>
      </w:r>
      <w:r w:rsidR="003013BC" w:rsidRPr="00A14570">
        <w:t>ITU-R</w:t>
      </w:r>
      <w:r w:rsidR="003013BC" w:rsidRPr="00A14570">
        <w:rPr>
          <w:rFonts w:hint="cs"/>
          <w:rtl/>
        </w:rPr>
        <w:t xml:space="preserve"> الأخرى</w:t>
      </w:r>
      <w:r w:rsidR="005241F3" w:rsidRPr="00A14570">
        <w:rPr>
          <w:rFonts w:hint="cs"/>
          <w:rtl/>
        </w:rPr>
        <w:t>، حسب الاقتضاء،</w:t>
      </w:r>
      <w:r w:rsidR="003013BC" w:rsidRPr="00A14570">
        <w:rPr>
          <w:rFonts w:hint="cs"/>
          <w:rtl/>
        </w:rPr>
        <w:t xml:space="preserve"> </w:t>
      </w:r>
      <w:r w:rsidR="00145B81">
        <w:rPr>
          <w:rFonts w:hint="cs"/>
          <w:rtl/>
        </w:rPr>
        <w:t xml:space="preserve">والتي </w:t>
      </w:r>
      <w:r w:rsidR="003013BC" w:rsidRPr="00A14570">
        <w:rPr>
          <w:rFonts w:hint="cs"/>
          <w:rtl/>
        </w:rPr>
        <w:t>تحدد النُهُج وطرائق العمل الرئيسية</w:t>
      </w:r>
      <w:r w:rsidR="00CD014B" w:rsidRPr="00A14570">
        <w:rPr>
          <w:rFonts w:hint="cs"/>
          <w:rtl/>
        </w:rPr>
        <w:t xml:space="preserve"> </w:t>
      </w:r>
      <w:r w:rsidR="001D2FDF">
        <w:rPr>
          <w:rFonts w:hint="cs"/>
          <w:rtl/>
        </w:rPr>
        <w:t>لجمعية</w:t>
      </w:r>
      <w:r w:rsidR="001D2FDF" w:rsidRPr="00A14570">
        <w:rPr>
          <w:rFonts w:hint="cs"/>
          <w:rtl/>
        </w:rPr>
        <w:t xml:space="preserve"> </w:t>
      </w:r>
      <w:r w:rsidR="00CD014B" w:rsidRPr="00A14570">
        <w:rPr>
          <w:rFonts w:hint="cs"/>
          <w:rtl/>
        </w:rPr>
        <w:t>الاتصالات الراديوية ولجان الدراسات والفريق الاستشاري للاتصالات الراديوية والأفرقة الأخرى لقطاع الاتصالات الراديوية</w:t>
      </w:r>
    </w:p>
    <w:p w14:paraId="1E34D230" w14:textId="57AD697E" w:rsidR="00B87E9D" w:rsidRPr="00B87E9D" w:rsidRDefault="00D25D01" w:rsidP="00B87E9D">
      <w:pPr>
        <w:rPr>
          <w:lang w:val="fr-FR" w:bidi="ar-EG"/>
        </w:rPr>
      </w:pPr>
      <w:r>
        <w:rPr>
          <w:rFonts w:hint="cs"/>
          <w:rtl/>
          <w:lang w:bidi="ar-EG"/>
        </w:rPr>
        <w:t xml:space="preserve">يقترح الاتحاد الروسي </w:t>
      </w:r>
      <w:r w:rsidR="00B87E9D" w:rsidRPr="00B87E9D">
        <w:rPr>
          <w:rFonts w:hint="cs"/>
          <w:rtl/>
          <w:lang w:bidi="ar"/>
        </w:rPr>
        <w:t xml:space="preserve">أن ينظر الفريق الاستشاري للاتصالات الراديوية في مسألة إنشاء فريق </w:t>
      </w:r>
      <w:r w:rsidR="00B87E9D">
        <w:rPr>
          <w:rFonts w:hint="cs"/>
          <w:rtl/>
          <w:lang w:bidi="ar"/>
        </w:rPr>
        <w:t>عمل ب</w:t>
      </w:r>
      <w:r w:rsidR="00B87E9D" w:rsidRPr="00B87E9D">
        <w:rPr>
          <w:rFonts w:hint="cs"/>
          <w:rtl/>
          <w:lang w:bidi="ar"/>
        </w:rPr>
        <w:t xml:space="preserve">المراسلة </w:t>
      </w:r>
      <w:r w:rsidR="001D2FDF">
        <w:rPr>
          <w:rFonts w:hint="cs"/>
          <w:rtl/>
          <w:lang w:bidi="ar"/>
        </w:rPr>
        <w:t>لبحث وإعداد</w:t>
      </w:r>
      <w:r w:rsidR="001D2FDF" w:rsidRPr="00B87E9D">
        <w:rPr>
          <w:rFonts w:hint="cs"/>
          <w:rtl/>
          <w:lang w:bidi="ar"/>
        </w:rPr>
        <w:t xml:space="preserve"> </w:t>
      </w:r>
      <w:r w:rsidR="00C83B17">
        <w:rPr>
          <w:rFonts w:hint="cs"/>
          <w:rtl/>
          <w:lang w:bidi="ar"/>
        </w:rPr>
        <w:t>مشاريع مقترحات لل</w:t>
      </w:r>
      <w:r w:rsidR="00B87E9D" w:rsidRPr="00B87E9D">
        <w:rPr>
          <w:rFonts w:hint="cs"/>
          <w:rtl/>
          <w:lang w:bidi="ar"/>
        </w:rPr>
        <w:t xml:space="preserve">فريق الاستشاري للاتصالات الراديوية </w:t>
      </w:r>
      <w:r w:rsidR="00C83B17">
        <w:rPr>
          <w:rFonts w:hint="cs"/>
          <w:rtl/>
          <w:lang w:bidi="ar"/>
        </w:rPr>
        <w:t xml:space="preserve">بشأن </w:t>
      </w:r>
      <w:r w:rsidR="00B87E9D">
        <w:rPr>
          <w:rFonts w:hint="cs"/>
          <w:rtl/>
          <w:lang w:bidi="ar"/>
        </w:rPr>
        <w:t>المسائل</w:t>
      </w:r>
      <w:r w:rsidR="00B87E9D" w:rsidRPr="00B87E9D">
        <w:rPr>
          <w:rFonts w:hint="cs"/>
          <w:rtl/>
          <w:lang w:bidi="ar"/>
        </w:rPr>
        <w:t xml:space="preserve"> التالية المتعلقة بأحكام القرارات </w:t>
      </w:r>
      <w:r w:rsidR="00B87E9D">
        <w:rPr>
          <w:rFonts w:hint="cs"/>
          <w:rtl/>
          <w:lang w:bidi="ar"/>
        </w:rPr>
        <w:t>الخاصة</w:t>
      </w:r>
      <w:r w:rsidR="00B87E9D" w:rsidRPr="00B87E9D">
        <w:rPr>
          <w:rFonts w:hint="cs"/>
          <w:rtl/>
          <w:lang w:bidi="ar"/>
        </w:rPr>
        <w:t xml:space="preserve"> ب</w:t>
      </w:r>
      <w:r w:rsidR="00B87E9D">
        <w:rPr>
          <w:rFonts w:hint="cs"/>
          <w:rtl/>
          <w:lang w:bidi="ar"/>
        </w:rPr>
        <w:t>طرائق</w:t>
      </w:r>
      <w:r w:rsidR="00B87E9D" w:rsidRPr="00B87E9D">
        <w:rPr>
          <w:rFonts w:hint="cs"/>
          <w:rtl/>
          <w:lang w:bidi="ar"/>
        </w:rPr>
        <w:t xml:space="preserve"> عمل قطاع الاتصالات الراديوية:</w:t>
      </w:r>
    </w:p>
    <w:p w14:paraId="419B0812" w14:textId="5FEBBF0F" w:rsidR="00B87E9D" w:rsidRPr="00B87E9D" w:rsidRDefault="005D7460" w:rsidP="003C66EC">
      <w:pPr>
        <w:pStyle w:val="enumlev1"/>
        <w:rPr>
          <w:lang w:val="fr-FR" w:bidi="ar-EG"/>
        </w:rPr>
      </w:pPr>
      <w:r>
        <w:rPr>
          <w:rFonts w:hint="cs"/>
          <w:rtl/>
          <w:lang w:bidi="ar-EG"/>
        </w:rPr>
        <w:t xml:space="preserve"> </w:t>
      </w:r>
      <w:proofErr w:type="gramStart"/>
      <w:r>
        <w:rPr>
          <w:rFonts w:hint="cs"/>
          <w:rtl/>
          <w:lang w:bidi="ar-EG"/>
        </w:rPr>
        <w:t>أ )</w:t>
      </w:r>
      <w:proofErr w:type="gramEnd"/>
      <w:r>
        <w:rPr>
          <w:rtl/>
          <w:lang w:bidi="ar-EG"/>
        </w:rPr>
        <w:tab/>
      </w:r>
      <w:proofErr w:type="spellStart"/>
      <w:r w:rsidR="0017195B">
        <w:rPr>
          <w:rFonts w:hint="cs"/>
          <w:rtl/>
          <w:lang w:bidi="ar-EG"/>
        </w:rPr>
        <w:t>ال</w:t>
      </w:r>
      <w:proofErr w:type="spellEnd"/>
      <w:r w:rsidR="00B87E9D" w:rsidRPr="00B87E9D">
        <w:rPr>
          <w:rFonts w:hint="cs"/>
          <w:rtl/>
          <w:lang w:bidi="ar"/>
        </w:rPr>
        <w:t xml:space="preserve">جدوى </w:t>
      </w:r>
      <w:r w:rsidR="0017195B">
        <w:rPr>
          <w:rFonts w:hint="cs"/>
          <w:rtl/>
          <w:lang w:bidi="ar"/>
        </w:rPr>
        <w:t xml:space="preserve">من </w:t>
      </w:r>
      <w:r w:rsidR="00B87E9D" w:rsidRPr="00B87E9D">
        <w:rPr>
          <w:rFonts w:hint="cs"/>
          <w:rtl/>
          <w:lang w:bidi="ar"/>
        </w:rPr>
        <w:t>تحديد المدة القصوى ل</w:t>
      </w:r>
      <w:r w:rsidR="0017195B">
        <w:rPr>
          <w:rFonts w:hint="cs"/>
          <w:rtl/>
          <w:lang w:bidi="ar"/>
        </w:rPr>
        <w:t>ولاية</w:t>
      </w:r>
      <w:r w:rsidR="00B87E9D" w:rsidRPr="00B87E9D">
        <w:rPr>
          <w:rFonts w:hint="cs"/>
          <w:rtl/>
          <w:lang w:bidi="ar"/>
        </w:rPr>
        <w:t xml:space="preserve"> رؤساء </w:t>
      </w:r>
      <w:r w:rsidR="00B87E9D">
        <w:rPr>
          <w:rFonts w:hint="cs"/>
          <w:rtl/>
          <w:lang w:bidi="ar"/>
        </w:rPr>
        <w:t>أفرقة</w:t>
      </w:r>
      <w:r w:rsidR="00B87E9D" w:rsidRPr="00B87E9D">
        <w:rPr>
          <w:rFonts w:hint="cs"/>
          <w:rtl/>
          <w:lang w:bidi="ar"/>
        </w:rPr>
        <w:t xml:space="preserve"> العمل للاتصالات الراديوية؛</w:t>
      </w:r>
    </w:p>
    <w:p w14:paraId="2CF23EC8" w14:textId="1B2B2E6B" w:rsidR="00013F5C" w:rsidRDefault="005D7460" w:rsidP="003C66EC">
      <w:pPr>
        <w:pStyle w:val="enumlev1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ب)</w:t>
      </w:r>
      <w:r>
        <w:rPr>
          <w:rtl/>
          <w:lang w:bidi="ar-EG"/>
        </w:rPr>
        <w:tab/>
      </w:r>
      <w:r w:rsidR="00657AD9" w:rsidRPr="003A41CC">
        <w:rPr>
          <w:rFonts w:hint="cs"/>
          <w:rtl/>
          <w:lang w:val="es-ES" w:bidi="ar-EG"/>
        </w:rPr>
        <w:t>إضافة أحكام بشأن تدريب رؤساء ونواب رؤساء لجان الدراسات المنتخبين حديثاً</w:t>
      </w:r>
      <w:r w:rsidR="00B87E9D">
        <w:rPr>
          <w:rFonts w:hint="cs"/>
          <w:rtl/>
          <w:lang w:val="es-ES" w:bidi="ar-EG"/>
        </w:rPr>
        <w:t>؛</w:t>
      </w:r>
    </w:p>
    <w:p w14:paraId="19184A75" w14:textId="00A00C6B" w:rsidR="00B87E9D" w:rsidRPr="00B52348" w:rsidRDefault="005D7460" w:rsidP="003C66EC">
      <w:pPr>
        <w:pStyle w:val="enumlev1"/>
        <w:rPr>
          <w:spacing w:val="-2"/>
          <w:lang w:val="fr-FR" w:bidi="ar-EG"/>
        </w:rPr>
      </w:pPr>
      <w:r w:rsidRPr="00B52348">
        <w:rPr>
          <w:rFonts w:hint="cs"/>
          <w:spacing w:val="-2"/>
          <w:rtl/>
          <w:lang w:bidi="ar-EG"/>
        </w:rPr>
        <w:t>ج)</w:t>
      </w:r>
      <w:r w:rsidRPr="00B52348">
        <w:rPr>
          <w:spacing w:val="-2"/>
          <w:rtl/>
          <w:lang w:bidi="ar-EG"/>
        </w:rPr>
        <w:tab/>
      </w:r>
      <w:r w:rsidR="00B87E9D" w:rsidRPr="00B52348">
        <w:rPr>
          <w:rFonts w:hint="cs"/>
          <w:spacing w:val="-2"/>
          <w:rtl/>
          <w:lang w:bidi="ar"/>
        </w:rPr>
        <w:t>خطوات لتجنب ازدواجية قرارات مؤتمر المندوبين المفوضين و</w:t>
      </w:r>
      <w:r w:rsidR="0017195B" w:rsidRPr="00B52348">
        <w:rPr>
          <w:rFonts w:hint="cs"/>
          <w:spacing w:val="-2"/>
          <w:rtl/>
          <w:lang w:bidi="ar"/>
        </w:rPr>
        <w:t>ل</w:t>
      </w:r>
      <w:r w:rsidR="00B87E9D" w:rsidRPr="00B52348">
        <w:rPr>
          <w:rFonts w:hint="cs"/>
          <w:spacing w:val="-2"/>
          <w:rtl/>
          <w:lang w:bidi="ar"/>
        </w:rPr>
        <w:t>ت</w:t>
      </w:r>
      <w:r w:rsidR="00A85DDA" w:rsidRPr="00B52348">
        <w:rPr>
          <w:rFonts w:hint="cs"/>
          <w:spacing w:val="-2"/>
          <w:rtl/>
          <w:lang w:bidi="ar"/>
        </w:rPr>
        <w:t>بسيط</w:t>
      </w:r>
      <w:r w:rsidR="00B87E9D" w:rsidRPr="00B52348">
        <w:rPr>
          <w:rFonts w:hint="cs"/>
          <w:spacing w:val="-2"/>
          <w:rtl/>
          <w:lang w:bidi="ar"/>
        </w:rPr>
        <w:t xml:space="preserve"> قرارات قطاع الاتصالات الراديوية تبعاً</w:t>
      </w:r>
      <w:r w:rsidR="00E478A2" w:rsidRPr="00B52348">
        <w:rPr>
          <w:rFonts w:hint="eastAsia"/>
          <w:spacing w:val="-2"/>
          <w:rtl/>
          <w:lang w:bidi="ar"/>
        </w:rPr>
        <w:t> </w:t>
      </w:r>
      <w:r w:rsidR="00B87E9D" w:rsidRPr="00B52348">
        <w:rPr>
          <w:rFonts w:hint="cs"/>
          <w:spacing w:val="-2"/>
          <w:rtl/>
          <w:lang w:bidi="ar"/>
        </w:rPr>
        <w:t>لذلك؛</w:t>
      </w:r>
    </w:p>
    <w:p w14:paraId="0DD5B54A" w14:textId="32B4F9A4" w:rsidR="00013F5C" w:rsidRDefault="001A2600" w:rsidP="003C66EC">
      <w:pPr>
        <w:pStyle w:val="enumlev1"/>
        <w:rPr>
          <w:rtl/>
          <w:lang w:bidi="ar-EG"/>
        </w:rPr>
      </w:pPr>
      <w:proofErr w:type="gramStart"/>
      <w:r>
        <w:rPr>
          <w:rFonts w:hint="cs"/>
          <w:rtl/>
          <w:lang w:bidi="ar-EG"/>
        </w:rPr>
        <w:t>د )</w:t>
      </w:r>
      <w:proofErr w:type="gramEnd"/>
      <w:r>
        <w:rPr>
          <w:rtl/>
          <w:lang w:bidi="ar-EG"/>
        </w:rPr>
        <w:tab/>
      </w:r>
      <w:r w:rsidR="00B87E9D">
        <w:rPr>
          <w:rFonts w:hint="cs"/>
          <w:rtl/>
          <w:lang w:bidi="ar-EG"/>
        </w:rPr>
        <w:t xml:space="preserve">مسائل أخرى </w:t>
      </w:r>
      <w:r w:rsidR="00B87E9D" w:rsidRPr="00B87E9D">
        <w:rPr>
          <w:rtl/>
        </w:rPr>
        <w:t xml:space="preserve">بناءً على </w:t>
      </w:r>
      <w:r w:rsidR="00B87E9D">
        <w:rPr>
          <w:rFonts w:hint="cs"/>
          <w:rtl/>
        </w:rPr>
        <w:t xml:space="preserve">تكليف </w:t>
      </w:r>
      <w:r w:rsidR="00B87E9D" w:rsidRPr="00B87E9D">
        <w:rPr>
          <w:rFonts w:hint="cs"/>
          <w:rtl/>
          <w:lang w:bidi="ar"/>
        </w:rPr>
        <w:t>الفريق الاستشاري للاتصالات الراديوية</w:t>
      </w:r>
      <w:r w:rsidR="001808C3">
        <w:rPr>
          <w:rFonts w:hint="cs"/>
          <w:rtl/>
          <w:lang w:bidi="ar"/>
        </w:rPr>
        <w:t>.</w:t>
      </w:r>
    </w:p>
    <w:p w14:paraId="2C12F00A" w14:textId="77777777" w:rsidR="0039465C" w:rsidRPr="0039465C" w:rsidRDefault="0039465C" w:rsidP="0039465C">
      <w:pPr>
        <w:spacing w:before="600"/>
        <w:jc w:val="center"/>
        <w:rPr>
          <w:rFonts w:hint="cs"/>
          <w:rtl/>
          <w:lang w:bidi="ar-EG"/>
        </w:rPr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4"/>
      <w:headerReference w:type="default" r:id="rId15"/>
      <w:footerReference w:type="default" r:id="rId16"/>
      <w:footerReference w:type="first" r:id="rId17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50A3C" w14:textId="77777777" w:rsidR="00C1409B" w:rsidRDefault="00C1409B" w:rsidP="002919E1">
      <w:r>
        <w:separator/>
      </w:r>
    </w:p>
    <w:p w14:paraId="6F666BD9" w14:textId="77777777" w:rsidR="00C1409B" w:rsidRDefault="00C1409B" w:rsidP="002919E1"/>
    <w:p w14:paraId="47444BAF" w14:textId="77777777" w:rsidR="00C1409B" w:rsidRDefault="00C1409B" w:rsidP="002919E1"/>
    <w:p w14:paraId="22184920" w14:textId="77777777" w:rsidR="00C1409B" w:rsidRDefault="00C1409B"/>
  </w:endnote>
  <w:endnote w:type="continuationSeparator" w:id="0">
    <w:p w14:paraId="34C039A9" w14:textId="77777777" w:rsidR="00C1409B" w:rsidRDefault="00C1409B" w:rsidP="002919E1">
      <w:r>
        <w:continuationSeparator/>
      </w:r>
    </w:p>
    <w:p w14:paraId="4D70CE87" w14:textId="77777777" w:rsidR="00C1409B" w:rsidRDefault="00C1409B" w:rsidP="002919E1"/>
    <w:p w14:paraId="7BAFEB7A" w14:textId="77777777" w:rsidR="00C1409B" w:rsidRDefault="00C1409B" w:rsidP="002919E1"/>
    <w:p w14:paraId="26E9B0BE" w14:textId="77777777" w:rsidR="00C1409B" w:rsidRDefault="00C14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7A00F" w14:textId="69B813EE" w:rsidR="00281F5F" w:rsidRPr="0012545F" w:rsidRDefault="0012545F" w:rsidP="0012545F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75474C">
      <w:rPr>
        <w:noProof/>
      </w:rPr>
      <w:t>P:\ARA\ITU-R\AG\RAG\RAG20\015A.docx</w:t>
    </w:r>
    <w:r>
      <w:fldChar w:fldCharType="end"/>
    </w:r>
    <w:proofErr w:type="gramStart"/>
    <w:r w:rsidRPr="00A809E8">
      <w:t xml:space="preserve">   (</w:t>
    </w:r>
    <w:proofErr w:type="gramEnd"/>
    <w:r w:rsidR="00657AD9">
      <w:t>471042</w:t>
    </w:r>
    <w:r w:rsidRPr="00A809E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AEC69" w14:textId="3CE7C061" w:rsidR="00281F5F" w:rsidRPr="00A809E8" w:rsidRDefault="00281F5F" w:rsidP="00A35E1F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75474C">
      <w:rPr>
        <w:noProof/>
      </w:rPr>
      <w:t>P:\ARA\ITU-R\AG\RAG\RAG20\015A.docx</w:t>
    </w:r>
    <w:r>
      <w:fldChar w:fldCharType="end"/>
    </w:r>
    <w:proofErr w:type="gramStart"/>
    <w:r w:rsidRPr="00A809E8">
      <w:t xml:space="preserve">   (</w:t>
    </w:r>
    <w:proofErr w:type="gramEnd"/>
    <w:r w:rsidR="00657AD9">
      <w:t>471042</w:t>
    </w:r>
    <w:r w:rsidRPr="00A809E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09C75" w14:textId="77777777" w:rsidR="00C1409B" w:rsidRDefault="00C1409B" w:rsidP="002919E1">
      <w:r>
        <w:t>___________________</w:t>
      </w:r>
    </w:p>
  </w:footnote>
  <w:footnote w:type="continuationSeparator" w:id="0">
    <w:p w14:paraId="0ECCD64B" w14:textId="77777777" w:rsidR="00C1409B" w:rsidRDefault="00C1409B" w:rsidP="002919E1">
      <w:r>
        <w:continuationSeparator/>
      </w:r>
    </w:p>
    <w:p w14:paraId="6345BFE1" w14:textId="77777777" w:rsidR="00C1409B" w:rsidRDefault="00C1409B" w:rsidP="002919E1"/>
    <w:p w14:paraId="05DF0344" w14:textId="77777777" w:rsidR="00C1409B" w:rsidRDefault="00C1409B" w:rsidP="002919E1"/>
    <w:p w14:paraId="578D0A17" w14:textId="77777777" w:rsidR="00C1409B" w:rsidRDefault="00C14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A360" w14:textId="77777777" w:rsidR="00281F5F" w:rsidRDefault="00281F5F" w:rsidP="002919E1"/>
  <w:p w14:paraId="71478E16" w14:textId="77777777" w:rsidR="00281F5F" w:rsidRDefault="00281F5F" w:rsidP="002919E1"/>
  <w:p w14:paraId="6122D7B4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6074F" w14:textId="2A4CC125" w:rsidR="00281F5F" w:rsidRPr="0088384B" w:rsidRDefault="00281F5F" w:rsidP="005730DF">
    <w:pPr>
      <w:bidi w:val="0"/>
      <w:spacing w:after="240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B12C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="002F3031">
      <w:rPr>
        <w:rStyle w:val="PageNumber"/>
      </w:rPr>
      <w:t>R</w:t>
    </w:r>
    <w:r w:rsidR="0057610B">
      <w:rPr>
        <w:rStyle w:val="PageNumber"/>
      </w:rPr>
      <w:t>AG</w:t>
    </w:r>
    <w:r w:rsidR="002F3031">
      <w:rPr>
        <w:rStyle w:val="PageNumber"/>
      </w:rPr>
      <w:t>20</w:t>
    </w:r>
    <w:r w:rsidR="00A809E8">
      <w:rPr>
        <w:rStyle w:val="PageNumber"/>
      </w:rPr>
      <w:t>/</w:t>
    </w:r>
    <w:r w:rsidR="00621D10">
      <w:rPr>
        <w:rStyle w:val="PageNumber"/>
      </w:rPr>
      <w:t>15</w:t>
    </w:r>
    <w:r w:rsidR="00A809E8">
      <w:rPr>
        <w:rStyle w:val="PageNumber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489C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4AB0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21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6C0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5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9B"/>
    <w:rsid w:val="00011021"/>
    <w:rsid w:val="000114EC"/>
    <w:rsid w:val="00011F8C"/>
    <w:rsid w:val="00013F5C"/>
    <w:rsid w:val="00022B74"/>
    <w:rsid w:val="0002327C"/>
    <w:rsid w:val="00034B65"/>
    <w:rsid w:val="00040C94"/>
    <w:rsid w:val="000425FC"/>
    <w:rsid w:val="00044D43"/>
    <w:rsid w:val="00051907"/>
    <w:rsid w:val="00075A3F"/>
    <w:rsid w:val="000A1B16"/>
    <w:rsid w:val="000B3896"/>
    <w:rsid w:val="000B5404"/>
    <w:rsid w:val="000D1708"/>
    <w:rsid w:val="000E2AFC"/>
    <w:rsid w:val="000E6D30"/>
    <w:rsid w:val="000F0241"/>
    <w:rsid w:val="000F05F5"/>
    <w:rsid w:val="000F518F"/>
    <w:rsid w:val="0010081C"/>
    <w:rsid w:val="001013E3"/>
    <w:rsid w:val="0010363F"/>
    <w:rsid w:val="00110F56"/>
    <w:rsid w:val="00123AA6"/>
    <w:rsid w:val="0012545F"/>
    <w:rsid w:val="00136B82"/>
    <w:rsid w:val="00137F4E"/>
    <w:rsid w:val="00145B81"/>
    <w:rsid w:val="001464F2"/>
    <w:rsid w:val="00167364"/>
    <w:rsid w:val="0017195B"/>
    <w:rsid w:val="00175281"/>
    <w:rsid w:val="001808C3"/>
    <w:rsid w:val="001903B2"/>
    <w:rsid w:val="001926C8"/>
    <w:rsid w:val="001A1D47"/>
    <w:rsid w:val="001A2600"/>
    <w:rsid w:val="001B5953"/>
    <w:rsid w:val="001B70A8"/>
    <w:rsid w:val="001D2FDF"/>
    <w:rsid w:val="001D746E"/>
    <w:rsid w:val="001E190C"/>
    <w:rsid w:val="001E51EE"/>
    <w:rsid w:val="001E54F6"/>
    <w:rsid w:val="001E5A8C"/>
    <w:rsid w:val="00200220"/>
    <w:rsid w:val="00201A0A"/>
    <w:rsid w:val="002075D4"/>
    <w:rsid w:val="00211B2A"/>
    <w:rsid w:val="002234B2"/>
    <w:rsid w:val="00223C6C"/>
    <w:rsid w:val="002333A0"/>
    <w:rsid w:val="002428C1"/>
    <w:rsid w:val="00242BB7"/>
    <w:rsid w:val="002431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6AB3"/>
    <w:rsid w:val="002A7E2E"/>
    <w:rsid w:val="002B12C5"/>
    <w:rsid w:val="002B16D8"/>
    <w:rsid w:val="002D5F64"/>
    <w:rsid w:val="002D6BB4"/>
    <w:rsid w:val="002D6FBF"/>
    <w:rsid w:val="002E31D8"/>
    <w:rsid w:val="002E48BF"/>
    <w:rsid w:val="002E61C2"/>
    <w:rsid w:val="002F3031"/>
    <w:rsid w:val="002F3E46"/>
    <w:rsid w:val="002F4511"/>
    <w:rsid w:val="003013BC"/>
    <w:rsid w:val="00311E3F"/>
    <w:rsid w:val="00314B1E"/>
    <w:rsid w:val="0032186F"/>
    <w:rsid w:val="0033737F"/>
    <w:rsid w:val="00353652"/>
    <w:rsid w:val="00353A4F"/>
    <w:rsid w:val="003569E1"/>
    <w:rsid w:val="003652CE"/>
    <w:rsid w:val="00380E7A"/>
    <w:rsid w:val="003815E2"/>
    <w:rsid w:val="00381FAD"/>
    <w:rsid w:val="00382A66"/>
    <w:rsid w:val="003923B1"/>
    <w:rsid w:val="0039465C"/>
    <w:rsid w:val="003965FE"/>
    <w:rsid w:val="003B1ECB"/>
    <w:rsid w:val="003B27AD"/>
    <w:rsid w:val="003B4F23"/>
    <w:rsid w:val="003C12F6"/>
    <w:rsid w:val="003C3A13"/>
    <w:rsid w:val="003C66EC"/>
    <w:rsid w:val="003E02EF"/>
    <w:rsid w:val="003E1D90"/>
    <w:rsid w:val="00400CD4"/>
    <w:rsid w:val="004147B9"/>
    <w:rsid w:val="00422C04"/>
    <w:rsid w:val="00423A40"/>
    <w:rsid w:val="00426144"/>
    <w:rsid w:val="00441707"/>
    <w:rsid w:val="004448DF"/>
    <w:rsid w:val="004636E2"/>
    <w:rsid w:val="004707FF"/>
    <w:rsid w:val="00470CBD"/>
    <w:rsid w:val="0047407D"/>
    <w:rsid w:val="00485A83"/>
    <w:rsid w:val="004909DD"/>
    <w:rsid w:val="004A05E6"/>
    <w:rsid w:val="004A6230"/>
    <w:rsid w:val="004A6C66"/>
    <w:rsid w:val="004A7AA0"/>
    <w:rsid w:val="004C11BC"/>
    <w:rsid w:val="004C5C04"/>
    <w:rsid w:val="004C6C4F"/>
    <w:rsid w:val="004D0448"/>
    <w:rsid w:val="004D4AE6"/>
    <w:rsid w:val="004E0EC7"/>
    <w:rsid w:val="004E3152"/>
    <w:rsid w:val="004F0BED"/>
    <w:rsid w:val="004F3374"/>
    <w:rsid w:val="00505521"/>
    <w:rsid w:val="00505FCA"/>
    <w:rsid w:val="00510C2D"/>
    <w:rsid w:val="00516042"/>
    <w:rsid w:val="005166A4"/>
    <w:rsid w:val="005169F4"/>
    <w:rsid w:val="005210D1"/>
    <w:rsid w:val="00523146"/>
    <w:rsid w:val="00523275"/>
    <w:rsid w:val="005241F3"/>
    <w:rsid w:val="00526940"/>
    <w:rsid w:val="00530010"/>
    <w:rsid w:val="00531DC7"/>
    <w:rsid w:val="005350B0"/>
    <w:rsid w:val="005431B5"/>
    <w:rsid w:val="00546A99"/>
    <w:rsid w:val="00551E10"/>
    <w:rsid w:val="00553411"/>
    <w:rsid w:val="00553F66"/>
    <w:rsid w:val="00554AE7"/>
    <w:rsid w:val="00564746"/>
    <w:rsid w:val="0056512C"/>
    <w:rsid w:val="00567F38"/>
    <w:rsid w:val="005719CC"/>
    <w:rsid w:val="005730DF"/>
    <w:rsid w:val="00573EBA"/>
    <w:rsid w:val="0057610B"/>
    <w:rsid w:val="00576D0A"/>
    <w:rsid w:val="00576FCC"/>
    <w:rsid w:val="00584333"/>
    <w:rsid w:val="00591629"/>
    <w:rsid w:val="00592E50"/>
    <w:rsid w:val="005953EC"/>
    <w:rsid w:val="005B00A1"/>
    <w:rsid w:val="005C29C8"/>
    <w:rsid w:val="005C5D25"/>
    <w:rsid w:val="005D2606"/>
    <w:rsid w:val="005D6D48"/>
    <w:rsid w:val="005D72A4"/>
    <w:rsid w:val="005D7460"/>
    <w:rsid w:val="005F05CC"/>
    <w:rsid w:val="005F1D33"/>
    <w:rsid w:val="005F65DE"/>
    <w:rsid w:val="00613492"/>
    <w:rsid w:val="00621D10"/>
    <w:rsid w:val="00630905"/>
    <w:rsid w:val="006315B5"/>
    <w:rsid w:val="0065562F"/>
    <w:rsid w:val="006559B5"/>
    <w:rsid w:val="006577C0"/>
    <w:rsid w:val="00657AD9"/>
    <w:rsid w:val="006779A4"/>
    <w:rsid w:val="00680A66"/>
    <w:rsid w:val="00681391"/>
    <w:rsid w:val="006906E7"/>
    <w:rsid w:val="00694690"/>
    <w:rsid w:val="0069526C"/>
    <w:rsid w:val="006A12AC"/>
    <w:rsid w:val="006A2162"/>
    <w:rsid w:val="006A2349"/>
    <w:rsid w:val="006B4B90"/>
    <w:rsid w:val="006B58B3"/>
    <w:rsid w:val="006B658C"/>
    <w:rsid w:val="006D2674"/>
    <w:rsid w:val="006D343D"/>
    <w:rsid w:val="006D6BFE"/>
    <w:rsid w:val="006E38D0"/>
    <w:rsid w:val="006E465B"/>
    <w:rsid w:val="006F6A79"/>
    <w:rsid w:val="006F70BF"/>
    <w:rsid w:val="00716B1D"/>
    <w:rsid w:val="007248EC"/>
    <w:rsid w:val="00726744"/>
    <w:rsid w:val="00726FE9"/>
    <w:rsid w:val="00731150"/>
    <w:rsid w:val="00734E41"/>
    <w:rsid w:val="007351CE"/>
    <w:rsid w:val="00735296"/>
    <w:rsid w:val="00736DCC"/>
    <w:rsid w:val="00741855"/>
    <w:rsid w:val="00742B73"/>
    <w:rsid w:val="0074594B"/>
    <w:rsid w:val="00751251"/>
    <w:rsid w:val="0075474C"/>
    <w:rsid w:val="007570D8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6BC"/>
    <w:rsid w:val="007C3CFA"/>
    <w:rsid w:val="007E0E8B"/>
    <w:rsid w:val="007E549B"/>
    <w:rsid w:val="007E6847"/>
    <w:rsid w:val="007E6B0A"/>
    <w:rsid w:val="007F08CA"/>
    <w:rsid w:val="007F7FC3"/>
    <w:rsid w:val="00810482"/>
    <w:rsid w:val="00812F36"/>
    <w:rsid w:val="00817568"/>
    <w:rsid w:val="008204AC"/>
    <w:rsid w:val="008261C2"/>
    <w:rsid w:val="00830D96"/>
    <w:rsid w:val="0085569D"/>
    <w:rsid w:val="00855B59"/>
    <w:rsid w:val="0085774F"/>
    <w:rsid w:val="008614B8"/>
    <w:rsid w:val="0086352B"/>
    <w:rsid w:val="008657CB"/>
    <w:rsid w:val="00866D69"/>
    <w:rsid w:val="008713E5"/>
    <w:rsid w:val="00873A6F"/>
    <w:rsid w:val="0088384B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C7BC3"/>
    <w:rsid w:val="008D6ACC"/>
    <w:rsid w:val="008D7AF0"/>
    <w:rsid w:val="008E1E55"/>
    <w:rsid w:val="008E2CBE"/>
    <w:rsid w:val="008E32DD"/>
    <w:rsid w:val="008F202D"/>
    <w:rsid w:val="008F2045"/>
    <w:rsid w:val="008F4626"/>
    <w:rsid w:val="009004DF"/>
    <w:rsid w:val="00901FA7"/>
    <w:rsid w:val="00904AA5"/>
    <w:rsid w:val="009350B7"/>
    <w:rsid w:val="00951718"/>
    <w:rsid w:val="00960962"/>
    <w:rsid w:val="00972CE0"/>
    <w:rsid w:val="009A3D30"/>
    <w:rsid w:val="009D07AC"/>
    <w:rsid w:val="009D6348"/>
    <w:rsid w:val="009E5007"/>
    <w:rsid w:val="009E613F"/>
    <w:rsid w:val="009F042B"/>
    <w:rsid w:val="009F6F56"/>
    <w:rsid w:val="00A03FD6"/>
    <w:rsid w:val="00A04CF4"/>
    <w:rsid w:val="00A116A8"/>
    <w:rsid w:val="00A14570"/>
    <w:rsid w:val="00A17E61"/>
    <w:rsid w:val="00A22AE9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66D2B"/>
    <w:rsid w:val="00A720E4"/>
    <w:rsid w:val="00A809E8"/>
    <w:rsid w:val="00A85DDA"/>
    <w:rsid w:val="00A85F11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3FDA"/>
    <w:rsid w:val="00AE5D07"/>
    <w:rsid w:val="00AE6B26"/>
    <w:rsid w:val="00AF22C1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176D8"/>
    <w:rsid w:val="00B357E9"/>
    <w:rsid w:val="00B4164D"/>
    <w:rsid w:val="00B425C1"/>
    <w:rsid w:val="00B52348"/>
    <w:rsid w:val="00B60278"/>
    <w:rsid w:val="00B606BA"/>
    <w:rsid w:val="00B66817"/>
    <w:rsid w:val="00B71E3B"/>
    <w:rsid w:val="00B721D5"/>
    <w:rsid w:val="00B7669C"/>
    <w:rsid w:val="00B81CB5"/>
    <w:rsid w:val="00B8351F"/>
    <w:rsid w:val="00B86C44"/>
    <w:rsid w:val="00B87E9D"/>
    <w:rsid w:val="00B9727C"/>
    <w:rsid w:val="00BA7D44"/>
    <w:rsid w:val="00BD6291"/>
    <w:rsid w:val="00BD6EF3"/>
    <w:rsid w:val="00BE69C3"/>
    <w:rsid w:val="00C1165E"/>
    <w:rsid w:val="00C1409B"/>
    <w:rsid w:val="00C22074"/>
    <w:rsid w:val="00C2377B"/>
    <w:rsid w:val="00C34E09"/>
    <w:rsid w:val="00C3693C"/>
    <w:rsid w:val="00C449F7"/>
    <w:rsid w:val="00C53F6F"/>
    <w:rsid w:val="00C5489D"/>
    <w:rsid w:val="00C71759"/>
    <w:rsid w:val="00C81951"/>
    <w:rsid w:val="00C8199C"/>
    <w:rsid w:val="00C83B17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14B"/>
    <w:rsid w:val="00CD0FDE"/>
    <w:rsid w:val="00CD1574"/>
    <w:rsid w:val="00CE0E68"/>
    <w:rsid w:val="00CE5BA4"/>
    <w:rsid w:val="00CF50AF"/>
    <w:rsid w:val="00D06092"/>
    <w:rsid w:val="00D06A98"/>
    <w:rsid w:val="00D10A02"/>
    <w:rsid w:val="00D20172"/>
    <w:rsid w:val="00D25120"/>
    <w:rsid w:val="00D25D01"/>
    <w:rsid w:val="00D34774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6E91"/>
    <w:rsid w:val="00DC7C0E"/>
    <w:rsid w:val="00DE7387"/>
    <w:rsid w:val="00DF2A6A"/>
    <w:rsid w:val="00DF3B72"/>
    <w:rsid w:val="00E10821"/>
    <w:rsid w:val="00E21A09"/>
    <w:rsid w:val="00E237C4"/>
    <w:rsid w:val="00E2489D"/>
    <w:rsid w:val="00E26520"/>
    <w:rsid w:val="00E26732"/>
    <w:rsid w:val="00E343A3"/>
    <w:rsid w:val="00E47277"/>
    <w:rsid w:val="00E478A2"/>
    <w:rsid w:val="00E51BFA"/>
    <w:rsid w:val="00E609BF"/>
    <w:rsid w:val="00E621A3"/>
    <w:rsid w:val="00E63B0A"/>
    <w:rsid w:val="00E72788"/>
    <w:rsid w:val="00E833BC"/>
    <w:rsid w:val="00E8580E"/>
    <w:rsid w:val="00E97E21"/>
    <w:rsid w:val="00EA1B76"/>
    <w:rsid w:val="00EA77D7"/>
    <w:rsid w:val="00EC09B9"/>
    <w:rsid w:val="00EC753E"/>
    <w:rsid w:val="00ED048C"/>
    <w:rsid w:val="00EE4564"/>
    <w:rsid w:val="00EE60E9"/>
    <w:rsid w:val="00EF38AF"/>
    <w:rsid w:val="00EF71C2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7608A"/>
    <w:rsid w:val="00F84613"/>
    <w:rsid w:val="00F8654D"/>
    <w:rsid w:val="00F900C9"/>
    <w:rsid w:val="00F92C96"/>
    <w:rsid w:val="00F97D1C"/>
    <w:rsid w:val="00FA0D4E"/>
    <w:rsid w:val="00FB0753"/>
    <w:rsid w:val="00FB5CC8"/>
    <w:rsid w:val="00FB7C72"/>
    <w:rsid w:val="00FC2CD0"/>
    <w:rsid w:val="00FD0594"/>
    <w:rsid w:val="00FD24E2"/>
    <w:rsid w:val="00FE5DAB"/>
    <w:rsid w:val="00FF4FFF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01EA6F7"/>
  <w15:docId w15:val="{F15FD766-1883-4C03-900B-D941C5E0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6577C0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6577C0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semiHidden/>
    <w:unhideWhenUsed/>
    <w:rsid w:val="00B87E9D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87E9D"/>
    <w:rPr>
      <w:rFonts w:ascii="Consolas" w:hAnsi="Consolas" w:cs="Duba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u.int/md/R19-RA19-C-0084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EFC4C3-DC4A-4907-A9BB-98121FAC99D6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32a1a8c5-2265-4ebc-b7a0-2071e2c5c9bb"/>
    <ds:schemaRef ds:uri="http://schemas.microsoft.com/office/2006/metadata/properties"/>
    <ds:schemaRef ds:uri="996b2e75-67fd-4955-a3b0-5ab9934cb50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F70F937-F34C-4F5B-80F5-C2B05226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690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Aly, Abdullah</dc:creator>
  <cp:keywords>WRC-12</cp:keywords>
  <cp:lastModifiedBy>Arabic</cp:lastModifiedBy>
  <cp:revision>35</cp:revision>
  <cp:lastPrinted>2019-06-26T10:10:00Z</cp:lastPrinted>
  <dcterms:created xsi:type="dcterms:W3CDTF">2020-05-13T08:19:00Z</dcterms:created>
  <dcterms:modified xsi:type="dcterms:W3CDTF">2020-05-13T09:30:00Z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