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8C7E20" w14:paraId="7998D035" w14:textId="77777777" w:rsidTr="00443261">
        <w:trPr>
          <w:cantSplit/>
        </w:trPr>
        <w:tc>
          <w:tcPr>
            <w:tcW w:w="6771" w:type="dxa"/>
            <w:vAlign w:val="center"/>
          </w:tcPr>
          <w:p w14:paraId="66F71699" w14:textId="77777777" w:rsidR="00443261" w:rsidRPr="008C7E20" w:rsidRDefault="00443261" w:rsidP="006D633C">
            <w:pPr>
              <w:shd w:val="solid" w:color="FFFFFF" w:fill="FFFFFF"/>
              <w:spacing w:before="360" w:after="240"/>
              <w:rPr>
                <w:rFonts w:ascii="Verdana" w:hAnsi="Verdana"/>
                <w:b/>
                <w:bCs/>
              </w:rPr>
            </w:pPr>
            <w:r w:rsidRPr="008C7E20">
              <w:rPr>
                <w:rFonts w:ascii="Verdana" w:hAnsi="Verdana" w:cs="Times New Roman Bold"/>
                <w:b/>
                <w:sz w:val="25"/>
                <w:szCs w:val="25"/>
              </w:rPr>
              <w:t>Groupe Consultatif des Radiocommunications</w:t>
            </w:r>
            <w:r w:rsidRPr="008C7E20">
              <w:rPr>
                <w:rFonts w:ascii="Verdana" w:hAnsi="Verdana"/>
                <w:b/>
                <w:sz w:val="25"/>
                <w:szCs w:val="25"/>
              </w:rPr>
              <w:br/>
            </w:r>
            <w:r w:rsidRPr="008C7E20">
              <w:rPr>
                <w:rFonts w:ascii="Verdana" w:hAnsi="Verdana" w:cs="Times New Roman Bold"/>
                <w:b/>
                <w:bCs/>
                <w:sz w:val="20"/>
              </w:rPr>
              <w:t>Genève,</w:t>
            </w:r>
            <w:r w:rsidRPr="008C7E20">
              <w:rPr>
                <w:rFonts w:ascii="Verdana" w:hAnsi="Verdana"/>
                <w:b/>
                <w:bCs/>
                <w:sz w:val="20"/>
              </w:rPr>
              <w:t xml:space="preserve"> </w:t>
            </w:r>
            <w:r w:rsidR="004E76DF" w:rsidRPr="008C7E20">
              <w:rPr>
                <w:rFonts w:ascii="Verdana" w:hAnsi="Verdana"/>
                <w:b/>
                <w:bCs/>
                <w:sz w:val="20"/>
              </w:rPr>
              <w:t>25</w:t>
            </w:r>
            <w:r w:rsidRPr="008C7E20">
              <w:rPr>
                <w:rFonts w:ascii="Verdana" w:hAnsi="Verdana"/>
                <w:b/>
                <w:bCs/>
                <w:sz w:val="20"/>
              </w:rPr>
              <w:t>-</w:t>
            </w:r>
            <w:r w:rsidR="004E76DF" w:rsidRPr="008C7E20">
              <w:rPr>
                <w:rFonts w:ascii="Verdana" w:hAnsi="Verdana"/>
                <w:b/>
                <w:bCs/>
                <w:sz w:val="20"/>
              </w:rPr>
              <w:t>27</w:t>
            </w:r>
            <w:r w:rsidRPr="008C7E20">
              <w:rPr>
                <w:rFonts w:ascii="Verdana" w:hAnsi="Verdana"/>
                <w:b/>
                <w:bCs/>
                <w:sz w:val="20"/>
              </w:rPr>
              <w:t xml:space="preserve"> </w:t>
            </w:r>
            <w:r w:rsidR="004E76DF" w:rsidRPr="008C7E20">
              <w:rPr>
                <w:rFonts w:ascii="Verdana" w:hAnsi="Verdana"/>
                <w:b/>
                <w:bCs/>
                <w:sz w:val="20"/>
              </w:rPr>
              <w:t>mai</w:t>
            </w:r>
            <w:r w:rsidRPr="008C7E20">
              <w:rPr>
                <w:rFonts w:ascii="Verdana" w:hAnsi="Verdana"/>
                <w:b/>
                <w:bCs/>
                <w:sz w:val="20"/>
              </w:rPr>
              <w:t xml:space="preserve"> 20</w:t>
            </w:r>
            <w:r w:rsidR="007711EA" w:rsidRPr="008C7E20">
              <w:rPr>
                <w:rFonts w:ascii="Verdana" w:hAnsi="Verdana"/>
                <w:b/>
                <w:bCs/>
                <w:sz w:val="20"/>
              </w:rPr>
              <w:t>20</w:t>
            </w:r>
          </w:p>
        </w:tc>
        <w:tc>
          <w:tcPr>
            <w:tcW w:w="3118" w:type="dxa"/>
          </w:tcPr>
          <w:p w14:paraId="302AEB7C" w14:textId="77777777" w:rsidR="00443261" w:rsidRPr="008C7E20" w:rsidRDefault="007711EA" w:rsidP="006D633C">
            <w:pPr>
              <w:shd w:val="solid" w:color="FFFFFF" w:fill="FFFFFF"/>
              <w:spacing w:before="0"/>
            </w:pPr>
            <w:r w:rsidRPr="008C7E20">
              <w:drawing>
                <wp:inline distT="0" distB="0" distL="0" distR="0" wp14:anchorId="4A9DB2F1" wp14:editId="1EE6B4F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8C7E20" w14:paraId="535C2F44" w14:textId="77777777">
        <w:trPr>
          <w:cantSplit/>
        </w:trPr>
        <w:tc>
          <w:tcPr>
            <w:tcW w:w="6771" w:type="dxa"/>
            <w:tcBorders>
              <w:bottom w:val="single" w:sz="12" w:space="0" w:color="auto"/>
            </w:tcBorders>
          </w:tcPr>
          <w:p w14:paraId="76786B20" w14:textId="77777777" w:rsidR="002D238A" w:rsidRPr="008C7E20" w:rsidRDefault="002D238A" w:rsidP="006D633C">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4B29DCB" w14:textId="77777777" w:rsidR="002D238A" w:rsidRPr="008C7E20" w:rsidRDefault="002D238A" w:rsidP="006D633C">
            <w:pPr>
              <w:shd w:val="solid" w:color="FFFFFF" w:fill="FFFFFF"/>
              <w:spacing w:before="0" w:after="48"/>
              <w:rPr>
                <w:sz w:val="22"/>
                <w:szCs w:val="22"/>
              </w:rPr>
            </w:pPr>
          </w:p>
        </w:tc>
      </w:tr>
      <w:tr w:rsidR="002D238A" w:rsidRPr="008C7E20" w14:paraId="7F66FFC5" w14:textId="77777777">
        <w:trPr>
          <w:cantSplit/>
        </w:trPr>
        <w:tc>
          <w:tcPr>
            <w:tcW w:w="6771" w:type="dxa"/>
            <w:tcBorders>
              <w:top w:val="single" w:sz="12" w:space="0" w:color="auto"/>
            </w:tcBorders>
          </w:tcPr>
          <w:p w14:paraId="128E183A" w14:textId="77777777" w:rsidR="002D238A" w:rsidRPr="008C7E20" w:rsidRDefault="002D238A" w:rsidP="006D633C">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70441859" w14:textId="77777777" w:rsidR="002D238A" w:rsidRPr="008C7E20" w:rsidRDefault="002D238A" w:rsidP="006D633C">
            <w:pPr>
              <w:shd w:val="solid" w:color="FFFFFF" w:fill="FFFFFF"/>
              <w:spacing w:before="0" w:after="48"/>
              <w:rPr>
                <w:rFonts w:ascii="Verdana" w:hAnsi="Verdana"/>
                <w:sz w:val="22"/>
                <w:szCs w:val="22"/>
              </w:rPr>
            </w:pPr>
          </w:p>
        </w:tc>
      </w:tr>
      <w:tr w:rsidR="002D238A" w:rsidRPr="008C7E20" w14:paraId="104C87FC" w14:textId="77777777">
        <w:trPr>
          <w:cantSplit/>
        </w:trPr>
        <w:tc>
          <w:tcPr>
            <w:tcW w:w="6771" w:type="dxa"/>
            <w:vMerge w:val="restart"/>
          </w:tcPr>
          <w:p w14:paraId="2D6F2912" w14:textId="5499C93B" w:rsidR="002D238A" w:rsidRPr="008C7E20" w:rsidRDefault="0023498A" w:rsidP="006D633C">
            <w:pPr>
              <w:shd w:val="solid" w:color="FFFFFF" w:fill="FFFFFF"/>
              <w:tabs>
                <w:tab w:val="clear" w:pos="794"/>
                <w:tab w:val="clear" w:pos="1191"/>
                <w:tab w:val="clear" w:pos="1588"/>
                <w:tab w:val="clear" w:pos="1985"/>
                <w:tab w:val="left" w:pos="1020"/>
              </w:tabs>
              <w:spacing w:before="0"/>
              <w:ind w:left="1020" w:hanging="1020"/>
              <w:rPr>
                <w:rFonts w:ascii="Verdana" w:hAnsi="Verdana"/>
                <w:sz w:val="20"/>
              </w:rPr>
            </w:pPr>
            <w:bookmarkStart w:id="0" w:name="dnum" w:colFirst="1" w:colLast="1"/>
            <w:r w:rsidRPr="008C7E20">
              <w:rPr>
                <w:rFonts w:ascii="Verdana" w:hAnsi="Verdana"/>
                <w:sz w:val="20"/>
              </w:rPr>
              <w:t xml:space="preserve"> </w:t>
            </w:r>
          </w:p>
        </w:tc>
        <w:tc>
          <w:tcPr>
            <w:tcW w:w="3118" w:type="dxa"/>
          </w:tcPr>
          <w:p w14:paraId="1C875ECC" w14:textId="6E73009A" w:rsidR="002D238A" w:rsidRPr="008C7E20" w:rsidRDefault="0023498A" w:rsidP="006D633C">
            <w:pPr>
              <w:shd w:val="solid" w:color="FFFFFF" w:fill="FFFFFF"/>
              <w:spacing w:before="0"/>
              <w:rPr>
                <w:rFonts w:ascii="Verdana" w:hAnsi="Verdana"/>
                <w:sz w:val="20"/>
              </w:rPr>
            </w:pPr>
            <w:r w:rsidRPr="008C7E20">
              <w:rPr>
                <w:rFonts w:ascii="Verdana" w:hAnsi="Verdana"/>
                <w:b/>
                <w:sz w:val="20"/>
              </w:rPr>
              <w:t>Révision 1 du</w:t>
            </w:r>
            <w:r w:rsidR="006D633C" w:rsidRPr="008C7E20">
              <w:rPr>
                <w:rFonts w:ascii="Verdana" w:hAnsi="Verdana"/>
                <w:b/>
                <w:sz w:val="20"/>
              </w:rPr>
              <w:br/>
            </w:r>
            <w:r w:rsidR="00A42C35" w:rsidRPr="008C7E20">
              <w:rPr>
                <w:rFonts w:ascii="Verdana" w:hAnsi="Verdana"/>
                <w:b/>
                <w:sz w:val="20"/>
              </w:rPr>
              <w:t>Document RAG20/12-F</w:t>
            </w:r>
          </w:p>
        </w:tc>
      </w:tr>
      <w:tr w:rsidR="002D238A" w:rsidRPr="008C7E20" w14:paraId="72554260" w14:textId="77777777">
        <w:trPr>
          <w:cantSplit/>
        </w:trPr>
        <w:tc>
          <w:tcPr>
            <w:tcW w:w="6771" w:type="dxa"/>
            <w:vMerge/>
          </w:tcPr>
          <w:p w14:paraId="63099A26" w14:textId="77777777" w:rsidR="002D238A" w:rsidRPr="008C7E20" w:rsidRDefault="002D238A" w:rsidP="006D633C">
            <w:pPr>
              <w:spacing w:before="60"/>
              <w:jc w:val="center"/>
              <w:rPr>
                <w:b/>
                <w:smallCaps/>
                <w:sz w:val="32"/>
              </w:rPr>
            </w:pPr>
            <w:bookmarkStart w:id="1" w:name="ddate" w:colFirst="1" w:colLast="1"/>
            <w:bookmarkEnd w:id="0"/>
          </w:p>
        </w:tc>
        <w:tc>
          <w:tcPr>
            <w:tcW w:w="3118" w:type="dxa"/>
          </w:tcPr>
          <w:p w14:paraId="026B8836" w14:textId="3D61DADB" w:rsidR="002D238A" w:rsidRPr="008C7E20" w:rsidRDefault="0023498A" w:rsidP="006D633C">
            <w:pPr>
              <w:shd w:val="solid" w:color="FFFFFF" w:fill="FFFFFF"/>
              <w:spacing w:before="0"/>
              <w:rPr>
                <w:rFonts w:ascii="Verdana" w:hAnsi="Verdana"/>
                <w:sz w:val="20"/>
              </w:rPr>
            </w:pPr>
            <w:r w:rsidRPr="008C7E20">
              <w:rPr>
                <w:rFonts w:ascii="Verdana" w:hAnsi="Verdana"/>
                <w:b/>
                <w:sz w:val="20"/>
              </w:rPr>
              <w:t>4 mai</w:t>
            </w:r>
            <w:r w:rsidR="00A42C35" w:rsidRPr="008C7E20">
              <w:rPr>
                <w:rFonts w:ascii="Verdana" w:hAnsi="Verdana"/>
                <w:b/>
                <w:sz w:val="20"/>
              </w:rPr>
              <w:t xml:space="preserve"> 2020</w:t>
            </w:r>
          </w:p>
        </w:tc>
      </w:tr>
      <w:tr w:rsidR="002D238A" w:rsidRPr="008C7E20" w14:paraId="02CF3C9B" w14:textId="77777777">
        <w:trPr>
          <w:cantSplit/>
        </w:trPr>
        <w:tc>
          <w:tcPr>
            <w:tcW w:w="6771" w:type="dxa"/>
            <w:vMerge/>
          </w:tcPr>
          <w:p w14:paraId="4BE05703" w14:textId="77777777" w:rsidR="002D238A" w:rsidRPr="008C7E20" w:rsidRDefault="002D238A" w:rsidP="006D633C">
            <w:pPr>
              <w:spacing w:before="60"/>
              <w:jc w:val="center"/>
              <w:rPr>
                <w:b/>
                <w:smallCaps/>
                <w:sz w:val="32"/>
              </w:rPr>
            </w:pPr>
            <w:bookmarkStart w:id="2" w:name="dorlang" w:colFirst="1" w:colLast="1"/>
            <w:bookmarkEnd w:id="1"/>
          </w:p>
        </w:tc>
        <w:tc>
          <w:tcPr>
            <w:tcW w:w="3118" w:type="dxa"/>
          </w:tcPr>
          <w:p w14:paraId="7876DB7D" w14:textId="15783735" w:rsidR="002D238A" w:rsidRPr="008C7E20" w:rsidRDefault="00A42C35" w:rsidP="006D633C">
            <w:pPr>
              <w:shd w:val="solid" w:color="FFFFFF" w:fill="FFFFFF"/>
              <w:spacing w:before="0" w:after="120"/>
              <w:rPr>
                <w:rFonts w:ascii="Verdana" w:hAnsi="Verdana"/>
                <w:sz w:val="20"/>
              </w:rPr>
            </w:pPr>
            <w:r w:rsidRPr="008C7E20">
              <w:rPr>
                <w:rFonts w:ascii="Verdana" w:hAnsi="Verdana"/>
                <w:b/>
                <w:sz w:val="20"/>
              </w:rPr>
              <w:t>Original: anglais</w:t>
            </w:r>
          </w:p>
        </w:tc>
      </w:tr>
      <w:tr w:rsidR="002D238A" w:rsidRPr="008C7E20" w14:paraId="435FB198" w14:textId="77777777">
        <w:trPr>
          <w:cantSplit/>
        </w:trPr>
        <w:tc>
          <w:tcPr>
            <w:tcW w:w="9889" w:type="dxa"/>
            <w:gridSpan w:val="2"/>
          </w:tcPr>
          <w:p w14:paraId="6354B2E4" w14:textId="1191A768" w:rsidR="002D238A" w:rsidRPr="008C7E20" w:rsidRDefault="00A42C35" w:rsidP="006D633C">
            <w:pPr>
              <w:pStyle w:val="Source"/>
            </w:pPr>
            <w:bookmarkStart w:id="3" w:name="dsource" w:colFirst="0" w:colLast="0"/>
            <w:bookmarkEnd w:id="2"/>
            <w:r w:rsidRPr="008C7E20">
              <w:t>Iran (République islamique d')</w:t>
            </w:r>
          </w:p>
        </w:tc>
      </w:tr>
      <w:tr w:rsidR="002D238A" w:rsidRPr="008C7E20" w14:paraId="58AA8A2B" w14:textId="77777777">
        <w:trPr>
          <w:cantSplit/>
        </w:trPr>
        <w:tc>
          <w:tcPr>
            <w:tcW w:w="9889" w:type="dxa"/>
            <w:gridSpan w:val="2"/>
          </w:tcPr>
          <w:p w14:paraId="492CD9C1" w14:textId="2366185B" w:rsidR="002D238A" w:rsidRPr="008C7E20" w:rsidRDefault="00A42C35" w:rsidP="006D633C">
            <w:pPr>
              <w:pStyle w:val="Title1"/>
            </w:pPr>
            <w:bookmarkStart w:id="4" w:name="dtitle1" w:colFirst="0" w:colLast="0"/>
            <w:bookmarkEnd w:id="3"/>
            <w:r w:rsidRPr="008C7E20">
              <w:t xml:space="preserve">Contribution relative aux lignes directrices/au cadre concernant les points de l'ordre du jour </w:t>
            </w:r>
            <w:r w:rsidRPr="008C7E20">
              <w:br/>
              <w:t>de la CMR-23</w:t>
            </w:r>
          </w:p>
        </w:tc>
      </w:tr>
    </w:tbl>
    <w:bookmarkEnd w:id="4"/>
    <w:p w14:paraId="2C6F2FB9" w14:textId="19A9468E" w:rsidR="00A42C35" w:rsidRPr="008C7E20" w:rsidRDefault="00A42C35" w:rsidP="006D633C">
      <w:pPr>
        <w:pStyle w:val="Normalaftertitle"/>
      </w:pPr>
      <w:r w:rsidRPr="008C7E20">
        <w:t>On trouvera dans la présente contribution des lignes directrices/un cadre soumis par l'Administration de la</w:t>
      </w:r>
      <w:r w:rsidR="00EB7FB9" w:rsidRPr="008C7E20">
        <w:t xml:space="preserve"> R</w:t>
      </w:r>
      <w:r w:rsidR="00AC5B06" w:rsidRPr="008C7E20">
        <w:t>ep</w:t>
      </w:r>
      <w:r w:rsidR="0001267F" w:rsidRPr="008C7E20">
        <w:t xml:space="preserve">. </w:t>
      </w:r>
      <w:r w:rsidR="00AC5B06" w:rsidRPr="008C7E20">
        <w:t>islamique</w:t>
      </w:r>
      <w:r w:rsidR="006D633C" w:rsidRPr="008C7E20">
        <w:t xml:space="preserve"> </w:t>
      </w:r>
      <w:r w:rsidRPr="008C7E20">
        <w:t xml:space="preserve">d'Iran au sujet des </w:t>
      </w:r>
      <w:r w:rsidR="00047B47" w:rsidRPr="008C7E20">
        <w:t>points de l'ordre du jour de la </w:t>
      </w:r>
      <w:r w:rsidRPr="008C7E20">
        <w:t>CMR</w:t>
      </w:r>
      <w:r w:rsidRPr="008C7E20">
        <w:noBreakHyphen/>
        <w:t>23 relevant du mandat de</w:t>
      </w:r>
      <w:r w:rsidR="0023498A" w:rsidRPr="008C7E20">
        <w:t xml:space="preserve"> diverses commissions d</w:t>
      </w:r>
      <w:r w:rsidR="00BE274E" w:rsidRPr="008C7E20">
        <w:t>'</w:t>
      </w:r>
      <w:r w:rsidR="0023498A" w:rsidRPr="008C7E20">
        <w:t>études/divers g</w:t>
      </w:r>
      <w:r w:rsidRPr="008C7E20">
        <w:t>roupes de travail</w:t>
      </w:r>
      <w:r w:rsidR="0023498A" w:rsidRPr="008C7E20">
        <w:t>,</w:t>
      </w:r>
      <w:r w:rsidRPr="008C7E20">
        <w:t xml:space="preserve"> afin que ces </w:t>
      </w:r>
      <w:r w:rsidR="0023498A" w:rsidRPr="008C7E20">
        <w:t>commissions d</w:t>
      </w:r>
      <w:r w:rsidR="00BE274E" w:rsidRPr="008C7E20">
        <w:t>'</w:t>
      </w:r>
      <w:r w:rsidR="0023498A" w:rsidRPr="008C7E20">
        <w:t>études/g</w:t>
      </w:r>
      <w:r w:rsidRPr="008C7E20">
        <w:t xml:space="preserve">roupes de travail les examinent et leur donnent la suite voulue lors de leurs prochaines réunions sur les études </w:t>
      </w:r>
      <w:r w:rsidR="0023498A" w:rsidRPr="008C7E20">
        <w:t>qui leur ont été confiées</w:t>
      </w:r>
      <w:r w:rsidR="006D633C" w:rsidRPr="008C7E20">
        <w:t xml:space="preserve"> </w:t>
      </w:r>
      <w:r w:rsidRPr="008C7E20">
        <w:t>au titre des points pertinents de l'ordre du jour.</w:t>
      </w:r>
    </w:p>
    <w:p w14:paraId="37F40C74" w14:textId="3215920B" w:rsidR="0023498A" w:rsidRPr="008C7E20" w:rsidRDefault="0023498A" w:rsidP="006D633C">
      <w:r w:rsidRPr="008C7E20">
        <w:t>Les principes/le cadre</w:t>
      </w:r>
      <w:r w:rsidR="006D633C" w:rsidRPr="008C7E20">
        <w:t xml:space="preserve"> </w:t>
      </w:r>
      <w:r w:rsidRPr="008C7E20">
        <w:t>figur</w:t>
      </w:r>
      <w:r w:rsidR="0093603C" w:rsidRPr="008C7E20">
        <w:t>a</w:t>
      </w:r>
      <w:r w:rsidRPr="008C7E20">
        <w:t>nt dans l</w:t>
      </w:r>
      <w:r w:rsidR="00BE274E" w:rsidRPr="008C7E20">
        <w:t>'</w:t>
      </w:r>
      <w:r w:rsidRPr="008C7E20">
        <w:t>Annexe du présent document/de la présente contribution</w:t>
      </w:r>
      <w:r w:rsidR="0093603C" w:rsidRPr="008C7E20">
        <w:t xml:space="preserve"> </w:t>
      </w:r>
      <w:r w:rsidRPr="008C7E20">
        <w:t>ont déjà été soumis aux Groupes de travail</w:t>
      </w:r>
      <w:r w:rsidR="006D633C" w:rsidRPr="008C7E20">
        <w:t xml:space="preserve"> </w:t>
      </w:r>
      <w:r w:rsidRPr="008C7E20">
        <w:t>5D, 7A, 7B, 7C et 7D. Les Groupes de travail</w:t>
      </w:r>
      <w:r w:rsidR="006D633C" w:rsidRPr="008C7E20">
        <w:t xml:space="preserve"> </w:t>
      </w:r>
      <w:r w:rsidRPr="008C7E20">
        <w:t>5D, 7B et</w:t>
      </w:r>
      <w:r w:rsidR="006D633C" w:rsidRPr="008C7E20">
        <w:t xml:space="preserve"> </w:t>
      </w:r>
      <w:r w:rsidRPr="008C7E20">
        <w:t>7C, qui s</w:t>
      </w:r>
      <w:r w:rsidR="0093603C" w:rsidRPr="008C7E20">
        <w:t>e sont</w:t>
      </w:r>
      <w:r w:rsidRPr="008C7E20">
        <w:t xml:space="preserve"> réunis après la</w:t>
      </w:r>
      <w:r w:rsidR="006D633C" w:rsidRPr="008C7E20">
        <w:t xml:space="preserve"> </w:t>
      </w:r>
      <w:r w:rsidRPr="008C7E20">
        <w:t>CMR-19/l</w:t>
      </w:r>
      <w:r w:rsidR="00BE274E" w:rsidRPr="008C7E20">
        <w:t>'</w:t>
      </w:r>
      <w:r w:rsidRPr="008C7E20">
        <w:t>AR-19, les ont examinés et</w:t>
      </w:r>
      <w:r w:rsidR="006D633C" w:rsidRPr="008C7E20">
        <w:t xml:space="preserve"> </w:t>
      </w:r>
      <w:r w:rsidRPr="008C7E20">
        <w:t>joints en annexe pour examen et mise en œuvre, le cas échéant</w:t>
      </w:r>
      <w:r w:rsidR="00BE274E" w:rsidRPr="008C7E20">
        <w:t>.</w:t>
      </w:r>
    </w:p>
    <w:p w14:paraId="288E8207" w14:textId="3DBDBC2E" w:rsidR="0023498A" w:rsidRPr="008C7E20" w:rsidRDefault="00533CF0" w:rsidP="006D633C">
      <w:r w:rsidRPr="008C7E20">
        <w:t>Étant donné que les mêmes principes s</w:t>
      </w:r>
      <w:r w:rsidR="00BE274E" w:rsidRPr="008C7E20">
        <w:t>'</w:t>
      </w:r>
      <w:r w:rsidRPr="008C7E20">
        <w:t>appliquent de la même façon à toutes les commissions d</w:t>
      </w:r>
      <w:r w:rsidR="00BE274E" w:rsidRPr="008C7E20">
        <w:t>'</w:t>
      </w:r>
      <w:r w:rsidRPr="008C7E20">
        <w:t>études/tous les groupes de travail participant aux études qui doivent être effectuées au titre des points de l</w:t>
      </w:r>
      <w:r w:rsidR="00BE274E" w:rsidRPr="008C7E20">
        <w:t>'</w:t>
      </w:r>
      <w:r w:rsidRPr="008C7E20">
        <w:t>ordre du jour de la</w:t>
      </w:r>
      <w:r w:rsidR="006D633C" w:rsidRPr="008C7E20">
        <w:t xml:space="preserve"> </w:t>
      </w:r>
      <w:r w:rsidR="0023498A" w:rsidRPr="008C7E20">
        <w:t>CMR-23</w:t>
      </w:r>
      <w:r w:rsidRPr="008C7E20">
        <w:t>, la présente contribution est également envoyée à toutes ces commissions d</w:t>
      </w:r>
      <w:r w:rsidR="00BE274E" w:rsidRPr="008C7E20">
        <w:t>'</w:t>
      </w:r>
      <w:r w:rsidRPr="008C7E20">
        <w:t>études/</w:t>
      </w:r>
      <w:r w:rsidR="0093603C" w:rsidRPr="008C7E20">
        <w:t xml:space="preserve">tous ces </w:t>
      </w:r>
      <w:r w:rsidRPr="008C7E20">
        <w:t>groupes de travail.</w:t>
      </w:r>
      <w:r w:rsidR="006D633C" w:rsidRPr="008C7E20">
        <w:t xml:space="preserve"> </w:t>
      </w:r>
      <w:r w:rsidRPr="008C7E20">
        <w:t>En outre, la</w:t>
      </w:r>
      <w:r w:rsidR="0093603C" w:rsidRPr="008C7E20">
        <w:t xml:space="preserve"> présente</w:t>
      </w:r>
      <w:r w:rsidR="006D633C" w:rsidRPr="008C7E20">
        <w:t xml:space="preserve"> </w:t>
      </w:r>
      <w:r w:rsidRPr="008C7E20">
        <w:t>contribution est également soumise au GCR, pour qu</w:t>
      </w:r>
      <w:r w:rsidR="00BE274E" w:rsidRPr="008C7E20">
        <w:t>'</w:t>
      </w:r>
      <w:r w:rsidRPr="008C7E20">
        <w:t>il l</w:t>
      </w:r>
      <w:r w:rsidR="00BE274E" w:rsidRPr="008C7E20">
        <w:t>'</w:t>
      </w:r>
      <w:r w:rsidRPr="008C7E20">
        <w:t>examine et recommande aux commissions d</w:t>
      </w:r>
      <w:r w:rsidR="00BE274E" w:rsidRPr="008C7E20">
        <w:t>'</w:t>
      </w:r>
      <w:r w:rsidRPr="008C7E20">
        <w:t xml:space="preserve">études/groupes de travail concernés </w:t>
      </w:r>
      <w:r w:rsidR="0093603C" w:rsidRPr="008C7E20">
        <w:t xml:space="preserve">dont il est question ci-dessus </w:t>
      </w:r>
      <w:r w:rsidRPr="008C7E20">
        <w:t>de l</w:t>
      </w:r>
      <w:r w:rsidR="00BE274E" w:rsidRPr="008C7E20">
        <w:t>'</w:t>
      </w:r>
      <w:r w:rsidRPr="008C7E20">
        <w:t>étudier et d</w:t>
      </w:r>
      <w:r w:rsidR="00BE274E" w:rsidRPr="008C7E20">
        <w:t>'</w:t>
      </w:r>
      <w:r w:rsidRPr="008C7E20">
        <w:t>en tenir compte, selon qu</w:t>
      </w:r>
      <w:r w:rsidR="00BE274E" w:rsidRPr="008C7E20">
        <w:t>'</w:t>
      </w:r>
      <w:r w:rsidRPr="008C7E20">
        <w:t>il conviendra.</w:t>
      </w:r>
    </w:p>
    <w:p w14:paraId="7E1F0FBF" w14:textId="32E8F5DF" w:rsidR="0023498A" w:rsidRPr="008C7E20" w:rsidRDefault="00533CF0" w:rsidP="006D633C">
      <w:r w:rsidRPr="008C7E20">
        <w:t xml:space="preserve">Il ressort </w:t>
      </w:r>
      <w:r w:rsidR="0093603C" w:rsidRPr="008C7E20">
        <w:t>des discussions des</w:t>
      </w:r>
      <w:r w:rsidR="006D633C" w:rsidRPr="008C7E20">
        <w:t xml:space="preserve"> </w:t>
      </w:r>
      <w:r w:rsidR="00C32C60" w:rsidRPr="008C7E20">
        <w:t>G</w:t>
      </w:r>
      <w:r w:rsidRPr="008C7E20">
        <w:t>roupes de travail</w:t>
      </w:r>
      <w:r w:rsidR="006D633C" w:rsidRPr="008C7E20">
        <w:t xml:space="preserve"> </w:t>
      </w:r>
      <w:r w:rsidR="0023498A" w:rsidRPr="008C7E20">
        <w:t xml:space="preserve">7B </w:t>
      </w:r>
      <w:r w:rsidRPr="008C7E20">
        <w:t xml:space="preserve">et </w:t>
      </w:r>
      <w:r w:rsidR="0023498A" w:rsidRPr="008C7E20">
        <w:t>7C</w:t>
      </w:r>
      <w:r w:rsidRPr="008C7E20">
        <w:t xml:space="preserve">, ainsi que de consultations informelles avec certains Conseillers du Bureau, </w:t>
      </w:r>
      <w:r w:rsidR="00C32C60" w:rsidRPr="008C7E20">
        <w:t>qu</w:t>
      </w:r>
      <w:r w:rsidR="00BE274E" w:rsidRPr="008C7E20">
        <w:t>'</w:t>
      </w:r>
      <w:r w:rsidRPr="008C7E20">
        <w:t>il fau</w:t>
      </w:r>
      <w:r w:rsidR="0093603C" w:rsidRPr="008C7E20">
        <w:t>t</w:t>
      </w:r>
      <w:r w:rsidRPr="008C7E20">
        <w:t xml:space="preserve"> peut-être apporter certains éclaircissements</w:t>
      </w:r>
      <w:r w:rsidR="00C32C60" w:rsidRPr="008C7E20">
        <w:t xml:space="preserve"> pour</w:t>
      </w:r>
      <w:r w:rsidRPr="008C7E20">
        <w:t xml:space="preserve"> permettre une meilleure compréhension des objectifs/buts qui sous-tendent chacun des</w:t>
      </w:r>
      <w:r w:rsidR="006D633C" w:rsidRPr="008C7E20">
        <w:t xml:space="preserve"> </w:t>
      </w:r>
      <w:r w:rsidRPr="008C7E20">
        <w:t>principes en question.</w:t>
      </w:r>
    </w:p>
    <w:p w14:paraId="6E27E90F" w14:textId="05EC718E" w:rsidR="0023498A" w:rsidRPr="008C7E20" w:rsidRDefault="00C32C60" w:rsidP="006D633C">
      <w:r w:rsidRPr="008C7E20">
        <w:t>Ces éclaircissements sont présentés en regard des principes exposés dans l</w:t>
      </w:r>
      <w:r w:rsidR="00BE274E" w:rsidRPr="008C7E20">
        <w:t>'</w:t>
      </w:r>
      <w:r w:rsidRPr="008C7E20">
        <w:t>Annexe de la présente contribution</w:t>
      </w:r>
      <w:r w:rsidR="00BE274E" w:rsidRPr="008C7E20">
        <w:t>.</w:t>
      </w:r>
    </w:p>
    <w:p w14:paraId="5ACD0A02" w14:textId="0705DC20" w:rsidR="00BE274E" w:rsidRPr="008C7E20" w:rsidRDefault="00BE274E">
      <w:pPr>
        <w:tabs>
          <w:tab w:val="clear" w:pos="794"/>
          <w:tab w:val="clear" w:pos="1191"/>
          <w:tab w:val="clear" w:pos="1588"/>
          <w:tab w:val="clear" w:pos="1985"/>
        </w:tabs>
        <w:overflowPunct/>
        <w:autoSpaceDE/>
        <w:autoSpaceDN/>
        <w:adjustRightInd/>
        <w:spacing w:before="0"/>
        <w:textAlignment w:val="auto"/>
      </w:pPr>
      <w:r w:rsidRPr="008C7E20">
        <w:br w:type="page"/>
      </w:r>
    </w:p>
    <w:p w14:paraId="4086A72C" w14:textId="77777777" w:rsidR="00A42C35" w:rsidRPr="008C7E20" w:rsidRDefault="00A42C35" w:rsidP="00BE274E">
      <w:pPr>
        <w:pStyle w:val="Headingb"/>
        <w:rPr>
          <w:rFonts w:eastAsia="MS Mincho"/>
        </w:rPr>
      </w:pPr>
      <w:r w:rsidRPr="008C7E20">
        <w:rPr>
          <w:rFonts w:eastAsia="MS Mincho"/>
        </w:rPr>
        <w:lastRenderedPageBreak/>
        <w:t>Introduction</w:t>
      </w:r>
    </w:p>
    <w:p w14:paraId="08C80A18" w14:textId="161700D4" w:rsidR="00A42C35" w:rsidRPr="008C7E20" w:rsidRDefault="00A42C35" w:rsidP="006D633C">
      <w:r w:rsidRPr="008C7E20">
        <w:rPr>
          <w:rFonts w:eastAsia="Calibri"/>
          <w:bCs/>
        </w:rPr>
        <w:t xml:space="preserve">Afin de rationaliser les études que doivent entreprendre les </w:t>
      </w:r>
      <w:r w:rsidR="00C32C60" w:rsidRPr="008C7E20">
        <w:rPr>
          <w:rFonts w:eastAsia="Calibri"/>
          <w:bCs/>
        </w:rPr>
        <w:t>commissions d</w:t>
      </w:r>
      <w:r w:rsidR="00BE274E" w:rsidRPr="008C7E20">
        <w:rPr>
          <w:rFonts w:eastAsia="Calibri"/>
          <w:bCs/>
        </w:rPr>
        <w:t>'</w:t>
      </w:r>
      <w:r w:rsidR="00C32C60" w:rsidRPr="008C7E20">
        <w:rPr>
          <w:rFonts w:eastAsia="Calibri"/>
          <w:bCs/>
        </w:rPr>
        <w:t>études/g</w:t>
      </w:r>
      <w:r w:rsidRPr="008C7E20">
        <w:rPr>
          <w:rFonts w:eastAsia="Calibri"/>
          <w:bCs/>
        </w:rPr>
        <w:t>roupe</w:t>
      </w:r>
      <w:r w:rsidR="00047B47" w:rsidRPr="008C7E20">
        <w:rPr>
          <w:rFonts w:eastAsia="Calibri"/>
          <w:bCs/>
        </w:rPr>
        <w:t>s</w:t>
      </w:r>
      <w:r w:rsidRPr="008C7E20">
        <w:rPr>
          <w:rFonts w:eastAsia="Calibri"/>
          <w:bCs/>
        </w:rPr>
        <w:t xml:space="preserve"> de travail</w:t>
      </w:r>
      <w:r w:rsidR="006D633C" w:rsidRPr="008C7E20">
        <w:rPr>
          <w:rFonts w:eastAsia="Calibri"/>
          <w:bCs/>
        </w:rPr>
        <w:t xml:space="preserve"> </w:t>
      </w:r>
      <w:r w:rsidRPr="008C7E20">
        <w:rPr>
          <w:rFonts w:eastAsia="Calibri"/>
          <w:bCs/>
        </w:rPr>
        <w:t xml:space="preserve">au titre des </w:t>
      </w:r>
      <w:r w:rsidRPr="008C7E20">
        <w:t xml:space="preserve">points pertinents de l'ordre du jour de la CMR-23 qui relèvent </w:t>
      </w:r>
      <w:r w:rsidR="00C32C60" w:rsidRPr="008C7E20">
        <w:t>du</w:t>
      </w:r>
      <w:r w:rsidRPr="008C7E20">
        <w:t xml:space="preserve"> mandat</w:t>
      </w:r>
      <w:r w:rsidR="00C32C60" w:rsidRPr="008C7E20">
        <w:t xml:space="preserve"> des entités précitées</w:t>
      </w:r>
      <w:r w:rsidRPr="008C7E20">
        <w:t xml:space="preserve">, il est essentiel et nécessaire que ces </w:t>
      </w:r>
      <w:r w:rsidR="0093603C" w:rsidRPr="008C7E20">
        <w:t>g</w:t>
      </w:r>
      <w:r w:rsidRPr="008C7E20">
        <w:t>roupes de travail tiennent compte des lignes directrices générales ci-après dans les études qu'ils doivent mener concernant les points pertinents de l'ordre du jour qui leur ont été assignés par la RPC23-1.</w:t>
      </w:r>
    </w:p>
    <w:p w14:paraId="5AA11632" w14:textId="056B0930" w:rsidR="0072105C" w:rsidRPr="008C7E20" w:rsidRDefault="0072105C" w:rsidP="006D633C">
      <w:r w:rsidRPr="008C7E20">
        <w:t>L</w:t>
      </w:r>
      <w:r w:rsidR="00BE274E" w:rsidRPr="008C7E20">
        <w:t>'</w:t>
      </w:r>
      <w:r w:rsidRPr="008C7E20">
        <w:t>objet du présent document et de l</w:t>
      </w:r>
      <w:r w:rsidR="00BE274E" w:rsidRPr="008C7E20">
        <w:t>'</w:t>
      </w:r>
      <w:r w:rsidRPr="008C7E20">
        <w:t>Annexe qui lui est associée est de simplifier et de faciliter la tâche</w:t>
      </w:r>
      <w:r w:rsidR="006D633C" w:rsidRPr="008C7E20">
        <w:t xml:space="preserve"> </w:t>
      </w:r>
      <w:r w:rsidRPr="008C7E20">
        <w:t>des commissions d</w:t>
      </w:r>
      <w:r w:rsidR="00BE274E" w:rsidRPr="008C7E20">
        <w:t>'</w:t>
      </w:r>
      <w:r w:rsidRPr="008C7E20">
        <w:t>études/groupes de travail compétents lorsqu</w:t>
      </w:r>
      <w:r w:rsidR="00BE274E" w:rsidRPr="008C7E20">
        <w:t>'</w:t>
      </w:r>
      <w:r w:rsidRPr="008C7E20">
        <w:t>elles/ils procéderont aux études requises au titre des points pertinents de l</w:t>
      </w:r>
      <w:r w:rsidR="00BE274E" w:rsidRPr="008C7E20">
        <w:t>'</w:t>
      </w:r>
      <w:r w:rsidRPr="008C7E20">
        <w:t xml:space="preserve">ordre du jour de la CMR-23 </w:t>
      </w:r>
      <w:r w:rsidR="0093603C" w:rsidRPr="008C7E20">
        <w:t xml:space="preserve">qui </w:t>
      </w:r>
      <w:r w:rsidRPr="008C7E20">
        <w:t>rel</w:t>
      </w:r>
      <w:r w:rsidR="0093603C" w:rsidRPr="008C7E20">
        <w:t>è</w:t>
      </w:r>
      <w:r w:rsidRPr="008C7E20">
        <w:t>v</w:t>
      </w:r>
      <w:r w:rsidR="0093603C" w:rsidRPr="008C7E20">
        <w:t>e</w:t>
      </w:r>
      <w:r w:rsidRPr="008C7E20">
        <w:t>nt du mandat d</w:t>
      </w:r>
      <w:r w:rsidR="00BE274E" w:rsidRPr="008C7E20">
        <w:t>'</w:t>
      </w:r>
      <w:r w:rsidRPr="008C7E20">
        <w:t>un groupe de travail.</w:t>
      </w:r>
    </w:p>
    <w:p w14:paraId="0D6A6EC9" w14:textId="75386C61" w:rsidR="0072105C" w:rsidRPr="008C7E20" w:rsidRDefault="0072105C" w:rsidP="006D633C">
      <w:r w:rsidRPr="008C7E20">
        <w:t>À cette fin, la commission d</w:t>
      </w:r>
      <w:r w:rsidR="00BE274E" w:rsidRPr="008C7E20">
        <w:t>'</w:t>
      </w:r>
      <w:r w:rsidRPr="008C7E20">
        <w:t>études ou le groupe de travail concerné est encouragé à examiner et à prendre en considération</w:t>
      </w:r>
      <w:r w:rsidR="0093603C" w:rsidRPr="008C7E20">
        <w:t>, selon le cas,</w:t>
      </w:r>
      <w:r w:rsidR="006D633C" w:rsidRPr="008C7E20">
        <w:t xml:space="preserve"> </w:t>
      </w:r>
      <w:r w:rsidRPr="008C7E20">
        <w:t>les principes/points exposés dans l</w:t>
      </w:r>
      <w:r w:rsidR="00BE274E" w:rsidRPr="008C7E20">
        <w:t>'</w:t>
      </w:r>
      <w:r w:rsidRPr="008C7E20">
        <w:t>Annexe dès le début des études relatives aux points de l</w:t>
      </w:r>
      <w:r w:rsidR="00BE274E" w:rsidRPr="008C7E20">
        <w:t>'</w:t>
      </w:r>
      <w:r w:rsidRPr="008C7E20">
        <w:t>ordre du jour de la CMR-23.</w:t>
      </w:r>
    </w:p>
    <w:p w14:paraId="398B42E1" w14:textId="0769ECCA" w:rsidR="00BE274E" w:rsidRPr="008C7E20" w:rsidRDefault="00BE274E">
      <w:pPr>
        <w:tabs>
          <w:tab w:val="clear" w:pos="794"/>
          <w:tab w:val="clear" w:pos="1191"/>
          <w:tab w:val="clear" w:pos="1588"/>
          <w:tab w:val="clear" w:pos="1985"/>
        </w:tabs>
        <w:overflowPunct/>
        <w:autoSpaceDE/>
        <w:autoSpaceDN/>
        <w:adjustRightInd/>
        <w:spacing w:before="0"/>
        <w:textAlignment w:val="auto"/>
      </w:pPr>
      <w:r w:rsidRPr="008C7E20">
        <w:br w:type="page"/>
      </w:r>
    </w:p>
    <w:p w14:paraId="6628F4BE" w14:textId="2F2D6D68" w:rsidR="0072105C" w:rsidRPr="008C7E20" w:rsidRDefault="0072105C" w:rsidP="00BE274E">
      <w:pPr>
        <w:pStyle w:val="AnnexNotitle"/>
      </w:pPr>
      <w:r w:rsidRPr="008C7E20">
        <w:lastRenderedPageBreak/>
        <w:t>Annexe</w:t>
      </w:r>
    </w:p>
    <w:p w14:paraId="26802152" w14:textId="64C27D19" w:rsidR="0072105C" w:rsidRPr="008C7E20" w:rsidRDefault="0072105C" w:rsidP="00BE274E">
      <w:pPr>
        <w:pStyle w:val="AnnexNotitle"/>
      </w:pPr>
      <w:r w:rsidRPr="008C7E20">
        <w:t xml:space="preserve">Principes à examiner et à prendre en considération dans le cadre </w:t>
      </w:r>
      <w:r w:rsidR="00BE274E" w:rsidRPr="008C7E20">
        <w:br/>
      </w:r>
      <w:r w:rsidRPr="008C7E20">
        <w:t>des études relatives aux points de l</w:t>
      </w:r>
      <w:r w:rsidR="00BE274E" w:rsidRPr="008C7E20">
        <w:t>'</w:t>
      </w:r>
      <w:r w:rsidRPr="008C7E20">
        <w:t>ordre du jour de la CMR-23</w:t>
      </w:r>
    </w:p>
    <w:p w14:paraId="7D37FCA7" w14:textId="50684FFC" w:rsidR="00A42C35" w:rsidRPr="008C7E20" w:rsidRDefault="00A42C35" w:rsidP="006D633C">
      <w:pPr>
        <w:pStyle w:val="Heading1"/>
        <w:rPr>
          <w:rFonts w:eastAsia="Calibri"/>
        </w:rPr>
      </w:pPr>
      <w:r w:rsidRPr="008C7E20">
        <w:rPr>
          <w:rFonts w:eastAsia="Calibri"/>
        </w:rPr>
        <w:t>1</w:t>
      </w:r>
      <w:r w:rsidRPr="008C7E20">
        <w:rPr>
          <w:rFonts w:eastAsia="Calibri"/>
        </w:rPr>
        <w:tab/>
        <w:t>Bandes qui n'ont pas déjà été déjà attribuées au service/aux services de radiocommunication à l'étude</w:t>
      </w:r>
    </w:p>
    <w:p w14:paraId="1053476F" w14:textId="344CCCB4" w:rsidR="00504105" w:rsidRPr="008C7E20" w:rsidRDefault="00A42C35" w:rsidP="006D633C">
      <w:pPr>
        <w:rPr>
          <w:rFonts w:eastAsia="Calibri"/>
        </w:rPr>
      </w:pPr>
      <w:r w:rsidRPr="008C7E20">
        <w:rPr>
          <w:rFonts w:eastAsia="Calibri"/>
        </w:rPr>
        <w:t>Il convient de retenir les principes qui s'appliquent lors de l'étude d'une ou de plusieurs bandes de fréquences dans une Région donnée ou dans des Région</w:t>
      </w:r>
      <w:r w:rsidR="00047B47" w:rsidRPr="008C7E20">
        <w:rPr>
          <w:rFonts w:eastAsia="Calibri"/>
        </w:rPr>
        <w:t>s</w:t>
      </w:r>
      <w:r w:rsidRPr="008C7E20">
        <w:rPr>
          <w:rFonts w:eastAsia="Calibri"/>
        </w:rPr>
        <w:t>/pays donnés, dans le cas où la ou les bandes de fréquences correspondantes n'ont pas été attribuées à ce service dans cette Région</w:t>
      </w:r>
      <w:r w:rsidR="0093603C" w:rsidRPr="008C7E20">
        <w:rPr>
          <w:rFonts w:eastAsia="Calibri"/>
        </w:rPr>
        <w:t>,</w:t>
      </w:r>
      <w:r w:rsidRPr="008C7E20">
        <w:rPr>
          <w:rFonts w:eastAsia="Calibri"/>
        </w:rPr>
        <w:t xml:space="preserve"> ou dans ces Régions/pays.</w:t>
      </w:r>
    </w:p>
    <w:p w14:paraId="466EECDC" w14:textId="73FE1B6C" w:rsidR="0072105C" w:rsidRPr="008C7E20" w:rsidRDefault="00504105" w:rsidP="006D633C">
      <w:pPr>
        <w:rPr>
          <w:rFonts w:eastAsia="Calibri"/>
        </w:rPr>
      </w:pPr>
      <w:r w:rsidRPr="008C7E20">
        <w:t>Ce principe s</w:t>
      </w:r>
      <w:r w:rsidR="00BE274E" w:rsidRPr="008C7E20">
        <w:t>'</w:t>
      </w:r>
      <w:r w:rsidRPr="008C7E20">
        <w:t>applique essentiellement aux points de l</w:t>
      </w:r>
      <w:r w:rsidR="00BE274E" w:rsidRPr="008C7E20">
        <w:t>'</w:t>
      </w:r>
      <w:r w:rsidRPr="008C7E20">
        <w:t>ordre du jour se rapportant aux</w:t>
      </w:r>
      <w:r w:rsidRPr="008C7E20">
        <w:rPr>
          <w:rFonts w:eastAsia="Calibri"/>
        </w:rPr>
        <w:t xml:space="preserve"> systèmes IMT et HAPS,</w:t>
      </w:r>
      <w:r w:rsidR="006D633C" w:rsidRPr="008C7E20">
        <w:rPr>
          <w:rFonts w:eastAsia="Calibri"/>
        </w:rPr>
        <w:t xml:space="preserve"> </w:t>
      </w:r>
      <w:r w:rsidRPr="008C7E20">
        <w:rPr>
          <w:color w:val="000000"/>
        </w:rPr>
        <w:t>quel qu</w:t>
      </w:r>
      <w:r w:rsidR="00BE274E" w:rsidRPr="008C7E20">
        <w:rPr>
          <w:color w:val="000000"/>
        </w:rPr>
        <w:t>'</w:t>
      </w:r>
      <w:r w:rsidRPr="008C7E20">
        <w:rPr>
          <w:color w:val="000000"/>
        </w:rPr>
        <w:t>en soit le type.</w:t>
      </w:r>
    </w:p>
    <w:p w14:paraId="45FD511B" w14:textId="4CD157E1" w:rsidR="00A42C35" w:rsidRPr="008C7E20" w:rsidRDefault="00A42C35" w:rsidP="006D633C">
      <w:pPr>
        <w:pStyle w:val="Heading1"/>
        <w:rPr>
          <w:rFonts w:eastAsia="Calibri"/>
        </w:rPr>
      </w:pPr>
      <w:r w:rsidRPr="008C7E20">
        <w:rPr>
          <w:rFonts w:eastAsia="Calibri"/>
        </w:rPr>
        <w:t>2</w:t>
      </w:r>
      <w:r w:rsidRPr="008C7E20">
        <w:rPr>
          <w:rFonts w:eastAsia="Calibri"/>
        </w:rPr>
        <w:tab/>
        <w:t>Bandes qui ont déjà été attribuées au service/aux services de radiocommunication à l'étude</w:t>
      </w:r>
    </w:p>
    <w:p w14:paraId="221D4995" w14:textId="0155E9FD" w:rsidR="00A42C35" w:rsidRPr="008C7E20" w:rsidRDefault="00A42C35" w:rsidP="006D633C">
      <w:pPr>
        <w:rPr>
          <w:rFonts w:eastAsia="Calibri"/>
        </w:rPr>
      </w:pPr>
      <w:r w:rsidRPr="008C7E20">
        <w:rPr>
          <w:rFonts w:eastAsia="Calibri"/>
        </w:rPr>
        <w:t>Il convient de retenir les principes qui s'appliquent lors de l'étude d'une ou de plusieurs bandes de fréquences pour un service/des services de radiocommunication à l'étude dans une Région donnée ou dans des Région</w:t>
      </w:r>
      <w:r w:rsidR="00047B47" w:rsidRPr="008C7E20">
        <w:rPr>
          <w:rFonts w:eastAsia="Calibri"/>
        </w:rPr>
        <w:t>s</w:t>
      </w:r>
      <w:r w:rsidRPr="008C7E20">
        <w:rPr>
          <w:rFonts w:eastAsia="Calibri"/>
        </w:rPr>
        <w:t>/pays donnés, dans le cas où la ou les bandes de fréquences correspondantes ont déjà été attribuées à ce service dans cette Région</w:t>
      </w:r>
      <w:r w:rsidR="0093603C" w:rsidRPr="008C7E20">
        <w:rPr>
          <w:rFonts w:eastAsia="Calibri"/>
        </w:rPr>
        <w:t>,</w:t>
      </w:r>
      <w:r w:rsidRPr="008C7E20">
        <w:rPr>
          <w:rFonts w:eastAsia="Calibri"/>
        </w:rPr>
        <w:t xml:space="preserve"> ou dans ces Régions/pays.</w:t>
      </w:r>
    </w:p>
    <w:p w14:paraId="055FFB98" w14:textId="79A1EE2B" w:rsidR="00504105" w:rsidRPr="008C7E20" w:rsidRDefault="00504105" w:rsidP="006D633C">
      <w:pPr>
        <w:rPr>
          <w:rFonts w:eastAsia="Calibri"/>
          <w:b/>
          <w:bCs/>
        </w:rPr>
      </w:pPr>
      <w:r w:rsidRPr="008C7E20">
        <w:t>Ce principe s</w:t>
      </w:r>
      <w:r w:rsidR="00BE274E" w:rsidRPr="008C7E20">
        <w:t>'</w:t>
      </w:r>
      <w:r w:rsidRPr="008C7E20">
        <w:t>applique essentiellement aux points de l</w:t>
      </w:r>
      <w:r w:rsidR="00BE274E" w:rsidRPr="008C7E20">
        <w:t>'</w:t>
      </w:r>
      <w:r w:rsidRPr="008C7E20">
        <w:t>ordre du jour se rapportant aux</w:t>
      </w:r>
      <w:r w:rsidRPr="008C7E20">
        <w:rPr>
          <w:rFonts w:eastAsia="Calibri"/>
        </w:rPr>
        <w:t xml:space="preserve"> systèmes IMT et HAPS,</w:t>
      </w:r>
      <w:r w:rsidR="006D633C" w:rsidRPr="008C7E20">
        <w:rPr>
          <w:rFonts w:eastAsia="Calibri"/>
        </w:rPr>
        <w:t xml:space="preserve"> </w:t>
      </w:r>
      <w:r w:rsidRPr="008C7E20">
        <w:rPr>
          <w:color w:val="000000"/>
        </w:rPr>
        <w:t>quel qu</w:t>
      </w:r>
      <w:r w:rsidR="00BE274E" w:rsidRPr="008C7E20">
        <w:rPr>
          <w:color w:val="000000"/>
        </w:rPr>
        <w:t>'</w:t>
      </w:r>
      <w:r w:rsidRPr="008C7E20">
        <w:rPr>
          <w:color w:val="000000"/>
        </w:rPr>
        <w:t>en soit le type.</w:t>
      </w:r>
    </w:p>
    <w:p w14:paraId="589CABA0" w14:textId="4EFA7924" w:rsidR="00A42C35" w:rsidRPr="008C7E20" w:rsidRDefault="00A42C35" w:rsidP="006D633C">
      <w:pPr>
        <w:pStyle w:val="Heading1"/>
        <w:rPr>
          <w:rFonts w:eastAsia="Calibri"/>
          <w:szCs w:val="24"/>
        </w:rPr>
      </w:pPr>
      <w:r w:rsidRPr="008C7E20">
        <w:rPr>
          <w:rFonts w:eastAsia="Calibri"/>
          <w:szCs w:val="24"/>
        </w:rPr>
        <w:t>3</w:t>
      </w:r>
      <w:r w:rsidRPr="008C7E20">
        <w:rPr>
          <w:rFonts w:eastAsia="Calibri"/>
          <w:szCs w:val="24"/>
        </w:rPr>
        <w:tab/>
        <w:t>Identification de services dans la bande et dans les bandes adjacentes</w:t>
      </w:r>
    </w:p>
    <w:p w14:paraId="0D70F271" w14:textId="081F3D51" w:rsidR="00A42C35" w:rsidRPr="008C7E20" w:rsidRDefault="00A42C35" w:rsidP="00F55887">
      <w:pPr>
        <w:rPr>
          <w:rFonts w:eastAsia="Calibri"/>
        </w:rPr>
      </w:pPr>
      <w:r w:rsidRPr="008C7E20">
        <w:rPr>
          <w:rFonts w:eastAsia="Calibri"/>
        </w:rPr>
        <w:t>Identification de tous les services autres que le service dans les bandes à étudier et de tous les services dans les bandes adjacentes, selon le cas</w:t>
      </w:r>
      <w:r w:rsidR="00711F14" w:rsidRPr="008C7E20">
        <w:rPr>
          <w:rFonts w:eastAsia="Calibri"/>
        </w:rPr>
        <w:t>.</w:t>
      </w:r>
    </w:p>
    <w:p w14:paraId="317FF975" w14:textId="733B370E" w:rsidR="00504105" w:rsidRPr="008C7E20" w:rsidRDefault="00504105" w:rsidP="00F55887">
      <w:pPr>
        <w:rPr>
          <w:rFonts w:eastAsia="Calibri"/>
        </w:rPr>
      </w:pPr>
      <w:r w:rsidRPr="008C7E20">
        <w:t>Ce principe est important pour identifier tous les services dans la bande à l</w:t>
      </w:r>
      <w:r w:rsidR="00BE274E" w:rsidRPr="008C7E20">
        <w:t>'</w:t>
      </w:r>
      <w:r w:rsidRPr="008C7E20">
        <w:t>étude.</w:t>
      </w:r>
      <w:r w:rsidR="006D633C" w:rsidRPr="008C7E20">
        <w:t xml:space="preserve"> </w:t>
      </w:r>
    </w:p>
    <w:p w14:paraId="4111A04F" w14:textId="7A064B71" w:rsidR="00A42C35" w:rsidRPr="008C7E20" w:rsidRDefault="00A42C35" w:rsidP="006D633C">
      <w:pPr>
        <w:pStyle w:val="Heading1"/>
        <w:rPr>
          <w:rFonts w:eastAsia="Calibri"/>
          <w:szCs w:val="24"/>
        </w:rPr>
      </w:pPr>
      <w:r w:rsidRPr="008C7E20">
        <w:rPr>
          <w:rFonts w:eastAsia="Calibri"/>
          <w:szCs w:val="24"/>
        </w:rPr>
        <w:t>4</w:t>
      </w:r>
      <w:r w:rsidRPr="008C7E20">
        <w:rPr>
          <w:rFonts w:eastAsia="Calibri"/>
          <w:szCs w:val="24"/>
        </w:rPr>
        <w:tab/>
        <w:t>Études précédentes relatives au partage et à la compatibilité</w:t>
      </w:r>
    </w:p>
    <w:p w14:paraId="5C3FC692" w14:textId="683E739B" w:rsidR="00A42C35" w:rsidRPr="008C7E20" w:rsidRDefault="00A42C35" w:rsidP="006D633C">
      <w:pPr>
        <w:tabs>
          <w:tab w:val="left" w:pos="142"/>
        </w:tabs>
        <w:spacing w:after="100"/>
        <w:ind w:right="9"/>
        <w:rPr>
          <w:rFonts w:eastAsia="Calibri"/>
          <w:szCs w:val="24"/>
        </w:rPr>
      </w:pPr>
      <w:r w:rsidRPr="008C7E20">
        <w:rPr>
          <w:rFonts w:eastAsia="Calibri"/>
          <w:szCs w:val="24"/>
        </w:rPr>
        <w:t>Il convient d'utiliser, dans la mesure du possible et s'il en existe, les études de partage et de compatibilité menées jusqu'à présent au cours des cycles d'études précédents</w:t>
      </w:r>
      <w:r w:rsidR="00711F14" w:rsidRPr="008C7E20">
        <w:rPr>
          <w:rFonts w:eastAsia="Calibri"/>
          <w:szCs w:val="24"/>
        </w:rPr>
        <w:t>.</w:t>
      </w:r>
    </w:p>
    <w:p w14:paraId="3EE5E7F6" w14:textId="26F2B68A" w:rsidR="00504105" w:rsidRPr="008C7E20" w:rsidRDefault="00504105" w:rsidP="00BE274E">
      <w:r w:rsidRPr="008C7E20">
        <w:t>Ce principe est nécessaire pour éviter de refaire des études déjà effectuées.</w:t>
      </w:r>
      <w:r w:rsidR="006D633C" w:rsidRPr="008C7E20">
        <w:t xml:space="preserve"> </w:t>
      </w:r>
      <w:r w:rsidRPr="008C7E20">
        <w:t>Cependant, en fonction des progrès accomplis, il faudra peut-être examiner ces études, afin de déterminer si les éléments d</w:t>
      </w:r>
      <w:r w:rsidR="00BE274E" w:rsidRPr="008C7E20">
        <w:t>'</w:t>
      </w:r>
      <w:r w:rsidRPr="008C7E20">
        <w:t>information qu</w:t>
      </w:r>
      <w:r w:rsidR="00BE274E" w:rsidRPr="008C7E20">
        <w:t>'</w:t>
      </w:r>
      <w:r w:rsidRPr="008C7E20">
        <w:t>elles contiennent appellent une révision ou de nouvelles modifications.</w:t>
      </w:r>
    </w:p>
    <w:p w14:paraId="15B1C102" w14:textId="6B2736DB" w:rsidR="00A42C35" w:rsidRPr="008C7E20" w:rsidRDefault="00A42C35" w:rsidP="006D633C">
      <w:pPr>
        <w:pStyle w:val="Heading1"/>
        <w:rPr>
          <w:rFonts w:eastAsia="Calibri"/>
          <w:szCs w:val="24"/>
        </w:rPr>
      </w:pPr>
      <w:r w:rsidRPr="008C7E20">
        <w:rPr>
          <w:rFonts w:eastAsia="Calibri"/>
          <w:szCs w:val="24"/>
        </w:rPr>
        <w:t>5</w:t>
      </w:r>
      <w:r w:rsidRPr="008C7E20">
        <w:rPr>
          <w:rFonts w:eastAsia="Calibri"/>
          <w:szCs w:val="24"/>
        </w:rPr>
        <w:tab/>
        <w:t>Tenir compte le plus possible des décisions prises par les CMR précédentes sur la question</w:t>
      </w:r>
    </w:p>
    <w:p w14:paraId="5F4627C4" w14:textId="2C4184A5" w:rsidR="00A42C35" w:rsidRPr="008C7E20" w:rsidRDefault="00A42C35" w:rsidP="006D633C">
      <w:pPr>
        <w:rPr>
          <w:rFonts w:eastAsia="Calibri"/>
          <w:bCs/>
        </w:rPr>
      </w:pPr>
      <w:r w:rsidRPr="008C7E20">
        <w:rPr>
          <w:rFonts w:eastAsia="Calibri"/>
          <w:bCs/>
        </w:rPr>
        <w:t xml:space="preserve">Certaines bandes de fréquences ont déjà fait l'objet d'études approfondies à l'occasion des CMR précédentes. Étant donné que l'utilisation des bandes de fréquences en question par d'autres services </w:t>
      </w:r>
      <w:bookmarkStart w:id="5" w:name="_Hlk39221501"/>
      <w:r w:rsidRPr="008C7E20">
        <w:rPr>
          <w:rFonts w:eastAsia="Calibri"/>
          <w:bCs/>
        </w:rPr>
        <w:t>n'a sans doute pas fondamentalement changé, il se peut que les conclusions formulées à l'issue des études précédentes, dans leur grande majorité, soient toujours valables et aient toujours cours.</w:t>
      </w:r>
    </w:p>
    <w:bookmarkEnd w:id="5"/>
    <w:p w14:paraId="72053148" w14:textId="5E78786D" w:rsidR="00A42C35" w:rsidRPr="008C7E20" w:rsidRDefault="00A42C35" w:rsidP="006D633C">
      <w:pPr>
        <w:pStyle w:val="Heading1"/>
        <w:rPr>
          <w:rFonts w:eastAsia="Calibri"/>
          <w:szCs w:val="24"/>
        </w:rPr>
      </w:pPr>
      <w:r w:rsidRPr="008C7E20">
        <w:rPr>
          <w:rFonts w:eastAsia="Calibri"/>
          <w:szCs w:val="24"/>
        </w:rPr>
        <w:lastRenderedPageBreak/>
        <w:t>6</w:t>
      </w:r>
      <w:r w:rsidRPr="008C7E20">
        <w:rPr>
          <w:rFonts w:eastAsia="Calibri"/>
          <w:szCs w:val="24"/>
        </w:rPr>
        <w:tab/>
        <w:t>Études à effectuer sur le partage et la compatibilité dans la bande</w:t>
      </w:r>
    </w:p>
    <w:p w14:paraId="4C409A35" w14:textId="21FDF2A8" w:rsidR="00A42C35" w:rsidRPr="008C7E20" w:rsidRDefault="00A42C35" w:rsidP="006D633C">
      <w:pPr>
        <w:rPr>
          <w:rFonts w:eastAsia="Calibri"/>
        </w:rPr>
      </w:pPr>
      <w:r w:rsidRPr="008C7E20">
        <w:rPr>
          <w:rFonts w:eastAsia="Calibri"/>
        </w:rPr>
        <w:t>Il est indispensable d'examiner la portée de ces études, afin de déterminer si elles devraient être limitées aux services ayant un statut primaire, ou si elles devraient également porter sur d'autres services ayant un statut secondaire</w:t>
      </w:r>
      <w:r w:rsidR="00711F14" w:rsidRPr="008C7E20">
        <w:rPr>
          <w:rFonts w:eastAsia="Calibri"/>
        </w:rPr>
        <w:t>.</w:t>
      </w:r>
    </w:p>
    <w:p w14:paraId="7BFF5E96" w14:textId="20C57BEB" w:rsidR="00504105" w:rsidRPr="008C7E20" w:rsidRDefault="00504105" w:rsidP="006D633C">
      <w:r w:rsidRPr="008C7E20">
        <w:rPr>
          <w:rFonts w:eastAsia="Calibri"/>
        </w:rPr>
        <w:t>Il s</w:t>
      </w:r>
      <w:r w:rsidR="00BE274E" w:rsidRPr="008C7E20">
        <w:rPr>
          <w:rFonts w:eastAsia="Calibri"/>
        </w:rPr>
        <w:t>'</w:t>
      </w:r>
      <w:r w:rsidRPr="008C7E20">
        <w:rPr>
          <w:rFonts w:eastAsia="Calibri"/>
        </w:rPr>
        <w:t>agit également d</w:t>
      </w:r>
      <w:r w:rsidR="00BE274E" w:rsidRPr="008C7E20">
        <w:rPr>
          <w:rFonts w:eastAsia="Calibri"/>
        </w:rPr>
        <w:t>'</w:t>
      </w:r>
      <w:r w:rsidRPr="008C7E20">
        <w:rPr>
          <w:rFonts w:eastAsia="Calibri"/>
        </w:rPr>
        <w:t>un élément important à examiner</w:t>
      </w:r>
      <w:r w:rsidR="00BC11C5" w:rsidRPr="008C7E20">
        <w:rPr>
          <w:rFonts w:eastAsia="Calibri"/>
        </w:rPr>
        <w:t xml:space="preserve"> en fonction du </w:t>
      </w:r>
      <w:r w:rsidRPr="008C7E20">
        <w:rPr>
          <w:rFonts w:eastAsia="Calibri"/>
        </w:rPr>
        <w:t>libellé employé</w:t>
      </w:r>
      <w:r w:rsidR="006D633C" w:rsidRPr="008C7E20">
        <w:rPr>
          <w:rFonts w:eastAsia="Calibri"/>
        </w:rPr>
        <w:t xml:space="preserve"> </w:t>
      </w:r>
      <w:r w:rsidRPr="008C7E20">
        <w:rPr>
          <w:rFonts w:eastAsia="Calibri"/>
        </w:rPr>
        <w:t>dans la Résolution qui traite des points de l</w:t>
      </w:r>
      <w:r w:rsidR="00BE274E" w:rsidRPr="008C7E20">
        <w:rPr>
          <w:rFonts w:eastAsia="Calibri"/>
        </w:rPr>
        <w:t>'</w:t>
      </w:r>
      <w:r w:rsidRPr="008C7E20">
        <w:rPr>
          <w:rFonts w:eastAsia="Calibri"/>
        </w:rPr>
        <w:t>ordre du jour, afin de déterminer si dans le dispositif de la Résolution</w:t>
      </w:r>
      <w:r w:rsidR="00E640A2" w:rsidRPr="008C7E20">
        <w:rPr>
          <w:rFonts w:eastAsia="Calibri"/>
        </w:rPr>
        <w:t xml:space="preserve"> en question</w:t>
      </w:r>
      <w:r w:rsidRPr="008C7E20">
        <w:rPr>
          <w:rFonts w:eastAsia="Calibri"/>
        </w:rPr>
        <w:t xml:space="preserve">, il est fait état de la «protection des services auxquels la bande est attribuée», </w:t>
      </w:r>
      <w:r w:rsidR="00BC11C5" w:rsidRPr="008C7E20">
        <w:rPr>
          <w:rFonts w:eastAsia="Calibri"/>
        </w:rPr>
        <w:t>ou s</w:t>
      </w:r>
      <w:r w:rsidR="00BE274E" w:rsidRPr="008C7E20">
        <w:rPr>
          <w:rFonts w:eastAsia="Calibri"/>
        </w:rPr>
        <w:t>'</w:t>
      </w:r>
      <w:r w:rsidR="00BC11C5" w:rsidRPr="008C7E20">
        <w:rPr>
          <w:rFonts w:eastAsia="Calibri"/>
        </w:rPr>
        <w:t xml:space="preserve">il est fait état uniquement de la protection des services </w:t>
      </w:r>
      <w:r w:rsidR="00E640A2" w:rsidRPr="008C7E20">
        <w:rPr>
          <w:rFonts w:eastAsia="Calibri"/>
        </w:rPr>
        <w:t xml:space="preserve">ayant un statut primaire </w:t>
      </w:r>
      <w:r w:rsidR="00BC11C5" w:rsidRPr="008C7E20">
        <w:rPr>
          <w:rFonts w:eastAsia="Calibri"/>
        </w:rPr>
        <w:t>auxquels la bande est attribuée,</w:t>
      </w:r>
      <w:r w:rsidR="00D31065" w:rsidRPr="008C7E20">
        <w:rPr>
          <w:rFonts w:eastAsia="Calibri"/>
        </w:rPr>
        <w:t xml:space="preserve"> ou </w:t>
      </w:r>
      <w:r w:rsidR="00E640A2" w:rsidRPr="008C7E20">
        <w:rPr>
          <w:rFonts w:eastAsia="Calibri"/>
        </w:rPr>
        <w:t xml:space="preserve">encore </w:t>
      </w:r>
      <w:r w:rsidR="00D31065" w:rsidRPr="008C7E20">
        <w:rPr>
          <w:rFonts w:eastAsia="Calibri"/>
        </w:rPr>
        <w:t>si le dispositif ne comporte aucune indication en la matière.</w:t>
      </w:r>
    </w:p>
    <w:p w14:paraId="6568B141" w14:textId="7A60160E" w:rsidR="00A42C35" w:rsidRPr="008C7E20" w:rsidRDefault="00A42C35" w:rsidP="006D633C">
      <w:pPr>
        <w:pStyle w:val="Heading1"/>
        <w:rPr>
          <w:rFonts w:eastAsia="Calibri"/>
          <w:szCs w:val="24"/>
        </w:rPr>
      </w:pPr>
      <w:r w:rsidRPr="008C7E20">
        <w:rPr>
          <w:rFonts w:eastAsia="Calibri"/>
          <w:szCs w:val="24"/>
        </w:rPr>
        <w:t>7</w:t>
      </w:r>
      <w:r w:rsidRPr="008C7E20">
        <w:rPr>
          <w:rFonts w:eastAsia="Calibri"/>
          <w:szCs w:val="24"/>
        </w:rPr>
        <w:tab/>
        <w:t>Études à effectuer sur le partage et la compatibilité dans les bandes adjacentes</w:t>
      </w:r>
    </w:p>
    <w:p w14:paraId="7C64E7D2" w14:textId="10328F01" w:rsidR="00A42C35" w:rsidRPr="008C7E20" w:rsidRDefault="00A42C35" w:rsidP="006D633C">
      <w:pPr>
        <w:rPr>
          <w:rFonts w:eastAsia="Calibri"/>
        </w:rPr>
      </w:pPr>
      <w:r w:rsidRPr="008C7E20">
        <w:rPr>
          <w:rFonts w:eastAsia="Calibri"/>
        </w:rPr>
        <w:t>Il est indispensable d'examiner la portée de ces études, afin de déterminer si elles devraient être limitées à certains services sensibles ayant un statut primaire, ou si elles devraient également porter sur d'autres services, qu'il s'agisse ou non de services sensibles</w:t>
      </w:r>
      <w:r w:rsidR="00711F14" w:rsidRPr="008C7E20">
        <w:rPr>
          <w:rFonts w:eastAsia="Calibri"/>
        </w:rPr>
        <w:t>.</w:t>
      </w:r>
    </w:p>
    <w:p w14:paraId="628690AA" w14:textId="47AC839B" w:rsidR="00297F6E" w:rsidRPr="008C7E20" w:rsidRDefault="00297F6E" w:rsidP="006D633C">
      <w:pPr>
        <w:rPr>
          <w:rFonts w:eastAsia="Calibri"/>
        </w:rPr>
      </w:pPr>
      <w:r w:rsidRPr="008C7E20">
        <w:rPr>
          <w:rFonts w:eastAsia="Calibri"/>
        </w:rPr>
        <w:t>Ce principe est également important</w:t>
      </w:r>
      <w:r w:rsidR="000D1764" w:rsidRPr="008C7E20">
        <w:rPr>
          <w:rFonts w:eastAsia="Calibri"/>
        </w:rPr>
        <w:t>,</w:t>
      </w:r>
      <w:r w:rsidRPr="008C7E20">
        <w:rPr>
          <w:rFonts w:eastAsia="Calibri"/>
        </w:rPr>
        <w:t xml:space="preserve"> dans la mesure où</w:t>
      </w:r>
      <w:r w:rsidR="000D1764" w:rsidRPr="008C7E20">
        <w:rPr>
          <w:rFonts w:eastAsia="Calibri"/>
        </w:rPr>
        <w:t xml:space="preserve"> il se peu</w:t>
      </w:r>
      <w:r w:rsidR="00E640A2" w:rsidRPr="008C7E20">
        <w:rPr>
          <w:rFonts w:eastAsia="Calibri"/>
        </w:rPr>
        <w:t>t qu</w:t>
      </w:r>
      <w:r w:rsidR="000D1764" w:rsidRPr="008C7E20">
        <w:rPr>
          <w:rFonts w:eastAsia="Calibri"/>
        </w:rPr>
        <w:t>e</w:t>
      </w:r>
      <w:r w:rsidR="00E640A2" w:rsidRPr="008C7E20">
        <w:rPr>
          <w:rFonts w:eastAsia="Calibri"/>
        </w:rPr>
        <w:t xml:space="preserve"> le</w:t>
      </w:r>
      <w:r w:rsidR="000D1764" w:rsidRPr="008C7E20">
        <w:rPr>
          <w:rFonts w:eastAsia="Calibri"/>
        </w:rPr>
        <w:t xml:space="preserve"> libellé employé dans le dispositif de la Résolution associée ait clairement fait mention de la protection des bandes adjacentes, ou que le dispositif ne comporte aucune indication en la matièr</w:t>
      </w:r>
      <w:r w:rsidR="00BE274E" w:rsidRPr="008C7E20">
        <w:rPr>
          <w:rFonts w:eastAsia="Calibri"/>
        </w:rPr>
        <w:t>e.</w:t>
      </w:r>
    </w:p>
    <w:p w14:paraId="461E61FE" w14:textId="2AE41EAC" w:rsidR="00A42C35" w:rsidRPr="008C7E20" w:rsidRDefault="00A42C35" w:rsidP="006D633C">
      <w:pPr>
        <w:pStyle w:val="Heading1"/>
        <w:rPr>
          <w:rFonts w:eastAsia="Calibri"/>
          <w:szCs w:val="24"/>
        </w:rPr>
      </w:pPr>
      <w:r w:rsidRPr="008C7E20">
        <w:rPr>
          <w:rFonts w:eastAsia="Calibri"/>
          <w:szCs w:val="24"/>
        </w:rPr>
        <w:t>8</w:t>
      </w:r>
      <w:r w:rsidRPr="008C7E20">
        <w:rPr>
          <w:rFonts w:eastAsia="Calibri"/>
          <w:szCs w:val="24"/>
        </w:rPr>
        <w:tab/>
        <w:t>Études à effectuer sur le partage et la compatibilité dans la bande et dans les bandes adjacentes dans les Régions adjacentes</w:t>
      </w:r>
    </w:p>
    <w:p w14:paraId="4635FE8C" w14:textId="77777777" w:rsidR="000D1764" w:rsidRPr="008C7E20" w:rsidRDefault="00A42C35" w:rsidP="006D633C">
      <w:pPr>
        <w:rPr>
          <w:rFonts w:eastAsia="Calibri"/>
        </w:rPr>
      </w:pPr>
      <w:r w:rsidRPr="008C7E20">
        <w:rPr>
          <w:rFonts w:eastAsia="Calibri"/>
        </w:rPr>
        <w:t xml:space="preserve">Il est important de noter que chaque fois que des études </w:t>
      </w:r>
      <w:r w:rsidRPr="008C7E20">
        <w:rPr>
          <w:rFonts w:eastAsia="Calibri"/>
          <w:szCs w:val="24"/>
        </w:rPr>
        <w:t>sur le partage et la compatibilité dans la bande et dans les bandes adjacentes doivent être effectuées dans une Région donnée, il convient de tenir dûment compte des incidences de ces études</w:t>
      </w:r>
      <w:r w:rsidRPr="008C7E20">
        <w:rPr>
          <w:rFonts w:eastAsia="Calibri"/>
        </w:rPr>
        <w:t xml:space="preserve"> dans d'autres Régions adjacentes à la Région dans laquelle les études sont menées</w:t>
      </w:r>
      <w:r w:rsidR="00711F14" w:rsidRPr="008C7E20">
        <w:rPr>
          <w:rFonts w:eastAsia="Calibri"/>
        </w:rPr>
        <w:t>.</w:t>
      </w:r>
    </w:p>
    <w:p w14:paraId="16A22D1C" w14:textId="74D5A06C" w:rsidR="00A42C35" w:rsidRPr="008C7E20" w:rsidRDefault="000D1764" w:rsidP="006D633C">
      <w:pPr>
        <w:rPr>
          <w:rFonts w:eastAsia="Calibri"/>
        </w:rPr>
      </w:pPr>
      <w:r w:rsidRPr="008C7E20">
        <w:rPr>
          <w:rFonts w:eastAsia="Calibri"/>
        </w:rPr>
        <w:t>Cette question est importante, dans la mesure où dans certains points de l</w:t>
      </w:r>
      <w:r w:rsidR="00BE274E" w:rsidRPr="008C7E20">
        <w:rPr>
          <w:rFonts w:eastAsia="Calibri"/>
        </w:rPr>
        <w:t>'</w:t>
      </w:r>
      <w:r w:rsidRPr="008C7E20">
        <w:rPr>
          <w:rFonts w:eastAsia="Calibri"/>
        </w:rPr>
        <w:t>ordre du jour, les mesures à prendre sont limitées à une Région ou</w:t>
      </w:r>
      <w:r w:rsidR="006D633C" w:rsidRPr="008C7E20">
        <w:rPr>
          <w:rFonts w:eastAsia="Calibri"/>
        </w:rPr>
        <w:t xml:space="preserve"> </w:t>
      </w:r>
      <w:r w:rsidRPr="008C7E20">
        <w:rPr>
          <w:rFonts w:eastAsia="Calibri"/>
        </w:rPr>
        <w:t>sous-Région donnée. Toutefois, les incidences des études et la nécessité d</w:t>
      </w:r>
      <w:r w:rsidR="00BE274E" w:rsidRPr="008C7E20">
        <w:rPr>
          <w:rFonts w:eastAsia="Calibri"/>
        </w:rPr>
        <w:t>'</w:t>
      </w:r>
      <w:r w:rsidRPr="008C7E20">
        <w:rPr>
          <w:rFonts w:eastAsia="Calibri"/>
        </w:rPr>
        <w:t>assurer la protection des services bénéficiant d</w:t>
      </w:r>
      <w:r w:rsidR="00BE274E" w:rsidRPr="008C7E20">
        <w:rPr>
          <w:rFonts w:eastAsia="Calibri"/>
        </w:rPr>
        <w:t>'</w:t>
      </w:r>
      <w:r w:rsidRPr="008C7E20">
        <w:rPr>
          <w:rFonts w:eastAsia="Calibri"/>
        </w:rPr>
        <w:t>attributions dans d</w:t>
      </w:r>
      <w:r w:rsidR="00BE274E" w:rsidRPr="008C7E20">
        <w:rPr>
          <w:rFonts w:eastAsia="Calibri"/>
        </w:rPr>
        <w:t>'</w:t>
      </w:r>
      <w:r w:rsidRPr="008C7E20">
        <w:rPr>
          <w:rFonts w:eastAsia="Calibri"/>
        </w:rPr>
        <w:t>autres Régions sont d</w:t>
      </w:r>
      <w:r w:rsidR="00BE274E" w:rsidRPr="008C7E20">
        <w:rPr>
          <w:rFonts w:eastAsia="Calibri"/>
        </w:rPr>
        <w:t>'</w:t>
      </w:r>
      <w:r w:rsidRPr="008C7E20">
        <w:rPr>
          <w:rFonts w:eastAsia="Calibri"/>
        </w:rPr>
        <w:t>une importance primordiale, en particulier lorsque deux Régions sont géographiquement contiguës</w:t>
      </w:r>
      <w:r w:rsidR="00BE274E" w:rsidRPr="008C7E20">
        <w:rPr>
          <w:rFonts w:eastAsia="Calibri"/>
        </w:rPr>
        <w:t>.</w:t>
      </w:r>
    </w:p>
    <w:p w14:paraId="66A94ADC" w14:textId="00195E96" w:rsidR="00A42C35" w:rsidRPr="008C7E20" w:rsidRDefault="00A42C35" w:rsidP="006D633C">
      <w:pPr>
        <w:pStyle w:val="Heading1"/>
        <w:rPr>
          <w:rFonts w:eastAsia="Calibri"/>
          <w:szCs w:val="24"/>
        </w:rPr>
      </w:pPr>
      <w:r w:rsidRPr="008C7E20">
        <w:rPr>
          <w:rFonts w:eastAsia="Calibri"/>
          <w:szCs w:val="24"/>
        </w:rPr>
        <w:t>9</w:t>
      </w:r>
      <w:r w:rsidRPr="008C7E20">
        <w:rPr>
          <w:rFonts w:eastAsia="Calibri"/>
          <w:szCs w:val="24"/>
        </w:rPr>
        <w:tab/>
        <w:t>Partage et compatibilité</w:t>
      </w:r>
    </w:p>
    <w:p w14:paraId="07A9C2E6" w14:textId="2EC774D0" w:rsidR="00A42C35" w:rsidRPr="008C7E20" w:rsidRDefault="00A42C35" w:rsidP="006D633C">
      <w:pPr>
        <w:rPr>
          <w:rFonts w:eastAsia="Calibri"/>
        </w:rPr>
      </w:pPr>
      <w:r w:rsidRPr="008C7E20">
        <w:rPr>
          <w:rFonts w:eastAsia="Calibri"/>
        </w:rPr>
        <w:t>Définir les critères de partage, les hypothèses, le processus de simulation et les techniques d'atténuation des brouillages à utiliser dans les études à entreprendre:</w:t>
      </w:r>
    </w:p>
    <w:p w14:paraId="16A6B764" w14:textId="7DD230BF" w:rsidR="00A42C35" w:rsidRPr="008C7E20" w:rsidRDefault="00A42C35" w:rsidP="006D633C">
      <w:pPr>
        <w:rPr>
          <w:rFonts w:eastAsia="Calibri"/>
        </w:rPr>
      </w:pPr>
      <w:r w:rsidRPr="008C7E20">
        <w:rPr>
          <w:rFonts w:eastAsia="Calibri"/>
        </w:rPr>
        <w:t>9.1</w:t>
      </w:r>
      <w:r w:rsidRPr="008C7E20">
        <w:rPr>
          <w:rFonts w:eastAsia="Calibri"/>
        </w:rPr>
        <w:tab/>
        <w:t>Il est absolument nécessaire de s'entendre sur les critères de partage et de compatibilité, les hypothèses, le processus de simulation et les techniques d'atténuation des brouillages</w:t>
      </w:r>
      <w:r w:rsidR="000D1764" w:rsidRPr="008C7E20">
        <w:rPr>
          <w:rFonts w:eastAsia="Calibri"/>
        </w:rPr>
        <w:t xml:space="preserve"> dès le début des études,</w:t>
      </w:r>
      <w:r w:rsidRPr="008C7E20">
        <w:rPr>
          <w:rFonts w:eastAsia="Calibri"/>
        </w:rPr>
        <w:t xml:space="preserve"> avant que les membres intéressés n'entreprennent ces études</w:t>
      </w:r>
      <w:r w:rsidR="00711F14" w:rsidRPr="008C7E20">
        <w:rPr>
          <w:rFonts w:eastAsia="Calibri"/>
        </w:rPr>
        <w:t>.</w:t>
      </w:r>
    </w:p>
    <w:p w14:paraId="0F38DBA5" w14:textId="4499AF93" w:rsidR="008A5A24" w:rsidRPr="008C7E20" w:rsidRDefault="008A5A24" w:rsidP="006D633C">
      <w:pPr>
        <w:rPr>
          <w:rFonts w:eastAsia="Calibri"/>
        </w:rPr>
      </w:pPr>
      <w:r w:rsidRPr="008C7E20">
        <w:rPr>
          <w:rFonts w:eastAsia="Calibri"/>
        </w:rPr>
        <w:t>Ce principe est essentiel afin de ne pas refaire les études par la suite, dans la mesure où certains membres sont/pourraient être réticents à l</w:t>
      </w:r>
      <w:r w:rsidR="00BE274E" w:rsidRPr="008C7E20">
        <w:rPr>
          <w:rFonts w:eastAsia="Calibri"/>
        </w:rPr>
        <w:t>'</w:t>
      </w:r>
      <w:r w:rsidRPr="008C7E20">
        <w:rPr>
          <w:rFonts w:eastAsia="Calibri"/>
        </w:rPr>
        <w:t>idée de mener à nouveau certaines études qui constitueraient</w:t>
      </w:r>
      <w:r w:rsidR="00E640A2" w:rsidRPr="008C7E20">
        <w:rPr>
          <w:rFonts w:eastAsia="Calibri"/>
        </w:rPr>
        <w:t>, à leur sens,</w:t>
      </w:r>
      <w:r w:rsidR="006D633C" w:rsidRPr="008C7E20">
        <w:rPr>
          <w:rFonts w:eastAsia="Calibri"/>
        </w:rPr>
        <w:t xml:space="preserve"> </w:t>
      </w:r>
      <w:r w:rsidRPr="008C7E20">
        <w:rPr>
          <w:rFonts w:eastAsia="Calibri"/>
        </w:rPr>
        <w:t>une perte de temps et un gaspillage des ressources.</w:t>
      </w:r>
    </w:p>
    <w:p w14:paraId="14D635E5" w14:textId="62F0716F" w:rsidR="00A42C35" w:rsidRPr="008C7E20" w:rsidRDefault="00A42C35" w:rsidP="006D633C">
      <w:pPr>
        <w:rPr>
          <w:rFonts w:eastAsia="Calibri"/>
        </w:rPr>
      </w:pPr>
      <w:r w:rsidRPr="008C7E20">
        <w:rPr>
          <w:rFonts w:eastAsia="Calibri"/>
        </w:rPr>
        <w:t>9.2</w:t>
      </w:r>
      <w:r w:rsidRPr="008C7E20">
        <w:rPr>
          <w:rFonts w:eastAsia="Calibri"/>
        </w:rPr>
        <w:tab/>
        <w:t xml:space="preserve">Une approche qui ne serait pas coordonnée et harmonisée </w:t>
      </w:r>
      <w:r w:rsidR="008A5A24" w:rsidRPr="008C7E20">
        <w:rPr>
          <w:rFonts w:eastAsia="Calibri"/>
        </w:rPr>
        <w:t>risquerait d</w:t>
      </w:r>
      <w:r w:rsidR="00BE274E" w:rsidRPr="008C7E20">
        <w:rPr>
          <w:rFonts w:eastAsia="Calibri"/>
        </w:rPr>
        <w:t>'</w:t>
      </w:r>
      <w:r w:rsidRPr="008C7E20">
        <w:rPr>
          <w:rFonts w:eastAsia="Calibri"/>
        </w:rPr>
        <w:t>aboutir</w:t>
      </w:r>
      <w:r w:rsidR="006D633C" w:rsidRPr="008C7E20">
        <w:rPr>
          <w:rFonts w:eastAsia="Calibri"/>
        </w:rPr>
        <w:t xml:space="preserve"> </w:t>
      </w:r>
      <w:r w:rsidRPr="008C7E20">
        <w:rPr>
          <w:rFonts w:eastAsia="Calibri"/>
        </w:rPr>
        <w:t xml:space="preserve">à des conclusions différentes </w:t>
      </w:r>
      <w:r w:rsidR="008A5A24" w:rsidRPr="008C7E20">
        <w:rPr>
          <w:rFonts w:eastAsia="Calibri"/>
        </w:rPr>
        <w:t>au titre</w:t>
      </w:r>
      <w:r w:rsidR="006D633C" w:rsidRPr="008C7E20">
        <w:rPr>
          <w:rFonts w:eastAsia="Calibri"/>
        </w:rPr>
        <w:t xml:space="preserve"> </w:t>
      </w:r>
      <w:r w:rsidRPr="008C7E20">
        <w:rPr>
          <w:rFonts w:eastAsia="Calibri"/>
        </w:rPr>
        <w:t xml:space="preserve">de chaque étude, </w:t>
      </w:r>
      <w:r w:rsidR="008A5A24" w:rsidRPr="008C7E20">
        <w:rPr>
          <w:rFonts w:eastAsia="Calibri"/>
        </w:rPr>
        <w:t>de sorte qu</w:t>
      </w:r>
      <w:r w:rsidR="00BE274E" w:rsidRPr="008C7E20">
        <w:rPr>
          <w:rFonts w:eastAsia="Calibri"/>
        </w:rPr>
        <w:t>'</w:t>
      </w:r>
      <w:r w:rsidRPr="008C7E20">
        <w:rPr>
          <w:rFonts w:eastAsia="Calibri"/>
        </w:rPr>
        <w:t>il serait</w:t>
      </w:r>
      <w:r w:rsidR="006D633C" w:rsidRPr="008C7E20">
        <w:rPr>
          <w:rFonts w:eastAsia="Calibri"/>
        </w:rPr>
        <w:t xml:space="preserve"> </w:t>
      </w:r>
      <w:r w:rsidRPr="008C7E20">
        <w:rPr>
          <w:rFonts w:eastAsia="Calibri"/>
        </w:rPr>
        <w:t>très difficile, pour ne pas dire impossible, de tirer une conclusion générale</w:t>
      </w:r>
      <w:r w:rsidR="00E640A2" w:rsidRPr="008C7E20">
        <w:rPr>
          <w:rFonts w:eastAsia="Calibri"/>
        </w:rPr>
        <w:t>.</w:t>
      </w:r>
      <w:r w:rsidR="008A5A24" w:rsidRPr="008C7E20">
        <w:rPr>
          <w:rFonts w:eastAsia="Calibri"/>
        </w:rPr>
        <w:t xml:space="preserve"> </w:t>
      </w:r>
      <w:r w:rsidR="00E640A2" w:rsidRPr="008C7E20">
        <w:rPr>
          <w:rFonts w:eastAsia="Calibri"/>
        </w:rPr>
        <w:t>Or, cela</w:t>
      </w:r>
      <w:r w:rsidR="008A5A24" w:rsidRPr="008C7E20">
        <w:rPr>
          <w:rFonts w:eastAsia="Calibri"/>
        </w:rPr>
        <w:t xml:space="preserve"> </w:t>
      </w:r>
      <w:r w:rsidR="00E640A2" w:rsidRPr="008C7E20">
        <w:rPr>
          <w:rFonts w:eastAsia="Calibri"/>
        </w:rPr>
        <w:t>est</w:t>
      </w:r>
      <w:r w:rsidR="008A5A24" w:rsidRPr="008C7E20">
        <w:rPr>
          <w:rFonts w:eastAsia="Calibri"/>
        </w:rPr>
        <w:t xml:space="preserve"> essentiel pour </w:t>
      </w:r>
      <w:r w:rsidR="008A5A24" w:rsidRPr="008C7E20">
        <w:t>parvenir à des conclusions sur les résultats des études de partage et de compatibilité.</w:t>
      </w:r>
      <w:r w:rsidR="006D633C" w:rsidRPr="008C7E20">
        <w:t xml:space="preserve"> </w:t>
      </w:r>
      <w:r w:rsidRPr="008C7E20">
        <w:rPr>
          <w:rFonts w:eastAsia="Calibri"/>
        </w:rPr>
        <w:t>Ce problème s'est déjà posé dans le cadre des études qui ont été menées pendant les cycles d'études précédents.</w:t>
      </w:r>
    </w:p>
    <w:p w14:paraId="78DE5F5D" w14:textId="10A39EEB" w:rsidR="00A42C35" w:rsidRPr="008C7E20" w:rsidRDefault="00A42C35" w:rsidP="006D633C">
      <w:pPr>
        <w:pStyle w:val="Heading1"/>
        <w:rPr>
          <w:rFonts w:ascii="Times New Roman Bold" w:eastAsia="Calibri" w:hAnsi="Times New Roman Bold"/>
          <w:spacing w:val="-2"/>
          <w:szCs w:val="18"/>
        </w:rPr>
      </w:pPr>
      <w:r w:rsidRPr="008C7E20">
        <w:rPr>
          <w:rFonts w:eastAsia="Calibri"/>
          <w:szCs w:val="18"/>
        </w:rPr>
        <w:lastRenderedPageBreak/>
        <w:t>10</w:t>
      </w:r>
      <w:r w:rsidRPr="008C7E20">
        <w:rPr>
          <w:rFonts w:eastAsia="Calibri"/>
          <w:szCs w:val="18"/>
        </w:rPr>
        <w:tab/>
        <w:t xml:space="preserve">Nécessité d'élaborer ou non un nouveau </w:t>
      </w:r>
      <w:r w:rsidR="008C7E20" w:rsidRPr="008C7E20">
        <w:rPr>
          <w:rFonts w:eastAsia="Calibri"/>
          <w:szCs w:val="18"/>
        </w:rPr>
        <w:t>R</w:t>
      </w:r>
      <w:r w:rsidRPr="008C7E20">
        <w:rPr>
          <w:rFonts w:eastAsia="Calibri"/>
          <w:szCs w:val="18"/>
        </w:rPr>
        <w:t xml:space="preserve">apport </w:t>
      </w:r>
      <w:r w:rsidRPr="008C7E20">
        <w:rPr>
          <w:rFonts w:ascii="Times New Roman Bold" w:eastAsia="Calibri" w:hAnsi="Times New Roman Bold"/>
          <w:spacing w:val="-2"/>
          <w:szCs w:val="18"/>
        </w:rPr>
        <w:t xml:space="preserve">UIT-R </w:t>
      </w:r>
      <w:r w:rsidRPr="008C7E20">
        <w:rPr>
          <w:rFonts w:eastAsia="Calibri"/>
          <w:szCs w:val="18"/>
        </w:rPr>
        <w:t>ou une nouvelle Recommandation</w:t>
      </w:r>
      <w:r w:rsidRPr="008C7E20">
        <w:rPr>
          <w:rFonts w:ascii="Times New Roman Bold" w:eastAsia="Calibri" w:hAnsi="Times New Roman Bold"/>
          <w:spacing w:val="-2"/>
          <w:szCs w:val="18"/>
        </w:rPr>
        <w:t xml:space="preserve"> UIT-R</w:t>
      </w:r>
    </w:p>
    <w:p w14:paraId="05FD7670" w14:textId="588E508A" w:rsidR="00A42C35" w:rsidRPr="008C7E20" w:rsidRDefault="00A42C35" w:rsidP="006D633C">
      <w:pPr>
        <w:rPr>
          <w:rFonts w:eastAsia="Calibri"/>
        </w:rPr>
      </w:pPr>
      <w:r w:rsidRPr="008C7E20">
        <w:rPr>
          <w:rFonts w:eastAsia="Calibri"/>
        </w:rPr>
        <w:t>10.1</w:t>
      </w:r>
      <w:r w:rsidRPr="008C7E20">
        <w:rPr>
          <w:rFonts w:eastAsia="Calibri"/>
        </w:rPr>
        <w:tab/>
        <w:t xml:space="preserve">Il est indispensable de déterminer s'il est nécessaire ou non d'élaborer un nouveau </w:t>
      </w:r>
      <w:r w:rsidR="008C7E20" w:rsidRPr="008C7E20">
        <w:rPr>
          <w:rFonts w:eastAsia="Calibri"/>
        </w:rPr>
        <w:t>R</w:t>
      </w:r>
      <w:r w:rsidRPr="008C7E20">
        <w:rPr>
          <w:rFonts w:eastAsia="Calibri"/>
        </w:rPr>
        <w:t>apport</w:t>
      </w:r>
      <w:r w:rsidR="008C7E20" w:rsidRPr="008C7E20">
        <w:rPr>
          <w:rFonts w:eastAsia="Calibri"/>
        </w:rPr>
        <w:t xml:space="preserve"> </w:t>
      </w:r>
      <w:r w:rsidRPr="008C7E20">
        <w:rPr>
          <w:rFonts w:eastAsia="Calibri"/>
        </w:rPr>
        <w:t>UIT-R ou une nouvelle Recommandation UIT-R,</w:t>
      </w:r>
      <w:r w:rsidRPr="008C7E20">
        <w:rPr>
          <w:rFonts w:eastAsia="Calibri"/>
          <w:spacing w:val="-2"/>
        </w:rPr>
        <w:t xml:space="preserve"> étant donné qu'il existe déjà plusieurs </w:t>
      </w:r>
      <w:r w:rsidR="008C7E20" w:rsidRPr="008C7E20">
        <w:rPr>
          <w:rFonts w:eastAsia="Calibri"/>
          <w:spacing w:val="-2"/>
        </w:rPr>
        <w:t>R</w:t>
      </w:r>
      <w:r w:rsidRPr="008C7E20">
        <w:rPr>
          <w:rFonts w:eastAsia="Calibri"/>
          <w:spacing w:val="-2"/>
        </w:rPr>
        <w:t>apports et Recommandations sur la question</w:t>
      </w:r>
      <w:r w:rsidR="00047B47" w:rsidRPr="008C7E20">
        <w:rPr>
          <w:rFonts w:eastAsia="Calibri"/>
          <w:spacing w:val="-2"/>
        </w:rPr>
        <w:t xml:space="preserve">. Il suffit de vérifier si ces </w:t>
      </w:r>
      <w:r w:rsidR="008C7E20" w:rsidRPr="008C7E20">
        <w:rPr>
          <w:rFonts w:eastAsia="Calibri"/>
          <w:spacing w:val="-2"/>
        </w:rPr>
        <w:t>R</w:t>
      </w:r>
      <w:r w:rsidRPr="008C7E20">
        <w:rPr>
          <w:rFonts w:eastAsia="Calibri"/>
          <w:spacing w:val="-2"/>
        </w:rPr>
        <w:t xml:space="preserve">apports et Recommandations appellent des modifications ou une révision. Voir </w:t>
      </w:r>
      <w:r w:rsidR="008A5A24" w:rsidRPr="008C7E20">
        <w:rPr>
          <w:rFonts w:eastAsia="Calibri"/>
          <w:spacing w:val="-2"/>
        </w:rPr>
        <w:t>le paragraphe A1.3.1.5bis de</w:t>
      </w:r>
      <w:r w:rsidR="006D633C" w:rsidRPr="008C7E20">
        <w:rPr>
          <w:rFonts w:eastAsia="Calibri"/>
          <w:spacing w:val="-2"/>
        </w:rPr>
        <w:t xml:space="preserve"> </w:t>
      </w:r>
      <w:r w:rsidRPr="008C7E20">
        <w:rPr>
          <w:rFonts w:eastAsia="Calibri"/>
          <w:spacing w:val="-2"/>
        </w:rPr>
        <w:t xml:space="preserve">la Résolution </w:t>
      </w:r>
      <w:r w:rsidRPr="008C7E20">
        <w:rPr>
          <w:rFonts w:eastAsia="Calibri"/>
        </w:rPr>
        <w:t>UIT-R 1-8</w:t>
      </w:r>
      <w:r w:rsidR="00BE274E" w:rsidRPr="008C7E20">
        <w:rPr>
          <w:rFonts w:eastAsia="Calibri"/>
        </w:rPr>
        <w:t>.</w:t>
      </w:r>
    </w:p>
    <w:p w14:paraId="67B55FB5" w14:textId="0DCE7CFB" w:rsidR="00A42C35" w:rsidRPr="008C7E20" w:rsidRDefault="00A42C35" w:rsidP="006D633C">
      <w:pPr>
        <w:rPr>
          <w:rFonts w:eastAsia="Calibri"/>
        </w:rPr>
      </w:pPr>
      <w:r w:rsidRPr="008C7E20">
        <w:rPr>
          <w:rFonts w:eastAsia="Calibri"/>
        </w:rPr>
        <w:t>10.2</w:t>
      </w:r>
      <w:r w:rsidRPr="008C7E20">
        <w:rPr>
          <w:rFonts w:eastAsia="Calibri"/>
        </w:rPr>
        <w:tab/>
        <w:t>En outre, il y a lieu de noter qu'il existe une différence entre un document d'appui de nature technique et opérati</w:t>
      </w:r>
      <w:r w:rsidR="00047B47" w:rsidRPr="008C7E20">
        <w:rPr>
          <w:rFonts w:eastAsia="Calibri"/>
        </w:rPr>
        <w:t xml:space="preserve">onnelle/ou réglementaire et un </w:t>
      </w:r>
      <w:r w:rsidR="008C7E20" w:rsidRPr="008C7E20">
        <w:rPr>
          <w:rFonts w:eastAsia="Calibri"/>
        </w:rPr>
        <w:t>R</w:t>
      </w:r>
      <w:r w:rsidRPr="008C7E20">
        <w:rPr>
          <w:rFonts w:eastAsia="Calibri"/>
        </w:rPr>
        <w:t>apport ou une Recommandation UIT-R à caractère officiel, étant donné qu'après la CMR-23, une fois que l'ordr</w:t>
      </w:r>
      <w:r w:rsidR="00047B47" w:rsidRPr="008C7E20">
        <w:rPr>
          <w:rFonts w:eastAsia="Calibri"/>
        </w:rPr>
        <w:t xml:space="preserve">e du jour aura été traité, ces </w:t>
      </w:r>
      <w:r w:rsidR="008C7E20" w:rsidRPr="008C7E20">
        <w:rPr>
          <w:rFonts w:eastAsia="Calibri"/>
        </w:rPr>
        <w:t>R</w:t>
      </w:r>
      <w:r w:rsidRPr="008C7E20">
        <w:rPr>
          <w:rFonts w:eastAsia="Calibri"/>
        </w:rPr>
        <w:t>apports n'apporteront rien de plus que les éléments qui seront insérés dans les documents/conclusions de la Conférence au titre de cet ordre du jour</w:t>
      </w:r>
      <w:r w:rsidR="009D07E1" w:rsidRPr="008C7E20">
        <w:rPr>
          <w:rFonts w:eastAsia="Calibri"/>
        </w:rPr>
        <w:t>.</w:t>
      </w:r>
    </w:p>
    <w:p w14:paraId="35BD8D95" w14:textId="446269C0" w:rsidR="00EB7FB9" w:rsidRPr="008C7E20" w:rsidRDefault="00EB7FB9" w:rsidP="006D633C">
      <w:pPr>
        <w:rPr>
          <w:rFonts w:eastAsia="Calibri"/>
        </w:rPr>
      </w:pPr>
      <w:r w:rsidRPr="008C7E20">
        <w:t>Autrement dit, avant</w:t>
      </w:r>
      <w:r w:rsidRPr="008C7E20">
        <w:rPr>
          <w:rFonts w:eastAsia="Calibri"/>
        </w:rPr>
        <w:t xml:space="preserve"> d</w:t>
      </w:r>
      <w:r w:rsidR="00BE274E" w:rsidRPr="008C7E20">
        <w:rPr>
          <w:rFonts w:eastAsia="Calibri"/>
        </w:rPr>
        <w:t>'</w:t>
      </w:r>
      <w:r w:rsidRPr="008C7E20">
        <w:rPr>
          <w:rFonts w:eastAsia="Calibri"/>
        </w:rPr>
        <w:t>examiner s'il est nécessaire ou non d'élaborer</w:t>
      </w:r>
      <w:r w:rsidR="006D633C" w:rsidRPr="008C7E20">
        <w:rPr>
          <w:rFonts w:eastAsia="Calibri"/>
        </w:rPr>
        <w:t xml:space="preserve"> </w:t>
      </w:r>
      <w:r w:rsidRPr="008C7E20">
        <w:rPr>
          <w:rFonts w:eastAsia="Calibri"/>
        </w:rPr>
        <w:t xml:space="preserve">une nouvelle Recommandation ou un nouveau </w:t>
      </w:r>
      <w:r w:rsidR="008C7E20" w:rsidRPr="008C7E20">
        <w:rPr>
          <w:rFonts w:eastAsia="Calibri"/>
        </w:rPr>
        <w:t>R</w:t>
      </w:r>
      <w:r w:rsidRPr="008C7E20">
        <w:rPr>
          <w:rFonts w:eastAsia="Calibri"/>
        </w:rPr>
        <w:t>apport, ou les deux, il faut déterminer les raisons pour lesquelles la ou les Recommandations</w:t>
      </w:r>
      <w:r w:rsidR="00934237" w:rsidRPr="008C7E20">
        <w:rPr>
          <w:rFonts w:eastAsia="Calibri"/>
        </w:rPr>
        <w:t xml:space="preserve"> existantes</w:t>
      </w:r>
      <w:r w:rsidR="006D633C" w:rsidRPr="008C7E20">
        <w:rPr>
          <w:rFonts w:eastAsia="Calibri"/>
        </w:rPr>
        <w:t xml:space="preserve"> </w:t>
      </w:r>
      <w:r w:rsidRPr="008C7E20">
        <w:rPr>
          <w:rFonts w:eastAsia="Calibri"/>
        </w:rPr>
        <w:t>ou le</w:t>
      </w:r>
      <w:r w:rsidR="006D633C" w:rsidRPr="008C7E20">
        <w:rPr>
          <w:rFonts w:eastAsia="Calibri"/>
        </w:rPr>
        <w:t xml:space="preserve"> </w:t>
      </w:r>
      <w:r w:rsidRPr="008C7E20">
        <w:rPr>
          <w:rFonts w:eastAsia="Calibri"/>
        </w:rPr>
        <w:t xml:space="preserve">ou les </w:t>
      </w:r>
      <w:r w:rsidR="00AC5B06" w:rsidRPr="008C7E20">
        <w:rPr>
          <w:rFonts w:eastAsia="Calibri"/>
        </w:rPr>
        <w:t>R</w:t>
      </w:r>
      <w:r w:rsidRPr="008C7E20">
        <w:rPr>
          <w:rFonts w:eastAsia="Calibri"/>
        </w:rPr>
        <w:t xml:space="preserve">apports existants ne sont pas suffisants. Au lieu de commencer à élaborer une nouvelle Recommandation ou un nouveau </w:t>
      </w:r>
      <w:r w:rsidR="00AC5B06" w:rsidRPr="008C7E20">
        <w:rPr>
          <w:rFonts w:eastAsia="Calibri"/>
        </w:rPr>
        <w:t>R</w:t>
      </w:r>
      <w:r w:rsidRPr="008C7E20">
        <w:rPr>
          <w:rFonts w:eastAsia="Calibri"/>
        </w:rPr>
        <w:t>apport, ou peut-être les deux, il</w:t>
      </w:r>
      <w:r w:rsidR="006D633C" w:rsidRPr="008C7E20">
        <w:rPr>
          <w:rFonts w:eastAsia="Calibri"/>
        </w:rPr>
        <w:t xml:space="preserve"> </w:t>
      </w:r>
      <w:r w:rsidRPr="008C7E20">
        <w:rPr>
          <w:rFonts w:eastAsia="Calibri"/>
        </w:rPr>
        <w:t>pourrait suffire de réviser une ou plusieurs des Recommandations/</w:t>
      </w:r>
      <w:r w:rsidR="00AC5B06" w:rsidRPr="008C7E20">
        <w:rPr>
          <w:rFonts w:eastAsia="Calibri"/>
        </w:rPr>
        <w:t>R</w:t>
      </w:r>
      <w:r w:rsidRPr="008C7E20">
        <w:rPr>
          <w:rFonts w:eastAsia="Calibri"/>
        </w:rPr>
        <w:t>apports existants.</w:t>
      </w:r>
    </w:p>
    <w:p w14:paraId="3425855C" w14:textId="246F2535" w:rsidR="00A42C35" w:rsidRPr="008C7E20" w:rsidRDefault="00A42C35" w:rsidP="006D633C">
      <w:pPr>
        <w:pStyle w:val="Heading1"/>
        <w:rPr>
          <w:rFonts w:eastAsia="Calibri"/>
          <w:szCs w:val="24"/>
        </w:rPr>
      </w:pPr>
      <w:r w:rsidRPr="008C7E20">
        <w:rPr>
          <w:rFonts w:eastAsia="Calibri"/>
          <w:szCs w:val="24"/>
        </w:rPr>
        <w:t>11</w:t>
      </w:r>
      <w:r w:rsidRPr="008C7E20">
        <w:rPr>
          <w:rFonts w:eastAsia="Calibri"/>
          <w:szCs w:val="24"/>
        </w:rPr>
        <w:tab/>
        <w:t>Programme d'études ou principes directeurs applicables aux études</w:t>
      </w:r>
    </w:p>
    <w:p w14:paraId="1E79F5C3" w14:textId="2F39E358" w:rsidR="00A42C35" w:rsidRPr="008C7E20" w:rsidRDefault="00A42C35" w:rsidP="006D633C">
      <w:pPr>
        <w:rPr>
          <w:rFonts w:eastAsia="Calibri"/>
        </w:rPr>
      </w:pPr>
      <w:r w:rsidRPr="008C7E20">
        <w:rPr>
          <w:rFonts w:eastAsia="Calibri"/>
        </w:rPr>
        <w:t xml:space="preserve">Compte tenu de ce qui précède, il est </w:t>
      </w:r>
      <w:r w:rsidR="009D07E1" w:rsidRPr="008C7E20">
        <w:rPr>
          <w:rFonts w:eastAsia="Calibri"/>
        </w:rPr>
        <w:t>nécessaire</w:t>
      </w:r>
      <w:r w:rsidRPr="008C7E20">
        <w:rPr>
          <w:rFonts w:eastAsia="Calibri"/>
        </w:rPr>
        <w:t xml:space="preserve"> de concevoir/d'élaborer des </w:t>
      </w:r>
      <w:r w:rsidRPr="008C7E20">
        <w:rPr>
          <w:rFonts w:eastAsia="Calibri"/>
          <w:szCs w:val="24"/>
        </w:rPr>
        <w:t>programmes d'études ou des principes directeurs</w:t>
      </w:r>
      <w:r w:rsidR="00EB7FB9" w:rsidRPr="008C7E20">
        <w:rPr>
          <w:rFonts w:eastAsia="Calibri"/>
          <w:szCs w:val="24"/>
        </w:rPr>
        <w:t>/un cadre</w:t>
      </w:r>
      <w:r w:rsidR="006D633C" w:rsidRPr="008C7E20">
        <w:rPr>
          <w:rFonts w:eastAsia="Calibri"/>
          <w:szCs w:val="24"/>
        </w:rPr>
        <w:t xml:space="preserve"> </w:t>
      </w:r>
      <w:r w:rsidRPr="008C7E20">
        <w:rPr>
          <w:rFonts w:eastAsia="Calibri"/>
          <w:szCs w:val="24"/>
        </w:rPr>
        <w:t>applicables aux études</w:t>
      </w:r>
      <w:r w:rsidR="00EB7FB9" w:rsidRPr="008C7E20">
        <w:rPr>
          <w:rFonts w:eastAsia="Calibri"/>
          <w:szCs w:val="24"/>
        </w:rPr>
        <w:t>,</w:t>
      </w:r>
      <w:r w:rsidRPr="008C7E20">
        <w:rPr>
          <w:rFonts w:eastAsia="Calibri"/>
          <w:szCs w:val="24"/>
        </w:rPr>
        <w:t xml:space="preserve"> auxquels devront se conformer ceux </w:t>
      </w:r>
      <w:r w:rsidRPr="008C7E20">
        <w:rPr>
          <w:rFonts w:eastAsia="Calibri"/>
        </w:rPr>
        <w:t>qui ont l'intention de soumettre des contributions sur les études à effectuer au titre du point de l'ordre du jour concerné</w:t>
      </w:r>
      <w:r w:rsidR="009D07E1" w:rsidRPr="008C7E20">
        <w:rPr>
          <w:rFonts w:eastAsia="Calibri"/>
        </w:rPr>
        <w:t>.</w:t>
      </w:r>
    </w:p>
    <w:p w14:paraId="47D5FD6D" w14:textId="56F3387F" w:rsidR="00A42C35" w:rsidRPr="008C7E20" w:rsidRDefault="00A42C35" w:rsidP="006D633C">
      <w:pPr>
        <w:pStyle w:val="Heading1"/>
        <w:rPr>
          <w:rFonts w:eastAsia="Calibri"/>
          <w:szCs w:val="24"/>
        </w:rPr>
      </w:pPr>
      <w:r w:rsidRPr="008C7E20">
        <w:rPr>
          <w:rFonts w:eastAsia="Calibri"/>
          <w:szCs w:val="24"/>
        </w:rPr>
        <w:t>12</w:t>
      </w:r>
      <w:r w:rsidRPr="008C7E20">
        <w:rPr>
          <w:rFonts w:eastAsia="Calibri"/>
          <w:szCs w:val="24"/>
        </w:rPr>
        <w:tab/>
        <w:t>Coordination avec d'autres groupes de travail identifiés en tant qu'entités présentant des contributions</w:t>
      </w:r>
    </w:p>
    <w:p w14:paraId="7768124A" w14:textId="69E76539" w:rsidR="00A42C35" w:rsidRPr="008C7E20" w:rsidRDefault="00A42C35" w:rsidP="006D633C">
      <w:pPr>
        <w:rPr>
          <w:rFonts w:eastAsia="Calibri"/>
        </w:rPr>
      </w:pPr>
      <w:r w:rsidRPr="008C7E20">
        <w:rPr>
          <w:rFonts w:eastAsia="Calibri"/>
        </w:rPr>
        <w:t>Il s'agit d'un élément important qui doit être dûment examiné et pris en considération. En d'autres termes, outre les notes de liaison envoyées aux groupes de travail présentant des contributions, il conviendrait de faire le nécessaire pour que les documents soient communiqués à ces groupes de travail, notamment avant qu'ils n'aient atteint le stade de projet au niveau des groupes de travail responsables. De plus, vers la fin de l'étude, le Département des commissions d'études devrait s'efforcer, dans un souci de prudence et d'efficacité accrues, de programmer des réunions communes avec les groupes de travail qui sont étroitement associés aux travaux ou, dans la mesure du possible, d'organiser au moins des réunions en parallèle avec ces groupes.</w:t>
      </w:r>
    </w:p>
    <w:p w14:paraId="6D231B3D" w14:textId="77777777" w:rsidR="00047B47" w:rsidRPr="008C7E20" w:rsidRDefault="00047B47" w:rsidP="006D633C">
      <w:pPr>
        <w:rPr>
          <w:lang w:eastAsia="zh-CN"/>
        </w:rPr>
      </w:pPr>
    </w:p>
    <w:p w14:paraId="0EFB5F2E" w14:textId="77777777" w:rsidR="009D07E1" w:rsidRPr="008C7E20" w:rsidRDefault="009D07E1" w:rsidP="006D633C">
      <w:pPr>
        <w:spacing w:before="360"/>
        <w:jc w:val="center"/>
      </w:pPr>
      <w:r w:rsidRPr="008C7E20">
        <w:t>______________</w:t>
      </w:r>
    </w:p>
    <w:sectPr w:rsidR="009D07E1" w:rsidRPr="008C7E20">
      <w:headerReference w:type="even" r:id="rId8"/>
      <w:headerReference w:type="default" r:id="rId9"/>
      <w:footerReference w:type="even"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5F354" w14:textId="77777777" w:rsidR="00A42C35" w:rsidRDefault="00A42C35">
      <w:r>
        <w:separator/>
      </w:r>
    </w:p>
  </w:endnote>
  <w:endnote w:type="continuationSeparator" w:id="0">
    <w:p w14:paraId="03BCED8D" w14:textId="77777777" w:rsidR="00A42C35" w:rsidRDefault="00A4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8F78B" w14:textId="3ECDC771"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C7E20">
      <w:rPr>
        <w:lang w:val="en-US"/>
      </w:rPr>
      <w:t>P:\FRA\ITU-R\AG\RAG\RAG20\000\012REV1F.docx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8C7E20">
      <w:t>05.05.20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8C7E20">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7EB81" w14:textId="170FCDC7" w:rsidR="00847AAC" w:rsidRPr="00A62FC2" w:rsidRDefault="00A9055C">
    <w:pPr>
      <w:pStyle w:val="Footer"/>
      <w:rPr>
        <w:lang w:val="en-GB"/>
      </w:rPr>
    </w:pPr>
    <w:r>
      <w:fldChar w:fldCharType="begin"/>
    </w:r>
    <w:r w:rsidRPr="00A9055C">
      <w:rPr>
        <w:lang w:val="en-US"/>
      </w:rPr>
      <w:instrText xml:space="preserve"> FILENAME \p \* MERGEFORMAT </w:instrText>
    </w:r>
    <w:r>
      <w:fldChar w:fldCharType="separate"/>
    </w:r>
    <w:r w:rsidR="008C7E20">
      <w:rPr>
        <w:lang w:val="en-US"/>
      </w:rPr>
      <w:t>P:\FRA\ITU-R\AG\RAG\RAG20\000\012REV1F.docx</w:t>
    </w:r>
    <w:r>
      <w:rPr>
        <w:lang w:val="en-US"/>
      </w:rPr>
      <w:fldChar w:fldCharType="end"/>
    </w:r>
    <w:r w:rsidR="00A62FC2" w:rsidRPr="00A62FC2">
      <w:rPr>
        <w:lang w:val="en-GB"/>
      </w:rPr>
      <w:t xml:space="preserve"> </w:t>
    </w:r>
    <w:r w:rsidR="00A62FC2">
      <w:rPr>
        <w:lang w:val="en-GB"/>
      </w:rPr>
      <w:t>(470</w:t>
    </w:r>
    <w:r w:rsidR="00BE274E">
      <w:rPr>
        <w:lang w:val="en-GB"/>
      </w:rPr>
      <w:t>944</w:t>
    </w:r>
    <w:r w:rsidR="00A62FC2">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CB1AF" w14:textId="01CB20DD" w:rsidR="00BE274E" w:rsidRPr="00A62FC2" w:rsidRDefault="00BE274E" w:rsidP="00BE274E">
    <w:pPr>
      <w:pStyle w:val="Footer"/>
      <w:rPr>
        <w:lang w:val="en-GB"/>
      </w:rPr>
    </w:pPr>
    <w:r>
      <w:fldChar w:fldCharType="begin"/>
    </w:r>
    <w:r w:rsidRPr="00A9055C">
      <w:rPr>
        <w:lang w:val="en-US"/>
      </w:rPr>
      <w:instrText xml:space="preserve"> FILENAME \p \* MERGEFORMAT </w:instrText>
    </w:r>
    <w:r>
      <w:fldChar w:fldCharType="separate"/>
    </w:r>
    <w:r w:rsidR="008C7E20">
      <w:rPr>
        <w:lang w:val="en-US"/>
      </w:rPr>
      <w:t>P:\FRA\ITU-R\AG\RAG\RAG20\000\012REV1F.docx</w:t>
    </w:r>
    <w:r>
      <w:rPr>
        <w:lang w:val="en-US"/>
      </w:rPr>
      <w:fldChar w:fldCharType="end"/>
    </w:r>
    <w:r w:rsidRPr="00A62FC2">
      <w:rPr>
        <w:lang w:val="en-GB"/>
      </w:rPr>
      <w:t xml:space="preserve"> </w:t>
    </w:r>
    <w:r>
      <w:rPr>
        <w:lang w:val="en-GB"/>
      </w:rPr>
      <w:t>(470944)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60DDB" w14:textId="77777777" w:rsidR="00A42C35" w:rsidRDefault="00A42C35">
      <w:r>
        <w:t>____________________</w:t>
      </w:r>
    </w:p>
  </w:footnote>
  <w:footnote w:type="continuationSeparator" w:id="0">
    <w:p w14:paraId="2608E0A6" w14:textId="77777777" w:rsidR="00A42C35" w:rsidRDefault="00A4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72775"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9B1F9" w14:textId="19E323BF" w:rsidR="00847AAC" w:rsidRDefault="00A9055C" w:rsidP="00925627">
    <w:pPr>
      <w:pStyle w:val="Header"/>
      <w:rPr>
        <w:lang w:val="es-ES"/>
      </w:rPr>
    </w:pPr>
    <w:r>
      <w:fldChar w:fldCharType="begin"/>
    </w:r>
    <w:r>
      <w:instrText xml:space="preserve"> PAGE </w:instrText>
    </w:r>
    <w:r>
      <w:fldChar w:fldCharType="separate"/>
    </w:r>
    <w:r w:rsidR="00AC4D5C">
      <w:rPr>
        <w:noProof/>
      </w:rPr>
      <w:t>3</w:t>
    </w:r>
    <w:r>
      <w:rPr>
        <w:noProof/>
      </w:rPr>
      <w:fldChar w:fldCharType="end"/>
    </w:r>
  </w:p>
  <w:p w14:paraId="5CDD8E99" w14:textId="2EEB2E19" w:rsidR="00847AAC" w:rsidRDefault="0097156E" w:rsidP="007711EA">
    <w:pPr>
      <w:pStyle w:val="Header"/>
      <w:rPr>
        <w:lang w:val="es-ES"/>
      </w:rPr>
    </w:pPr>
    <w:r>
      <w:rPr>
        <w:lang w:val="es-ES"/>
      </w:rPr>
      <w:t>RAG</w:t>
    </w:r>
    <w:r w:rsidR="007711EA">
      <w:rPr>
        <w:lang w:val="es-ES"/>
      </w:rPr>
      <w:t>20</w:t>
    </w:r>
    <w:r w:rsidR="00847AAC">
      <w:rPr>
        <w:lang w:val="es-ES"/>
      </w:rPr>
      <w:t>/</w:t>
    </w:r>
    <w:r w:rsidR="00711F14">
      <w:rPr>
        <w:lang w:val="es-ES"/>
      </w:rPr>
      <w:t>12</w:t>
    </w:r>
    <w:r w:rsidR="00BE274E">
      <w:rPr>
        <w:lang w:val="es-ES"/>
      </w:rPr>
      <w:t>(Rév.1)</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60C0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7E31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2046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84A6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EC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2E3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E88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26B3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7667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48D0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3D576B-F516-4BF4-892E-E7ECE775B10B}"/>
    <w:docVar w:name="dgnword-eventsink" w:val="2012568516592"/>
  </w:docVars>
  <w:rsids>
    <w:rsidRoot w:val="00A42C35"/>
    <w:rsid w:val="0001267F"/>
    <w:rsid w:val="00047B47"/>
    <w:rsid w:val="000C06D8"/>
    <w:rsid w:val="000D1764"/>
    <w:rsid w:val="00140AE6"/>
    <w:rsid w:val="00222A1C"/>
    <w:rsid w:val="0023498A"/>
    <w:rsid w:val="00297F6E"/>
    <w:rsid w:val="002D238A"/>
    <w:rsid w:val="003A6CEE"/>
    <w:rsid w:val="00405FBE"/>
    <w:rsid w:val="00443261"/>
    <w:rsid w:val="004E1CCF"/>
    <w:rsid w:val="004E76DF"/>
    <w:rsid w:val="005031C8"/>
    <w:rsid w:val="00504105"/>
    <w:rsid w:val="005207F5"/>
    <w:rsid w:val="00533CF0"/>
    <w:rsid w:val="005430E4"/>
    <w:rsid w:val="0067019B"/>
    <w:rsid w:val="00677EE5"/>
    <w:rsid w:val="00694DEF"/>
    <w:rsid w:val="006B052C"/>
    <w:rsid w:val="006D633C"/>
    <w:rsid w:val="00711F14"/>
    <w:rsid w:val="0072105C"/>
    <w:rsid w:val="007711EA"/>
    <w:rsid w:val="00773E5E"/>
    <w:rsid w:val="007E7D45"/>
    <w:rsid w:val="008069E9"/>
    <w:rsid w:val="00847AAC"/>
    <w:rsid w:val="008A5A24"/>
    <w:rsid w:val="008C7E20"/>
    <w:rsid w:val="00902253"/>
    <w:rsid w:val="00925627"/>
    <w:rsid w:val="0093101F"/>
    <w:rsid w:val="00934237"/>
    <w:rsid w:val="00935533"/>
    <w:rsid w:val="0093603C"/>
    <w:rsid w:val="0097156E"/>
    <w:rsid w:val="009D07E1"/>
    <w:rsid w:val="00A14872"/>
    <w:rsid w:val="00A42C35"/>
    <w:rsid w:val="00A62FC2"/>
    <w:rsid w:val="00A9055C"/>
    <w:rsid w:val="00AB7F92"/>
    <w:rsid w:val="00AC39EE"/>
    <w:rsid w:val="00AC4D5C"/>
    <w:rsid w:val="00AC5B06"/>
    <w:rsid w:val="00B41D84"/>
    <w:rsid w:val="00BA0C7B"/>
    <w:rsid w:val="00BC11C5"/>
    <w:rsid w:val="00BC4591"/>
    <w:rsid w:val="00BE274E"/>
    <w:rsid w:val="00C32C60"/>
    <w:rsid w:val="00C72A86"/>
    <w:rsid w:val="00CC5B9E"/>
    <w:rsid w:val="00CC7208"/>
    <w:rsid w:val="00CE6184"/>
    <w:rsid w:val="00CF54A3"/>
    <w:rsid w:val="00D228F7"/>
    <w:rsid w:val="00D31065"/>
    <w:rsid w:val="00D34E1C"/>
    <w:rsid w:val="00D95965"/>
    <w:rsid w:val="00DD55EB"/>
    <w:rsid w:val="00DE3F97"/>
    <w:rsid w:val="00E2659D"/>
    <w:rsid w:val="00E640A2"/>
    <w:rsid w:val="00EB7FB9"/>
    <w:rsid w:val="00EC0F12"/>
    <w:rsid w:val="00ED2869"/>
    <w:rsid w:val="00ED59FA"/>
    <w:rsid w:val="00F55887"/>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77DFE"/>
  <w15:docId w15:val="{C72A42D3-D07F-4814-ACEF-682F5338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FootnoteTextChar">
    <w:name w:val="Footnote Text Char"/>
    <w:basedOn w:val="DefaultParagraphFont"/>
    <w:link w:val="FootnoteText"/>
    <w:rsid w:val="00A42C35"/>
    <w:rPr>
      <w:rFonts w:ascii="Times New Roman" w:hAnsi="Times New Roman"/>
      <w:sz w:val="24"/>
      <w:lang w:val="fr-FR" w:eastAsia="en-US"/>
    </w:rPr>
  </w:style>
  <w:style w:type="paragraph" w:customStyle="1" w:styleId="Reasons">
    <w:name w:val="Reasons"/>
    <w:basedOn w:val="Normal"/>
    <w:qFormat/>
    <w:rsid w:val="009D07E1"/>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46</TotalTime>
  <Pages>5</Pages>
  <Words>1849</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CONTRIBUTION RELATIVE AUX LIGNES DIRECTRICES/AU CADRE CONCERNANT LES POINTS DE L'ORDRE DU JOUR DE LA CMR-23</vt:lpstr>
    </vt:vector>
  </TitlesOfParts>
  <Manager>General Secretariat - Pool</Manager>
  <Company>International Telecommunication Union (ITU)</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RELATIVE AUX LIGNES DIRECTRICES/AU CADRE CONCERNANT LES POINTS DE L'ORDRE DU JOUR DE LA CMR-23</dc:title>
  <dc:subject>GROUPE CONSULTATIF DES RADIOCOMMUNICATIONS</dc:subject>
  <dc:creator>Iran (République islamique d')</dc:creator>
  <cp:keywords>RAG03-1</cp:keywords>
  <dc:description>Document RAG20/12-F  For: _x000d_Document date: 28 avril 2020_x000d_Saved by ITU51014352 at 14:27:41 on 01.05.2020</dc:description>
  <cp:lastModifiedBy>French</cp:lastModifiedBy>
  <cp:revision>6</cp:revision>
  <cp:lastPrinted>1999-10-11T14:58:00Z</cp:lastPrinted>
  <dcterms:created xsi:type="dcterms:W3CDTF">2020-05-05T12:55:00Z</dcterms:created>
  <dcterms:modified xsi:type="dcterms:W3CDTF">2020-05-05T14:28:00Z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RAG20/12-F</vt:lpwstr>
  </property>
  <property fmtid="{D5CDD505-2E9C-101B-9397-08002B2CF9AE}" pid="3" name="Docdate">
    <vt:lpwstr>28 avril 2020</vt:lpwstr>
  </property>
  <property fmtid="{D5CDD505-2E9C-101B-9397-08002B2CF9AE}" pid="4" name="Docorlang">
    <vt:lpwstr>Original: anglais</vt:lpwstr>
  </property>
  <property fmtid="{D5CDD505-2E9C-101B-9397-08002B2CF9AE}" pid="5" name="Docauthor">
    <vt:lpwstr>Iran (République islamique d')</vt:lpwstr>
  </property>
</Properties>
</file>