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:rsidRPr="00D77F38" w14:paraId="52ABB3F6" w14:textId="77777777" w:rsidTr="00443261">
        <w:trPr>
          <w:cantSplit/>
        </w:trPr>
        <w:tc>
          <w:tcPr>
            <w:tcW w:w="6771" w:type="dxa"/>
            <w:vAlign w:val="center"/>
          </w:tcPr>
          <w:p w14:paraId="76AE29FA" w14:textId="77777777" w:rsidR="00443261" w:rsidRPr="00D77F38" w:rsidRDefault="00443261" w:rsidP="004D3A15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D77F38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D77F38">
              <w:rPr>
                <w:rFonts w:ascii="Verdana" w:hAnsi="Verdana"/>
                <w:b/>
                <w:sz w:val="25"/>
                <w:szCs w:val="25"/>
              </w:rPr>
              <w:br/>
            </w:r>
            <w:r w:rsidRPr="00D77F38">
              <w:rPr>
                <w:rFonts w:ascii="Verdana" w:hAnsi="Verdana" w:cs="Times New Roman Bold"/>
                <w:b/>
                <w:bCs/>
                <w:sz w:val="20"/>
              </w:rPr>
              <w:t>Genève,</w:t>
            </w:r>
            <w:r w:rsidRPr="00D77F38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D77F38">
              <w:rPr>
                <w:rFonts w:ascii="Verdana" w:hAnsi="Verdana"/>
                <w:b/>
                <w:bCs/>
                <w:sz w:val="20"/>
              </w:rPr>
              <w:t>25</w:t>
            </w:r>
            <w:r w:rsidRPr="00D77F38">
              <w:rPr>
                <w:rFonts w:ascii="Verdana" w:hAnsi="Verdana"/>
                <w:b/>
                <w:bCs/>
                <w:sz w:val="20"/>
              </w:rPr>
              <w:t>-</w:t>
            </w:r>
            <w:r w:rsidR="004E76DF" w:rsidRPr="00D77F38">
              <w:rPr>
                <w:rFonts w:ascii="Verdana" w:hAnsi="Verdana"/>
                <w:b/>
                <w:bCs/>
                <w:sz w:val="20"/>
              </w:rPr>
              <w:t>27</w:t>
            </w:r>
            <w:r w:rsidRPr="00D77F38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D77F38">
              <w:rPr>
                <w:rFonts w:ascii="Verdana" w:hAnsi="Verdana"/>
                <w:b/>
                <w:bCs/>
                <w:sz w:val="20"/>
              </w:rPr>
              <w:t>mai</w:t>
            </w:r>
            <w:r w:rsidRPr="00D77F38">
              <w:rPr>
                <w:rFonts w:ascii="Verdana" w:hAnsi="Verdana"/>
                <w:b/>
                <w:bCs/>
                <w:sz w:val="20"/>
              </w:rPr>
              <w:t xml:space="preserve"> 20</w:t>
            </w:r>
            <w:r w:rsidR="007711EA" w:rsidRPr="00D77F38">
              <w:rPr>
                <w:rFonts w:ascii="Verdana" w:hAnsi="Verdana"/>
                <w:b/>
                <w:bCs/>
                <w:sz w:val="20"/>
              </w:rPr>
              <w:t>20</w:t>
            </w:r>
          </w:p>
        </w:tc>
        <w:tc>
          <w:tcPr>
            <w:tcW w:w="3118" w:type="dxa"/>
          </w:tcPr>
          <w:p w14:paraId="128D52BC" w14:textId="77777777" w:rsidR="00443261" w:rsidRPr="00D77F38" w:rsidRDefault="007711EA" w:rsidP="004D3A15">
            <w:pPr>
              <w:shd w:val="solid" w:color="FFFFFF" w:fill="FFFFFF"/>
              <w:spacing w:before="0"/>
            </w:pPr>
            <w:r w:rsidRPr="00D77F38">
              <w:rPr>
                <w:noProof/>
                <w:lang w:eastAsia="zh-CN"/>
              </w:rPr>
              <w:drawing>
                <wp:inline distT="0" distB="0" distL="0" distR="0" wp14:anchorId="2855A98A" wp14:editId="7955E028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D77F38" w14:paraId="06E6D80C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023D104" w14:textId="77777777" w:rsidR="002D238A" w:rsidRPr="00D77F38" w:rsidRDefault="002D238A" w:rsidP="004D3A1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9164878" w14:textId="77777777" w:rsidR="002D238A" w:rsidRPr="00D77F38" w:rsidRDefault="002D238A" w:rsidP="004D3A15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2D238A" w:rsidRPr="00D77F38" w14:paraId="176B9197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0FAFD87" w14:textId="77777777" w:rsidR="002D238A" w:rsidRPr="00D77F38" w:rsidRDefault="002D238A" w:rsidP="004D3A1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7DD1497" w14:textId="77777777" w:rsidR="002D238A" w:rsidRPr="00D77F38" w:rsidRDefault="002D238A" w:rsidP="004D3A15">
            <w:pPr>
              <w:shd w:val="solid" w:color="FFFFFF" w:fill="FFFFFF"/>
              <w:spacing w:before="0" w:after="48"/>
              <w:rPr>
                <w:rFonts w:ascii="Verdana" w:hAnsi="Verdana"/>
                <w:sz w:val="22"/>
                <w:szCs w:val="22"/>
              </w:rPr>
            </w:pPr>
          </w:p>
        </w:tc>
      </w:tr>
      <w:tr w:rsidR="002D238A" w:rsidRPr="00D77F38" w14:paraId="3B846B03" w14:textId="77777777">
        <w:trPr>
          <w:cantSplit/>
        </w:trPr>
        <w:tc>
          <w:tcPr>
            <w:tcW w:w="6771" w:type="dxa"/>
            <w:vMerge w:val="restart"/>
          </w:tcPr>
          <w:p w14:paraId="14BD1231" w14:textId="77777777" w:rsidR="002D238A" w:rsidRPr="00D77F38" w:rsidRDefault="002D238A" w:rsidP="004D3A15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346FAE74" w14:textId="77777777" w:rsidR="002D238A" w:rsidRPr="00D77F38" w:rsidRDefault="00B93753" w:rsidP="004D3A15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 w:rsidRPr="00D77F38">
              <w:rPr>
                <w:rFonts w:ascii="Verdana" w:hAnsi="Verdana"/>
                <w:b/>
                <w:sz w:val="20"/>
              </w:rPr>
              <w:t>Document RAG20/11-F</w:t>
            </w:r>
          </w:p>
        </w:tc>
      </w:tr>
      <w:tr w:rsidR="002D238A" w:rsidRPr="00D77F38" w14:paraId="7BF76AA4" w14:textId="77777777">
        <w:trPr>
          <w:cantSplit/>
        </w:trPr>
        <w:tc>
          <w:tcPr>
            <w:tcW w:w="6771" w:type="dxa"/>
            <w:vMerge/>
          </w:tcPr>
          <w:p w14:paraId="620A27E2" w14:textId="77777777" w:rsidR="002D238A" w:rsidRPr="00D77F38" w:rsidRDefault="002D238A" w:rsidP="004D3A1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3AA8E21E" w14:textId="4B063AD6" w:rsidR="002D238A" w:rsidRPr="00D77F38" w:rsidRDefault="00B93753" w:rsidP="004D3A15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 w:rsidRPr="00D77F38">
              <w:rPr>
                <w:rFonts w:ascii="Verdana" w:hAnsi="Verdana"/>
                <w:b/>
                <w:sz w:val="20"/>
              </w:rPr>
              <w:t>20 avril 2020</w:t>
            </w:r>
          </w:p>
        </w:tc>
      </w:tr>
      <w:tr w:rsidR="002D238A" w:rsidRPr="00D77F38" w14:paraId="1D410B23" w14:textId="77777777">
        <w:trPr>
          <w:cantSplit/>
        </w:trPr>
        <w:tc>
          <w:tcPr>
            <w:tcW w:w="6771" w:type="dxa"/>
            <w:vMerge/>
          </w:tcPr>
          <w:p w14:paraId="5DC31C4C" w14:textId="77777777" w:rsidR="002D238A" w:rsidRPr="00D77F38" w:rsidRDefault="002D238A" w:rsidP="004D3A1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2121803B" w14:textId="1BA48420" w:rsidR="002D238A" w:rsidRPr="00D77F38" w:rsidRDefault="00B93753" w:rsidP="004D3A15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</w:rPr>
            </w:pPr>
            <w:r w:rsidRPr="00D77F38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2D238A" w:rsidRPr="00D77F38" w14:paraId="4E9E607D" w14:textId="77777777">
        <w:trPr>
          <w:cantSplit/>
        </w:trPr>
        <w:tc>
          <w:tcPr>
            <w:tcW w:w="9889" w:type="dxa"/>
            <w:gridSpan w:val="2"/>
          </w:tcPr>
          <w:p w14:paraId="6354FDED" w14:textId="4005DBAC" w:rsidR="002D238A" w:rsidRPr="00D77F38" w:rsidRDefault="00B93753" w:rsidP="004D3A15">
            <w:pPr>
              <w:pStyle w:val="Source"/>
            </w:pPr>
            <w:bookmarkStart w:id="3" w:name="dsource" w:colFirst="0" w:colLast="0"/>
            <w:bookmarkEnd w:id="2"/>
            <w:r w:rsidRPr="00D77F38">
              <w:t>Iran (République islamique d</w:t>
            </w:r>
            <w:r w:rsidR="004D3A15" w:rsidRPr="00D77F38">
              <w:t>'</w:t>
            </w:r>
            <w:r w:rsidRPr="00D77F38">
              <w:t>)</w:t>
            </w:r>
          </w:p>
        </w:tc>
      </w:tr>
      <w:tr w:rsidR="002D238A" w:rsidRPr="00D77F38" w14:paraId="6B547C06" w14:textId="77777777">
        <w:trPr>
          <w:cantSplit/>
        </w:trPr>
        <w:tc>
          <w:tcPr>
            <w:tcW w:w="9889" w:type="dxa"/>
            <w:gridSpan w:val="2"/>
          </w:tcPr>
          <w:p w14:paraId="2CE86AC3" w14:textId="21926A17" w:rsidR="002D238A" w:rsidRPr="00D77F38" w:rsidRDefault="00B93753" w:rsidP="004D3A15">
            <w:pPr>
              <w:pStyle w:val="Title1"/>
            </w:pPr>
            <w:bookmarkStart w:id="4" w:name="dtitle1" w:colFirst="0" w:colLast="0"/>
            <w:bookmarkEnd w:id="3"/>
            <w:r w:rsidRPr="00D77F38">
              <w:rPr>
                <w:bCs/>
              </w:rPr>
              <w:t>Mise en œuvre des Résolutions de la CMR-19</w:t>
            </w:r>
          </w:p>
        </w:tc>
      </w:tr>
    </w:tbl>
    <w:bookmarkEnd w:id="4"/>
    <w:p w14:paraId="12CFC8B7" w14:textId="77777777" w:rsidR="00B93753" w:rsidRPr="00D77F38" w:rsidRDefault="00B93753" w:rsidP="004D3A15">
      <w:pPr>
        <w:pStyle w:val="Heading1"/>
      </w:pPr>
      <w:r w:rsidRPr="00D77F38">
        <w:t>1</w:t>
      </w:r>
      <w:r w:rsidRPr="00D77F38">
        <w:tab/>
        <w:t>Introduction</w:t>
      </w:r>
    </w:p>
    <w:p w14:paraId="4853D1D9" w14:textId="3AB45F8F" w:rsidR="00B93753" w:rsidRPr="00D77F38" w:rsidRDefault="00B93753" w:rsidP="004D3A15">
      <w:r w:rsidRPr="00D77F38">
        <w:t>Chaque CMR apporte non seulement des modifications au Règlement des radiocommunications, mais</w:t>
      </w:r>
      <w:r w:rsidR="004D3A15" w:rsidRPr="00D77F38">
        <w:t xml:space="preserve"> </w:t>
      </w:r>
      <w:r w:rsidRPr="00D77F38">
        <w:t>modifie ou révise aussi les Résolutions existantes, ou adopte divers types de Résolutions, pour des raisons et à des fins différentes, comme indiqué ci-dessous.</w:t>
      </w:r>
    </w:p>
    <w:p w14:paraId="52A6429B" w14:textId="34C2D2BB" w:rsidR="00B93753" w:rsidRPr="00D77F38" w:rsidRDefault="00B93753" w:rsidP="004D3A15">
      <w:r w:rsidRPr="00D77F38">
        <w:t>La présente contribution n</w:t>
      </w:r>
      <w:r w:rsidR="004D3A15" w:rsidRPr="00D77F38">
        <w:t>'</w:t>
      </w:r>
      <w:r w:rsidRPr="00D77F38">
        <w:t>a pas pour objet d</w:t>
      </w:r>
      <w:r w:rsidR="004D3A15" w:rsidRPr="00D77F38">
        <w:t>'</w:t>
      </w:r>
      <w:r w:rsidRPr="00D77F38">
        <w:t>étudier le statut juridique de ces Résolutions, mais plutôt d</w:t>
      </w:r>
      <w:r w:rsidR="004D3A15" w:rsidRPr="00D77F38">
        <w:t>'</w:t>
      </w:r>
      <w:r w:rsidRPr="00D77F38">
        <w:t>examiner les aspects liés à leur mise en œuvre.</w:t>
      </w:r>
    </w:p>
    <w:p w14:paraId="4F5606CE" w14:textId="77777777" w:rsidR="00B93753" w:rsidRPr="00D77F38" w:rsidRDefault="00B93753" w:rsidP="004D3A15">
      <w:pPr>
        <w:pStyle w:val="Heading1"/>
      </w:pPr>
      <w:r w:rsidRPr="00D77F38">
        <w:t>2</w:t>
      </w:r>
      <w:r w:rsidRPr="00D77F38">
        <w:tab/>
        <w:t>Examen</w:t>
      </w:r>
    </w:p>
    <w:p w14:paraId="324FE627" w14:textId="5B324D2E" w:rsidR="00B93753" w:rsidRPr="00D77F38" w:rsidRDefault="00B93753" w:rsidP="004D3A15">
      <w:r w:rsidRPr="00D77F38">
        <w:t>Les Résolutions susmentionnées relèvent des catégories suivantes</w:t>
      </w:r>
      <w:r w:rsidR="004D3A15" w:rsidRPr="00D77F38">
        <w:t>:</w:t>
      </w:r>
    </w:p>
    <w:p w14:paraId="3E3D2D6D" w14:textId="52F257A5" w:rsidR="00B93753" w:rsidRPr="00D77F38" w:rsidRDefault="00B93753" w:rsidP="004D3A15">
      <w:pPr>
        <w:pStyle w:val="Headingb"/>
      </w:pPr>
      <w:r w:rsidRPr="00D77F38">
        <w:t>Catégorie</w:t>
      </w:r>
      <w:r w:rsidR="004D3A15" w:rsidRPr="00D77F38">
        <w:t xml:space="preserve"> </w:t>
      </w:r>
      <w:r w:rsidRPr="00D77F38">
        <w:t>1</w:t>
      </w:r>
    </w:p>
    <w:p w14:paraId="4C047E79" w14:textId="33C7BBAC" w:rsidR="00B93753" w:rsidRPr="00D77F38" w:rsidRDefault="00B93753" w:rsidP="004D3A15">
      <w:r w:rsidRPr="00D77F38">
        <w:t>Résolutions qui sont directement et exclusivement associées à des points de l</w:t>
      </w:r>
      <w:r w:rsidR="004D3A15" w:rsidRPr="00D77F38">
        <w:t>'</w:t>
      </w:r>
      <w:r w:rsidRPr="00D77F38">
        <w:t>ordre du jour de la CMR ultérieure. Les Résolutions entrant dans cette catégorie sont citées dans le point de l</w:t>
      </w:r>
      <w:r w:rsidR="004D3A15" w:rsidRPr="00D77F38">
        <w:t>'</w:t>
      </w:r>
      <w:r w:rsidRPr="00D77F38">
        <w:t>ordre du jour de la CMR ultérieure.</w:t>
      </w:r>
    </w:p>
    <w:p w14:paraId="6374B38F" w14:textId="3B6D093B" w:rsidR="00B93753" w:rsidRPr="00D77F38" w:rsidRDefault="00B93753" w:rsidP="004D3A15">
      <w:pPr>
        <w:pStyle w:val="Headingb"/>
      </w:pPr>
      <w:r w:rsidRPr="00D77F38">
        <w:t>Catégorie</w:t>
      </w:r>
      <w:r w:rsidR="004D3A15" w:rsidRPr="00D77F38">
        <w:t xml:space="preserve"> </w:t>
      </w:r>
      <w:r w:rsidRPr="00D77F38">
        <w:t>2</w:t>
      </w:r>
    </w:p>
    <w:p w14:paraId="0F19595B" w14:textId="547A8391" w:rsidR="00B93753" w:rsidRPr="00D77F38" w:rsidRDefault="00B93753" w:rsidP="004D3A15">
      <w:r w:rsidRPr="00D77F38">
        <w:t>Résolutions qui ne relèvent pas de la catégorie</w:t>
      </w:r>
      <w:r w:rsidR="004D3A15" w:rsidRPr="00D77F38">
        <w:t xml:space="preserve"> </w:t>
      </w:r>
      <w:r w:rsidRPr="00D77F38">
        <w:t>1 et qui sont transmises pour étude au Secteur de</w:t>
      </w:r>
      <w:r w:rsidR="004D3A15" w:rsidRPr="00D77F38">
        <w:t xml:space="preserve"> </w:t>
      </w:r>
      <w:r w:rsidRPr="00D77F38">
        <w:t>l</w:t>
      </w:r>
      <w:r w:rsidR="004D3A15" w:rsidRPr="00D77F38">
        <w:t>'</w:t>
      </w:r>
      <w:r w:rsidRPr="00D77F38">
        <w:t>UIT-R à la suite des débats de la</w:t>
      </w:r>
      <w:r w:rsidR="004D3A15" w:rsidRPr="00D77F38">
        <w:t xml:space="preserve"> </w:t>
      </w:r>
      <w:r w:rsidRPr="00D77F38">
        <w:t>CMR</w:t>
      </w:r>
      <w:r w:rsidR="004D3A15" w:rsidRPr="00D77F38">
        <w:t>.</w:t>
      </w:r>
    </w:p>
    <w:p w14:paraId="5A85BAD2" w14:textId="0A71223E" w:rsidR="00B93753" w:rsidRPr="00D77F38" w:rsidRDefault="00B93753" w:rsidP="004D3A15">
      <w:pPr>
        <w:pStyle w:val="Headingb"/>
      </w:pPr>
      <w:r w:rsidRPr="00D77F38">
        <w:t>Catégorie</w:t>
      </w:r>
      <w:r w:rsidR="004D3A15" w:rsidRPr="00D77F38">
        <w:t xml:space="preserve"> </w:t>
      </w:r>
      <w:r w:rsidRPr="00D77F38">
        <w:t>3</w:t>
      </w:r>
    </w:p>
    <w:p w14:paraId="575CDE0F" w14:textId="131B04FE" w:rsidR="00B93753" w:rsidRPr="00D77F38" w:rsidRDefault="00B93753" w:rsidP="004D3A15">
      <w:r w:rsidRPr="00D77F38">
        <w:t>Résolutions qui sont également soumises, entre autres fins, au Bureau des radiocommunications, pour qu</w:t>
      </w:r>
      <w:r w:rsidR="004D3A15" w:rsidRPr="00D77F38">
        <w:t>'</w:t>
      </w:r>
      <w:r w:rsidRPr="00D77F38">
        <w:t>il les mette en œuvre et</w:t>
      </w:r>
      <w:r w:rsidR="004D3A15" w:rsidRPr="00D77F38">
        <w:t xml:space="preserve"> </w:t>
      </w:r>
      <w:r w:rsidRPr="00D77F38">
        <w:t xml:space="preserve">rende compte des résultats de cette mise en </w:t>
      </w:r>
      <w:r w:rsidR="00D77F38" w:rsidRPr="00D77F38">
        <w:t>œuvre</w:t>
      </w:r>
      <w:r w:rsidRPr="00D77F38">
        <w:t xml:space="preserve"> aux CMR ultérieures/suivantes</w:t>
      </w:r>
      <w:r w:rsidR="004D3A15" w:rsidRPr="00D77F38">
        <w:t>.</w:t>
      </w:r>
    </w:p>
    <w:p w14:paraId="20BFC223" w14:textId="4C780C00" w:rsidR="00B93753" w:rsidRPr="00D77F38" w:rsidRDefault="00B93753" w:rsidP="004D3A15">
      <w:pPr>
        <w:pStyle w:val="Headingb"/>
      </w:pPr>
      <w:r w:rsidRPr="00D77F38">
        <w:t>Catégorie</w:t>
      </w:r>
      <w:r w:rsidR="004D3A15" w:rsidRPr="00D77F38">
        <w:t xml:space="preserve"> </w:t>
      </w:r>
      <w:r w:rsidRPr="00D77F38">
        <w:t>4</w:t>
      </w:r>
    </w:p>
    <w:p w14:paraId="778786A3" w14:textId="27172B63" w:rsidR="00B93753" w:rsidRPr="00D77F38" w:rsidRDefault="00B93753" w:rsidP="004D3A15">
      <w:r w:rsidRPr="00D77F38">
        <w:t>Résolutions qui préconisent une collaboration/coopération des autres Secteurs de</w:t>
      </w:r>
      <w:r w:rsidR="004D3A15" w:rsidRPr="00D77F38">
        <w:t xml:space="preserve"> </w:t>
      </w:r>
      <w:r w:rsidRPr="00D77F38">
        <w:t>l</w:t>
      </w:r>
      <w:r w:rsidR="004D3A15" w:rsidRPr="00D77F38">
        <w:t>'</w:t>
      </w:r>
      <w:r w:rsidRPr="00D77F38">
        <w:t>UIT</w:t>
      </w:r>
      <w:r w:rsidR="004D3A15" w:rsidRPr="00D77F38">
        <w:t>-</w:t>
      </w:r>
      <w:r w:rsidRPr="00D77F38">
        <w:t>R ou d</w:t>
      </w:r>
      <w:r w:rsidR="004D3A15" w:rsidRPr="00D77F38">
        <w:t>'</w:t>
      </w:r>
      <w:r w:rsidRPr="00D77F38">
        <w:t>autres organisations internationales</w:t>
      </w:r>
      <w:r w:rsidR="004D3A15" w:rsidRPr="00D77F38">
        <w:t xml:space="preserve"> </w:t>
      </w:r>
      <w:r w:rsidRPr="00D77F38">
        <w:t>en ce qui concerne certaines activités visées dans lesdites</w:t>
      </w:r>
      <w:r w:rsidR="004D3A15" w:rsidRPr="00D77F38">
        <w:t xml:space="preserve"> </w:t>
      </w:r>
      <w:r w:rsidRPr="00D77F38">
        <w:t>Résolutions</w:t>
      </w:r>
      <w:r w:rsidR="004D3A15" w:rsidRPr="00D77F38">
        <w:t>.</w:t>
      </w:r>
    </w:p>
    <w:p w14:paraId="254517D3" w14:textId="3D84C37D" w:rsidR="00B93753" w:rsidRPr="00D77F38" w:rsidRDefault="00B93753" w:rsidP="004D3A15">
      <w:pPr>
        <w:pStyle w:val="Headingb"/>
      </w:pPr>
      <w:r w:rsidRPr="00D77F38">
        <w:t>Catégorie</w:t>
      </w:r>
      <w:r w:rsidR="004D3A15" w:rsidRPr="00D77F38">
        <w:t xml:space="preserve"> </w:t>
      </w:r>
      <w:r w:rsidRPr="00D77F38">
        <w:t>5</w:t>
      </w:r>
    </w:p>
    <w:p w14:paraId="66AFAFD3" w14:textId="23D3CA58" w:rsidR="00B93753" w:rsidRPr="00D77F38" w:rsidRDefault="00B93753" w:rsidP="004D3A15">
      <w:r w:rsidRPr="00D77F38">
        <w:t>Résolutions en vertu desquelles</w:t>
      </w:r>
      <w:r w:rsidR="004D3A15" w:rsidRPr="00D77F38">
        <w:t xml:space="preserve"> </w:t>
      </w:r>
      <w:r w:rsidRPr="00D77F38">
        <w:t>les Conférences de plénipotentiaires et les CMR futures, le Conseil de l</w:t>
      </w:r>
      <w:r w:rsidR="004D3A15" w:rsidRPr="00D77F38">
        <w:t>'</w:t>
      </w:r>
      <w:r w:rsidRPr="00D77F38">
        <w:t xml:space="preserve">UIT ou le RRB sont notamment invités à prendre les mesures </w:t>
      </w:r>
      <w:r w:rsidR="004D3A15" w:rsidRPr="00D77F38">
        <w:t>nécessaires.</w:t>
      </w:r>
    </w:p>
    <w:p w14:paraId="7CF91800" w14:textId="62B7F1CB" w:rsidR="00B93753" w:rsidRPr="00D77F38" w:rsidRDefault="00B93753" w:rsidP="004D3A15">
      <w:pPr>
        <w:pStyle w:val="Headingb"/>
      </w:pPr>
      <w:r w:rsidRPr="00D77F38">
        <w:lastRenderedPageBreak/>
        <w:t>Catégorie</w:t>
      </w:r>
      <w:r w:rsidR="004D3A15" w:rsidRPr="00D77F38">
        <w:t xml:space="preserve"> </w:t>
      </w:r>
      <w:r w:rsidRPr="00D77F38">
        <w:t>6</w:t>
      </w:r>
    </w:p>
    <w:p w14:paraId="7B1ABCD8" w14:textId="7338181C" w:rsidR="00B93753" w:rsidRPr="00D77F38" w:rsidRDefault="00B93753" w:rsidP="004D3A15">
      <w:r w:rsidRPr="00D77F38">
        <w:t>Autres Résolutions qui n</w:t>
      </w:r>
      <w:r w:rsidR="004D3A15" w:rsidRPr="00D77F38">
        <w:t>'</w:t>
      </w:r>
      <w:r w:rsidRPr="00D77F38">
        <w:t>entrent pas dans l</w:t>
      </w:r>
      <w:r w:rsidR="004D3A15" w:rsidRPr="00D77F38">
        <w:t>'</w:t>
      </w:r>
      <w:r w:rsidRPr="00D77F38">
        <w:t xml:space="preserve">une des cinq catégories susmentionnées, mais comportent peut-être des aspects liés à la mise en </w:t>
      </w:r>
      <w:r w:rsidR="00D77F38" w:rsidRPr="00D77F38">
        <w:t>œuvre</w:t>
      </w:r>
      <w:r w:rsidR="004D3A15" w:rsidRPr="00D77F38">
        <w:t>.</w:t>
      </w:r>
    </w:p>
    <w:p w14:paraId="4BCBAC9E" w14:textId="77777777" w:rsidR="00B93753" w:rsidRPr="00D77F38" w:rsidRDefault="00B93753" w:rsidP="004D3A15">
      <w:pPr>
        <w:pStyle w:val="Heading1"/>
      </w:pPr>
      <w:r w:rsidRPr="00D77F38">
        <w:t>3</w:t>
      </w:r>
      <w:r w:rsidRPr="00D77F38">
        <w:tab/>
        <w:t>Proposition</w:t>
      </w:r>
    </w:p>
    <w:p w14:paraId="5FAA16DE" w14:textId="7065557A" w:rsidR="00B93753" w:rsidRPr="00D77F38" w:rsidRDefault="00B93753" w:rsidP="004D3A15">
      <w:r w:rsidRPr="00D77F38">
        <w:t>Il conviendrait d</w:t>
      </w:r>
      <w:r w:rsidR="004D3A15" w:rsidRPr="00D77F38">
        <w:t>'</w:t>
      </w:r>
      <w:r w:rsidRPr="00D77F38">
        <w:t>inviter le Directeur à examiner toutes les Résolutions, nouvelles ou révisées, de la</w:t>
      </w:r>
      <w:r w:rsidR="004D3A15" w:rsidRPr="00D77F38">
        <w:t xml:space="preserve"> </w:t>
      </w:r>
      <w:r w:rsidRPr="00D77F38">
        <w:t>CMR-19 ainsi que les Résolutions adoptées par les CMR précédentes, afin de recenser les Résolutions des catégories 2 et 3 mentionnées ci-dessus, l</w:t>
      </w:r>
      <w:r w:rsidR="004D3A15" w:rsidRPr="00D77F38">
        <w:t>'</w:t>
      </w:r>
      <w:r w:rsidRPr="00D77F38">
        <w:t>objectif étant:</w:t>
      </w:r>
    </w:p>
    <w:p w14:paraId="1B3C2AF4" w14:textId="699C9783" w:rsidR="00B93753" w:rsidRPr="00D77F38" w:rsidRDefault="00B93753" w:rsidP="004D3A15">
      <w:pPr>
        <w:pStyle w:val="enumlev1"/>
      </w:pPr>
      <w:r w:rsidRPr="00D77F38">
        <w:t>1)</w:t>
      </w:r>
      <w:r w:rsidRPr="00D77F38">
        <w:tab/>
        <w:t>de mieux mettre en évidence les commissions d</w:t>
      </w:r>
      <w:r w:rsidR="004D3A15" w:rsidRPr="00D77F38">
        <w:t>'</w:t>
      </w:r>
      <w:r w:rsidRPr="00D77F38">
        <w:t>études/groupes de travail compétents/concernés chargés de procéder aux</w:t>
      </w:r>
      <w:r w:rsidR="004D3A15" w:rsidRPr="00D77F38">
        <w:t xml:space="preserve"> </w:t>
      </w:r>
      <w:r w:rsidRPr="00D77F38">
        <w:t>études nécessaires et de proposer des mesures à prendre, s</w:t>
      </w:r>
      <w:r w:rsidR="004D3A15" w:rsidRPr="00D77F38">
        <w:t>'</w:t>
      </w:r>
      <w:r w:rsidRPr="00D77F38">
        <w:t>il y a lieu, en ce qui concerne les Résolutions de la catégorie 2</w:t>
      </w:r>
      <w:r w:rsidR="004D3A15" w:rsidRPr="00D77F38">
        <w:t>;</w:t>
      </w:r>
    </w:p>
    <w:p w14:paraId="6E48801F" w14:textId="7C8D5E1B" w:rsidR="00B93753" w:rsidRPr="00D77F38" w:rsidRDefault="00B93753" w:rsidP="004D3A15">
      <w:pPr>
        <w:pStyle w:val="enumlev1"/>
      </w:pPr>
      <w:r w:rsidRPr="00D77F38">
        <w:t>2)</w:t>
      </w:r>
      <w:r w:rsidRPr="00D77F38">
        <w:tab/>
        <w:t>de prendre dans les meilleurs délais les mesures nécessaires pour ce qui est des Résolutions</w:t>
      </w:r>
      <w:r w:rsidR="004D3A15" w:rsidRPr="00D77F38">
        <w:t xml:space="preserve"> </w:t>
      </w:r>
      <w:r w:rsidRPr="00D77F38">
        <w:t>de la catégorie</w:t>
      </w:r>
      <w:r w:rsidR="004D3A15" w:rsidRPr="00D77F38">
        <w:t xml:space="preserve"> </w:t>
      </w:r>
      <w:r w:rsidRPr="00D77F38">
        <w:t>3</w:t>
      </w:r>
      <w:r w:rsidR="004D3A15" w:rsidRPr="00D77F38">
        <w:t>,</w:t>
      </w:r>
      <w:r w:rsidRPr="00D77F38">
        <w:t xml:space="preserve"> afin de répondre aux objectifs des Résolutions relevant de cette catégorie</w:t>
      </w:r>
      <w:r w:rsidR="004D3A15" w:rsidRPr="00D77F38">
        <w:t>;</w:t>
      </w:r>
    </w:p>
    <w:p w14:paraId="6E6808EA" w14:textId="4685C571" w:rsidR="00B93753" w:rsidRPr="00D77F38" w:rsidRDefault="00B93753" w:rsidP="004D3A15">
      <w:pPr>
        <w:pStyle w:val="enumlev1"/>
      </w:pPr>
      <w:r w:rsidRPr="00D77F38">
        <w:t>3)</w:t>
      </w:r>
      <w:r w:rsidRPr="00D77F38">
        <w:tab/>
        <w:t>de prendre rapidement les mesures nécessaires en ce qui concerne les Résolutions des autres catégories</w:t>
      </w:r>
      <w:r w:rsidR="004D3A15" w:rsidRPr="00D77F38">
        <w:t xml:space="preserve"> </w:t>
      </w:r>
      <w:r w:rsidRPr="00D77F38">
        <w:t>mentionnées ci-dessus</w:t>
      </w:r>
      <w:r w:rsidR="004D3A15" w:rsidRPr="00D77F38">
        <w:t>;</w:t>
      </w:r>
    </w:p>
    <w:p w14:paraId="282AE954" w14:textId="0033CA4F" w:rsidR="00B93753" w:rsidRPr="00D77F38" w:rsidRDefault="00B93753" w:rsidP="004D3A15">
      <w:pPr>
        <w:pStyle w:val="enumlev1"/>
      </w:pPr>
      <w:r w:rsidRPr="00D77F38">
        <w:t>4)</w:t>
      </w:r>
      <w:r w:rsidRPr="00D77F38">
        <w:tab/>
        <w:t>de présenter au GCR à sa</w:t>
      </w:r>
      <w:r w:rsidR="004D3A15" w:rsidRPr="00D77F38">
        <w:t xml:space="preserve"> </w:t>
      </w:r>
      <w:r w:rsidRPr="00D77F38">
        <w:t>réunion de 2021</w:t>
      </w:r>
      <w:r w:rsidR="004D3A15" w:rsidRPr="00D77F38">
        <w:t xml:space="preserve"> </w:t>
      </w:r>
      <w:r w:rsidRPr="00D77F38">
        <w:t>un rapport sur les mesures prises en application des points 2 et 3</w:t>
      </w:r>
      <w:r w:rsidR="004D3A15" w:rsidRPr="00D77F38">
        <w:t xml:space="preserve"> </w:t>
      </w:r>
      <w:r w:rsidRPr="00D77F38">
        <w:t>ci-dessus, afin qu</w:t>
      </w:r>
      <w:r w:rsidR="004D3A15" w:rsidRPr="00D77F38">
        <w:t>'</w:t>
      </w:r>
      <w:r w:rsidRPr="00D77F38">
        <w:t>il</w:t>
      </w:r>
      <w:r w:rsidR="004D3A15" w:rsidRPr="00D77F38">
        <w:t xml:space="preserve"> </w:t>
      </w:r>
      <w:r w:rsidRPr="00D77F38">
        <w:t>puisse</w:t>
      </w:r>
      <w:r w:rsidR="004D3A15" w:rsidRPr="00D77F38">
        <w:t xml:space="preserve"> </w:t>
      </w:r>
      <w:r w:rsidRPr="00D77F38">
        <w:t>formuler des avis et déterminer les</w:t>
      </w:r>
      <w:r w:rsidRPr="00D77F38">
        <w:rPr>
          <w:rFonts w:ascii="inherit" w:hAnsi="inherit"/>
          <w:color w:val="000000"/>
          <w:shd w:val="clear" w:color="auto" w:fill="FFFFFF"/>
        </w:rPr>
        <w:t xml:space="preserve"> </w:t>
      </w:r>
      <w:r w:rsidRPr="00D77F38">
        <w:t>mesures de suivi complémentaires à prendre.</w:t>
      </w:r>
    </w:p>
    <w:p w14:paraId="448C4553" w14:textId="77777777" w:rsidR="00B93753" w:rsidRPr="00D77F38" w:rsidRDefault="00B93753" w:rsidP="004D3A15">
      <w:pPr>
        <w:spacing w:before="360"/>
        <w:jc w:val="center"/>
      </w:pPr>
      <w:r w:rsidRPr="00D77F38">
        <w:t>______________</w:t>
      </w:r>
    </w:p>
    <w:sectPr w:rsidR="00B93753" w:rsidRPr="00D77F3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F49B9" w14:textId="77777777" w:rsidR="00B93753" w:rsidRDefault="00B93753">
      <w:r>
        <w:separator/>
      </w:r>
    </w:p>
  </w:endnote>
  <w:endnote w:type="continuationSeparator" w:id="0">
    <w:p w14:paraId="440568A7" w14:textId="77777777" w:rsidR="00B93753" w:rsidRDefault="00B9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AC116" w14:textId="1F451150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D77F38">
      <w:rPr>
        <w:lang w:val="en-US"/>
      </w:rPr>
      <w:t>P:\FRA\ITU-R\AG\RAG\RAG20\000\011F.docx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8D7EC1">
      <w:t>21.04.20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D77F38">
      <w:t>11.10.99</w:t>
    </w:r>
    <w:r w:rsidR="00847A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A7ADF" w14:textId="4FB221ED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D77F38">
      <w:rPr>
        <w:lang w:val="en-US"/>
      </w:rPr>
      <w:t>P:\FRA\ITU-R\AG\RAG\RAG20\000\011F.docx</w:t>
    </w:r>
    <w:r>
      <w:rPr>
        <w:lang w:val="en-US"/>
      </w:rPr>
      <w:fldChar w:fldCharType="end"/>
    </w:r>
    <w:r w:rsidR="00B43BA7">
      <w:rPr>
        <w:lang w:val="en-US"/>
      </w:rPr>
      <w:t xml:space="preserve"> (470511)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A098A" w14:textId="5EE8EDED" w:rsidR="00847AAC" w:rsidRDefault="00A9055C" w:rsidP="007711EA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D77F38">
      <w:rPr>
        <w:lang w:val="en-US"/>
      </w:rPr>
      <w:t>P:\FRA\ITU-R\AG\RAG\RAG20\000\011F.docx</w:t>
    </w:r>
    <w:r>
      <w:rPr>
        <w:lang w:val="en-US"/>
      </w:rPr>
      <w:fldChar w:fldCharType="end"/>
    </w:r>
    <w:r w:rsidR="00D77F38">
      <w:rPr>
        <w:lang w:val="en-US"/>
      </w:rPr>
      <w:t xml:space="preserve"> (470511)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DB627" w14:textId="77777777" w:rsidR="00B93753" w:rsidRDefault="00B93753">
      <w:r>
        <w:t>____________________</w:t>
      </w:r>
    </w:p>
  </w:footnote>
  <w:footnote w:type="continuationSeparator" w:id="0">
    <w:p w14:paraId="364C62A6" w14:textId="77777777" w:rsidR="00B93753" w:rsidRDefault="00B9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9F6A4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96596" w14:textId="77777777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7711EA">
      <w:rPr>
        <w:noProof/>
      </w:rPr>
      <w:t>2</w:t>
    </w:r>
    <w:r>
      <w:rPr>
        <w:noProof/>
      </w:rPr>
      <w:fldChar w:fldCharType="end"/>
    </w:r>
  </w:p>
  <w:p w14:paraId="393B0B2D" w14:textId="0ABDFA7E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7711EA">
      <w:rPr>
        <w:lang w:val="es-ES"/>
      </w:rPr>
      <w:t>20</w:t>
    </w:r>
    <w:r w:rsidR="00847AAC">
      <w:rPr>
        <w:lang w:val="es-ES"/>
      </w:rPr>
      <w:t>/</w:t>
    </w:r>
    <w:r w:rsidR="00D77F38">
      <w:rPr>
        <w:lang w:val="es-ES"/>
      </w:rPr>
      <w:t>11</w:t>
    </w:r>
    <w:r w:rsidR="00847AAC">
      <w:rPr>
        <w:lang w:val="es-ES"/>
      </w:rP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53"/>
    <w:rsid w:val="000C06D8"/>
    <w:rsid w:val="00140AE6"/>
    <w:rsid w:val="00214DFE"/>
    <w:rsid w:val="00222A1C"/>
    <w:rsid w:val="002D238A"/>
    <w:rsid w:val="003A6CEE"/>
    <w:rsid w:val="00405FBE"/>
    <w:rsid w:val="00443261"/>
    <w:rsid w:val="004D3A15"/>
    <w:rsid w:val="004E1CCF"/>
    <w:rsid w:val="004E76DF"/>
    <w:rsid w:val="005031C8"/>
    <w:rsid w:val="005207F5"/>
    <w:rsid w:val="005430E4"/>
    <w:rsid w:val="0067019B"/>
    <w:rsid w:val="00677EE5"/>
    <w:rsid w:val="00694DEF"/>
    <w:rsid w:val="007711EA"/>
    <w:rsid w:val="00773E5E"/>
    <w:rsid w:val="008069E9"/>
    <w:rsid w:val="00847AAC"/>
    <w:rsid w:val="008D7EC1"/>
    <w:rsid w:val="00902253"/>
    <w:rsid w:val="00925627"/>
    <w:rsid w:val="0093101F"/>
    <w:rsid w:val="0097156E"/>
    <w:rsid w:val="00A9055C"/>
    <w:rsid w:val="00AB7F92"/>
    <w:rsid w:val="00AC39EE"/>
    <w:rsid w:val="00B41D84"/>
    <w:rsid w:val="00B43BA7"/>
    <w:rsid w:val="00B93753"/>
    <w:rsid w:val="00BA0C7B"/>
    <w:rsid w:val="00BC4591"/>
    <w:rsid w:val="00C72A86"/>
    <w:rsid w:val="00CC5B9E"/>
    <w:rsid w:val="00CC7208"/>
    <w:rsid w:val="00CE6184"/>
    <w:rsid w:val="00D228F7"/>
    <w:rsid w:val="00D34E1C"/>
    <w:rsid w:val="00D77F38"/>
    <w:rsid w:val="00D95965"/>
    <w:rsid w:val="00DD55EB"/>
    <w:rsid w:val="00E2659D"/>
    <w:rsid w:val="00EC0F12"/>
    <w:rsid w:val="00ED59FA"/>
    <w:rsid w:val="00F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8B2A9"/>
  <w15:docId w15:val="{7BE9EA9D-D33C-4B3D-9395-8B029DBE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avat\AppData\Roaming\Microsoft\Templates\POOL%20F%20-%20ITU\PF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PF_RAG20.dotm</Template>
  <TotalTime>18</TotalTime>
  <Pages>2</Pages>
  <Words>448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ŒUVRE DES RÉSOLUTIONS DE LA CMR-19</dc:title>
  <dc:subject>GROUPE CONSULTATIF DES RADIOCOMMUNICATIONS</dc:subject>
  <dc:creator>Iran (République islamique d')</dc:creator>
  <cp:keywords>RAG03-1</cp:keywords>
  <dc:description>Document RAG20/11-F  For: _x000d_Document date: 20 avril 2020_x000d_Saved by ITU51014352 at 09:23:34 on 21.04.2020</dc:description>
  <cp:lastModifiedBy>French</cp:lastModifiedBy>
  <cp:revision>5</cp:revision>
  <cp:lastPrinted>1999-10-11T14:58:00Z</cp:lastPrinted>
  <dcterms:created xsi:type="dcterms:W3CDTF">2020-04-21T07:08:00Z</dcterms:created>
  <dcterms:modified xsi:type="dcterms:W3CDTF">2020-04-21T08:08:00Z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RAG20/11-F</vt:lpwstr>
  </property>
  <property fmtid="{D5CDD505-2E9C-101B-9397-08002B2CF9AE}" pid="3" name="Docdate">
    <vt:lpwstr>20 avril 2020</vt:lpwstr>
  </property>
  <property fmtid="{D5CDD505-2E9C-101B-9397-08002B2CF9AE}" pid="4" name="Docorlang">
    <vt:lpwstr>Original: anglais</vt:lpwstr>
  </property>
  <property fmtid="{D5CDD505-2E9C-101B-9397-08002B2CF9AE}" pid="5" name="Docauthor">
    <vt:lpwstr>Iran (République islamique d')</vt:lpwstr>
  </property>
</Properties>
</file>