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17576E94" w14:textId="77777777" w:rsidTr="00EC0BE3">
        <w:trPr>
          <w:cantSplit/>
        </w:trPr>
        <w:tc>
          <w:tcPr>
            <w:tcW w:w="6477" w:type="dxa"/>
            <w:vAlign w:val="center"/>
          </w:tcPr>
          <w:p w14:paraId="1F1B366E"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7203D035"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4E429127" wp14:editId="6AC764ED">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069CA1AF" w14:textId="77777777" w:rsidTr="00B35BE4">
        <w:trPr>
          <w:cantSplit/>
        </w:trPr>
        <w:tc>
          <w:tcPr>
            <w:tcW w:w="6487" w:type="dxa"/>
            <w:gridSpan w:val="2"/>
            <w:tcBorders>
              <w:bottom w:val="single" w:sz="12" w:space="0" w:color="auto"/>
            </w:tcBorders>
          </w:tcPr>
          <w:p w14:paraId="1039D7D8"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61A362A" w14:textId="77777777" w:rsidR="0051782D" w:rsidRPr="0051782D" w:rsidRDefault="0051782D" w:rsidP="00B35BE4">
            <w:pPr>
              <w:shd w:val="solid" w:color="FFFFFF" w:fill="FFFFFF"/>
              <w:spacing w:before="0" w:after="48" w:line="240" w:lineRule="atLeast"/>
              <w:rPr>
                <w:sz w:val="22"/>
                <w:szCs w:val="22"/>
                <w:lang w:val="en-US"/>
              </w:rPr>
            </w:pPr>
          </w:p>
        </w:tc>
      </w:tr>
      <w:tr w:rsidR="0051782D" w14:paraId="2A4FD8A8" w14:textId="77777777" w:rsidTr="00B35BE4">
        <w:trPr>
          <w:cantSplit/>
        </w:trPr>
        <w:tc>
          <w:tcPr>
            <w:tcW w:w="6487" w:type="dxa"/>
            <w:gridSpan w:val="2"/>
            <w:tcBorders>
              <w:top w:val="single" w:sz="12" w:space="0" w:color="auto"/>
            </w:tcBorders>
          </w:tcPr>
          <w:p w14:paraId="41F3616F"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0EDB545" w14:textId="77777777" w:rsidR="0051782D" w:rsidRPr="00710D66" w:rsidRDefault="0051782D" w:rsidP="00B35BE4">
            <w:pPr>
              <w:shd w:val="solid" w:color="FFFFFF" w:fill="FFFFFF"/>
              <w:spacing w:before="0" w:after="48" w:line="240" w:lineRule="atLeast"/>
              <w:rPr>
                <w:lang w:val="en-US"/>
              </w:rPr>
            </w:pPr>
          </w:p>
        </w:tc>
      </w:tr>
      <w:tr w:rsidR="0051782D" w14:paraId="097CA0CE" w14:textId="77777777" w:rsidTr="00B35BE4">
        <w:trPr>
          <w:cantSplit/>
        </w:trPr>
        <w:tc>
          <w:tcPr>
            <w:tcW w:w="6487" w:type="dxa"/>
            <w:gridSpan w:val="2"/>
            <w:vMerge w:val="restart"/>
          </w:tcPr>
          <w:p w14:paraId="54376E89" w14:textId="77777777" w:rsidR="0051782D" w:rsidRDefault="0051782D" w:rsidP="00B35BE4">
            <w:pPr>
              <w:shd w:val="solid" w:color="FFFFFF" w:fill="FFFFFF"/>
              <w:spacing w:after="240"/>
              <w:rPr>
                <w:sz w:val="20"/>
              </w:rPr>
            </w:pPr>
            <w:bookmarkStart w:id="0" w:name="dnum" w:colFirst="1" w:colLast="1"/>
          </w:p>
        </w:tc>
        <w:tc>
          <w:tcPr>
            <w:tcW w:w="3402" w:type="dxa"/>
          </w:tcPr>
          <w:p w14:paraId="6D985EE0" w14:textId="679AC97D" w:rsidR="0051782D" w:rsidRPr="008A769C" w:rsidRDefault="008A769C" w:rsidP="008A769C">
            <w:pPr>
              <w:shd w:val="solid" w:color="FFFFFF" w:fill="FFFFFF"/>
              <w:spacing w:before="0" w:line="240" w:lineRule="atLeast"/>
              <w:rPr>
                <w:rFonts w:ascii="Verdana" w:hAnsi="Verdana"/>
                <w:sz w:val="20"/>
              </w:rPr>
            </w:pPr>
            <w:r>
              <w:rPr>
                <w:rFonts w:ascii="Verdana" w:hAnsi="Verdana"/>
                <w:b/>
                <w:sz w:val="20"/>
              </w:rPr>
              <w:t>Document</w:t>
            </w:r>
            <w:r w:rsidR="0045107B">
              <w:rPr>
                <w:rFonts w:ascii="Verdana" w:hAnsi="Verdana"/>
                <w:b/>
                <w:sz w:val="20"/>
              </w:rPr>
              <w:t xml:space="preserve"> RAG/</w:t>
            </w:r>
            <w:r w:rsidR="0039275B">
              <w:rPr>
                <w:rFonts w:ascii="Verdana" w:hAnsi="Verdana"/>
                <w:b/>
                <w:sz w:val="20"/>
              </w:rPr>
              <w:t>INFO/</w:t>
            </w:r>
            <w:r w:rsidR="00AF2F53">
              <w:rPr>
                <w:rFonts w:ascii="Verdana" w:hAnsi="Verdana"/>
                <w:b/>
                <w:sz w:val="20"/>
              </w:rPr>
              <w:t>2</w:t>
            </w:r>
            <w:r w:rsidR="004D797D">
              <w:rPr>
                <w:rFonts w:ascii="Verdana" w:hAnsi="Verdana"/>
                <w:b/>
                <w:sz w:val="20"/>
              </w:rPr>
              <w:t>5</w:t>
            </w:r>
            <w:r w:rsidR="0045107B">
              <w:rPr>
                <w:rFonts w:ascii="Verdana" w:hAnsi="Verdana"/>
                <w:b/>
                <w:sz w:val="20"/>
              </w:rPr>
              <w:t>-E</w:t>
            </w:r>
          </w:p>
        </w:tc>
      </w:tr>
      <w:tr w:rsidR="0051782D" w14:paraId="37AB9DBE" w14:textId="77777777" w:rsidTr="00B35BE4">
        <w:trPr>
          <w:cantSplit/>
        </w:trPr>
        <w:tc>
          <w:tcPr>
            <w:tcW w:w="6487" w:type="dxa"/>
            <w:gridSpan w:val="2"/>
            <w:vMerge/>
          </w:tcPr>
          <w:p w14:paraId="0D31A1D5" w14:textId="77777777" w:rsidR="0051782D" w:rsidRDefault="0051782D" w:rsidP="00B35BE4">
            <w:pPr>
              <w:spacing w:before="60"/>
              <w:jc w:val="center"/>
              <w:rPr>
                <w:b/>
                <w:smallCaps/>
                <w:sz w:val="32"/>
              </w:rPr>
            </w:pPr>
            <w:bookmarkStart w:id="1" w:name="ddate" w:colFirst="1" w:colLast="1"/>
            <w:bookmarkEnd w:id="0"/>
          </w:p>
        </w:tc>
        <w:tc>
          <w:tcPr>
            <w:tcW w:w="3402" w:type="dxa"/>
          </w:tcPr>
          <w:p w14:paraId="441A1530" w14:textId="3EC2EEDF" w:rsidR="0051782D" w:rsidRPr="008A769C" w:rsidRDefault="004D797D" w:rsidP="008A769C">
            <w:pPr>
              <w:shd w:val="solid" w:color="FFFFFF" w:fill="FFFFFF"/>
              <w:spacing w:before="0" w:line="240" w:lineRule="atLeast"/>
              <w:rPr>
                <w:rFonts w:ascii="Verdana" w:hAnsi="Verdana"/>
                <w:sz w:val="20"/>
              </w:rPr>
            </w:pPr>
            <w:r>
              <w:rPr>
                <w:rFonts w:ascii="Verdana" w:hAnsi="Verdana"/>
                <w:b/>
                <w:sz w:val="20"/>
              </w:rPr>
              <w:t>28</w:t>
            </w:r>
            <w:r w:rsidR="008A769C">
              <w:rPr>
                <w:rFonts w:ascii="Verdana" w:hAnsi="Verdana"/>
                <w:b/>
                <w:sz w:val="20"/>
              </w:rPr>
              <w:t xml:space="preserve"> </w:t>
            </w:r>
            <w:r w:rsidR="009D28B7">
              <w:rPr>
                <w:rFonts w:ascii="Verdana" w:hAnsi="Verdana"/>
                <w:b/>
                <w:sz w:val="20"/>
              </w:rPr>
              <w:t>April</w:t>
            </w:r>
            <w:r w:rsidR="008A769C">
              <w:rPr>
                <w:rFonts w:ascii="Verdana" w:hAnsi="Verdana"/>
                <w:b/>
                <w:sz w:val="20"/>
              </w:rPr>
              <w:t xml:space="preserve"> 202</w:t>
            </w:r>
            <w:r w:rsidR="00A87B3F">
              <w:rPr>
                <w:rFonts w:ascii="Verdana" w:hAnsi="Verdana"/>
                <w:b/>
                <w:sz w:val="20"/>
              </w:rPr>
              <w:t>2</w:t>
            </w:r>
          </w:p>
        </w:tc>
      </w:tr>
      <w:tr w:rsidR="0051782D" w14:paraId="5DCF49A6" w14:textId="77777777" w:rsidTr="00B35BE4">
        <w:trPr>
          <w:cantSplit/>
        </w:trPr>
        <w:tc>
          <w:tcPr>
            <w:tcW w:w="6487" w:type="dxa"/>
            <w:gridSpan w:val="2"/>
            <w:vMerge/>
          </w:tcPr>
          <w:p w14:paraId="4DCF4A8E" w14:textId="77777777" w:rsidR="0051782D" w:rsidRDefault="0051782D" w:rsidP="00B35BE4">
            <w:pPr>
              <w:spacing w:before="60"/>
              <w:jc w:val="center"/>
              <w:rPr>
                <w:b/>
                <w:smallCaps/>
                <w:sz w:val="32"/>
              </w:rPr>
            </w:pPr>
            <w:bookmarkStart w:id="2" w:name="dorlang" w:colFirst="1" w:colLast="1"/>
            <w:bookmarkEnd w:id="1"/>
          </w:p>
        </w:tc>
        <w:tc>
          <w:tcPr>
            <w:tcW w:w="3402" w:type="dxa"/>
          </w:tcPr>
          <w:p w14:paraId="246BFCD5" w14:textId="3173DFE2" w:rsidR="0051782D" w:rsidRPr="008A769C" w:rsidRDefault="001C7F7B" w:rsidP="008A769C">
            <w:pPr>
              <w:shd w:val="solid" w:color="FFFFFF" w:fill="FFFFFF"/>
              <w:spacing w:before="0" w:after="120" w:line="240" w:lineRule="atLeast"/>
              <w:rPr>
                <w:rFonts w:ascii="Verdana" w:hAnsi="Verdana"/>
                <w:sz w:val="20"/>
              </w:rPr>
            </w:pPr>
            <w:r>
              <w:rPr>
                <w:rFonts w:ascii="Verdana" w:hAnsi="Verdana"/>
                <w:b/>
                <w:sz w:val="20"/>
              </w:rPr>
              <w:t>English only</w:t>
            </w:r>
          </w:p>
        </w:tc>
      </w:tr>
      <w:tr w:rsidR="00093C73" w14:paraId="3B91E2E3" w14:textId="77777777" w:rsidTr="00B35BE4">
        <w:trPr>
          <w:cantSplit/>
        </w:trPr>
        <w:tc>
          <w:tcPr>
            <w:tcW w:w="9889" w:type="dxa"/>
            <w:gridSpan w:val="3"/>
          </w:tcPr>
          <w:p w14:paraId="74495013" w14:textId="27FC988B" w:rsidR="00093C73" w:rsidRDefault="009015DB" w:rsidP="00AF2F53">
            <w:pPr>
              <w:pStyle w:val="Source"/>
              <w:spacing w:before="480" w:after="120"/>
            </w:pPr>
            <w:bookmarkStart w:id="3" w:name="dsource" w:colFirst="0" w:colLast="0"/>
            <w:bookmarkEnd w:id="2"/>
            <w:r>
              <w:t>BDT Director</w:t>
            </w:r>
          </w:p>
        </w:tc>
      </w:tr>
      <w:tr w:rsidR="00093C73" w14:paraId="05CE2D27" w14:textId="77777777" w:rsidTr="00B35BE4">
        <w:trPr>
          <w:cantSplit/>
        </w:trPr>
        <w:tc>
          <w:tcPr>
            <w:tcW w:w="9889" w:type="dxa"/>
            <w:gridSpan w:val="3"/>
          </w:tcPr>
          <w:p w14:paraId="66BBFC0B" w14:textId="77777777" w:rsidR="009D28B7" w:rsidRDefault="00F81E0F" w:rsidP="00F81E0F">
            <w:pPr>
              <w:pStyle w:val="Title1"/>
            </w:pPr>
            <w:bookmarkStart w:id="4" w:name="dtitle1" w:colFirst="0" w:colLast="0"/>
            <w:bookmarkEnd w:id="3"/>
            <w:r w:rsidRPr="00A874B4">
              <w:t>Briefing note on Intersectoral Task Force on Capacity Development</w:t>
            </w:r>
          </w:p>
          <w:p w14:paraId="031E3E4E" w14:textId="77777777" w:rsidR="00F81E0F" w:rsidRDefault="00F81E0F" w:rsidP="00F81E0F"/>
          <w:p w14:paraId="174204A4" w14:textId="77777777" w:rsidR="00F81E0F" w:rsidRPr="00A874B4" w:rsidRDefault="00F81E0F" w:rsidP="00F81E0F">
            <w:pPr>
              <w:pStyle w:val="Heading1"/>
            </w:pPr>
            <w:r w:rsidRPr="00A874B4">
              <w:t>Background</w:t>
            </w:r>
          </w:p>
          <w:p w14:paraId="5AB8C146" w14:textId="77777777" w:rsidR="00F81E0F" w:rsidRDefault="00F81E0F" w:rsidP="00F81E0F">
            <w:r w:rsidRPr="00A874B4">
              <w:t xml:space="preserve">The Intersectoral Task Force on Capacity Development was established </w:t>
            </w:r>
            <w:r>
              <w:t>at the beginning of 2022, following discussions within the ITU Secretariat and among the ITU membership on how to harmonize and strengthen capacity development approaches across the ITU to better respond to the emerging needs of the membership.</w:t>
            </w:r>
          </w:p>
          <w:p w14:paraId="7CDB6F05" w14:textId="77777777" w:rsidR="00F81E0F" w:rsidRPr="001F6D4D" w:rsidRDefault="00F81E0F" w:rsidP="00F81E0F">
            <w:pPr>
              <w:rPr>
                <w:u w:val="single"/>
              </w:rPr>
            </w:pPr>
            <w:r w:rsidRPr="001F6D4D">
              <w:rPr>
                <w:u w:val="single"/>
              </w:rPr>
              <w:t>Council recommendation:</w:t>
            </w:r>
          </w:p>
          <w:p w14:paraId="093F15CB" w14:textId="77777777" w:rsidR="00F81E0F" w:rsidRDefault="00F81E0F" w:rsidP="00F81E0F">
            <w:r w:rsidRPr="00457984">
              <w:t>The ITU Council, at its virtual consultation in June 2021, considered the final report on the feasibility study on establishing an ITU training institute</w:t>
            </w:r>
            <w:r>
              <w:t xml:space="preserve">. Council </w:t>
            </w:r>
            <w:r w:rsidRPr="00457984">
              <w:t>concluded that the secretariat would review ITU’s capacity-development activities and develop a proposal on how they could be improved and strengthened, taking into consideration the findings and recommendations of the report</w:t>
            </w:r>
            <w:r>
              <w:t xml:space="preserve">. </w:t>
            </w:r>
          </w:p>
          <w:p w14:paraId="5433D3B4" w14:textId="77777777" w:rsidR="00F81E0F" w:rsidRDefault="00F81E0F" w:rsidP="00F81E0F">
            <w:r w:rsidRPr="001F6D4D">
              <w:t>One of the main recommendations of the feasibility study report was to harmonize ITU capacity development activities across the ITU and to develop a common framework for ITU’s activities. The ITU Academy should be further enhanced and strengthened in this regard, to become the main entry point for ITU capacity development and training. This would reduce duplication of efforts, create synergies across the bureaux, as well as leverage on existing resources and training content. It would also facilitate easier access to training opportunities for ITU</w:t>
            </w:r>
            <w:r>
              <w:t>’s</w:t>
            </w:r>
            <w:r w:rsidRPr="001F6D4D">
              <w:t xml:space="preserve"> membership through the ITU Academy platform and improve the quality of the training delivered by applying a harmonized framework and training delivery process.</w:t>
            </w:r>
          </w:p>
          <w:p w14:paraId="634D7AC1" w14:textId="549B8A3A" w:rsidR="00F81E0F" w:rsidRDefault="00F81E0F" w:rsidP="00F81E0F">
            <w:r w:rsidRPr="001F6D4D">
              <w:t xml:space="preserve">The ITU Council, at its session held in 2022, considered </w:t>
            </w:r>
            <w:r>
              <w:t xml:space="preserve">the </w:t>
            </w:r>
            <w:r w:rsidRPr="001F6D4D">
              <w:t xml:space="preserve">proposal presented by the ITU Secretariat </w:t>
            </w:r>
            <w:r>
              <w:t xml:space="preserve">for working towards a harmonized capacity development framework in ITU, through an internal task force, including representatives of the three Bureaux and the General Secretariat, with the objective to oversee the harmonization of capacity development in ITU and work towards consolidating ITU’s capacity development and training activities under the ITU Academy umbrella. Council 22 approved the proposal </w:t>
            </w:r>
            <w:r w:rsidRPr="001F6D4D">
              <w:t>and invited future Councils to review periodically the implementation of ITU training activities.</w:t>
            </w:r>
          </w:p>
          <w:p w14:paraId="6E12A8F0" w14:textId="24854A56" w:rsidR="00F81E0F" w:rsidRDefault="00F81E0F" w:rsidP="00F81E0F">
            <w:r>
              <w:br/>
            </w:r>
          </w:p>
          <w:p w14:paraId="2E6B1A34" w14:textId="7954F917" w:rsidR="00F81E0F" w:rsidRPr="001F6D4D" w:rsidRDefault="00F81E0F" w:rsidP="00F81E0F">
            <w:pPr>
              <w:rPr>
                <w:u w:val="single"/>
              </w:rPr>
            </w:pPr>
            <w:r w:rsidRPr="001F6D4D">
              <w:rPr>
                <w:u w:val="single"/>
              </w:rPr>
              <w:lastRenderedPageBreak/>
              <w:t xml:space="preserve">I-CoDI process: </w:t>
            </w:r>
          </w:p>
          <w:p w14:paraId="5DD8F96E" w14:textId="77777777" w:rsidR="00F81E0F" w:rsidRDefault="00F81E0F" w:rsidP="00F81E0F">
            <w:r w:rsidRPr="001F6D4D">
              <w:t xml:space="preserve">In 2021, the </w:t>
            </w:r>
            <w:r>
              <w:t xml:space="preserve">ITU </w:t>
            </w:r>
            <w:r w:rsidRPr="001F6D4D">
              <w:t xml:space="preserve">secretariat used the I-CoDI co-design process to explore and advance the discussion on an ITU harmonized capacity development framework. The process helped to identify key challenges and opportunities and </w:t>
            </w:r>
            <w:r>
              <w:t>elaborated</w:t>
            </w:r>
            <w:r w:rsidRPr="001F6D4D">
              <w:t xml:space="preserve"> the main goals and new practices for a future harmonized capacity development approach. </w:t>
            </w:r>
            <w:r>
              <w:t>The process revealed that, c</w:t>
            </w:r>
            <w:r w:rsidRPr="00286105">
              <w:t xml:space="preserve">urrently, different bureaus are running capacity development activities </w:t>
            </w:r>
            <w:r>
              <w:t xml:space="preserve">for </w:t>
            </w:r>
            <w:r w:rsidRPr="00286105">
              <w:t xml:space="preserve">the same clients, using different materials on the same topic, </w:t>
            </w:r>
            <w:r>
              <w:t>applying</w:t>
            </w:r>
            <w:r w:rsidRPr="00286105">
              <w:t xml:space="preserve"> different assessment tools and different standards of quality.</w:t>
            </w:r>
            <w:r>
              <w:t xml:space="preserve"> A</w:t>
            </w:r>
            <w:r w:rsidRPr="001F6D4D">
              <w:t xml:space="preserve"> key outcome</w:t>
            </w:r>
            <w:r>
              <w:t xml:space="preserve"> of the I-CoDI co-design process</w:t>
            </w:r>
            <w:r w:rsidRPr="001F6D4D">
              <w:t xml:space="preserve"> was </w:t>
            </w:r>
            <w:r>
              <w:t>the proposal to</w:t>
            </w:r>
            <w:r w:rsidRPr="001F6D4D">
              <w:t xml:space="preserve"> set up an internal task force to advance work in this area.</w:t>
            </w:r>
          </w:p>
          <w:p w14:paraId="67E5E82B" w14:textId="77777777" w:rsidR="00F81E0F" w:rsidRDefault="00F81E0F" w:rsidP="00F81E0F">
            <w:r>
              <w:t>F</w:t>
            </w:r>
            <w:r w:rsidRPr="00457984">
              <w:t>ollowing the I-CoDI workshop</w:t>
            </w:r>
            <w:r>
              <w:t xml:space="preserve"> and its outcomes, the three </w:t>
            </w:r>
            <w:r w:rsidRPr="00457984">
              <w:t>Directors adopted a series of recommendations. They</w:t>
            </w:r>
            <w:r>
              <w:t xml:space="preserve"> e</w:t>
            </w:r>
            <w:r w:rsidRPr="007A7C77">
              <w:t xml:space="preserve">stablished </w:t>
            </w:r>
            <w:r>
              <w:t xml:space="preserve">an intersectoral task force </w:t>
            </w:r>
            <w:r w:rsidRPr="007A7C77">
              <w:t xml:space="preserve">and mandated </w:t>
            </w:r>
            <w:r>
              <w:t>it</w:t>
            </w:r>
            <w:r w:rsidRPr="007A7C77">
              <w:t xml:space="preserve"> to oversee the harmonization of capacity development in ITU. The task force </w:t>
            </w:r>
            <w:r>
              <w:t>should</w:t>
            </w:r>
            <w:r w:rsidRPr="007A7C77">
              <w:t xml:space="preserve"> work towards consolidating all ITU capacity development work under the ITU Academy</w:t>
            </w:r>
            <w:r>
              <w:rPr>
                <w:rStyle w:val="FootnoteReference"/>
              </w:rPr>
              <w:footnoteReference w:id="2"/>
            </w:r>
            <w:r>
              <w:t xml:space="preserve"> </w:t>
            </w:r>
            <w:r w:rsidRPr="007A7C77">
              <w:t xml:space="preserve">and report to each respective advisory group (RAG, </w:t>
            </w:r>
            <w:r>
              <w:t xml:space="preserve">TDAG, </w:t>
            </w:r>
            <w:r w:rsidRPr="007A7C77">
              <w:t>TSAG).</w:t>
            </w:r>
          </w:p>
          <w:p w14:paraId="7A08B972" w14:textId="77777777" w:rsidR="00F81E0F" w:rsidRPr="00A874B4" w:rsidRDefault="00F81E0F" w:rsidP="00F81E0F">
            <w:pPr>
              <w:pStyle w:val="Heading1"/>
            </w:pPr>
            <w:r w:rsidRPr="00A874B4">
              <w:t>Objective</w:t>
            </w:r>
          </w:p>
          <w:p w14:paraId="3BBF45F9" w14:textId="77777777" w:rsidR="00F81E0F" w:rsidRDefault="00F81E0F" w:rsidP="00F81E0F">
            <w:r w:rsidRPr="001F6D4D">
              <w:t xml:space="preserve">In early 2022, the </w:t>
            </w:r>
            <w:r>
              <w:t xml:space="preserve">intersectoral </w:t>
            </w:r>
            <w:r w:rsidRPr="001F6D4D">
              <w:t>Task Force on Capacity Development was set up under the leadership of BDT, including representatives of the three bureaux and the General Secretariat</w:t>
            </w:r>
            <w:r>
              <w:t xml:space="preserve">. </w:t>
            </w:r>
          </w:p>
          <w:p w14:paraId="33EC292A" w14:textId="77777777" w:rsidR="00F81E0F" w:rsidRDefault="00F81E0F" w:rsidP="00F81E0F">
            <w:r>
              <w:t xml:space="preserve">The main </w:t>
            </w:r>
            <w:r w:rsidRPr="001F6D4D">
              <w:t xml:space="preserve">objective </w:t>
            </w:r>
            <w:r>
              <w:t xml:space="preserve">of the Task Force is </w:t>
            </w:r>
            <w:r w:rsidRPr="001F6D4D">
              <w:t xml:space="preserve">to </w:t>
            </w:r>
            <w:r w:rsidRPr="00A874B4">
              <w:t>bring together different training and capacity development practices across ITU bureaus and sectors</w:t>
            </w:r>
            <w:r>
              <w:t>, including the regional offices</w:t>
            </w:r>
            <w:r w:rsidRPr="00A874B4">
              <w:t>, and to consolidate all ITU capacity development work under the ITU Academy.</w:t>
            </w:r>
            <w:r w:rsidRPr="00457984">
              <w:t xml:space="preserve"> </w:t>
            </w:r>
          </w:p>
          <w:p w14:paraId="05F40395" w14:textId="77777777" w:rsidR="00F81E0F" w:rsidRDefault="00F81E0F" w:rsidP="00F81E0F">
            <w:r>
              <w:t xml:space="preserve">By carrying out its work, the Task Force should work towards: </w:t>
            </w:r>
          </w:p>
          <w:p w14:paraId="7D3A1E00" w14:textId="77777777" w:rsidR="00F81E0F" w:rsidRDefault="00F81E0F" w:rsidP="00F81E0F">
            <w:pPr>
              <w:pStyle w:val="ListParagraph"/>
              <w:numPr>
                <w:ilvl w:val="0"/>
                <w:numId w:val="28"/>
              </w:numPr>
              <w:tabs>
                <w:tab w:val="clear" w:pos="794"/>
                <w:tab w:val="clear" w:pos="1191"/>
                <w:tab w:val="clear" w:pos="1588"/>
                <w:tab w:val="clear" w:pos="1985"/>
              </w:tabs>
              <w:overflowPunct/>
              <w:autoSpaceDE/>
              <w:autoSpaceDN/>
              <w:adjustRightInd/>
              <w:spacing w:before="0" w:after="160" w:line="259" w:lineRule="auto"/>
              <w:textAlignment w:val="auto"/>
            </w:pPr>
            <w:r>
              <w:t xml:space="preserve">the reduction of duplication across the bureaux and building on existing training content; </w:t>
            </w:r>
          </w:p>
          <w:p w14:paraId="399DF304" w14:textId="77777777" w:rsidR="00F81E0F" w:rsidRDefault="00F81E0F" w:rsidP="00F81E0F">
            <w:pPr>
              <w:pStyle w:val="ListParagraph"/>
              <w:numPr>
                <w:ilvl w:val="0"/>
                <w:numId w:val="28"/>
              </w:numPr>
              <w:tabs>
                <w:tab w:val="clear" w:pos="794"/>
                <w:tab w:val="clear" w:pos="1191"/>
                <w:tab w:val="clear" w:pos="1588"/>
                <w:tab w:val="clear" w:pos="1985"/>
              </w:tabs>
              <w:overflowPunct/>
              <w:autoSpaceDE/>
              <w:autoSpaceDN/>
              <w:adjustRightInd/>
              <w:spacing w:before="0" w:after="160" w:line="259" w:lineRule="auto"/>
              <w:textAlignment w:val="auto"/>
            </w:pPr>
            <w:r>
              <w:t>developing clear guidelines for organizing capacity development activities resulting in faster and more impactful delivery; and</w:t>
            </w:r>
          </w:p>
          <w:p w14:paraId="7B80B498" w14:textId="77777777" w:rsidR="00F81E0F" w:rsidRDefault="00F81E0F" w:rsidP="00F81E0F">
            <w:pPr>
              <w:pStyle w:val="ListParagraph"/>
              <w:numPr>
                <w:ilvl w:val="0"/>
                <w:numId w:val="28"/>
              </w:numPr>
              <w:tabs>
                <w:tab w:val="clear" w:pos="794"/>
                <w:tab w:val="clear" w:pos="1191"/>
                <w:tab w:val="clear" w:pos="1588"/>
                <w:tab w:val="clear" w:pos="1985"/>
              </w:tabs>
              <w:overflowPunct/>
              <w:autoSpaceDE/>
              <w:autoSpaceDN/>
              <w:adjustRightInd/>
              <w:spacing w:before="0" w:after="160" w:line="259" w:lineRule="auto"/>
              <w:textAlignment w:val="auto"/>
            </w:pPr>
            <w:r>
              <w:t>utilizing the established e-learning platform of the ITU Academy for training delivery, leveraging recognized ITU certification and a user base of 35,000 people from across the world.</w:t>
            </w:r>
          </w:p>
          <w:p w14:paraId="139D2AC0" w14:textId="77777777" w:rsidR="00F81E0F" w:rsidRPr="00A874B4" w:rsidRDefault="00F81E0F" w:rsidP="00F81E0F">
            <w:pPr>
              <w:pStyle w:val="Heading1"/>
            </w:pPr>
            <w:r w:rsidRPr="00A874B4">
              <w:t xml:space="preserve">Progress to </w:t>
            </w:r>
            <w:r>
              <w:t>d</w:t>
            </w:r>
            <w:r w:rsidRPr="00A874B4">
              <w:t>ate</w:t>
            </w:r>
          </w:p>
          <w:p w14:paraId="0F7DC139" w14:textId="77777777" w:rsidR="00F81E0F" w:rsidRDefault="00F81E0F" w:rsidP="00F81E0F">
            <w:r>
              <w:t>T</w:t>
            </w:r>
            <w:r w:rsidRPr="00F215C8">
              <w:t xml:space="preserve">he </w:t>
            </w:r>
            <w:r>
              <w:t>T</w:t>
            </w:r>
            <w:r w:rsidRPr="00F215C8">
              <w:t xml:space="preserve">ask </w:t>
            </w:r>
            <w:r>
              <w:t>F</w:t>
            </w:r>
            <w:r w:rsidRPr="00F215C8">
              <w:t>orce is composed of representatives from the three ITU bureau</w:t>
            </w:r>
            <w:r>
              <w:t>x as well as representatives from the General Secretariat. It is chaired by BDT, which also provides secretarial support.</w:t>
            </w:r>
          </w:p>
          <w:p w14:paraId="666A6765" w14:textId="77777777" w:rsidR="00F81E0F" w:rsidRPr="00DA162E" w:rsidRDefault="00F81E0F" w:rsidP="00F81E0F">
            <w:pPr>
              <w:spacing w:after="120"/>
            </w:pPr>
            <w:r w:rsidRPr="00DA162E">
              <w:t xml:space="preserve">Between March 2022 and </w:t>
            </w:r>
            <w:r>
              <w:t>April</w:t>
            </w:r>
            <w:r w:rsidRPr="00DA162E">
              <w:t xml:space="preserve"> 2023, the </w:t>
            </w:r>
            <w:r>
              <w:t>T</w:t>
            </w:r>
            <w:r w:rsidRPr="00DA162E">
              <w:t xml:space="preserve">ask </w:t>
            </w:r>
            <w:r>
              <w:t>F</w:t>
            </w:r>
            <w:r w:rsidRPr="00DA162E">
              <w:t xml:space="preserve">orce has met </w:t>
            </w:r>
            <w:r>
              <w:t xml:space="preserve">nine </w:t>
            </w:r>
            <w:r w:rsidRPr="00DA162E">
              <w:t xml:space="preserve">times and made progress on several activities: </w:t>
            </w:r>
          </w:p>
          <w:p w14:paraId="1B0D76AB" w14:textId="77777777" w:rsidR="00F81E0F" w:rsidRDefault="00F81E0F" w:rsidP="00F81E0F">
            <w:pPr>
              <w:numPr>
                <w:ilvl w:val="0"/>
                <w:numId w:val="27"/>
              </w:numPr>
              <w:tabs>
                <w:tab w:val="clear" w:pos="794"/>
                <w:tab w:val="clear" w:pos="1191"/>
                <w:tab w:val="clear" w:pos="1588"/>
                <w:tab w:val="clear" w:pos="1985"/>
                <w:tab w:val="left" w:pos="567"/>
                <w:tab w:val="left" w:pos="1134"/>
                <w:tab w:val="left" w:pos="1701"/>
                <w:tab w:val="left" w:pos="2268"/>
                <w:tab w:val="left" w:pos="2835"/>
              </w:tabs>
              <w:spacing w:after="120"/>
              <w:contextualSpacing/>
            </w:pPr>
            <w:r w:rsidRPr="00DA162E">
              <w:t xml:space="preserve">Reviewing the </w:t>
            </w:r>
            <w:r>
              <w:t>T</w:t>
            </w:r>
            <w:r w:rsidRPr="00DA162E">
              <w:t xml:space="preserve">ask </w:t>
            </w:r>
            <w:r>
              <w:t>F</w:t>
            </w:r>
            <w:r w:rsidRPr="00DA162E">
              <w:t>orce’s terms of reference.</w:t>
            </w:r>
          </w:p>
          <w:p w14:paraId="6E8E43F4" w14:textId="77777777" w:rsidR="00F81E0F" w:rsidRDefault="00F81E0F" w:rsidP="00F81E0F">
            <w:pPr>
              <w:numPr>
                <w:ilvl w:val="0"/>
                <w:numId w:val="27"/>
              </w:numPr>
              <w:tabs>
                <w:tab w:val="clear" w:pos="794"/>
                <w:tab w:val="clear" w:pos="1191"/>
                <w:tab w:val="clear" w:pos="1588"/>
                <w:tab w:val="clear" w:pos="1985"/>
                <w:tab w:val="left" w:pos="567"/>
                <w:tab w:val="left" w:pos="1134"/>
                <w:tab w:val="left" w:pos="1701"/>
                <w:tab w:val="left" w:pos="2268"/>
                <w:tab w:val="left" w:pos="2835"/>
              </w:tabs>
              <w:spacing w:after="120"/>
              <w:contextualSpacing/>
            </w:pPr>
            <w:r w:rsidRPr="00237813">
              <w:t>Developing an implementation plan to harmonise capacity development in ITU</w:t>
            </w:r>
            <w:r>
              <w:t>.</w:t>
            </w:r>
          </w:p>
          <w:p w14:paraId="62D1CC91" w14:textId="77777777" w:rsidR="00F81E0F" w:rsidRDefault="00F81E0F" w:rsidP="00F81E0F">
            <w:pPr>
              <w:numPr>
                <w:ilvl w:val="0"/>
                <w:numId w:val="27"/>
              </w:numPr>
              <w:tabs>
                <w:tab w:val="clear" w:pos="794"/>
                <w:tab w:val="clear" w:pos="1191"/>
                <w:tab w:val="clear" w:pos="1588"/>
                <w:tab w:val="clear" w:pos="1985"/>
                <w:tab w:val="left" w:pos="567"/>
                <w:tab w:val="left" w:pos="1134"/>
                <w:tab w:val="left" w:pos="1701"/>
                <w:tab w:val="left" w:pos="2268"/>
                <w:tab w:val="left" w:pos="2835"/>
              </w:tabs>
              <w:spacing w:after="120"/>
              <w:contextualSpacing/>
            </w:pPr>
            <w:r w:rsidRPr="00DA162E">
              <w:t xml:space="preserve">Stocktaking of training activities across the bureaux. </w:t>
            </w:r>
          </w:p>
          <w:p w14:paraId="25A1CA4B" w14:textId="77777777" w:rsidR="00F81E0F" w:rsidRDefault="00F81E0F" w:rsidP="00F81E0F">
            <w:pPr>
              <w:numPr>
                <w:ilvl w:val="0"/>
                <w:numId w:val="27"/>
              </w:numPr>
              <w:tabs>
                <w:tab w:val="clear" w:pos="794"/>
                <w:tab w:val="clear" w:pos="1191"/>
                <w:tab w:val="clear" w:pos="1588"/>
                <w:tab w:val="clear" w:pos="1985"/>
                <w:tab w:val="left" w:pos="567"/>
                <w:tab w:val="left" w:pos="1134"/>
                <w:tab w:val="left" w:pos="1701"/>
                <w:tab w:val="left" w:pos="2268"/>
                <w:tab w:val="left" w:pos="2835"/>
              </w:tabs>
              <w:spacing w:after="120"/>
              <w:contextualSpacing/>
            </w:pPr>
            <w:r w:rsidRPr="00DA162E">
              <w:t>Identifying differences across each bureau’s platforms on capacity development activities.</w:t>
            </w:r>
          </w:p>
          <w:p w14:paraId="4ADA5D23" w14:textId="77777777" w:rsidR="00F81E0F" w:rsidRDefault="00F81E0F" w:rsidP="00F81E0F">
            <w:pPr>
              <w:numPr>
                <w:ilvl w:val="0"/>
                <w:numId w:val="27"/>
              </w:numPr>
              <w:tabs>
                <w:tab w:val="clear" w:pos="794"/>
                <w:tab w:val="clear" w:pos="1191"/>
                <w:tab w:val="clear" w:pos="1588"/>
                <w:tab w:val="clear" w:pos="1985"/>
                <w:tab w:val="left" w:pos="567"/>
                <w:tab w:val="left" w:pos="1134"/>
                <w:tab w:val="left" w:pos="1701"/>
                <w:tab w:val="left" w:pos="2268"/>
                <w:tab w:val="left" w:pos="2835"/>
              </w:tabs>
              <w:spacing w:after="120"/>
              <w:contextualSpacing/>
            </w:pPr>
            <w:r w:rsidRPr="00DA162E">
              <w:t xml:space="preserve">Identifying courses that could be featured on the ITU Academy platform. </w:t>
            </w:r>
          </w:p>
          <w:p w14:paraId="3633E2E7" w14:textId="77777777" w:rsidR="00F81E0F" w:rsidRDefault="00F81E0F" w:rsidP="00F81E0F">
            <w:pPr>
              <w:numPr>
                <w:ilvl w:val="0"/>
                <w:numId w:val="27"/>
              </w:numPr>
              <w:tabs>
                <w:tab w:val="clear" w:pos="794"/>
                <w:tab w:val="clear" w:pos="1191"/>
                <w:tab w:val="clear" w:pos="1588"/>
                <w:tab w:val="clear" w:pos="1985"/>
                <w:tab w:val="left" w:pos="567"/>
                <w:tab w:val="left" w:pos="1134"/>
                <w:tab w:val="left" w:pos="1701"/>
                <w:tab w:val="left" w:pos="2268"/>
                <w:tab w:val="left" w:pos="2835"/>
              </w:tabs>
              <w:spacing w:after="120"/>
              <w:contextualSpacing/>
            </w:pPr>
            <w:r w:rsidRPr="00DA162E">
              <w:lastRenderedPageBreak/>
              <w:t>Starting to develop a taxonomy of ITU capacity development terminologies.</w:t>
            </w:r>
          </w:p>
          <w:p w14:paraId="7F9493ED" w14:textId="77777777" w:rsidR="00F81E0F" w:rsidRDefault="00F81E0F" w:rsidP="00F81E0F">
            <w:pPr>
              <w:numPr>
                <w:ilvl w:val="0"/>
                <w:numId w:val="27"/>
              </w:numPr>
              <w:tabs>
                <w:tab w:val="clear" w:pos="794"/>
                <w:tab w:val="clear" w:pos="1191"/>
                <w:tab w:val="clear" w:pos="1588"/>
                <w:tab w:val="clear" w:pos="1985"/>
                <w:tab w:val="left" w:pos="567"/>
                <w:tab w:val="left" w:pos="1134"/>
                <w:tab w:val="left" w:pos="1701"/>
                <w:tab w:val="left" w:pos="2268"/>
                <w:tab w:val="left" w:pos="2835"/>
              </w:tabs>
              <w:spacing w:after="120"/>
              <w:contextualSpacing/>
            </w:pPr>
            <w:r w:rsidRPr="00DA162E">
              <w:t>Starting to develop guidelines on harmonizing processes, including content development, quality</w:t>
            </w:r>
            <w:r>
              <w:t xml:space="preserve"> </w:t>
            </w:r>
            <w:r w:rsidRPr="00DA162E">
              <w:t xml:space="preserve">assurance, planning and delivery of courses and workshops. </w:t>
            </w:r>
          </w:p>
          <w:p w14:paraId="01FBED67" w14:textId="77777777" w:rsidR="00F81E0F" w:rsidRDefault="00F81E0F" w:rsidP="00F81E0F">
            <w:pPr>
              <w:numPr>
                <w:ilvl w:val="0"/>
                <w:numId w:val="27"/>
              </w:numPr>
              <w:tabs>
                <w:tab w:val="clear" w:pos="794"/>
                <w:tab w:val="clear" w:pos="1191"/>
                <w:tab w:val="clear" w:pos="1588"/>
                <w:tab w:val="clear" w:pos="1985"/>
                <w:tab w:val="left" w:pos="567"/>
                <w:tab w:val="left" w:pos="1134"/>
                <w:tab w:val="left" w:pos="1701"/>
                <w:tab w:val="left" w:pos="2268"/>
                <w:tab w:val="left" w:pos="2835"/>
              </w:tabs>
              <w:spacing w:after="120"/>
              <w:contextualSpacing/>
            </w:pPr>
            <w:r w:rsidRPr="00DA162E">
              <w:t xml:space="preserve">Briefing of ITU </w:t>
            </w:r>
            <w:r>
              <w:t>Directors</w:t>
            </w:r>
            <w:r w:rsidRPr="00DA162E">
              <w:t xml:space="preserve"> on progress made.</w:t>
            </w:r>
          </w:p>
          <w:p w14:paraId="38CF3719" w14:textId="77777777" w:rsidR="00F81E0F" w:rsidRDefault="00F81E0F" w:rsidP="00F81E0F">
            <w:pPr>
              <w:numPr>
                <w:ilvl w:val="0"/>
                <w:numId w:val="27"/>
              </w:numPr>
              <w:tabs>
                <w:tab w:val="clear" w:pos="794"/>
                <w:tab w:val="clear" w:pos="1191"/>
                <w:tab w:val="clear" w:pos="1588"/>
                <w:tab w:val="clear" w:pos="1985"/>
                <w:tab w:val="left" w:pos="567"/>
                <w:tab w:val="left" w:pos="1134"/>
                <w:tab w:val="left" w:pos="1701"/>
                <w:tab w:val="left" w:pos="2268"/>
                <w:tab w:val="left" w:pos="2835"/>
              </w:tabs>
              <w:spacing w:after="120"/>
              <w:contextualSpacing/>
            </w:pPr>
            <w:r>
              <w:t>Preparing</w:t>
            </w:r>
            <w:r w:rsidRPr="00237813">
              <w:t xml:space="preserve"> consultative sessions with each bureau</w:t>
            </w:r>
            <w:r>
              <w:t>.</w:t>
            </w:r>
          </w:p>
          <w:p w14:paraId="00819A26" w14:textId="77777777" w:rsidR="00F81E0F" w:rsidRPr="00A874B4" w:rsidRDefault="00F81E0F" w:rsidP="00F81E0F"/>
          <w:p w14:paraId="070342AE" w14:textId="77777777" w:rsidR="00F81E0F" w:rsidRPr="00A874B4" w:rsidRDefault="00F81E0F" w:rsidP="00F81E0F">
            <w:pPr>
              <w:pStyle w:val="Heading1"/>
            </w:pPr>
            <w:r w:rsidRPr="00A874B4">
              <w:t xml:space="preserve">Next </w:t>
            </w:r>
            <w:r>
              <w:t>s</w:t>
            </w:r>
            <w:r w:rsidRPr="00A874B4">
              <w:t>teps</w:t>
            </w:r>
          </w:p>
          <w:p w14:paraId="2321BA65" w14:textId="77777777" w:rsidR="00F81E0F" w:rsidRDefault="00F81E0F" w:rsidP="00F81E0F">
            <w:r>
              <w:t>In 2023</w:t>
            </w:r>
            <w:r w:rsidRPr="00C15AEB">
              <w:t xml:space="preserve">, the </w:t>
            </w:r>
            <w:r>
              <w:t>T</w:t>
            </w:r>
            <w:r w:rsidRPr="00C15AEB">
              <w:t xml:space="preserve">ask </w:t>
            </w:r>
            <w:r>
              <w:t>F</w:t>
            </w:r>
            <w:r w:rsidRPr="00C15AEB">
              <w:t xml:space="preserve">orce plans </w:t>
            </w:r>
            <w:r>
              <w:t xml:space="preserve">the following: </w:t>
            </w:r>
          </w:p>
          <w:p w14:paraId="5FF887F9" w14:textId="77777777" w:rsidR="00F81E0F" w:rsidRPr="00B7701A" w:rsidRDefault="00F81E0F" w:rsidP="00F81E0F">
            <w:pPr>
              <w:pStyle w:val="ListParagraph"/>
              <w:numPr>
                <w:ilvl w:val="0"/>
                <w:numId w:val="26"/>
              </w:numPr>
              <w:tabs>
                <w:tab w:val="clear" w:pos="794"/>
                <w:tab w:val="clear" w:pos="1191"/>
                <w:tab w:val="clear" w:pos="1588"/>
                <w:tab w:val="clear" w:pos="1985"/>
              </w:tabs>
              <w:overflowPunct/>
              <w:autoSpaceDE/>
              <w:autoSpaceDN/>
              <w:adjustRightInd/>
              <w:spacing w:before="0" w:after="160" w:line="259" w:lineRule="auto"/>
              <w:ind w:left="357" w:hanging="357"/>
              <w:contextualSpacing w:val="0"/>
              <w:textAlignment w:val="auto"/>
            </w:pPr>
            <w:r w:rsidRPr="0092651F">
              <w:rPr>
                <w:b/>
                <w:bCs/>
              </w:rPr>
              <w:t>Information campaign</w:t>
            </w:r>
            <w:r w:rsidRPr="00B7701A">
              <w:t xml:space="preserve">: An information campaign will be launched to raise awareness about the work of the </w:t>
            </w:r>
            <w:r>
              <w:t>T</w:t>
            </w:r>
            <w:r w:rsidRPr="00B7701A">
              <w:t xml:space="preserve">ask </w:t>
            </w:r>
            <w:r>
              <w:t>F</w:t>
            </w:r>
            <w:r w:rsidRPr="00B7701A">
              <w:t>orce</w:t>
            </w:r>
            <w:r>
              <w:t xml:space="preserve"> among ITU staff</w:t>
            </w:r>
            <w:r w:rsidRPr="00B7701A">
              <w:t>. Information sessions will be organized for the bureaux and regional offices to share updates and engage stakeholders.</w:t>
            </w:r>
          </w:p>
          <w:p w14:paraId="5C854465" w14:textId="77777777" w:rsidR="00F81E0F" w:rsidRDefault="00F81E0F" w:rsidP="00F81E0F">
            <w:pPr>
              <w:pStyle w:val="ListParagraph"/>
              <w:numPr>
                <w:ilvl w:val="0"/>
                <w:numId w:val="26"/>
              </w:numPr>
              <w:tabs>
                <w:tab w:val="clear" w:pos="794"/>
                <w:tab w:val="clear" w:pos="1191"/>
                <w:tab w:val="clear" w:pos="1588"/>
                <w:tab w:val="clear" w:pos="1985"/>
              </w:tabs>
              <w:overflowPunct/>
              <w:autoSpaceDE/>
              <w:autoSpaceDN/>
              <w:adjustRightInd/>
              <w:spacing w:before="0" w:after="160" w:line="259" w:lineRule="auto"/>
              <w:ind w:left="357" w:hanging="357"/>
              <w:contextualSpacing w:val="0"/>
              <w:textAlignment w:val="auto"/>
            </w:pPr>
            <w:r w:rsidRPr="0092651F">
              <w:rPr>
                <w:b/>
                <w:bCs/>
              </w:rPr>
              <w:t>Harmonization</w:t>
            </w:r>
            <w:r w:rsidRPr="00B7701A">
              <w:t xml:space="preserve">: Guidelines will be </w:t>
            </w:r>
            <w:r>
              <w:t>finalized</w:t>
            </w:r>
            <w:r w:rsidRPr="00B7701A">
              <w:t xml:space="preserve"> for harmonizing processes related to capacity development, including content development, quality assurance, review and upgrade of content, as well as planning and delivery of courses and workshops. The guidelines will be shared with bureaux and regional offices for feedback and adjustments will be made accordingly.</w:t>
            </w:r>
            <w:r>
              <w:t xml:space="preserve"> The guidelines will eventually be consolidated into an ITU-wide Manual on capacity development. This Manual will help improve the quality of ITU’s capacity development and training activities for better impact. </w:t>
            </w:r>
          </w:p>
          <w:p w14:paraId="7F9DAC42" w14:textId="77777777" w:rsidR="00F81E0F" w:rsidRDefault="00F81E0F" w:rsidP="00F81E0F">
            <w:pPr>
              <w:pStyle w:val="ListParagraph"/>
              <w:numPr>
                <w:ilvl w:val="0"/>
                <w:numId w:val="26"/>
              </w:numPr>
              <w:tabs>
                <w:tab w:val="clear" w:pos="794"/>
                <w:tab w:val="clear" w:pos="1191"/>
                <w:tab w:val="clear" w:pos="1588"/>
                <w:tab w:val="clear" w:pos="1985"/>
              </w:tabs>
              <w:overflowPunct/>
              <w:autoSpaceDE/>
              <w:autoSpaceDN/>
              <w:adjustRightInd/>
              <w:spacing w:before="0" w:after="160" w:line="259" w:lineRule="auto"/>
              <w:ind w:left="357" w:hanging="357"/>
              <w:contextualSpacing w:val="0"/>
              <w:textAlignment w:val="auto"/>
            </w:pPr>
            <w:r w:rsidRPr="0092651F">
              <w:rPr>
                <w:b/>
                <w:bCs/>
              </w:rPr>
              <w:t>Links with ITU Academy</w:t>
            </w:r>
            <w:r w:rsidRPr="00B7701A">
              <w:t xml:space="preserve">: A </w:t>
            </w:r>
            <w:r>
              <w:t>dedicated space</w:t>
            </w:r>
            <w:r w:rsidRPr="00B7701A">
              <w:t xml:space="preserve"> will be developed to enable the inclusion of courses from all bureaux in the ITU Academy platform. Capacity development activities that could be integrated or linked to the ITU Academy will be identified, and integration exercises with bureaux and regional offices will be conducted. A final proposal will be presented based on the outcomes of these exercises.</w:t>
            </w:r>
          </w:p>
          <w:p w14:paraId="0B60681F" w14:textId="77777777" w:rsidR="00F81E0F" w:rsidRDefault="00F81E0F" w:rsidP="00411C49">
            <w:pPr>
              <w:pStyle w:val="Reasons"/>
            </w:pPr>
          </w:p>
          <w:p w14:paraId="0C8722D7" w14:textId="77777777" w:rsidR="00F81E0F" w:rsidRDefault="00F81E0F">
            <w:pPr>
              <w:jc w:val="center"/>
            </w:pPr>
            <w:r>
              <w:t>______________</w:t>
            </w:r>
          </w:p>
          <w:p w14:paraId="5EE64A73" w14:textId="77777777" w:rsidR="00F81E0F" w:rsidRPr="0007432E" w:rsidRDefault="00F81E0F" w:rsidP="00F81E0F">
            <w:pPr>
              <w:rPr>
                <w:lang w:val="en-US"/>
              </w:rPr>
            </w:pPr>
          </w:p>
          <w:p w14:paraId="66B9ED36" w14:textId="195C405F" w:rsidR="00F81E0F" w:rsidRPr="00F81E0F" w:rsidRDefault="00F81E0F" w:rsidP="00F81E0F">
            <w:pPr>
              <w:rPr>
                <w:lang w:val="en-US"/>
              </w:rPr>
            </w:pPr>
          </w:p>
        </w:tc>
      </w:tr>
      <w:bookmarkEnd w:id="4"/>
    </w:tbl>
    <w:p w14:paraId="138ED543" w14:textId="77777777" w:rsidR="00F81E0F" w:rsidRDefault="00F81E0F" w:rsidP="00F81E0F"/>
    <w:sectPr w:rsidR="00F81E0F" w:rsidSect="008C0101">
      <w:headerReference w:type="default" r:id="rId11"/>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57908" w14:textId="77777777" w:rsidR="00A14F3D" w:rsidRDefault="00A14F3D">
      <w:r>
        <w:separator/>
      </w:r>
    </w:p>
  </w:endnote>
  <w:endnote w:type="continuationSeparator" w:id="0">
    <w:p w14:paraId="274417D2" w14:textId="77777777" w:rsidR="00A14F3D" w:rsidRDefault="00A14F3D">
      <w:r>
        <w:continuationSeparator/>
      </w:r>
    </w:p>
  </w:endnote>
  <w:endnote w:type="continuationNotice" w:id="1">
    <w:p w14:paraId="4B567B62" w14:textId="77777777" w:rsidR="00A14F3D" w:rsidRDefault="00A14F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066F2" w14:textId="77777777" w:rsidR="00A14F3D" w:rsidRDefault="00A14F3D">
      <w:r>
        <w:t>____________________</w:t>
      </w:r>
    </w:p>
  </w:footnote>
  <w:footnote w:type="continuationSeparator" w:id="0">
    <w:p w14:paraId="097BDD40" w14:textId="77777777" w:rsidR="00A14F3D" w:rsidRDefault="00A14F3D">
      <w:r>
        <w:continuationSeparator/>
      </w:r>
    </w:p>
  </w:footnote>
  <w:footnote w:type="continuationNotice" w:id="1">
    <w:p w14:paraId="085F3B7B" w14:textId="77777777" w:rsidR="00A14F3D" w:rsidRDefault="00A14F3D">
      <w:pPr>
        <w:spacing w:before="0"/>
      </w:pPr>
    </w:p>
  </w:footnote>
  <w:footnote w:id="2">
    <w:p w14:paraId="43C2FBF6" w14:textId="77777777" w:rsidR="00F81E0F" w:rsidRPr="003952EE" w:rsidRDefault="00F81E0F" w:rsidP="00F81E0F">
      <w:pPr>
        <w:pStyle w:val="FootnoteText"/>
      </w:pPr>
      <w:r>
        <w:rPr>
          <w:rStyle w:val="FootnoteReference"/>
        </w:rPr>
        <w:footnoteRef/>
      </w:r>
      <w:r>
        <w:t xml:space="preserve"> </w:t>
      </w:r>
      <w:r w:rsidRPr="003952EE">
        <w:t>The ITU Academy is the main online gateway to ITU’s capacity development activities, offering over 150 courses online and in-person annually, training over 23,000 ICT professionals and policymakers since 2018, with nearly 70% of participants from developing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309319"/>
      <w:docPartObj>
        <w:docPartGallery w:val="Page Numbers (Top of Page)"/>
        <w:docPartUnique/>
      </w:docPartObj>
    </w:sdtPr>
    <w:sdtEndPr>
      <w:rPr>
        <w:noProof/>
      </w:rPr>
    </w:sdtEndPr>
    <w:sdtContent>
      <w:p w14:paraId="237B8A26" w14:textId="32F06377" w:rsidR="00A87B3F" w:rsidRDefault="00A87B3F">
        <w:pPr>
          <w:pStyle w:val="Header"/>
        </w:pPr>
        <w:r>
          <w:fldChar w:fldCharType="begin"/>
        </w:r>
        <w:r>
          <w:instrText xml:space="preserve"> PAGE   \* MERGEFORMAT </w:instrText>
        </w:r>
        <w:r>
          <w:fldChar w:fldCharType="separate"/>
        </w:r>
        <w:r>
          <w:rPr>
            <w:noProof/>
          </w:rPr>
          <w:t>2</w:t>
        </w:r>
        <w:r>
          <w:rPr>
            <w:noProof/>
          </w:rPr>
          <w:fldChar w:fldCharType="end"/>
        </w:r>
      </w:p>
    </w:sdtContent>
  </w:sdt>
  <w:p w14:paraId="5372B161" w14:textId="2CD74E18" w:rsidR="00A87B3F" w:rsidRDefault="00A87B3F">
    <w:pPr>
      <w:pStyle w:val="Header"/>
    </w:pPr>
    <w:r>
      <w:t>RAG/INFO/</w:t>
    </w:r>
    <w:r w:rsidR="00F81E0F">
      <w:t>25</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AB1D09"/>
    <w:multiLevelType w:val="hybridMultilevel"/>
    <w:tmpl w:val="165AB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E6B77"/>
    <w:multiLevelType w:val="hybridMultilevel"/>
    <w:tmpl w:val="10EE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A1E37"/>
    <w:multiLevelType w:val="hybridMultilevel"/>
    <w:tmpl w:val="D076D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B6A4B"/>
    <w:multiLevelType w:val="hybridMultilevel"/>
    <w:tmpl w:val="2416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67209"/>
    <w:multiLevelType w:val="hybridMultilevel"/>
    <w:tmpl w:val="2F3C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42128"/>
    <w:multiLevelType w:val="hybridMultilevel"/>
    <w:tmpl w:val="7FE8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C156D4"/>
    <w:multiLevelType w:val="hybridMultilevel"/>
    <w:tmpl w:val="8B8E7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D638F"/>
    <w:multiLevelType w:val="hybridMultilevel"/>
    <w:tmpl w:val="80663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36604E"/>
    <w:multiLevelType w:val="hybridMultilevel"/>
    <w:tmpl w:val="BDF8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77D7B"/>
    <w:multiLevelType w:val="hybridMultilevel"/>
    <w:tmpl w:val="75C4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5A3495"/>
    <w:multiLevelType w:val="hybridMultilevel"/>
    <w:tmpl w:val="F3968666"/>
    <w:lvl w:ilvl="0" w:tplc="A926A0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5E1233"/>
    <w:multiLevelType w:val="hybridMultilevel"/>
    <w:tmpl w:val="DE8E94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176674"/>
    <w:multiLevelType w:val="hybridMultilevel"/>
    <w:tmpl w:val="7F80B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0A28A1"/>
    <w:multiLevelType w:val="hybridMultilevel"/>
    <w:tmpl w:val="B754B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B60E33"/>
    <w:multiLevelType w:val="hybridMultilevel"/>
    <w:tmpl w:val="F08481E6"/>
    <w:lvl w:ilvl="0" w:tplc="A926A0D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D7E5835"/>
    <w:multiLevelType w:val="hybridMultilevel"/>
    <w:tmpl w:val="46AA3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C103B3"/>
    <w:multiLevelType w:val="hybridMultilevel"/>
    <w:tmpl w:val="4F9C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B363E0"/>
    <w:multiLevelType w:val="hybridMultilevel"/>
    <w:tmpl w:val="994E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8405519">
    <w:abstractNumId w:val="9"/>
  </w:num>
  <w:num w:numId="2" w16cid:durableId="1339234294">
    <w:abstractNumId w:val="7"/>
  </w:num>
  <w:num w:numId="3" w16cid:durableId="1222862547">
    <w:abstractNumId w:val="6"/>
  </w:num>
  <w:num w:numId="4" w16cid:durableId="1410806380">
    <w:abstractNumId w:val="5"/>
  </w:num>
  <w:num w:numId="5" w16cid:durableId="1922786756">
    <w:abstractNumId w:val="4"/>
  </w:num>
  <w:num w:numId="6" w16cid:durableId="1677609620">
    <w:abstractNumId w:val="8"/>
  </w:num>
  <w:num w:numId="7" w16cid:durableId="1168835339">
    <w:abstractNumId w:val="3"/>
  </w:num>
  <w:num w:numId="8" w16cid:durableId="1298336044">
    <w:abstractNumId w:val="2"/>
  </w:num>
  <w:num w:numId="9" w16cid:durableId="1457024660">
    <w:abstractNumId w:val="1"/>
  </w:num>
  <w:num w:numId="10" w16cid:durableId="1871412969">
    <w:abstractNumId w:val="0"/>
  </w:num>
  <w:num w:numId="11" w16cid:durableId="416901448">
    <w:abstractNumId w:val="11"/>
  </w:num>
  <w:num w:numId="12" w16cid:durableId="307051059">
    <w:abstractNumId w:val="16"/>
  </w:num>
  <w:num w:numId="13" w16cid:durableId="315884173">
    <w:abstractNumId w:val="12"/>
  </w:num>
  <w:num w:numId="14" w16cid:durableId="88158313">
    <w:abstractNumId w:val="10"/>
  </w:num>
  <w:num w:numId="15" w16cid:durableId="1019165902">
    <w:abstractNumId w:val="13"/>
  </w:num>
  <w:num w:numId="16" w16cid:durableId="1354646256">
    <w:abstractNumId w:val="26"/>
  </w:num>
  <w:num w:numId="17" w16cid:durableId="2001885862">
    <w:abstractNumId w:val="27"/>
  </w:num>
  <w:num w:numId="18" w16cid:durableId="1765152421">
    <w:abstractNumId w:val="14"/>
  </w:num>
  <w:num w:numId="19" w16cid:durableId="1405447399">
    <w:abstractNumId w:val="15"/>
  </w:num>
  <w:num w:numId="20" w16cid:durableId="1259947388">
    <w:abstractNumId w:val="23"/>
  </w:num>
  <w:num w:numId="21" w16cid:durableId="1310205758">
    <w:abstractNumId w:val="18"/>
  </w:num>
  <w:num w:numId="22" w16cid:durableId="1526946235">
    <w:abstractNumId w:val="22"/>
  </w:num>
  <w:num w:numId="23" w16cid:durableId="333189678">
    <w:abstractNumId w:val="20"/>
  </w:num>
  <w:num w:numId="24" w16cid:durableId="576280241">
    <w:abstractNumId w:val="17"/>
  </w:num>
  <w:num w:numId="25" w16cid:durableId="1938559707">
    <w:abstractNumId w:val="24"/>
  </w:num>
  <w:num w:numId="26" w16cid:durableId="436489769">
    <w:abstractNumId w:val="21"/>
  </w:num>
  <w:num w:numId="27" w16cid:durableId="883910069">
    <w:abstractNumId w:val="19"/>
  </w:num>
  <w:num w:numId="28" w16cid:durableId="6923459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xMDczMDU0MDE1tDRR0lEKTi0uzszPAykwrgUAZkIlfiwAAAA="/>
  </w:docVars>
  <w:rsids>
    <w:rsidRoot w:val="008A769C"/>
    <w:rsid w:val="00001EF0"/>
    <w:rsid w:val="000164FB"/>
    <w:rsid w:val="00017585"/>
    <w:rsid w:val="00022B24"/>
    <w:rsid w:val="0002393B"/>
    <w:rsid w:val="0003426D"/>
    <w:rsid w:val="00035B88"/>
    <w:rsid w:val="0005115C"/>
    <w:rsid w:val="00053E90"/>
    <w:rsid w:val="00057F24"/>
    <w:rsid w:val="00067BCB"/>
    <w:rsid w:val="000707C4"/>
    <w:rsid w:val="000850F8"/>
    <w:rsid w:val="00086F74"/>
    <w:rsid w:val="00087F60"/>
    <w:rsid w:val="00093C73"/>
    <w:rsid w:val="000A529B"/>
    <w:rsid w:val="000C0E81"/>
    <w:rsid w:val="000C4497"/>
    <w:rsid w:val="000C7A53"/>
    <w:rsid w:val="000E7423"/>
    <w:rsid w:val="000F2431"/>
    <w:rsid w:val="000F6D7F"/>
    <w:rsid w:val="00102042"/>
    <w:rsid w:val="00107F34"/>
    <w:rsid w:val="001215F8"/>
    <w:rsid w:val="001362FB"/>
    <w:rsid w:val="001377D6"/>
    <w:rsid w:val="00162639"/>
    <w:rsid w:val="001632FD"/>
    <w:rsid w:val="0016689A"/>
    <w:rsid w:val="00174606"/>
    <w:rsid w:val="00177095"/>
    <w:rsid w:val="001866FE"/>
    <w:rsid w:val="001903F7"/>
    <w:rsid w:val="00193E29"/>
    <w:rsid w:val="00194F24"/>
    <w:rsid w:val="001A15BD"/>
    <w:rsid w:val="001A3195"/>
    <w:rsid w:val="001B2B18"/>
    <w:rsid w:val="001B3BA9"/>
    <w:rsid w:val="001C481D"/>
    <w:rsid w:val="001C7F7B"/>
    <w:rsid w:val="001D3FC7"/>
    <w:rsid w:val="001E41A0"/>
    <w:rsid w:val="002041E6"/>
    <w:rsid w:val="00232573"/>
    <w:rsid w:val="00237BC9"/>
    <w:rsid w:val="00237E22"/>
    <w:rsid w:val="00244074"/>
    <w:rsid w:val="0025325E"/>
    <w:rsid w:val="002553E6"/>
    <w:rsid w:val="002774E4"/>
    <w:rsid w:val="00292849"/>
    <w:rsid w:val="002D645B"/>
    <w:rsid w:val="002E0BB1"/>
    <w:rsid w:val="002E1056"/>
    <w:rsid w:val="002F4DA3"/>
    <w:rsid w:val="002F6B1E"/>
    <w:rsid w:val="00304213"/>
    <w:rsid w:val="00316571"/>
    <w:rsid w:val="003202B2"/>
    <w:rsid w:val="00322469"/>
    <w:rsid w:val="00323894"/>
    <w:rsid w:val="00336F54"/>
    <w:rsid w:val="00352C55"/>
    <w:rsid w:val="00366A33"/>
    <w:rsid w:val="00372CB6"/>
    <w:rsid w:val="00375DCE"/>
    <w:rsid w:val="0038499B"/>
    <w:rsid w:val="0039275B"/>
    <w:rsid w:val="0039430C"/>
    <w:rsid w:val="00395E65"/>
    <w:rsid w:val="003A65A6"/>
    <w:rsid w:val="003B3330"/>
    <w:rsid w:val="003B6610"/>
    <w:rsid w:val="003C429A"/>
    <w:rsid w:val="003D068D"/>
    <w:rsid w:val="003D4694"/>
    <w:rsid w:val="003E2CE2"/>
    <w:rsid w:val="00403B13"/>
    <w:rsid w:val="00407776"/>
    <w:rsid w:val="00420F57"/>
    <w:rsid w:val="00423220"/>
    <w:rsid w:val="00424E87"/>
    <w:rsid w:val="0044087A"/>
    <w:rsid w:val="004503C9"/>
    <w:rsid w:val="0045107B"/>
    <w:rsid w:val="004574F2"/>
    <w:rsid w:val="00474BA4"/>
    <w:rsid w:val="00481551"/>
    <w:rsid w:val="00494401"/>
    <w:rsid w:val="004A28B6"/>
    <w:rsid w:val="004B0006"/>
    <w:rsid w:val="004B0282"/>
    <w:rsid w:val="004B3B4E"/>
    <w:rsid w:val="004B42F2"/>
    <w:rsid w:val="004C1CB8"/>
    <w:rsid w:val="004C4586"/>
    <w:rsid w:val="004D74BE"/>
    <w:rsid w:val="004D797D"/>
    <w:rsid w:val="004E0F07"/>
    <w:rsid w:val="004E1DB8"/>
    <w:rsid w:val="004F0848"/>
    <w:rsid w:val="004F3F0F"/>
    <w:rsid w:val="0050398C"/>
    <w:rsid w:val="00507DA3"/>
    <w:rsid w:val="0051602D"/>
    <w:rsid w:val="0051782D"/>
    <w:rsid w:val="005225FE"/>
    <w:rsid w:val="00526B8C"/>
    <w:rsid w:val="0052797B"/>
    <w:rsid w:val="0053301F"/>
    <w:rsid w:val="00540871"/>
    <w:rsid w:val="00562912"/>
    <w:rsid w:val="005635EB"/>
    <w:rsid w:val="00585745"/>
    <w:rsid w:val="0058707F"/>
    <w:rsid w:val="00597657"/>
    <w:rsid w:val="005A2374"/>
    <w:rsid w:val="005A38EA"/>
    <w:rsid w:val="005A719B"/>
    <w:rsid w:val="005B2C58"/>
    <w:rsid w:val="005D2F28"/>
    <w:rsid w:val="005D49B5"/>
    <w:rsid w:val="005D73F0"/>
    <w:rsid w:val="005E64C6"/>
    <w:rsid w:val="00602213"/>
    <w:rsid w:val="0060374B"/>
    <w:rsid w:val="0062005C"/>
    <w:rsid w:val="00621FE9"/>
    <w:rsid w:val="00626779"/>
    <w:rsid w:val="00640EE0"/>
    <w:rsid w:val="0065118A"/>
    <w:rsid w:val="00652BC3"/>
    <w:rsid w:val="00656189"/>
    <w:rsid w:val="00670BA0"/>
    <w:rsid w:val="006724F3"/>
    <w:rsid w:val="00673BAA"/>
    <w:rsid w:val="0069769B"/>
    <w:rsid w:val="006B4CFB"/>
    <w:rsid w:val="006F6084"/>
    <w:rsid w:val="00723C10"/>
    <w:rsid w:val="00734DBE"/>
    <w:rsid w:val="00736CC5"/>
    <w:rsid w:val="00746923"/>
    <w:rsid w:val="007633AE"/>
    <w:rsid w:val="00763E50"/>
    <w:rsid w:val="00770028"/>
    <w:rsid w:val="00776F87"/>
    <w:rsid w:val="0078157C"/>
    <w:rsid w:val="007934C9"/>
    <w:rsid w:val="00794F60"/>
    <w:rsid w:val="007B0F61"/>
    <w:rsid w:val="007B1419"/>
    <w:rsid w:val="007C3B21"/>
    <w:rsid w:val="007D17B5"/>
    <w:rsid w:val="007F45BC"/>
    <w:rsid w:val="007F55BA"/>
    <w:rsid w:val="007F5E0E"/>
    <w:rsid w:val="00806E63"/>
    <w:rsid w:val="0081028D"/>
    <w:rsid w:val="0083362D"/>
    <w:rsid w:val="00842616"/>
    <w:rsid w:val="008716A7"/>
    <w:rsid w:val="00871B12"/>
    <w:rsid w:val="00885BC5"/>
    <w:rsid w:val="00886B22"/>
    <w:rsid w:val="00897D57"/>
    <w:rsid w:val="008A769C"/>
    <w:rsid w:val="008B1720"/>
    <w:rsid w:val="008B3F50"/>
    <w:rsid w:val="008C0101"/>
    <w:rsid w:val="008F2CD1"/>
    <w:rsid w:val="009015DB"/>
    <w:rsid w:val="00906598"/>
    <w:rsid w:val="00923CE7"/>
    <w:rsid w:val="009274DD"/>
    <w:rsid w:val="00935A22"/>
    <w:rsid w:val="00947ECE"/>
    <w:rsid w:val="009530CF"/>
    <w:rsid w:val="00953E7A"/>
    <w:rsid w:val="0095426A"/>
    <w:rsid w:val="00961409"/>
    <w:rsid w:val="00971BF2"/>
    <w:rsid w:val="00975513"/>
    <w:rsid w:val="00996451"/>
    <w:rsid w:val="00997515"/>
    <w:rsid w:val="009D27EC"/>
    <w:rsid w:val="009D28B7"/>
    <w:rsid w:val="009D3A41"/>
    <w:rsid w:val="009D485A"/>
    <w:rsid w:val="009D58A1"/>
    <w:rsid w:val="009E7427"/>
    <w:rsid w:val="009E77F0"/>
    <w:rsid w:val="009F51F9"/>
    <w:rsid w:val="00A1021C"/>
    <w:rsid w:val="00A14F3D"/>
    <w:rsid w:val="00A16CB2"/>
    <w:rsid w:val="00A3034A"/>
    <w:rsid w:val="00A31DF3"/>
    <w:rsid w:val="00A332E5"/>
    <w:rsid w:val="00A41CC4"/>
    <w:rsid w:val="00A45956"/>
    <w:rsid w:val="00A47930"/>
    <w:rsid w:val="00A56067"/>
    <w:rsid w:val="00A87B3F"/>
    <w:rsid w:val="00A9152E"/>
    <w:rsid w:val="00A97A27"/>
    <w:rsid w:val="00AA4ADF"/>
    <w:rsid w:val="00AB4D12"/>
    <w:rsid w:val="00AC4B2F"/>
    <w:rsid w:val="00AD4EF7"/>
    <w:rsid w:val="00AF2F53"/>
    <w:rsid w:val="00AF7CE7"/>
    <w:rsid w:val="00B01155"/>
    <w:rsid w:val="00B0489A"/>
    <w:rsid w:val="00B10197"/>
    <w:rsid w:val="00B112B1"/>
    <w:rsid w:val="00B14BFA"/>
    <w:rsid w:val="00B207A1"/>
    <w:rsid w:val="00B25183"/>
    <w:rsid w:val="00B31F6C"/>
    <w:rsid w:val="00B35BE4"/>
    <w:rsid w:val="00B40556"/>
    <w:rsid w:val="00B409FB"/>
    <w:rsid w:val="00B43211"/>
    <w:rsid w:val="00B466E6"/>
    <w:rsid w:val="00B477D5"/>
    <w:rsid w:val="00B52992"/>
    <w:rsid w:val="00B665C8"/>
    <w:rsid w:val="00B670EA"/>
    <w:rsid w:val="00B70E14"/>
    <w:rsid w:val="00B815F1"/>
    <w:rsid w:val="00B870DE"/>
    <w:rsid w:val="00BA5FAA"/>
    <w:rsid w:val="00BB7927"/>
    <w:rsid w:val="00BC1F1F"/>
    <w:rsid w:val="00BC5038"/>
    <w:rsid w:val="00BC61BD"/>
    <w:rsid w:val="00C02C21"/>
    <w:rsid w:val="00C04367"/>
    <w:rsid w:val="00C126C1"/>
    <w:rsid w:val="00C17B7D"/>
    <w:rsid w:val="00C20C3E"/>
    <w:rsid w:val="00C2188B"/>
    <w:rsid w:val="00C249EA"/>
    <w:rsid w:val="00C24CC6"/>
    <w:rsid w:val="00C3077A"/>
    <w:rsid w:val="00C3090E"/>
    <w:rsid w:val="00C322C4"/>
    <w:rsid w:val="00C37A38"/>
    <w:rsid w:val="00C402CA"/>
    <w:rsid w:val="00C432F4"/>
    <w:rsid w:val="00C4381F"/>
    <w:rsid w:val="00C445F9"/>
    <w:rsid w:val="00C77D6B"/>
    <w:rsid w:val="00C9263B"/>
    <w:rsid w:val="00CA13CA"/>
    <w:rsid w:val="00CB0452"/>
    <w:rsid w:val="00CB1E08"/>
    <w:rsid w:val="00CB21FD"/>
    <w:rsid w:val="00CC1D49"/>
    <w:rsid w:val="00CC24B9"/>
    <w:rsid w:val="00CD4D80"/>
    <w:rsid w:val="00CE1135"/>
    <w:rsid w:val="00CE366B"/>
    <w:rsid w:val="00CF7532"/>
    <w:rsid w:val="00D061AF"/>
    <w:rsid w:val="00D146AA"/>
    <w:rsid w:val="00D211BC"/>
    <w:rsid w:val="00D2406D"/>
    <w:rsid w:val="00D32383"/>
    <w:rsid w:val="00D425CC"/>
    <w:rsid w:val="00D43E28"/>
    <w:rsid w:val="00D45E4B"/>
    <w:rsid w:val="00D9048F"/>
    <w:rsid w:val="00DA4183"/>
    <w:rsid w:val="00DB0550"/>
    <w:rsid w:val="00DC3B29"/>
    <w:rsid w:val="00DC6D0C"/>
    <w:rsid w:val="00DD2A02"/>
    <w:rsid w:val="00DD3BF8"/>
    <w:rsid w:val="00DF46EF"/>
    <w:rsid w:val="00E0652A"/>
    <w:rsid w:val="00E10015"/>
    <w:rsid w:val="00E1199F"/>
    <w:rsid w:val="00E17EBF"/>
    <w:rsid w:val="00E20CA8"/>
    <w:rsid w:val="00E337FF"/>
    <w:rsid w:val="00E519BE"/>
    <w:rsid w:val="00E54DCD"/>
    <w:rsid w:val="00E60C27"/>
    <w:rsid w:val="00E829BB"/>
    <w:rsid w:val="00E83173"/>
    <w:rsid w:val="00E87A8F"/>
    <w:rsid w:val="00EA75B9"/>
    <w:rsid w:val="00EB6DE1"/>
    <w:rsid w:val="00EC0BE3"/>
    <w:rsid w:val="00EC1374"/>
    <w:rsid w:val="00EC5326"/>
    <w:rsid w:val="00EC6DBE"/>
    <w:rsid w:val="00EE3273"/>
    <w:rsid w:val="00F05814"/>
    <w:rsid w:val="00F1388B"/>
    <w:rsid w:val="00F176DA"/>
    <w:rsid w:val="00F41C3F"/>
    <w:rsid w:val="00F62A61"/>
    <w:rsid w:val="00F64D6C"/>
    <w:rsid w:val="00F71666"/>
    <w:rsid w:val="00F749FF"/>
    <w:rsid w:val="00F81E0F"/>
    <w:rsid w:val="00FB684B"/>
    <w:rsid w:val="00FC0B0E"/>
    <w:rsid w:val="00FC1E29"/>
    <w:rsid w:val="00FE3DCB"/>
    <w:rsid w:val="00FE56BC"/>
    <w:rsid w:val="00FF1290"/>
    <w:rsid w:val="00FF4E63"/>
    <w:rsid w:val="4733C4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573CA"/>
  <w15:docId w15:val="{3DD7D45E-0D13-4649-AED6-BDD002C6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57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uiPriority w:val="99"/>
    <w:rsid w:val="00CD4D80"/>
    <w:pPr>
      <w:keepLines/>
      <w:tabs>
        <w:tab w:val="left" w:pos="255"/>
      </w:tabs>
      <w:ind w:left="255" w:hanging="255"/>
    </w:pPr>
  </w:style>
  <w:style w:type="character" w:customStyle="1" w:styleId="FootnoteTextChar">
    <w:name w:val="Footnote Text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ListParagraph">
    <w:name w:val="List Paragraph"/>
    <w:basedOn w:val="Normal"/>
    <w:uiPriority w:val="34"/>
    <w:qFormat/>
    <w:rsid w:val="008A769C"/>
    <w:pPr>
      <w:ind w:left="720"/>
      <w:contextualSpacing/>
    </w:pPr>
  </w:style>
  <w:style w:type="table" w:styleId="TableGrid">
    <w:name w:val="Table Grid"/>
    <w:basedOn w:val="TableNormal"/>
    <w:rsid w:val="008A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0374B"/>
    <w:rPr>
      <w:color w:val="0000FF" w:themeColor="hyperlink"/>
      <w:u w:val="single"/>
    </w:rPr>
  </w:style>
  <w:style w:type="character" w:styleId="UnresolvedMention">
    <w:name w:val="Unresolved Mention"/>
    <w:basedOn w:val="DefaultParagraphFont"/>
    <w:uiPriority w:val="99"/>
    <w:semiHidden/>
    <w:unhideWhenUsed/>
    <w:rsid w:val="0060374B"/>
    <w:rPr>
      <w:color w:val="605E5C"/>
      <w:shd w:val="clear" w:color="auto" w:fill="E1DFDD"/>
    </w:rPr>
  </w:style>
  <w:style w:type="paragraph" w:customStyle="1" w:styleId="Reasons">
    <w:name w:val="Reasons"/>
    <w:basedOn w:val="Normal"/>
    <w:qFormat/>
    <w:rsid w:val="00AD4EF7"/>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semiHidden/>
    <w:unhideWhenUsed/>
    <w:rsid w:val="00EC6DBE"/>
    <w:rPr>
      <w:sz w:val="16"/>
      <w:szCs w:val="16"/>
    </w:rPr>
  </w:style>
  <w:style w:type="paragraph" w:styleId="CommentText">
    <w:name w:val="annotation text"/>
    <w:basedOn w:val="Normal"/>
    <w:link w:val="CommentTextChar"/>
    <w:semiHidden/>
    <w:unhideWhenUsed/>
    <w:rsid w:val="00EC6DBE"/>
    <w:rPr>
      <w:sz w:val="20"/>
    </w:rPr>
  </w:style>
  <w:style w:type="character" w:customStyle="1" w:styleId="CommentTextChar">
    <w:name w:val="Comment Text Char"/>
    <w:basedOn w:val="DefaultParagraphFont"/>
    <w:link w:val="CommentText"/>
    <w:semiHidden/>
    <w:rsid w:val="00EC6DB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C6DBE"/>
    <w:rPr>
      <w:b/>
      <w:bCs/>
    </w:rPr>
  </w:style>
  <w:style w:type="character" w:customStyle="1" w:styleId="CommentSubjectChar">
    <w:name w:val="Comment Subject Char"/>
    <w:basedOn w:val="CommentTextChar"/>
    <w:link w:val="CommentSubject"/>
    <w:semiHidden/>
    <w:rsid w:val="00EC6DBE"/>
    <w:rPr>
      <w:rFonts w:ascii="Times New Roman" w:hAnsi="Times New Roman"/>
      <w:b/>
      <w:bCs/>
      <w:lang w:val="en-GB" w:eastAsia="en-US"/>
    </w:rPr>
  </w:style>
  <w:style w:type="paragraph" w:styleId="Revision">
    <w:name w:val="Revision"/>
    <w:hidden/>
    <w:uiPriority w:val="99"/>
    <w:semiHidden/>
    <w:rsid w:val="00EC6DBE"/>
    <w:rPr>
      <w:rFonts w:ascii="Times New Roman" w:hAnsi="Times New Roman"/>
      <w:sz w:val="24"/>
      <w:lang w:val="en-GB" w:eastAsia="en-US"/>
    </w:rPr>
  </w:style>
  <w:style w:type="paragraph" w:styleId="BalloonText">
    <w:name w:val="Balloon Text"/>
    <w:basedOn w:val="Normal"/>
    <w:link w:val="BalloonTextChar"/>
    <w:semiHidden/>
    <w:unhideWhenUsed/>
    <w:rsid w:val="00EC6DB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C6DBE"/>
    <w:rPr>
      <w:rFonts w:ascii="Segoe UI" w:hAnsi="Segoe UI" w:cs="Segoe UI"/>
      <w:sz w:val="18"/>
      <w:szCs w:val="18"/>
      <w:lang w:val="en-GB" w:eastAsia="en-US"/>
    </w:rPr>
  </w:style>
  <w:style w:type="character" w:customStyle="1" w:styleId="Heading1Char">
    <w:name w:val="Heading 1 Char"/>
    <w:basedOn w:val="DefaultParagraphFont"/>
    <w:link w:val="Heading1"/>
    <w:rsid w:val="00C37A38"/>
    <w:rPr>
      <w:rFonts w:ascii="Times New Roman" w:hAnsi="Times New Roman"/>
      <w:b/>
      <w:sz w:val="24"/>
      <w:lang w:val="en-GB" w:eastAsia="en-US"/>
    </w:rPr>
  </w:style>
  <w:style w:type="character" w:styleId="FollowedHyperlink">
    <w:name w:val="FollowedHyperlink"/>
    <w:basedOn w:val="DefaultParagraphFont"/>
    <w:semiHidden/>
    <w:unhideWhenUsed/>
    <w:rsid w:val="003238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24062">
      <w:bodyDiv w:val="1"/>
      <w:marLeft w:val="0"/>
      <w:marRight w:val="0"/>
      <w:marTop w:val="0"/>
      <w:marBottom w:val="0"/>
      <w:divBdr>
        <w:top w:val="none" w:sz="0" w:space="0" w:color="auto"/>
        <w:left w:val="none" w:sz="0" w:space="0" w:color="auto"/>
        <w:bottom w:val="none" w:sz="0" w:space="0" w:color="auto"/>
        <w:right w:val="none" w:sz="0" w:space="0" w:color="auto"/>
      </w:divBdr>
    </w:div>
    <w:div w:id="550969809">
      <w:bodyDiv w:val="1"/>
      <w:marLeft w:val="0"/>
      <w:marRight w:val="0"/>
      <w:marTop w:val="0"/>
      <w:marBottom w:val="0"/>
      <w:divBdr>
        <w:top w:val="none" w:sz="0" w:space="0" w:color="auto"/>
        <w:left w:val="none" w:sz="0" w:space="0" w:color="auto"/>
        <w:bottom w:val="none" w:sz="0" w:space="0" w:color="auto"/>
        <w:right w:val="none" w:sz="0" w:space="0" w:color="auto"/>
      </w:divBdr>
    </w:div>
    <w:div w:id="683478892">
      <w:bodyDiv w:val="1"/>
      <w:marLeft w:val="0"/>
      <w:marRight w:val="0"/>
      <w:marTop w:val="0"/>
      <w:marBottom w:val="0"/>
      <w:divBdr>
        <w:top w:val="none" w:sz="0" w:space="0" w:color="auto"/>
        <w:left w:val="none" w:sz="0" w:space="0" w:color="auto"/>
        <w:bottom w:val="none" w:sz="0" w:space="0" w:color="auto"/>
        <w:right w:val="none" w:sz="0" w:space="0" w:color="auto"/>
      </w:divBdr>
    </w:div>
    <w:div w:id="733624904">
      <w:bodyDiv w:val="1"/>
      <w:marLeft w:val="0"/>
      <w:marRight w:val="0"/>
      <w:marTop w:val="0"/>
      <w:marBottom w:val="0"/>
      <w:divBdr>
        <w:top w:val="none" w:sz="0" w:space="0" w:color="auto"/>
        <w:left w:val="none" w:sz="0" w:space="0" w:color="auto"/>
        <w:bottom w:val="none" w:sz="0" w:space="0" w:color="auto"/>
        <w:right w:val="none" w:sz="0" w:space="0" w:color="auto"/>
      </w:divBdr>
    </w:div>
    <w:div w:id="759714704">
      <w:bodyDiv w:val="1"/>
      <w:marLeft w:val="0"/>
      <w:marRight w:val="0"/>
      <w:marTop w:val="0"/>
      <w:marBottom w:val="0"/>
      <w:divBdr>
        <w:top w:val="none" w:sz="0" w:space="0" w:color="auto"/>
        <w:left w:val="none" w:sz="0" w:space="0" w:color="auto"/>
        <w:bottom w:val="none" w:sz="0" w:space="0" w:color="auto"/>
        <w:right w:val="none" w:sz="0" w:space="0" w:color="auto"/>
      </w:divBdr>
    </w:div>
    <w:div w:id="925500006">
      <w:bodyDiv w:val="1"/>
      <w:marLeft w:val="0"/>
      <w:marRight w:val="0"/>
      <w:marTop w:val="0"/>
      <w:marBottom w:val="0"/>
      <w:divBdr>
        <w:top w:val="none" w:sz="0" w:space="0" w:color="auto"/>
        <w:left w:val="none" w:sz="0" w:space="0" w:color="auto"/>
        <w:bottom w:val="none" w:sz="0" w:space="0" w:color="auto"/>
        <w:right w:val="none" w:sz="0" w:space="0" w:color="auto"/>
      </w:divBdr>
    </w:div>
    <w:div w:id="946037948">
      <w:bodyDiv w:val="1"/>
      <w:marLeft w:val="0"/>
      <w:marRight w:val="0"/>
      <w:marTop w:val="0"/>
      <w:marBottom w:val="0"/>
      <w:divBdr>
        <w:top w:val="none" w:sz="0" w:space="0" w:color="auto"/>
        <w:left w:val="none" w:sz="0" w:space="0" w:color="auto"/>
        <w:bottom w:val="none" w:sz="0" w:space="0" w:color="auto"/>
        <w:right w:val="none" w:sz="0" w:space="0" w:color="auto"/>
      </w:divBdr>
    </w:div>
    <w:div w:id="1007056817">
      <w:bodyDiv w:val="1"/>
      <w:marLeft w:val="0"/>
      <w:marRight w:val="0"/>
      <w:marTop w:val="0"/>
      <w:marBottom w:val="0"/>
      <w:divBdr>
        <w:top w:val="none" w:sz="0" w:space="0" w:color="auto"/>
        <w:left w:val="none" w:sz="0" w:space="0" w:color="auto"/>
        <w:bottom w:val="none" w:sz="0" w:space="0" w:color="auto"/>
        <w:right w:val="none" w:sz="0" w:space="0" w:color="auto"/>
      </w:divBdr>
    </w:div>
    <w:div w:id="1012800746">
      <w:bodyDiv w:val="1"/>
      <w:marLeft w:val="0"/>
      <w:marRight w:val="0"/>
      <w:marTop w:val="0"/>
      <w:marBottom w:val="0"/>
      <w:divBdr>
        <w:top w:val="none" w:sz="0" w:space="0" w:color="auto"/>
        <w:left w:val="none" w:sz="0" w:space="0" w:color="auto"/>
        <w:bottom w:val="none" w:sz="0" w:space="0" w:color="auto"/>
        <w:right w:val="none" w:sz="0" w:space="0" w:color="auto"/>
      </w:divBdr>
    </w:div>
    <w:div w:id="1217085979">
      <w:bodyDiv w:val="1"/>
      <w:marLeft w:val="0"/>
      <w:marRight w:val="0"/>
      <w:marTop w:val="0"/>
      <w:marBottom w:val="0"/>
      <w:divBdr>
        <w:top w:val="none" w:sz="0" w:space="0" w:color="auto"/>
        <w:left w:val="none" w:sz="0" w:space="0" w:color="auto"/>
        <w:bottom w:val="none" w:sz="0" w:space="0" w:color="auto"/>
        <w:right w:val="none" w:sz="0" w:space="0" w:color="auto"/>
      </w:divBdr>
    </w:div>
    <w:div w:id="1296333786">
      <w:bodyDiv w:val="1"/>
      <w:marLeft w:val="0"/>
      <w:marRight w:val="0"/>
      <w:marTop w:val="0"/>
      <w:marBottom w:val="0"/>
      <w:divBdr>
        <w:top w:val="none" w:sz="0" w:space="0" w:color="auto"/>
        <w:left w:val="none" w:sz="0" w:space="0" w:color="auto"/>
        <w:bottom w:val="none" w:sz="0" w:space="0" w:color="auto"/>
        <w:right w:val="none" w:sz="0" w:space="0" w:color="auto"/>
      </w:divBdr>
    </w:div>
    <w:div w:id="1599949365">
      <w:bodyDiv w:val="1"/>
      <w:marLeft w:val="0"/>
      <w:marRight w:val="0"/>
      <w:marTop w:val="0"/>
      <w:marBottom w:val="0"/>
      <w:divBdr>
        <w:top w:val="none" w:sz="0" w:space="0" w:color="auto"/>
        <w:left w:val="none" w:sz="0" w:space="0" w:color="auto"/>
        <w:bottom w:val="none" w:sz="0" w:space="0" w:color="auto"/>
        <w:right w:val="none" w:sz="0" w:space="0" w:color="auto"/>
      </w:divBdr>
    </w:div>
    <w:div w:id="1674524257">
      <w:bodyDiv w:val="1"/>
      <w:marLeft w:val="0"/>
      <w:marRight w:val="0"/>
      <w:marTop w:val="0"/>
      <w:marBottom w:val="0"/>
      <w:divBdr>
        <w:top w:val="none" w:sz="0" w:space="0" w:color="auto"/>
        <w:left w:val="none" w:sz="0" w:space="0" w:color="auto"/>
        <w:bottom w:val="none" w:sz="0" w:space="0" w:color="auto"/>
        <w:right w:val="none" w:sz="0" w:space="0" w:color="auto"/>
      </w:divBdr>
    </w:div>
    <w:div w:id="1738287875">
      <w:bodyDiv w:val="1"/>
      <w:marLeft w:val="0"/>
      <w:marRight w:val="0"/>
      <w:marTop w:val="0"/>
      <w:marBottom w:val="0"/>
      <w:divBdr>
        <w:top w:val="none" w:sz="0" w:space="0" w:color="auto"/>
        <w:left w:val="none" w:sz="0" w:space="0" w:color="auto"/>
        <w:bottom w:val="none" w:sz="0" w:space="0" w:color="auto"/>
        <w:right w:val="none" w:sz="0" w:space="0" w:color="auto"/>
      </w:divBdr>
    </w:div>
    <w:div w:id="1760176532">
      <w:bodyDiv w:val="1"/>
      <w:marLeft w:val="0"/>
      <w:marRight w:val="0"/>
      <w:marTop w:val="0"/>
      <w:marBottom w:val="0"/>
      <w:divBdr>
        <w:top w:val="none" w:sz="0" w:space="0" w:color="auto"/>
        <w:left w:val="none" w:sz="0" w:space="0" w:color="auto"/>
        <w:bottom w:val="none" w:sz="0" w:space="0" w:color="auto"/>
        <w:right w:val="none" w:sz="0" w:space="0" w:color="auto"/>
      </w:divBdr>
    </w:div>
    <w:div w:id="1766337812">
      <w:bodyDiv w:val="1"/>
      <w:marLeft w:val="0"/>
      <w:marRight w:val="0"/>
      <w:marTop w:val="0"/>
      <w:marBottom w:val="0"/>
      <w:divBdr>
        <w:top w:val="none" w:sz="0" w:space="0" w:color="auto"/>
        <w:left w:val="none" w:sz="0" w:space="0" w:color="auto"/>
        <w:bottom w:val="none" w:sz="0" w:space="0" w:color="auto"/>
        <w:right w:val="none" w:sz="0" w:space="0" w:color="auto"/>
      </w:divBdr>
    </w:div>
    <w:div w:id="1812559087">
      <w:bodyDiv w:val="1"/>
      <w:marLeft w:val="0"/>
      <w:marRight w:val="0"/>
      <w:marTop w:val="0"/>
      <w:marBottom w:val="0"/>
      <w:divBdr>
        <w:top w:val="none" w:sz="0" w:space="0" w:color="auto"/>
        <w:left w:val="none" w:sz="0" w:space="0" w:color="auto"/>
        <w:bottom w:val="none" w:sz="0" w:space="0" w:color="auto"/>
        <w:right w:val="none" w:sz="0" w:space="0" w:color="auto"/>
      </w:divBdr>
    </w:div>
    <w:div w:id="1879122092">
      <w:bodyDiv w:val="1"/>
      <w:marLeft w:val="0"/>
      <w:marRight w:val="0"/>
      <w:marTop w:val="0"/>
      <w:marBottom w:val="0"/>
      <w:divBdr>
        <w:top w:val="none" w:sz="0" w:space="0" w:color="auto"/>
        <w:left w:val="none" w:sz="0" w:space="0" w:color="auto"/>
        <w:bottom w:val="none" w:sz="0" w:space="0" w:color="auto"/>
        <w:right w:val="none" w:sz="0" w:space="0" w:color="auto"/>
      </w:divBdr>
    </w:div>
    <w:div w:id="1908297589">
      <w:bodyDiv w:val="1"/>
      <w:marLeft w:val="0"/>
      <w:marRight w:val="0"/>
      <w:marTop w:val="0"/>
      <w:marBottom w:val="0"/>
      <w:divBdr>
        <w:top w:val="none" w:sz="0" w:space="0" w:color="auto"/>
        <w:left w:val="none" w:sz="0" w:space="0" w:color="auto"/>
        <w:bottom w:val="none" w:sz="0" w:space="0" w:color="auto"/>
        <w:right w:val="none" w:sz="0" w:space="0" w:color="auto"/>
      </w:divBdr>
    </w:div>
    <w:div w:id="1968312998">
      <w:bodyDiv w:val="1"/>
      <w:marLeft w:val="0"/>
      <w:marRight w:val="0"/>
      <w:marTop w:val="0"/>
      <w:marBottom w:val="0"/>
      <w:divBdr>
        <w:top w:val="none" w:sz="0" w:space="0" w:color="auto"/>
        <w:left w:val="none" w:sz="0" w:space="0" w:color="auto"/>
        <w:bottom w:val="none" w:sz="0" w:space="0" w:color="auto"/>
        <w:right w:val="none" w:sz="0" w:space="0" w:color="auto"/>
      </w:divBdr>
    </w:div>
    <w:div w:id="206513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d0d4407-0c86-4168-aef5-7e5ed32f9eb2">
      <UserInfo>
        <DisplayName>Restrepo, Joaquin</DisplayName>
        <AccountId>21</AccountId>
        <AccountType/>
      </UserInfo>
      <UserInfo>
        <DisplayName>Wilson, Joanne</DisplayName>
        <AccountId>20</AccountId>
        <AccountType/>
      </UserInfo>
      <UserInfo>
        <DisplayName>Deraspe, Marie Jo</DisplayName>
        <AccountId>11</AccountId>
        <AccountType/>
      </UserInfo>
      <UserInfo>
        <DisplayName>Gimenez, Christine</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BFFA9-C3CF-4FFB-90BB-531F5B47170D}">
  <ds:schemaRefs>
    <ds:schemaRef ds:uri="http://schemas.microsoft.com/sharepoint/v3/contenttype/forms"/>
  </ds:schemaRefs>
</ds:datastoreItem>
</file>

<file path=customXml/itemProps2.xml><?xml version="1.0" encoding="utf-8"?>
<ds:datastoreItem xmlns:ds="http://schemas.openxmlformats.org/officeDocument/2006/customXml" ds:itemID="{44DD5432-BD75-447F-90D5-F1684BAC07B7}">
  <ds:schemaRefs>
    <ds:schemaRef ds:uri="ad0d4407-0c86-4168-aef5-7e5ed32f9eb2"/>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793da9a-8d8a-4824-945d-2346bcf27de4"/>
    <ds:schemaRef ds:uri="http://www.w3.org/XML/1998/namespace"/>
    <ds:schemaRef ds:uri="http://purl.org/dc/terms/"/>
  </ds:schemaRefs>
</ds:datastoreItem>
</file>

<file path=customXml/itemProps3.xml><?xml version="1.0" encoding="utf-8"?>
<ds:datastoreItem xmlns:ds="http://schemas.openxmlformats.org/officeDocument/2006/customXml" ds:itemID="{54653B5F-6220-4D43-8D01-AFF966016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6541</CharactersWithSpaces>
  <SharedDoc>false</SharedDoc>
  <HLinks>
    <vt:vector size="12" baseType="variant">
      <vt:variant>
        <vt:i4>3145778</vt:i4>
      </vt:variant>
      <vt:variant>
        <vt:i4>9</vt:i4>
      </vt:variant>
      <vt:variant>
        <vt:i4>0</vt:i4>
      </vt:variant>
      <vt:variant>
        <vt:i4>5</vt:i4>
      </vt:variant>
      <vt:variant>
        <vt:lpwstr>http://www.itu.int/en/ITU-R/seminars/wrs/2020/Documents/WRS20stats.pdf</vt:lpwstr>
      </vt:variant>
      <vt:variant>
        <vt:lpwstr/>
      </vt:variant>
      <vt:variant>
        <vt:i4>3145778</vt:i4>
      </vt:variant>
      <vt:variant>
        <vt:i4>3</vt:i4>
      </vt:variant>
      <vt:variant>
        <vt:i4>0</vt:i4>
      </vt:variant>
      <vt:variant>
        <vt:i4>5</vt:i4>
      </vt:variant>
      <vt:variant>
        <vt:lpwstr>http://www.itu.int/en/ITU-R/seminars/wrs/2020/Documents/WRS20stats.pdf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RAG21</dc:description>
  <cp:lastModifiedBy>Bonnici, Adrienne</cp:lastModifiedBy>
  <cp:revision>3</cp:revision>
  <cp:lastPrinted>1999-09-30T15:03:00Z</cp:lastPrinted>
  <dcterms:created xsi:type="dcterms:W3CDTF">2023-05-03T06:33:00Z</dcterms:created>
  <dcterms:modified xsi:type="dcterms:W3CDTF">2023-05-03T06:33:00Z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ies>
</file>