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923" w:type="dxa"/>
        <w:tblLayout w:type="fixed"/>
        <w:tblLook w:val="0000" w:firstRow="0" w:lastRow="0" w:firstColumn="0" w:lastColumn="0" w:noHBand="0" w:noVBand="0"/>
      </w:tblPr>
      <w:tblGrid>
        <w:gridCol w:w="5954"/>
        <w:gridCol w:w="523"/>
        <w:gridCol w:w="3412"/>
        <w:gridCol w:w="34"/>
      </w:tblGrid>
      <w:tr w:rsidR="00EC0BE3" w14:paraId="29EBD4F0" w14:textId="77777777" w:rsidTr="00B15B75">
        <w:trPr>
          <w:gridAfter w:val="1"/>
          <w:wAfter w:w="34" w:type="dxa"/>
          <w:cantSplit/>
        </w:trPr>
        <w:tc>
          <w:tcPr>
            <w:tcW w:w="6477" w:type="dxa"/>
            <w:gridSpan w:val="2"/>
            <w:vAlign w:val="center"/>
          </w:tcPr>
          <w:p w14:paraId="0E73BCD5" w14:textId="77777777" w:rsidR="00EC0BE3" w:rsidRPr="0051782D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12" w:type="dxa"/>
            <w:vAlign w:val="center"/>
          </w:tcPr>
          <w:p w14:paraId="091FF44D" w14:textId="77777777" w:rsidR="00EC0BE3" w:rsidRDefault="00C126C1" w:rsidP="00AF7CE7">
            <w:pPr>
              <w:shd w:val="solid" w:color="FFFFFF" w:fill="FFFFFF"/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40DCB81A" wp14:editId="6E8F89DF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7EEB28FB" w14:textId="77777777" w:rsidTr="00B15B75">
        <w:trPr>
          <w:cantSplit/>
        </w:trPr>
        <w:tc>
          <w:tcPr>
            <w:tcW w:w="5954" w:type="dxa"/>
            <w:tcBorders>
              <w:bottom w:val="single" w:sz="12" w:space="0" w:color="auto"/>
            </w:tcBorders>
          </w:tcPr>
          <w:p w14:paraId="5754C00C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</w:tcPr>
          <w:p w14:paraId="6958636D" w14:textId="77777777"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653F22AE" w14:textId="77777777" w:rsidTr="00B15B75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14:paraId="1E9023F7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auto"/>
            </w:tcBorders>
          </w:tcPr>
          <w:p w14:paraId="1AC07B19" w14:textId="77777777"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14:paraId="30F64E70" w14:textId="77777777" w:rsidTr="00B15B75">
        <w:trPr>
          <w:cantSplit/>
        </w:trPr>
        <w:tc>
          <w:tcPr>
            <w:tcW w:w="5954" w:type="dxa"/>
            <w:vMerge w:val="restart"/>
          </w:tcPr>
          <w:p w14:paraId="42225AAE" w14:textId="77777777"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969" w:type="dxa"/>
            <w:gridSpan w:val="3"/>
          </w:tcPr>
          <w:p w14:paraId="3AFDAD83" w14:textId="1E57809E" w:rsidR="0051782D" w:rsidRPr="001A0041" w:rsidRDefault="001A0041" w:rsidP="00B15B75">
            <w:pPr>
              <w:shd w:val="solid" w:color="FFFFFF" w:fill="FFFFFF"/>
              <w:spacing w:before="0" w:line="240" w:lineRule="atLeast"/>
              <w:ind w:right="-66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</w:t>
            </w:r>
            <w:r w:rsidR="00B15B75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RAG/</w:t>
            </w:r>
            <w:r w:rsidR="00B15B75">
              <w:rPr>
                <w:rFonts w:ascii="Verdana" w:hAnsi="Verdana"/>
                <w:b/>
                <w:sz w:val="20"/>
              </w:rPr>
              <w:t>DELAYED/</w:t>
            </w:r>
            <w:r w:rsidR="00576609">
              <w:rPr>
                <w:rFonts w:ascii="Verdana" w:hAnsi="Verdana"/>
                <w:b/>
                <w:sz w:val="20"/>
                <w:lang w:val="en-US" w:bidi="he-IL"/>
              </w:rPr>
              <w:t>68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14:paraId="73C3C199" w14:textId="77777777" w:rsidTr="00B15B75">
        <w:trPr>
          <w:cantSplit/>
        </w:trPr>
        <w:tc>
          <w:tcPr>
            <w:tcW w:w="5954" w:type="dxa"/>
            <w:vMerge/>
          </w:tcPr>
          <w:p w14:paraId="742BDBFA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969" w:type="dxa"/>
            <w:gridSpan w:val="3"/>
          </w:tcPr>
          <w:p w14:paraId="51A2F5FD" w14:textId="34B474A5" w:rsidR="0051782D" w:rsidRPr="001A0041" w:rsidRDefault="00576609" w:rsidP="001A004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21</w:t>
            </w:r>
            <w:r w:rsidR="007568A3">
              <w:rPr>
                <w:rFonts w:ascii="Verdana" w:hAnsi="Verdana"/>
                <w:b/>
                <w:sz w:val="20"/>
              </w:rPr>
              <w:t xml:space="preserve"> April</w:t>
            </w:r>
            <w:r w:rsidR="00762732">
              <w:rPr>
                <w:rFonts w:ascii="Verdana" w:hAnsi="Verdana"/>
                <w:b/>
                <w:sz w:val="20"/>
              </w:rPr>
              <w:t xml:space="preserve"> 2023</w:t>
            </w:r>
          </w:p>
        </w:tc>
      </w:tr>
      <w:tr w:rsidR="0051782D" w14:paraId="2A70EAD6" w14:textId="77777777" w:rsidTr="00B15B75">
        <w:trPr>
          <w:cantSplit/>
        </w:trPr>
        <w:tc>
          <w:tcPr>
            <w:tcW w:w="5954" w:type="dxa"/>
            <w:vMerge/>
          </w:tcPr>
          <w:p w14:paraId="37E710DB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969" w:type="dxa"/>
            <w:gridSpan w:val="3"/>
          </w:tcPr>
          <w:p w14:paraId="367E6838" w14:textId="1D7E0611" w:rsidR="0051782D" w:rsidRPr="001A0041" w:rsidRDefault="00762732" w:rsidP="001A0041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  <w:tr w:rsidR="00093C73" w14:paraId="67CF20AF" w14:textId="77777777" w:rsidTr="00B15B75">
        <w:trPr>
          <w:gridAfter w:val="1"/>
          <w:wAfter w:w="34" w:type="dxa"/>
          <w:cantSplit/>
        </w:trPr>
        <w:tc>
          <w:tcPr>
            <w:tcW w:w="9889" w:type="dxa"/>
            <w:gridSpan w:val="3"/>
          </w:tcPr>
          <w:tbl>
            <w:tblPr>
              <w:tblpPr w:leftFromText="180" w:rightFromText="180" w:horzAnchor="margin" w:tblpY="-615"/>
              <w:tblW w:w="9889" w:type="dxa"/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762732" w14:paraId="68DC1573" w14:textId="77777777" w:rsidTr="0074235E">
              <w:trPr>
                <w:cantSplit/>
              </w:trPr>
              <w:tc>
                <w:tcPr>
                  <w:tcW w:w="9889" w:type="dxa"/>
                </w:tcPr>
                <w:p w14:paraId="259F3C61" w14:textId="29DCB935" w:rsidR="00762732" w:rsidRPr="00254FAC" w:rsidRDefault="007568A3" w:rsidP="00762732">
                  <w:pPr>
                    <w:pStyle w:val="Source"/>
                  </w:pPr>
                  <w:bookmarkStart w:id="3" w:name="dsource" w:colFirst="0" w:colLast="0"/>
                  <w:bookmarkEnd w:id="2"/>
                  <w:r>
                    <w:t>ATDI</w:t>
                  </w:r>
                  <w:r w:rsidR="00350B48" w:rsidRPr="007D036D">
                    <w:rPr>
                      <w:rStyle w:val="FootnoteReference"/>
                    </w:rPr>
                    <w:footnoteReference w:id="1"/>
                  </w:r>
                </w:p>
              </w:tc>
            </w:tr>
            <w:tr w:rsidR="00762732" w14:paraId="3CCAA1A5" w14:textId="77777777" w:rsidTr="0074235E">
              <w:trPr>
                <w:cantSplit/>
              </w:trPr>
              <w:tc>
                <w:tcPr>
                  <w:tcW w:w="9889" w:type="dxa"/>
                </w:tcPr>
                <w:p w14:paraId="6B51D0F8" w14:textId="09EB9EAF" w:rsidR="00762732" w:rsidRPr="00576609" w:rsidRDefault="00CB306B" w:rsidP="00576609">
                  <w:pPr>
                    <w:pStyle w:val="Title1"/>
                    <w:rPr>
                      <w:lang w:val="en-US" w:bidi="he-IL"/>
                    </w:rPr>
                  </w:pPr>
                  <w:r w:rsidRPr="00CB306B">
                    <w:t>Dubai, UAE, RA-23 and WRC-23</w:t>
                  </w:r>
                  <w:r w:rsidR="001C2898">
                    <w:t>;</w:t>
                  </w:r>
                  <w:bookmarkStart w:id="4" w:name="_Hlk131463171"/>
                  <w:r w:rsidR="001C2898">
                    <w:t xml:space="preserve"> </w:t>
                  </w:r>
                  <w:r w:rsidR="001910CE" w:rsidRPr="001910CE">
                    <w:rPr>
                      <w:lang w:val="en-US" w:bidi="he-IL"/>
                    </w:rPr>
                    <w:t>Interventions of Remote</w:t>
                  </w:r>
                  <w:r w:rsidR="001C2898">
                    <w:rPr>
                      <w:lang w:val="en-US" w:bidi="he-IL"/>
                    </w:rPr>
                    <w:t xml:space="preserve"> Participants </w:t>
                  </w:r>
                  <w:r w:rsidR="001910CE" w:rsidRPr="001910CE">
                    <w:rPr>
                      <w:lang w:val="en-US" w:bidi="he-IL"/>
                    </w:rPr>
                    <w:t xml:space="preserve">in </w:t>
                  </w:r>
                  <w:r w:rsidR="001C2898">
                    <w:rPr>
                      <w:lang w:val="en-US" w:bidi="he-IL"/>
                    </w:rPr>
                    <w:t>WRC-23 and RA-23</w:t>
                  </w:r>
                  <w:r w:rsidR="001910CE" w:rsidRPr="001910CE">
                    <w:rPr>
                      <w:lang w:val="en-US" w:bidi="he-IL"/>
                    </w:rPr>
                    <w:t xml:space="preserve"> meetings</w:t>
                  </w:r>
                  <w:bookmarkEnd w:id="4"/>
                </w:p>
              </w:tc>
            </w:tr>
          </w:tbl>
          <w:p w14:paraId="48EDD9F3" w14:textId="77777777" w:rsidR="00093C73" w:rsidRDefault="00093C73" w:rsidP="005B2C58">
            <w:pPr>
              <w:pStyle w:val="Source"/>
            </w:pPr>
          </w:p>
        </w:tc>
      </w:tr>
      <w:tr w:rsidR="00A21101" w:rsidRPr="00A21101" w14:paraId="12243263" w14:textId="77777777" w:rsidTr="00B15B75">
        <w:trPr>
          <w:gridAfter w:val="1"/>
          <w:wAfter w:w="34" w:type="dxa"/>
          <w:cantSplit/>
        </w:trPr>
        <w:tc>
          <w:tcPr>
            <w:tcW w:w="9889" w:type="dxa"/>
            <w:gridSpan w:val="3"/>
          </w:tcPr>
          <w:p w14:paraId="32950CC5" w14:textId="4F9EDE7F" w:rsidR="00800E93" w:rsidRDefault="00800E93" w:rsidP="00576609">
            <w:pPr>
              <w:pStyle w:val="Heading1"/>
            </w:pPr>
            <w:bookmarkStart w:id="5" w:name="dtitle1" w:colFirst="0" w:colLast="0"/>
            <w:bookmarkEnd w:id="3"/>
            <w:r>
              <w:t>Introduction</w:t>
            </w:r>
          </w:p>
          <w:p w14:paraId="599BAE93" w14:textId="736C2164" w:rsidR="00902951" w:rsidRDefault="00881574" w:rsidP="00576609">
            <w:r w:rsidRPr="00881574">
              <w:t>World Radiocommunication Conference 2023 (WRC-23) will be held from 20 November to 15</w:t>
            </w:r>
            <w:r w:rsidR="00D756AC">
              <w:t> </w:t>
            </w:r>
            <w:r w:rsidRPr="00881574">
              <w:t>December 2023 at the Dubai World Trade Centre, immediately following the Radiocommunication Assembly 2023 (RA-23).</w:t>
            </w:r>
            <w:r>
              <w:t xml:space="preserve"> The invitations to the RA-23</w:t>
            </w:r>
            <w:r w:rsidRPr="00FF1B90">
              <w:t xml:space="preserve"> </w:t>
            </w:r>
            <w:r>
              <w:t>(</w:t>
            </w:r>
            <w:r w:rsidRPr="00FF1B90">
              <w:t xml:space="preserve">Administrative Circular </w:t>
            </w:r>
            <w:hyperlink r:id="rId11" w:history="1">
              <w:r w:rsidRPr="00FF1B90">
                <w:rPr>
                  <w:rStyle w:val="Hyperlink"/>
                </w:rPr>
                <w:t>CA/26</w:t>
              </w:r>
              <w:r>
                <w:rPr>
                  <w:rStyle w:val="Hyperlink"/>
                </w:rPr>
                <w:t>4</w:t>
              </w:r>
            </w:hyperlink>
            <w:r>
              <w:t xml:space="preserve"> </w:t>
            </w:r>
            <w:r w:rsidRPr="00A02F43">
              <w:t>6 February 2023</w:t>
            </w:r>
            <w:r>
              <w:t>) and to the WRC-23 (</w:t>
            </w:r>
            <w:hyperlink r:id="rId12" w:history="1">
              <w:r w:rsidRPr="00FF1B90">
                <w:rPr>
                  <w:rStyle w:val="Hyperlink"/>
                </w:rPr>
                <w:t>CA/265</w:t>
              </w:r>
            </w:hyperlink>
            <w:r>
              <w:t xml:space="preserve">, </w:t>
            </w:r>
            <w:r w:rsidRPr="00FF1B90">
              <w:t>7 March 2023</w:t>
            </w:r>
            <w:r>
              <w:t>)</w:t>
            </w:r>
            <w:r w:rsidRPr="00FF1B90">
              <w:t xml:space="preserve"> </w:t>
            </w:r>
            <w:r>
              <w:t xml:space="preserve">specify the </w:t>
            </w:r>
            <w:r w:rsidRPr="00FF1B90">
              <w:t xml:space="preserve">date and venue </w:t>
            </w:r>
            <w:r>
              <w:t>of RA-23 and WRC</w:t>
            </w:r>
            <w:r w:rsidR="00D756AC">
              <w:noBreakHyphen/>
            </w:r>
            <w:r>
              <w:t xml:space="preserve">23, respectively. The circulars state that </w:t>
            </w:r>
            <w:r w:rsidRPr="00881574">
              <w:t>Plenary, Committee and Working Group sessions</w:t>
            </w:r>
            <w:r>
              <w:t xml:space="preserve"> will </w:t>
            </w:r>
            <w:r w:rsidRPr="00881574">
              <w:t xml:space="preserve">be </w:t>
            </w:r>
            <w:r w:rsidRPr="00881574">
              <w:rPr>
                <w:highlight w:val="yellow"/>
              </w:rPr>
              <w:t>webcasted</w:t>
            </w:r>
            <w:r w:rsidRPr="00881574">
              <w:t xml:space="preserve"> and recorded in the six languages</w:t>
            </w:r>
            <w:r w:rsidR="00FB510F">
              <w:t>:</w:t>
            </w:r>
            <w:r w:rsidR="00B55EA0">
              <w:t xml:space="preserve"> the sole item on remote-participation is the reference to webcast. </w:t>
            </w:r>
            <w:r w:rsidR="00912E41">
              <w:t>The RA-23 and WRC-23 meetings are planned as</w:t>
            </w:r>
            <w:r w:rsidR="00FB510F">
              <w:t xml:space="preserve"> </w:t>
            </w:r>
            <w:r w:rsidR="00912E41" w:rsidRPr="007C6692">
              <w:t xml:space="preserve">physical meeting </w:t>
            </w:r>
            <w:r w:rsidR="00912E41" w:rsidRPr="00A21101">
              <w:rPr>
                <w:b/>
                <w:bCs/>
              </w:rPr>
              <w:t>with</w:t>
            </w:r>
            <w:r w:rsidR="00912E41">
              <w:rPr>
                <w:b/>
                <w:bCs/>
              </w:rPr>
              <w:t>out</w:t>
            </w:r>
            <w:r w:rsidR="00912E41" w:rsidRPr="00A21101">
              <w:rPr>
                <w:b/>
                <w:bCs/>
              </w:rPr>
              <w:t xml:space="preserve"> remote participation</w:t>
            </w:r>
            <w:r w:rsidR="00912E41" w:rsidRPr="00912E41">
              <w:t>.</w:t>
            </w:r>
            <w:r w:rsidR="00912E41">
              <w:rPr>
                <w:b/>
                <w:bCs/>
              </w:rPr>
              <w:t xml:space="preserve"> </w:t>
            </w:r>
            <w:r w:rsidR="001C2898">
              <w:rPr>
                <w:lang w:val="en-US" w:bidi="he-IL"/>
              </w:rPr>
              <w:t xml:space="preserve">The plenary meetings of WRC-23 are definitely </w:t>
            </w:r>
            <w:r w:rsidR="001C2898" w:rsidRPr="001910CE">
              <w:rPr>
                <w:lang w:val="en-US" w:bidi="he-IL"/>
              </w:rPr>
              <w:t>decision</w:t>
            </w:r>
            <w:r w:rsidR="001C2898">
              <w:rPr>
                <w:lang w:val="en-US" w:bidi="he-IL"/>
              </w:rPr>
              <w:t>-</w:t>
            </w:r>
            <w:r w:rsidR="001C2898" w:rsidRPr="001910CE">
              <w:rPr>
                <w:lang w:val="en-US" w:bidi="he-IL"/>
              </w:rPr>
              <w:t>making meetings</w:t>
            </w:r>
            <w:r w:rsidR="001C2898">
              <w:rPr>
                <w:lang w:val="en-US" w:bidi="he-IL"/>
              </w:rPr>
              <w:t xml:space="preserve">. </w:t>
            </w:r>
            <w:r w:rsidR="00912E41" w:rsidRPr="007C6692">
              <w:t xml:space="preserve">Document </w:t>
            </w:r>
            <w:hyperlink r:id="rId13" w:history="1">
              <w:r w:rsidR="00912E41" w:rsidRPr="0084143F">
                <w:rPr>
                  <w:color w:val="0000FF"/>
                  <w:highlight w:val="yellow"/>
                  <w:u w:val="single"/>
                </w:rPr>
                <w:t>RAG</w:t>
              </w:r>
              <w:r w:rsidR="00912E41" w:rsidRPr="007C6692">
                <w:rPr>
                  <w:color w:val="0000FF"/>
                  <w:u w:val="single"/>
                </w:rPr>
                <w:t>/INFO/9(Rev.1</w:t>
              </w:r>
            </w:hyperlink>
            <w:r w:rsidR="00912E41" w:rsidRPr="007C6692">
              <w:t>)</w:t>
            </w:r>
            <w:r w:rsidR="00912E41">
              <w:t xml:space="preserve"> ‘Planned measures for returning to physical ITU-R meetings with remote participation ‘provides information on the planned measures for physical ITU-R meetings with </w:t>
            </w:r>
            <w:r w:rsidR="00912E41" w:rsidRPr="00912E41">
              <w:rPr>
                <w:b/>
                <w:bCs/>
              </w:rPr>
              <w:t>remote participation</w:t>
            </w:r>
            <w:r w:rsidR="00912E41">
              <w:t xml:space="preserve">.’ </w:t>
            </w:r>
            <w:r w:rsidR="00416DD3" w:rsidRPr="00F55781">
              <w:t>Remote participation is not foreseen by the basic texts of ITU for the conferences</w:t>
            </w:r>
            <w:r w:rsidR="00416DD3">
              <w:t>;</w:t>
            </w:r>
            <w:r w:rsidR="00416DD3">
              <w:rPr>
                <w:rFonts w:hint="cs"/>
                <w:lang w:bidi="he-IL"/>
              </w:rPr>
              <w:t xml:space="preserve"> </w:t>
            </w:r>
            <w:r w:rsidR="00F55781">
              <w:rPr>
                <w:rFonts w:hint="cs"/>
                <w:lang w:bidi="he-IL"/>
              </w:rPr>
              <w:t xml:space="preserve">ATDI </w:t>
            </w:r>
            <w:r w:rsidR="00F55781">
              <w:rPr>
                <w:lang w:val="en-US" w:bidi="he-IL"/>
              </w:rPr>
              <w:t xml:space="preserve">is aware on </w:t>
            </w:r>
            <w:r w:rsidR="00F55781">
              <w:t xml:space="preserve">the </w:t>
            </w:r>
            <w:r w:rsidR="00651147">
              <w:t>issues of accreditation (CV 31), decision making (CS 169, 210) mechanisms and the exclusive role of administrations in interventions</w:t>
            </w:r>
            <w:r w:rsidR="00246688">
              <w:t>.</w:t>
            </w:r>
            <w:r w:rsidR="001E7B89">
              <w:t xml:space="preserve"> </w:t>
            </w:r>
            <w:r w:rsidR="00902951" w:rsidRPr="00246688">
              <w:rPr>
                <w:lang w:val="en-US"/>
              </w:rPr>
              <w:t>Means of remote participation need to be considered, as it is a common post-pandemic recommendation a chairman with flu-like symptoms to be temporarily working from his hotel room.</w:t>
            </w:r>
          </w:p>
          <w:p w14:paraId="27A6FEAF" w14:textId="0EBF815B" w:rsidR="001E7B89" w:rsidRDefault="00912E41" w:rsidP="00576609">
            <w:r>
              <w:t>The ITU Council meeting is confirmed: 11 July till 21 July 2023, in Geneva</w:t>
            </w:r>
            <w:r w:rsidR="00BA40BF">
              <w:t>, after the RAG meeting</w:t>
            </w:r>
            <w:r>
              <w:t>.</w:t>
            </w:r>
            <w:r w:rsidR="00416DD3">
              <w:t xml:space="preserve"> </w:t>
            </w:r>
          </w:p>
          <w:p w14:paraId="0F519ACA" w14:textId="5C74698B" w:rsidR="00912E41" w:rsidRPr="00DF2120" w:rsidRDefault="00DF2120" w:rsidP="00576609">
            <w:r w:rsidRPr="00A21101">
              <w:rPr>
                <w:szCs w:val="24"/>
              </w:rPr>
              <w:t>Resolution 167 (</w:t>
            </w:r>
            <w:hyperlink r:id="rId14" w:history="1">
              <w:r w:rsidRPr="009D498C">
                <w:rPr>
                  <w:rStyle w:val="Hyperlink"/>
                  <w:szCs w:val="24"/>
                </w:rPr>
                <w:t>Rev. Bucharest, 2022</w:t>
              </w:r>
            </w:hyperlink>
            <w:r w:rsidRPr="00A21101">
              <w:rPr>
                <w:szCs w:val="24"/>
              </w:rPr>
              <w:t xml:space="preserve">) </w:t>
            </w:r>
            <w:r>
              <w:rPr>
                <w:szCs w:val="24"/>
              </w:rPr>
              <w:t>(</w:t>
            </w:r>
            <w:r w:rsidRPr="00A21101">
              <w:rPr>
                <w:szCs w:val="24"/>
              </w:rPr>
              <w:t xml:space="preserve">all </w:t>
            </w:r>
            <w:r w:rsidRPr="00A21101">
              <w:rPr>
                <w:szCs w:val="24"/>
                <w:highlight w:val="yellow"/>
              </w:rPr>
              <w:t>highlights</w:t>
            </w:r>
            <w:r w:rsidRPr="00A21101">
              <w:rPr>
                <w:szCs w:val="24"/>
              </w:rPr>
              <w:t xml:space="preserve"> are </w:t>
            </w:r>
            <w:r>
              <w:rPr>
                <w:szCs w:val="24"/>
              </w:rPr>
              <w:t>added by the contact person) ‘</w:t>
            </w:r>
            <w:r w:rsidRPr="00A21101">
              <w:rPr>
                <w:szCs w:val="24"/>
              </w:rPr>
              <w:t xml:space="preserve">Strengthening and developing ITU capabilities for </w:t>
            </w:r>
            <w:r w:rsidRPr="00350B48">
              <w:rPr>
                <w:szCs w:val="24"/>
              </w:rPr>
              <w:t xml:space="preserve">fully </w:t>
            </w:r>
            <w:r w:rsidRPr="00350B48">
              <w:rPr>
                <w:szCs w:val="24"/>
                <w:highlight w:val="yellow"/>
              </w:rPr>
              <w:t>virtual meetings</w:t>
            </w:r>
            <w:r w:rsidRPr="00A21101">
              <w:rPr>
                <w:szCs w:val="24"/>
              </w:rPr>
              <w:t xml:space="preserve"> and physical meetings with </w:t>
            </w:r>
            <w:r w:rsidRPr="00350B48">
              <w:rPr>
                <w:szCs w:val="24"/>
                <w:highlight w:val="yellow"/>
              </w:rPr>
              <w:t>remote participation</w:t>
            </w:r>
            <w:r w:rsidRPr="00A21101">
              <w:rPr>
                <w:szCs w:val="24"/>
              </w:rPr>
              <w:t xml:space="preserve">, and the </w:t>
            </w:r>
            <w:r w:rsidRPr="00A21101">
              <w:rPr>
                <w:szCs w:val="24"/>
                <w:highlight w:val="yellow"/>
              </w:rPr>
              <w:t>electronic means</w:t>
            </w:r>
            <w:r w:rsidRPr="00A21101">
              <w:rPr>
                <w:szCs w:val="24"/>
              </w:rPr>
              <w:t xml:space="preserve"> to advance the work of the Union’</w:t>
            </w:r>
            <w:r w:rsidR="001E7B89">
              <w:rPr>
                <w:szCs w:val="24"/>
              </w:rPr>
              <w:t xml:space="preserve"> is directly related to remote participation</w:t>
            </w:r>
            <w:r>
              <w:rPr>
                <w:szCs w:val="24"/>
              </w:rPr>
              <w:t>.</w:t>
            </w:r>
          </w:p>
          <w:p w14:paraId="0C902E41" w14:textId="688DE965" w:rsidR="00912E41" w:rsidRDefault="00912E41" w:rsidP="00912E41">
            <w:pPr>
              <w:pStyle w:val="Heading1"/>
              <w:rPr>
                <w:rtl/>
                <w:lang w:bidi="he-IL"/>
              </w:rPr>
            </w:pPr>
            <w:r w:rsidRPr="00E657DC">
              <w:t>2</w:t>
            </w:r>
            <w:r>
              <w:tab/>
            </w:r>
            <w:r w:rsidR="00A55F46">
              <w:t xml:space="preserve">Quotes from </w:t>
            </w:r>
            <w:r w:rsidR="00A55F46" w:rsidRPr="00A21101">
              <w:rPr>
                <w:szCs w:val="24"/>
              </w:rPr>
              <w:t>Resolution 167 (</w:t>
            </w:r>
            <w:hyperlink r:id="rId15" w:history="1">
              <w:r w:rsidR="00A55F46" w:rsidRPr="009D498C">
                <w:rPr>
                  <w:rStyle w:val="Hyperlink"/>
                  <w:szCs w:val="24"/>
                </w:rPr>
                <w:t>Rev. Bucharest, 2022</w:t>
              </w:r>
            </w:hyperlink>
            <w:r w:rsidR="00A55F46" w:rsidRPr="00A21101">
              <w:rPr>
                <w:szCs w:val="24"/>
              </w:rPr>
              <w:t>)</w:t>
            </w:r>
          </w:p>
          <w:p w14:paraId="6A7C3226" w14:textId="1409CEE4" w:rsidR="00A047A4" w:rsidRDefault="00A047A4" w:rsidP="00576609">
            <w:r w:rsidRPr="00A047A4">
              <w:rPr>
                <w:i/>
                <w:iCs/>
              </w:rPr>
              <w:t>considering</w:t>
            </w:r>
            <w:r w:rsidRPr="00A047A4">
              <w:t xml:space="preserve"> </w:t>
            </w:r>
            <w:r w:rsidRPr="00A047A4">
              <w:rPr>
                <w:i/>
                <w:iCs/>
              </w:rPr>
              <w:t>e</w:t>
            </w:r>
            <w:r>
              <w:t xml:space="preserve"> ‘that ITU has been gaining experience in the holding of </w:t>
            </w:r>
            <w:r w:rsidRPr="00A047A4">
              <w:rPr>
                <w:highlight w:val="yellow"/>
              </w:rPr>
              <w:t>fully virtual meetings and physical</w:t>
            </w:r>
            <w:r>
              <w:t>’</w:t>
            </w:r>
          </w:p>
          <w:p w14:paraId="6714EEB1" w14:textId="0093E836" w:rsidR="0084143F" w:rsidRDefault="00A047A4" w:rsidP="00576609">
            <w:pPr>
              <w:rPr>
                <w:szCs w:val="24"/>
              </w:rPr>
            </w:pPr>
            <w:r w:rsidRPr="00A047A4">
              <w:rPr>
                <w:i/>
                <w:iCs/>
                <w:szCs w:val="24"/>
              </w:rPr>
              <w:t>recognizing</w:t>
            </w:r>
            <w:r>
              <w:rPr>
                <w:i/>
                <w:iCs/>
                <w:szCs w:val="24"/>
              </w:rPr>
              <w:t xml:space="preserve"> </w:t>
            </w:r>
            <w:r w:rsidR="001C2898">
              <w:rPr>
                <w:i/>
                <w:iCs/>
                <w:szCs w:val="24"/>
              </w:rPr>
              <w:br/>
            </w:r>
            <w:r>
              <w:rPr>
                <w:i/>
                <w:iCs/>
                <w:szCs w:val="24"/>
              </w:rPr>
              <w:t>a</w:t>
            </w:r>
            <w:r w:rsidR="001C2898">
              <w:rPr>
                <w:i/>
                <w:iCs/>
                <w:szCs w:val="24"/>
              </w:rPr>
              <w:t>)</w:t>
            </w:r>
            <w:r>
              <w:rPr>
                <w:i/>
                <w:iCs/>
                <w:szCs w:val="24"/>
              </w:rPr>
              <w:t xml:space="preserve"> </w:t>
            </w:r>
            <w:r w:rsidRPr="00A047A4">
              <w:rPr>
                <w:szCs w:val="24"/>
              </w:rPr>
              <w:t xml:space="preserve">‘that </w:t>
            </w:r>
            <w:r w:rsidRPr="00A047A4">
              <w:rPr>
                <w:szCs w:val="24"/>
                <w:highlight w:val="yellow"/>
              </w:rPr>
              <w:t>remote participation</w:t>
            </w:r>
            <w:r w:rsidRPr="00A047A4">
              <w:rPr>
                <w:szCs w:val="24"/>
              </w:rPr>
              <w:t xml:space="preserve"> has been producing </w:t>
            </w:r>
            <w:r w:rsidRPr="00A047A4">
              <w:rPr>
                <w:szCs w:val="24"/>
                <w:highlight w:val="yellow"/>
              </w:rPr>
              <w:t>significant benefits</w:t>
            </w:r>
            <w:r w:rsidRPr="00A047A4">
              <w:rPr>
                <w:szCs w:val="24"/>
              </w:rPr>
              <w:t xml:space="preserve"> for the Union's</w:t>
            </w:r>
            <w:r>
              <w:rPr>
                <w:szCs w:val="24"/>
              </w:rPr>
              <w:t xml:space="preserve"> </w:t>
            </w:r>
            <w:r w:rsidRPr="00A047A4">
              <w:rPr>
                <w:szCs w:val="24"/>
              </w:rPr>
              <w:t xml:space="preserve">membership, by </w:t>
            </w:r>
            <w:r w:rsidRPr="00A047A4">
              <w:rPr>
                <w:szCs w:val="24"/>
                <w:highlight w:val="yellow"/>
              </w:rPr>
              <w:t>reducing travel costs, and has facilitated wider participation, particularly from</w:t>
            </w:r>
            <w:r>
              <w:rPr>
                <w:szCs w:val="24"/>
                <w:highlight w:val="yellow"/>
              </w:rPr>
              <w:t xml:space="preserve"> </w:t>
            </w:r>
            <w:r w:rsidRPr="00A047A4">
              <w:rPr>
                <w:szCs w:val="24"/>
                <w:highlight w:val="yellow"/>
              </w:rPr>
              <w:t>developing countries</w:t>
            </w:r>
            <w:r w:rsidRPr="00A047A4">
              <w:rPr>
                <w:szCs w:val="24"/>
              </w:rPr>
              <w:t>;</w:t>
            </w:r>
          </w:p>
          <w:p w14:paraId="4F479C92" w14:textId="18A8EF12" w:rsidR="001C2898" w:rsidRDefault="001C2898" w:rsidP="00576609">
            <w:pPr>
              <w:rPr>
                <w:szCs w:val="24"/>
              </w:rPr>
            </w:pPr>
            <w:r w:rsidRPr="001C2898">
              <w:rPr>
                <w:i/>
                <w:iCs/>
                <w:szCs w:val="24"/>
              </w:rPr>
              <w:lastRenderedPageBreak/>
              <w:t>d)</w:t>
            </w:r>
            <w:r w:rsidRPr="001C289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that </w:t>
            </w:r>
            <w:r w:rsidRPr="001C2898">
              <w:rPr>
                <w:szCs w:val="24"/>
              </w:rPr>
              <w:t xml:space="preserve">the </w:t>
            </w:r>
            <w:r w:rsidRPr="001C2898">
              <w:rPr>
                <w:szCs w:val="24"/>
                <w:highlight w:val="yellow"/>
              </w:rPr>
              <w:t>budgetary difficulty that delegates</w:t>
            </w:r>
            <w:r w:rsidRPr="001C2898">
              <w:rPr>
                <w:szCs w:val="24"/>
              </w:rPr>
              <w:t xml:space="preserve"> from many countries, and in particular </w:t>
            </w:r>
            <w:r w:rsidRPr="001C2898">
              <w:rPr>
                <w:szCs w:val="24"/>
                <w:highlight w:val="yellow"/>
              </w:rPr>
              <w:t>developing countries</w:t>
            </w:r>
            <w:r w:rsidRPr="001C2898">
              <w:rPr>
                <w:szCs w:val="24"/>
              </w:rPr>
              <w:t>, have in travelling to participate in face-to-face ITU meetings;</w:t>
            </w:r>
          </w:p>
          <w:p w14:paraId="7FB7C134" w14:textId="7901E4DD" w:rsidR="001C2898" w:rsidRPr="001C2898" w:rsidRDefault="001C2898" w:rsidP="005766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403F41"/>
                <w:szCs w:val="24"/>
                <w:lang w:val="en-US" w:bidi="he-IL"/>
              </w:rPr>
            </w:pPr>
            <w:r w:rsidRPr="001C2898">
              <w:rPr>
                <w:i/>
                <w:iCs/>
                <w:color w:val="403F41"/>
                <w:szCs w:val="24"/>
                <w:lang w:val="en-US" w:bidi="he-IL"/>
              </w:rPr>
              <w:t xml:space="preserve">e) </w:t>
            </w:r>
            <w:r w:rsidRPr="001C2898">
              <w:rPr>
                <w:color w:val="403F41"/>
                <w:szCs w:val="24"/>
                <w:lang w:val="en-US" w:bidi="he-IL"/>
              </w:rPr>
              <w:t>that the current status of interactive remote participation allows "</w:t>
            </w:r>
            <w:r w:rsidRPr="001C2898">
              <w:rPr>
                <w:color w:val="403F41"/>
                <w:szCs w:val="24"/>
                <w:highlight w:val="yellow"/>
                <w:lang w:val="en-US" w:bidi="he-IL"/>
              </w:rPr>
              <w:t>remote intervention</w:t>
            </w:r>
            <w:r w:rsidRPr="001C2898">
              <w:rPr>
                <w:color w:val="403F41"/>
                <w:szCs w:val="24"/>
                <w:lang w:val="en-US" w:bidi="he-IL"/>
              </w:rPr>
              <w:t>"</w:t>
            </w:r>
            <w:r>
              <w:rPr>
                <w:color w:val="403F41"/>
                <w:szCs w:val="24"/>
                <w:lang w:val="en-US" w:bidi="he-IL"/>
              </w:rPr>
              <w:t xml:space="preserve"> </w:t>
            </w:r>
            <w:r w:rsidRPr="001C2898">
              <w:rPr>
                <w:color w:val="403F41"/>
                <w:szCs w:val="24"/>
                <w:lang w:val="en-US" w:bidi="he-IL"/>
              </w:rPr>
              <w:t>rather than "</w:t>
            </w:r>
            <w:r w:rsidRPr="001C2898">
              <w:rPr>
                <w:color w:val="403F41"/>
                <w:szCs w:val="24"/>
                <w:highlight w:val="yellow"/>
                <w:lang w:val="en-US" w:bidi="he-IL"/>
              </w:rPr>
              <w:t>remote participation</w:t>
            </w:r>
            <w:r w:rsidRPr="001C2898">
              <w:rPr>
                <w:color w:val="403F41"/>
                <w:szCs w:val="24"/>
                <w:lang w:val="en-US" w:bidi="he-IL"/>
              </w:rPr>
              <w:t>", insofar as a remote participant cannot take part in decision</w:t>
            </w:r>
            <w:r>
              <w:rPr>
                <w:color w:val="403F41"/>
                <w:szCs w:val="24"/>
                <w:lang w:val="en-US" w:bidi="he-IL"/>
              </w:rPr>
              <w:t xml:space="preserve"> </w:t>
            </w:r>
            <w:r w:rsidRPr="001C2898">
              <w:rPr>
                <w:color w:val="403F41"/>
                <w:szCs w:val="24"/>
                <w:lang w:val="en-US" w:bidi="he-IL"/>
              </w:rPr>
              <w:t>making</w:t>
            </w:r>
            <w:r w:rsidR="001E7B89">
              <w:rPr>
                <w:color w:val="403F41"/>
                <w:szCs w:val="24"/>
                <w:lang w:val="en-US" w:bidi="he-IL"/>
              </w:rPr>
              <w:t>.</w:t>
            </w:r>
          </w:p>
          <w:p w14:paraId="126A25D8" w14:textId="77777777" w:rsidR="00013BF2" w:rsidRDefault="00CB306B" w:rsidP="00576609">
            <w:pPr>
              <w:rPr>
                <w:szCs w:val="24"/>
              </w:rPr>
            </w:pPr>
            <w:r w:rsidRPr="00013BF2">
              <w:rPr>
                <w:i/>
                <w:iCs/>
                <w:szCs w:val="24"/>
              </w:rPr>
              <w:t xml:space="preserve">resolves </w:t>
            </w:r>
            <w:r w:rsidRPr="00013BF2">
              <w:rPr>
                <w:szCs w:val="24"/>
              </w:rPr>
              <w:t xml:space="preserve">1 that ITU should continue to develop its facilities and capabilities to organize and conduct fully virtual meetings and </w:t>
            </w:r>
            <w:r w:rsidRPr="00013BF2">
              <w:rPr>
                <w:szCs w:val="24"/>
                <w:highlight w:val="yellow"/>
              </w:rPr>
              <w:t>physical meetings with remote participation</w:t>
            </w:r>
            <w:r w:rsidRPr="00013BF2">
              <w:rPr>
                <w:szCs w:val="24"/>
              </w:rPr>
              <w:t xml:space="preserve"> by electronic means for the meetings of the Union;’ </w:t>
            </w:r>
          </w:p>
          <w:p w14:paraId="3A09FAB7" w14:textId="18E4EF08" w:rsidR="00C623BC" w:rsidRDefault="00C623BC" w:rsidP="00C623BC">
            <w:pPr>
              <w:jc w:val="both"/>
              <w:rPr>
                <w:szCs w:val="24"/>
              </w:rPr>
            </w:pPr>
            <w:r w:rsidRPr="00013BF2">
              <w:rPr>
                <w:i/>
                <w:iCs/>
                <w:szCs w:val="24"/>
              </w:rPr>
              <w:t>resolves</w:t>
            </w:r>
            <w:r w:rsidRPr="00C623BC">
              <w:rPr>
                <w:szCs w:val="24"/>
              </w:rPr>
              <w:t xml:space="preserve"> 4 that the Union further study the impact of remote participation on existing rules of</w:t>
            </w:r>
            <w:r>
              <w:rPr>
                <w:szCs w:val="24"/>
              </w:rPr>
              <w:t xml:space="preserve"> </w:t>
            </w:r>
            <w:r w:rsidRPr="00C623BC">
              <w:rPr>
                <w:szCs w:val="24"/>
              </w:rPr>
              <w:t xml:space="preserve">procedure, especially regarding </w:t>
            </w:r>
            <w:r w:rsidRPr="00C623BC">
              <w:rPr>
                <w:szCs w:val="24"/>
                <w:highlight w:val="yellow"/>
              </w:rPr>
              <w:t>decision-making</w:t>
            </w:r>
            <w:r w:rsidRPr="00C623BC">
              <w:rPr>
                <w:szCs w:val="24"/>
              </w:rPr>
              <w:t xml:space="preserve"> in different types of meetings;</w:t>
            </w:r>
          </w:p>
          <w:p w14:paraId="206026B8" w14:textId="77777777" w:rsidR="00390CA2" w:rsidRDefault="00CB306B" w:rsidP="00013BF2">
            <w:pPr>
              <w:rPr>
                <w:szCs w:val="24"/>
              </w:rPr>
            </w:pPr>
            <w:r w:rsidRPr="00013BF2">
              <w:rPr>
                <w:i/>
                <w:iCs/>
                <w:szCs w:val="24"/>
              </w:rPr>
              <w:t>resolves</w:t>
            </w:r>
            <w:r w:rsidRPr="00013BF2">
              <w:rPr>
                <w:szCs w:val="24"/>
              </w:rPr>
              <w:t xml:space="preserve"> 6 ‘to </w:t>
            </w:r>
            <w:r w:rsidRPr="001E7B89">
              <w:rPr>
                <w:szCs w:val="24"/>
                <w:highlight w:val="yellow"/>
              </w:rPr>
              <w:t>encourage remote participation</w:t>
            </w:r>
            <w:r w:rsidRPr="00013BF2">
              <w:rPr>
                <w:szCs w:val="24"/>
              </w:rPr>
              <w:t xml:space="preserve"> of </w:t>
            </w:r>
            <w:r w:rsidRPr="001E7B89">
              <w:rPr>
                <w:szCs w:val="24"/>
                <w:highlight w:val="yellow"/>
              </w:rPr>
              <w:t>developing countries</w:t>
            </w:r>
            <w:r w:rsidRPr="00013BF2">
              <w:rPr>
                <w:szCs w:val="24"/>
              </w:rPr>
              <w:t xml:space="preserve"> in meetings, workshops and training…’ </w:t>
            </w:r>
          </w:p>
          <w:p w14:paraId="5398F2C7" w14:textId="7CC3D48B" w:rsidR="00390CA2" w:rsidRDefault="00390CA2" w:rsidP="009622FF">
            <w:pPr>
              <w:pStyle w:val="Call"/>
              <w:rPr>
                <w:rtl/>
              </w:rPr>
            </w:pPr>
            <w:r w:rsidRPr="00390CA2">
              <w:t>instructs the Secretary-General, in consultation and collaboration with the Directors of</w:t>
            </w:r>
            <w:r w:rsidRPr="00390CA2">
              <w:cr/>
              <w:t>the three Bureaux</w:t>
            </w:r>
          </w:p>
          <w:p w14:paraId="6ADB98C1" w14:textId="089789F8" w:rsidR="00DF2120" w:rsidRDefault="00DF2120" w:rsidP="00DF2120">
            <w:pPr>
              <w:jc w:val="both"/>
              <w:rPr>
                <w:szCs w:val="24"/>
                <w:lang w:val="en-US"/>
              </w:rPr>
            </w:pPr>
            <w:r w:rsidRPr="00DF2120">
              <w:rPr>
                <w:szCs w:val="24"/>
                <w:lang w:val="en-US"/>
              </w:rPr>
              <w:t xml:space="preserve">2 to involve the </w:t>
            </w:r>
            <w:r w:rsidRPr="00DF2120">
              <w:rPr>
                <w:szCs w:val="24"/>
                <w:highlight w:val="yellow"/>
                <w:lang w:val="en-US"/>
              </w:rPr>
              <w:t>advisory groups</w:t>
            </w:r>
            <w:r w:rsidRPr="00DF2120">
              <w:rPr>
                <w:szCs w:val="24"/>
                <w:lang w:val="en-US"/>
              </w:rPr>
              <w:t xml:space="preserve"> in the further evaluation of the use of fully virtual meetings</w:t>
            </w:r>
            <w:r>
              <w:rPr>
                <w:szCs w:val="24"/>
                <w:lang w:val="en-US"/>
              </w:rPr>
              <w:t xml:space="preserve"> </w:t>
            </w:r>
            <w:r w:rsidRPr="00DF2120">
              <w:rPr>
                <w:szCs w:val="24"/>
                <w:lang w:val="en-US"/>
              </w:rPr>
              <w:t xml:space="preserve">and </w:t>
            </w:r>
            <w:r w:rsidRPr="00DF2120">
              <w:rPr>
                <w:szCs w:val="24"/>
                <w:highlight w:val="yellow"/>
                <w:lang w:val="en-US"/>
              </w:rPr>
              <w:t>physical meetings with remote participation</w:t>
            </w:r>
            <w:r w:rsidRPr="00DF2120">
              <w:rPr>
                <w:szCs w:val="24"/>
                <w:lang w:val="en-US"/>
              </w:rPr>
              <w:t>, including the legal aspects;</w:t>
            </w:r>
          </w:p>
          <w:p w14:paraId="6CDA1100" w14:textId="7E229630" w:rsidR="00390CA2" w:rsidRDefault="00DF2120" w:rsidP="00632D2D">
            <w:pPr>
              <w:jc w:val="both"/>
              <w:rPr>
                <w:szCs w:val="24"/>
              </w:rPr>
            </w:pPr>
            <w:r w:rsidRPr="00DF2120">
              <w:rPr>
                <w:szCs w:val="24"/>
                <w:lang w:val="en-US"/>
              </w:rPr>
              <w:t xml:space="preserve">3 to report to the </w:t>
            </w:r>
            <w:r w:rsidRPr="00632D2D">
              <w:rPr>
                <w:szCs w:val="24"/>
                <w:highlight w:val="yellow"/>
                <w:lang w:val="en-US"/>
              </w:rPr>
              <w:t>Council</w:t>
            </w:r>
            <w:r w:rsidRPr="00DF2120">
              <w:rPr>
                <w:szCs w:val="24"/>
                <w:lang w:val="en-US"/>
              </w:rPr>
              <w:t xml:space="preserve"> on an ongoing basis on the developments made with regard to</w:t>
            </w:r>
            <w:r>
              <w:rPr>
                <w:szCs w:val="24"/>
                <w:lang w:val="en-US"/>
              </w:rPr>
              <w:t xml:space="preserve"> </w:t>
            </w:r>
            <w:r w:rsidRPr="00DF2120">
              <w:rPr>
                <w:szCs w:val="24"/>
                <w:lang w:val="en-US"/>
              </w:rPr>
              <w:t xml:space="preserve">fully virtual meetings and </w:t>
            </w:r>
            <w:r w:rsidRPr="00632D2D">
              <w:rPr>
                <w:szCs w:val="24"/>
                <w:highlight w:val="yellow"/>
                <w:lang w:val="en-US"/>
              </w:rPr>
              <w:t>physical meetings with remote participation</w:t>
            </w:r>
            <w:r w:rsidRPr="00DF2120">
              <w:rPr>
                <w:szCs w:val="24"/>
                <w:lang w:val="en-US"/>
              </w:rPr>
              <w:t xml:space="preserve">, in order to </w:t>
            </w:r>
            <w:r w:rsidRPr="00632D2D">
              <w:rPr>
                <w:szCs w:val="24"/>
                <w:highlight w:val="yellow"/>
                <w:lang w:val="en-US"/>
              </w:rPr>
              <w:t>assess progress</w:t>
            </w:r>
            <w:r w:rsidR="00632D2D">
              <w:rPr>
                <w:szCs w:val="24"/>
                <w:lang w:val="en-US"/>
              </w:rPr>
              <w:t xml:space="preserve"> </w:t>
            </w:r>
            <w:r w:rsidRPr="00DF2120">
              <w:rPr>
                <w:szCs w:val="24"/>
                <w:lang w:val="en-US"/>
              </w:rPr>
              <w:t>in their use within ITU</w:t>
            </w:r>
            <w:r w:rsidR="000E1EBB">
              <w:rPr>
                <w:szCs w:val="24"/>
                <w:lang w:val="en-US"/>
              </w:rPr>
              <w:t>.</w:t>
            </w:r>
          </w:p>
          <w:p w14:paraId="09137B2F" w14:textId="7FF5B1A5" w:rsidR="00912E41" w:rsidRDefault="00912E41" w:rsidP="00912E41">
            <w:pPr>
              <w:pStyle w:val="Heading1"/>
            </w:pPr>
            <w:r>
              <w:t>3</w:t>
            </w:r>
            <w:r>
              <w:tab/>
            </w:r>
            <w:r w:rsidR="00BA40BF">
              <w:t xml:space="preserve">ATDI </w:t>
            </w:r>
            <w:r w:rsidRPr="00E657DC">
              <w:t>Proposal</w:t>
            </w:r>
          </w:p>
          <w:p w14:paraId="1025B883" w14:textId="68FE2552" w:rsidR="00093C73" w:rsidRPr="009622FF" w:rsidRDefault="000E1EBB" w:rsidP="000A0189">
            <w:r w:rsidRPr="00F55781">
              <w:t xml:space="preserve">Remote </w:t>
            </w:r>
            <w:r w:rsidR="00F55781" w:rsidRPr="00F55781">
              <w:t xml:space="preserve">attendance </w:t>
            </w:r>
            <w:r>
              <w:t xml:space="preserve">for ITU membership </w:t>
            </w:r>
            <w:r w:rsidR="00F55781" w:rsidRPr="00F55781">
              <w:t xml:space="preserve">needs to be facilitated </w:t>
            </w:r>
            <w:r w:rsidR="001E7B89">
              <w:t>at the WRC-23 and RA-23,</w:t>
            </w:r>
            <w:r w:rsidR="00416DD3">
              <w:t xml:space="preserve"> </w:t>
            </w:r>
            <w:r w:rsidR="00F55781" w:rsidRPr="00F55781">
              <w:t xml:space="preserve">in order to improve the equitable access of the </w:t>
            </w:r>
            <w:r w:rsidR="00BA40BF">
              <w:t xml:space="preserve">ITU </w:t>
            </w:r>
            <w:r w:rsidR="00F55781" w:rsidRPr="00F55781">
              <w:t>membership</w:t>
            </w:r>
            <w:r w:rsidR="00902951">
              <w:t>, including developing countries</w:t>
            </w:r>
            <w:r w:rsidR="00F55781" w:rsidRPr="00F55781">
              <w:t xml:space="preserve">. </w:t>
            </w:r>
            <w:r w:rsidR="00416DD3">
              <w:t xml:space="preserve">Remote participation </w:t>
            </w:r>
            <w:r w:rsidR="00F55781" w:rsidRPr="00F55781">
              <w:t>needs to be extended down to the W</w:t>
            </w:r>
            <w:r w:rsidR="001E7B89">
              <w:t xml:space="preserve">orking </w:t>
            </w:r>
            <w:r w:rsidR="00F55781" w:rsidRPr="00F55781">
              <w:t>G</w:t>
            </w:r>
            <w:r w:rsidR="001E7B89">
              <w:t xml:space="preserve">roups </w:t>
            </w:r>
            <w:r w:rsidR="00F55781" w:rsidRPr="00F55781">
              <w:t>level</w:t>
            </w:r>
            <w:r w:rsidR="001E7B89">
              <w:t>s</w:t>
            </w:r>
            <w:r w:rsidR="00F55781" w:rsidRPr="00F55781">
              <w:t>.</w:t>
            </w:r>
            <w:r w:rsidR="001E7B89">
              <w:t xml:space="preserve"> </w:t>
            </w:r>
          </w:p>
        </w:tc>
      </w:tr>
    </w:tbl>
    <w:bookmarkEnd w:id="5"/>
    <w:p w14:paraId="453D3157" w14:textId="77777777" w:rsidR="001C5E6E" w:rsidRDefault="001C5E6E">
      <w:pPr>
        <w:jc w:val="center"/>
      </w:pPr>
      <w:r>
        <w:lastRenderedPageBreak/>
        <w:t>______________</w:t>
      </w:r>
    </w:p>
    <w:p w14:paraId="77D9E2E0" w14:textId="11F70A05" w:rsidR="00DF5902" w:rsidRDefault="00DF5902" w:rsidP="00DF590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</w:p>
    <w:sectPr w:rsidR="00DF5902" w:rsidSect="00DF5902">
      <w:headerReference w:type="default" r:id="rId16"/>
      <w:pgSz w:w="11907" w:h="16840" w:code="9"/>
      <w:pgMar w:top="1089" w:right="1089" w:bottom="1089" w:left="1089" w:header="482" w:footer="48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F8FF5" w14:textId="77777777" w:rsidR="00D61774" w:rsidRDefault="00D61774">
      <w:r>
        <w:separator/>
      </w:r>
    </w:p>
  </w:endnote>
  <w:endnote w:type="continuationSeparator" w:id="0">
    <w:p w14:paraId="23DE0ED5" w14:textId="77777777" w:rsidR="00D61774" w:rsidRDefault="00D6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LightItalic">
    <w:altName w:val="Calibri"/>
    <w:charset w:val="00"/>
    <w:family w:val="auto"/>
    <w:pitch w:val="default"/>
  </w:font>
  <w:font w:name="Calibri-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5825" w14:textId="77777777" w:rsidR="00D61774" w:rsidRDefault="00D61774">
      <w:r>
        <w:t>____________________</w:t>
      </w:r>
    </w:p>
  </w:footnote>
  <w:footnote w:type="continuationSeparator" w:id="0">
    <w:p w14:paraId="095164E3" w14:textId="77777777" w:rsidR="00D61774" w:rsidRDefault="00D61774">
      <w:r>
        <w:continuationSeparator/>
      </w:r>
    </w:p>
  </w:footnote>
  <w:footnote w:id="1">
    <w:p w14:paraId="13B9E293" w14:textId="77777777" w:rsidR="00350B48" w:rsidRPr="00771E24" w:rsidRDefault="00350B48" w:rsidP="00350B48">
      <w:pPr>
        <w:pStyle w:val="FootnoteText"/>
        <w:rPr>
          <w:szCs w:val="24"/>
          <w:lang w:val="en-US"/>
        </w:rPr>
      </w:pPr>
      <w:r>
        <w:rPr>
          <w:rStyle w:val="FootnoteReference"/>
        </w:rPr>
        <w:footnoteRef/>
      </w:r>
      <w:r>
        <w:tab/>
      </w:r>
      <w:r w:rsidRPr="00771E24">
        <w:rPr>
          <w:b/>
          <w:bCs/>
          <w:szCs w:val="24"/>
        </w:rPr>
        <w:t>Contact:</w:t>
      </w:r>
      <w:r w:rsidRPr="00771E24">
        <w:rPr>
          <w:szCs w:val="24"/>
        </w:rPr>
        <w:t xml:space="preserve"> </w:t>
      </w:r>
      <w:proofErr w:type="spellStart"/>
      <w:r w:rsidRPr="00771E24">
        <w:rPr>
          <w:szCs w:val="24"/>
        </w:rPr>
        <w:t>Dr.</w:t>
      </w:r>
      <w:proofErr w:type="spellEnd"/>
      <w:r w:rsidRPr="00771E24">
        <w:rPr>
          <w:szCs w:val="24"/>
        </w:rPr>
        <w:t xml:space="preserve"> Haim Mazar; </w:t>
      </w:r>
      <w:hyperlink r:id="rId1" w:history="1">
        <w:r w:rsidRPr="00771E24">
          <w:rPr>
            <w:rStyle w:val="Hyperlink"/>
            <w:szCs w:val="24"/>
          </w:rPr>
          <w:t>ATDI</w:t>
        </w:r>
      </w:hyperlink>
      <w:r w:rsidRPr="00771E24">
        <w:rPr>
          <w:szCs w:val="24"/>
        </w:rPr>
        <w:t xml:space="preserve">; </w:t>
      </w:r>
      <w:hyperlink r:id="rId2" w:history="1">
        <w:r w:rsidRPr="00771E24">
          <w:rPr>
            <w:rStyle w:val="Hyperlink"/>
            <w:szCs w:val="24"/>
          </w:rPr>
          <w:t>h.mazar@atdi-group.com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C4A7" w14:textId="247EA7E5" w:rsidR="00C126C1" w:rsidRDefault="00C126C1" w:rsidP="001E41A0">
    <w:pPr>
      <w:pStyle w:val="Header"/>
      <w:rPr>
        <w:noProof/>
      </w:rPr>
    </w:pPr>
    <w:r>
      <w:fldChar w:fldCharType="begin"/>
    </w:r>
    <w:r>
      <w:instrText xml:space="preserve"> PAGE </w:instrText>
    </w:r>
    <w:r>
      <w:fldChar w:fldCharType="separate"/>
    </w:r>
    <w:r w:rsidR="00237E22">
      <w:rPr>
        <w:noProof/>
      </w:rPr>
      <w:t>2</w:t>
    </w:r>
    <w:r>
      <w:rPr>
        <w:noProof/>
      </w:rPr>
      <w:fldChar w:fldCharType="end"/>
    </w:r>
  </w:p>
  <w:p w14:paraId="29FBCA45" w14:textId="0991E335" w:rsidR="009622FF" w:rsidRDefault="009622FF" w:rsidP="001E41A0">
    <w:pPr>
      <w:pStyle w:val="Header"/>
      <w:rPr>
        <w:lang w:val="es-ES"/>
      </w:rPr>
    </w:pPr>
    <w:r>
      <w:rPr>
        <w:noProof/>
      </w:rPr>
      <w:t>RAG/</w:t>
    </w:r>
    <w:r w:rsidR="001C5E6E">
      <w:rPr>
        <w:noProof/>
      </w:rPr>
      <w:t>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9460E"/>
    <w:multiLevelType w:val="hybridMultilevel"/>
    <w:tmpl w:val="7C52FB28"/>
    <w:lvl w:ilvl="0" w:tplc="D7EAAA3E">
      <w:start w:val="1"/>
      <w:numFmt w:val="decimal"/>
      <w:lvlText w:val="%1"/>
      <w:lvlJc w:val="left"/>
      <w:pPr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E381C"/>
    <w:multiLevelType w:val="hybridMultilevel"/>
    <w:tmpl w:val="2E723260"/>
    <w:lvl w:ilvl="0" w:tplc="49C47414">
      <w:start w:val="1"/>
      <w:numFmt w:val="decimal"/>
      <w:lvlText w:val="%1.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67784551">
    <w:abstractNumId w:val="9"/>
  </w:num>
  <w:num w:numId="2" w16cid:durableId="19362824">
    <w:abstractNumId w:val="7"/>
  </w:num>
  <w:num w:numId="3" w16cid:durableId="746223419">
    <w:abstractNumId w:val="6"/>
  </w:num>
  <w:num w:numId="4" w16cid:durableId="1466125449">
    <w:abstractNumId w:val="5"/>
  </w:num>
  <w:num w:numId="5" w16cid:durableId="768891147">
    <w:abstractNumId w:val="4"/>
  </w:num>
  <w:num w:numId="6" w16cid:durableId="976884544">
    <w:abstractNumId w:val="8"/>
  </w:num>
  <w:num w:numId="7" w16cid:durableId="1739286051">
    <w:abstractNumId w:val="3"/>
  </w:num>
  <w:num w:numId="8" w16cid:durableId="495073834">
    <w:abstractNumId w:val="2"/>
  </w:num>
  <w:num w:numId="9" w16cid:durableId="344484630">
    <w:abstractNumId w:val="1"/>
  </w:num>
  <w:num w:numId="10" w16cid:durableId="750200522">
    <w:abstractNumId w:val="0"/>
  </w:num>
  <w:num w:numId="11" w16cid:durableId="1403915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1315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41"/>
    <w:rsid w:val="00013BF2"/>
    <w:rsid w:val="00083A3A"/>
    <w:rsid w:val="00093C73"/>
    <w:rsid w:val="000A0189"/>
    <w:rsid w:val="000B6416"/>
    <w:rsid w:val="000E1EBB"/>
    <w:rsid w:val="000F2431"/>
    <w:rsid w:val="001377D6"/>
    <w:rsid w:val="001632FD"/>
    <w:rsid w:val="001910CE"/>
    <w:rsid w:val="001A0041"/>
    <w:rsid w:val="001C2898"/>
    <w:rsid w:val="001C5E6E"/>
    <w:rsid w:val="001E41A0"/>
    <w:rsid w:val="001E7B89"/>
    <w:rsid w:val="00237E22"/>
    <w:rsid w:val="0024491C"/>
    <w:rsid w:val="00246688"/>
    <w:rsid w:val="002774E4"/>
    <w:rsid w:val="002F4DA3"/>
    <w:rsid w:val="00350B48"/>
    <w:rsid w:val="00390CA2"/>
    <w:rsid w:val="003D068D"/>
    <w:rsid w:val="003E2CE2"/>
    <w:rsid w:val="00416DD3"/>
    <w:rsid w:val="00420F57"/>
    <w:rsid w:val="00454DFD"/>
    <w:rsid w:val="00481551"/>
    <w:rsid w:val="004B6F40"/>
    <w:rsid w:val="004F0848"/>
    <w:rsid w:val="00507DA3"/>
    <w:rsid w:val="0051782D"/>
    <w:rsid w:val="00576609"/>
    <w:rsid w:val="00597657"/>
    <w:rsid w:val="005B2C58"/>
    <w:rsid w:val="005F7DF3"/>
    <w:rsid w:val="00632D2D"/>
    <w:rsid w:val="00651147"/>
    <w:rsid w:val="00656189"/>
    <w:rsid w:val="006B4CFB"/>
    <w:rsid w:val="00734E15"/>
    <w:rsid w:val="00746923"/>
    <w:rsid w:val="007568A3"/>
    <w:rsid w:val="00762732"/>
    <w:rsid w:val="00786385"/>
    <w:rsid w:val="007934C9"/>
    <w:rsid w:val="007F55BA"/>
    <w:rsid w:val="00800E93"/>
    <w:rsid w:val="00806E63"/>
    <w:rsid w:val="0081028D"/>
    <w:rsid w:val="00815753"/>
    <w:rsid w:val="0084143F"/>
    <w:rsid w:val="00865281"/>
    <w:rsid w:val="00881574"/>
    <w:rsid w:val="008A004A"/>
    <w:rsid w:val="008A2CA6"/>
    <w:rsid w:val="008B3F50"/>
    <w:rsid w:val="008F5AE1"/>
    <w:rsid w:val="00902951"/>
    <w:rsid w:val="00906598"/>
    <w:rsid w:val="00912E41"/>
    <w:rsid w:val="0095426A"/>
    <w:rsid w:val="009622FF"/>
    <w:rsid w:val="00971BF2"/>
    <w:rsid w:val="00977C78"/>
    <w:rsid w:val="00985522"/>
    <w:rsid w:val="009D27EC"/>
    <w:rsid w:val="009D498C"/>
    <w:rsid w:val="00A02F43"/>
    <w:rsid w:val="00A047A4"/>
    <w:rsid w:val="00A16CB2"/>
    <w:rsid w:val="00A21101"/>
    <w:rsid w:val="00A55F46"/>
    <w:rsid w:val="00AB2F36"/>
    <w:rsid w:val="00AF7CE7"/>
    <w:rsid w:val="00B15B75"/>
    <w:rsid w:val="00B35BE4"/>
    <w:rsid w:val="00B409FB"/>
    <w:rsid w:val="00B52992"/>
    <w:rsid w:val="00B55EA0"/>
    <w:rsid w:val="00B70E14"/>
    <w:rsid w:val="00BA40BF"/>
    <w:rsid w:val="00BC5A24"/>
    <w:rsid w:val="00C126C1"/>
    <w:rsid w:val="00C2188B"/>
    <w:rsid w:val="00C31417"/>
    <w:rsid w:val="00C322C4"/>
    <w:rsid w:val="00C623BC"/>
    <w:rsid w:val="00CB306B"/>
    <w:rsid w:val="00CC1D49"/>
    <w:rsid w:val="00CD4D80"/>
    <w:rsid w:val="00CE366B"/>
    <w:rsid w:val="00CF7532"/>
    <w:rsid w:val="00D03E43"/>
    <w:rsid w:val="00D211BC"/>
    <w:rsid w:val="00D61774"/>
    <w:rsid w:val="00D756AC"/>
    <w:rsid w:val="00D95F54"/>
    <w:rsid w:val="00DC3B29"/>
    <w:rsid w:val="00DD3BF8"/>
    <w:rsid w:val="00DF2120"/>
    <w:rsid w:val="00DF5902"/>
    <w:rsid w:val="00E74E47"/>
    <w:rsid w:val="00EC0BE3"/>
    <w:rsid w:val="00F176DA"/>
    <w:rsid w:val="00F55781"/>
    <w:rsid w:val="00F749FF"/>
    <w:rsid w:val="00FB510F"/>
    <w:rsid w:val="00FC1E29"/>
    <w:rsid w:val="00FE56BC"/>
    <w:rsid w:val="00FF1290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7AB457"/>
  <w15:docId w15:val="{586B3DE5-824E-40F5-BF07-E1FE2DD1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uiPriority w:val="99"/>
    <w:qFormat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qFormat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qFormat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link w:val="Title1Char"/>
    <w:qFormat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customStyle="1" w:styleId="Docnumber">
    <w:name w:val="Docnumber"/>
    <w:basedOn w:val="Normal"/>
    <w:link w:val="DocnumberChar"/>
    <w:qFormat/>
    <w:rsid w:val="00762732"/>
    <w:pPr>
      <w:jc w:val="right"/>
    </w:pPr>
    <w:rPr>
      <w:rFonts w:eastAsia="SimSun"/>
      <w:b/>
      <w:sz w:val="32"/>
    </w:rPr>
  </w:style>
  <w:style w:type="character" w:customStyle="1" w:styleId="DocnumberChar">
    <w:name w:val="Docnumber Char"/>
    <w:link w:val="Docnumber"/>
    <w:rsid w:val="00762732"/>
    <w:rPr>
      <w:rFonts w:ascii="Times New Roman" w:eastAsia="SimSun" w:hAnsi="Times New Roman"/>
      <w:b/>
      <w:sz w:val="32"/>
      <w:lang w:val="en-GB" w:eastAsia="en-US"/>
    </w:r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762732"/>
    <w:rPr>
      <w:color w:val="0000FF"/>
      <w:u w:val="single"/>
    </w:rPr>
  </w:style>
  <w:style w:type="paragraph" w:customStyle="1" w:styleId="LSDeadline">
    <w:name w:val="LSDeadline"/>
    <w:basedOn w:val="Normal"/>
    <w:next w:val="Normal"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paragraph" w:customStyle="1" w:styleId="LSForAction">
    <w:name w:val="LSForAction"/>
    <w:basedOn w:val="Normal"/>
    <w:next w:val="Normal"/>
    <w:rsid w:val="00762732"/>
  </w:style>
  <w:style w:type="paragraph" w:customStyle="1" w:styleId="LSForInfo">
    <w:name w:val="LSForInfo"/>
    <w:basedOn w:val="Normal"/>
    <w:next w:val="Normal"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HAnsi"/>
      <w:bCs/>
      <w:szCs w:val="24"/>
      <w:lang w:eastAsia="ja-JP"/>
    </w:rPr>
  </w:style>
  <w:style w:type="paragraph" w:customStyle="1" w:styleId="VenueDate">
    <w:name w:val="VenueDate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TSBHeaderQuestion">
    <w:name w:val="TSBHeaderQuestion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Source">
    <w:name w:val="TSBHeaderSource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Title">
    <w:name w:val="TSBHeaderTitle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Summary">
    <w:name w:val="TSBHeaderSummary"/>
    <w:basedOn w:val="Normal"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LSApproval">
    <w:name w:val="LSApproval"/>
    <w:basedOn w:val="Normal"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TSBHeaderRight14">
    <w:name w:val="TSBHeaderRight14"/>
    <w:basedOn w:val="Normal"/>
    <w:qFormat/>
    <w:rsid w:val="00762732"/>
    <w:pPr>
      <w:jc w:val="right"/>
    </w:pPr>
    <w:rPr>
      <w:b/>
      <w:bCs/>
      <w:sz w:val="28"/>
      <w:szCs w:val="28"/>
    </w:rPr>
  </w:style>
  <w:style w:type="table" w:styleId="TableGrid">
    <w:name w:val="Table Grid"/>
    <w:basedOn w:val="TableNormal"/>
    <w:uiPriority w:val="59"/>
    <w:rsid w:val="007627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ourceChar">
    <w:name w:val="Source Char"/>
    <w:link w:val="Source"/>
    <w:locked/>
    <w:rsid w:val="00762732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link w:val="Title1"/>
    <w:qFormat/>
    <w:locked/>
    <w:rsid w:val="00762732"/>
    <w:rPr>
      <w:rFonts w:ascii="Times New Roman" w:hAnsi="Times New Roman"/>
      <w:caps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B306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Theme="minorHAnsi" w:hAnsi="Calibri" w:cs="Calibri"/>
      <w:sz w:val="22"/>
      <w:szCs w:val="22"/>
      <w:lang w:val="en-US"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FF1B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4491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800E93"/>
    <w:rPr>
      <w:rFonts w:ascii="Times New Roman" w:hAnsi="Times New Roman"/>
      <w:b/>
      <w:sz w:val="24"/>
      <w:lang w:val="en-GB" w:eastAsia="en-US"/>
    </w:rPr>
  </w:style>
  <w:style w:type="character" w:customStyle="1" w:styleId="fontstyle01">
    <w:name w:val="fontstyle01"/>
    <w:basedOn w:val="DefaultParagraphFont"/>
    <w:rsid w:val="001C2898"/>
    <w:rPr>
      <w:rFonts w:ascii="Calibri-LightItalic" w:hAnsi="Calibri-LightItalic" w:hint="default"/>
      <w:b w:val="0"/>
      <w:bCs w:val="0"/>
      <w:i/>
      <w:iCs/>
      <w:color w:val="403F41"/>
      <w:sz w:val="18"/>
      <w:szCs w:val="18"/>
    </w:rPr>
  </w:style>
  <w:style w:type="character" w:customStyle="1" w:styleId="fontstyle21">
    <w:name w:val="fontstyle21"/>
    <w:basedOn w:val="DefaultParagraphFont"/>
    <w:rsid w:val="001C2898"/>
    <w:rPr>
      <w:rFonts w:ascii="Calibri-Light" w:hAnsi="Calibri-Light" w:hint="default"/>
      <w:b w:val="0"/>
      <w:bCs w:val="0"/>
      <w:i w:val="0"/>
      <w:iCs w:val="0"/>
      <w:color w:val="403F41"/>
      <w:sz w:val="18"/>
      <w:szCs w:val="18"/>
    </w:rPr>
  </w:style>
  <w:style w:type="paragraph" w:customStyle="1" w:styleId="Reasons">
    <w:name w:val="Reasons"/>
    <w:basedOn w:val="Normal"/>
    <w:qFormat/>
    <w:rsid w:val="009622F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meetingdoc.asp?lang=en&amp;parent=R20-RAG-INF-000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00-CA-CIR-0265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00-CA-CIR-0264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dms_pub/itu-s/opb/conf/S-CONF-ACTF-2022-PDF-E.pdf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dms_pub/itu-s/opb/conf/S-CONF-ACTF-2022-PDF-E.pd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h.mazar@atdi-group.com" TargetMode="External"/><Relationship Id="rId1" Type="http://schemas.openxmlformats.org/officeDocument/2006/relationships/hyperlink" Target="https://atdi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re\Desktop\RAG\Templates\Templates\Englis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CAE478657B44A8F67D90DF00552D0" ma:contentTypeVersion="2" ma:contentTypeDescription="Create a new document." ma:contentTypeScope="" ma:versionID="cdc1b7f9c0cc9929f330bfbd8f41912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E2A166-9F9D-4ED7-864A-8E7F8A736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F909F-E883-4758-915A-B96CF17AB7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F73B8B1-5E22-46A2-B92F-B304FB7CD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English.dotm</Template>
  <TotalTime>8</TotalTime>
  <Pages>2</Pages>
  <Words>586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Faure</dc:creator>
  <cp:keywords/>
  <dc:description>RAG21</dc:description>
  <cp:lastModifiedBy>Bonnici, Adrienne</cp:lastModifiedBy>
  <cp:revision>7</cp:revision>
  <cp:lastPrinted>1999-09-30T15:03:00Z</cp:lastPrinted>
  <dcterms:created xsi:type="dcterms:W3CDTF">2023-04-21T07:20:00Z</dcterms:created>
  <dcterms:modified xsi:type="dcterms:W3CDTF">2023-04-21T14:22:00Z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0x010100D45CAE478657B44A8F67D90DF00552D0</vt:lpwstr>
  </property>
</Properties>
</file>