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9C63050" w14:textId="77777777" w:rsidTr="00553F66">
        <w:trPr>
          <w:cantSplit/>
          <w:trHeight w:val="20"/>
        </w:trPr>
        <w:tc>
          <w:tcPr>
            <w:tcW w:w="6619" w:type="dxa"/>
          </w:tcPr>
          <w:p w14:paraId="22B37327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595555B7" w14:textId="77777777" w:rsidR="00280E04" w:rsidRDefault="00553F66" w:rsidP="00F52E7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16C93DAF" wp14:editId="41501826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1FA88A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33836F2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EA09923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5E48E3A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39171EC" w14:textId="77777777" w:rsidR="00280E04" w:rsidRPr="00BD6EF3" w:rsidRDefault="00280E04" w:rsidP="00485AE8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DCC68FD" w14:textId="77777777" w:rsidR="00280E04" w:rsidRPr="00BD6EF3" w:rsidRDefault="00280E04" w:rsidP="00485AE8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30601A" w14:paraId="1CE84D0B" w14:textId="77777777" w:rsidTr="00553F66">
        <w:trPr>
          <w:cantSplit/>
        </w:trPr>
        <w:tc>
          <w:tcPr>
            <w:tcW w:w="6619" w:type="dxa"/>
            <w:vMerge w:val="restart"/>
          </w:tcPr>
          <w:p w14:paraId="2C30F228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CC6AD03" w14:textId="0BE4487A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485AE8">
              <w:t>67</w:t>
            </w:r>
            <w:r w:rsidRPr="0012545F">
              <w:t>-A</w:t>
            </w:r>
          </w:p>
        </w:tc>
      </w:tr>
      <w:tr w:rsidR="0030601A" w14:paraId="5763DCFB" w14:textId="77777777" w:rsidTr="00553F66">
        <w:trPr>
          <w:cantSplit/>
        </w:trPr>
        <w:tc>
          <w:tcPr>
            <w:tcW w:w="6619" w:type="dxa"/>
            <w:vMerge/>
          </w:tcPr>
          <w:p w14:paraId="16E069B4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A43D58A" w14:textId="7BBC10E9" w:rsidR="0030601A" w:rsidRPr="0012545F" w:rsidRDefault="00485AE8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14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F668A4">
              <w:rPr>
                <w:rFonts w:hint="cs"/>
                <w:rtl/>
              </w:rPr>
              <w:t>أبريل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801238">
              <w:t>202</w:t>
            </w:r>
            <w:r w:rsidR="008579A5">
              <w:t>3</w:t>
            </w:r>
          </w:p>
        </w:tc>
      </w:tr>
      <w:tr w:rsidR="0030601A" w14:paraId="3AAC3005" w14:textId="77777777" w:rsidTr="00553F66">
        <w:trPr>
          <w:cantSplit/>
        </w:trPr>
        <w:tc>
          <w:tcPr>
            <w:tcW w:w="6619" w:type="dxa"/>
            <w:vMerge/>
          </w:tcPr>
          <w:p w14:paraId="2D217ED3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790B1EDE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645AE7E" w14:textId="77777777" w:rsidTr="00553F66">
        <w:trPr>
          <w:cantSplit/>
        </w:trPr>
        <w:tc>
          <w:tcPr>
            <w:tcW w:w="9672" w:type="dxa"/>
            <w:gridSpan w:val="2"/>
          </w:tcPr>
          <w:p w14:paraId="7ABB15F1" w14:textId="12769532" w:rsidR="00764079" w:rsidRPr="00E621A3" w:rsidRDefault="00485AE8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764079" w14:paraId="4DC0CCF3" w14:textId="77777777" w:rsidTr="00553F66">
        <w:trPr>
          <w:cantSplit/>
        </w:trPr>
        <w:tc>
          <w:tcPr>
            <w:tcW w:w="9672" w:type="dxa"/>
            <w:gridSpan w:val="2"/>
          </w:tcPr>
          <w:p w14:paraId="6A43FFFF" w14:textId="601BEE8B" w:rsidR="00764079" w:rsidRPr="00BD6EF3" w:rsidRDefault="00924F8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اعتبارات وتوصيات بشأن إنشاء أنظمة المعلومات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لمكتب الاتصالات الراديوية</w:t>
            </w:r>
            <w:r w:rsidR="00485AE8">
              <w:rPr>
                <w:rFonts w:hint="cs"/>
                <w:rtl/>
              </w:rPr>
              <w:t xml:space="preserve"> </w:t>
            </w:r>
          </w:p>
        </w:tc>
      </w:tr>
      <w:tr w:rsidR="0012545F" w14:paraId="662D2C7D" w14:textId="77777777" w:rsidTr="00553F66">
        <w:trPr>
          <w:cantSplit/>
        </w:trPr>
        <w:tc>
          <w:tcPr>
            <w:tcW w:w="9672" w:type="dxa"/>
            <w:gridSpan w:val="2"/>
          </w:tcPr>
          <w:p w14:paraId="78837505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6E1091FF" w14:textId="73E35A0F" w:rsidR="00EE60E9" w:rsidRDefault="00485AE8" w:rsidP="00485AE8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7402EF8D" w14:textId="44DFED4E" w:rsidR="00485AE8" w:rsidRDefault="00924F86" w:rsidP="00485A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قام مكتب الاتصالات </w:t>
      </w:r>
      <w:r w:rsidRPr="00FE2CFF">
        <w:rPr>
          <w:rFonts w:hint="cs"/>
          <w:rtl/>
          <w:lang w:val="fr-FR"/>
        </w:rPr>
        <w:t>الراديوية</w:t>
      </w:r>
      <w:r w:rsidRPr="00FE2CFF">
        <w:rPr>
          <w:rFonts w:hint="eastAsia"/>
          <w:rtl/>
          <w:lang w:val="fr-FR"/>
        </w:rPr>
        <w:t> </w:t>
      </w:r>
      <w:r w:rsidRPr="00FE2CFF">
        <w:t>(BR)</w:t>
      </w:r>
      <w:r w:rsidRPr="00FE2CFF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بتعزيز إنشاء أنظمة المعلومات لديه من خلال تطوير أو تحديث البرمجيات وقواعد البيانات ذات الصلة لتنفيذ </w:t>
      </w:r>
      <w:r w:rsidR="00D465CA">
        <w:rPr>
          <w:rFonts w:hint="cs"/>
          <w:rtl/>
          <w:lang w:bidi="ar-EG"/>
        </w:rPr>
        <w:t>قرارات</w:t>
      </w:r>
      <w:r>
        <w:rPr>
          <w:rFonts w:hint="cs"/>
          <w:rtl/>
          <w:lang w:bidi="ar-EG"/>
        </w:rPr>
        <w:t xml:space="preserve"> المؤتمر العالمي للاتصالات الراديوية لعام 2019. وقد أُحرِز تقدم كبير في تيسير عمل الإدارات والمشغلين. وترحب الصين بالجهود المبذولة وتقدرها.</w:t>
      </w:r>
    </w:p>
    <w:p w14:paraId="3ACAC8CF" w14:textId="05D04197" w:rsidR="00485AE8" w:rsidRDefault="00485AE8" w:rsidP="00485AE8">
      <w:pPr>
        <w:pStyle w:val="Heading1"/>
      </w:pPr>
      <w:r>
        <w:t>2</w:t>
      </w:r>
      <w:r>
        <w:rPr>
          <w:rtl/>
        </w:rPr>
        <w:tab/>
      </w:r>
      <w:r w:rsidR="00924F86">
        <w:rPr>
          <w:rFonts w:hint="cs"/>
          <w:rtl/>
        </w:rPr>
        <w:t>اعتبارات وتوصيات بشأن إنشاء أنظمة المعلومات لمكتب الاتصالات الراديوية</w:t>
      </w:r>
      <w:r>
        <w:rPr>
          <w:rFonts w:hint="cs"/>
          <w:rtl/>
        </w:rPr>
        <w:t xml:space="preserve"> </w:t>
      </w:r>
    </w:p>
    <w:p w14:paraId="3A466E9D" w14:textId="293B4204" w:rsidR="00485AE8" w:rsidRPr="0086333F" w:rsidRDefault="00924F86" w:rsidP="00485AE8">
      <w:pPr>
        <w:rPr>
          <w:b/>
          <w:bCs/>
          <w:kern w:val="32"/>
          <w:sz w:val="26"/>
          <w:szCs w:val="26"/>
          <w:rtl/>
          <w:lang w:bidi="ar-EG"/>
        </w:rPr>
      </w:pPr>
      <w:r w:rsidRPr="007B62B9">
        <w:rPr>
          <w:rFonts w:hint="cs"/>
          <w:rtl/>
          <w:lang w:bidi="ar-EG"/>
        </w:rPr>
        <w:t xml:space="preserve">ينص القرار </w:t>
      </w:r>
      <w:r w:rsidR="00CD04FF" w:rsidRPr="007B62B9">
        <w:rPr>
          <w:b/>
          <w:bCs/>
        </w:rPr>
        <w:t>770 (WRC-19)</w:t>
      </w:r>
      <w:r w:rsidRPr="007B62B9">
        <w:rPr>
          <w:rFonts w:hint="cs"/>
          <w:rtl/>
          <w:lang w:bidi="ar-EG"/>
        </w:rPr>
        <w:t xml:space="preserve"> على تطبيق المادة </w:t>
      </w:r>
      <w:r w:rsidRPr="007B62B9">
        <w:rPr>
          <w:rFonts w:hint="cs"/>
          <w:b/>
          <w:bCs/>
          <w:rtl/>
          <w:lang w:bidi="ar-EG"/>
        </w:rPr>
        <w:t>22</w:t>
      </w:r>
      <w:r w:rsidRPr="007B62B9">
        <w:rPr>
          <w:rFonts w:hint="cs"/>
          <w:rtl/>
          <w:lang w:bidi="ar-EG"/>
        </w:rPr>
        <w:t xml:space="preserve"> من لوائح الراديو في </w:t>
      </w:r>
      <w:r w:rsidR="00987D43" w:rsidRPr="007B62B9">
        <w:rPr>
          <w:rFonts w:hint="cs"/>
          <w:rtl/>
          <w:lang w:bidi="ar-EG"/>
        </w:rPr>
        <w:t>نطاقات التردد</w:t>
      </w:r>
      <w:r w:rsidRPr="007B62B9">
        <w:rPr>
          <w:rFonts w:hint="cs"/>
          <w:rtl/>
          <w:lang w:bidi="ar-EG"/>
        </w:rPr>
        <w:t xml:space="preserve"> </w:t>
      </w:r>
      <w:r w:rsidR="00CD04FF" w:rsidRPr="007B62B9">
        <w:rPr>
          <w:lang w:bidi="ar-EG"/>
        </w:rPr>
        <w:t>GHz</w:t>
      </w:r>
      <w:r w:rsidR="00AF7CED" w:rsidRPr="007B62B9">
        <w:rPr>
          <w:lang w:bidi="ar-EG"/>
        </w:rPr>
        <w:t> </w:t>
      </w:r>
      <w:r w:rsidR="00CD04FF" w:rsidRPr="007B62B9">
        <w:rPr>
          <w:lang w:bidi="ar-EG"/>
        </w:rPr>
        <w:t>39,5</w:t>
      </w:r>
      <w:r w:rsidR="00AF7CED" w:rsidRPr="007B62B9">
        <w:rPr>
          <w:lang w:bidi="ar-EG"/>
        </w:rPr>
        <w:noBreakHyphen/>
      </w:r>
      <w:r w:rsidR="00CD04FF" w:rsidRPr="007B62B9">
        <w:rPr>
          <w:lang w:bidi="ar-EG"/>
        </w:rPr>
        <w:t>37,5</w:t>
      </w:r>
      <w:r w:rsidRPr="007B62B9">
        <w:rPr>
          <w:rFonts w:hint="cs"/>
          <w:rtl/>
          <w:lang w:bidi="ar-EG"/>
        </w:rPr>
        <w:t xml:space="preserve"> و</w:t>
      </w:r>
      <w:r w:rsidR="00CD04FF" w:rsidRPr="007B62B9">
        <w:rPr>
          <w:lang w:bidi="ar-EG"/>
        </w:rPr>
        <w:t>GHz</w:t>
      </w:r>
      <w:r w:rsidR="00AF7CED" w:rsidRPr="007B62B9">
        <w:rPr>
          <w:lang w:bidi="ar-EG"/>
        </w:rPr>
        <w:t> </w:t>
      </w:r>
      <w:r w:rsidR="00CD04FF" w:rsidRPr="007B62B9">
        <w:rPr>
          <w:lang w:bidi="ar-EG"/>
        </w:rPr>
        <w:t>42,5</w:t>
      </w:r>
      <w:r w:rsidR="00AF7CED" w:rsidRPr="007B62B9">
        <w:rPr>
          <w:lang w:bidi="ar-EG"/>
        </w:rPr>
        <w:noBreakHyphen/>
      </w:r>
      <w:r w:rsidR="00CD04FF" w:rsidRPr="007B62B9">
        <w:rPr>
          <w:lang w:bidi="ar-EG"/>
        </w:rPr>
        <w:t>39,5</w:t>
      </w:r>
      <w:r w:rsidRPr="007B62B9">
        <w:rPr>
          <w:rFonts w:hint="cs"/>
          <w:rtl/>
          <w:lang w:bidi="ar-EG"/>
        </w:rPr>
        <w:t xml:space="preserve"> و</w:t>
      </w:r>
      <w:r w:rsidR="00CD04FF" w:rsidRPr="007B62B9">
        <w:rPr>
          <w:lang w:bidi="ar-EG"/>
        </w:rPr>
        <w:t>GHz</w:t>
      </w:r>
      <w:r w:rsidR="00AF7CED" w:rsidRPr="007B62B9">
        <w:rPr>
          <w:lang w:bidi="ar-EG"/>
        </w:rPr>
        <w:t> </w:t>
      </w:r>
      <w:r w:rsidR="00CD04FF" w:rsidRPr="007B62B9">
        <w:rPr>
          <w:lang w:bidi="ar-EG"/>
        </w:rPr>
        <w:t>50,2</w:t>
      </w:r>
      <w:r w:rsidR="00AF7CED" w:rsidRPr="007B62B9">
        <w:rPr>
          <w:lang w:bidi="ar-EG"/>
        </w:rPr>
        <w:noBreakHyphen/>
      </w:r>
      <w:r w:rsidR="00CD04FF" w:rsidRPr="007B62B9">
        <w:rPr>
          <w:lang w:bidi="ar-EG"/>
        </w:rPr>
        <w:t>47,2</w:t>
      </w:r>
      <w:r w:rsidRPr="007B62B9">
        <w:rPr>
          <w:rFonts w:hint="cs"/>
          <w:rtl/>
          <w:lang w:bidi="ar-EG"/>
        </w:rPr>
        <w:t xml:space="preserve"> و</w:t>
      </w:r>
      <w:r w:rsidR="00CD04FF" w:rsidRPr="007B62B9">
        <w:rPr>
          <w:lang w:bidi="ar-EG"/>
        </w:rPr>
        <w:t>GHz</w:t>
      </w:r>
      <w:r w:rsidR="00AF7CED" w:rsidRPr="007B62B9">
        <w:rPr>
          <w:lang w:bidi="ar-EG"/>
        </w:rPr>
        <w:t> </w:t>
      </w:r>
      <w:r w:rsidR="00CD04FF" w:rsidRPr="007B62B9">
        <w:rPr>
          <w:lang w:bidi="ar-EG"/>
        </w:rPr>
        <w:t>51,4</w:t>
      </w:r>
      <w:r w:rsidR="00AF7CED" w:rsidRPr="007B62B9">
        <w:rPr>
          <w:lang w:bidi="ar-EG"/>
        </w:rPr>
        <w:noBreakHyphen/>
      </w:r>
      <w:r w:rsidR="00CD04FF" w:rsidRPr="007B62B9">
        <w:rPr>
          <w:lang w:bidi="ar-EG"/>
        </w:rPr>
        <w:t>50,4</w:t>
      </w:r>
      <w:r w:rsidRPr="007B62B9">
        <w:rPr>
          <w:rFonts w:hint="cs"/>
          <w:rtl/>
          <w:lang w:bidi="ar-EG"/>
        </w:rPr>
        <w:t xml:space="preserve"> من أجل حماية </w:t>
      </w:r>
      <w:r w:rsidR="00CD04FF" w:rsidRPr="007B62B9">
        <w:rPr>
          <w:rFonts w:hint="cs"/>
          <w:rtl/>
          <w:lang w:bidi="ar-EG"/>
        </w:rPr>
        <w:t xml:space="preserve">شبكات الخدمة الثابتة الساتلية </w:t>
      </w:r>
      <w:r w:rsidR="00331609" w:rsidRPr="007B62B9">
        <w:rPr>
          <w:lang w:bidi="ar-EG"/>
        </w:rPr>
        <w:t>(FSS)</w:t>
      </w:r>
      <w:r w:rsidR="00CD04FF" w:rsidRPr="007B62B9">
        <w:rPr>
          <w:rFonts w:hint="cs"/>
          <w:rtl/>
          <w:lang w:bidi="ar-EG"/>
        </w:rPr>
        <w:t xml:space="preserve"> والخدمة الإذاعية الساتلية</w:t>
      </w:r>
      <w:r w:rsidR="00BA34BD" w:rsidRPr="007B62B9">
        <w:rPr>
          <w:rFonts w:hint="eastAsia"/>
          <w:rtl/>
          <w:lang w:bidi="ar-EG"/>
        </w:rPr>
        <w:t> </w:t>
      </w:r>
      <w:r w:rsidR="00331609" w:rsidRPr="007B62B9">
        <w:rPr>
          <w:lang w:bidi="ar-EG"/>
        </w:rPr>
        <w:t>(BSS)</w:t>
      </w:r>
      <w:r w:rsidR="00CD04FF" w:rsidRPr="007B62B9">
        <w:rPr>
          <w:rFonts w:hint="cs"/>
          <w:rtl/>
          <w:lang w:bidi="ar-EG"/>
        </w:rPr>
        <w:t xml:space="preserve"> </w:t>
      </w:r>
      <w:r w:rsidR="00331609" w:rsidRPr="007B62B9">
        <w:rPr>
          <w:rFonts w:hint="cs"/>
          <w:rtl/>
          <w:lang w:bidi="ar-EG"/>
        </w:rPr>
        <w:t>المستقر</w:t>
      </w:r>
      <w:r w:rsidR="008C4A8C" w:rsidRPr="007B62B9">
        <w:rPr>
          <w:rFonts w:hint="cs"/>
          <w:rtl/>
          <w:lang w:bidi="ar-EG"/>
        </w:rPr>
        <w:t>ة</w:t>
      </w:r>
      <w:r w:rsidR="00331609" w:rsidRPr="007B62B9">
        <w:rPr>
          <w:rFonts w:hint="cs"/>
          <w:rtl/>
          <w:lang w:bidi="ar-EG"/>
        </w:rPr>
        <w:t xml:space="preserve"> بالنسبة إلى الأرض </w:t>
      </w:r>
      <w:r w:rsidR="00331609" w:rsidRPr="007B62B9">
        <w:rPr>
          <w:lang w:bidi="ar-EG"/>
        </w:rPr>
        <w:t>(GSO)</w:t>
      </w:r>
      <w:r w:rsidR="00331609" w:rsidRPr="007B62B9">
        <w:rPr>
          <w:rFonts w:hint="cs"/>
          <w:rtl/>
          <w:lang w:bidi="ar-EG"/>
        </w:rPr>
        <w:t xml:space="preserve"> من التداخل الذي تسببه أنظمة الخدمة الثابتة الساتلية</w:t>
      </w:r>
      <w:r w:rsidR="008C4A8C" w:rsidRPr="007B62B9">
        <w:rPr>
          <w:rFonts w:hint="cs"/>
          <w:rtl/>
          <w:lang w:bidi="ar-EG"/>
        </w:rPr>
        <w:t xml:space="preserve"> </w:t>
      </w:r>
      <w:r w:rsidR="00331609" w:rsidRPr="007B62B9">
        <w:rPr>
          <w:rFonts w:hint="cs"/>
          <w:rtl/>
          <w:lang w:bidi="ar-EG"/>
        </w:rPr>
        <w:t xml:space="preserve">غير </w:t>
      </w:r>
      <w:r w:rsidR="008C4A8C" w:rsidRPr="007B62B9">
        <w:rPr>
          <w:rFonts w:hint="cs"/>
          <w:rtl/>
          <w:lang w:bidi="ar-EG"/>
        </w:rPr>
        <w:t>ال</w:t>
      </w:r>
      <w:r w:rsidR="00331609" w:rsidRPr="007B62B9">
        <w:rPr>
          <w:rFonts w:hint="cs"/>
          <w:rtl/>
          <w:lang w:bidi="ar-EG"/>
        </w:rPr>
        <w:t>مستقرة بالنسبة إلى الأرض</w:t>
      </w:r>
      <w:r w:rsidR="008B2CA2" w:rsidRPr="007B62B9">
        <w:rPr>
          <w:rFonts w:hint="eastAsia"/>
          <w:rtl/>
          <w:lang w:bidi="ar-EG"/>
        </w:rPr>
        <w:t> </w:t>
      </w:r>
      <w:r w:rsidR="00331609" w:rsidRPr="007B62B9">
        <w:rPr>
          <w:lang w:bidi="ar-EG"/>
        </w:rPr>
        <w:t>(non-GSO)</w:t>
      </w:r>
      <w:r w:rsidR="00331609" w:rsidRPr="007B62B9">
        <w:rPr>
          <w:rFonts w:hint="cs"/>
          <w:rtl/>
          <w:lang w:bidi="ar-EG"/>
        </w:rPr>
        <w:t>.</w:t>
      </w:r>
      <w:r w:rsidR="00485AE8" w:rsidRPr="007B62B9">
        <w:rPr>
          <w:rFonts w:hint="cs"/>
          <w:rtl/>
          <w:lang w:bidi="ar-EG"/>
        </w:rPr>
        <w:t xml:space="preserve"> </w:t>
      </w:r>
      <w:r w:rsidR="00331609" w:rsidRPr="007B62B9">
        <w:rPr>
          <w:rFonts w:hint="cs"/>
          <w:rtl/>
          <w:lang w:bidi="ar-EG"/>
        </w:rPr>
        <w:t xml:space="preserve">ويشمل القرار الخصائص التقنية للوصلات المرجعية العامة </w:t>
      </w:r>
      <w:r w:rsidR="00E300EB" w:rsidRPr="007B62B9">
        <w:rPr>
          <w:rFonts w:hint="cs"/>
          <w:rtl/>
          <w:lang w:bidi="ar-EG"/>
        </w:rPr>
        <w:t xml:space="preserve">المستقرة بالنسبة إلى الأرض ومنهجيات التقييم. </w:t>
      </w:r>
      <w:r w:rsidR="007648D5" w:rsidRPr="007B62B9">
        <w:rPr>
          <w:rFonts w:hint="cs"/>
          <w:rtl/>
          <w:lang w:bidi="ar-EG"/>
        </w:rPr>
        <w:t xml:space="preserve">ومع ذلك، لا يوجد أي برمجيات متاحة لتحديد ما إذا كانت أنظمة الخدمة الثابتة الساتلية غير المستقرة بالنسبة إلى الأرض تتقيد بالحدود الواردة في </w:t>
      </w:r>
      <w:r w:rsidR="007648D5" w:rsidRPr="007B62B9">
        <w:rPr>
          <w:rFonts w:hint="cs"/>
          <w:rtl/>
          <w:lang w:val="fr-FR"/>
        </w:rPr>
        <w:t xml:space="preserve">الرقم </w:t>
      </w:r>
      <w:r w:rsidR="007648D5" w:rsidRPr="007B62B9">
        <w:rPr>
          <w:rStyle w:val="Artref"/>
          <w:b/>
          <w:bCs/>
        </w:rPr>
        <w:t>5L.22</w:t>
      </w:r>
      <w:r w:rsidR="007648D5" w:rsidRPr="007B62B9">
        <w:rPr>
          <w:rFonts w:hint="cs"/>
          <w:rtl/>
        </w:rPr>
        <w:t xml:space="preserve">. وتتمثل الممارسة الحالية للإدارة المبلغة المعنية في تقديم جميع المعلومات اللازمة الكافية لإثبات الامتثال </w:t>
      </w:r>
      <w:r w:rsidR="008C4A8C" w:rsidRPr="007B62B9">
        <w:rPr>
          <w:rFonts w:hint="cs"/>
          <w:rtl/>
        </w:rPr>
        <w:t xml:space="preserve">للرقم </w:t>
      </w:r>
      <w:r w:rsidR="008C4A8C" w:rsidRPr="007B62B9">
        <w:rPr>
          <w:rStyle w:val="Artref"/>
          <w:b/>
          <w:bCs/>
        </w:rPr>
        <w:t>5L.22</w:t>
      </w:r>
      <w:r w:rsidR="008C4A8C" w:rsidRPr="007B62B9">
        <w:rPr>
          <w:rFonts w:hint="cs"/>
          <w:rtl/>
        </w:rPr>
        <w:t xml:space="preserve"> وإرسال التزام إلى مكتب الاتصالات الراديوية بأن يمتثل نظام الخدمة الثابتة الساتلية</w:t>
      </w:r>
      <w:r w:rsidR="0086333F" w:rsidRPr="007B62B9">
        <w:rPr>
          <w:rFonts w:hint="cs"/>
          <w:rtl/>
        </w:rPr>
        <w:t xml:space="preserve"> غير المستقر بالنسبة إلى الأرض بالحدود الواردة في الرقم </w:t>
      </w:r>
      <w:r w:rsidR="0086333F" w:rsidRPr="007B62B9">
        <w:rPr>
          <w:rStyle w:val="Artref"/>
          <w:b/>
          <w:bCs/>
        </w:rPr>
        <w:t>5L.22</w:t>
      </w:r>
      <w:r w:rsidR="0086333F" w:rsidRPr="007B62B9">
        <w:rPr>
          <w:rStyle w:val="Artref"/>
          <w:rFonts w:hint="cs"/>
          <w:rtl/>
        </w:rPr>
        <w:t>.</w:t>
      </w:r>
      <w:r w:rsidR="008C4A8C" w:rsidRPr="007B62B9">
        <w:rPr>
          <w:rFonts w:hint="cs"/>
          <w:rtl/>
        </w:rPr>
        <w:t xml:space="preserve"> </w:t>
      </w:r>
      <w:r w:rsidR="0086333F" w:rsidRPr="007B62B9">
        <w:rPr>
          <w:rFonts w:hint="cs"/>
          <w:rtl/>
        </w:rPr>
        <w:t xml:space="preserve">ولا يمكن لمثل هذه الممارسة أن تحدد ما إذا كان نظام معين للخدمة الثابتة الساتلية غير مستقر بالنسبة إلى الأرض يفي بالحدود الواردة في الرقم </w:t>
      </w:r>
      <w:r w:rsidR="0086333F" w:rsidRPr="007B62B9">
        <w:rPr>
          <w:rStyle w:val="Artref"/>
          <w:b/>
          <w:bCs/>
        </w:rPr>
        <w:t>5L.22</w:t>
      </w:r>
      <w:r w:rsidR="0086333F" w:rsidRPr="007B62B9">
        <w:rPr>
          <w:rStyle w:val="Artref"/>
          <w:rFonts w:hint="cs"/>
          <w:b/>
          <w:bCs/>
          <w:rtl/>
        </w:rPr>
        <w:t xml:space="preserve"> </w:t>
      </w:r>
      <w:r w:rsidR="0086333F" w:rsidRPr="007B62B9">
        <w:rPr>
          <w:rStyle w:val="Artref"/>
          <w:rFonts w:hint="cs"/>
          <w:rtl/>
        </w:rPr>
        <w:t>لضمان الحماية الكافية للأنظمة المستقرة بالنسبة إلى الأرض.</w:t>
      </w:r>
      <w:r w:rsidR="0086333F" w:rsidRPr="0086333F">
        <w:rPr>
          <w:rFonts w:hint="cs"/>
          <w:b/>
          <w:bCs/>
          <w:kern w:val="32"/>
          <w:sz w:val="26"/>
          <w:szCs w:val="26"/>
          <w:rtl/>
          <w:lang w:bidi="ar-EG"/>
        </w:rPr>
        <w:t xml:space="preserve"> </w:t>
      </w:r>
    </w:p>
    <w:p w14:paraId="0CBDD4A2" w14:textId="7849F525" w:rsidR="002F3E46" w:rsidRDefault="00485AE8" w:rsidP="00485AE8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484E90FD" w14:textId="5FF6223B" w:rsidR="00485AE8" w:rsidRDefault="0086333F" w:rsidP="00485AE8">
      <w:pPr>
        <w:rPr>
          <w:rtl/>
          <w:lang w:bidi="ar-EG"/>
        </w:rPr>
      </w:pPr>
      <w:r>
        <w:rPr>
          <w:rFonts w:hint="cs"/>
          <w:rtl/>
          <w:lang w:bidi="ar-EG"/>
        </w:rPr>
        <w:t>بغية مواصلة تنفيذ قرارات المؤتمر العالمي للاتصالات الراديوية لعام 2019 وتحسين أنظمة المعلومات لدى مكتب الاتصالات الراديوية، تقترح إدارة الصين ما يلي:</w:t>
      </w:r>
      <w:r w:rsidR="00485AE8">
        <w:rPr>
          <w:rFonts w:hint="cs"/>
          <w:rtl/>
          <w:lang w:bidi="ar-EG"/>
        </w:rPr>
        <w:t xml:space="preserve"> </w:t>
      </w:r>
    </w:p>
    <w:p w14:paraId="0EC4DBEB" w14:textId="565B2936" w:rsidR="00485AE8" w:rsidRDefault="00485AE8" w:rsidP="00AD05ED">
      <w:pPr>
        <w:pStyle w:val="enumlev1"/>
        <w:rPr>
          <w:rtl/>
          <w:lang w:bidi="ar-SY"/>
        </w:rPr>
      </w:pPr>
      <w:r>
        <w:rPr>
          <w:lang w:bidi="ar-EG"/>
        </w:rPr>
        <w:t>1</w:t>
      </w:r>
      <w:r>
        <w:rPr>
          <w:rtl/>
          <w:lang w:bidi="ar-SY"/>
        </w:rPr>
        <w:tab/>
      </w:r>
      <w:r w:rsidR="0086333F">
        <w:rPr>
          <w:rFonts w:hint="cs"/>
          <w:rtl/>
          <w:lang w:bidi="ar-SY"/>
        </w:rPr>
        <w:t xml:space="preserve">أن يقوم مكتب الاتصالات الراديوية بتصميم وتطوير البرمجيات اللازمة في أقرب وقت ممكن للتحقق مما إذا كانت أنظمة الخدمة الثابتة الساتلية غير المستقرة بالنسبة إلى الأرض تمتثل للحدود </w:t>
      </w:r>
      <w:r w:rsidR="00B7626D">
        <w:rPr>
          <w:rFonts w:hint="cs"/>
          <w:rtl/>
          <w:lang w:bidi="ar-EG"/>
        </w:rPr>
        <w:t xml:space="preserve">الواردة في </w:t>
      </w:r>
      <w:r w:rsidR="00B7626D" w:rsidRPr="00FE2CFF">
        <w:rPr>
          <w:rFonts w:hint="cs"/>
          <w:rtl/>
          <w:lang w:val="fr-FR"/>
        </w:rPr>
        <w:t xml:space="preserve">الرقم </w:t>
      </w:r>
      <w:r w:rsidR="00B7626D" w:rsidRPr="00FE2CFF">
        <w:rPr>
          <w:rStyle w:val="Artref"/>
          <w:b/>
          <w:bCs/>
        </w:rPr>
        <w:t>5L.22</w:t>
      </w:r>
      <w:r w:rsidR="00B7626D">
        <w:rPr>
          <w:rFonts w:hint="cs"/>
          <w:rtl/>
        </w:rPr>
        <w:t xml:space="preserve">. </w:t>
      </w:r>
    </w:p>
    <w:p w14:paraId="4CBB98E3" w14:textId="700F417F" w:rsidR="00A17E61" w:rsidRDefault="00485AE8" w:rsidP="00AD05ED">
      <w:pPr>
        <w:pStyle w:val="enumlev1"/>
        <w:rPr>
          <w:rtl/>
        </w:rPr>
      </w:pPr>
      <w:r>
        <w:rPr>
          <w:lang w:bidi="ar-EG"/>
        </w:rPr>
        <w:t>2</w:t>
      </w:r>
      <w:r>
        <w:rPr>
          <w:rtl/>
          <w:lang w:bidi="ar-SY"/>
        </w:rPr>
        <w:tab/>
      </w:r>
      <w:r w:rsidR="00B7626D">
        <w:rPr>
          <w:rFonts w:hint="cs"/>
          <w:rtl/>
          <w:lang w:bidi="ar-SY"/>
        </w:rPr>
        <w:t>أن الصين مستعدة لتقديم المساعدة اللازمة لتطوير البرمجيات المطلوبة، مثل مقارنات الاختبارات، والتحقق من البيانات، وتحليل الحالات.</w:t>
      </w:r>
      <w:r>
        <w:rPr>
          <w:rFonts w:hint="cs"/>
          <w:rtl/>
          <w:lang w:bidi="ar-SY"/>
        </w:rPr>
        <w:t xml:space="preserve"> </w:t>
      </w:r>
    </w:p>
    <w:p w14:paraId="53E517A7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EB30" w14:textId="77777777" w:rsidR="00485AE8" w:rsidRDefault="00485AE8" w:rsidP="002919E1">
      <w:r>
        <w:separator/>
      </w:r>
    </w:p>
    <w:p w14:paraId="5F8C74C4" w14:textId="77777777" w:rsidR="00485AE8" w:rsidRDefault="00485AE8" w:rsidP="002919E1"/>
    <w:p w14:paraId="2A686570" w14:textId="77777777" w:rsidR="00485AE8" w:rsidRDefault="00485AE8" w:rsidP="002919E1"/>
    <w:p w14:paraId="02083230" w14:textId="77777777" w:rsidR="00485AE8" w:rsidRDefault="00485AE8"/>
  </w:endnote>
  <w:endnote w:type="continuationSeparator" w:id="0">
    <w:p w14:paraId="585BBB87" w14:textId="77777777" w:rsidR="00485AE8" w:rsidRDefault="00485AE8" w:rsidP="002919E1">
      <w:r>
        <w:continuationSeparator/>
      </w:r>
    </w:p>
    <w:p w14:paraId="52360202" w14:textId="77777777" w:rsidR="00485AE8" w:rsidRDefault="00485AE8" w:rsidP="002919E1"/>
    <w:p w14:paraId="7CF7EA01" w14:textId="77777777" w:rsidR="00485AE8" w:rsidRDefault="00485AE8" w:rsidP="002919E1"/>
    <w:p w14:paraId="4DD91C0D" w14:textId="77777777" w:rsidR="00485AE8" w:rsidRDefault="00485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8EE5" w14:textId="77777777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5AE8">
      <w:rPr>
        <w:noProof/>
      </w:rPr>
      <w:t>Document143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>
      <w:t>xxxxxx</w:t>
    </w:r>
    <w:proofErr w:type="spellEnd"/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538" w14:textId="719EF2BB" w:rsidR="00281F5F" w:rsidRPr="00AF7639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pt-PT"/>
      </w:rPr>
    </w:pPr>
    <w:r>
      <w:fldChar w:fldCharType="begin"/>
    </w:r>
    <w:r w:rsidRPr="00AF7639">
      <w:rPr>
        <w:lang w:val="pt-PT"/>
      </w:rPr>
      <w:instrText xml:space="preserve"> FILENAME \p \* MERGEFORMAT </w:instrText>
    </w:r>
    <w:r>
      <w:fldChar w:fldCharType="separate"/>
    </w:r>
    <w:r w:rsidR="007236DF">
      <w:rPr>
        <w:noProof/>
        <w:lang w:val="pt-PT"/>
      </w:rPr>
      <w:t>P:\ARA\ITU-R\AG\RAG\RAG23\000\067A.docx</w:t>
    </w:r>
    <w:r>
      <w:fldChar w:fldCharType="end"/>
    </w:r>
    <w:r w:rsidRPr="00AF7639">
      <w:rPr>
        <w:lang w:val="pt-PT"/>
      </w:rPr>
      <w:t xml:space="preserve">   </w:t>
    </w:r>
    <w:r w:rsidRPr="00AF7639">
      <w:rPr>
        <w:lang w:val="pt-PT"/>
      </w:rPr>
      <w:t>(</w:t>
    </w:r>
    <w:r w:rsidR="00ED094B" w:rsidRPr="00AF7639">
      <w:rPr>
        <w:lang w:val="pt-PT"/>
      </w:rPr>
      <w:t>521348</w:t>
    </w:r>
    <w:r w:rsidRPr="00AF7639">
      <w:rPr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3EC6" w14:textId="77777777" w:rsidR="00485AE8" w:rsidRDefault="00485AE8" w:rsidP="002919E1">
      <w:r>
        <w:t>___________________</w:t>
      </w:r>
    </w:p>
  </w:footnote>
  <w:footnote w:type="continuationSeparator" w:id="0">
    <w:p w14:paraId="53079788" w14:textId="77777777" w:rsidR="00485AE8" w:rsidRDefault="00485AE8" w:rsidP="002919E1">
      <w:r>
        <w:continuationSeparator/>
      </w:r>
    </w:p>
    <w:p w14:paraId="654D18A5" w14:textId="77777777" w:rsidR="00485AE8" w:rsidRDefault="00485AE8" w:rsidP="002919E1"/>
    <w:p w14:paraId="59B7536C" w14:textId="77777777" w:rsidR="00485AE8" w:rsidRDefault="00485AE8" w:rsidP="002919E1"/>
    <w:p w14:paraId="69083C22" w14:textId="77777777" w:rsidR="00485AE8" w:rsidRDefault="00485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5FFA" w14:textId="77777777" w:rsidR="00281F5F" w:rsidRDefault="00281F5F" w:rsidP="002919E1"/>
  <w:p w14:paraId="17D6FC93" w14:textId="77777777" w:rsidR="00281F5F" w:rsidRDefault="00281F5F" w:rsidP="002919E1"/>
  <w:p w14:paraId="2DA4458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DE80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166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22C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7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2D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AB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  <w:num w:numId="14" w16cid:durableId="24336036">
    <w:abstractNumId w:val="7"/>
  </w:num>
  <w:num w:numId="15" w16cid:durableId="1958637337">
    <w:abstractNumId w:val="6"/>
  </w:num>
  <w:num w:numId="16" w16cid:durableId="1921989439">
    <w:abstractNumId w:val="5"/>
  </w:num>
  <w:num w:numId="17" w16cid:durableId="1580598522">
    <w:abstractNumId w:val="3"/>
  </w:num>
  <w:num w:numId="18" w16cid:durableId="1411077104">
    <w:abstractNumId w:val="2"/>
  </w:num>
  <w:num w:numId="19" w16cid:durableId="1865556873">
    <w:abstractNumId w:val="3"/>
  </w:num>
  <w:num w:numId="20" w16cid:durableId="736637380">
    <w:abstractNumId w:val="2"/>
  </w:num>
  <w:num w:numId="21" w16cid:durableId="2098671647">
    <w:abstractNumId w:val="5"/>
  </w:num>
  <w:num w:numId="22" w16cid:durableId="346906536">
    <w:abstractNumId w:val="7"/>
  </w:num>
  <w:num w:numId="23" w16cid:durableId="530269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E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80FF6"/>
    <w:rsid w:val="001903B2"/>
    <w:rsid w:val="001B5953"/>
    <w:rsid w:val="001D746E"/>
    <w:rsid w:val="001E190C"/>
    <w:rsid w:val="001E51EE"/>
    <w:rsid w:val="001E54F6"/>
    <w:rsid w:val="001E5A8C"/>
    <w:rsid w:val="001E7169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7AB"/>
    <w:rsid w:val="002919E1"/>
    <w:rsid w:val="00295917"/>
    <w:rsid w:val="00296071"/>
    <w:rsid w:val="002A4572"/>
    <w:rsid w:val="002A7E2E"/>
    <w:rsid w:val="002B12C5"/>
    <w:rsid w:val="002B16D8"/>
    <w:rsid w:val="002B231D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1609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07824"/>
    <w:rsid w:val="004147B9"/>
    <w:rsid w:val="00422C04"/>
    <w:rsid w:val="00423A40"/>
    <w:rsid w:val="00426144"/>
    <w:rsid w:val="004636E2"/>
    <w:rsid w:val="00464B03"/>
    <w:rsid w:val="00470CBD"/>
    <w:rsid w:val="0047407D"/>
    <w:rsid w:val="00485AE8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06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36DF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48D5"/>
    <w:rsid w:val="00770AA0"/>
    <w:rsid w:val="00771F7E"/>
    <w:rsid w:val="00773E9C"/>
    <w:rsid w:val="00776F6B"/>
    <w:rsid w:val="00777694"/>
    <w:rsid w:val="00786A7E"/>
    <w:rsid w:val="007A0802"/>
    <w:rsid w:val="007B1FCA"/>
    <w:rsid w:val="007B62B9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579A5"/>
    <w:rsid w:val="008614B8"/>
    <w:rsid w:val="0086333F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2CA2"/>
    <w:rsid w:val="008B4E93"/>
    <w:rsid w:val="008B52B7"/>
    <w:rsid w:val="008C3818"/>
    <w:rsid w:val="008C4A8C"/>
    <w:rsid w:val="008D6ACC"/>
    <w:rsid w:val="008D7AF0"/>
    <w:rsid w:val="008E2CBE"/>
    <w:rsid w:val="008E32DD"/>
    <w:rsid w:val="008F4626"/>
    <w:rsid w:val="009004DF"/>
    <w:rsid w:val="00904AA5"/>
    <w:rsid w:val="00924F86"/>
    <w:rsid w:val="00951718"/>
    <w:rsid w:val="00960962"/>
    <w:rsid w:val="00972CE0"/>
    <w:rsid w:val="00987D43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05ED"/>
    <w:rsid w:val="00AD162B"/>
    <w:rsid w:val="00AD690F"/>
    <w:rsid w:val="00AD69DD"/>
    <w:rsid w:val="00AE6B26"/>
    <w:rsid w:val="00AF22C1"/>
    <w:rsid w:val="00AF3EFA"/>
    <w:rsid w:val="00AF41D1"/>
    <w:rsid w:val="00AF7639"/>
    <w:rsid w:val="00AF7CED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7626D"/>
    <w:rsid w:val="00B81CB5"/>
    <w:rsid w:val="00B8351F"/>
    <w:rsid w:val="00B86C44"/>
    <w:rsid w:val="00B9727C"/>
    <w:rsid w:val="00BA34BD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4FF"/>
    <w:rsid w:val="00CD0FDE"/>
    <w:rsid w:val="00CD1574"/>
    <w:rsid w:val="00CE0E68"/>
    <w:rsid w:val="00CE5BA4"/>
    <w:rsid w:val="00D22B6D"/>
    <w:rsid w:val="00D25120"/>
    <w:rsid w:val="00D419CB"/>
    <w:rsid w:val="00D44350"/>
    <w:rsid w:val="00D44E3F"/>
    <w:rsid w:val="00D465CA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00EB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D094B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2E75"/>
    <w:rsid w:val="00F668A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3FF7F"/>
  <w15:docId w15:val="{3879A810-721B-4D38-87E1-00CBF18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1892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Arabic-AAM</dc:creator>
  <cp:keywords>WRC-12</cp:keywords>
  <cp:lastModifiedBy>Arabic-SA</cp:lastModifiedBy>
  <cp:revision>15</cp:revision>
  <cp:lastPrinted>2019-06-26T10:10:00Z</cp:lastPrinted>
  <dcterms:created xsi:type="dcterms:W3CDTF">2023-04-24T14:11:00Z</dcterms:created>
  <dcterms:modified xsi:type="dcterms:W3CDTF">2023-04-24T14:23:00Z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