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E493CBB" w14:textId="77777777" w:rsidTr="00553F66">
        <w:trPr>
          <w:cantSplit/>
          <w:trHeight w:val="20"/>
        </w:trPr>
        <w:tc>
          <w:tcPr>
            <w:tcW w:w="6619" w:type="dxa"/>
          </w:tcPr>
          <w:p w14:paraId="2CADB896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1F8F0F43" w14:textId="77777777" w:rsidR="00280E04" w:rsidRDefault="00553F66" w:rsidP="0091783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1B26900F" wp14:editId="317156B6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06747ED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AAB9F08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00F296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31AF537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53F03FF" w14:textId="77777777" w:rsidR="00280E04" w:rsidRPr="00BD6EF3" w:rsidRDefault="00280E04" w:rsidP="00494633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D89309E" w14:textId="77777777" w:rsidR="00280E04" w:rsidRPr="00BD6EF3" w:rsidRDefault="00280E04" w:rsidP="00494633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30601A" w14:paraId="61164251" w14:textId="77777777" w:rsidTr="00553F66">
        <w:trPr>
          <w:cantSplit/>
        </w:trPr>
        <w:tc>
          <w:tcPr>
            <w:tcW w:w="6619" w:type="dxa"/>
            <w:vMerge w:val="restart"/>
          </w:tcPr>
          <w:p w14:paraId="5C3E1453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49E89B8" w14:textId="5BB19D99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494633">
              <w:t>66</w:t>
            </w:r>
            <w:r w:rsidRPr="0012545F">
              <w:t>-A</w:t>
            </w:r>
          </w:p>
        </w:tc>
      </w:tr>
      <w:tr w:rsidR="0030601A" w14:paraId="15D77909" w14:textId="77777777" w:rsidTr="00553F66">
        <w:trPr>
          <w:cantSplit/>
        </w:trPr>
        <w:tc>
          <w:tcPr>
            <w:tcW w:w="6619" w:type="dxa"/>
            <w:vMerge/>
          </w:tcPr>
          <w:p w14:paraId="2DFAFB8A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0909602" w14:textId="09F42CCC" w:rsidR="0030601A" w:rsidRPr="0012545F" w:rsidRDefault="00494633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13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801238">
              <w:t>202</w:t>
            </w:r>
            <w:r w:rsidR="008579A5">
              <w:t>3</w:t>
            </w:r>
          </w:p>
        </w:tc>
      </w:tr>
      <w:tr w:rsidR="0030601A" w14:paraId="2F45B4A0" w14:textId="77777777" w:rsidTr="00553F66">
        <w:trPr>
          <w:cantSplit/>
        </w:trPr>
        <w:tc>
          <w:tcPr>
            <w:tcW w:w="6619" w:type="dxa"/>
            <w:vMerge/>
          </w:tcPr>
          <w:p w14:paraId="064B0B7D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08047D40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4E51F29A" w14:textId="77777777" w:rsidTr="00553F66">
        <w:trPr>
          <w:cantSplit/>
        </w:trPr>
        <w:tc>
          <w:tcPr>
            <w:tcW w:w="9672" w:type="dxa"/>
            <w:gridSpan w:val="2"/>
          </w:tcPr>
          <w:p w14:paraId="202F36B1" w14:textId="12D5FF00" w:rsidR="00764079" w:rsidRPr="00E621A3" w:rsidRDefault="00494633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اليابان</w:t>
            </w:r>
          </w:p>
        </w:tc>
      </w:tr>
      <w:tr w:rsidR="00764079" w14:paraId="5755F7FA" w14:textId="77777777" w:rsidTr="00553F66">
        <w:trPr>
          <w:cantSplit/>
        </w:trPr>
        <w:tc>
          <w:tcPr>
            <w:tcW w:w="9672" w:type="dxa"/>
            <w:gridSpan w:val="2"/>
          </w:tcPr>
          <w:p w14:paraId="38D4D0AB" w14:textId="259E4829" w:rsidR="00764079" w:rsidRPr="00BD6EF3" w:rsidRDefault="00494633" w:rsidP="00D44350">
            <w:pPr>
              <w:pStyle w:val="Title1"/>
              <w:spacing w:before="240"/>
              <w:rPr>
                <w:rtl/>
              </w:rPr>
            </w:pPr>
            <w:r w:rsidRPr="00F362F3">
              <w:rPr>
                <w:rFonts w:hint="cs"/>
                <w:rtl/>
                <w:lang w:bidi="ar-SA"/>
              </w:rPr>
              <w:t>مزيد من التطوير</w:t>
            </w:r>
            <w:r w:rsidRPr="00F362F3">
              <w:rPr>
                <w:rtl/>
                <w:lang w:bidi="ar-SA"/>
              </w:rPr>
              <w:t xml:space="preserve"> </w:t>
            </w:r>
            <w:r w:rsidRPr="00F362F3">
              <w:rPr>
                <w:rFonts w:hint="cs"/>
                <w:rtl/>
                <w:lang w:bidi="ar-SA"/>
              </w:rPr>
              <w:t xml:space="preserve">بموجب القرار </w:t>
            </w:r>
            <w:r w:rsidRPr="00F362F3">
              <w:t>908 (Rev.WRC-15)</w:t>
            </w:r>
          </w:p>
        </w:tc>
      </w:tr>
      <w:tr w:rsidR="0012545F" w14:paraId="4843B743" w14:textId="77777777" w:rsidTr="00553F66">
        <w:trPr>
          <w:cantSplit/>
        </w:trPr>
        <w:tc>
          <w:tcPr>
            <w:tcW w:w="9672" w:type="dxa"/>
            <w:gridSpan w:val="2"/>
          </w:tcPr>
          <w:p w14:paraId="18171314" w14:textId="5467F298" w:rsidR="0012545F" w:rsidRDefault="00494633" w:rsidP="00494633">
            <w:pPr>
              <w:pStyle w:val="Title2"/>
              <w:rPr>
                <w:rtl/>
              </w:rPr>
            </w:pPr>
            <w:r w:rsidRPr="00850A95">
              <w:rPr>
                <w:rtl/>
              </w:rPr>
              <w:t>تقديم بطاقات التبليغ عن الشبكات الساتلية</w:t>
            </w:r>
            <w:r>
              <w:rPr>
                <w:rFonts w:hint="cs"/>
                <w:rtl/>
              </w:rPr>
              <w:t xml:space="preserve"> </w:t>
            </w:r>
            <w:r w:rsidRPr="00850A95">
              <w:rPr>
                <w:rtl/>
              </w:rPr>
              <w:t>إلكترونياً ونشرها</w:t>
            </w:r>
          </w:p>
        </w:tc>
      </w:tr>
      <w:tr w:rsidR="00494633" w14:paraId="0155D20D" w14:textId="77777777" w:rsidTr="00553F66">
        <w:trPr>
          <w:cantSplit/>
        </w:trPr>
        <w:tc>
          <w:tcPr>
            <w:tcW w:w="9672" w:type="dxa"/>
            <w:gridSpan w:val="2"/>
          </w:tcPr>
          <w:p w14:paraId="15C9FF5A" w14:textId="77777777" w:rsidR="00494633" w:rsidRDefault="00494633" w:rsidP="0012545F">
            <w:pPr>
              <w:rPr>
                <w:rtl/>
              </w:rPr>
            </w:pPr>
          </w:p>
        </w:tc>
      </w:tr>
    </w:tbl>
    <w:p w14:paraId="60E591A0" w14:textId="77777777" w:rsidR="00494633" w:rsidRPr="00815403" w:rsidRDefault="00494633" w:rsidP="00494633">
      <w:pPr>
        <w:pStyle w:val="Heading1"/>
        <w:rPr>
          <w:rtl/>
        </w:rPr>
      </w:pPr>
      <w:r w:rsidRPr="00815403">
        <w:t>1</w:t>
      </w:r>
      <w:r w:rsidRPr="00815403">
        <w:rPr>
          <w:rtl/>
        </w:rPr>
        <w:tab/>
      </w:r>
      <w:r w:rsidRPr="00815403">
        <w:rPr>
          <w:rFonts w:hint="cs"/>
          <w:rtl/>
        </w:rPr>
        <w:t>خلفية</w:t>
      </w:r>
    </w:p>
    <w:p w14:paraId="62108502" w14:textId="0CF249C7" w:rsidR="00494633" w:rsidRPr="00EE48CE" w:rsidRDefault="00494633" w:rsidP="00494633">
      <w:pPr>
        <w:rPr>
          <w:rtl/>
          <w:lang w:bidi="ar-EG"/>
        </w:rPr>
      </w:pPr>
      <w:r w:rsidRPr="00EE48CE">
        <w:rPr>
          <w:rFonts w:hint="cs"/>
          <w:rtl/>
          <w:lang w:bidi="ar-EG"/>
        </w:rPr>
        <w:t xml:space="preserve">يكلِّف القرار </w:t>
      </w:r>
      <w:r w:rsidRPr="00405C94">
        <w:rPr>
          <w:b/>
          <w:bCs/>
        </w:rPr>
        <w:t>908</w:t>
      </w:r>
      <w:r w:rsidR="00405C94">
        <w:rPr>
          <w:b/>
          <w:bCs/>
        </w:rPr>
        <w:t> </w:t>
      </w:r>
      <w:r w:rsidRPr="00405C94">
        <w:rPr>
          <w:b/>
          <w:bCs/>
        </w:rPr>
        <w:t>(Rev.WRC-15)</w:t>
      </w:r>
      <w:r w:rsidRPr="00EE48CE">
        <w:rPr>
          <w:rFonts w:hint="cs"/>
          <w:rtl/>
          <w:lang w:bidi="ar-EG"/>
        </w:rPr>
        <w:t xml:space="preserve"> مدير مكتب الاتصالات الراديوية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(BR)</w:t>
      </w:r>
      <w:r w:rsidRPr="00EE48CE">
        <w:rPr>
          <w:rFonts w:hint="cs"/>
          <w:rtl/>
          <w:lang w:bidi="ar-EG"/>
        </w:rPr>
        <w:t xml:space="preserve"> بتنفيذ نهج إلكتروني غير ورقي آمن من أجل تقديم بطاقات التبليغ عن الشبكات الساتلية والتعليقات</w:t>
      </w:r>
      <w:r w:rsidRPr="00EE48CE">
        <w:rPr>
          <w:rtl/>
        </w:rPr>
        <w:t xml:space="preserve"> إلكترونياً</w:t>
      </w:r>
      <w:r w:rsidRPr="00EE48CE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(التبليغ الإلكتروني) </w:t>
      </w:r>
      <w:r w:rsidRPr="00EE48CE">
        <w:rPr>
          <w:rFonts w:hint="cs"/>
          <w:rtl/>
        </w:rPr>
        <w:t>ونشرها</w:t>
      </w:r>
      <w:r w:rsidRPr="00EE48CE">
        <w:rPr>
          <w:rFonts w:hint="cs"/>
          <w:rtl/>
          <w:lang w:bidi="ar-EG"/>
        </w:rPr>
        <w:t xml:space="preserve">. وتم الإبقاء على القرار كما كان </w:t>
      </w:r>
      <w:r w:rsidRPr="00EE48CE">
        <w:rPr>
          <w:rFonts w:hint="cs"/>
          <w:rtl/>
        </w:rPr>
        <w:t>في</w:t>
      </w:r>
      <w:r w:rsidRPr="00EE48CE">
        <w:rPr>
          <w:rFonts w:hint="cs"/>
          <w:rtl/>
          <w:lang w:bidi="ar-EG"/>
        </w:rPr>
        <w:t xml:space="preserve"> اختتام المؤتمر العالمي للاتصالات الراديوية لعام </w:t>
      </w:r>
      <w:r w:rsidRPr="00503A68">
        <w:t>2019</w:t>
      </w:r>
      <w:r w:rsidRPr="00EE48CE">
        <w:rPr>
          <w:rFonts w:hint="cs"/>
          <w:rtl/>
          <w:lang w:bidi="ar-EG"/>
        </w:rPr>
        <w:t xml:space="preserve"> </w:t>
      </w:r>
      <w:r w:rsidRPr="00503A68">
        <w:t>(WRC-19)</w:t>
      </w:r>
      <w:r w:rsidRPr="00EE48CE">
        <w:rPr>
          <w:rFonts w:hint="cs"/>
          <w:rtl/>
          <w:lang w:bidi="ar-EG"/>
        </w:rPr>
        <w:t>.</w:t>
      </w:r>
    </w:p>
    <w:p w14:paraId="5562BD0B" w14:textId="182290B7" w:rsidR="00B83FA8" w:rsidRPr="00B83FA8" w:rsidRDefault="00494633" w:rsidP="00B83FA8">
      <w:pPr>
        <w:rPr>
          <w:rtl/>
          <w:lang w:val="en" w:bidi="ar-EG"/>
        </w:rPr>
      </w:pPr>
      <w:r w:rsidRPr="00EE48CE">
        <w:rPr>
          <w:rFonts w:hint="cs"/>
          <w:rtl/>
          <w:lang w:bidi="ar-EG"/>
        </w:rPr>
        <w:t xml:space="preserve">وتدعم إدارة اليابان أنشطة مكتب الاتصالات الراديوية من خلال مساهمة طوعية </w:t>
      </w:r>
      <w:r w:rsidR="00C34B48" w:rsidRPr="00DA60ED">
        <w:rPr>
          <w:rFonts w:hint="cs"/>
          <w:rtl/>
          <w:lang w:bidi="ar-EG"/>
        </w:rPr>
        <w:t>منذ</w:t>
      </w:r>
      <w:r w:rsidRPr="00EE48CE">
        <w:rPr>
          <w:rFonts w:hint="cs"/>
          <w:rtl/>
          <w:lang w:bidi="ar-EG"/>
        </w:rPr>
        <w:t xml:space="preserve"> مايو</w:t>
      </w:r>
      <w:r>
        <w:rPr>
          <w:rFonts w:hint="eastAsia"/>
          <w:rtl/>
          <w:lang w:bidi="ar-EG"/>
        </w:rPr>
        <w:t> </w:t>
      </w:r>
      <w:r w:rsidRPr="00EE48CE">
        <w:t>2017</w:t>
      </w:r>
      <w:r w:rsidRPr="00EE48CE">
        <w:rPr>
          <w:rFonts w:hint="cs"/>
          <w:rtl/>
          <w:lang w:bidi="ar-EG"/>
        </w:rPr>
        <w:t xml:space="preserve"> من أجل تنفيذ القرار</w:t>
      </w:r>
      <w:r w:rsidRPr="00EE48CE">
        <w:rPr>
          <w:rFonts w:hint="eastAsia"/>
          <w:rtl/>
          <w:lang w:bidi="ar-EG"/>
        </w:rPr>
        <w:t> </w:t>
      </w:r>
      <w:r w:rsidRPr="00494633">
        <w:rPr>
          <w:b/>
          <w:bCs/>
          <w:lang w:val="fr-CH"/>
        </w:rPr>
        <w:t>908</w:t>
      </w:r>
      <w:r w:rsidRPr="00B303A5">
        <w:rPr>
          <w:rFonts w:hint="cs"/>
          <w:rtl/>
          <w:lang w:bidi="ar-EG"/>
        </w:rPr>
        <w:t>.</w:t>
      </w:r>
      <w:r w:rsidR="00B83FA8" w:rsidRPr="00B83FA8">
        <w:rPr>
          <w:rtl/>
        </w:rPr>
        <w:t xml:space="preserve"> </w:t>
      </w:r>
      <w:r w:rsidR="00B83FA8" w:rsidRPr="00B83FA8">
        <w:rPr>
          <w:rtl/>
          <w:lang w:val="en" w:bidi="ar-EG"/>
        </w:rPr>
        <w:t xml:space="preserve">ومنذ ذلك الحين، دعمت هذه الإدارة هذا المشروع باستمرار، </w:t>
      </w:r>
      <w:r w:rsidR="00402915">
        <w:rPr>
          <w:rFonts w:hint="cs"/>
          <w:rtl/>
          <w:lang w:val="fr-FR"/>
        </w:rPr>
        <w:t>وساهمت</w:t>
      </w:r>
      <w:r w:rsidR="00B83FA8">
        <w:rPr>
          <w:rFonts w:hint="cs"/>
          <w:rtl/>
          <w:lang w:val="fr-FR"/>
        </w:rPr>
        <w:t xml:space="preserve"> في تبسيط </w:t>
      </w:r>
      <w:r w:rsidR="00B83FA8" w:rsidRPr="00EE48CE">
        <w:rPr>
          <w:rFonts w:hint="cs"/>
          <w:rtl/>
          <w:lang w:val="fr-FR" w:bidi="ar"/>
        </w:rPr>
        <w:t xml:space="preserve">عملية التنسيق الساتلي بأكملها </w:t>
      </w:r>
      <w:r w:rsidR="00B83FA8">
        <w:rPr>
          <w:rFonts w:hint="cs"/>
          <w:rtl/>
          <w:lang w:val="fr-FR" w:bidi="ar"/>
        </w:rPr>
        <w:t>وتسريعها</w:t>
      </w:r>
      <w:r w:rsidR="00B83FA8" w:rsidRPr="00B83FA8">
        <w:rPr>
          <w:rtl/>
          <w:lang w:val="en" w:bidi="ar-EG"/>
        </w:rPr>
        <w:t>. وأحرز المشروع تقدما</w:t>
      </w:r>
      <w:r w:rsidR="00B83FA8">
        <w:rPr>
          <w:rFonts w:hint="cs"/>
          <w:rtl/>
          <w:lang w:val="en" w:bidi="ar-EG"/>
        </w:rPr>
        <w:t>ً</w:t>
      </w:r>
      <w:r w:rsidR="00B83FA8" w:rsidRPr="00B83FA8">
        <w:rPr>
          <w:rtl/>
          <w:lang w:val="en" w:bidi="ar-EG"/>
        </w:rPr>
        <w:t xml:space="preserve"> كبيرا</w:t>
      </w:r>
      <w:r w:rsidR="00B83FA8">
        <w:rPr>
          <w:rFonts w:hint="cs"/>
          <w:rtl/>
          <w:lang w:val="en" w:bidi="ar-EG"/>
        </w:rPr>
        <w:t>ً</w:t>
      </w:r>
      <w:r w:rsidR="00B83FA8" w:rsidRPr="00B83FA8">
        <w:rPr>
          <w:rtl/>
          <w:lang w:val="en" w:bidi="ar-EG"/>
        </w:rPr>
        <w:t xml:space="preserve"> بفضل الجهود الكبيرة التي بذلها مكتب الاتصالات الراديوية.</w:t>
      </w:r>
    </w:p>
    <w:p w14:paraId="52237FE7" w14:textId="039A2A66" w:rsidR="00494633" w:rsidRDefault="00494633" w:rsidP="00B83FA8">
      <w:pPr>
        <w:rPr>
          <w:rtl/>
          <w:lang w:val="fr-FR"/>
        </w:rPr>
      </w:pPr>
      <w:r w:rsidRPr="00EE48CE">
        <w:rPr>
          <w:rFonts w:hint="cs"/>
          <w:rtl/>
          <w:lang w:bidi="ar"/>
        </w:rPr>
        <w:t>وفي الاجتماع السادس</w:t>
      </w:r>
      <w:r>
        <w:rPr>
          <w:rFonts w:hint="eastAsia"/>
          <w:rtl/>
          <w:lang w:bidi="ar"/>
        </w:rPr>
        <w:t> </w:t>
      </w:r>
      <w:r w:rsidRPr="00EE48CE">
        <w:rPr>
          <w:rFonts w:hint="cs"/>
          <w:rtl/>
          <w:lang w:bidi="ar"/>
        </w:rPr>
        <w:t>والعشرين للفريق الاستشاري للاتصالات الراديوية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(RAG)</w:t>
      </w:r>
      <w:r>
        <w:rPr>
          <w:rFonts w:hint="cs"/>
          <w:rtl/>
          <w:lang w:bidi="ar"/>
        </w:rPr>
        <w:t>، الذي عُقد</w:t>
      </w:r>
      <w:r w:rsidRPr="00EE48CE">
        <w:rPr>
          <w:rFonts w:hint="cs"/>
          <w:rtl/>
          <w:lang w:bidi="ar"/>
        </w:rPr>
        <w:t xml:space="preserve"> في عام</w:t>
      </w:r>
      <w:r>
        <w:rPr>
          <w:rFonts w:hint="eastAsia"/>
          <w:rtl/>
          <w:lang w:bidi="ar"/>
        </w:rPr>
        <w:t> </w:t>
      </w:r>
      <w:r w:rsidRPr="00EE48CE">
        <w:rPr>
          <w:rFonts w:hint="cs"/>
          <w:rtl/>
          <w:lang w:bidi="ar"/>
        </w:rPr>
        <w:t>2019، اقترحت</w:t>
      </w:r>
      <w:r w:rsidR="00B83FA8">
        <w:rPr>
          <w:rFonts w:hint="cs"/>
          <w:rtl/>
          <w:lang w:bidi="ar"/>
        </w:rPr>
        <w:t xml:space="preserve"> إدارة</w:t>
      </w:r>
      <w:r w:rsidRPr="00EE48CE">
        <w:rPr>
          <w:rFonts w:hint="cs"/>
          <w:rtl/>
          <w:lang w:bidi="ar"/>
        </w:rPr>
        <w:t xml:space="preserve"> اليابان</w:t>
      </w:r>
      <w:r>
        <w:rPr>
          <w:rFonts w:hint="cs"/>
          <w:rtl/>
          <w:lang w:bidi="ar"/>
        </w:rPr>
        <w:t xml:space="preserve"> تيسير</w:t>
      </w:r>
      <w:r w:rsidRPr="00EE48C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-EG"/>
        </w:rPr>
        <w:t xml:space="preserve">استحداث </w:t>
      </w:r>
      <w:r w:rsidRPr="00EE48CE">
        <w:rPr>
          <w:rFonts w:hint="cs"/>
          <w:rtl/>
          <w:lang w:bidi="ar"/>
        </w:rPr>
        <w:t>نظام</w:t>
      </w:r>
      <w:r>
        <w:rPr>
          <w:rFonts w:hint="cs"/>
          <w:rtl/>
          <w:lang w:bidi="ar"/>
        </w:rPr>
        <w:t xml:space="preserve"> إلكتروني</w:t>
      </w:r>
      <w:r w:rsidRPr="00EE48CE">
        <w:rPr>
          <w:rFonts w:hint="cs"/>
          <w:rtl/>
          <w:lang w:bidi="ar"/>
        </w:rPr>
        <w:t xml:space="preserve"> أكثر كفاءةً. </w:t>
      </w:r>
      <w:r>
        <w:rPr>
          <w:rFonts w:hint="cs"/>
          <w:rtl/>
          <w:lang w:bidi="ar"/>
        </w:rPr>
        <w:t>واستناداً إلى</w:t>
      </w:r>
      <w:r w:rsidR="00B83FA8">
        <w:rPr>
          <w:rFonts w:hint="cs"/>
          <w:rtl/>
          <w:lang w:bidi="ar"/>
        </w:rPr>
        <w:t xml:space="preserve"> هذا</w:t>
      </w:r>
      <w:r>
        <w:rPr>
          <w:rFonts w:hint="cs"/>
          <w:rtl/>
          <w:lang w:bidi="ar"/>
        </w:rPr>
        <w:t xml:space="preserve"> المقترح</w:t>
      </w:r>
      <w:r w:rsidRPr="00EE48CE">
        <w:rPr>
          <w:rFonts w:hint="cs"/>
          <w:rtl/>
          <w:lang w:bidi="ar"/>
        </w:rPr>
        <w:t xml:space="preserve">، اُطلق نظام جديد للاتصال </w:t>
      </w:r>
      <w:r>
        <w:rPr>
          <w:rFonts w:hint="cs"/>
          <w:rtl/>
          <w:lang w:bidi="ar"/>
        </w:rPr>
        <w:t>عبر الإنترنت (الاتصالات الإلكترونية)</w:t>
      </w:r>
      <w:r w:rsidRPr="00EE48C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لتمكين الإدارات من</w:t>
      </w:r>
      <w:r w:rsidRPr="00EE48CE">
        <w:rPr>
          <w:rFonts w:hint="cs"/>
          <w:rtl/>
          <w:lang w:bidi="ar"/>
        </w:rPr>
        <w:t xml:space="preserve"> التواصل </w:t>
      </w:r>
      <w:r>
        <w:rPr>
          <w:rFonts w:hint="cs"/>
          <w:rtl/>
          <w:lang w:bidi="ar"/>
        </w:rPr>
        <w:t xml:space="preserve">مع </w:t>
      </w:r>
      <w:r w:rsidR="00B83FA8">
        <w:rPr>
          <w:rFonts w:hint="cs"/>
          <w:rtl/>
          <w:lang w:bidi="ar"/>
        </w:rPr>
        <w:t>الإدارات الأخرى</w:t>
      </w:r>
      <w:r>
        <w:rPr>
          <w:rFonts w:hint="cs"/>
          <w:rtl/>
          <w:lang w:bidi="ar"/>
        </w:rPr>
        <w:t xml:space="preserve"> ومع</w:t>
      </w:r>
      <w:r w:rsidRPr="00EE48CE">
        <w:rPr>
          <w:rFonts w:hint="cs"/>
          <w:rtl/>
          <w:lang w:bidi="ar"/>
        </w:rPr>
        <w:t xml:space="preserve"> مكتب الاتصالات الراديوية</w:t>
      </w:r>
      <w:r w:rsidR="00B83FA8">
        <w:rPr>
          <w:rFonts w:hint="cs"/>
          <w:rtl/>
          <w:lang w:bidi="ar"/>
        </w:rPr>
        <w:t xml:space="preserve"> من خلال نظام واحد.</w:t>
      </w:r>
    </w:p>
    <w:p w14:paraId="44FAE0F1" w14:textId="584FBD1A" w:rsidR="00494633" w:rsidRDefault="00B83FA8" w:rsidP="00494633">
      <w:pPr>
        <w:rPr>
          <w:rtl/>
          <w:lang w:val="fr-FR" w:bidi="ar"/>
        </w:rPr>
      </w:pPr>
      <w:r w:rsidRPr="008871E3">
        <w:rPr>
          <w:rFonts w:hint="cs"/>
          <w:rtl/>
          <w:lang w:bidi="ar"/>
        </w:rPr>
        <w:t>وفي الاجتماع التاسع</w:t>
      </w:r>
      <w:r w:rsidRPr="008871E3">
        <w:rPr>
          <w:rFonts w:hint="eastAsia"/>
          <w:rtl/>
          <w:lang w:bidi="ar"/>
        </w:rPr>
        <w:t> </w:t>
      </w:r>
      <w:r w:rsidRPr="008871E3">
        <w:rPr>
          <w:rFonts w:hint="cs"/>
          <w:rtl/>
          <w:lang w:bidi="ar"/>
        </w:rPr>
        <w:t xml:space="preserve">والعشرين للفريق الاستشاري للاتصالات الراديوية </w:t>
      </w:r>
      <w:r w:rsidRPr="008871E3">
        <w:rPr>
          <w:lang w:bidi="ar"/>
        </w:rPr>
        <w:t>(RAG)</w:t>
      </w:r>
      <w:r w:rsidRPr="008871E3">
        <w:rPr>
          <w:rFonts w:hint="cs"/>
          <w:rtl/>
          <w:lang w:bidi="ar"/>
        </w:rPr>
        <w:t>، الذي عُقد في عام</w:t>
      </w:r>
      <w:r w:rsidRPr="008871E3">
        <w:rPr>
          <w:rFonts w:hint="eastAsia"/>
          <w:rtl/>
          <w:lang w:bidi="ar"/>
        </w:rPr>
        <w:t> </w:t>
      </w:r>
      <w:r w:rsidRPr="008871E3">
        <w:rPr>
          <w:rFonts w:hint="cs"/>
          <w:rtl/>
          <w:lang w:bidi="ar"/>
        </w:rPr>
        <w:t>2022،</w:t>
      </w:r>
      <w:r w:rsidR="00E05912" w:rsidRPr="008871E3">
        <w:rPr>
          <w:rFonts w:hint="cs"/>
          <w:rtl/>
          <w:lang w:val="fr-FR" w:bidi="ar"/>
        </w:rPr>
        <w:t xml:space="preserve"> </w:t>
      </w:r>
      <w:r w:rsidR="004C522B" w:rsidRPr="008871E3">
        <w:rPr>
          <w:rFonts w:hint="cs"/>
          <w:rtl/>
          <w:lang w:val="fr-FR" w:bidi="ar"/>
        </w:rPr>
        <w:t xml:space="preserve">بغية تحقيق عملية </w:t>
      </w:r>
      <w:r w:rsidR="00A6117C" w:rsidRPr="008871E3">
        <w:rPr>
          <w:rFonts w:hint="cs"/>
          <w:rtl/>
          <w:lang w:val="fr-FR" w:bidi="ar"/>
        </w:rPr>
        <w:t>فعّالة</w:t>
      </w:r>
      <w:r w:rsidR="004C522B" w:rsidRPr="008871E3">
        <w:rPr>
          <w:rFonts w:hint="cs"/>
          <w:rtl/>
          <w:lang w:val="fr-FR" w:bidi="ar"/>
        </w:rPr>
        <w:t xml:space="preserve"> وسريعة </w:t>
      </w:r>
      <w:r w:rsidR="00FF2969" w:rsidRPr="008871E3">
        <w:rPr>
          <w:rFonts w:hint="cs"/>
          <w:rtl/>
          <w:lang w:val="fr-FR" w:bidi="ar"/>
        </w:rPr>
        <w:t>للتنسيق</w:t>
      </w:r>
      <w:r w:rsidR="004C522B" w:rsidRPr="008871E3">
        <w:rPr>
          <w:rFonts w:hint="cs"/>
          <w:rtl/>
          <w:lang w:val="fr-FR" w:bidi="ar"/>
        </w:rPr>
        <w:t xml:space="preserve"> الساتلي،</w:t>
      </w:r>
      <w:r w:rsidR="00C34B48" w:rsidRPr="008871E3">
        <w:rPr>
          <w:rFonts w:hint="cs"/>
          <w:rtl/>
          <w:lang w:val="fr-FR" w:bidi="ar-EG"/>
        </w:rPr>
        <w:t xml:space="preserve"> تقدمت</w:t>
      </w:r>
      <w:r w:rsidR="004C522B" w:rsidRPr="008871E3">
        <w:rPr>
          <w:rFonts w:hint="cs"/>
          <w:rtl/>
          <w:lang w:val="fr-FR" w:bidi="ar"/>
        </w:rPr>
        <w:t xml:space="preserve"> إدارة اليابان </w:t>
      </w:r>
      <w:r w:rsidR="00C34B48" w:rsidRPr="008871E3">
        <w:rPr>
          <w:rFonts w:hint="cs"/>
          <w:rtl/>
          <w:lang w:val="fr-FR" w:bidi="ar"/>
        </w:rPr>
        <w:t>إلى</w:t>
      </w:r>
      <w:r w:rsidR="004C522B" w:rsidRPr="008871E3">
        <w:rPr>
          <w:rFonts w:hint="cs"/>
          <w:rtl/>
          <w:lang w:val="fr-FR" w:bidi="ar"/>
        </w:rPr>
        <w:t xml:space="preserve"> المكتب</w:t>
      </w:r>
      <w:r w:rsidR="00C34B48" w:rsidRPr="008871E3">
        <w:rPr>
          <w:rFonts w:hint="cs"/>
          <w:rtl/>
          <w:lang w:val="fr-FR" w:bidi="ar"/>
        </w:rPr>
        <w:t xml:space="preserve"> بالطلبات المبينة في</w:t>
      </w:r>
      <w:r w:rsidR="004C522B" w:rsidRPr="008871E3">
        <w:rPr>
          <w:rFonts w:hint="cs"/>
          <w:rtl/>
          <w:lang w:val="fr-FR" w:bidi="ar"/>
        </w:rPr>
        <w:t xml:space="preserve"> النقاط الثلاث التالية:</w:t>
      </w:r>
    </w:p>
    <w:p w14:paraId="63F27C08" w14:textId="57E5783D" w:rsidR="00494633" w:rsidRPr="00F97559" w:rsidRDefault="00494633" w:rsidP="00494633">
      <w:pPr>
        <w:pStyle w:val="enumlev1"/>
        <w:rPr>
          <w:rtl/>
          <w:lang w:val="fr-FR" w:bidi="ar-SY"/>
        </w:rPr>
      </w:pPr>
      <w:r w:rsidRPr="00F97559">
        <w:rPr>
          <w:lang w:val="fr-FR" w:bidi="ar"/>
        </w:rPr>
        <w:t>1</w:t>
      </w:r>
      <w:r w:rsidRPr="00F97559">
        <w:rPr>
          <w:rtl/>
          <w:lang w:val="fr-FR" w:bidi="ar-SY"/>
        </w:rPr>
        <w:tab/>
      </w:r>
      <w:r w:rsidR="004C522B" w:rsidRPr="00F97559">
        <w:rPr>
          <w:rtl/>
          <w:lang w:val="fr-FR" w:bidi="ar-SY"/>
        </w:rPr>
        <w:t xml:space="preserve">دمج </w:t>
      </w:r>
      <w:r w:rsidR="00CA12D7" w:rsidRPr="00F97559">
        <w:rPr>
          <w:rFonts w:hint="cs"/>
          <w:rtl/>
          <w:lang w:bidi="ar"/>
        </w:rPr>
        <w:t>نظامي التبليغ الإلكتروني والاتصالات الإلكترونية</w:t>
      </w:r>
      <w:r w:rsidR="00E05912" w:rsidRPr="00F97559">
        <w:rPr>
          <w:rFonts w:hint="cs"/>
          <w:rtl/>
          <w:lang w:val="fr-FR" w:bidi="ar-SY"/>
        </w:rPr>
        <w:t xml:space="preserve">، </w:t>
      </w:r>
      <w:r w:rsidR="009A22B5" w:rsidRPr="00F97559">
        <w:rPr>
          <w:rFonts w:hint="cs"/>
          <w:rtl/>
          <w:lang w:val="fr-FR" w:bidi="ar-SY"/>
        </w:rPr>
        <w:t>للسماح ل</w:t>
      </w:r>
      <w:r w:rsidR="004C522B" w:rsidRPr="00F97559">
        <w:rPr>
          <w:rtl/>
          <w:lang w:val="fr-FR" w:bidi="ar-SY"/>
        </w:rPr>
        <w:t xml:space="preserve">لإدارات </w:t>
      </w:r>
      <w:r w:rsidR="00C34B48" w:rsidRPr="00F97559">
        <w:rPr>
          <w:rFonts w:hint="cs"/>
          <w:rtl/>
          <w:lang w:val="fr-FR" w:bidi="ar-SY"/>
        </w:rPr>
        <w:t>ب</w:t>
      </w:r>
      <w:r w:rsidR="004C522B" w:rsidRPr="00F97559">
        <w:rPr>
          <w:rtl/>
          <w:lang w:val="fr-FR" w:bidi="ar-SY"/>
        </w:rPr>
        <w:t>تقديم بطاقات التبليغ الخاصة بها والتواصل فيما بينها من خلال نظام واح</w:t>
      </w:r>
      <w:r w:rsidR="009A22B5" w:rsidRPr="00F97559">
        <w:rPr>
          <w:rFonts w:hint="cs"/>
          <w:rtl/>
          <w:lang w:val="fr-FR" w:bidi="ar-SY"/>
        </w:rPr>
        <w:t>د وذلك لأغراض التسهيل.</w:t>
      </w:r>
    </w:p>
    <w:p w14:paraId="3C74770E" w14:textId="0C686C76" w:rsidR="00494633" w:rsidRPr="00F97559" w:rsidRDefault="00494633" w:rsidP="00494633">
      <w:pPr>
        <w:pStyle w:val="enumlev1"/>
        <w:rPr>
          <w:rtl/>
          <w:lang w:val="fr-FR" w:bidi="ar-SY"/>
        </w:rPr>
      </w:pPr>
      <w:r w:rsidRPr="00F97559">
        <w:rPr>
          <w:lang w:bidi="ar-SY"/>
        </w:rPr>
        <w:t>2</w:t>
      </w:r>
      <w:r w:rsidRPr="00F97559">
        <w:rPr>
          <w:rtl/>
          <w:lang w:bidi="ar-SY"/>
        </w:rPr>
        <w:tab/>
      </w:r>
      <w:r w:rsidR="003E365F" w:rsidRPr="00F97559">
        <w:rPr>
          <w:rFonts w:hint="cs"/>
          <w:rtl/>
          <w:lang w:bidi="ar-SY"/>
        </w:rPr>
        <w:t>إتاحة</w:t>
      </w:r>
      <w:r w:rsidR="00E05912" w:rsidRPr="00F97559">
        <w:rPr>
          <w:rtl/>
          <w:lang w:bidi="ar-SY"/>
        </w:rPr>
        <w:t xml:space="preserve"> </w:t>
      </w:r>
      <w:r w:rsidR="00923802" w:rsidRPr="00F97559">
        <w:rPr>
          <w:rFonts w:hint="cs"/>
          <w:rtl/>
          <w:lang w:bidi="ar-SY"/>
        </w:rPr>
        <w:t xml:space="preserve">إمكانية استخدام </w:t>
      </w:r>
      <w:r w:rsidR="00E05912" w:rsidRPr="00F97559">
        <w:rPr>
          <w:rtl/>
          <w:lang w:bidi="ar-SY"/>
        </w:rPr>
        <w:t xml:space="preserve">نظام </w:t>
      </w:r>
      <w:r w:rsidR="00030C3A" w:rsidRPr="00F97559">
        <w:rPr>
          <w:rFonts w:hint="cs"/>
          <w:rtl/>
          <w:lang w:bidi="ar-SY"/>
        </w:rPr>
        <w:t>ال</w:t>
      </w:r>
      <w:r w:rsidR="00E05912" w:rsidRPr="00F97559">
        <w:rPr>
          <w:rtl/>
          <w:lang w:bidi="ar-SY"/>
        </w:rPr>
        <w:t xml:space="preserve">اتصالات </w:t>
      </w:r>
      <w:r w:rsidR="00030C3A" w:rsidRPr="00F97559">
        <w:rPr>
          <w:rFonts w:hint="cs"/>
          <w:rtl/>
          <w:lang w:bidi="ar-SY"/>
        </w:rPr>
        <w:t>ال</w:t>
      </w:r>
      <w:r w:rsidR="00E05912" w:rsidRPr="00F97559">
        <w:rPr>
          <w:rtl/>
          <w:lang w:bidi="ar-SY"/>
        </w:rPr>
        <w:t xml:space="preserve">إلكترونية </w:t>
      </w:r>
      <w:r w:rsidR="003E365F" w:rsidRPr="00F97559">
        <w:rPr>
          <w:rFonts w:hint="cs"/>
          <w:rtl/>
          <w:lang w:bidi="ar-SY"/>
        </w:rPr>
        <w:t>ل</w:t>
      </w:r>
      <w:r w:rsidR="00E05912" w:rsidRPr="00F97559">
        <w:rPr>
          <w:rtl/>
          <w:lang w:bidi="ar-SY"/>
        </w:rPr>
        <w:t xml:space="preserve">مشغلي السواتل لتسهيل </w:t>
      </w:r>
      <w:r w:rsidR="00E05912" w:rsidRPr="00F97559">
        <w:rPr>
          <w:rFonts w:hint="cs"/>
          <w:rtl/>
          <w:lang w:bidi="ar-SY"/>
        </w:rPr>
        <w:t>التواصل</w:t>
      </w:r>
      <w:r w:rsidR="00E05912" w:rsidRPr="00F97559">
        <w:rPr>
          <w:rtl/>
          <w:lang w:bidi="ar-SY"/>
        </w:rPr>
        <w:t xml:space="preserve"> بين الإدارات ومشغلي السواتل التابعين لها</w:t>
      </w:r>
      <w:r w:rsidR="00C34B48" w:rsidRPr="00F97559">
        <w:rPr>
          <w:rFonts w:hint="cs"/>
          <w:rtl/>
          <w:lang w:val="fr-FR" w:bidi="ar-SY"/>
        </w:rPr>
        <w:t>.</w:t>
      </w:r>
    </w:p>
    <w:p w14:paraId="5487ADE3" w14:textId="0D362391" w:rsidR="00494633" w:rsidRDefault="00494633" w:rsidP="00494633">
      <w:pPr>
        <w:pStyle w:val="enumlev1"/>
        <w:rPr>
          <w:rtl/>
          <w:lang w:val="fr-FR"/>
        </w:rPr>
      </w:pPr>
      <w:r w:rsidRPr="00F97559">
        <w:rPr>
          <w:lang w:bidi="ar-SY"/>
        </w:rPr>
        <w:t>3</w:t>
      </w:r>
      <w:r w:rsidRPr="00F97559">
        <w:rPr>
          <w:rtl/>
          <w:lang w:bidi="ar-SY"/>
        </w:rPr>
        <w:tab/>
      </w:r>
      <w:r w:rsidR="00E05912" w:rsidRPr="00F97559">
        <w:rPr>
          <w:rFonts w:hint="cs"/>
          <w:color w:val="000000"/>
          <w:rtl/>
        </w:rPr>
        <w:t>تطوير</w:t>
      </w:r>
      <w:r w:rsidR="00E05912" w:rsidRPr="00F97559">
        <w:rPr>
          <w:color w:val="000000"/>
          <w:rtl/>
        </w:rPr>
        <w:t xml:space="preserve"> تطبيقات </w:t>
      </w:r>
      <w:r w:rsidR="00E05912" w:rsidRPr="00F97559">
        <w:rPr>
          <w:rFonts w:hint="cs"/>
          <w:color w:val="000000"/>
          <w:rtl/>
        </w:rPr>
        <w:t>إلكترونية</w:t>
      </w:r>
      <w:r w:rsidR="00E05912" w:rsidRPr="00F97559">
        <w:rPr>
          <w:color w:val="000000"/>
          <w:rtl/>
        </w:rPr>
        <w:t xml:space="preserve"> لبرمجي</w:t>
      </w:r>
      <w:r w:rsidR="00C34B48" w:rsidRPr="00F97559">
        <w:rPr>
          <w:rFonts w:hint="cs"/>
          <w:color w:val="000000"/>
          <w:rtl/>
        </w:rPr>
        <w:t>ة</w:t>
      </w:r>
      <w:r w:rsidR="00E05912" w:rsidRPr="00F97559">
        <w:rPr>
          <w:color w:val="000000"/>
          <w:rtl/>
        </w:rPr>
        <w:t xml:space="preserve"> الخدمات الفضائية الصادرة عن مكتب الاتصالات الراديوية</w:t>
      </w:r>
      <w:r w:rsidR="00E05912" w:rsidRPr="00F97559">
        <w:rPr>
          <w:rFonts w:hint="cs"/>
          <w:rtl/>
          <w:lang w:val="fr-FR"/>
        </w:rPr>
        <w:t>.</w:t>
      </w:r>
    </w:p>
    <w:p w14:paraId="044BA5D7" w14:textId="6F0BCCD6" w:rsidR="00016E4C" w:rsidRPr="00975E32" w:rsidRDefault="00016E4C" w:rsidP="00016E4C">
      <w:pPr>
        <w:rPr>
          <w:rtl/>
          <w:lang w:bidi="ar"/>
        </w:rPr>
      </w:pPr>
      <w:r w:rsidRPr="00356FA6">
        <w:rPr>
          <w:rtl/>
          <w:lang w:bidi="ar"/>
        </w:rPr>
        <w:t xml:space="preserve">وبعد أن </w:t>
      </w:r>
      <w:r w:rsidRPr="00356FA6">
        <w:rPr>
          <w:rFonts w:hint="cs"/>
          <w:rtl/>
          <w:lang w:bidi="ar"/>
        </w:rPr>
        <w:t>أحاطت</w:t>
      </w:r>
      <w:r w:rsidRPr="00356FA6">
        <w:rPr>
          <w:rtl/>
          <w:lang w:bidi="ar"/>
        </w:rPr>
        <w:t xml:space="preserve"> إدارة اليابان </w:t>
      </w:r>
      <w:r w:rsidRPr="00356FA6">
        <w:rPr>
          <w:rFonts w:hint="cs"/>
          <w:rtl/>
          <w:lang w:bidi="ar"/>
        </w:rPr>
        <w:t>علماً</w:t>
      </w:r>
      <w:r w:rsidRPr="00356FA6">
        <w:rPr>
          <w:rtl/>
          <w:lang w:bidi="ar"/>
        </w:rPr>
        <w:t xml:space="preserve"> </w:t>
      </w:r>
      <w:r w:rsidRPr="00356FA6">
        <w:rPr>
          <w:rFonts w:hint="cs"/>
          <w:rtl/>
          <w:lang w:bidi="ar"/>
        </w:rPr>
        <w:t>ب</w:t>
      </w:r>
      <w:r w:rsidRPr="00356FA6">
        <w:rPr>
          <w:rtl/>
          <w:lang w:bidi="ar"/>
        </w:rPr>
        <w:t>الجهود المبذولة</w:t>
      </w:r>
      <w:r w:rsidRPr="00356FA6">
        <w:rPr>
          <w:rFonts w:hint="cs"/>
          <w:rtl/>
          <w:lang w:bidi="ar"/>
        </w:rPr>
        <w:t xml:space="preserve"> </w:t>
      </w:r>
      <w:r w:rsidR="00C34B48" w:rsidRPr="00356FA6">
        <w:rPr>
          <w:rFonts w:hint="cs"/>
          <w:rtl/>
          <w:lang w:bidi="ar"/>
        </w:rPr>
        <w:t>المبينة</w:t>
      </w:r>
      <w:r w:rsidRPr="00356FA6">
        <w:rPr>
          <w:rtl/>
          <w:lang w:bidi="ar"/>
        </w:rPr>
        <w:t xml:space="preserve"> في القسم 2.3.7 من تقرير مدير مكتب</w:t>
      </w:r>
      <w:r w:rsidR="00C34B48" w:rsidRPr="00356FA6">
        <w:rPr>
          <w:rFonts w:hint="cs"/>
          <w:rtl/>
          <w:lang w:bidi="ar"/>
        </w:rPr>
        <w:t xml:space="preserve"> الاتصالات الراديوية</w:t>
      </w:r>
      <w:r w:rsidRPr="00356FA6">
        <w:rPr>
          <w:rtl/>
          <w:lang w:bidi="ar"/>
        </w:rPr>
        <w:t xml:space="preserve"> (الوثيقة</w:t>
      </w:r>
      <w:r w:rsidR="003E4A42" w:rsidRPr="00356FA6">
        <w:rPr>
          <w:rFonts w:hint="cs"/>
          <w:rtl/>
          <w:lang w:bidi="ar"/>
        </w:rPr>
        <w:t> </w:t>
      </w:r>
      <w:r w:rsidRPr="00356FA6">
        <w:rPr>
          <w:lang w:bidi="ar"/>
        </w:rPr>
        <w:t>RAG/58</w:t>
      </w:r>
      <w:r w:rsidRPr="00356FA6">
        <w:rPr>
          <w:rtl/>
          <w:lang w:bidi="ar"/>
        </w:rPr>
        <w:t xml:space="preserve">)، </w:t>
      </w:r>
      <w:r w:rsidRPr="00356FA6">
        <w:rPr>
          <w:rFonts w:hint="cs"/>
          <w:rtl/>
          <w:lang w:bidi="ar"/>
        </w:rPr>
        <w:t>أعربت</w:t>
      </w:r>
      <w:r w:rsidRPr="00356FA6">
        <w:rPr>
          <w:rtl/>
          <w:lang w:bidi="ar"/>
        </w:rPr>
        <w:t xml:space="preserve"> عن تقديرها </w:t>
      </w:r>
      <w:r w:rsidRPr="00356FA6">
        <w:rPr>
          <w:rFonts w:hint="cs"/>
          <w:rtl/>
          <w:lang w:bidi="ar"/>
        </w:rPr>
        <w:t>للمكتب</w:t>
      </w:r>
      <w:r w:rsidR="00C34B48" w:rsidRPr="00356FA6">
        <w:rPr>
          <w:rFonts w:hint="cs"/>
          <w:rtl/>
          <w:lang w:bidi="ar-EG"/>
        </w:rPr>
        <w:t xml:space="preserve"> لأنه أخذ</w:t>
      </w:r>
      <w:r w:rsidRPr="00356FA6">
        <w:rPr>
          <w:rtl/>
          <w:lang w:bidi="ar"/>
        </w:rPr>
        <w:t xml:space="preserve"> هذه النقاط </w:t>
      </w:r>
      <w:r w:rsidR="00C34B48" w:rsidRPr="00356FA6">
        <w:rPr>
          <w:rFonts w:hint="cs"/>
          <w:rtl/>
          <w:lang w:bidi="ar"/>
        </w:rPr>
        <w:t xml:space="preserve">بعين الاعتبار </w:t>
      </w:r>
      <w:r w:rsidRPr="00356FA6">
        <w:rPr>
          <w:rtl/>
          <w:lang w:bidi="ar"/>
        </w:rPr>
        <w:t>عند تنفيذ هذا المشروع.</w:t>
      </w:r>
    </w:p>
    <w:p w14:paraId="36EEA360" w14:textId="77777777" w:rsidR="00494633" w:rsidRPr="00815403" w:rsidRDefault="00494633" w:rsidP="00494633">
      <w:pPr>
        <w:pStyle w:val="Heading1"/>
        <w:rPr>
          <w:rtl/>
        </w:rPr>
      </w:pPr>
      <w:r w:rsidRPr="00EE48CE">
        <w:t>2</w:t>
      </w:r>
      <w:r w:rsidRPr="00EE48CE">
        <w:rPr>
          <w:rtl/>
        </w:rPr>
        <w:tab/>
      </w:r>
      <w:r w:rsidRPr="00EE48CE">
        <w:rPr>
          <w:rFonts w:hint="cs"/>
          <w:rtl/>
        </w:rPr>
        <w:t>المقترحات</w:t>
      </w:r>
    </w:p>
    <w:p w14:paraId="7BFE6746" w14:textId="10672CEC" w:rsidR="00494633" w:rsidRDefault="00016E4C" w:rsidP="006911A2">
      <w:pPr>
        <w:rPr>
          <w:rtl/>
          <w:lang w:bidi="ar"/>
        </w:rPr>
      </w:pPr>
      <w:r>
        <w:rPr>
          <w:rFonts w:hint="cs"/>
          <w:rtl/>
        </w:rPr>
        <w:t>تود هذه الإدارة أن تؤكد مرة أخرى</w:t>
      </w:r>
      <w:r w:rsidR="00494633">
        <w:rPr>
          <w:rFonts w:hint="cs"/>
          <w:rtl/>
        </w:rPr>
        <w:t xml:space="preserve"> </w:t>
      </w:r>
      <w:r w:rsidR="00494633">
        <w:rPr>
          <w:rFonts w:hint="cs"/>
          <w:rtl/>
          <w:lang w:bidi="ar"/>
        </w:rPr>
        <w:t xml:space="preserve">أن توسيع نطاقي نظامي التبليغ الإلكتروني والاتصالات الإلكترونية، والاستمرار في تحسين برمجية الخدمات الفضائية </w:t>
      </w:r>
      <w:r w:rsidR="00494633">
        <w:rPr>
          <w:rFonts w:hint="cs"/>
          <w:rtl/>
          <w:lang w:bidi="ar-EG"/>
        </w:rPr>
        <w:t xml:space="preserve">الصادرة عن </w:t>
      </w:r>
      <w:r w:rsidR="00977FA9">
        <w:rPr>
          <w:rFonts w:hint="cs"/>
          <w:rtl/>
          <w:lang w:bidi="ar"/>
        </w:rPr>
        <w:t>مكتب الاتصالات الراديوية</w:t>
      </w:r>
      <w:r w:rsidR="00494633">
        <w:rPr>
          <w:rFonts w:hint="cs"/>
          <w:rtl/>
          <w:lang w:bidi="ar"/>
        </w:rPr>
        <w:t>، مسألتان بالغتا الأهمية لتحقيق كفاءة عملي</w:t>
      </w:r>
      <w:r w:rsidR="005F1B47">
        <w:rPr>
          <w:rFonts w:hint="cs"/>
          <w:rtl/>
          <w:lang w:bidi="ar"/>
        </w:rPr>
        <w:t>ات</w:t>
      </w:r>
      <w:r w:rsidR="00494633">
        <w:rPr>
          <w:rFonts w:hint="cs"/>
          <w:rtl/>
          <w:lang w:bidi="ar"/>
        </w:rPr>
        <w:t xml:space="preserve"> التنسيق الساتلي وتسريعها، </w:t>
      </w:r>
      <w:r w:rsidR="00494633" w:rsidRPr="005F319B">
        <w:rPr>
          <w:rFonts w:hint="cs"/>
          <w:rtl/>
          <w:lang w:bidi="ar"/>
        </w:rPr>
        <w:t>بما</w:t>
      </w:r>
      <w:r w:rsidR="002E43ED">
        <w:rPr>
          <w:rFonts w:hint="eastAsia"/>
          <w:rtl/>
          <w:lang w:bidi="ar"/>
        </w:rPr>
        <w:t> </w:t>
      </w:r>
      <w:r w:rsidR="00494633" w:rsidRPr="005F319B">
        <w:rPr>
          <w:rFonts w:hint="cs"/>
          <w:rtl/>
          <w:lang w:bidi="ar"/>
        </w:rPr>
        <w:t xml:space="preserve">في ذلك </w:t>
      </w:r>
      <w:r w:rsidR="005F1B47">
        <w:rPr>
          <w:rFonts w:hint="cs"/>
          <w:rtl/>
          <w:lang w:bidi="ar"/>
        </w:rPr>
        <w:t>عملية</w:t>
      </w:r>
      <w:r w:rsidR="00494633" w:rsidRPr="005F319B">
        <w:rPr>
          <w:rFonts w:hint="cs"/>
          <w:rtl/>
          <w:lang w:bidi="ar"/>
        </w:rPr>
        <w:t xml:space="preserve"> التفحص والنشر التي يجريها </w:t>
      </w:r>
      <w:r w:rsidR="00494633">
        <w:rPr>
          <w:rFonts w:hint="cs"/>
          <w:rtl/>
          <w:lang w:bidi="ar"/>
        </w:rPr>
        <w:t>المكتب.</w:t>
      </w:r>
    </w:p>
    <w:p w14:paraId="63C0C207" w14:textId="67B2BEE4" w:rsidR="00494633" w:rsidRPr="00356FA6" w:rsidRDefault="005F1B47" w:rsidP="00494633">
      <w:pPr>
        <w:rPr>
          <w:rtl/>
          <w:lang w:bidi="ar"/>
        </w:rPr>
      </w:pPr>
      <w:r w:rsidRPr="00356FA6">
        <w:rPr>
          <w:rFonts w:hint="cs"/>
          <w:rtl/>
          <w:lang w:bidi="ar"/>
        </w:rPr>
        <w:lastRenderedPageBreak/>
        <w:t>و</w:t>
      </w:r>
      <w:r w:rsidRPr="00356FA6">
        <w:rPr>
          <w:rtl/>
          <w:lang w:bidi="ar"/>
        </w:rPr>
        <w:t xml:space="preserve">لذلك، تود هذه الإدارة، إذ </w:t>
      </w:r>
      <w:r w:rsidR="00DB7630" w:rsidRPr="00356FA6">
        <w:rPr>
          <w:rFonts w:hint="cs"/>
          <w:rtl/>
          <w:lang w:bidi="ar"/>
        </w:rPr>
        <w:t>أحاطت علماً</w:t>
      </w:r>
      <w:r w:rsidRPr="00356FA6">
        <w:rPr>
          <w:rtl/>
          <w:lang w:bidi="ar"/>
        </w:rPr>
        <w:t xml:space="preserve"> </w:t>
      </w:r>
      <w:r w:rsidR="00DB7630" w:rsidRPr="00356FA6">
        <w:rPr>
          <w:rFonts w:hint="cs"/>
          <w:rtl/>
          <w:lang w:bidi="ar"/>
        </w:rPr>
        <w:t>ب</w:t>
      </w:r>
      <w:r w:rsidRPr="00356FA6">
        <w:rPr>
          <w:rtl/>
          <w:lang w:bidi="ar"/>
        </w:rPr>
        <w:t xml:space="preserve">التقدم </w:t>
      </w:r>
      <w:r w:rsidR="00402915" w:rsidRPr="00356FA6">
        <w:rPr>
          <w:rFonts w:hint="cs"/>
          <w:rtl/>
          <w:lang w:bidi="ar"/>
        </w:rPr>
        <w:t>المبلغ عنه</w:t>
      </w:r>
      <w:r w:rsidRPr="00356FA6">
        <w:rPr>
          <w:rtl/>
          <w:lang w:bidi="ar"/>
        </w:rPr>
        <w:t xml:space="preserve"> في الوثيقة </w:t>
      </w:r>
      <w:r w:rsidRPr="00356FA6">
        <w:rPr>
          <w:lang w:bidi="ar"/>
        </w:rPr>
        <w:t>RGA/58</w:t>
      </w:r>
      <w:r w:rsidRPr="00356FA6">
        <w:rPr>
          <w:rtl/>
          <w:lang w:bidi="ar"/>
        </w:rPr>
        <w:t xml:space="preserve">، أن تطلب مزيداً من التفاصيل عن التقدم المحرز وكذلك </w:t>
      </w:r>
      <w:r w:rsidRPr="00356FA6">
        <w:rPr>
          <w:rFonts w:hint="cs"/>
          <w:rtl/>
        </w:rPr>
        <w:t xml:space="preserve">عن </w:t>
      </w:r>
      <w:r w:rsidRPr="00356FA6">
        <w:rPr>
          <w:rtl/>
          <w:lang w:bidi="ar"/>
        </w:rPr>
        <w:t xml:space="preserve">الخطة المستقبلية بشأن المقترحات </w:t>
      </w:r>
      <w:r w:rsidRPr="00356FA6">
        <w:rPr>
          <w:rFonts w:hint="cs"/>
          <w:rtl/>
          <w:lang w:bidi="ar"/>
        </w:rPr>
        <w:t>اليابانية.</w:t>
      </w:r>
    </w:p>
    <w:p w14:paraId="52ECBB0B" w14:textId="7F0A49C2" w:rsidR="00494633" w:rsidRPr="00356FA6" w:rsidRDefault="009F6B57" w:rsidP="00494633">
      <w:pPr>
        <w:rPr>
          <w:rtl/>
        </w:rPr>
      </w:pPr>
      <w:r w:rsidRPr="00356FA6">
        <w:rPr>
          <w:rFonts w:hint="cs"/>
          <w:rtl/>
          <w:lang w:bidi="ar"/>
        </w:rPr>
        <w:t>وإضافة</w:t>
      </w:r>
      <w:r w:rsidR="009A36BB" w:rsidRPr="00356FA6">
        <w:rPr>
          <w:rFonts w:hint="cs"/>
          <w:rtl/>
          <w:lang w:bidi="ar"/>
        </w:rPr>
        <w:t>ً</w:t>
      </w:r>
      <w:r w:rsidRPr="00356FA6">
        <w:rPr>
          <w:rFonts w:hint="cs"/>
          <w:rtl/>
          <w:lang w:bidi="ar"/>
        </w:rPr>
        <w:t xml:space="preserve"> إلى ذلك</w:t>
      </w:r>
      <w:r w:rsidRPr="00356FA6">
        <w:rPr>
          <w:rtl/>
          <w:lang w:bidi="ar"/>
        </w:rPr>
        <w:t>، يقترح المكتب في المشروع التمهيدي لتقرير المدير إلى المؤتمر العالمي للاتصالات الراديوية لعام</w:t>
      </w:r>
      <w:r w:rsidR="00B45F94">
        <w:rPr>
          <w:rFonts w:hint="cs"/>
          <w:rtl/>
          <w:lang w:bidi="ar"/>
        </w:rPr>
        <w:t> </w:t>
      </w:r>
      <w:r w:rsidRPr="00356FA6">
        <w:rPr>
          <w:rFonts w:ascii="Arial" w:hAnsi="Arial" w:cs="Arial" w:hint="cs"/>
          <w:rtl/>
          <w:lang w:bidi="ar"/>
        </w:rPr>
        <w:t>‬</w:t>
      </w:r>
      <w:r w:rsidRPr="00356FA6">
        <w:rPr>
          <w:rtl/>
          <w:lang w:bidi="ar"/>
        </w:rPr>
        <w:t xml:space="preserve">2023 </w:t>
      </w:r>
      <w:r w:rsidRPr="00356FA6">
        <w:rPr>
          <w:rFonts w:hint="cs"/>
          <w:rtl/>
          <w:lang w:bidi="ar"/>
        </w:rPr>
        <w:t>(الجزء</w:t>
      </w:r>
      <w:r w:rsidR="009D1609">
        <w:rPr>
          <w:rFonts w:hint="eastAsia"/>
          <w:rtl/>
          <w:lang w:bidi="ar"/>
        </w:rPr>
        <w:t> </w:t>
      </w:r>
      <w:r w:rsidRPr="00356FA6">
        <w:rPr>
          <w:rFonts w:hint="cs"/>
          <w:rtl/>
          <w:lang w:bidi="ar"/>
        </w:rPr>
        <w:t xml:space="preserve">2 من الوثيقة </w:t>
      </w:r>
      <w:r w:rsidRPr="00356FA6">
        <w:rPr>
          <w:lang w:val="en-GB" w:bidi="ar"/>
        </w:rPr>
        <w:t>(CPM23-2/236</w:t>
      </w:r>
      <w:r w:rsidRPr="00356FA6">
        <w:rPr>
          <w:rFonts w:hint="cs"/>
          <w:rtl/>
          <w:lang w:bidi="ar"/>
        </w:rPr>
        <w:t xml:space="preserve"> </w:t>
      </w:r>
      <w:r w:rsidR="00BC3F56" w:rsidRPr="00356FA6">
        <w:rPr>
          <w:rFonts w:hint="cs"/>
          <w:rtl/>
          <w:lang w:bidi="ar-EG"/>
        </w:rPr>
        <w:t>تلخيص</w:t>
      </w:r>
      <w:r w:rsidRPr="00356FA6">
        <w:rPr>
          <w:rtl/>
          <w:lang w:bidi="ar"/>
        </w:rPr>
        <w:t xml:space="preserve"> </w:t>
      </w:r>
      <w:r w:rsidRPr="00356FA6">
        <w:rPr>
          <w:rFonts w:hint="cs"/>
          <w:rtl/>
          <w:lang w:bidi="ar"/>
        </w:rPr>
        <w:t>المفهوم</w:t>
      </w:r>
      <w:r w:rsidRPr="00356FA6">
        <w:rPr>
          <w:rtl/>
          <w:lang w:bidi="ar"/>
        </w:rPr>
        <w:t xml:space="preserve"> </w:t>
      </w:r>
      <w:r w:rsidRPr="00356FA6">
        <w:rPr>
          <w:rFonts w:hint="cs"/>
          <w:rtl/>
          <w:lang w:bidi="ar"/>
        </w:rPr>
        <w:t>التشغيلي</w:t>
      </w:r>
      <w:r w:rsidRPr="00356FA6">
        <w:rPr>
          <w:rtl/>
          <w:lang w:bidi="ar"/>
        </w:rPr>
        <w:t xml:space="preserve"> </w:t>
      </w:r>
      <w:r w:rsidR="00DB7630" w:rsidRPr="00356FA6">
        <w:rPr>
          <w:rFonts w:hint="cs"/>
          <w:rtl/>
          <w:lang w:bidi="ar"/>
        </w:rPr>
        <w:t>الوارد في</w:t>
      </w:r>
      <w:r w:rsidRPr="00356FA6">
        <w:rPr>
          <w:rFonts w:hint="cs"/>
          <w:rtl/>
          <w:lang w:bidi="ar"/>
        </w:rPr>
        <w:t xml:space="preserve"> القرار</w:t>
      </w:r>
      <w:r w:rsidRPr="00356FA6">
        <w:rPr>
          <w:rtl/>
          <w:lang w:bidi="ar"/>
        </w:rPr>
        <w:t xml:space="preserve"> </w:t>
      </w:r>
      <w:r w:rsidRPr="00356FA6">
        <w:rPr>
          <w:rFonts w:ascii="Arial" w:hAnsi="Arial" w:cs="Arial" w:hint="cs"/>
          <w:rtl/>
          <w:lang w:bidi="ar"/>
        </w:rPr>
        <w:t>‬</w:t>
      </w:r>
      <w:r w:rsidRPr="004050B6">
        <w:rPr>
          <w:rFonts w:hint="cs"/>
          <w:b/>
          <w:bCs/>
          <w:rtl/>
          <w:lang w:bidi="ar"/>
        </w:rPr>
        <w:t>908</w:t>
      </w:r>
      <w:r w:rsidRPr="00356FA6">
        <w:rPr>
          <w:rtl/>
          <w:lang w:bidi="ar"/>
        </w:rPr>
        <w:t xml:space="preserve"> </w:t>
      </w:r>
      <w:r w:rsidRPr="00356FA6">
        <w:rPr>
          <w:rFonts w:hint="cs"/>
          <w:rtl/>
          <w:lang w:bidi="ar"/>
        </w:rPr>
        <w:t xml:space="preserve">لإدراجه في القرار </w:t>
      </w:r>
      <w:r w:rsidRPr="004050B6">
        <w:rPr>
          <w:b/>
          <w:bCs/>
          <w:lang w:val="en-GB" w:bidi="ar"/>
        </w:rPr>
        <w:t>55</w:t>
      </w:r>
      <w:r w:rsidR="00B25671">
        <w:rPr>
          <w:b/>
          <w:bCs/>
          <w:lang w:bidi="ar"/>
        </w:rPr>
        <w:t> </w:t>
      </w:r>
      <w:r w:rsidRPr="004050B6">
        <w:rPr>
          <w:b/>
          <w:bCs/>
          <w:lang w:val="en-GB" w:bidi="ar"/>
        </w:rPr>
        <w:t>(Rev.WRC-19)</w:t>
      </w:r>
      <w:r w:rsidR="00C42DC2" w:rsidRPr="00356FA6">
        <w:rPr>
          <w:rFonts w:hint="cs"/>
          <w:rtl/>
        </w:rPr>
        <w:t xml:space="preserve">. وفي هذا الصدد تود إدارة اليابان تأكيد أن مضمون القرار </w:t>
      </w:r>
      <w:r w:rsidR="00C42DC2" w:rsidRPr="004050B6">
        <w:rPr>
          <w:rFonts w:hint="cs"/>
          <w:b/>
          <w:bCs/>
          <w:rtl/>
        </w:rPr>
        <w:t>908</w:t>
      </w:r>
      <w:r w:rsidR="00C42DC2" w:rsidRPr="00356FA6">
        <w:rPr>
          <w:rFonts w:hint="cs"/>
          <w:rtl/>
        </w:rPr>
        <w:t xml:space="preserve"> مهم ويحتاج إلى مزيد من التطوير.</w:t>
      </w:r>
    </w:p>
    <w:p w14:paraId="286D2CD7" w14:textId="59CBB371" w:rsidR="00C42DC2" w:rsidRPr="00815403" w:rsidRDefault="00C42DC2" w:rsidP="00494633">
      <w:pPr>
        <w:rPr>
          <w:rtl/>
        </w:rPr>
      </w:pPr>
      <w:r w:rsidRPr="00356FA6">
        <w:rPr>
          <w:rFonts w:hint="cs"/>
          <w:rtl/>
        </w:rPr>
        <w:t>ومن أجل مواصلة التطوير</w:t>
      </w:r>
      <w:r w:rsidRPr="00356FA6">
        <w:rPr>
          <w:rtl/>
        </w:rPr>
        <w:t>، تقر إدارة اليابان ب</w:t>
      </w:r>
      <w:r w:rsidRPr="00356FA6">
        <w:rPr>
          <w:rFonts w:hint="cs"/>
          <w:rtl/>
        </w:rPr>
        <w:t>أن المساهمات الطوعية من الدول الأعضاء ضرورية.</w:t>
      </w:r>
      <w:r w:rsidRPr="00356FA6">
        <w:rPr>
          <w:rtl/>
        </w:rPr>
        <w:t xml:space="preserve"> </w:t>
      </w:r>
      <w:r w:rsidRPr="00356FA6">
        <w:rPr>
          <w:rFonts w:hint="cs"/>
          <w:rtl/>
        </w:rPr>
        <w:t>وبالتالي</w:t>
      </w:r>
      <w:r w:rsidRPr="00356FA6">
        <w:rPr>
          <w:rtl/>
        </w:rPr>
        <w:t xml:space="preserve">، تود هذه الإدارة أن تشجع أكبر عدد ممكن من الدول الأعضاء على استخدام </w:t>
      </w:r>
      <w:r w:rsidR="00F515E4" w:rsidRPr="00356FA6">
        <w:rPr>
          <w:rFonts w:hint="cs"/>
          <w:rtl/>
          <w:lang w:bidi="ar"/>
        </w:rPr>
        <w:t>نظامي التبليغ الإلكتروني والاتصالات الإلكترونية</w:t>
      </w:r>
      <w:r w:rsidR="00F515E4" w:rsidRPr="00356FA6">
        <w:rPr>
          <w:rtl/>
        </w:rPr>
        <w:t xml:space="preserve"> </w:t>
      </w:r>
      <w:r w:rsidRPr="00356FA6">
        <w:rPr>
          <w:rtl/>
        </w:rPr>
        <w:t xml:space="preserve">والأنظمة ذات الصلة </w:t>
      </w:r>
      <w:r w:rsidR="00CA12D7" w:rsidRPr="00356FA6">
        <w:rPr>
          <w:rFonts w:hint="cs"/>
          <w:rtl/>
        </w:rPr>
        <w:t>وإرسال</w:t>
      </w:r>
      <w:r w:rsidRPr="00356FA6">
        <w:rPr>
          <w:rtl/>
        </w:rPr>
        <w:t xml:space="preserve"> تعليقاتها إلى </w:t>
      </w:r>
      <w:r w:rsidR="00BC3F56" w:rsidRPr="00356FA6">
        <w:rPr>
          <w:rFonts w:hint="cs"/>
          <w:rtl/>
        </w:rPr>
        <w:t>مكتب الاتصالات الراديوية</w:t>
      </w:r>
      <w:r w:rsidRPr="00356FA6">
        <w:rPr>
          <w:rtl/>
        </w:rPr>
        <w:t>.</w:t>
      </w:r>
      <w:r w:rsidRPr="00356FA6">
        <w:rPr>
          <w:rFonts w:ascii="Arial" w:hAnsi="Arial" w:cs="Arial" w:hint="cs"/>
          <w:rtl/>
        </w:rPr>
        <w:t>‬</w:t>
      </w:r>
      <w:r w:rsidRPr="00356FA6">
        <w:rPr>
          <w:rFonts w:ascii="Arial" w:hAnsi="Arial" w:cs="Arial" w:hint="cs"/>
          <w:rtl/>
        </w:rPr>
        <w:t>‬</w:t>
      </w:r>
    </w:p>
    <w:p w14:paraId="1F746BEE" w14:textId="77777777" w:rsidR="00494633" w:rsidRDefault="00494633" w:rsidP="00494633">
      <w:pPr>
        <w:pStyle w:val="Heading1"/>
        <w:rPr>
          <w:rtl/>
          <w:lang w:bidi="ar-SA"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الخلاصة</w:t>
      </w:r>
    </w:p>
    <w:p w14:paraId="505D3F2F" w14:textId="1BA14960" w:rsidR="00494633" w:rsidRDefault="00494633" w:rsidP="00494633">
      <w:pPr>
        <w:rPr>
          <w:lang w:bidi="ar-EG"/>
        </w:rPr>
      </w:pPr>
      <w:r w:rsidRPr="00BE1A96">
        <w:rPr>
          <w:rFonts w:hint="cs"/>
          <w:rtl/>
          <w:lang w:bidi="ar-EG"/>
        </w:rPr>
        <w:t xml:space="preserve">ترجو </w:t>
      </w:r>
      <w:r w:rsidR="00AE7C6F" w:rsidRPr="00BE1A96">
        <w:rPr>
          <w:rFonts w:hint="cs"/>
          <w:rtl/>
          <w:lang w:bidi="ar-EG"/>
        </w:rPr>
        <w:t xml:space="preserve">إدارة </w:t>
      </w:r>
      <w:r w:rsidRPr="00BE1A96">
        <w:rPr>
          <w:rFonts w:hint="cs"/>
          <w:rtl/>
          <w:lang w:bidi="ar-EG"/>
        </w:rPr>
        <w:t xml:space="preserve">اليابان من مكتب الاتصالات الراديوية </w:t>
      </w:r>
      <w:r w:rsidR="00BC3F56" w:rsidRPr="00BE1A96">
        <w:rPr>
          <w:rFonts w:hint="cs"/>
          <w:rtl/>
          <w:lang w:bidi="ar-EG"/>
        </w:rPr>
        <w:t>مواصلة</w:t>
      </w:r>
      <w:r w:rsidRPr="00BE1A96">
        <w:rPr>
          <w:rFonts w:hint="cs"/>
          <w:rtl/>
          <w:lang w:bidi="ar-EG"/>
        </w:rPr>
        <w:t xml:space="preserve"> تطوير هذين النظامين </w:t>
      </w:r>
      <w:r w:rsidR="00BC3F56" w:rsidRPr="00BE1A96">
        <w:rPr>
          <w:rFonts w:hint="cs"/>
          <w:rtl/>
          <w:lang w:bidi="ar-EG"/>
        </w:rPr>
        <w:t>و</w:t>
      </w:r>
      <w:r w:rsidRPr="00BE1A96">
        <w:rPr>
          <w:rFonts w:hint="cs"/>
          <w:rtl/>
          <w:lang w:bidi="ar-EG"/>
        </w:rPr>
        <w:t>تحسينهما</w:t>
      </w:r>
      <w:r w:rsidR="00BC3F56" w:rsidRPr="00BE1A96">
        <w:rPr>
          <w:rFonts w:hint="cs"/>
          <w:rtl/>
          <w:lang w:bidi="ar-EG"/>
        </w:rPr>
        <w:t xml:space="preserve"> باستمرار</w:t>
      </w:r>
      <w:r w:rsidRPr="00BE1A96">
        <w:rPr>
          <w:rFonts w:hint="cs"/>
          <w:rtl/>
          <w:lang w:bidi="ar-EG"/>
        </w:rPr>
        <w:t xml:space="preserve"> على النحو المذكور أعلاه، بموجب</w:t>
      </w:r>
      <w:r w:rsidR="00BC3F56" w:rsidRPr="00BE1A96">
        <w:rPr>
          <w:rFonts w:hint="cs"/>
          <w:rtl/>
          <w:lang w:bidi="ar-EG"/>
        </w:rPr>
        <w:t xml:space="preserve"> الأحكام الحالية</w:t>
      </w:r>
      <w:r w:rsidRPr="00BE1A96">
        <w:rPr>
          <w:rFonts w:hint="cs"/>
          <w:rtl/>
          <w:lang w:bidi="ar-EG"/>
        </w:rPr>
        <w:t xml:space="preserve"> </w:t>
      </w:r>
      <w:r w:rsidR="00BC3F56" w:rsidRPr="00BE1A96">
        <w:rPr>
          <w:rFonts w:hint="cs"/>
          <w:rtl/>
          <w:lang w:bidi="ar-EG"/>
        </w:rPr>
        <w:t>ل</w:t>
      </w:r>
      <w:r w:rsidRPr="00BE1A96">
        <w:rPr>
          <w:rFonts w:hint="cs"/>
          <w:rtl/>
          <w:lang w:bidi="ar-EG"/>
        </w:rPr>
        <w:t>لقرار</w:t>
      </w:r>
      <w:r w:rsidRPr="00BE1A96">
        <w:rPr>
          <w:rFonts w:hint="eastAsia"/>
          <w:rtl/>
          <w:lang w:bidi="ar-EG"/>
        </w:rPr>
        <w:t> </w:t>
      </w:r>
      <w:r w:rsidRPr="00FB154F">
        <w:rPr>
          <w:b/>
          <w:bCs/>
          <w:lang w:bidi="ar-EG"/>
        </w:rPr>
        <w:t>908</w:t>
      </w:r>
      <w:r w:rsidRPr="00BE1A96">
        <w:rPr>
          <w:rFonts w:hint="cs"/>
          <w:rtl/>
          <w:lang w:bidi="ar-EG"/>
        </w:rPr>
        <w:t>.</w:t>
      </w:r>
    </w:p>
    <w:p w14:paraId="025BE9D7" w14:textId="1C4F1F5B" w:rsidR="0039465C" w:rsidRPr="0039465C" w:rsidRDefault="00494633" w:rsidP="00494633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2D7F" w14:textId="77777777" w:rsidR="00494633" w:rsidRDefault="00494633" w:rsidP="002919E1">
      <w:r>
        <w:separator/>
      </w:r>
    </w:p>
    <w:p w14:paraId="1B2A2BD8" w14:textId="77777777" w:rsidR="00494633" w:rsidRDefault="00494633" w:rsidP="002919E1"/>
    <w:p w14:paraId="3BE0B49E" w14:textId="77777777" w:rsidR="00494633" w:rsidRDefault="00494633" w:rsidP="002919E1"/>
    <w:p w14:paraId="367DDF40" w14:textId="77777777" w:rsidR="00494633" w:rsidRDefault="00494633"/>
  </w:endnote>
  <w:endnote w:type="continuationSeparator" w:id="0">
    <w:p w14:paraId="5CDF1A43" w14:textId="77777777" w:rsidR="00494633" w:rsidRDefault="00494633" w:rsidP="002919E1">
      <w:r>
        <w:continuationSeparator/>
      </w:r>
    </w:p>
    <w:p w14:paraId="75FF5B59" w14:textId="77777777" w:rsidR="00494633" w:rsidRDefault="00494633" w:rsidP="002919E1"/>
    <w:p w14:paraId="60604B75" w14:textId="77777777" w:rsidR="00494633" w:rsidRDefault="00494633" w:rsidP="002919E1"/>
    <w:p w14:paraId="693BB785" w14:textId="77777777" w:rsidR="00494633" w:rsidRDefault="00494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30ED" w14:textId="6751CF0F" w:rsidR="00281F5F" w:rsidRPr="00917835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pt-PT"/>
      </w:rPr>
    </w:pPr>
    <w:r>
      <w:fldChar w:fldCharType="begin"/>
    </w:r>
    <w:r w:rsidRPr="00917835">
      <w:rPr>
        <w:lang w:val="pt-PT"/>
      </w:rPr>
      <w:instrText xml:space="preserve"> FILENAME \p \* MERGEFORMAT </w:instrText>
    </w:r>
    <w:r>
      <w:fldChar w:fldCharType="separate"/>
    </w:r>
    <w:r w:rsidR="009B5F7C">
      <w:rPr>
        <w:noProof/>
        <w:lang w:val="pt-PT"/>
      </w:rPr>
      <w:t>P:\ARA\ITU-R\AG\RAG\RAG23\000\066A.docx</w:t>
    </w:r>
    <w:r>
      <w:fldChar w:fldCharType="end"/>
    </w:r>
    <w:r w:rsidRPr="00917835">
      <w:rPr>
        <w:lang w:val="pt-PT"/>
      </w:rPr>
      <w:t xml:space="preserve">   (</w:t>
    </w:r>
    <w:r w:rsidR="00352A56" w:rsidRPr="00917835">
      <w:rPr>
        <w:lang w:val="pt-PT"/>
      </w:rPr>
      <w:t>521279</w:t>
    </w:r>
    <w:r w:rsidRPr="00917835">
      <w:rPr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C99F" w14:textId="0B0BDE3B" w:rsidR="00281F5F" w:rsidRPr="00917835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pt-PT"/>
      </w:rPr>
    </w:pPr>
    <w:r>
      <w:fldChar w:fldCharType="begin"/>
    </w:r>
    <w:r w:rsidRPr="00917835">
      <w:rPr>
        <w:lang w:val="pt-PT"/>
      </w:rPr>
      <w:instrText xml:space="preserve"> FILENAME \p \* MERGEFORMAT </w:instrText>
    </w:r>
    <w:r>
      <w:fldChar w:fldCharType="separate"/>
    </w:r>
    <w:r w:rsidR="009B5F7C">
      <w:rPr>
        <w:noProof/>
        <w:lang w:val="pt-PT"/>
      </w:rPr>
      <w:t>P:\ARA\ITU-R\AG\RAG\RAG23\000\066A.docx</w:t>
    </w:r>
    <w:r>
      <w:fldChar w:fldCharType="end"/>
    </w:r>
    <w:r w:rsidRPr="00917835">
      <w:rPr>
        <w:lang w:val="pt-PT"/>
      </w:rPr>
      <w:t xml:space="preserve">   (</w:t>
    </w:r>
    <w:r w:rsidR="00352A56" w:rsidRPr="00917835">
      <w:rPr>
        <w:lang w:val="pt-PT"/>
      </w:rPr>
      <w:t>521279</w:t>
    </w:r>
    <w:r w:rsidRPr="00917835">
      <w:rPr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44A1" w14:textId="77777777" w:rsidR="00494633" w:rsidRDefault="00494633" w:rsidP="002919E1">
      <w:r>
        <w:t>___________________</w:t>
      </w:r>
    </w:p>
  </w:footnote>
  <w:footnote w:type="continuationSeparator" w:id="0">
    <w:p w14:paraId="34276432" w14:textId="77777777" w:rsidR="00494633" w:rsidRDefault="00494633" w:rsidP="002919E1">
      <w:r>
        <w:continuationSeparator/>
      </w:r>
    </w:p>
    <w:p w14:paraId="663B94D9" w14:textId="77777777" w:rsidR="00494633" w:rsidRDefault="00494633" w:rsidP="002919E1"/>
    <w:p w14:paraId="16CA3C00" w14:textId="77777777" w:rsidR="00494633" w:rsidRDefault="00494633" w:rsidP="002919E1"/>
    <w:p w14:paraId="676C8671" w14:textId="77777777" w:rsidR="00494633" w:rsidRDefault="00494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29B" w14:textId="77777777" w:rsidR="00281F5F" w:rsidRDefault="00281F5F" w:rsidP="002919E1"/>
  <w:p w14:paraId="6628DE56" w14:textId="77777777" w:rsidR="00281F5F" w:rsidRDefault="00281F5F" w:rsidP="002919E1"/>
  <w:p w14:paraId="48E674C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778F" w14:textId="040F192B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494633">
      <w:rPr>
        <w:rStyle w:val="PageNumber"/>
      </w:rPr>
      <w:t>66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33"/>
    <w:rsid w:val="00011021"/>
    <w:rsid w:val="000114EC"/>
    <w:rsid w:val="00011F8C"/>
    <w:rsid w:val="00016E4C"/>
    <w:rsid w:val="00022B74"/>
    <w:rsid w:val="0002327C"/>
    <w:rsid w:val="00030C3A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A6E43"/>
    <w:rsid w:val="001B5953"/>
    <w:rsid w:val="001D746E"/>
    <w:rsid w:val="001E190C"/>
    <w:rsid w:val="001E51EE"/>
    <w:rsid w:val="001E54F6"/>
    <w:rsid w:val="001E5A8C"/>
    <w:rsid w:val="00201A0A"/>
    <w:rsid w:val="00204E33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1AC3"/>
    <w:rsid w:val="00280E04"/>
    <w:rsid w:val="00281F5F"/>
    <w:rsid w:val="002843E4"/>
    <w:rsid w:val="002917AB"/>
    <w:rsid w:val="002919E1"/>
    <w:rsid w:val="00295917"/>
    <w:rsid w:val="00296071"/>
    <w:rsid w:val="002A4572"/>
    <w:rsid w:val="002A7E2E"/>
    <w:rsid w:val="002B12C5"/>
    <w:rsid w:val="002B16D8"/>
    <w:rsid w:val="002C1AAA"/>
    <w:rsid w:val="002D5F64"/>
    <w:rsid w:val="002D6BB4"/>
    <w:rsid w:val="002D6FBF"/>
    <w:rsid w:val="002E43ED"/>
    <w:rsid w:val="002E48BF"/>
    <w:rsid w:val="002E61C2"/>
    <w:rsid w:val="002F3031"/>
    <w:rsid w:val="002F3E46"/>
    <w:rsid w:val="0030601A"/>
    <w:rsid w:val="00311E3F"/>
    <w:rsid w:val="00314B1E"/>
    <w:rsid w:val="0033737F"/>
    <w:rsid w:val="00352A56"/>
    <w:rsid w:val="00353652"/>
    <w:rsid w:val="003569E1"/>
    <w:rsid w:val="00356FA6"/>
    <w:rsid w:val="003815E2"/>
    <w:rsid w:val="00381FAD"/>
    <w:rsid w:val="00382A66"/>
    <w:rsid w:val="003834B5"/>
    <w:rsid w:val="003923B1"/>
    <w:rsid w:val="0039465C"/>
    <w:rsid w:val="003965FE"/>
    <w:rsid w:val="003B1A76"/>
    <w:rsid w:val="003B27AD"/>
    <w:rsid w:val="003B4F23"/>
    <w:rsid w:val="003C12F6"/>
    <w:rsid w:val="003C3A13"/>
    <w:rsid w:val="003C50F8"/>
    <w:rsid w:val="003E02EF"/>
    <w:rsid w:val="003E1D90"/>
    <w:rsid w:val="003E365F"/>
    <w:rsid w:val="003E4A42"/>
    <w:rsid w:val="00400CD4"/>
    <w:rsid w:val="00402915"/>
    <w:rsid w:val="00404A56"/>
    <w:rsid w:val="004050B6"/>
    <w:rsid w:val="00405C94"/>
    <w:rsid w:val="004147B9"/>
    <w:rsid w:val="00422C04"/>
    <w:rsid w:val="00423A40"/>
    <w:rsid w:val="00426144"/>
    <w:rsid w:val="004636E2"/>
    <w:rsid w:val="00464B03"/>
    <w:rsid w:val="00470CBD"/>
    <w:rsid w:val="0047407D"/>
    <w:rsid w:val="00475B46"/>
    <w:rsid w:val="004909DD"/>
    <w:rsid w:val="00494633"/>
    <w:rsid w:val="004A05E6"/>
    <w:rsid w:val="004A1C0F"/>
    <w:rsid w:val="004A6230"/>
    <w:rsid w:val="004A6C66"/>
    <w:rsid w:val="004A7AA0"/>
    <w:rsid w:val="004C11BC"/>
    <w:rsid w:val="004C522B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A0A9A"/>
    <w:rsid w:val="005B00A1"/>
    <w:rsid w:val="005C29C8"/>
    <w:rsid w:val="005C5D25"/>
    <w:rsid w:val="005D1E8B"/>
    <w:rsid w:val="005D2606"/>
    <w:rsid w:val="005D6D48"/>
    <w:rsid w:val="005D72A4"/>
    <w:rsid w:val="005F05CC"/>
    <w:rsid w:val="005F1B47"/>
    <w:rsid w:val="005F65DE"/>
    <w:rsid w:val="00613492"/>
    <w:rsid w:val="00630905"/>
    <w:rsid w:val="006315B5"/>
    <w:rsid w:val="0065562F"/>
    <w:rsid w:val="006577C0"/>
    <w:rsid w:val="006779A4"/>
    <w:rsid w:val="006804AB"/>
    <w:rsid w:val="00680A66"/>
    <w:rsid w:val="00681391"/>
    <w:rsid w:val="00686AB1"/>
    <w:rsid w:val="006911A2"/>
    <w:rsid w:val="00694690"/>
    <w:rsid w:val="0069526C"/>
    <w:rsid w:val="006A093D"/>
    <w:rsid w:val="006A12AC"/>
    <w:rsid w:val="006A2162"/>
    <w:rsid w:val="006B4B90"/>
    <w:rsid w:val="006B658C"/>
    <w:rsid w:val="006D2674"/>
    <w:rsid w:val="006D4367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579A5"/>
    <w:rsid w:val="008614B8"/>
    <w:rsid w:val="008657CB"/>
    <w:rsid w:val="00873A6F"/>
    <w:rsid w:val="0088384B"/>
    <w:rsid w:val="008871E3"/>
    <w:rsid w:val="00893E53"/>
    <w:rsid w:val="008A1137"/>
    <w:rsid w:val="008A1788"/>
    <w:rsid w:val="008A3E57"/>
    <w:rsid w:val="008A4185"/>
    <w:rsid w:val="008A6552"/>
    <w:rsid w:val="008B4E93"/>
    <w:rsid w:val="008B52B7"/>
    <w:rsid w:val="008C313A"/>
    <w:rsid w:val="008C3818"/>
    <w:rsid w:val="008D1941"/>
    <w:rsid w:val="008D6ACC"/>
    <w:rsid w:val="008D7AF0"/>
    <w:rsid w:val="008E2CBE"/>
    <w:rsid w:val="008E32DD"/>
    <w:rsid w:val="008F4626"/>
    <w:rsid w:val="009004DF"/>
    <w:rsid w:val="009021F8"/>
    <w:rsid w:val="00902322"/>
    <w:rsid w:val="00904AA5"/>
    <w:rsid w:val="00917835"/>
    <w:rsid w:val="00923802"/>
    <w:rsid w:val="00951718"/>
    <w:rsid w:val="00960962"/>
    <w:rsid w:val="00972CE0"/>
    <w:rsid w:val="00975E32"/>
    <w:rsid w:val="00977FA9"/>
    <w:rsid w:val="009A22B5"/>
    <w:rsid w:val="009A36BB"/>
    <w:rsid w:val="009A3D30"/>
    <w:rsid w:val="009B5F7C"/>
    <w:rsid w:val="009D1609"/>
    <w:rsid w:val="009D6348"/>
    <w:rsid w:val="009E5007"/>
    <w:rsid w:val="009E613F"/>
    <w:rsid w:val="009F042B"/>
    <w:rsid w:val="009F6B57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561E8"/>
    <w:rsid w:val="00A6117C"/>
    <w:rsid w:val="00A63491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0E8D"/>
    <w:rsid w:val="00AE6B26"/>
    <w:rsid w:val="00AE7C6F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5671"/>
    <w:rsid w:val="00B357E9"/>
    <w:rsid w:val="00B4164D"/>
    <w:rsid w:val="00B425C1"/>
    <w:rsid w:val="00B45F94"/>
    <w:rsid w:val="00B606BA"/>
    <w:rsid w:val="00B66817"/>
    <w:rsid w:val="00B71E3B"/>
    <w:rsid w:val="00B721D5"/>
    <w:rsid w:val="00B81CB5"/>
    <w:rsid w:val="00B8351F"/>
    <w:rsid w:val="00B83FA8"/>
    <w:rsid w:val="00B86C44"/>
    <w:rsid w:val="00B9727C"/>
    <w:rsid w:val="00BA0456"/>
    <w:rsid w:val="00BA7D44"/>
    <w:rsid w:val="00BC3F56"/>
    <w:rsid w:val="00BD481A"/>
    <w:rsid w:val="00BD6291"/>
    <w:rsid w:val="00BD6EF3"/>
    <w:rsid w:val="00BE1A96"/>
    <w:rsid w:val="00BE69C3"/>
    <w:rsid w:val="00C1165E"/>
    <w:rsid w:val="00C16BAC"/>
    <w:rsid w:val="00C22074"/>
    <w:rsid w:val="00C2377B"/>
    <w:rsid w:val="00C34B48"/>
    <w:rsid w:val="00C34E09"/>
    <w:rsid w:val="00C3693C"/>
    <w:rsid w:val="00C42DC2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2D7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D6E81"/>
    <w:rsid w:val="00CE0E68"/>
    <w:rsid w:val="00CE5850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2A63"/>
    <w:rsid w:val="00DA60ED"/>
    <w:rsid w:val="00DB7630"/>
    <w:rsid w:val="00DC29DD"/>
    <w:rsid w:val="00DC7C0E"/>
    <w:rsid w:val="00DE7387"/>
    <w:rsid w:val="00DF2A6A"/>
    <w:rsid w:val="00DF3B72"/>
    <w:rsid w:val="00E0591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C8A"/>
    <w:rsid w:val="00F515E4"/>
    <w:rsid w:val="00F84613"/>
    <w:rsid w:val="00F8654D"/>
    <w:rsid w:val="00F900C9"/>
    <w:rsid w:val="00F92C96"/>
    <w:rsid w:val="00F97559"/>
    <w:rsid w:val="00F97D1C"/>
    <w:rsid w:val="00FA0D4E"/>
    <w:rsid w:val="00FB0753"/>
    <w:rsid w:val="00FB154F"/>
    <w:rsid w:val="00FB5CC8"/>
    <w:rsid w:val="00FC2CD0"/>
    <w:rsid w:val="00FD0594"/>
    <w:rsid w:val="00FF296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18DF4"/>
  <w15:docId w15:val="{A73F6F8A-4CF2-4FF9-BD6B-F89020C7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0456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4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4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7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4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Arabic-AAM</dc:creator>
  <cp:keywords>WRC-12</cp:keywords>
  <cp:lastModifiedBy>Arabic-SA</cp:lastModifiedBy>
  <cp:revision>76</cp:revision>
  <cp:lastPrinted>2019-06-26T10:10:00Z</cp:lastPrinted>
  <dcterms:created xsi:type="dcterms:W3CDTF">2023-04-24T08:44:00Z</dcterms:created>
  <dcterms:modified xsi:type="dcterms:W3CDTF">2023-04-24T10:10:00Z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