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7F7FE1" w14:paraId="71E447DC" w14:textId="77777777" w:rsidTr="00443261">
        <w:trPr>
          <w:cantSplit/>
        </w:trPr>
        <w:tc>
          <w:tcPr>
            <w:tcW w:w="6771" w:type="dxa"/>
            <w:vAlign w:val="center"/>
          </w:tcPr>
          <w:p w14:paraId="4FBADE6B" w14:textId="77777777" w:rsidR="00443261" w:rsidRPr="007F7FE1" w:rsidRDefault="00443261" w:rsidP="003E385A">
            <w:pPr>
              <w:shd w:val="solid" w:color="FFFFFF" w:fill="FFFFFF"/>
              <w:spacing w:before="360" w:after="240"/>
              <w:rPr>
                <w:rFonts w:ascii="Verdana" w:hAnsi="Verdana"/>
                <w:b/>
                <w:bCs/>
              </w:rPr>
            </w:pPr>
            <w:r w:rsidRPr="007F7FE1">
              <w:rPr>
                <w:rFonts w:ascii="Verdana" w:hAnsi="Verdana" w:cs="Times New Roman Bold"/>
                <w:b/>
                <w:sz w:val="25"/>
                <w:szCs w:val="25"/>
              </w:rPr>
              <w:t>Groupe Consultatif des Radiocommunications</w:t>
            </w:r>
            <w:r w:rsidRPr="007F7FE1">
              <w:rPr>
                <w:rFonts w:ascii="Verdana" w:hAnsi="Verdana"/>
                <w:b/>
                <w:sz w:val="25"/>
                <w:szCs w:val="25"/>
              </w:rPr>
              <w:br/>
            </w:r>
          </w:p>
        </w:tc>
        <w:tc>
          <w:tcPr>
            <w:tcW w:w="3118" w:type="dxa"/>
          </w:tcPr>
          <w:p w14:paraId="4EF39692" w14:textId="77777777" w:rsidR="00443261" w:rsidRPr="007F7FE1" w:rsidRDefault="007711EA" w:rsidP="003E385A">
            <w:pPr>
              <w:shd w:val="solid" w:color="FFFFFF" w:fill="FFFFFF"/>
              <w:spacing w:before="0"/>
            </w:pPr>
            <w:r w:rsidRPr="007F7FE1">
              <w:rPr>
                <w:noProof/>
                <w:lang w:eastAsia="zh-CN"/>
              </w:rPr>
              <w:drawing>
                <wp:inline distT="0" distB="0" distL="0" distR="0" wp14:anchorId="2F8B9764" wp14:editId="193B9E1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7F7FE1" w14:paraId="5D29884A" w14:textId="77777777">
        <w:trPr>
          <w:cantSplit/>
        </w:trPr>
        <w:tc>
          <w:tcPr>
            <w:tcW w:w="6771" w:type="dxa"/>
            <w:tcBorders>
              <w:bottom w:val="single" w:sz="12" w:space="0" w:color="auto"/>
            </w:tcBorders>
          </w:tcPr>
          <w:p w14:paraId="5DA5C78B" w14:textId="77777777" w:rsidR="002D238A" w:rsidRPr="007F7FE1" w:rsidRDefault="002D238A" w:rsidP="003E385A">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BE50CD1" w14:textId="77777777" w:rsidR="002D238A" w:rsidRPr="007F7FE1" w:rsidRDefault="002D238A" w:rsidP="003E385A">
            <w:pPr>
              <w:shd w:val="solid" w:color="FFFFFF" w:fill="FFFFFF"/>
              <w:spacing w:before="0" w:after="48"/>
              <w:rPr>
                <w:sz w:val="22"/>
                <w:szCs w:val="22"/>
              </w:rPr>
            </w:pPr>
          </w:p>
        </w:tc>
      </w:tr>
      <w:tr w:rsidR="002D238A" w:rsidRPr="007F7FE1" w14:paraId="47B033D9" w14:textId="77777777">
        <w:trPr>
          <w:cantSplit/>
        </w:trPr>
        <w:tc>
          <w:tcPr>
            <w:tcW w:w="6771" w:type="dxa"/>
            <w:tcBorders>
              <w:top w:val="single" w:sz="12" w:space="0" w:color="auto"/>
            </w:tcBorders>
          </w:tcPr>
          <w:p w14:paraId="1D5E5AF9" w14:textId="77777777" w:rsidR="002D238A" w:rsidRPr="007F7FE1" w:rsidRDefault="002D238A" w:rsidP="003E385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7D4BF00" w14:textId="77777777" w:rsidR="002D238A" w:rsidRPr="007F7FE1" w:rsidRDefault="002D238A" w:rsidP="003E385A">
            <w:pPr>
              <w:shd w:val="solid" w:color="FFFFFF" w:fill="FFFFFF"/>
              <w:spacing w:before="0" w:after="48"/>
              <w:rPr>
                <w:rFonts w:ascii="Verdana" w:hAnsi="Verdana"/>
                <w:sz w:val="22"/>
                <w:szCs w:val="22"/>
              </w:rPr>
            </w:pPr>
          </w:p>
        </w:tc>
      </w:tr>
      <w:tr w:rsidR="00987437" w:rsidRPr="007F7FE1" w14:paraId="1995CB78" w14:textId="77777777">
        <w:trPr>
          <w:cantSplit/>
        </w:trPr>
        <w:tc>
          <w:tcPr>
            <w:tcW w:w="6771" w:type="dxa"/>
            <w:vMerge w:val="restart"/>
          </w:tcPr>
          <w:p w14:paraId="4DC1E54C" w14:textId="77777777" w:rsidR="00987437" w:rsidRPr="007F7FE1" w:rsidRDefault="00987437" w:rsidP="003E385A">
            <w:pPr>
              <w:shd w:val="solid" w:color="FFFFFF" w:fill="FFFFFF"/>
              <w:spacing w:before="0"/>
              <w:rPr>
                <w:rFonts w:ascii="Verdana" w:hAnsi="Verdana"/>
                <w:sz w:val="20"/>
              </w:rPr>
            </w:pPr>
            <w:bookmarkStart w:id="0" w:name="dnum" w:colFirst="1" w:colLast="1"/>
          </w:p>
        </w:tc>
        <w:tc>
          <w:tcPr>
            <w:tcW w:w="3118" w:type="dxa"/>
          </w:tcPr>
          <w:p w14:paraId="228669CE" w14:textId="07BDCE05" w:rsidR="00987437" w:rsidRPr="007F7FE1" w:rsidRDefault="00987437" w:rsidP="003E385A">
            <w:pPr>
              <w:shd w:val="solid" w:color="FFFFFF" w:fill="FFFFFF"/>
              <w:spacing w:before="0"/>
              <w:rPr>
                <w:rFonts w:ascii="Verdana" w:hAnsi="Verdana"/>
                <w:b/>
                <w:bCs/>
                <w:sz w:val="20"/>
                <w:szCs w:val="16"/>
              </w:rPr>
            </w:pPr>
            <w:r w:rsidRPr="007F7FE1">
              <w:rPr>
                <w:rFonts w:ascii="Verdana" w:hAnsi="Verdana"/>
                <w:b/>
                <w:bCs/>
                <w:sz w:val="20"/>
                <w:szCs w:val="16"/>
              </w:rPr>
              <w:t>Document RAG/62-</w:t>
            </w:r>
            <w:r w:rsidR="002C5AFA" w:rsidRPr="007F7FE1">
              <w:rPr>
                <w:rFonts w:ascii="Verdana" w:hAnsi="Verdana"/>
                <w:b/>
                <w:bCs/>
                <w:sz w:val="20"/>
                <w:szCs w:val="16"/>
              </w:rPr>
              <w:t>F</w:t>
            </w:r>
          </w:p>
        </w:tc>
      </w:tr>
      <w:tr w:rsidR="00987437" w:rsidRPr="007F7FE1" w14:paraId="1B7096B6" w14:textId="77777777">
        <w:trPr>
          <w:cantSplit/>
        </w:trPr>
        <w:tc>
          <w:tcPr>
            <w:tcW w:w="6771" w:type="dxa"/>
            <w:vMerge/>
          </w:tcPr>
          <w:p w14:paraId="22AB86F3" w14:textId="77777777" w:rsidR="00987437" w:rsidRPr="007F7FE1" w:rsidRDefault="00987437" w:rsidP="003E385A">
            <w:pPr>
              <w:spacing w:before="60"/>
              <w:jc w:val="center"/>
              <w:rPr>
                <w:b/>
                <w:smallCaps/>
                <w:sz w:val="32"/>
              </w:rPr>
            </w:pPr>
            <w:bookmarkStart w:id="1" w:name="ddate" w:colFirst="1" w:colLast="1"/>
            <w:bookmarkEnd w:id="0"/>
          </w:p>
        </w:tc>
        <w:tc>
          <w:tcPr>
            <w:tcW w:w="3118" w:type="dxa"/>
          </w:tcPr>
          <w:p w14:paraId="2964CF47" w14:textId="55869456" w:rsidR="00987437" w:rsidRPr="007F7FE1" w:rsidRDefault="00987437" w:rsidP="003E385A">
            <w:pPr>
              <w:shd w:val="solid" w:color="FFFFFF" w:fill="FFFFFF"/>
              <w:spacing w:before="0"/>
              <w:rPr>
                <w:rFonts w:ascii="Verdana" w:hAnsi="Verdana"/>
                <w:b/>
                <w:bCs/>
                <w:sz w:val="20"/>
                <w:szCs w:val="16"/>
              </w:rPr>
            </w:pPr>
            <w:r w:rsidRPr="007F7FE1">
              <w:rPr>
                <w:rFonts w:ascii="Verdana" w:hAnsi="Verdana"/>
                <w:b/>
                <w:bCs/>
                <w:sz w:val="20"/>
                <w:szCs w:val="16"/>
              </w:rPr>
              <w:t>30 mars 2023</w:t>
            </w:r>
          </w:p>
        </w:tc>
      </w:tr>
      <w:tr w:rsidR="00987437" w:rsidRPr="007F7FE1" w14:paraId="21C0D89C" w14:textId="77777777">
        <w:trPr>
          <w:cantSplit/>
        </w:trPr>
        <w:tc>
          <w:tcPr>
            <w:tcW w:w="6771" w:type="dxa"/>
            <w:vMerge/>
          </w:tcPr>
          <w:p w14:paraId="49527545" w14:textId="77777777" w:rsidR="00987437" w:rsidRPr="007F7FE1" w:rsidRDefault="00987437" w:rsidP="003E385A">
            <w:pPr>
              <w:spacing w:before="60"/>
              <w:jc w:val="center"/>
              <w:rPr>
                <w:b/>
                <w:smallCaps/>
                <w:sz w:val="32"/>
              </w:rPr>
            </w:pPr>
            <w:bookmarkStart w:id="2" w:name="dorlang" w:colFirst="1" w:colLast="1"/>
            <w:bookmarkEnd w:id="1"/>
          </w:p>
        </w:tc>
        <w:tc>
          <w:tcPr>
            <w:tcW w:w="3118" w:type="dxa"/>
          </w:tcPr>
          <w:p w14:paraId="7B69B7E5" w14:textId="6A13A0A1" w:rsidR="00987437" w:rsidRPr="007F7FE1" w:rsidRDefault="00987437" w:rsidP="003E385A">
            <w:pPr>
              <w:shd w:val="solid" w:color="FFFFFF" w:fill="FFFFFF"/>
              <w:spacing w:before="0" w:after="120"/>
              <w:rPr>
                <w:rFonts w:ascii="Verdana" w:hAnsi="Verdana"/>
                <w:b/>
                <w:bCs/>
                <w:sz w:val="20"/>
                <w:szCs w:val="16"/>
              </w:rPr>
            </w:pPr>
            <w:r w:rsidRPr="007F7FE1">
              <w:rPr>
                <w:rFonts w:ascii="Verdana" w:hAnsi="Verdana"/>
                <w:b/>
                <w:bCs/>
                <w:sz w:val="20"/>
                <w:szCs w:val="16"/>
              </w:rPr>
              <w:t xml:space="preserve">Original: </w:t>
            </w:r>
            <w:r w:rsidR="002C5AFA" w:rsidRPr="007F7FE1">
              <w:rPr>
                <w:rFonts w:ascii="Verdana" w:hAnsi="Verdana"/>
                <w:b/>
                <w:bCs/>
                <w:sz w:val="20"/>
                <w:szCs w:val="16"/>
              </w:rPr>
              <w:t>anglais</w:t>
            </w:r>
          </w:p>
        </w:tc>
      </w:tr>
      <w:tr w:rsidR="002D238A" w:rsidRPr="007F7FE1" w14:paraId="5C51C518" w14:textId="77777777">
        <w:trPr>
          <w:cantSplit/>
        </w:trPr>
        <w:tc>
          <w:tcPr>
            <w:tcW w:w="9889" w:type="dxa"/>
            <w:gridSpan w:val="2"/>
          </w:tcPr>
          <w:p w14:paraId="7E429B6E" w14:textId="0BF85C4C" w:rsidR="002D238A" w:rsidRPr="007F7FE1" w:rsidRDefault="0064514F" w:rsidP="003E385A">
            <w:pPr>
              <w:pStyle w:val="Source"/>
            </w:pPr>
            <w:bookmarkStart w:id="3" w:name="dsource" w:colFirst="0" w:colLast="0"/>
            <w:bookmarkEnd w:id="2"/>
            <w:r w:rsidRPr="007F7FE1">
              <w:t>Fédération de Russie</w:t>
            </w:r>
            <w:r w:rsidR="00987437" w:rsidRPr="007F7FE1">
              <w:rPr>
                <w:rStyle w:val="FootnoteReference"/>
              </w:rPr>
              <w:footnoteReference w:id="1"/>
            </w:r>
          </w:p>
        </w:tc>
      </w:tr>
      <w:tr w:rsidR="002D238A" w:rsidRPr="007F7FE1" w14:paraId="371F5173" w14:textId="77777777">
        <w:trPr>
          <w:cantSplit/>
        </w:trPr>
        <w:tc>
          <w:tcPr>
            <w:tcW w:w="9889" w:type="dxa"/>
            <w:gridSpan w:val="2"/>
          </w:tcPr>
          <w:p w14:paraId="4803068E" w14:textId="2F6825A0" w:rsidR="002D238A" w:rsidRPr="007F7FE1" w:rsidRDefault="0064514F" w:rsidP="003E385A">
            <w:pPr>
              <w:pStyle w:val="Title1"/>
            </w:pPr>
            <w:bookmarkStart w:id="5" w:name="dtitle1" w:colFirst="0" w:colLast="0"/>
            <w:bookmarkEnd w:id="3"/>
            <w:r w:rsidRPr="007F7FE1">
              <w:t>Proposition</w:t>
            </w:r>
            <w:r w:rsidR="00105063" w:rsidRPr="007F7FE1">
              <w:t>s</w:t>
            </w:r>
            <w:r w:rsidRPr="007F7FE1">
              <w:t xml:space="preserve"> </w:t>
            </w:r>
            <w:r w:rsidR="006D4627" w:rsidRPr="007F7FE1">
              <w:t>relative</w:t>
            </w:r>
            <w:r w:rsidR="00105063" w:rsidRPr="007F7FE1">
              <w:t>s</w:t>
            </w:r>
            <w:r w:rsidR="006D4627" w:rsidRPr="007F7FE1">
              <w:t xml:space="preserve"> à un</w:t>
            </w:r>
            <w:r w:rsidRPr="007F7FE1">
              <w:t xml:space="preserve"> projet de nouvelle résolution uit</w:t>
            </w:r>
            <w:r w:rsidR="00987437" w:rsidRPr="007F7FE1">
              <w:t xml:space="preserve">-R </w:t>
            </w:r>
            <w:r w:rsidRPr="007F7FE1">
              <w:t xml:space="preserve">intitulée </w:t>
            </w:r>
            <w:r w:rsidR="00987437" w:rsidRPr="007F7FE1">
              <w:t>«</w:t>
            </w:r>
            <w:r w:rsidR="00105063" w:rsidRPr="007F7FE1">
              <w:t>Renforcement de</w:t>
            </w:r>
            <w:r w:rsidR="00283E27" w:rsidRPr="007F7FE1">
              <w:t xml:space="preserve"> </w:t>
            </w:r>
            <w:r w:rsidR="00987437" w:rsidRPr="007F7FE1">
              <w:t xml:space="preserve">la coordination et </w:t>
            </w:r>
            <w:r w:rsidR="00105063" w:rsidRPr="007F7FE1">
              <w:t xml:space="preserve">de </w:t>
            </w:r>
            <w:r w:rsidR="00987437" w:rsidRPr="007F7FE1">
              <w:t xml:space="preserve">la coopération entre les trois Secteurs </w:t>
            </w:r>
            <w:r w:rsidR="00105063" w:rsidRPr="007F7FE1">
              <w:t>de l</w:t>
            </w:r>
            <w:r w:rsidR="00283E27" w:rsidRPr="007F7FE1">
              <w:t>'</w:t>
            </w:r>
            <w:r w:rsidR="00105063" w:rsidRPr="007F7FE1">
              <w:t xml:space="preserve">uit </w:t>
            </w:r>
            <w:r w:rsidR="00987437" w:rsidRPr="007F7FE1">
              <w:t xml:space="preserve">sur des questions d'intérêt mutuel» </w:t>
            </w:r>
            <w:r w:rsidRPr="007F7FE1">
              <w:t xml:space="preserve">et </w:t>
            </w:r>
            <w:r w:rsidR="006D4627" w:rsidRPr="007F7FE1">
              <w:t>à la</w:t>
            </w:r>
            <w:r w:rsidRPr="007F7FE1">
              <w:t xml:space="preserve"> suppression des</w:t>
            </w:r>
            <w:r w:rsidR="00283E27" w:rsidRPr="007F7FE1">
              <w:t xml:space="preserve"> </w:t>
            </w:r>
            <w:r w:rsidRPr="007F7FE1">
              <w:t>résolutions uit</w:t>
            </w:r>
            <w:r w:rsidR="00987437" w:rsidRPr="007F7FE1">
              <w:t>-R 6-3 «Liaison et collaboration avec le Secteur de la normalisation des télécommunications de l'UIT»</w:t>
            </w:r>
            <w:r w:rsidRPr="007F7FE1">
              <w:t>,</w:t>
            </w:r>
            <w:r w:rsidR="00283E27" w:rsidRPr="007F7FE1">
              <w:t xml:space="preserve"> </w:t>
            </w:r>
            <w:r w:rsidR="00105063" w:rsidRPr="007F7FE1">
              <w:t xml:space="preserve">UIT-R </w:t>
            </w:r>
            <w:r w:rsidR="00987437" w:rsidRPr="007F7FE1">
              <w:t>7-4 «Développement des télécommunications</w:t>
            </w:r>
            <w:r w:rsidR="00105063" w:rsidRPr="007F7FE1">
              <w:t>,</w:t>
            </w:r>
            <w:r w:rsidR="00987437" w:rsidRPr="007F7FE1">
              <w:t xml:space="preserve"> y compris la liaison et la collaboration avec le Secteur du développement des télécommunications de l'UIT» </w:t>
            </w:r>
            <w:r w:rsidRPr="007F7FE1">
              <w:t>et</w:t>
            </w:r>
            <w:r w:rsidR="00283E27" w:rsidRPr="007F7FE1">
              <w:t xml:space="preserve"> </w:t>
            </w:r>
            <w:r w:rsidR="00105063" w:rsidRPr="007F7FE1">
              <w:t xml:space="preserve">UIT-R </w:t>
            </w:r>
            <w:r w:rsidR="00987437" w:rsidRPr="007F7FE1">
              <w:t>48-3 «Renforcement de la présence régionale dans les travaux des Commissions d'études des radiocommunications»</w:t>
            </w:r>
          </w:p>
        </w:tc>
      </w:tr>
    </w:tbl>
    <w:bookmarkEnd w:id="5"/>
    <w:p w14:paraId="3D0D45C6" w14:textId="77777777" w:rsidR="00987437" w:rsidRPr="007F7FE1" w:rsidRDefault="00987437" w:rsidP="003E385A">
      <w:pPr>
        <w:pStyle w:val="Heading1"/>
      </w:pPr>
      <w:r w:rsidRPr="007F7FE1">
        <w:t>1</w:t>
      </w:r>
      <w:r w:rsidRPr="007F7FE1">
        <w:tab/>
        <w:t>Introduction</w:t>
      </w:r>
    </w:p>
    <w:p w14:paraId="413A9798" w14:textId="0EE8EDD5" w:rsidR="00987437" w:rsidRPr="007F7FE1" w:rsidRDefault="00FF675B" w:rsidP="003E385A">
      <w:r w:rsidRPr="007F7FE1">
        <w:t xml:space="preserve">La Conférence de plénipotentiaires de l'UIT (Bucarest, 2022) a mis à jour la </w:t>
      </w:r>
      <w:r w:rsidR="00987437" w:rsidRPr="007F7FE1">
        <w:t xml:space="preserve">Résolution 191 sur la stratégie de coordination des efforts entre les trois Secteurs de l'Union. </w:t>
      </w:r>
      <w:r w:rsidRPr="007F7FE1">
        <w:t xml:space="preserve">De plus, en 2022, les </w:t>
      </w:r>
      <w:r w:rsidR="00105063" w:rsidRPr="007F7FE1">
        <w:t xml:space="preserve">Résolutions </w:t>
      </w:r>
      <w:r w:rsidRPr="007F7FE1">
        <w:t>pertinentes de l'UIT-T et de l'UIT-D ont été mises à jour. Les Résolutions UIT-R</w:t>
      </w:r>
      <w:r w:rsidR="00987437" w:rsidRPr="007F7FE1">
        <w:t xml:space="preserve"> 6-3 </w:t>
      </w:r>
      <w:r w:rsidRPr="007F7FE1">
        <w:t>et, en particulier, 7</w:t>
      </w:r>
      <w:r w:rsidR="00987437" w:rsidRPr="007F7FE1">
        <w:t>-4</w:t>
      </w:r>
      <w:r w:rsidRPr="007F7FE1">
        <w:t xml:space="preserve">, contiennent </w:t>
      </w:r>
      <w:r w:rsidR="00105063" w:rsidRPr="007F7FE1">
        <w:t>de nombreuses dispositions</w:t>
      </w:r>
      <w:r w:rsidRPr="007F7FE1">
        <w:t xml:space="preserve"> citant les instruments fondamentaux et </w:t>
      </w:r>
      <w:r w:rsidR="00105063" w:rsidRPr="007F7FE1">
        <w:t xml:space="preserve">des Résolutions </w:t>
      </w:r>
      <w:r w:rsidRPr="007F7FE1">
        <w:t>de la PP. Il convient également de noter qu'il existe</w:t>
      </w:r>
      <w:r w:rsidR="00283E27" w:rsidRPr="007F7FE1">
        <w:t xml:space="preserve"> </w:t>
      </w:r>
      <w:r w:rsidRPr="007F7FE1">
        <w:t xml:space="preserve">deux </w:t>
      </w:r>
      <w:r w:rsidR="00105063" w:rsidRPr="007F7FE1">
        <w:t>Résolutions sur les</w:t>
      </w:r>
      <w:r w:rsidRPr="007F7FE1">
        <w:t xml:space="preserve"> questions de coordination</w:t>
      </w:r>
      <w:r w:rsidR="00105063" w:rsidRPr="007F7FE1">
        <w:t xml:space="preserve"> à l'UIT-R</w:t>
      </w:r>
      <w:r w:rsidRPr="007F7FE1">
        <w:t>, tandis que</w:t>
      </w:r>
      <w:r w:rsidR="00105063" w:rsidRPr="007F7FE1">
        <w:t xml:space="preserve"> dans</w:t>
      </w:r>
      <w:r w:rsidR="00283E27" w:rsidRPr="007F7FE1">
        <w:t xml:space="preserve"> </w:t>
      </w:r>
      <w:r w:rsidRPr="007F7FE1">
        <w:t xml:space="preserve">les autres </w:t>
      </w:r>
      <w:r w:rsidR="00105063" w:rsidRPr="007F7FE1">
        <w:t>Secteurs, il n</w:t>
      </w:r>
      <w:r w:rsidR="00283E27" w:rsidRPr="007F7FE1">
        <w:t>'</w:t>
      </w:r>
      <w:r w:rsidR="00105063" w:rsidRPr="007F7FE1">
        <w:t>existe</w:t>
      </w:r>
      <w:r w:rsidR="00283E27" w:rsidRPr="007F7FE1">
        <w:t xml:space="preserve"> </w:t>
      </w:r>
      <w:r w:rsidRPr="007F7FE1">
        <w:t xml:space="preserve">qu'une seule </w:t>
      </w:r>
      <w:r w:rsidR="00105063" w:rsidRPr="007F7FE1">
        <w:t xml:space="preserve">Résolution </w:t>
      </w:r>
      <w:r w:rsidRPr="007F7FE1">
        <w:t xml:space="preserve">commune. </w:t>
      </w:r>
      <w:r w:rsidR="00105063" w:rsidRPr="007F7FE1">
        <w:t>En outre</w:t>
      </w:r>
      <w:r w:rsidRPr="007F7FE1">
        <w:t xml:space="preserve">, certaines parties ne sont plus pertinentes. Il est aussi proposé de déplacer le point 2 du </w:t>
      </w:r>
      <w:r w:rsidRPr="007F7FE1">
        <w:rPr>
          <w:i/>
          <w:iCs/>
        </w:rPr>
        <w:t>décide</w:t>
      </w:r>
      <w:r w:rsidRPr="007F7FE1">
        <w:t xml:space="preserve"> de la Résolution UIT-R 48-3 relative au</w:t>
      </w:r>
      <w:r w:rsidR="00987437" w:rsidRPr="007F7FE1">
        <w:t xml:space="preserve"> renforcement de la présence régionale dans les travaux des commissions d'études des radiocommunications.</w:t>
      </w:r>
    </w:p>
    <w:p w14:paraId="7FD673D0" w14:textId="7E753E7F" w:rsidR="00987437" w:rsidRPr="007F7FE1" w:rsidRDefault="00FF675B" w:rsidP="003E385A">
      <w:r w:rsidRPr="007F7FE1">
        <w:t>Afin de rationaliser et de raccourcir le texte, un projet de nouvelle Résolution de l'UIT-R sur la coordination et la coopération entre les trois Secteurs de</w:t>
      </w:r>
      <w:r w:rsidR="00283E27" w:rsidRPr="007F7FE1">
        <w:t xml:space="preserve"> </w:t>
      </w:r>
      <w:r w:rsidR="00105063" w:rsidRPr="007F7FE1">
        <w:t>l'UIT</w:t>
      </w:r>
      <w:r w:rsidR="00283E27" w:rsidRPr="007F7FE1">
        <w:t xml:space="preserve">, </w:t>
      </w:r>
      <w:r w:rsidR="00105063" w:rsidRPr="007F7FE1">
        <w:t xml:space="preserve">appelée à </w:t>
      </w:r>
      <w:r w:rsidRPr="007F7FE1">
        <w:t>remplacer les Résolutions</w:t>
      </w:r>
      <w:r w:rsidR="009E5271" w:rsidRPr="007F7FE1">
        <w:t> </w:t>
      </w:r>
      <w:r w:rsidR="00105063" w:rsidRPr="007F7FE1">
        <w:t xml:space="preserve">UIT-R </w:t>
      </w:r>
      <w:r w:rsidR="00987437" w:rsidRPr="007F7FE1">
        <w:t xml:space="preserve">6-3, </w:t>
      </w:r>
      <w:r w:rsidR="00105063" w:rsidRPr="007F7FE1">
        <w:t xml:space="preserve">UIT-R </w:t>
      </w:r>
      <w:r w:rsidR="00987437" w:rsidRPr="007F7FE1">
        <w:t xml:space="preserve">7-4 </w:t>
      </w:r>
      <w:r w:rsidRPr="007F7FE1">
        <w:t>et</w:t>
      </w:r>
      <w:r w:rsidR="00987437" w:rsidRPr="007F7FE1">
        <w:t xml:space="preserve"> </w:t>
      </w:r>
      <w:r w:rsidR="00105063" w:rsidRPr="007F7FE1">
        <w:t xml:space="preserve">UIT-R </w:t>
      </w:r>
      <w:r w:rsidR="00987437" w:rsidRPr="007F7FE1">
        <w:t>48-3</w:t>
      </w:r>
      <w:r w:rsidR="00105063" w:rsidRPr="007F7FE1">
        <w:t>, est proposé.</w:t>
      </w:r>
    </w:p>
    <w:p w14:paraId="6125EB58" w14:textId="63195A1B" w:rsidR="00987437" w:rsidRPr="007F7FE1" w:rsidRDefault="00987437" w:rsidP="003E385A">
      <w:pPr>
        <w:pStyle w:val="Heading1"/>
      </w:pPr>
      <w:r w:rsidRPr="007F7FE1">
        <w:lastRenderedPageBreak/>
        <w:t>2</w:t>
      </w:r>
      <w:r w:rsidRPr="007F7FE1">
        <w:tab/>
        <w:t>Propos</w:t>
      </w:r>
      <w:r w:rsidR="00FF675B" w:rsidRPr="007F7FE1">
        <w:t>ition</w:t>
      </w:r>
    </w:p>
    <w:p w14:paraId="06C287AF" w14:textId="77EC50B0" w:rsidR="00987437" w:rsidRPr="007F7FE1" w:rsidRDefault="00FF675B" w:rsidP="003E385A">
      <w:pPr>
        <w:keepNext/>
        <w:keepLines/>
      </w:pPr>
      <w:r w:rsidRPr="007F7FE1">
        <w:t>La Fédération de Russie propose d'examiner un projet de nouvelle Résolution de l'UIT-R intitulé</w:t>
      </w:r>
      <w:r w:rsidR="00987437" w:rsidRPr="007F7FE1">
        <w:t xml:space="preserve"> «</w:t>
      </w:r>
      <w:r w:rsidR="00105063" w:rsidRPr="007F7FE1">
        <w:t xml:space="preserve">Renforcement de </w:t>
      </w:r>
      <w:r w:rsidR="00987437" w:rsidRPr="007F7FE1">
        <w:t xml:space="preserve">la coordination et </w:t>
      </w:r>
      <w:r w:rsidR="00105063" w:rsidRPr="007F7FE1">
        <w:t xml:space="preserve">de </w:t>
      </w:r>
      <w:r w:rsidR="00987437" w:rsidRPr="007F7FE1">
        <w:t>la coopération entre les trois Secteurs</w:t>
      </w:r>
      <w:r w:rsidR="00105063" w:rsidRPr="007F7FE1">
        <w:t xml:space="preserve"> de l</w:t>
      </w:r>
      <w:r w:rsidR="00283E27" w:rsidRPr="007F7FE1">
        <w:t>'</w:t>
      </w:r>
      <w:r w:rsidR="00105063" w:rsidRPr="007F7FE1">
        <w:t>UIT</w:t>
      </w:r>
      <w:r w:rsidR="00283E27" w:rsidRPr="007F7FE1">
        <w:t xml:space="preserve"> </w:t>
      </w:r>
      <w:r w:rsidR="00987437" w:rsidRPr="007F7FE1">
        <w:t xml:space="preserve">sur des questions d'intérêt mutuel» </w:t>
      </w:r>
      <w:r w:rsidR="003D046A" w:rsidRPr="007F7FE1">
        <w:t xml:space="preserve">et de supprimer les Résolutions UIT-R </w:t>
      </w:r>
      <w:r w:rsidR="00987437" w:rsidRPr="007F7FE1">
        <w:t>6-3 «</w:t>
      </w:r>
      <w:r w:rsidR="003D046A" w:rsidRPr="007F7FE1">
        <w:t>L</w:t>
      </w:r>
      <w:r w:rsidR="00987437" w:rsidRPr="007F7FE1">
        <w:t xml:space="preserve">iaison et collaboration avec le </w:t>
      </w:r>
      <w:r w:rsidR="00A63EB3" w:rsidRPr="007F7FE1">
        <w:t xml:space="preserve">Secteur </w:t>
      </w:r>
      <w:r w:rsidR="00987437" w:rsidRPr="007F7FE1">
        <w:t>de la normalisation des télécommunications de l'UIT»</w:t>
      </w:r>
      <w:r w:rsidR="003D046A" w:rsidRPr="007F7FE1">
        <w:t xml:space="preserve">, </w:t>
      </w:r>
      <w:r w:rsidR="00105063" w:rsidRPr="007F7FE1">
        <w:t xml:space="preserve">UIT-R </w:t>
      </w:r>
      <w:r w:rsidR="00987437" w:rsidRPr="007F7FE1">
        <w:t>7-4 «</w:t>
      </w:r>
      <w:r w:rsidR="003D046A" w:rsidRPr="007F7FE1">
        <w:t>D</w:t>
      </w:r>
      <w:r w:rsidR="00987437" w:rsidRPr="007F7FE1">
        <w:t>éveloppement des télécommunications</w:t>
      </w:r>
      <w:r w:rsidR="00A63EB3" w:rsidRPr="007F7FE1">
        <w:t>,</w:t>
      </w:r>
      <w:r w:rsidR="00987437" w:rsidRPr="007F7FE1">
        <w:t xml:space="preserve"> y compris la liaison et la collaboration avec le </w:t>
      </w:r>
      <w:r w:rsidR="00A63EB3" w:rsidRPr="007F7FE1">
        <w:t xml:space="preserve">Secteur </w:t>
      </w:r>
      <w:r w:rsidR="00987437" w:rsidRPr="007F7FE1">
        <w:t xml:space="preserve">du développement des télécommunications de l'UIT» </w:t>
      </w:r>
      <w:r w:rsidR="003D046A" w:rsidRPr="007F7FE1">
        <w:t>et</w:t>
      </w:r>
      <w:r w:rsidR="00987437" w:rsidRPr="007F7FE1">
        <w:t xml:space="preserve"> </w:t>
      </w:r>
      <w:r w:rsidR="00105063" w:rsidRPr="007F7FE1">
        <w:t xml:space="preserve">UIT-R </w:t>
      </w:r>
      <w:r w:rsidR="00987437" w:rsidRPr="007F7FE1">
        <w:t>48-3 «</w:t>
      </w:r>
      <w:r w:rsidR="003D046A" w:rsidRPr="007F7FE1">
        <w:t>R</w:t>
      </w:r>
      <w:r w:rsidR="00987437" w:rsidRPr="007F7FE1">
        <w:t>enforcement de la présence régionale dans les travaux des commissions d'études des radiocommunications»</w:t>
      </w:r>
      <w:r w:rsidR="003D046A" w:rsidRPr="007F7FE1">
        <w:t>, comme indiqué dans le document figurant en pièce jointe</w:t>
      </w:r>
      <w:r w:rsidR="00987437" w:rsidRPr="007F7FE1">
        <w:t>.</w:t>
      </w:r>
    </w:p>
    <w:p w14:paraId="6FDBE996" w14:textId="25CAC22C" w:rsidR="00987437" w:rsidRPr="007F7FE1" w:rsidRDefault="00987437" w:rsidP="003E385A">
      <w:pPr>
        <w:pStyle w:val="AnnexNotitle"/>
      </w:pPr>
      <w:r w:rsidRPr="007F7FE1">
        <w:t>ANNEXE</w:t>
      </w:r>
    </w:p>
    <w:p w14:paraId="629D155A" w14:textId="12C55A1A" w:rsidR="00987437" w:rsidRPr="007F7FE1" w:rsidRDefault="00987437" w:rsidP="0014065A">
      <w:pPr>
        <w:pStyle w:val="Proposal"/>
        <w:rPr>
          <w:lang w:val="fr-FR"/>
        </w:rPr>
      </w:pPr>
      <w:r w:rsidRPr="007F7FE1">
        <w:rPr>
          <w:lang w:val="fr-FR"/>
        </w:rPr>
        <w:t>ADD</w:t>
      </w:r>
    </w:p>
    <w:p w14:paraId="3F491342" w14:textId="06C1226C" w:rsidR="00987437" w:rsidRPr="007F7FE1" w:rsidRDefault="003D046A" w:rsidP="003E385A">
      <w:pPr>
        <w:pStyle w:val="ResNoBR"/>
        <w:rPr>
          <w:b/>
        </w:rPr>
      </w:pPr>
      <w:r w:rsidRPr="007F7FE1">
        <w:t>PROJET DE NOUVELLE RESOLUTION</w:t>
      </w:r>
      <w:r w:rsidR="00987437" w:rsidRPr="007F7FE1">
        <w:t xml:space="preserve"> UIT-R</w:t>
      </w:r>
    </w:p>
    <w:p w14:paraId="7174A497" w14:textId="7B024A5C" w:rsidR="00987437" w:rsidRPr="007F7FE1" w:rsidRDefault="00A63EB3" w:rsidP="003E385A">
      <w:pPr>
        <w:pStyle w:val="Restitle"/>
      </w:pPr>
      <w:r w:rsidRPr="007F7FE1">
        <w:t>Renforcement de</w:t>
      </w:r>
      <w:r w:rsidR="00283E27" w:rsidRPr="007F7FE1">
        <w:t xml:space="preserve"> </w:t>
      </w:r>
      <w:r w:rsidR="00987437" w:rsidRPr="007F7FE1">
        <w:t>la coordination et</w:t>
      </w:r>
      <w:r w:rsidRPr="007F7FE1">
        <w:t xml:space="preserve"> de</w:t>
      </w:r>
      <w:r w:rsidR="00283E27" w:rsidRPr="007F7FE1">
        <w:t xml:space="preserve"> </w:t>
      </w:r>
      <w:r w:rsidR="00987437" w:rsidRPr="007F7FE1">
        <w:t>la coopération entre les</w:t>
      </w:r>
      <w:r w:rsidR="009E5271" w:rsidRPr="007F7FE1">
        <w:br/>
      </w:r>
      <w:r w:rsidR="00987437" w:rsidRPr="007F7FE1">
        <w:t>trois</w:t>
      </w:r>
      <w:r w:rsidR="009E5271" w:rsidRPr="007F7FE1">
        <w:t> </w:t>
      </w:r>
      <w:r w:rsidR="00987437" w:rsidRPr="007F7FE1">
        <w:t xml:space="preserve">Secteurs </w:t>
      </w:r>
      <w:r w:rsidRPr="007F7FE1">
        <w:t>de l</w:t>
      </w:r>
      <w:r w:rsidR="00283E27" w:rsidRPr="007F7FE1">
        <w:t>'</w:t>
      </w:r>
      <w:r w:rsidRPr="007F7FE1">
        <w:t xml:space="preserve">UIT </w:t>
      </w:r>
      <w:r w:rsidR="00987437" w:rsidRPr="007F7FE1">
        <w:t>sur des questions d'intérêt mutuel</w:t>
      </w:r>
    </w:p>
    <w:p w14:paraId="478476C7" w14:textId="22DB17FD" w:rsidR="00AF2EDC" w:rsidRPr="007F7FE1" w:rsidRDefault="00987437" w:rsidP="003E385A">
      <w:pPr>
        <w:pStyle w:val="Resdate"/>
      </w:pPr>
      <w:r w:rsidRPr="007F7FE1">
        <w:t>(2023)</w:t>
      </w:r>
    </w:p>
    <w:p w14:paraId="797A6A97" w14:textId="4D713587" w:rsidR="00987437" w:rsidRPr="007F7FE1" w:rsidRDefault="002C5AFA" w:rsidP="003E385A">
      <w:r w:rsidRPr="007F7FE1">
        <w:t>L'Assemblée des radiocommunications de l'UIT</w:t>
      </w:r>
      <w:r w:rsidR="00987437" w:rsidRPr="007F7FE1">
        <w:t>,</w:t>
      </w:r>
    </w:p>
    <w:p w14:paraId="685809A8" w14:textId="611D30AD" w:rsidR="00987437" w:rsidRPr="007F7FE1" w:rsidRDefault="00987437" w:rsidP="003E385A">
      <w:pPr>
        <w:pStyle w:val="Call"/>
      </w:pPr>
      <w:r w:rsidRPr="007F7FE1">
        <w:t>rappelant</w:t>
      </w:r>
    </w:p>
    <w:p w14:paraId="147753F7" w14:textId="6FEA6D5E" w:rsidR="00987437" w:rsidRPr="007F7FE1" w:rsidRDefault="00987437" w:rsidP="003E385A">
      <w:r w:rsidRPr="007F7FE1">
        <w:rPr>
          <w:i/>
        </w:rPr>
        <w:t>a)</w:t>
      </w:r>
      <w:r w:rsidRPr="007F7FE1">
        <w:tab/>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 151 à 154 (concernant l'UIT</w:t>
      </w:r>
      <w:r w:rsidRPr="007F7FE1">
        <w:noBreakHyphen/>
        <w:t>R), le numéro 193 (concernant l'UIT-T), les numéros 211 et 214 (concernant l'UIT-D) et le numéro 215 de la Convention;</w:t>
      </w:r>
    </w:p>
    <w:p w14:paraId="40DCEDB7" w14:textId="33CBC1E2" w:rsidR="00987437" w:rsidRPr="007F7FE1" w:rsidRDefault="00987437" w:rsidP="003E385A">
      <w:r w:rsidRPr="007F7FE1">
        <w:rPr>
          <w:i/>
        </w:rPr>
        <w:t>b)</w:t>
      </w:r>
      <w:r w:rsidRPr="007F7FE1">
        <w:tab/>
        <w:t>la Résolution 191 (</w:t>
      </w:r>
      <w:r w:rsidR="003D046A" w:rsidRPr="007F7FE1">
        <w:t xml:space="preserve">Rév. Bucarest, 2022) </w:t>
      </w:r>
      <w:r w:rsidRPr="007F7FE1">
        <w:t>de la Conférence de plénipotentiaires relative à la stratégie de coordination des efforts entre les trois Secteurs de l'Union;</w:t>
      </w:r>
    </w:p>
    <w:p w14:paraId="76986E27" w14:textId="2AD9C582" w:rsidR="00987437" w:rsidRPr="007F7FE1" w:rsidRDefault="00987437" w:rsidP="003E385A">
      <w:r w:rsidRPr="007F7FE1">
        <w:rPr>
          <w:i/>
        </w:rPr>
        <w:t>c)</w:t>
      </w:r>
      <w:r w:rsidRPr="007F7FE1">
        <w:tab/>
      </w:r>
      <w:r w:rsidR="00A1512F" w:rsidRPr="007F7FE1">
        <w:t xml:space="preserve">la Résolution 123 (Rév. </w:t>
      </w:r>
      <w:r w:rsidR="003D046A" w:rsidRPr="007F7FE1">
        <w:t>Bucarest, 2022)</w:t>
      </w:r>
      <w:r w:rsidR="00A1512F" w:rsidRPr="007F7FE1">
        <w:t xml:space="preserve"> de la Conférence de plénipotentiaires, intitulée «Réduire l'écart qui existe en matière de normalisation entre pays en développement et pays développés»;</w:t>
      </w:r>
    </w:p>
    <w:p w14:paraId="50C6C4DB" w14:textId="215195E0" w:rsidR="00987437" w:rsidRPr="007F7FE1" w:rsidRDefault="00987437" w:rsidP="003E385A">
      <w:r w:rsidRPr="007F7FE1">
        <w:rPr>
          <w:i/>
        </w:rPr>
        <w:t>d)</w:t>
      </w:r>
      <w:r w:rsidRPr="007F7FE1">
        <w:tab/>
      </w:r>
      <w:r w:rsidR="00234D94" w:rsidRPr="007F7FE1">
        <w:t>la Résolution UIT-R 6 (Rév. Charm el-Cheikh, 2019) de l'Assemblée des radiocommunications (AR) intitulée «Liaison et collaboration avec le Secteur de la normalisation des télécommunications de l'UIT», et la Résolution UIT-R 7 (Rév. Charm el-Cheikh, 2019) de l'AR, intitulée «Développement des télécommunications y compris la liaison et la collaboration avec le Secteur du développement des télécommunications de l'UIT»;</w:t>
      </w:r>
    </w:p>
    <w:p w14:paraId="747AD49B" w14:textId="18878036" w:rsidR="00987437" w:rsidRPr="007F7FE1" w:rsidRDefault="00987437" w:rsidP="003E385A">
      <w:r w:rsidRPr="007F7FE1">
        <w:rPr>
          <w:i/>
        </w:rPr>
        <w:t>e)</w:t>
      </w:r>
      <w:r w:rsidRPr="007F7FE1">
        <w:tab/>
      </w:r>
      <w:r w:rsidR="003D046A" w:rsidRPr="007F7FE1">
        <w:t xml:space="preserve">la </w:t>
      </w:r>
      <w:r w:rsidR="00234D94" w:rsidRPr="007F7FE1">
        <w:t xml:space="preserve">Résolution 18 (Rév. Genève, 2022) </w:t>
      </w:r>
      <w:r w:rsidR="003D046A" w:rsidRPr="007F7FE1">
        <w:t xml:space="preserve">de l'Assemblée mondiale de normalisation des télécommunications (AMNT), intitulée </w:t>
      </w:r>
      <w:r w:rsidR="003E385A" w:rsidRPr="007F7FE1">
        <w:t>«</w:t>
      </w:r>
      <w:r w:rsidR="00234D94" w:rsidRPr="007F7FE1">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r w:rsidR="003E385A" w:rsidRPr="007F7FE1">
        <w:t>»</w:t>
      </w:r>
      <w:r w:rsidR="00234D94" w:rsidRPr="007F7FE1">
        <w:t>;</w:t>
      </w:r>
    </w:p>
    <w:p w14:paraId="273B305A" w14:textId="79762E64" w:rsidR="00987437" w:rsidRPr="007F7FE1" w:rsidRDefault="00987437" w:rsidP="003E385A">
      <w:r w:rsidRPr="007F7FE1">
        <w:rPr>
          <w:i/>
        </w:rPr>
        <w:lastRenderedPageBreak/>
        <w:t>f)</w:t>
      </w:r>
      <w:r w:rsidRPr="007F7FE1">
        <w:tab/>
      </w:r>
      <w:r w:rsidR="00234D94" w:rsidRPr="007F7FE1">
        <w:t xml:space="preserve">la Résolution 59 (Rév. </w:t>
      </w:r>
      <w:r w:rsidR="003D046A" w:rsidRPr="007F7FE1">
        <w:t>Kigali, 2022</w:t>
      </w:r>
      <w:r w:rsidR="00234D94" w:rsidRPr="007F7FE1">
        <w:t>) de la Conférence mondiale de développement des télécommunications (CMDT), intitulée «Renforcer la coordination et la coopération entre les trois</w:t>
      </w:r>
      <w:r w:rsidR="003E385A" w:rsidRPr="007F7FE1">
        <w:t> </w:t>
      </w:r>
      <w:r w:rsidR="00234D94" w:rsidRPr="007F7FE1">
        <w:t>Secteurs de l'UIT sur des questions d'intérêt mutuel»;</w:t>
      </w:r>
    </w:p>
    <w:p w14:paraId="24BAB1DB" w14:textId="09CD14B9" w:rsidR="00987437" w:rsidRPr="007F7FE1" w:rsidRDefault="00987437" w:rsidP="003E385A">
      <w:r w:rsidRPr="007F7FE1">
        <w:rPr>
          <w:i/>
        </w:rPr>
        <w:t>g)</w:t>
      </w:r>
      <w:r w:rsidRPr="007F7FE1">
        <w:tab/>
      </w:r>
      <w:r w:rsidR="00234D94" w:rsidRPr="007F7FE1">
        <w:t xml:space="preserve">la Résolution 44 (Rév. Genève, 2022) de </w:t>
      </w:r>
      <w:r w:rsidR="003D046A" w:rsidRPr="007F7FE1">
        <w:t>l'AMNT</w:t>
      </w:r>
      <w:r w:rsidR="00234D94" w:rsidRPr="007F7FE1">
        <w:t>, intitulée «Réduire l'écart en matière de normalisation entre pays en développement et pays développés»</w:t>
      </w:r>
      <w:r w:rsidR="003E385A" w:rsidRPr="007F7FE1">
        <w:t>;</w:t>
      </w:r>
    </w:p>
    <w:p w14:paraId="2945EB23" w14:textId="4C436048" w:rsidR="00987437" w:rsidRPr="007F7FE1" w:rsidRDefault="00987437" w:rsidP="003E385A">
      <w:r w:rsidRPr="007F7FE1">
        <w:rPr>
          <w:i/>
        </w:rPr>
        <w:t>h)</w:t>
      </w:r>
      <w:r w:rsidRPr="007F7FE1">
        <w:tab/>
      </w:r>
      <w:r w:rsidR="00A1512F" w:rsidRPr="007F7FE1">
        <w:t>la Résolution 5 (Rév. Kigali, 2022)</w:t>
      </w:r>
      <w:r w:rsidR="003D046A" w:rsidRPr="007F7FE1">
        <w:t xml:space="preserve"> de la CMDT</w:t>
      </w:r>
      <w:r w:rsidR="00A1512F" w:rsidRPr="007F7FE1">
        <w:t xml:space="preserve"> sur le renforcement de la participation des pays en développement aux activités de l'UIT,</w:t>
      </w:r>
    </w:p>
    <w:p w14:paraId="7A5A699D" w14:textId="2D02434A" w:rsidR="00987437" w:rsidRPr="007F7FE1" w:rsidRDefault="00987437" w:rsidP="003E385A">
      <w:pPr>
        <w:pStyle w:val="Call"/>
      </w:pPr>
      <w:r w:rsidRPr="007F7FE1">
        <w:t>consid</w:t>
      </w:r>
      <w:r w:rsidR="00234D94" w:rsidRPr="007F7FE1">
        <w:t>érant</w:t>
      </w:r>
    </w:p>
    <w:p w14:paraId="7992AC4F" w14:textId="5A245CED" w:rsidR="00987437" w:rsidRPr="007F7FE1" w:rsidRDefault="00987437" w:rsidP="003E385A">
      <w:r w:rsidRPr="007F7FE1">
        <w:rPr>
          <w:i/>
        </w:rPr>
        <w:t>a)</w:t>
      </w:r>
      <w:r w:rsidRPr="007F7FE1">
        <w:tab/>
      </w:r>
      <w:r w:rsidR="00A1512F" w:rsidRPr="007F7FE1">
        <w:t>que l'un des principes fondamentaux régissant la collaboration et la coopération entre les trois Secteurs de l'UIT est la nécessité d'éviter que les activités des Secteurs ne fassent double emploi et de veiller à ce que les travaux soient entrepris de façon efficiente et efficace, dans le respect des fonctions expressément définies dans la Constitution de l'UIT et la Convention de l'UIT pour chaque Secteur;</w:t>
      </w:r>
    </w:p>
    <w:p w14:paraId="0AE951B5" w14:textId="69329108" w:rsidR="00987437" w:rsidRPr="007F7FE1" w:rsidRDefault="00987437" w:rsidP="003E385A">
      <w:r w:rsidRPr="007F7FE1">
        <w:rPr>
          <w:i/>
        </w:rPr>
        <w:t>b)</w:t>
      </w:r>
      <w:r w:rsidRPr="007F7FE1">
        <w:tab/>
      </w:r>
      <w:r w:rsidR="00234D94" w:rsidRPr="007F7FE1">
        <w:t xml:space="preserve">que les questions d'intérêt mutuel pour tous les Secteurs sont de plus en plus nombreuses, conformément à la Résolution 191 (Rév. </w:t>
      </w:r>
      <w:r w:rsidR="003D046A" w:rsidRPr="007F7FE1">
        <w:t>Bucarest, 2022</w:t>
      </w:r>
      <w:r w:rsidR="00234D94" w:rsidRPr="007F7FE1">
        <w:t>);</w:t>
      </w:r>
    </w:p>
    <w:p w14:paraId="33F03BBC" w14:textId="39A9DA2E" w:rsidR="00987437" w:rsidRPr="007F7FE1" w:rsidRDefault="00987437" w:rsidP="003E385A">
      <w:r w:rsidRPr="007F7FE1">
        <w:rPr>
          <w:i/>
        </w:rPr>
        <w:t>c)</w:t>
      </w:r>
      <w:r w:rsidRPr="007F7FE1">
        <w:tab/>
      </w:r>
      <w:r w:rsidR="00A1512F" w:rsidRPr="007F7FE1">
        <w:t xml:space="preserve">que </w:t>
      </w:r>
      <w:r w:rsidR="003E385A" w:rsidRPr="007F7FE1">
        <w:t xml:space="preserve">le </w:t>
      </w:r>
      <w:r w:rsidR="00A1512F" w:rsidRPr="007F7FE1">
        <w:t>Groupe spécial de coordination intersectorielle (ISC-TF), composé de hauts responsables du Secrétariat général, du Bureau de développement des télécommunications (BDT), du Bureau des radiocommunications (BR) et du Bureau de la normalisation des télécommunications (TSB)</w:t>
      </w:r>
      <w:r w:rsidR="003D046A" w:rsidRPr="007F7FE1">
        <w:t xml:space="preserve">, examine </w:t>
      </w:r>
      <w:r w:rsidR="00A1512F" w:rsidRPr="007F7FE1">
        <w:t>les solutions propres à améliorer la coopération et la coordination au niveau du secrétariat;</w:t>
      </w:r>
    </w:p>
    <w:p w14:paraId="223070DE" w14:textId="63797FFF" w:rsidR="00987437" w:rsidRPr="007F7FE1" w:rsidRDefault="00987437" w:rsidP="003E385A">
      <w:r w:rsidRPr="007F7FE1">
        <w:rPr>
          <w:i/>
        </w:rPr>
        <w:t>d)</w:t>
      </w:r>
      <w:r w:rsidRPr="007F7FE1">
        <w:tab/>
      </w:r>
      <w:r w:rsidR="00234D94" w:rsidRPr="007F7FE1">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 d'examiner les rapports des Directeurs des Bureaux et du Groupe spécial de coordination intersectorielle (ISC-TF) sur les solutions propres à améliorer la coopération et la coordination au sein du secrétariat</w:t>
      </w:r>
      <w:r w:rsidR="003E385A" w:rsidRPr="007F7FE1">
        <w:t>,</w:t>
      </w:r>
    </w:p>
    <w:p w14:paraId="3766B8C2" w14:textId="249A197F" w:rsidR="00987437" w:rsidRPr="007F7FE1" w:rsidRDefault="00987437" w:rsidP="003E385A">
      <w:pPr>
        <w:pStyle w:val="Call"/>
      </w:pPr>
      <w:r w:rsidRPr="007F7FE1">
        <w:t>reco</w:t>
      </w:r>
      <w:r w:rsidR="00234D94" w:rsidRPr="007F7FE1">
        <w:t>nnaissant</w:t>
      </w:r>
    </w:p>
    <w:p w14:paraId="7ACAC895" w14:textId="42995F0B" w:rsidR="00987437" w:rsidRPr="007F7FE1" w:rsidRDefault="00987437" w:rsidP="003E385A">
      <w:r w:rsidRPr="007F7FE1">
        <w:rPr>
          <w:i/>
        </w:rPr>
        <w:t>a)</w:t>
      </w:r>
      <w:r w:rsidRPr="007F7FE1">
        <w:tab/>
      </w:r>
      <w:r w:rsidR="00234D94" w:rsidRPr="007F7FE1">
        <w:t>qu'il est nécessaire d'améliorer la participation des pays en développement aux travaux de l'UIT;</w:t>
      </w:r>
    </w:p>
    <w:p w14:paraId="507E01BA" w14:textId="16A24FE3" w:rsidR="00987437" w:rsidRPr="007F7FE1" w:rsidRDefault="00987437" w:rsidP="003E385A">
      <w:r w:rsidRPr="007F7FE1">
        <w:rPr>
          <w:i/>
        </w:rPr>
        <w:t>b)</w:t>
      </w:r>
      <w:r w:rsidRPr="007F7FE1">
        <w:tab/>
      </w:r>
      <w:r w:rsidR="00A1512F" w:rsidRPr="007F7FE1">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p w14:paraId="0D151151" w14:textId="2EEAEB03" w:rsidR="00987437" w:rsidRPr="007F7FE1" w:rsidRDefault="00987437" w:rsidP="003E385A">
      <w:pPr>
        <w:rPr>
          <w:highlight w:val="yellow"/>
        </w:rPr>
      </w:pPr>
      <w:r w:rsidRPr="007F7FE1">
        <w:rPr>
          <w:i/>
        </w:rPr>
        <w:t>c)</w:t>
      </w:r>
      <w:r w:rsidRPr="007F7FE1">
        <w:tab/>
      </w:r>
      <w:r w:rsidR="00CA4403" w:rsidRPr="007F7FE1">
        <w:t>que la fourniture d'un accès en ligne gratuit aux Recommandations, Rapports et Manuels de l'UIT-R permet aux pays en développement de mieux connaître les travaux de l'UIT-R et d'y participer plus facilement;</w:t>
      </w:r>
    </w:p>
    <w:p w14:paraId="6CBF0FEB" w14:textId="3E87645F" w:rsidR="00CA4403" w:rsidRPr="007F7FE1" w:rsidRDefault="00987437" w:rsidP="003E385A">
      <w:r w:rsidRPr="007F7FE1">
        <w:rPr>
          <w:i/>
        </w:rPr>
        <w:t>d)</w:t>
      </w:r>
      <w:r w:rsidRPr="007F7FE1">
        <w:tab/>
      </w:r>
      <w:r w:rsidR="00CA4403" w:rsidRPr="007F7FE1">
        <w:t>que la participation à distance par voie électronique réduira les frais de mission et facilitera une participation accrue des pays en développement aux travaux des réunions de l'UIT-R pour lesquelles leur présence est nécessaire;</w:t>
      </w:r>
    </w:p>
    <w:p w14:paraId="279189C1" w14:textId="0F904619" w:rsidR="00987437" w:rsidRPr="007F7FE1" w:rsidRDefault="00987437" w:rsidP="003E385A">
      <w:r w:rsidRPr="007F7FE1">
        <w:rPr>
          <w:i/>
        </w:rPr>
        <w:t>e)</w:t>
      </w:r>
      <w:r w:rsidRPr="007F7FE1">
        <w:tab/>
      </w:r>
      <w:r w:rsidR="009E20F9" w:rsidRPr="007F7FE1">
        <w:t>que les questions ci-après présentent un intérêt mutuel pour l'UIT-D et l'UIT-R</w:t>
      </w:r>
      <w:r w:rsidRPr="007F7FE1">
        <w:t xml:space="preserve">: </w:t>
      </w:r>
      <w:r w:rsidR="003E385A" w:rsidRPr="007F7FE1">
        <w:t>P</w:t>
      </w:r>
      <w:r w:rsidR="00A1512F" w:rsidRPr="007F7FE1">
        <w:t xml:space="preserve">articipation des pays, en particulier des pays en développement, à la gestion du spectre </w:t>
      </w:r>
      <w:r w:rsidR="00CD73A8" w:rsidRPr="007F7FE1">
        <w:t xml:space="preserve">des fréquences </w:t>
      </w:r>
      <w:r w:rsidR="00A1512F" w:rsidRPr="007F7FE1">
        <w:t>radioélectrique</w:t>
      </w:r>
      <w:r w:rsidR="00CD73A8" w:rsidRPr="007F7FE1">
        <w:t>s</w:t>
      </w:r>
      <w:r w:rsidR="009E20F9" w:rsidRPr="007F7FE1">
        <w:t xml:space="preserve"> (Résolution 9 de la CMDT)</w:t>
      </w:r>
      <w:r w:rsidRPr="007F7FE1">
        <w:t xml:space="preserve">; </w:t>
      </w:r>
      <w:r w:rsidR="006D4627" w:rsidRPr="007F7FE1">
        <w:t>Déploiement</w:t>
      </w:r>
      <w:r w:rsidR="00A1512F" w:rsidRPr="007F7FE1">
        <w:t xml:space="preserve"> </w:t>
      </w:r>
      <w:r w:rsidR="009E20F9" w:rsidRPr="007F7FE1">
        <w:t>des technologies d'accès large bande dans</w:t>
      </w:r>
      <w:r w:rsidR="00A1512F" w:rsidRPr="007F7FE1">
        <w:t xml:space="preserve"> les pays en développement</w:t>
      </w:r>
      <w:r w:rsidRPr="007F7FE1">
        <w:t xml:space="preserve">; </w:t>
      </w:r>
      <w:r w:rsidR="00A1512F" w:rsidRPr="007F7FE1">
        <w:t>Télécommunications/TIC pour les zones rurales et isolées</w:t>
      </w:r>
      <w:r w:rsidRPr="007F7FE1">
        <w:t xml:space="preserve">; </w:t>
      </w:r>
      <w:r w:rsidR="003E385A" w:rsidRPr="007F7FE1">
        <w:t>P</w:t>
      </w:r>
      <w:r w:rsidR="00A1512F" w:rsidRPr="007F7FE1">
        <w:t xml:space="preserve">assage aux technologies numériques pour la radiodiffusion et adoption de ces technologies, </w:t>
      </w:r>
      <w:r w:rsidR="009E20F9" w:rsidRPr="007F7FE1">
        <w:t xml:space="preserve">et mise en </w:t>
      </w:r>
      <w:r w:rsidR="006D4627" w:rsidRPr="007F7FE1">
        <w:t>œuvre</w:t>
      </w:r>
      <w:r w:rsidR="009E20F9" w:rsidRPr="007F7FE1">
        <w:t xml:space="preserve"> de nouveaux services (Question </w:t>
      </w:r>
      <w:r w:rsidR="00A1512F" w:rsidRPr="007F7FE1">
        <w:t>2/1)</w:t>
      </w:r>
      <w:r w:rsidR="009E20F9" w:rsidRPr="007F7FE1">
        <w:t>;</w:t>
      </w:r>
      <w:r w:rsidR="00A1512F" w:rsidRPr="007F7FE1">
        <w:t xml:space="preserve"> Utilisation des </w:t>
      </w:r>
      <w:r w:rsidR="00A1512F" w:rsidRPr="007F7FE1">
        <w:lastRenderedPageBreak/>
        <w:t>télécommunications/TIC pour la réduction et la gestion des risques de catastrophe</w:t>
      </w:r>
      <w:r w:rsidRPr="007F7FE1">
        <w:t xml:space="preserve">; </w:t>
      </w:r>
      <w:r w:rsidR="003E385A" w:rsidRPr="007F7FE1">
        <w:t>L</w:t>
      </w:r>
      <w:r w:rsidR="006D4627" w:rsidRPr="007F7FE1">
        <w:t xml:space="preserve">es </w:t>
      </w:r>
      <w:r w:rsidR="009E20F9" w:rsidRPr="007F7FE1">
        <w:t xml:space="preserve">TIC et </w:t>
      </w:r>
      <w:r w:rsidR="006D4627" w:rsidRPr="007F7FE1">
        <w:t>l'</w:t>
      </w:r>
      <w:r w:rsidR="009E20F9" w:rsidRPr="007F7FE1">
        <w:t>environnement</w:t>
      </w:r>
      <w:r w:rsidR="00A1512F" w:rsidRPr="007F7FE1">
        <w:t xml:space="preserve"> </w:t>
      </w:r>
      <w:r w:rsidRPr="007F7FE1">
        <w:t>(Q</w:t>
      </w:r>
      <w:r w:rsidR="009E20F9" w:rsidRPr="007F7FE1">
        <w:t>uestion</w:t>
      </w:r>
      <w:r w:rsidRPr="007F7FE1">
        <w:t xml:space="preserve"> 6/2);</w:t>
      </w:r>
      <w:r w:rsidR="009E20F9" w:rsidRPr="007F7FE1">
        <w:t xml:space="preserve"> E</w:t>
      </w:r>
      <w:r w:rsidR="00A1512F" w:rsidRPr="007F7FE1">
        <w:t xml:space="preserve">xposition des personnes aux champs électromagnétiques </w:t>
      </w:r>
      <w:r w:rsidRPr="007F7FE1">
        <w:t>(Q</w:t>
      </w:r>
      <w:r w:rsidR="009E20F9" w:rsidRPr="007F7FE1">
        <w:t>uestion</w:t>
      </w:r>
      <w:r w:rsidRPr="007F7FE1">
        <w:t xml:space="preserve"> 7/2); </w:t>
      </w:r>
      <w:r w:rsidR="009E20F9" w:rsidRPr="007F7FE1">
        <w:t>Partage des infrastructures de télécommunication et systèmes de radiocommunication cognitifs (CRS) facilitant l'accès partagé sous licence (LSA) ou l'accès dynamique au spectre (DSA</w:t>
      </w:r>
      <w:r w:rsidRPr="007F7FE1">
        <w:t>),</w:t>
      </w:r>
    </w:p>
    <w:p w14:paraId="155E65F1" w14:textId="0A989B56" w:rsidR="00987437" w:rsidRPr="007F7FE1" w:rsidRDefault="00A1512F" w:rsidP="003E385A">
      <w:pPr>
        <w:pStyle w:val="Call"/>
      </w:pPr>
      <w:r w:rsidRPr="007F7FE1">
        <w:t>tenant compte</w:t>
      </w:r>
    </w:p>
    <w:p w14:paraId="61798433" w14:textId="77BDE22F" w:rsidR="00987437" w:rsidRPr="007F7FE1" w:rsidRDefault="00987437" w:rsidP="003E385A">
      <w:r w:rsidRPr="007F7FE1">
        <w:rPr>
          <w:i/>
        </w:rPr>
        <w:t>a)</w:t>
      </w:r>
      <w:r w:rsidRPr="007F7FE1">
        <w:tab/>
      </w:r>
      <w:r w:rsidR="00CA4403" w:rsidRPr="007F7FE1">
        <w:t>de l'extension de la sphère des études communes aux trois Secteurs et de la nécessité d'une coordination et d'une coopération entre ces Secteurs à cet égard;</w:t>
      </w:r>
    </w:p>
    <w:p w14:paraId="0DD17478" w14:textId="5E9C7172" w:rsidR="00987437" w:rsidRPr="007F7FE1" w:rsidRDefault="00987437" w:rsidP="003E385A">
      <w:r w:rsidRPr="007F7FE1">
        <w:rPr>
          <w:i/>
        </w:rPr>
        <w:t>b)</w:t>
      </w:r>
      <w:r w:rsidRPr="007F7FE1">
        <w:tab/>
      </w:r>
      <w:r w:rsidR="003F5AAF" w:rsidRPr="007F7FE1">
        <w:t>du nombre croissant de</w:t>
      </w:r>
      <w:r w:rsidR="00CA4403" w:rsidRPr="007F7FE1">
        <w:t xml:space="preserve"> sujets d'intérêt et de préoccupation mutuels pour les trois Secteurs</w:t>
      </w:r>
      <w:r w:rsidR="003E385A" w:rsidRPr="007F7FE1">
        <w:t>,</w:t>
      </w:r>
    </w:p>
    <w:p w14:paraId="376DCE33" w14:textId="14AA6746" w:rsidR="00987437" w:rsidRPr="007F7FE1" w:rsidRDefault="00CA4403" w:rsidP="003E385A">
      <w:pPr>
        <w:pStyle w:val="Call"/>
      </w:pPr>
      <w:r w:rsidRPr="007F7FE1">
        <w:t>décide</w:t>
      </w:r>
    </w:p>
    <w:p w14:paraId="0A8C539F" w14:textId="41D1159B" w:rsidR="00987437" w:rsidRPr="007F7FE1" w:rsidRDefault="00987437" w:rsidP="003E385A">
      <w:r w:rsidRPr="007F7FE1">
        <w:t>1</w:t>
      </w:r>
      <w:r w:rsidRPr="007F7FE1">
        <w:tab/>
      </w:r>
      <w:r w:rsidR="00CA4403" w:rsidRPr="007F7FE1">
        <w:t>que le Groupe consultatif des radiocommunications (GCR), le G</w:t>
      </w:r>
      <w:r w:rsidR="003F5AAF" w:rsidRPr="007F7FE1">
        <w:t>roupe consultatif de la normalisation des télécommunications (G</w:t>
      </w:r>
      <w:r w:rsidR="00CA4403" w:rsidRPr="007F7FE1">
        <w:t>CNT</w:t>
      </w:r>
      <w:r w:rsidR="003F5AAF" w:rsidRPr="007F7FE1">
        <w:t>)</w:t>
      </w:r>
      <w:r w:rsidR="00CA4403" w:rsidRPr="007F7FE1">
        <w:t xml:space="preserve">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w:t>
      </w:r>
      <w:r w:rsidR="003F5AAF" w:rsidRPr="007F7FE1">
        <w:t>, comme indiqué dans la Résolution 191 (Rév. Bucarest, 2022) de la Conférence de plénipotentiaires</w:t>
      </w:r>
      <w:r w:rsidR="00CA4403" w:rsidRPr="007F7FE1">
        <w:t>;</w:t>
      </w:r>
    </w:p>
    <w:p w14:paraId="2082BD5C" w14:textId="177DBFB2" w:rsidR="00CA4403" w:rsidRPr="007F7FE1" w:rsidRDefault="00CA4403" w:rsidP="003E385A">
      <w:r w:rsidRPr="007F7FE1">
        <w:rPr>
          <w:bCs/>
        </w:rPr>
        <w:t>2</w:t>
      </w:r>
      <w:r w:rsidRPr="007F7FE1">
        <w:tab/>
      </w:r>
      <w:r w:rsidR="00CD73A8" w:rsidRPr="007F7FE1">
        <w:t>qu</w:t>
      </w:r>
      <w:r w:rsidR="00283E27" w:rsidRPr="007F7FE1">
        <w:t>'</w:t>
      </w:r>
      <w:r w:rsidR="00CD73A8" w:rsidRPr="007F7FE1">
        <w:t>il convient d</w:t>
      </w:r>
      <w:r w:rsidR="00283E27" w:rsidRPr="007F7FE1">
        <w:t>'</w:t>
      </w:r>
      <w:r w:rsidR="00CD73A8" w:rsidRPr="007F7FE1">
        <w:t xml:space="preserve">appliquer </w:t>
      </w:r>
      <w:r w:rsidRPr="007F7FE1">
        <w:t>les principes de répartition des tâches entre le Secteur des radiocommunications et le Secteur de la normalisation des télécommunications (voir l'Annexe 1)</w:t>
      </w:r>
      <w:r w:rsidR="00283E27" w:rsidRPr="007F7FE1">
        <w:t xml:space="preserve"> </w:t>
      </w:r>
      <w:r w:rsidRPr="007F7FE1">
        <w:t>pour orienter la répartition des tâches entre les Secteurs;</w:t>
      </w:r>
    </w:p>
    <w:p w14:paraId="52A74345" w14:textId="77777777" w:rsidR="00CA4403" w:rsidRPr="007F7FE1" w:rsidRDefault="00CA4403" w:rsidP="003E385A">
      <w:r w:rsidRPr="007F7FE1">
        <w:t>3</w:t>
      </w:r>
      <w:r w:rsidRPr="007F7FE1">
        <w:tab/>
        <w:t>que, au cas où les deux Secteurs indiqueraient qu'ils ont de lourdes responsabilités dans un domaine particulier:</w:t>
      </w:r>
    </w:p>
    <w:p w14:paraId="75CC8787" w14:textId="77777777" w:rsidR="00CA4403" w:rsidRPr="007F7FE1" w:rsidRDefault="00CA4403" w:rsidP="003E385A">
      <w:pPr>
        <w:pStyle w:val="enumlev1"/>
        <w:tabs>
          <w:tab w:val="left" w:pos="3544"/>
        </w:tabs>
      </w:pPr>
      <w:r w:rsidRPr="007F7FE1">
        <w:t>a)</w:t>
      </w:r>
      <w:r w:rsidRPr="007F7FE1">
        <w:tab/>
        <w:t>la procédure décrite à l'Annexe 2 devrait être appliquée; ou</w:t>
      </w:r>
    </w:p>
    <w:p w14:paraId="4278419A" w14:textId="77777777" w:rsidR="00CA4403" w:rsidRPr="007F7FE1" w:rsidRDefault="00CA4403" w:rsidP="003E385A">
      <w:pPr>
        <w:pStyle w:val="enumlev1"/>
        <w:tabs>
          <w:tab w:val="left" w:pos="3544"/>
        </w:tabs>
      </w:pPr>
      <w:r w:rsidRPr="007F7FE1">
        <w:t>b)</w:t>
      </w:r>
      <w:r w:rsidRPr="007F7FE1">
        <w:tab/>
        <w:t>une réunion commune pourra être organisée par les Directeurs; ou</w:t>
      </w:r>
    </w:p>
    <w:p w14:paraId="1A7978A8" w14:textId="288DD652" w:rsidR="00CA4403" w:rsidRPr="007F7FE1" w:rsidRDefault="00CA4403" w:rsidP="003E385A">
      <w:pPr>
        <w:pStyle w:val="enumlev1"/>
      </w:pPr>
      <w:r w:rsidRPr="007F7FE1">
        <w:t>c)</w:t>
      </w:r>
      <w:r w:rsidRPr="007F7FE1">
        <w:tab/>
        <w:t xml:space="preserve">la question devrait être étudiée par les </w:t>
      </w:r>
      <w:r w:rsidR="00CD73A8" w:rsidRPr="007F7FE1">
        <w:t xml:space="preserve">commissions </w:t>
      </w:r>
      <w:r w:rsidRPr="007F7FE1">
        <w:t>d'études concernées des deux Secteurs dans le cadre d'une coordination appropriée (voir les Annexes 3 et 4);</w:t>
      </w:r>
    </w:p>
    <w:p w14:paraId="261D03D4" w14:textId="2ACAF992" w:rsidR="00987437" w:rsidRPr="007F7FE1" w:rsidRDefault="00987437" w:rsidP="003E385A">
      <w:r w:rsidRPr="007F7FE1">
        <w:t>4</w:t>
      </w:r>
      <w:r w:rsidRPr="007F7FE1">
        <w:tab/>
      </w:r>
      <w:r w:rsidR="00CA4403" w:rsidRPr="007F7FE1">
        <w:t xml:space="preserve">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w:t>
      </w:r>
      <w:r w:rsidR="00CD73A8" w:rsidRPr="007F7FE1">
        <w:t>BDT</w:t>
      </w:r>
      <w:r w:rsidR="00283E27" w:rsidRPr="007F7FE1">
        <w:t xml:space="preserve"> </w:t>
      </w:r>
      <w:r w:rsidR="00CA4403" w:rsidRPr="007F7FE1">
        <w:t>d'examiner les possibilités de mettre ces moyens à la disposition des pays en développement;</w:t>
      </w:r>
    </w:p>
    <w:p w14:paraId="4228A3A6" w14:textId="05153240" w:rsidR="00987437" w:rsidRPr="007F7FE1" w:rsidRDefault="00987437" w:rsidP="003E385A">
      <w:r w:rsidRPr="007F7FE1">
        <w:t>5</w:t>
      </w:r>
      <w:r w:rsidRPr="007F7FE1">
        <w:tab/>
      </w:r>
      <w:r w:rsidR="00CA4403" w:rsidRPr="007F7FE1">
        <w:t xml:space="preserve">de coopérer avec le Directeur du </w:t>
      </w:r>
      <w:r w:rsidR="00CD73A8" w:rsidRPr="007F7FE1">
        <w:t>BDT</w:t>
      </w:r>
      <w:r w:rsidR="00CA4403" w:rsidRPr="007F7FE1">
        <w:t xml:space="preserve"> pour améliorer la capacité des bureaux régionaux et des bureaux de zone de l'UIT de fournir un appui aux activités des </w:t>
      </w:r>
      <w:r w:rsidR="00CD73A8" w:rsidRPr="007F7FE1">
        <w:t xml:space="preserve">commissions </w:t>
      </w:r>
      <w:r w:rsidR="00CA4403" w:rsidRPr="007F7FE1">
        <w:t xml:space="preserve">d'études, ainsi que les compétences techniques nécessaires, de renforcer la coopération et la coordination avec les organisations régionales concernées et de faciliter la participation de tous les </w:t>
      </w:r>
      <w:r w:rsidR="007F7FE1" w:rsidRPr="007F7FE1">
        <w:t>États</w:t>
      </w:r>
      <w:r w:rsidR="00CA4403" w:rsidRPr="007F7FE1">
        <w:t xml:space="preserve"> Membres et tous les Membres des Secteurs aux activités de l'UIT-R;</w:t>
      </w:r>
    </w:p>
    <w:p w14:paraId="2C1AE3A8" w14:textId="53D4F35F" w:rsidR="00987437" w:rsidRPr="007F7FE1" w:rsidRDefault="00987437" w:rsidP="003E385A">
      <w:r w:rsidRPr="007F7FE1">
        <w:t>6</w:t>
      </w:r>
      <w:r w:rsidRPr="007F7FE1">
        <w:tab/>
      </w:r>
      <w:r w:rsidR="00CA4403" w:rsidRPr="007F7FE1">
        <w:t xml:space="preserve">que, le Directeur du </w:t>
      </w:r>
      <w:r w:rsidR="00CD73A8" w:rsidRPr="007F7FE1">
        <w:t>BR</w:t>
      </w:r>
      <w:r w:rsidR="00CA4403" w:rsidRPr="007F7FE1">
        <w:t xml:space="preserve">, assisté par les </w:t>
      </w:r>
      <w:r w:rsidR="00CD73A8" w:rsidRPr="007F7FE1">
        <w:t xml:space="preserve">commissions </w:t>
      </w:r>
      <w:r w:rsidR="00CA4403" w:rsidRPr="007F7FE1">
        <w:t xml:space="preserve">d'études des radiocommunications, doit apporter au </w:t>
      </w:r>
      <w:r w:rsidR="00CD73A8" w:rsidRPr="007F7FE1">
        <w:t>BDT</w:t>
      </w:r>
      <w:r w:rsidR="00283E27" w:rsidRPr="007F7FE1">
        <w:t xml:space="preserve"> </w:t>
      </w:r>
      <w:r w:rsidR="00CA4403" w:rsidRPr="007F7FE1">
        <w:t xml:space="preserve">l'assistance nécessaire dans l'élaboration et la mise à jour des Manuels et des </w:t>
      </w:r>
      <w:r w:rsidR="00546084" w:rsidRPr="007F7FE1">
        <w:t xml:space="preserve">rapports </w:t>
      </w:r>
      <w:r w:rsidR="00CA4403" w:rsidRPr="007F7FE1">
        <w:t>de l'UIT-D;</w:t>
      </w:r>
    </w:p>
    <w:p w14:paraId="1E9C8165" w14:textId="58304B03" w:rsidR="00987437" w:rsidRPr="007F7FE1" w:rsidRDefault="00987437" w:rsidP="003E385A">
      <w:r w:rsidRPr="007F7FE1">
        <w:t>7</w:t>
      </w:r>
      <w:r w:rsidRPr="007F7FE1">
        <w:tab/>
      </w:r>
      <w:r w:rsidR="00CA4403" w:rsidRPr="007F7FE1">
        <w:t xml:space="preserve">que le Directeur du </w:t>
      </w:r>
      <w:r w:rsidR="00546084" w:rsidRPr="007F7FE1">
        <w:t>BR</w:t>
      </w:r>
      <w:r w:rsidR="00CA4403" w:rsidRPr="007F7FE1">
        <w:t xml:space="preserve">, assisté par les </w:t>
      </w:r>
      <w:r w:rsidR="00546084" w:rsidRPr="007F7FE1">
        <w:t xml:space="preserve">commissions </w:t>
      </w:r>
      <w:r w:rsidR="00CA4403" w:rsidRPr="007F7FE1">
        <w:t xml:space="preserve">d'études des radiocommunications, doit contribuer et participer aux travaux des </w:t>
      </w:r>
      <w:r w:rsidR="00546084" w:rsidRPr="007F7FE1">
        <w:t xml:space="preserve">commissions </w:t>
      </w:r>
      <w:r w:rsidR="00CA4403" w:rsidRPr="007F7FE1">
        <w:t>d'études du développement des télécommunications lors de l'examen de questions à l'étude desquelles ils peuvent contribuer utilement;</w:t>
      </w:r>
    </w:p>
    <w:p w14:paraId="751CBF9A" w14:textId="0E0C405C" w:rsidR="00987437" w:rsidRPr="007F7FE1" w:rsidRDefault="00987437" w:rsidP="003E385A">
      <w:r w:rsidRPr="007F7FE1">
        <w:lastRenderedPageBreak/>
        <w:t>8</w:t>
      </w:r>
      <w:r w:rsidRPr="007F7FE1">
        <w:tab/>
      </w:r>
      <w:r w:rsidR="00CA4403" w:rsidRPr="007F7FE1">
        <w:t xml:space="preserve">que, dans le cadre de la coopération active avec le </w:t>
      </w:r>
      <w:r w:rsidR="00546084" w:rsidRPr="007F7FE1">
        <w:t>BDT</w:t>
      </w:r>
      <w:r w:rsidR="00283E27" w:rsidRPr="007F7FE1">
        <w:t>,</w:t>
      </w:r>
      <w:r w:rsidR="00CA4403" w:rsidRPr="007F7FE1">
        <w:t xml:space="preserve"> toutes les activités de l'Union touchant aux radiocommunications dans le domaine du développement des télécommunications doivent être étroitement coordonnées dans un souci d'efficacité et pour éviter </w:t>
      </w:r>
      <w:r w:rsidR="00546084" w:rsidRPr="007F7FE1">
        <w:t>tout chevauchement d'activités</w:t>
      </w:r>
      <w:r w:rsidR="00283E27" w:rsidRPr="007F7FE1">
        <w:t>,</w:t>
      </w:r>
    </w:p>
    <w:p w14:paraId="6AEF74D3" w14:textId="1DC85FFA" w:rsidR="00987437" w:rsidRPr="007F7FE1" w:rsidRDefault="003F5AAF" w:rsidP="003E385A">
      <w:pPr>
        <w:pStyle w:val="Call"/>
      </w:pPr>
      <w:r w:rsidRPr="007F7FE1">
        <w:t>i</w:t>
      </w:r>
      <w:r w:rsidR="00987437" w:rsidRPr="007F7FE1">
        <w:t>nvite</w:t>
      </w:r>
      <w:r w:rsidRPr="007F7FE1">
        <w:t xml:space="preserve"> les Directeurs des </w:t>
      </w:r>
      <w:r w:rsidR="00987437" w:rsidRPr="007F7FE1">
        <w:t>Bureaux</w:t>
      </w:r>
    </w:p>
    <w:p w14:paraId="7F61A27B" w14:textId="23D87C9F" w:rsidR="00987437" w:rsidRPr="007F7FE1" w:rsidRDefault="00987437" w:rsidP="003E385A">
      <w:r w:rsidRPr="007F7FE1">
        <w:t>1</w:t>
      </w:r>
      <w:r w:rsidRPr="007F7FE1">
        <w:tab/>
      </w:r>
      <w:r w:rsidR="00CA4403" w:rsidRPr="007F7FE1">
        <w:t>à continuer de créer des mécanismes de coopération, au niveau du secrétariat, sur des questions d'intérêt mutuel pour les trois Secteurs;</w:t>
      </w:r>
    </w:p>
    <w:p w14:paraId="5FA3552C" w14:textId="2B16CC18" w:rsidR="00987437" w:rsidRPr="007F7FE1" w:rsidRDefault="00987437" w:rsidP="003E385A">
      <w:r w:rsidRPr="007F7FE1">
        <w:t>2</w:t>
      </w:r>
      <w:r w:rsidRPr="007F7FE1">
        <w:tab/>
      </w:r>
      <w:r w:rsidR="00CA4403" w:rsidRPr="007F7FE1">
        <w:t xml:space="preserve">à respecter rigoureusement les dispositions du § 3 du </w:t>
      </w:r>
      <w:r w:rsidR="00CA4403" w:rsidRPr="007F7FE1">
        <w:rPr>
          <w:i/>
        </w:rPr>
        <w:t>décide</w:t>
      </w:r>
      <w:r w:rsidR="00CA4403" w:rsidRPr="007F7FE1">
        <w:t xml:space="preserve"> et à rechercher des moyens de renforcer cette coopération,</w:t>
      </w:r>
    </w:p>
    <w:p w14:paraId="431E7176" w14:textId="77777777" w:rsidR="00CA4403" w:rsidRPr="007F7FE1" w:rsidRDefault="00CA4403" w:rsidP="003E385A">
      <w:pPr>
        <w:pStyle w:val="Call"/>
      </w:pPr>
      <w:r w:rsidRPr="007F7FE1">
        <w:t>invite le Groupe consultatif pour le développement des télécommunications, en collaboration avec le Groupe consultatif des radiocommunications et le Groupe consultatif de la normalisation des télécommunications</w:t>
      </w:r>
    </w:p>
    <w:p w14:paraId="01F395DC" w14:textId="77777777" w:rsidR="00CA4403" w:rsidRPr="007F7FE1" w:rsidRDefault="00CA4403" w:rsidP="003E385A">
      <w:r w:rsidRPr="007F7FE1">
        <w:t>à apporter son assistance pour identifier les sujets communs aux trois Secteurs, ou au niveau bilatéral les sujets communs à l'UIT</w:t>
      </w:r>
      <w:r w:rsidRPr="007F7FE1">
        <w:noBreakHyphen/>
        <w:t>D et à l'UIT-R ou l'UIT</w:t>
      </w:r>
      <w:r w:rsidRPr="007F7FE1">
        <w:noBreakHyphen/>
        <w:t xml:space="preserve">T, et pour identifier les mécanismes propres à renforcer la coopération et les activités communes entre les trois Secteurs ou avec chaque Secteur, sur des questions d'intérêt commun, en accordant une attention particulière aux intérêts des pays en développement, y compris en participant aux travaux du Groupe </w:t>
      </w:r>
      <w:r w:rsidRPr="007F7FE1">
        <w:rPr>
          <w:color w:val="000000"/>
        </w:rPr>
        <w:t>ISCG</w:t>
      </w:r>
      <w:r w:rsidRPr="007F7FE1">
        <w:t>,</w:t>
      </w:r>
    </w:p>
    <w:p w14:paraId="13FCE350" w14:textId="53DEF28E" w:rsidR="007A576C" w:rsidRPr="007F7FE1" w:rsidRDefault="007A576C" w:rsidP="003E385A">
      <w:pPr>
        <w:pStyle w:val="Call"/>
      </w:pPr>
      <w:r w:rsidRPr="007F7FE1">
        <w:t xml:space="preserve">charge les commissions d'études du Secteur </w:t>
      </w:r>
      <w:r w:rsidR="003F5AAF" w:rsidRPr="007F7FE1">
        <w:t>des radiocommunications</w:t>
      </w:r>
      <w:r w:rsidRPr="007F7FE1">
        <w:t xml:space="preserve"> de l'UIT</w:t>
      </w:r>
    </w:p>
    <w:p w14:paraId="7F2C6DD0" w14:textId="04910CC7" w:rsidR="00987437" w:rsidRPr="007F7FE1" w:rsidRDefault="007A576C" w:rsidP="003E385A">
      <w:r w:rsidRPr="007F7FE1">
        <w:t>de poursuivre la coopération avec les commissions d'études des deux autres Secteurs, afin d'éviter tout chevauchement d'activités et d'exploiter de leur propre initiative les résultats des travaux menés par les commissions d'études de ces deux Secteurs,</w:t>
      </w:r>
    </w:p>
    <w:p w14:paraId="069EBB97" w14:textId="596B1B15" w:rsidR="00CA4403" w:rsidRPr="007F7FE1" w:rsidRDefault="00CA4403" w:rsidP="003E385A">
      <w:pPr>
        <w:pStyle w:val="Call"/>
      </w:pPr>
      <w:r w:rsidRPr="007F7FE1">
        <w:t xml:space="preserve">charge les Présidents des </w:t>
      </w:r>
      <w:r w:rsidR="00546084" w:rsidRPr="007F7FE1">
        <w:t xml:space="preserve">commissions </w:t>
      </w:r>
      <w:r w:rsidRPr="007F7FE1">
        <w:t>d'études et le Directeur du Bureau des radiocommunications</w:t>
      </w:r>
    </w:p>
    <w:p w14:paraId="7FE45C8A" w14:textId="17A290A2" w:rsidR="00987437" w:rsidRPr="007F7FE1" w:rsidRDefault="00CA4403" w:rsidP="003E385A">
      <w:r w:rsidRPr="007F7FE1">
        <w:t xml:space="preserve">de prendre toutes les mesures qui s'imposent pour mettre en œuvre la présente Résolution et notamment d'inciter tous les participants aux activités </w:t>
      </w:r>
      <w:r w:rsidR="00546084" w:rsidRPr="007F7FE1">
        <w:t>de l</w:t>
      </w:r>
      <w:r w:rsidR="00283E27" w:rsidRPr="007F7FE1">
        <w:t>'</w:t>
      </w:r>
      <w:r w:rsidR="00546084" w:rsidRPr="007F7FE1">
        <w:t>UIT-R</w:t>
      </w:r>
      <w:r w:rsidRPr="007F7FE1">
        <w:t xml:space="preserve"> à assister </w:t>
      </w:r>
      <w:r w:rsidR="00546084" w:rsidRPr="007F7FE1">
        <w:t>l</w:t>
      </w:r>
      <w:r w:rsidR="00283E27" w:rsidRPr="007F7FE1">
        <w:t>'</w:t>
      </w:r>
      <w:r w:rsidR="00546084" w:rsidRPr="007F7FE1">
        <w:t>UIT-D</w:t>
      </w:r>
      <w:r w:rsidR="00283E27" w:rsidRPr="007F7FE1">
        <w:t>,</w:t>
      </w:r>
    </w:p>
    <w:p w14:paraId="2F029805" w14:textId="77777777" w:rsidR="003261B8" w:rsidRPr="007F7FE1" w:rsidRDefault="003261B8" w:rsidP="003E385A">
      <w:pPr>
        <w:pStyle w:val="Call"/>
      </w:pPr>
      <w:r w:rsidRPr="007F7FE1">
        <w:t>invite les États Membres et les Membres de Secteur</w:t>
      </w:r>
    </w:p>
    <w:p w14:paraId="1A59DE79" w14:textId="6C3AEE6E" w:rsidR="00987437" w:rsidRPr="007F7FE1" w:rsidRDefault="003261B8" w:rsidP="003E385A">
      <w:r w:rsidRPr="007F7FE1">
        <w:t>1</w:t>
      </w:r>
      <w:r w:rsidRPr="007F7FE1">
        <w:tab/>
        <w:t>à appuyer les efforts visant à améliorer la coordination intersectorielle;</w:t>
      </w:r>
    </w:p>
    <w:p w14:paraId="4BBA6634" w14:textId="49CD0BDB" w:rsidR="00AF2EDC" w:rsidRPr="007F7FE1" w:rsidRDefault="00987437" w:rsidP="003E385A">
      <w:r w:rsidRPr="007F7FE1">
        <w:t>2</w:t>
      </w:r>
      <w:r w:rsidRPr="007F7FE1">
        <w:tab/>
      </w:r>
      <w:r w:rsidR="00546084" w:rsidRPr="007F7FE1">
        <w:t>à</w:t>
      </w:r>
      <w:r w:rsidR="00283E27" w:rsidRPr="007F7FE1">
        <w:t xml:space="preserve"> </w:t>
      </w:r>
      <w:r w:rsidR="00CA4403" w:rsidRPr="007F7FE1">
        <w:t>prendre une part active à l'application de la présente Résolution</w:t>
      </w:r>
      <w:r w:rsidR="00283E27" w:rsidRPr="007F7FE1">
        <w:t>,</w:t>
      </w:r>
      <w:r w:rsidR="000F7052" w:rsidRPr="007F7FE1">
        <w:t xml:space="preserve"> </w:t>
      </w:r>
      <w:r w:rsidR="00CA4403" w:rsidRPr="007F7FE1">
        <w:t>notamment</w:t>
      </w:r>
      <w:r w:rsidR="00283E27" w:rsidRPr="007F7FE1">
        <w:t>,</w:t>
      </w:r>
      <w:r w:rsidR="00546084" w:rsidRPr="007F7FE1">
        <w:t xml:space="preserve"> en facilitant </w:t>
      </w:r>
      <w:r w:rsidR="00CA4403" w:rsidRPr="007F7FE1">
        <w:t xml:space="preserve">le détachement d'experts pour aider les pays en développement, </w:t>
      </w:r>
      <w:r w:rsidR="00546084" w:rsidRPr="007F7FE1">
        <w:t>en participant</w:t>
      </w:r>
      <w:r w:rsidR="00283E27" w:rsidRPr="007F7FE1">
        <w:t xml:space="preserve"> </w:t>
      </w:r>
      <w:r w:rsidR="00CA4403" w:rsidRPr="007F7FE1">
        <w:t>aux réunions d'information, aux séminaires et aux ateliers</w:t>
      </w:r>
      <w:r w:rsidR="00546084" w:rsidRPr="007F7FE1">
        <w:t>,</w:t>
      </w:r>
      <w:r w:rsidR="00283E27" w:rsidRPr="007F7FE1">
        <w:t xml:space="preserve"> </w:t>
      </w:r>
      <w:r w:rsidR="00CA4403" w:rsidRPr="007F7FE1">
        <w:t xml:space="preserve">en apportant les connaissances techniques nécessaires sur les questions examinées par les </w:t>
      </w:r>
      <w:r w:rsidR="00546084" w:rsidRPr="007F7FE1">
        <w:t xml:space="preserve">commissions </w:t>
      </w:r>
      <w:r w:rsidR="00CA4403" w:rsidRPr="007F7FE1">
        <w:t xml:space="preserve">d'études du développement des télécommunications et </w:t>
      </w:r>
      <w:r w:rsidR="00546084" w:rsidRPr="007F7FE1">
        <w:t xml:space="preserve">en </w:t>
      </w:r>
      <w:r w:rsidR="00CA4403" w:rsidRPr="007F7FE1">
        <w:t>accueill</w:t>
      </w:r>
      <w:r w:rsidR="00546084" w:rsidRPr="007F7FE1">
        <w:t>ant</w:t>
      </w:r>
      <w:r w:rsidR="00283E27" w:rsidRPr="007F7FE1">
        <w:t xml:space="preserve"> </w:t>
      </w:r>
      <w:r w:rsidR="00CA4403" w:rsidRPr="007F7FE1">
        <w:t>des stagiaires de pays en développement.</w:t>
      </w:r>
    </w:p>
    <w:p w14:paraId="42A23A28" w14:textId="77777777" w:rsidR="00CA4403" w:rsidRPr="007F7FE1" w:rsidRDefault="00CA4403" w:rsidP="000F7052">
      <w:pPr>
        <w:pStyle w:val="AnnexNo"/>
      </w:pPr>
      <w:r w:rsidRPr="007F7FE1">
        <w:lastRenderedPageBreak/>
        <w:t>Annexe 1</w:t>
      </w:r>
    </w:p>
    <w:p w14:paraId="649DE81F" w14:textId="74B6DBEB" w:rsidR="00CA4403" w:rsidRPr="007F7FE1" w:rsidRDefault="00CA4403" w:rsidP="000F7052">
      <w:pPr>
        <w:pStyle w:val="Annextitle"/>
      </w:pPr>
      <w:r w:rsidRPr="007F7FE1">
        <w:t>Principes de la répartition des tâches entre le Secteur des radiocommunications</w:t>
      </w:r>
      <w:r w:rsidR="003261B8" w:rsidRPr="007F7FE1">
        <w:br/>
      </w:r>
      <w:r w:rsidRPr="007F7FE1">
        <w:t>et le Secteur de la normalisation des télécommunications</w:t>
      </w:r>
    </w:p>
    <w:p w14:paraId="18DED411" w14:textId="77777777" w:rsidR="00CA4403" w:rsidRPr="007F7FE1" w:rsidRDefault="00CA4403" w:rsidP="000F7052">
      <w:pPr>
        <w:pStyle w:val="Heading1"/>
        <w:rPr>
          <w:b w:val="0"/>
          <w:u w:val="single"/>
        </w:rPr>
      </w:pPr>
      <w:bookmarkStart w:id="6" w:name="_Toc180533340"/>
      <w:r w:rsidRPr="007F7FE1">
        <w:t>1</w:t>
      </w:r>
      <w:r w:rsidRPr="007F7FE1">
        <w:tab/>
        <w:t>Généralités</w:t>
      </w:r>
      <w:bookmarkEnd w:id="6"/>
    </w:p>
    <w:p w14:paraId="377A4BBF" w14:textId="77777777" w:rsidR="00CA4403" w:rsidRPr="007F7FE1" w:rsidRDefault="00CA4403" w:rsidP="000F7052">
      <w:pPr>
        <w:pStyle w:val="Headingb"/>
        <w:keepLines/>
        <w:rPr>
          <w:i/>
          <w:iCs/>
        </w:rPr>
      </w:pPr>
      <w:r w:rsidRPr="007F7FE1">
        <w:rPr>
          <w:i/>
          <w:iCs/>
        </w:rPr>
        <w:t>Principe 1</w:t>
      </w:r>
    </w:p>
    <w:p w14:paraId="69B8A15F" w14:textId="05C93273" w:rsidR="00CA4403" w:rsidRPr="007F7FE1" w:rsidRDefault="00CA4403" w:rsidP="000F7052">
      <w:pPr>
        <w:keepNext/>
        <w:keepLines/>
        <w:rPr>
          <w:b/>
          <w:bCs/>
        </w:rPr>
      </w:pPr>
      <w:r w:rsidRPr="007F7FE1">
        <w:rPr>
          <w:b/>
          <w:bCs/>
        </w:rPr>
        <w:t xml:space="preserve">Dans chaque Secteur, la méthode de travail doit être adaptée aux tâches à effectuer, la coordination étant confiée à une </w:t>
      </w:r>
      <w:r w:rsidR="00546084" w:rsidRPr="007F7FE1">
        <w:rPr>
          <w:b/>
          <w:bCs/>
        </w:rPr>
        <w:t xml:space="preserve">commission </w:t>
      </w:r>
      <w:r w:rsidRPr="007F7FE1">
        <w:rPr>
          <w:b/>
          <w:bCs/>
        </w:rPr>
        <w:t xml:space="preserve">d'études compétente (ou à un </w:t>
      </w:r>
      <w:r w:rsidR="00546084" w:rsidRPr="007F7FE1">
        <w:rPr>
          <w:b/>
          <w:bCs/>
        </w:rPr>
        <w:t xml:space="preserve">groupe </w:t>
      </w:r>
      <w:r w:rsidRPr="007F7FE1">
        <w:rPr>
          <w:b/>
          <w:bCs/>
        </w:rPr>
        <w:t>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14:paraId="6B13A22F" w14:textId="77777777" w:rsidR="00CA4403" w:rsidRPr="007F7FE1" w:rsidRDefault="00CA4403" w:rsidP="003E385A">
      <w:pPr>
        <w:tabs>
          <w:tab w:val="left" w:pos="3544"/>
        </w:tabs>
      </w:pPr>
      <w:r w:rsidRPr="007F7FE1">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14:paraId="6B41DBC2" w14:textId="77777777" w:rsidR="00CA4403" w:rsidRPr="007F7FE1" w:rsidRDefault="00CA4403" w:rsidP="003E385A">
      <w:pPr>
        <w:tabs>
          <w:tab w:val="left" w:pos="3544"/>
        </w:tabs>
      </w:pPr>
      <w:r w:rsidRPr="007F7FE1">
        <w:t>Les activités liées au réexamen régulier des Recommandations existantes doivent relever d'un domaine de travail général.</w:t>
      </w:r>
    </w:p>
    <w:p w14:paraId="589896E3" w14:textId="77777777" w:rsidR="00CA4403" w:rsidRPr="007F7FE1" w:rsidRDefault="00CA4403" w:rsidP="003E385A">
      <w:pPr>
        <w:pStyle w:val="Heading1"/>
      </w:pPr>
      <w:bookmarkStart w:id="7" w:name="_Toc180533341"/>
      <w:r w:rsidRPr="007F7FE1">
        <w:t>2</w:t>
      </w:r>
      <w:r w:rsidRPr="007F7FE1">
        <w:tab/>
        <w:t>Rôle respectif des deux Secteurs</w:t>
      </w:r>
      <w:bookmarkEnd w:id="7"/>
    </w:p>
    <w:p w14:paraId="70E17494" w14:textId="77777777" w:rsidR="00CA4403" w:rsidRPr="007F7FE1" w:rsidRDefault="00CA4403" w:rsidP="003E385A">
      <w:pPr>
        <w:tabs>
          <w:tab w:val="left" w:pos="3544"/>
        </w:tabs>
      </w:pPr>
      <w:r w:rsidRPr="007F7FE1">
        <w:t>Cette formule, qui privilégie la répartition des tâches, devrait permettre aux experts des deux Secteurs de travailler au sein d'une équipe bien gérée.</w:t>
      </w:r>
    </w:p>
    <w:p w14:paraId="1442441C" w14:textId="77777777" w:rsidR="00CA4403" w:rsidRPr="007F7FE1" w:rsidRDefault="00CA4403" w:rsidP="003E385A">
      <w:pPr>
        <w:pStyle w:val="Headingb"/>
        <w:rPr>
          <w:i/>
          <w:iCs/>
        </w:rPr>
      </w:pPr>
      <w:r w:rsidRPr="007F7FE1">
        <w:rPr>
          <w:i/>
          <w:iCs/>
        </w:rPr>
        <w:t>Principe 2</w:t>
      </w:r>
    </w:p>
    <w:p w14:paraId="4D3BA0D7" w14:textId="77777777" w:rsidR="00CA4403" w:rsidRPr="007F7FE1" w:rsidRDefault="00CA4403" w:rsidP="003E385A">
      <w:pPr>
        <w:rPr>
          <w:b/>
          <w:bCs/>
        </w:rPr>
      </w:pPr>
      <w:r w:rsidRPr="007F7FE1">
        <w:rPr>
          <w:b/>
          <w:bCs/>
        </w:rPr>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14:paraId="03963A91" w14:textId="77777777" w:rsidR="00CA4403" w:rsidRPr="007F7FE1" w:rsidRDefault="00CA4403" w:rsidP="003E385A">
      <w:pPr>
        <w:pStyle w:val="Note"/>
      </w:pPr>
      <w:r w:rsidRPr="007F7FE1">
        <w:rPr>
          <w:iCs/>
        </w:rPr>
        <w:t xml:space="preserve">NOTE 1 – </w:t>
      </w:r>
      <w:r w:rsidRPr="007F7FE1">
        <w:t>Correspondance publique: Toute télécommunication que les bureaux ou les stations, par le fait de leur mise à la disposition du public, doivent accepter aux fins de transmission.</w:t>
      </w:r>
    </w:p>
    <w:p w14:paraId="355173B7" w14:textId="77777777" w:rsidR="00CA4403" w:rsidRPr="007F7FE1" w:rsidRDefault="00CA4403" w:rsidP="003E385A">
      <w:pPr>
        <w:tabs>
          <w:tab w:val="left" w:pos="3544"/>
        </w:tabs>
      </w:pPr>
      <w:r w:rsidRPr="007F7FE1">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14:paraId="10D0FF50" w14:textId="77777777" w:rsidR="00CA4403" w:rsidRPr="007F7FE1" w:rsidRDefault="00CA4403" w:rsidP="003E385A">
      <w:pPr>
        <w:tabs>
          <w:tab w:val="left" w:pos="3544"/>
        </w:tabs>
      </w:pPr>
      <w:r w:rsidRPr="007F7FE1">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14:paraId="3CDF4CA5" w14:textId="77777777" w:rsidR="00CA4403" w:rsidRPr="007F7FE1" w:rsidRDefault="00CA4403" w:rsidP="0014065A">
      <w:r w:rsidRPr="007F7FE1">
        <w:br w:type="page"/>
      </w:r>
    </w:p>
    <w:p w14:paraId="5D8C32B3" w14:textId="77777777" w:rsidR="00CA4403" w:rsidRPr="007F7FE1" w:rsidRDefault="00CA4403" w:rsidP="003E385A">
      <w:pPr>
        <w:pStyle w:val="Headingb"/>
        <w:rPr>
          <w:bCs/>
          <w:i/>
          <w:iCs/>
        </w:rPr>
      </w:pPr>
      <w:r w:rsidRPr="007F7FE1">
        <w:rPr>
          <w:bCs/>
          <w:i/>
          <w:iCs/>
        </w:rPr>
        <w:lastRenderedPageBreak/>
        <w:t>Principe 3</w:t>
      </w:r>
    </w:p>
    <w:p w14:paraId="6681F848" w14:textId="77777777" w:rsidR="00CA4403" w:rsidRPr="007F7FE1" w:rsidRDefault="00CA4403" w:rsidP="003E385A">
      <w:pPr>
        <w:tabs>
          <w:tab w:val="left" w:pos="3544"/>
        </w:tabs>
        <w:rPr>
          <w:b/>
        </w:rPr>
      </w:pPr>
      <w:r w:rsidRPr="007F7FE1">
        <w:rPr>
          <w:b/>
        </w:rPr>
        <w:t>Les travaux du Secteur des radiocommunications liés aux normes de réseaux comprennent des études sur les caractéristiques, la qualité de fonctionnement, l'exploitation et les aspects «spectre» des matériels ou systèmes radioélectriques nécessaires pour prendre en charge les mécanismes d'interconnexion et d'interfonctionnement recensés par le Secteur de la normalisation des télécommunications.</w:t>
      </w:r>
    </w:p>
    <w:p w14:paraId="231EDAA5" w14:textId="77777777" w:rsidR="00CA4403" w:rsidRPr="007F7FE1" w:rsidRDefault="00CA4403" w:rsidP="003E385A">
      <w:pPr>
        <w:tabs>
          <w:tab w:val="left" w:pos="3544"/>
        </w:tabs>
      </w:pPr>
      <w:r w:rsidRPr="007F7FE1">
        <w:t>Les caractéristiques des matériels radioélectriques sont celles qui touchent aux matériels proprement dits et au milieu physique dans lequel ces matériels doivent fonctionner. À titre d'exemple, on peut citer la qualité de fonctionnement, la modulation, le codage, la correction des erreurs, la maintenance et d'autres éléments qui peuvent influer sur les signaux d'interface et les protocoles qui seront pris en charge.</w:t>
      </w:r>
    </w:p>
    <w:p w14:paraId="71B6A269" w14:textId="77777777" w:rsidR="00CA4403" w:rsidRPr="007F7FE1" w:rsidRDefault="00CA4403" w:rsidP="003E385A">
      <w:pPr>
        <w:pStyle w:val="Headingb"/>
        <w:rPr>
          <w:bCs/>
          <w:i/>
          <w:iCs/>
        </w:rPr>
      </w:pPr>
      <w:r w:rsidRPr="007F7FE1">
        <w:rPr>
          <w:bCs/>
          <w:i/>
          <w:iCs/>
        </w:rPr>
        <w:t>Principe 4</w:t>
      </w:r>
    </w:p>
    <w:p w14:paraId="06819860" w14:textId="77777777" w:rsidR="00CA4403" w:rsidRPr="007F7FE1" w:rsidRDefault="00CA4403" w:rsidP="003E385A">
      <w:pPr>
        <w:rPr>
          <w:b/>
          <w:bCs/>
        </w:rPr>
      </w:pPr>
      <w:r w:rsidRPr="007F7FE1">
        <w:rPr>
          <w:b/>
          <w:bCs/>
        </w:rPr>
        <w:t>Avant d'attribuer des tâches spécifiques, il convient d'identifier aussi précisément que possible les services, les architectures de réseau et les interfaces.</w:t>
      </w:r>
    </w:p>
    <w:p w14:paraId="34BF42AA" w14:textId="77777777" w:rsidR="00CA4403" w:rsidRPr="007F7FE1" w:rsidRDefault="00CA4403" w:rsidP="003E385A">
      <w:pPr>
        <w:tabs>
          <w:tab w:val="left" w:pos="3544"/>
        </w:tabs>
      </w:pPr>
      <w:r w:rsidRPr="007F7FE1">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7F7FE1">
        <w:rPr>
          <w:spacing w:val="-35"/>
        </w:rPr>
        <w:t>o</w:t>
      </w:r>
      <w:r w:rsidRPr="007F7FE1">
        <w:t>euvre pour satisfaire les besoins d'interface et pour assurer une utilisation optimale du spectre et de l'orbite.</w:t>
      </w:r>
    </w:p>
    <w:p w14:paraId="286D388B" w14:textId="77777777" w:rsidR="00CA4403" w:rsidRPr="007F7FE1" w:rsidRDefault="00CA4403" w:rsidP="003E385A">
      <w:pPr>
        <w:pStyle w:val="Headingb"/>
        <w:rPr>
          <w:bCs/>
          <w:i/>
          <w:iCs/>
        </w:rPr>
      </w:pPr>
      <w:r w:rsidRPr="007F7FE1">
        <w:rPr>
          <w:bCs/>
          <w:i/>
          <w:iCs/>
        </w:rPr>
        <w:t>Principe 5</w:t>
      </w:r>
    </w:p>
    <w:p w14:paraId="011EFC99" w14:textId="77777777" w:rsidR="00CA4403" w:rsidRPr="007F7FE1" w:rsidRDefault="00CA4403" w:rsidP="003E385A">
      <w:r w:rsidRPr="007F7FE1">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p>
    <w:p w14:paraId="1CCD33BB" w14:textId="77777777" w:rsidR="00CA4403" w:rsidRPr="007F7FE1" w:rsidRDefault="00CA4403" w:rsidP="003E385A">
      <w:pPr>
        <w:pStyle w:val="Headingb"/>
        <w:rPr>
          <w:bCs/>
          <w:i/>
          <w:iCs/>
        </w:rPr>
      </w:pPr>
      <w:r w:rsidRPr="007F7FE1">
        <w:rPr>
          <w:bCs/>
          <w:i/>
          <w:iCs/>
        </w:rPr>
        <w:t>Principe 6</w:t>
      </w:r>
    </w:p>
    <w:p w14:paraId="07463E9E" w14:textId="003EFAF0" w:rsidR="00CA4403" w:rsidRPr="007F7FE1" w:rsidRDefault="00CA4403" w:rsidP="003E385A">
      <w:pPr>
        <w:rPr>
          <w:b/>
          <w:bCs/>
        </w:rPr>
      </w:pPr>
      <w:r w:rsidRPr="007F7FE1">
        <w:rPr>
          <w:b/>
          <w:bCs/>
        </w:rPr>
        <w:t>Les études d'un Secteur doivent compléter celles de l'autre Secteur lorsqu'une tâche relève des domaines de compétence des deux Secteurs (qui devront peut</w:t>
      </w:r>
      <w:r w:rsidRPr="007F7FE1">
        <w:rPr>
          <w:b/>
          <w:bCs/>
        </w:rPr>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w:t>
      </w:r>
      <w:r w:rsidR="00546084" w:rsidRPr="007F7FE1">
        <w:rPr>
          <w:b/>
          <w:bCs/>
        </w:rPr>
        <w:t xml:space="preserve">commission </w:t>
      </w:r>
      <w:r w:rsidRPr="007F7FE1">
        <w:rPr>
          <w:b/>
          <w:bCs/>
        </w:rPr>
        <w:t>d'études) pourra, de sa propre initiative, ou en réponse à une demande, donner des indications sur les possibilités offertes par telle ou telle technologie en termes de «caractéristiques réalisables/types».</w:t>
      </w:r>
    </w:p>
    <w:p w14:paraId="2CDCDC6C" w14:textId="77777777" w:rsidR="00CA4403" w:rsidRPr="007F7FE1" w:rsidRDefault="00CA4403" w:rsidP="003E385A">
      <w:r w:rsidRPr="007F7FE1">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14:paraId="3000F317" w14:textId="77777777" w:rsidR="00CA4403" w:rsidRPr="007F7FE1" w:rsidRDefault="00CA4403" w:rsidP="003E385A">
      <w:pPr>
        <w:pStyle w:val="Heading1"/>
      </w:pPr>
      <w:bookmarkStart w:id="8" w:name="_Toc180533342"/>
      <w:r w:rsidRPr="007F7FE1">
        <w:t>3</w:t>
      </w:r>
      <w:r w:rsidRPr="007F7FE1">
        <w:tab/>
        <w:t>Coordination des nouvelles Questions</w:t>
      </w:r>
      <w:bookmarkEnd w:id="8"/>
    </w:p>
    <w:p w14:paraId="2F7A7F01" w14:textId="77777777" w:rsidR="00CA4403" w:rsidRPr="007F7FE1" w:rsidRDefault="00CA4403" w:rsidP="003E385A">
      <w:pPr>
        <w:tabs>
          <w:tab w:val="left" w:pos="3544"/>
        </w:tabs>
      </w:pPr>
      <w:r w:rsidRPr="007F7FE1">
        <w:t>Il est nécessaire de coordonner les nouvelles Questions. À cet égard, il est indispensable de maintenir un bon rythme de travail et une qualité satisfaisante des résultats obtenus et d'éviter tout retard dans le déroulement des travaux en cours.</w:t>
      </w:r>
    </w:p>
    <w:p w14:paraId="096709B1" w14:textId="77777777" w:rsidR="00CA4403" w:rsidRPr="007F7FE1" w:rsidRDefault="00CA4403" w:rsidP="003E385A">
      <w:pPr>
        <w:pStyle w:val="Headingb"/>
        <w:rPr>
          <w:bCs/>
          <w:i/>
          <w:iCs/>
        </w:rPr>
      </w:pPr>
      <w:bookmarkStart w:id="9" w:name="_Toc180533343"/>
      <w:r w:rsidRPr="007F7FE1">
        <w:rPr>
          <w:bCs/>
          <w:i/>
          <w:iCs/>
        </w:rPr>
        <w:lastRenderedPageBreak/>
        <w:t>Principe 7</w:t>
      </w:r>
      <w:bookmarkEnd w:id="9"/>
    </w:p>
    <w:p w14:paraId="50EB8F99" w14:textId="77777777" w:rsidR="00CA4403" w:rsidRPr="007F7FE1" w:rsidRDefault="00CA4403" w:rsidP="003E385A">
      <w:pPr>
        <w:tabs>
          <w:tab w:val="left" w:pos="3544"/>
        </w:tabs>
        <w:rPr>
          <w:b/>
        </w:rPr>
      </w:pPr>
      <w:r w:rsidRPr="007F7FE1">
        <w:rPr>
          <w:b/>
        </w:rPr>
        <w:t>Les travaux de normalisation devraient se poursuivre dans l'un et l'autre Secteur tandis que des dispositions appropriées seront prises pour maintenir le rythme de travail et la qualité des résultats obtenus.</w:t>
      </w:r>
    </w:p>
    <w:p w14:paraId="77F0BCEE" w14:textId="77777777" w:rsidR="00CA4403" w:rsidRPr="007F7FE1" w:rsidRDefault="00CA4403" w:rsidP="003E385A">
      <w:pPr>
        <w:tabs>
          <w:tab w:val="left" w:pos="3544"/>
        </w:tabs>
      </w:pPr>
      <w:r w:rsidRPr="007F7FE1">
        <w:t>La coordination des Questions devrait être suivie et réexaminée par les Groupes consultatifs afin de produire, dans les meilleurs délais et régulièrement, des résultats.</w:t>
      </w:r>
    </w:p>
    <w:p w14:paraId="698CDE9C" w14:textId="77777777" w:rsidR="00CA4403" w:rsidRPr="007F7FE1" w:rsidRDefault="00CA4403" w:rsidP="003E385A">
      <w:pPr>
        <w:tabs>
          <w:tab w:val="left" w:pos="3544"/>
        </w:tabs>
      </w:pPr>
      <w:r w:rsidRPr="007F7FE1">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14:paraId="5C44F317" w14:textId="77777777" w:rsidR="00CA4403" w:rsidRPr="007F7FE1" w:rsidRDefault="00CA4403" w:rsidP="003E385A">
      <w:pPr>
        <w:pStyle w:val="Headingb"/>
        <w:rPr>
          <w:bCs/>
          <w:i/>
          <w:iCs/>
        </w:rPr>
      </w:pPr>
      <w:bookmarkStart w:id="10" w:name="_Toc180533344"/>
      <w:r w:rsidRPr="007F7FE1">
        <w:rPr>
          <w:bCs/>
          <w:i/>
          <w:iCs/>
        </w:rPr>
        <w:t>Principe 8</w:t>
      </w:r>
      <w:bookmarkEnd w:id="10"/>
    </w:p>
    <w:p w14:paraId="5C2EB330" w14:textId="48053349" w:rsidR="00CA4403" w:rsidRPr="007F7FE1" w:rsidRDefault="00CA4403" w:rsidP="003E385A">
      <w:pPr>
        <w:tabs>
          <w:tab w:val="left" w:pos="3544"/>
        </w:tabs>
        <w:rPr>
          <w:b/>
        </w:rPr>
      </w:pPr>
      <w:r w:rsidRPr="007F7FE1">
        <w:rPr>
          <w:b/>
        </w:rPr>
        <w:t xml:space="preserve">Les </w:t>
      </w:r>
      <w:r w:rsidR="00546084" w:rsidRPr="007F7FE1">
        <w:rPr>
          <w:b/>
        </w:rPr>
        <w:t xml:space="preserve">commissions </w:t>
      </w:r>
      <w:r w:rsidRPr="007F7FE1">
        <w:rPr>
          <w:b/>
        </w:rPr>
        <w:t>d'études devraient rester efficaces et compétentes dans un environnement privilégiant les tâches.</w:t>
      </w:r>
    </w:p>
    <w:p w14:paraId="069D1F9E" w14:textId="6D0C2A59" w:rsidR="00CA4403" w:rsidRPr="007F7FE1" w:rsidRDefault="00CA4403" w:rsidP="003E385A">
      <w:pPr>
        <w:tabs>
          <w:tab w:val="left" w:pos="3544"/>
        </w:tabs>
      </w:pPr>
      <w:r w:rsidRPr="007F7FE1">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w:t>
      </w:r>
      <w:r w:rsidR="00546084" w:rsidRPr="007F7FE1">
        <w:t xml:space="preserve">commissions </w:t>
      </w:r>
      <w:r w:rsidRPr="007F7FE1">
        <w:t xml:space="preserve">d'études concernées et limiter le domaine d'action du Groupe chargé du projet, tout en se conformant aux directives du § 3 du </w:t>
      </w:r>
      <w:r w:rsidRPr="007F7FE1">
        <w:rPr>
          <w:i/>
          <w:iCs/>
        </w:rPr>
        <w:t>décide</w:t>
      </w:r>
      <w:r w:rsidRPr="007F7FE1">
        <w:t xml:space="preserve">, de façon à garantir la compatibilité et la cohérence entre plusieurs applications. Les Recommandations de ces Groupes spéciaux doivent, en tout état de cause, être approuvées par la </w:t>
      </w:r>
      <w:r w:rsidR="00546084" w:rsidRPr="007F7FE1">
        <w:t xml:space="preserve">commission </w:t>
      </w:r>
      <w:r w:rsidRPr="007F7FE1">
        <w:t>d'études concernée avant d'être soumises aux Membres de l'UIT pour approbation.</w:t>
      </w:r>
    </w:p>
    <w:p w14:paraId="3094F229" w14:textId="77777777" w:rsidR="00CA4403" w:rsidRPr="007F7FE1" w:rsidRDefault="00CA4403" w:rsidP="003E385A">
      <w:pPr>
        <w:pStyle w:val="AnnexNo"/>
      </w:pPr>
      <w:r w:rsidRPr="007F7FE1">
        <w:t>Annexe 2</w:t>
      </w:r>
    </w:p>
    <w:p w14:paraId="5D1AD314" w14:textId="77777777" w:rsidR="00CA4403" w:rsidRPr="007F7FE1" w:rsidRDefault="00CA4403" w:rsidP="003E385A">
      <w:pPr>
        <w:pStyle w:val="Annextitle"/>
      </w:pPr>
      <w:r w:rsidRPr="007F7FE1">
        <w:t>Procédure de coopération</w:t>
      </w:r>
    </w:p>
    <w:p w14:paraId="69208B57" w14:textId="77777777" w:rsidR="00CA4403" w:rsidRPr="007F7FE1" w:rsidRDefault="00CA4403" w:rsidP="003E385A">
      <w:pPr>
        <w:pStyle w:val="Normalaftertitle0"/>
        <w:tabs>
          <w:tab w:val="left" w:pos="3544"/>
        </w:tabs>
      </w:pPr>
      <w:r w:rsidRPr="007F7FE1">
        <w:t xml:space="preserve">En ce qui concerne le point </w:t>
      </w:r>
      <w:r w:rsidRPr="007F7FE1">
        <w:rPr>
          <w:i/>
          <w:iCs/>
        </w:rPr>
        <w:t>a)</w:t>
      </w:r>
      <w:r w:rsidRPr="007F7FE1">
        <w:t xml:space="preserve"> du § 3 du </w:t>
      </w:r>
      <w:r w:rsidRPr="007F7FE1">
        <w:rPr>
          <w:i/>
          <w:iCs/>
        </w:rPr>
        <w:t>décide</w:t>
      </w:r>
      <w:r w:rsidRPr="007F7FE1">
        <w:t>, il convient d'appliquer la procédure suivante:</w:t>
      </w:r>
    </w:p>
    <w:p w14:paraId="208E8A15" w14:textId="77777777" w:rsidR="00CA4403" w:rsidRPr="007F7FE1" w:rsidRDefault="00CA4403" w:rsidP="003E385A">
      <w:pPr>
        <w:tabs>
          <w:tab w:val="left" w:pos="3544"/>
        </w:tabs>
      </w:pPr>
      <w:r w:rsidRPr="007F7FE1">
        <w:rPr>
          <w:i/>
          <w:iCs/>
        </w:rPr>
        <w:t>a)</w:t>
      </w:r>
      <w:r w:rsidRPr="007F7FE1">
        <w:tab/>
        <w:t>le Groupe consultatif de la normalisation des télécommunications et le Groupe consultatif des radiocommunications peuvent désigner conjointement le Secteur qui sera responsable des travaux et approuvera en dernier ressort le projet à réaliser;</w:t>
      </w:r>
    </w:p>
    <w:p w14:paraId="17541CAD" w14:textId="77777777" w:rsidR="00CA4403" w:rsidRPr="007F7FE1" w:rsidRDefault="00CA4403" w:rsidP="003E385A">
      <w:pPr>
        <w:tabs>
          <w:tab w:val="left" w:pos="3544"/>
        </w:tabs>
      </w:pPr>
      <w:r w:rsidRPr="007F7FE1">
        <w:rPr>
          <w:i/>
          <w:iCs/>
        </w:rPr>
        <w:t>b)</w:t>
      </w:r>
      <w:r w:rsidRPr="007F7FE1">
        <w:tab/>
        <w:t>le Secteur responsable demandera à l'autre Secteur d'indiquer les conditions qu'il juge essentiel d'intégrer dans le résultat à obtenir;</w:t>
      </w:r>
    </w:p>
    <w:p w14:paraId="10DCD28C" w14:textId="77777777" w:rsidR="00CA4403" w:rsidRPr="007F7FE1" w:rsidRDefault="00CA4403" w:rsidP="003E385A">
      <w:pPr>
        <w:tabs>
          <w:tab w:val="left" w:pos="3544"/>
        </w:tabs>
      </w:pPr>
      <w:r w:rsidRPr="007F7FE1">
        <w:rPr>
          <w:i/>
          <w:iCs/>
        </w:rPr>
        <w:t>c)</w:t>
      </w:r>
      <w:r w:rsidRPr="007F7FE1">
        <w:tab/>
        <w:t>le Secteur responsable fondera ses travaux sur ces conditions essentielles et les intégrera dans le résultat à obtenir;</w:t>
      </w:r>
    </w:p>
    <w:p w14:paraId="0285F318" w14:textId="77777777" w:rsidR="00CA4403" w:rsidRPr="007F7FE1" w:rsidRDefault="00CA4403" w:rsidP="003E385A">
      <w:pPr>
        <w:tabs>
          <w:tab w:val="left" w:pos="3544"/>
        </w:tabs>
      </w:pPr>
      <w:r w:rsidRPr="007F7FE1">
        <w:rPr>
          <w:i/>
          <w:iCs/>
        </w:rPr>
        <w:t>d)</w:t>
      </w:r>
      <w:r w:rsidRPr="007F7FE1">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14:paraId="67CB95F7" w14:textId="77777777" w:rsidR="00CA4403" w:rsidRPr="007F7FE1" w:rsidRDefault="00CA4403" w:rsidP="003E385A">
      <w:pPr>
        <w:tabs>
          <w:tab w:val="left" w:pos="3544"/>
        </w:tabs>
      </w:pPr>
      <w:r w:rsidRPr="007F7FE1">
        <w:rPr>
          <w:i/>
          <w:iCs/>
        </w:rPr>
        <w:t>e)</w:t>
      </w:r>
      <w:r w:rsidRPr="007F7FE1">
        <w:tab/>
        <w:t>lorsque le résultat à obtenir sera pratiquement atteint, le Secteur responsable s'efforcera à nouveau d'obtenir le point de vue de l'autre Secteur.</w:t>
      </w:r>
    </w:p>
    <w:p w14:paraId="0845120F" w14:textId="77777777" w:rsidR="00CA4403" w:rsidRPr="007F7FE1" w:rsidRDefault="00CA4403" w:rsidP="003E385A">
      <w:pPr>
        <w:tabs>
          <w:tab w:val="left" w:pos="3544"/>
        </w:tabs>
      </w:pPr>
      <w:r w:rsidRPr="007F7FE1">
        <w:t>Afin de déterminer la responsabilité des travaux, il pourra être approprié, pour faire avancer les travaux, de faire appel aux compétences des deux Secteurs.</w:t>
      </w:r>
    </w:p>
    <w:p w14:paraId="5CD26E16" w14:textId="77777777" w:rsidR="00CA4403" w:rsidRPr="007F7FE1" w:rsidRDefault="00CA4403" w:rsidP="003E385A">
      <w:pPr>
        <w:pStyle w:val="AnnexNo"/>
      </w:pPr>
      <w:r w:rsidRPr="007F7FE1">
        <w:lastRenderedPageBreak/>
        <w:t>Annexe 3</w:t>
      </w:r>
    </w:p>
    <w:p w14:paraId="0FD63B61" w14:textId="77777777" w:rsidR="00CA4403" w:rsidRPr="007F7FE1" w:rsidRDefault="00CA4403" w:rsidP="003E385A">
      <w:pPr>
        <w:pStyle w:val="Annextitle"/>
      </w:pPr>
      <w:r w:rsidRPr="007F7FE1">
        <w:t xml:space="preserve">Coordination des activités du Secteur des radiocommunications et du Secteur </w:t>
      </w:r>
      <w:r w:rsidRPr="007F7FE1">
        <w:br/>
        <w:t xml:space="preserve">de la normalisation des télécommunications par l'intermédiaire </w:t>
      </w:r>
      <w:r w:rsidRPr="007F7FE1">
        <w:br/>
        <w:t>de Groupes de coordination intersectorielle</w:t>
      </w:r>
    </w:p>
    <w:p w14:paraId="28B0B59B" w14:textId="293D67BE" w:rsidR="00CA4403" w:rsidRPr="007F7FE1" w:rsidRDefault="00CA4403" w:rsidP="003E385A">
      <w:pPr>
        <w:pStyle w:val="Normalaftertitle"/>
      </w:pPr>
      <w:r w:rsidRPr="007F7FE1">
        <w:t>En ce qui concerne le</w:t>
      </w:r>
      <w:r w:rsidRPr="007F7FE1">
        <w:rPr>
          <w:i/>
        </w:rPr>
        <w:t xml:space="preserve"> </w:t>
      </w:r>
      <w:r w:rsidRPr="007F7FE1">
        <w:rPr>
          <w:iCs/>
        </w:rPr>
        <w:t xml:space="preserve">§ </w:t>
      </w:r>
      <w:r w:rsidRPr="007F7FE1">
        <w:t>3</w:t>
      </w:r>
      <w:r w:rsidRPr="007F7FE1">
        <w:rPr>
          <w:i/>
          <w:iCs/>
        </w:rPr>
        <w:t>c)</w:t>
      </w:r>
      <w:r w:rsidRPr="007F7FE1">
        <w:t xml:space="preserve"> du </w:t>
      </w:r>
      <w:r w:rsidRPr="007F7FE1">
        <w:rPr>
          <w:iCs/>
        </w:rPr>
        <w:t>dispositif</w:t>
      </w:r>
      <w:r w:rsidRPr="007F7FE1">
        <w:t>, la procédure ci-après sera appliquée lorsque deux ou plusieurs commissions d'études des deux Secteurs de l'UIT examinent les mêmes aspects d'une question technique donnée:</w:t>
      </w:r>
    </w:p>
    <w:p w14:paraId="1E33CC15" w14:textId="47E3C11C" w:rsidR="00CA4403" w:rsidRPr="007F7FE1" w:rsidRDefault="00CA4403" w:rsidP="003E385A">
      <w:pPr>
        <w:tabs>
          <w:tab w:val="left" w:pos="3544"/>
        </w:tabs>
      </w:pPr>
      <w:r w:rsidRPr="007F7FE1">
        <w:rPr>
          <w:i/>
          <w:iCs/>
        </w:rPr>
        <w:t>a)</w:t>
      </w:r>
      <w:r w:rsidRPr="007F7FE1">
        <w:tab/>
        <w:t xml:space="preserve">la réunion commune des Groupes consultatifs dont il est question au point 1 du </w:t>
      </w:r>
      <w:r w:rsidRPr="007F7FE1">
        <w:rPr>
          <w:i/>
          <w:iCs/>
        </w:rPr>
        <w:t>décide</w:t>
      </w:r>
      <w:r w:rsidRPr="007F7FE1">
        <w:t xml:space="preserve"> peut, dans des cas exceptionnels, constituer un Groupe de coordination intersectorielle (GCI) chargé de coordonner les travaux des deux Secteurs et d'aider les Groupes consultatifs à coordonner les activités pertinentes de leurs </w:t>
      </w:r>
      <w:r w:rsidR="00546084" w:rsidRPr="007F7FE1">
        <w:t xml:space="preserve">commissions </w:t>
      </w:r>
      <w:r w:rsidRPr="007F7FE1">
        <w:t>d'études respectives;</w:t>
      </w:r>
    </w:p>
    <w:p w14:paraId="44291420" w14:textId="77777777" w:rsidR="00CA4403" w:rsidRPr="007F7FE1" w:rsidRDefault="00CA4403" w:rsidP="003E385A">
      <w:pPr>
        <w:tabs>
          <w:tab w:val="left" w:pos="3544"/>
        </w:tabs>
      </w:pPr>
      <w:r w:rsidRPr="007F7FE1">
        <w:rPr>
          <w:i/>
          <w:iCs/>
        </w:rPr>
        <w:t>b)</w:t>
      </w:r>
      <w:r w:rsidRPr="007F7FE1">
        <w:tab/>
        <w:t>la réunion commune désignera en même temps le Secteur qui sera responsable des travaux;</w:t>
      </w:r>
    </w:p>
    <w:p w14:paraId="76F5E8F0" w14:textId="77777777" w:rsidR="00CA4403" w:rsidRPr="007F7FE1" w:rsidRDefault="00CA4403" w:rsidP="003E385A">
      <w:pPr>
        <w:tabs>
          <w:tab w:val="left" w:pos="3544"/>
        </w:tabs>
      </w:pPr>
      <w:r w:rsidRPr="007F7FE1">
        <w:rPr>
          <w:i/>
          <w:iCs/>
        </w:rPr>
        <w:t>c)</w:t>
      </w:r>
      <w:r w:rsidRPr="007F7FE1">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14:paraId="52F62CCF" w14:textId="77777777" w:rsidR="00CA4403" w:rsidRPr="007F7FE1" w:rsidRDefault="00CA4403" w:rsidP="003E385A">
      <w:pPr>
        <w:tabs>
          <w:tab w:val="left" w:pos="3544"/>
        </w:tabs>
      </w:pPr>
      <w:r w:rsidRPr="007F7FE1">
        <w:rPr>
          <w:i/>
          <w:iCs/>
        </w:rPr>
        <w:t>d)</w:t>
      </w:r>
      <w:r w:rsidRPr="007F7FE1">
        <w:tab/>
        <w:t>le GCI désignera un(e) Président(e) et un(e) Vice-Président(e), représentant chaque Secteur;</w:t>
      </w:r>
    </w:p>
    <w:p w14:paraId="4921D126" w14:textId="77777777" w:rsidR="00CA4403" w:rsidRPr="007F7FE1" w:rsidRDefault="00CA4403" w:rsidP="003E385A">
      <w:pPr>
        <w:tabs>
          <w:tab w:val="left" w:pos="3544"/>
        </w:tabs>
      </w:pPr>
      <w:r w:rsidRPr="007F7FE1">
        <w:rPr>
          <w:i/>
          <w:iCs/>
        </w:rPr>
        <w:t>e)</w:t>
      </w:r>
      <w:r w:rsidRPr="007F7FE1">
        <w:tab/>
        <w:t>le GCI sera ouvert aux Membres des deux Secteurs conformément aux numéros 86 à 88 et 110 à 112 de la Constitution;</w:t>
      </w:r>
    </w:p>
    <w:p w14:paraId="31617160" w14:textId="77777777" w:rsidR="00CA4403" w:rsidRPr="007F7FE1" w:rsidRDefault="00CA4403" w:rsidP="003E385A">
      <w:pPr>
        <w:tabs>
          <w:tab w:val="left" w:pos="3544"/>
        </w:tabs>
      </w:pPr>
      <w:r w:rsidRPr="007F7FE1">
        <w:rPr>
          <w:i/>
          <w:iCs/>
        </w:rPr>
        <w:t>f)</w:t>
      </w:r>
      <w:r w:rsidRPr="007F7FE1">
        <w:tab/>
        <w:t>le GCI n'élaborera pas de Recommandations;</w:t>
      </w:r>
    </w:p>
    <w:p w14:paraId="02475029" w14:textId="77777777" w:rsidR="00CA4403" w:rsidRPr="007F7FE1" w:rsidRDefault="00CA4403" w:rsidP="003E385A">
      <w:pPr>
        <w:tabs>
          <w:tab w:val="left" w:pos="3544"/>
        </w:tabs>
      </w:pPr>
      <w:r w:rsidRPr="007F7FE1">
        <w:rPr>
          <w:i/>
          <w:iCs/>
        </w:rPr>
        <w:t>g)</w:t>
      </w:r>
      <w:r w:rsidRPr="007F7FE1">
        <w:tab/>
        <w:t>le GCI établira des rapports sur ses activités de coordination qui seront soumis au Groupe consultatif de chaque Secteur; ces rapports seront soumis par les Directeurs aux deux Secteurs;</w:t>
      </w:r>
    </w:p>
    <w:p w14:paraId="04DAF809" w14:textId="77777777" w:rsidR="00CA4403" w:rsidRPr="007F7FE1" w:rsidRDefault="00CA4403" w:rsidP="003E385A">
      <w:pPr>
        <w:tabs>
          <w:tab w:val="left" w:pos="3544"/>
        </w:tabs>
      </w:pPr>
      <w:r w:rsidRPr="007F7FE1">
        <w:rPr>
          <w:i/>
          <w:iCs/>
        </w:rPr>
        <w:t>h)</w:t>
      </w:r>
      <w:r w:rsidRPr="007F7FE1">
        <w:tab/>
        <w:t>un GCI pourra aussi être constitué par l'Assemblée des radiocommunications ou par l'Assemblée mondiale de normalisation des télécommunications ou sur recommandation du Groupe consultatif de l'autre Secteur;</w:t>
      </w:r>
    </w:p>
    <w:p w14:paraId="5F6A1B28" w14:textId="77777777" w:rsidR="00CA4403" w:rsidRPr="007F7FE1" w:rsidRDefault="00CA4403" w:rsidP="003E385A">
      <w:r w:rsidRPr="007F7FE1">
        <w:rPr>
          <w:i/>
          <w:iCs/>
        </w:rPr>
        <w:t>i)</w:t>
      </w:r>
      <w:r w:rsidRPr="007F7FE1">
        <w:tab/>
        <w:t>les deux Secteurs assumeront à égalité les coûts afférents à un GCI et chaque Directeur inscrira au budget de son Secteur les crédits nécessaires à ces réunions.</w:t>
      </w:r>
    </w:p>
    <w:p w14:paraId="230A941F" w14:textId="77777777" w:rsidR="00CA4403" w:rsidRPr="007F7FE1" w:rsidRDefault="00CA4403" w:rsidP="003E385A">
      <w:pPr>
        <w:pStyle w:val="AnnexNo"/>
      </w:pPr>
      <w:r w:rsidRPr="007F7FE1">
        <w:t>Annexe 4</w:t>
      </w:r>
    </w:p>
    <w:p w14:paraId="67E12C9F" w14:textId="77777777" w:rsidR="00CA4403" w:rsidRPr="007F7FE1" w:rsidRDefault="00CA4403" w:rsidP="003E385A">
      <w:pPr>
        <w:pStyle w:val="Annextitle"/>
      </w:pPr>
      <w:r w:rsidRPr="007F7FE1">
        <w:t xml:space="preserve">Coordination des activités du Secteur des radiocommunications et du Secteur </w:t>
      </w:r>
      <w:r w:rsidRPr="007F7FE1">
        <w:br/>
        <w:t xml:space="preserve">de la normalisation des télécommunications par l'intermédiaire </w:t>
      </w:r>
      <w:r w:rsidRPr="007F7FE1">
        <w:br/>
        <w:t>de Groupes du Rapporteur intersectoriels</w:t>
      </w:r>
    </w:p>
    <w:p w14:paraId="4479B4EA" w14:textId="261FB3B2" w:rsidR="00CA4403" w:rsidRPr="007F7FE1" w:rsidRDefault="00CA4403" w:rsidP="003E385A">
      <w:pPr>
        <w:pStyle w:val="Normalaftertitle"/>
      </w:pPr>
      <w:r w:rsidRPr="007F7FE1">
        <w:t>En ce qui concerne le point 3</w:t>
      </w:r>
      <w:r w:rsidRPr="007F7FE1">
        <w:rPr>
          <w:i/>
          <w:iCs/>
        </w:rPr>
        <w:t>c)</w:t>
      </w:r>
      <w:r w:rsidRPr="007F7FE1">
        <w:t xml:space="preserve"> du </w:t>
      </w:r>
      <w:r w:rsidRPr="007F7FE1">
        <w:rPr>
          <w:i/>
          <w:iCs/>
        </w:rPr>
        <w:t>décide</w:t>
      </w:r>
      <w:r w:rsidRPr="007F7FE1">
        <w:t>,</w:t>
      </w:r>
      <w:r w:rsidRPr="007F7FE1">
        <w:rPr>
          <w:i/>
          <w:iCs/>
        </w:rPr>
        <w:t xml:space="preserve"> </w:t>
      </w:r>
      <w:r w:rsidRPr="007F7FE1">
        <w:t>la procédure suivante s'appliquera lorsque la méthode de travail la mieux adaptée pour traiter tel ou tel sujet consiste à réunir des experts techniques des commissions d'études ou des groupes de travail concernés des deux Secteurs de l'UIT pour coopérer, entre homologues, dans le cadre d'un groupe technique:</w:t>
      </w:r>
    </w:p>
    <w:p w14:paraId="0C1E5718" w14:textId="77777777" w:rsidR="00CA4403" w:rsidRPr="007F7FE1" w:rsidRDefault="00CA4403" w:rsidP="0014065A">
      <w:pPr>
        <w:keepNext/>
        <w:keepLines/>
      </w:pPr>
      <w:r w:rsidRPr="007F7FE1">
        <w:rPr>
          <w:i/>
          <w:iCs/>
        </w:rPr>
        <w:lastRenderedPageBreak/>
        <w:t>a)</w:t>
      </w:r>
      <w:r w:rsidRPr="007F7FE1">
        <w:tab/>
        <w:t>les commissions d'études ou les groupes de travail concernés des deux Secteurs peuvent, dans certains cas, décider, après s'être consultés mutuellement, de constituer un Groupe du Rapporteur intersectoriel (GRI) chargé de coordonner les travaux de leurs commissions d'études ou de leurs groupes de travail sur une question technique particulière, en informant le GCNT et le GCR de cette décision par le biais d'une note de liaison;</w:t>
      </w:r>
    </w:p>
    <w:p w14:paraId="02FFDE48" w14:textId="77777777" w:rsidR="00CA4403" w:rsidRPr="007F7FE1" w:rsidRDefault="00CA4403" w:rsidP="003E385A">
      <w:r w:rsidRPr="007F7FE1">
        <w:rPr>
          <w:i/>
          <w:iCs/>
        </w:rPr>
        <w:t>b)</w:t>
      </w:r>
      <w:r w:rsidRPr="007F7FE1">
        <w:tab/>
        <w:t>les commissions d'études ou les groupes de travail concernés des deux Secteurs conviennent, parallèlement, d'un mandat clairement défini pour le GRI et fixent une date limite pour l'achèvement des travaux et la dissolution du GRI;</w:t>
      </w:r>
    </w:p>
    <w:p w14:paraId="2CFF2A3A" w14:textId="77777777" w:rsidR="00CA4403" w:rsidRPr="007F7FE1" w:rsidRDefault="00CA4403" w:rsidP="003E385A">
      <w:r w:rsidRPr="007F7FE1">
        <w:rPr>
          <w:i/>
          <w:iCs/>
        </w:rPr>
        <w:t>c)</w:t>
      </w:r>
      <w:r w:rsidRPr="007F7FE1">
        <w:tab/>
        <w:t>les commissions d'études ou les groupes de travail concernés des deux Secteurs désignent également le Président (ou les Coprésidents) du GRI, en tenant compte des compétences spécifiques demandées et en assurant une représentation équitable de toutes les commissions d'études ou de tous les groupes de travail concernés dans chaque Secteur;</w:t>
      </w:r>
    </w:p>
    <w:p w14:paraId="5403C425" w14:textId="77777777" w:rsidR="00CA4403" w:rsidRPr="007F7FE1" w:rsidRDefault="00CA4403" w:rsidP="003E385A">
      <w:r w:rsidRPr="007F7FE1">
        <w:rPr>
          <w:i/>
          <w:iCs/>
        </w:rPr>
        <w:t>d)</w:t>
      </w:r>
      <w:r w:rsidRPr="007F7FE1">
        <w:tab/>
        <w:t>le GRI étant un Groupe du Rapporteur, ses activités sont régies par les dispositions de la Résolution UIT-R 1 et de la Recommandation UIT-T A.1 applicables à ces Groupes; la participation est limitée aux Membres de l'UIT-T et de l'UIT-R;</w:t>
      </w:r>
    </w:p>
    <w:p w14:paraId="2F889E74" w14:textId="77777777" w:rsidR="00CA4403" w:rsidRPr="007F7FE1" w:rsidRDefault="00CA4403" w:rsidP="003E385A">
      <w:r w:rsidRPr="007F7FE1">
        <w:rPr>
          <w:i/>
          <w:iCs/>
        </w:rPr>
        <w:t>e)</w:t>
      </w:r>
      <w:r w:rsidRPr="007F7FE1">
        <w:tab/>
        <w:t>dans l'exercice de son mandat, le GRI peut élaborer des projets de Recommandation nouvelle ou révisée ainsi que des projets de rapport nouveau ou révisé, qu'il soumettra à ses commissions d'études ou groupes de travail de rattachement, en vue de leur traitement ultérieur, si besoin est;</w:t>
      </w:r>
    </w:p>
    <w:p w14:paraId="273387E8" w14:textId="77777777" w:rsidR="00CA4403" w:rsidRPr="007F7FE1" w:rsidRDefault="00CA4403" w:rsidP="003E385A">
      <w:r w:rsidRPr="007F7FE1">
        <w:rPr>
          <w:i/>
          <w:iCs/>
        </w:rPr>
        <w:t>f)</w:t>
      </w:r>
      <w:r w:rsidRPr="007F7FE1">
        <w:tab/>
        <w:t>les résultats des travaux du GRI devraient représenter le consensus auquel le Groupe est parvenu ou rendre compte de la diversité des points de vue des participants à ses travaux;</w:t>
      </w:r>
    </w:p>
    <w:p w14:paraId="7EF198DB" w14:textId="77777777" w:rsidR="00CA4403" w:rsidRPr="007F7FE1" w:rsidRDefault="00CA4403" w:rsidP="003E385A">
      <w:r w:rsidRPr="007F7FE1">
        <w:rPr>
          <w:i/>
          <w:iCs/>
        </w:rPr>
        <w:t>g)</w:t>
      </w:r>
      <w:r w:rsidRPr="007F7FE1">
        <w:tab/>
        <w:t>le GRI élabore également des rapports sur ses activités, qui sont soumis à chaque réunion de ses commissions d'études ou groupes de travail de rattachement;</w:t>
      </w:r>
    </w:p>
    <w:p w14:paraId="15821800" w14:textId="77777777" w:rsidR="00CA4403" w:rsidRPr="007F7FE1" w:rsidRDefault="00CA4403" w:rsidP="003E385A">
      <w:r w:rsidRPr="007F7FE1">
        <w:rPr>
          <w:i/>
          <w:iCs/>
        </w:rPr>
        <w:t>h)</w:t>
      </w:r>
      <w:r w:rsidRPr="007F7FE1">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14:paraId="34B10AE0" w14:textId="223A6B2A" w:rsidR="003261B8" w:rsidRPr="007F7FE1" w:rsidRDefault="003261B8" w:rsidP="0014065A">
      <w:pPr>
        <w:pStyle w:val="Headingb"/>
        <w:spacing w:before="240"/>
        <w:rPr>
          <w:szCs w:val="28"/>
        </w:rPr>
      </w:pPr>
      <w:r w:rsidRPr="007F7FE1">
        <w:rPr>
          <w:bCs/>
          <w:caps/>
          <w:szCs w:val="28"/>
        </w:rPr>
        <w:t>SUP</w:t>
      </w:r>
      <w:r w:rsidRPr="007F7FE1">
        <w:rPr>
          <w:caps/>
          <w:szCs w:val="28"/>
        </w:rPr>
        <w:tab/>
      </w:r>
      <w:r w:rsidRPr="007F7FE1">
        <w:t>RÉSOLUTION UIT-R 6-3</w:t>
      </w:r>
    </w:p>
    <w:p w14:paraId="06FB0A25" w14:textId="2F171E50" w:rsidR="003261B8" w:rsidRPr="007F7FE1" w:rsidRDefault="003261B8" w:rsidP="0014065A">
      <w:r w:rsidRPr="007F7FE1">
        <w:t>«Liaison et collaboration avec le Secteur de la normalisation des télécommunications de l'UIT»</w:t>
      </w:r>
    </w:p>
    <w:p w14:paraId="6F75928A" w14:textId="272E8D79" w:rsidR="003261B8" w:rsidRPr="007F7FE1" w:rsidRDefault="003261B8" w:rsidP="003E385A">
      <w:pPr>
        <w:pStyle w:val="Headingb"/>
      </w:pPr>
      <w:r w:rsidRPr="007F7FE1">
        <w:rPr>
          <w:bCs/>
        </w:rPr>
        <w:t>SUP</w:t>
      </w:r>
      <w:r w:rsidRPr="007F7FE1">
        <w:rPr>
          <w:bCs/>
        </w:rPr>
        <w:tab/>
      </w:r>
      <w:r w:rsidRPr="007F7FE1">
        <w:t>RÉSOLUTION UIT-R 7-4</w:t>
      </w:r>
    </w:p>
    <w:p w14:paraId="0C839D5D" w14:textId="5896965D" w:rsidR="003261B8" w:rsidRPr="007F7FE1" w:rsidRDefault="003261B8" w:rsidP="0014065A">
      <w:pPr>
        <w:rPr>
          <w:b/>
        </w:rPr>
      </w:pPr>
      <w:r w:rsidRPr="007F7FE1">
        <w:t>«Développement des télécommunications y compris la liaison et la collaboration avec le Secteur du développement des télécommunications de l'UIT»</w:t>
      </w:r>
    </w:p>
    <w:p w14:paraId="0B7FBDA2" w14:textId="25F1A6C2" w:rsidR="003261B8" w:rsidRPr="007F7FE1" w:rsidRDefault="003261B8" w:rsidP="003E385A">
      <w:pPr>
        <w:pStyle w:val="Headingb"/>
      </w:pPr>
      <w:r w:rsidRPr="007F7FE1">
        <w:rPr>
          <w:bCs/>
        </w:rPr>
        <w:t>SUP</w:t>
      </w:r>
      <w:r w:rsidRPr="007F7FE1">
        <w:rPr>
          <w:bCs/>
        </w:rPr>
        <w:tab/>
      </w:r>
      <w:r w:rsidRPr="007F7FE1">
        <w:t xml:space="preserve">RÉSOLUTION UIT-R </w:t>
      </w:r>
      <w:r w:rsidRPr="007F7FE1">
        <w:rPr>
          <w:lang w:eastAsia="zh-CN"/>
        </w:rPr>
        <w:t>48-3</w:t>
      </w:r>
    </w:p>
    <w:p w14:paraId="54A8FF51" w14:textId="7DF6F9DC" w:rsidR="00CA4403" w:rsidRPr="007F7FE1" w:rsidRDefault="003261B8" w:rsidP="0014065A">
      <w:r w:rsidRPr="007F7FE1">
        <w:t xml:space="preserve">«Renforcement de la présence régionale dans les travaux des </w:t>
      </w:r>
      <w:r w:rsidR="00546084" w:rsidRPr="007F7FE1">
        <w:t xml:space="preserve">commissions </w:t>
      </w:r>
      <w:r w:rsidRPr="007F7FE1">
        <w:t>d'études des radiocommunications».</w:t>
      </w:r>
    </w:p>
    <w:p w14:paraId="06DC66AF" w14:textId="77777777" w:rsidR="0014065A" w:rsidRPr="007F7FE1" w:rsidRDefault="0014065A" w:rsidP="0014065A">
      <w:pPr>
        <w:pStyle w:val="Reasons"/>
        <w:rPr>
          <w:lang w:val="fr-FR"/>
        </w:rPr>
      </w:pPr>
    </w:p>
    <w:p w14:paraId="13DD9BFE" w14:textId="409E36D9" w:rsidR="003261B8" w:rsidRPr="007F7FE1" w:rsidRDefault="003261B8" w:rsidP="003E385A">
      <w:pPr>
        <w:jc w:val="center"/>
      </w:pPr>
      <w:r w:rsidRPr="007F7FE1">
        <w:t>______________</w:t>
      </w:r>
    </w:p>
    <w:sectPr w:rsidR="003261B8" w:rsidRPr="007F7FE1">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DE0F" w14:textId="77777777" w:rsidR="008240E3" w:rsidRDefault="008240E3">
      <w:r>
        <w:separator/>
      </w:r>
    </w:p>
  </w:endnote>
  <w:endnote w:type="continuationSeparator" w:id="0">
    <w:p w14:paraId="327B9206" w14:textId="77777777" w:rsidR="008240E3" w:rsidRDefault="0082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A039" w14:textId="22852EAD"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7F7FE1">
      <w:rPr>
        <w:lang w:val="en-US"/>
      </w:rPr>
      <w:t>P:\FRA\ITU-R\AG\RAG\RAG23\000\062F.docx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F7FE1">
      <w:t>17.04.23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7F7FE1">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6FA9" w14:textId="750C2CF1" w:rsidR="00847AAC" w:rsidRDefault="00283E27" w:rsidP="00987437">
    <w:pPr>
      <w:pStyle w:val="Footer"/>
      <w:rPr>
        <w:lang w:val="en-US"/>
      </w:rPr>
    </w:pPr>
    <w:r>
      <w:fldChar w:fldCharType="begin"/>
    </w:r>
    <w:r w:rsidRPr="002C5AFA">
      <w:rPr>
        <w:lang w:val="en-GB"/>
      </w:rPr>
      <w:instrText xml:space="preserve"> FILENAME \p  \* MERGEFORMAT </w:instrText>
    </w:r>
    <w:r>
      <w:fldChar w:fldCharType="separate"/>
    </w:r>
    <w:r w:rsidR="007F7FE1">
      <w:rPr>
        <w:lang w:val="en-GB"/>
      </w:rPr>
      <w:t>P:\FRA\ITU-R\AG\RAG\RAG23\000\062F.docx</w:t>
    </w:r>
    <w:r>
      <w:fldChar w:fldCharType="end"/>
    </w:r>
    <w:r w:rsidRPr="002C5AFA">
      <w:rPr>
        <w:lang w:val="en-GB"/>
      </w:rPr>
      <w:t xml:space="preserve"> (520809)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8A9D" w14:textId="795A80E6" w:rsidR="00847AAC" w:rsidRDefault="008F78D1" w:rsidP="003261B8">
    <w:pPr>
      <w:pStyle w:val="Footer"/>
      <w:rPr>
        <w:lang w:val="en-US"/>
      </w:rPr>
    </w:pPr>
    <w:r>
      <w:fldChar w:fldCharType="begin"/>
    </w:r>
    <w:r w:rsidRPr="002C5AFA">
      <w:rPr>
        <w:lang w:val="en-GB"/>
      </w:rPr>
      <w:instrText xml:space="preserve"> FILENAME \p  \* MERGEFORMAT </w:instrText>
    </w:r>
    <w:r>
      <w:fldChar w:fldCharType="separate"/>
    </w:r>
    <w:r w:rsidR="007F7FE1">
      <w:rPr>
        <w:lang w:val="en-GB"/>
      </w:rPr>
      <w:t>P:\FRA\ITU-R\AG\RAG\RAG23\000\062F.docx</w:t>
    </w:r>
    <w:r>
      <w:fldChar w:fldCharType="end"/>
    </w:r>
    <w:r w:rsidR="003261B8" w:rsidRPr="002C5AFA">
      <w:rPr>
        <w:lang w:val="en-GB"/>
      </w:rPr>
      <w:t xml:space="preserve"> (520809)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EC84" w14:textId="77777777" w:rsidR="008240E3" w:rsidRDefault="008240E3">
      <w:r>
        <w:t>____________________</w:t>
      </w:r>
    </w:p>
  </w:footnote>
  <w:footnote w:type="continuationSeparator" w:id="0">
    <w:p w14:paraId="6701B8B5" w14:textId="77777777" w:rsidR="008240E3" w:rsidRDefault="008240E3">
      <w:r>
        <w:continuationSeparator/>
      </w:r>
    </w:p>
  </w:footnote>
  <w:footnote w:id="1">
    <w:p w14:paraId="2C25230E" w14:textId="6E0E824B" w:rsidR="00987437" w:rsidRPr="00FF675B" w:rsidRDefault="00987437" w:rsidP="00283E27">
      <w:pPr>
        <w:pStyle w:val="FootnoteText"/>
        <w:pPrChange w:id="4" w:author="French" w:date="2023-04-17T09:30:00Z">
          <w:pPr>
            <w:pStyle w:val="FootnoteText"/>
            <w:spacing w:line="480" w:lineRule="auto"/>
          </w:pPr>
        </w:pPrChange>
      </w:pPr>
      <w:r>
        <w:rPr>
          <w:rStyle w:val="FootnoteReference"/>
        </w:rPr>
        <w:footnoteRef/>
      </w:r>
      <w:r w:rsidRPr="00FF675B">
        <w:tab/>
      </w:r>
      <w:r w:rsidR="00FF675B" w:rsidRPr="00FF675B">
        <w:t>Le présent document a été approuvé dans le cadre du Groupe de travail sur l'AR</w:t>
      </w:r>
      <w:r w:rsidR="00105063">
        <w:t>/</w:t>
      </w:r>
      <w:r w:rsidR="00FF675B" w:rsidRPr="00FF675B">
        <w:t>la CMR de la Commission de la RCC su</w:t>
      </w:r>
      <w:r w:rsidR="00FF675B">
        <w:t>r le spectre des fréquences radioélectriques et les orbites des satellites</w:t>
      </w:r>
      <w:r w:rsidRPr="00FF675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1DE8"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332"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737A4EBF" w14:textId="5755D2DF" w:rsidR="00847AAC" w:rsidRDefault="0097156E" w:rsidP="007711EA">
    <w:pPr>
      <w:pStyle w:val="Header"/>
      <w:rPr>
        <w:lang w:val="es-ES"/>
      </w:rPr>
    </w:pPr>
    <w:r>
      <w:rPr>
        <w:lang w:val="es-ES"/>
      </w:rPr>
      <w:t>RAG</w:t>
    </w:r>
    <w:r w:rsidR="00847AAC">
      <w:rPr>
        <w:lang w:val="es-ES"/>
      </w:rPr>
      <w:t>/</w:t>
    </w:r>
    <w:r w:rsidR="003261B8">
      <w:rPr>
        <w:lang w:val="es-ES"/>
      </w:rPr>
      <w:t>62</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E3"/>
    <w:rsid w:val="000C06D8"/>
    <w:rsid w:val="000F7052"/>
    <w:rsid w:val="00105063"/>
    <w:rsid w:val="0014065A"/>
    <w:rsid w:val="00140AE6"/>
    <w:rsid w:val="00222A1C"/>
    <w:rsid w:val="00234D94"/>
    <w:rsid w:val="00283E27"/>
    <w:rsid w:val="002C5AFA"/>
    <w:rsid w:val="002D238A"/>
    <w:rsid w:val="003261B8"/>
    <w:rsid w:val="00364656"/>
    <w:rsid w:val="003A6CEE"/>
    <w:rsid w:val="003D046A"/>
    <w:rsid w:val="003E385A"/>
    <w:rsid w:val="003F5AAF"/>
    <w:rsid w:val="00405FBE"/>
    <w:rsid w:val="00443261"/>
    <w:rsid w:val="004E1CCF"/>
    <w:rsid w:val="004E76DF"/>
    <w:rsid w:val="005031C8"/>
    <w:rsid w:val="005207F5"/>
    <w:rsid w:val="005430E4"/>
    <w:rsid w:val="00546084"/>
    <w:rsid w:val="00591EE6"/>
    <w:rsid w:val="0064514F"/>
    <w:rsid w:val="0067019B"/>
    <w:rsid w:val="00677EE5"/>
    <w:rsid w:val="00694DEF"/>
    <w:rsid w:val="006D4627"/>
    <w:rsid w:val="007711EA"/>
    <w:rsid w:val="00773E5E"/>
    <w:rsid w:val="007A576C"/>
    <w:rsid w:val="007F7FE1"/>
    <w:rsid w:val="008069E9"/>
    <w:rsid w:val="008240E3"/>
    <w:rsid w:val="00847AAC"/>
    <w:rsid w:val="008E6069"/>
    <w:rsid w:val="008F78D1"/>
    <w:rsid w:val="00902253"/>
    <w:rsid w:val="00925627"/>
    <w:rsid w:val="0093101F"/>
    <w:rsid w:val="0097156E"/>
    <w:rsid w:val="00987437"/>
    <w:rsid w:val="009E20F9"/>
    <w:rsid w:val="009E5271"/>
    <w:rsid w:val="00A1512F"/>
    <w:rsid w:val="00A63EB3"/>
    <w:rsid w:val="00A9055C"/>
    <w:rsid w:val="00AB7F92"/>
    <w:rsid w:val="00AC39EE"/>
    <w:rsid w:val="00AF2EDC"/>
    <w:rsid w:val="00B41D84"/>
    <w:rsid w:val="00B97C13"/>
    <w:rsid w:val="00BA0C7B"/>
    <w:rsid w:val="00BC4591"/>
    <w:rsid w:val="00C72A86"/>
    <w:rsid w:val="00CA4403"/>
    <w:rsid w:val="00CC5B9E"/>
    <w:rsid w:val="00CC7208"/>
    <w:rsid w:val="00CD73A8"/>
    <w:rsid w:val="00CE6184"/>
    <w:rsid w:val="00D228F7"/>
    <w:rsid w:val="00D34E1C"/>
    <w:rsid w:val="00D95965"/>
    <w:rsid w:val="00DD55EB"/>
    <w:rsid w:val="00E2659D"/>
    <w:rsid w:val="00EC0F12"/>
    <w:rsid w:val="00ED59FA"/>
    <w:rsid w:val="00F775D5"/>
    <w:rsid w:val="00FF6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38E3"/>
  <w15:docId w15:val="{1AE7B9EC-5BCC-4F29-A504-FE623B2E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rsid w:val="00CA4403"/>
    <w:rPr>
      <w:rFonts w:ascii="Times New Roman" w:hAnsi="Times New Roman"/>
      <w:sz w:val="24"/>
      <w:lang w:val="fr-FR" w:eastAsia="en-US"/>
    </w:rPr>
  </w:style>
  <w:style w:type="character" w:customStyle="1" w:styleId="CallChar">
    <w:name w:val="Call Char"/>
    <w:basedOn w:val="DefaultParagraphFont"/>
    <w:link w:val="Call"/>
    <w:locked/>
    <w:rsid w:val="00CA4403"/>
    <w:rPr>
      <w:rFonts w:ascii="Times New Roman" w:hAnsi="Times New Roman"/>
      <w:i/>
      <w:sz w:val="24"/>
      <w:lang w:val="fr-FR" w:eastAsia="en-US"/>
    </w:rPr>
  </w:style>
  <w:style w:type="paragraph" w:customStyle="1" w:styleId="AnnexNo">
    <w:name w:val="Annex_No"/>
    <w:basedOn w:val="Normal"/>
    <w:next w:val="Normal"/>
    <w:rsid w:val="00CA4403"/>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CA440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CA4403"/>
    <w:pPr>
      <w:tabs>
        <w:tab w:val="clear" w:pos="794"/>
        <w:tab w:val="clear" w:pos="1191"/>
        <w:tab w:val="clear" w:pos="1588"/>
        <w:tab w:val="clear" w:pos="1985"/>
        <w:tab w:val="left" w:pos="1134"/>
        <w:tab w:val="left" w:pos="1871"/>
        <w:tab w:val="left" w:pos="2268"/>
      </w:tabs>
      <w:spacing w:before="280"/>
      <w:jc w:val="both"/>
    </w:pPr>
  </w:style>
  <w:style w:type="character" w:customStyle="1" w:styleId="NormalaftertitleChar0">
    <w:name w:val="Normal after title Char"/>
    <w:basedOn w:val="DefaultParagraphFont"/>
    <w:link w:val="Normalaftertitle0"/>
    <w:rsid w:val="00CA4403"/>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CA4403"/>
    <w:rPr>
      <w:rFonts w:ascii="Times New Roman" w:hAnsi="Times New Roman"/>
      <w:sz w:val="24"/>
      <w:lang w:val="fr-FR" w:eastAsia="en-US"/>
    </w:rPr>
  </w:style>
  <w:style w:type="character" w:customStyle="1" w:styleId="ResNoChar">
    <w:name w:val="Res_No Char"/>
    <w:basedOn w:val="DefaultParagraphFont"/>
    <w:link w:val="ResNo"/>
    <w:locked/>
    <w:rsid w:val="003261B8"/>
    <w:rPr>
      <w:rFonts w:ascii="Times New Roman" w:hAnsi="Times New Roman"/>
      <w:b/>
      <w:sz w:val="28"/>
      <w:lang w:val="fr-FR" w:eastAsia="en-US"/>
    </w:rPr>
  </w:style>
  <w:style w:type="paragraph" w:customStyle="1" w:styleId="Reasons">
    <w:name w:val="Reasons"/>
    <w:basedOn w:val="Normal"/>
    <w:qFormat/>
    <w:rsid w:val="003261B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105063"/>
    <w:rPr>
      <w:rFonts w:ascii="Times New Roman" w:hAnsi="Times New Roman"/>
      <w:sz w:val="24"/>
      <w:lang w:val="fr-FR" w:eastAsia="en-US"/>
    </w:rPr>
  </w:style>
  <w:style w:type="paragraph" w:customStyle="1" w:styleId="Proposal">
    <w:name w:val="Proposal"/>
    <w:basedOn w:val="Normal"/>
    <w:rsid w:val="0014065A"/>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9D00-D836-4177-9A6D-A72739BC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31</TotalTime>
  <Pages>10</Pages>
  <Words>4060</Words>
  <Characters>23638</Characters>
  <Application>Microsoft Office Word</Application>
  <DocSecurity>0</DocSecurity>
  <Lines>386</Lines>
  <Paragraphs>137</Paragraphs>
  <ScaleCrop>false</ScaleCrop>
  <HeadingPairs>
    <vt:vector size="2" baseType="variant">
      <vt:variant>
        <vt:lpstr>Title</vt:lpstr>
      </vt:variant>
      <vt:variant>
        <vt:i4>1</vt:i4>
      </vt:variant>
    </vt:vector>
  </HeadingPairs>
  <TitlesOfParts>
    <vt:vector size="1" baseType="lpstr">
      <vt:lpstr>PROPOSITIONS RELATIVES A UN PROJET DE NOUVELLE RESOLUTION UIT-R INTITULEE «RENFORCER RENFORCEMENT DE LA COORDINATION ET DE LA COOPERATION ENTRE LES TROIS SECTEURS DE L’UIT SUR DES QUESTIONS D'INTERET MUTUEL» ET A LA SUPPRESSION DES RESOLUTIONS UIT-R 6-3 «</vt:lpstr>
    </vt:vector>
  </TitlesOfParts>
  <Manager>General Secretariat - Pool</Manager>
  <Company>International Telecommunication Union (ITU)</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RELATIVES À UN PROJET DE NOUVELLE RÉSOLUTION UIT-R INTITULÉE «RENFORCEMENT DE LA COORDINATION ET DE LA COOPÉRATION ENTRE LES TROIS SECTEURS DE L'UIT SUR DES QUESTIONS D'INTÉRÊT MUTUEL» ET À LA SUPPRESSION DES RÉSOLUTIONS UIT-R 6-3 «LIAISON ET COLLABORATION AVEC LE SECTEUR DE LA NORMALISATION DES TÉLÉCOMMUNICATIONS DE L'UIT», UIT-R 7-4 «DÉVELOPPEMENT DES TÉLÉCOMMUNICATIONS, Y COMPRIS LA LIAISON ET LA COLLABORATION AVEC LE SECTEUR DU DÉVELOPPEMENT DES TÉLÉCOMMUNICATIONS DE L'UIT» ET UIT-R 48-3 «RENFORCEMENT DE LA PRÉSENCE RÉGIONALE DANS LES TRAVAUX DES COMMISSIONS D'ÉTUDES DES RADIOCOMMUNICATIONS»</dc:title>
  <dc:subject>GROUPE CONSULTATIF DES RADIOCOMMUNICATIONS</dc:subject>
  <dc:creator>Fédération de Russie</dc:creator>
  <cp:keywords>RAG03-1</cp:keywords>
  <dc:description>Document RAG/62-F  For: _x000d_Document date: 30 mars 2023_x000d_Saved by ITU51014352 at 10:01:40 on 17.04.2023</dc:description>
  <cp:lastModifiedBy>French</cp:lastModifiedBy>
  <cp:revision>6</cp:revision>
  <cp:lastPrinted>1999-10-11T14:58:00Z</cp:lastPrinted>
  <dcterms:created xsi:type="dcterms:W3CDTF">2023-04-17T07:29:00Z</dcterms:created>
  <dcterms:modified xsi:type="dcterms:W3CDTF">2023-04-17T08:01:00Z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RAG/62-F</vt:lpwstr>
  </property>
  <property fmtid="{D5CDD505-2E9C-101B-9397-08002B2CF9AE}" pid="3" name="Docdate">
    <vt:lpwstr>30 mars 2023</vt:lpwstr>
  </property>
  <property fmtid="{D5CDD505-2E9C-101B-9397-08002B2CF9AE}" pid="4" name="Docorlang">
    <vt:lpwstr>Original: anglais</vt:lpwstr>
  </property>
  <property fmtid="{D5CDD505-2E9C-101B-9397-08002B2CF9AE}" pid="5" name="Docauthor">
    <vt:lpwstr>Fédération de Russie</vt:lpwstr>
  </property>
</Properties>
</file>