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BAE" w14:textId="77777777" w:rsidR="00AB2E65" w:rsidRDefault="00AB2E65"/>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59686333" w14:textId="77777777" w:rsidTr="00EC0BE3">
        <w:trPr>
          <w:cantSplit/>
        </w:trPr>
        <w:tc>
          <w:tcPr>
            <w:tcW w:w="6477" w:type="dxa"/>
            <w:vAlign w:val="center"/>
          </w:tcPr>
          <w:p w14:paraId="0E624F36"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6C8585BC"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7C32C239" wp14:editId="4251FD9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2221B7EE" w14:textId="77777777" w:rsidTr="00B35BE4">
        <w:trPr>
          <w:cantSplit/>
        </w:trPr>
        <w:tc>
          <w:tcPr>
            <w:tcW w:w="6487" w:type="dxa"/>
            <w:gridSpan w:val="2"/>
            <w:tcBorders>
              <w:bottom w:val="single" w:sz="12" w:space="0" w:color="auto"/>
            </w:tcBorders>
          </w:tcPr>
          <w:p w14:paraId="14B27691"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7B66C1" w14:textId="77777777" w:rsidR="0051782D" w:rsidRPr="0051782D" w:rsidRDefault="0051782D" w:rsidP="00B35BE4">
            <w:pPr>
              <w:shd w:val="solid" w:color="FFFFFF" w:fill="FFFFFF"/>
              <w:spacing w:before="0" w:after="48" w:line="240" w:lineRule="atLeast"/>
              <w:rPr>
                <w:sz w:val="22"/>
                <w:szCs w:val="22"/>
                <w:lang w:val="en-US"/>
              </w:rPr>
            </w:pPr>
          </w:p>
        </w:tc>
      </w:tr>
      <w:tr w:rsidR="0051782D" w14:paraId="3F0BD389" w14:textId="77777777" w:rsidTr="00B35BE4">
        <w:trPr>
          <w:cantSplit/>
        </w:trPr>
        <w:tc>
          <w:tcPr>
            <w:tcW w:w="6487" w:type="dxa"/>
            <w:gridSpan w:val="2"/>
            <w:tcBorders>
              <w:top w:val="single" w:sz="12" w:space="0" w:color="auto"/>
            </w:tcBorders>
          </w:tcPr>
          <w:p w14:paraId="0299F9AF"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0C6858" w14:textId="77777777" w:rsidR="0051782D" w:rsidRPr="00710D66" w:rsidRDefault="0051782D" w:rsidP="00B35BE4">
            <w:pPr>
              <w:shd w:val="solid" w:color="FFFFFF" w:fill="FFFFFF"/>
              <w:spacing w:before="0" w:after="48" w:line="240" w:lineRule="atLeast"/>
              <w:rPr>
                <w:lang w:val="en-US"/>
              </w:rPr>
            </w:pPr>
          </w:p>
        </w:tc>
      </w:tr>
      <w:tr w:rsidR="0051782D" w14:paraId="793B3DBD" w14:textId="77777777" w:rsidTr="00B35BE4">
        <w:trPr>
          <w:cantSplit/>
        </w:trPr>
        <w:tc>
          <w:tcPr>
            <w:tcW w:w="6487" w:type="dxa"/>
            <w:gridSpan w:val="2"/>
            <w:vMerge w:val="restart"/>
          </w:tcPr>
          <w:p w14:paraId="43BEF7E6" w14:textId="77777777" w:rsidR="0051782D" w:rsidRDefault="0051782D" w:rsidP="00B35BE4">
            <w:pPr>
              <w:shd w:val="solid" w:color="FFFFFF" w:fill="FFFFFF"/>
              <w:spacing w:after="240"/>
              <w:rPr>
                <w:sz w:val="20"/>
              </w:rPr>
            </w:pPr>
            <w:bookmarkStart w:id="0" w:name="dnum" w:colFirst="1" w:colLast="1"/>
          </w:p>
        </w:tc>
        <w:tc>
          <w:tcPr>
            <w:tcW w:w="3402" w:type="dxa"/>
          </w:tcPr>
          <w:p w14:paraId="10391730" w14:textId="30BC1526" w:rsidR="0051782D" w:rsidRPr="006E7B9E" w:rsidRDefault="006E7B9E" w:rsidP="006E7B9E">
            <w:pPr>
              <w:shd w:val="solid" w:color="FFFFFF" w:fill="FFFFFF"/>
              <w:spacing w:before="0" w:line="240" w:lineRule="atLeast"/>
              <w:rPr>
                <w:rFonts w:ascii="Verdana" w:hAnsi="Verdana"/>
                <w:sz w:val="20"/>
              </w:rPr>
            </w:pPr>
            <w:r>
              <w:rPr>
                <w:rFonts w:ascii="Verdana" w:hAnsi="Verdana"/>
                <w:b/>
                <w:sz w:val="20"/>
              </w:rPr>
              <w:t>Document RAG/</w:t>
            </w:r>
            <w:r w:rsidR="00646E69">
              <w:rPr>
                <w:rFonts w:ascii="Verdana" w:hAnsi="Verdana"/>
                <w:b/>
                <w:sz w:val="20"/>
              </w:rPr>
              <w:t>6</w:t>
            </w:r>
            <w:r w:rsidR="00AB2E65">
              <w:rPr>
                <w:rFonts w:ascii="Verdana" w:hAnsi="Verdana"/>
                <w:b/>
                <w:sz w:val="20"/>
              </w:rPr>
              <w:t>2</w:t>
            </w:r>
            <w:r>
              <w:rPr>
                <w:rFonts w:ascii="Verdana" w:hAnsi="Verdana"/>
                <w:b/>
                <w:sz w:val="20"/>
              </w:rPr>
              <w:t>-E</w:t>
            </w:r>
          </w:p>
        </w:tc>
      </w:tr>
      <w:tr w:rsidR="0051782D" w14:paraId="4480153C" w14:textId="77777777" w:rsidTr="00B35BE4">
        <w:trPr>
          <w:cantSplit/>
        </w:trPr>
        <w:tc>
          <w:tcPr>
            <w:tcW w:w="6487" w:type="dxa"/>
            <w:gridSpan w:val="2"/>
            <w:vMerge/>
          </w:tcPr>
          <w:p w14:paraId="70BC696D" w14:textId="77777777" w:rsidR="0051782D" w:rsidRDefault="0051782D" w:rsidP="00B35BE4">
            <w:pPr>
              <w:spacing w:before="60"/>
              <w:jc w:val="center"/>
              <w:rPr>
                <w:b/>
                <w:smallCaps/>
                <w:sz w:val="32"/>
              </w:rPr>
            </w:pPr>
            <w:bookmarkStart w:id="1" w:name="ddate" w:colFirst="1" w:colLast="1"/>
            <w:bookmarkEnd w:id="0"/>
          </w:p>
        </w:tc>
        <w:tc>
          <w:tcPr>
            <w:tcW w:w="3402" w:type="dxa"/>
          </w:tcPr>
          <w:p w14:paraId="07257EDA" w14:textId="1BABA3F3" w:rsidR="0051782D" w:rsidRPr="006E7B9E" w:rsidRDefault="00AB2E65" w:rsidP="006E7B9E">
            <w:pPr>
              <w:shd w:val="solid" w:color="FFFFFF" w:fill="FFFFFF"/>
              <w:spacing w:before="0" w:line="240" w:lineRule="atLeast"/>
              <w:rPr>
                <w:rFonts w:ascii="Verdana" w:hAnsi="Verdana"/>
                <w:sz w:val="20"/>
              </w:rPr>
            </w:pPr>
            <w:r>
              <w:rPr>
                <w:rFonts w:ascii="Verdana" w:hAnsi="Verdana"/>
                <w:b/>
                <w:sz w:val="20"/>
              </w:rPr>
              <w:t xml:space="preserve">30 </w:t>
            </w:r>
            <w:r w:rsidR="006E7B9E">
              <w:rPr>
                <w:rFonts w:ascii="Verdana" w:hAnsi="Verdana"/>
                <w:b/>
                <w:sz w:val="20"/>
              </w:rPr>
              <w:t>March 202</w:t>
            </w:r>
            <w:r>
              <w:rPr>
                <w:rFonts w:ascii="Verdana" w:hAnsi="Verdana"/>
                <w:b/>
                <w:sz w:val="20"/>
              </w:rPr>
              <w:t>3</w:t>
            </w:r>
          </w:p>
        </w:tc>
      </w:tr>
      <w:tr w:rsidR="0051782D" w14:paraId="6BAFC930" w14:textId="77777777" w:rsidTr="00B35BE4">
        <w:trPr>
          <w:cantSplit/>
        </w:trPr>
        <w:tc>
          <w:tcPr>
            <w:tcW w:w="6487" w:type="dxa"/>
            <w:gridSpan w:val="2"/>
            <w:vMerge/>
          </w:tcPr>
          <w:p w14:paraId="00BB86CD" w14:textId="77777777" w:rsidR="0051782D" w:rsidRDefault="0051782D" w:rsidP="00B35BE4">
            <w:pPr>
              <w:spacing w:before="60"/>
              <w:jc w:val="center"/>
              <w:rPr>
                <w:b/>
                <w:smallCaps/>
                <w:sz w:val="32"/>
              </w:rPr>
            </w:pPr>
            <w:bookmarkStart w:id="2" w:name="dorlang" w:colFirst="1" w:colLast="1"/>
            <w:bookmarkEnd w:id="1"/>
          </w:p>
        </w:tc>
        <w:tc>
          <w:tcPr>
            <w:tcW w:w="3402" w:type="dxa"/>
          </w:tcPr>
          <w:p w14:paraId="352F1E72" w14:textId="65A71BD1" w:rsidR="0051782D" w:rsidRPr="006E7B9E" w:rsidRDefault="006E7B9E" w:rsidP="006E7B9E">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3B439DC6" w14:textId="77777777" w:rsidTr="00B35BE4">
        <w:trPr>
          <w:cantSplit/>
        </w:trPr>
        <w:tc>
          <w:tcPr>
            <w:tcW w:w="9889" w:type="dxa"/>
            <w:gridSpan w:val="3"/>
          </w:tcPr>
          <w:p w14:paraId="51C6309B" w14:textId="07015E7D" w:rsidR="00093C73" w:rsidRPr="00AB2E65" w:rsidRDefault="00AB2E65" w:rsidP="00AB2E65">
            <w:pPr>
              <w:pStyle w:val="Source"/>
              <w:spacing w:line="256" w:lineRule="auto"/>
              <w:rPr>
                <w:rFonts w:eastAsiaTheme="minorHAnsi"/>
                <w:bCs/>
                <w:sz w:val="24"/>
                <w:szCs w:val="24"/>
                <w:lang w:eastAsia="en-GB"/>
              </w:rPr>
            </w:pPr>
            <w:bookmarkStart w:id="3" w:name="dsource" w:colFirst="0" w:colLast="0"/>
            <w:bookmarkEnd w:id="2"/>
            <w:r w:rsidRPr="00AB2E65">
              <w:rPr>
                <w:bCs/>
              </w:rPr>
              <w:t>Russian Federation</w:t>
            </w:r>
            <w:r w:rsidRPr="00AB2E65">
              <w:rPr>
                <w:rStyle w:val="FootnoteReference"/>
                <w:bCs/>
              </w:rPr>
              <w:footnoteReference w:id="1"/>
            </w:r>
            <w:r w:rsidRPr="00AB2E65">
              <w:rPr>
                <w:rFonts w:eastAsiaTheme="minorHAnsi"/>
                <w:bCs/>
                <w:szCs w:val="24"/>
                <w:lang w:eastAsia="en-GB"/>
              </w:rPr>
              <w:t xml:space="preserve"> </w:t>
            </w:r>
          </w:p>
        </w:tc>
      </w:tr>
      <w:tr w:rsidR="00093C73" w14:paraId="5ED2D351" w14:textId="77777777" w:rsidTr="00B35BE4">
        <w:trPr>
          <w:cantSplit/>
        </w:trPr>
        <w:tc>
          <w:tcPr>
            <w:tcW w:w="9889" w:type="dxa"/>
            <w:gridSpan w:val="3"/>
          </w:tcPr>
          <w:p w14:paraId="2C088B40" w14:textId="5A378059" w:rsidR="00093C73" w:rsidRPr="00AB2E65" w:rsidRDefault="00AB2E65" w:rsidP="00AB2E65">
            <w:pPr>
              <w:pStyle w:val="Title1"/>
            </w:pPr>
            <w:bookmarkStart w:id="4" w:name="dtitle1" w:colFirst="0" w:colLast="0"/>
            <w:bookmarkEnd w:id="3"/>
            <w:r>
              <w:t>P</w:t>
            </w:r>
            <w:r>
              <w:t>roposals for a draft new Resolution ITU-R</w:t>
            </w:r>
            <w:r>
              <w:t xml:space="preserve"> </w:t>
            </w:r>
            <w:r>
              <w:t>"Strengthening coordination and cooperation among the three ITU Sectors on matters of mutual interest" and</w:t>
            </w:r>
            <w:r>
              <w:t xml:space="preserve"> </w:t>
            </w:r>
            <w:r>
              <w:br/>
            </w:r>
            <w:r>
              <w:t>suppression of Resolutions ITU-R 6-3 “Liaison and collaboration with the ITU Telecommunication Standardization Sector”</w:t>
            </w:r>
            <w:r>
              <w:t xml:space="preserve"> and</w:t>
            </w:r>
            <w:r>
              <w:t xml:space="preserve"> 7-4 “Telecommunication development including liaison and collaboration with the ITU Telecommunication Development Sector” and 48-3 “Strengthening the regional presence in the Radiocommunication Study Group work” </w:t>
            </w:r>
          </w:p>
        </w:tc>
      </w:tr>
      <w:bookmarkEnd w:id="4"/>
    </w:tbl>
    <w:tbl>
      <w:tblPr>
        <w:tblpPr w:leftFromText="180" w:rightFromText="180" w:bottomFromText="160" w:horzAnchor="margin" w:tblpY="-615"/>
        <w:tblW w:w="9885" w:type="dxa"/>
        <w:tblLayout w:type="fixed"/>
        <w:tblLook w:val="04A0" w:firstRow="1" w:lastRow="0" w:firstColumn="1" w:lastColumn="0" w:noHBand="0" w:noVBand="1"/>
      </w:tblPr>
      <w:tblGrid>
        <w:gridCol w:w="9885"/>
      </w:tblGrid>
      <w:tr w:rsidR="00AB2E65" w14:paraId="65070A3A" w14:textId="77777777" w:rsidTr="00AB2E65">
        <w:trPr>
          <w:cantSplit/>
        </w:trPr>
        <w:tc>
          <w:tcPr>
            <w:tcW w:w="9885" w:type="dxa"/>
            <w:hideMark/>
          </w:tcPr>
          <w:p w14:paraId="339B39D9" w14:textId="75D49A3E" w:rsidR="00AB2E65" w:rsidRDefault="00AB2E65" w:rsidP="00695E43">
            <w:pPr>
              <w:pStyle w:val="Heading1"/>
              <w:rPr>
                <w:sz w:val="28"/>
                <w:vertAlign w:val="superscript"/>
              </w:rPr>
            </w:pPr>
          </w:p>
        </w:tc>
      </w:tr>
    </w:tbl>
    <w:p w14:paraId="7DA80073" w14:textId="4D8A4059" w:rsidR="00AB2E65" w:rsidRDefault="00AB2E65" w:rsidP="00AB2E65">
      <w:pPr>
        <w:pStyle w:val="Heading1"/>
      </w:pPr>
      <w:r>
        <w:t>1</w:t>
      </w:r>
      <w:r>
        <w:tab/>
      </w:r>
      <w:r>
        <w:t>Introduction</w:t>
      </w:r>
    </w:p>
    <w:p w14:paraId="2076795A" w14:textId="77777777" w:rsidR="00AB2E65" w:rsidRDefault="00AB2E65" w:rsidP="00AB2E65">
      <w:r>
        <w:t xml:space="preserve">The ITU Plenipotentiary Conference (Bucharest, 2022) updated Resolution 191 on strategy for coordinating the efforts among the three Sectors of the Union. Also in 2022, the relevant ITU-T and ITU-D resolutions were updated. Resolutions ITU-R 6-3 and especially 7-4 contain a lot of text containing citations from </w:t>
      </w:r>
      <w:r>
        <w:rPr>
          <w:lang w:val="en-US"/>
        </w:rPr>
        <w:t>the basic</w:t>
      </w:r>
      <w:r>
        <w:t xml:space="preserve"> documents and PP resolutions. It should also be noted that there are two resolutions on coordination issues in ITU-R, while in other sectors there is only one common resolution. In addition, some sections have lost their relevance. It is also proposed to move </w:t>
      </w:r>
      <w:r>
        <w:rPr>
          <w:i/>
          <w:iCs/>
        </w:rPr>
        <w:t xml:space="preserve">resolves </w:t>
      </w:r>
      <w:r>
        <w:t xml:space="preserve">2 of Resolution ITU-R 48-3 on strengthening the regional presence in the Radiocommunication Study Group work. </w:t>
      </w:r>
    </w:p>
    <w:p w14:paraId="7C1A22FF" w14:textId="77777777" w:rsidR="00AB2E65" w:rsidRDefault="00AB2E65" w:rsidP="00AB2E65">
      <w:proofErr w:type="gramStart"/>
      <w:r>
        <w:t>In order to</w:t>
      </w:r>
      <w:proofErr w:type="gramEnd"/>
      <w:r>
        <w:t xml:space="preserve"> streamline and shorten the text, a draft new Resolution ITU-R on coordination and cooperation </w:t>
      </w:r>
      <w:r>
        <w:rPr>
          <w:lang w:val="en-US"/>
        </w:rPr>
        <w:t>among the three</w:t>
      </w:r>
      <w:r>
        <w:t xml:space="preserve"> ITU sectors is proposed, thus replacing resolutions ITU-R 6-3, 7-4 and 48-3.</w:t>
      </w:r>
    </w:p>
    <w:p w14:paraId="11BD7E69" w14:textId="22FEACD2" w:rsidR="00AB2E65" w:rsidRPr="00E657DC" w:rsidRDefault="00AB2E65" w:rsidP="00E657DC">
      <w:pPr>
        <w:pStyle w:val="Heading1"/>
      </w:pPr>
      <w:r w:rsidRPr="00E657DC">
        <w:t>2</w:t>
      </w:r>
      <w:r w:rsidR="00E657DC">
        <w:tab/>
      </w:r>
      <w:r w:rsidRPr="00E657DC">
        <w:t>Proposal</w:t>
      </w:r>
    </w:p>
    <w:p w14:paraId="2DA739AB" w14:textId="4C6ACB60" w:rsidR="00AB2E65" w:rsidRDefault="00AB2E65" w:rsidP="00E657DC">
      <w:r>
        <w:t xml:space="preserve">The Russian Federation proposes to consider a draft new Resolution ITU-R "Strengthening coordination and cooperation between the three ITU Sectors on matters </w:t>
      </w:r>
      <w:r w:rsidRPr="00E657DC">
        <w:t xml:space="preserve">of mutual interest" and the suppress the Resolutions ITU-R 6-3 "Liaison and cooperation with the ITU Telecommunication </w:t>
      </w:r>
      <w:r w:rsidRPr="00E657DC">
        <w:lastRenderedPageBreak/>
        <w:t>Standardization Sector", 7-4</w:t>
      </w:r>
      <w:r w:rsidR="00E657DC">
        <w:t xml:space="preserve"> </w:t>
      </w:r>
      <w:r w:rsidRPr="00E657DC">
        <w:t>"Telecommunication development including liaison and collaboration with the ITU Telecommunication Development Sector” and 48-3 “Strengthening the regional presence in the Radiocommunication Study Group work” according to the attached document.</w:t>
      </w:r>
    </w:p>
    <w:p w14:paraId="002F5FD0" w14:textId="4284E432" w:rsidR="00AB2E65" w:rsidRDefault="00AB2E65" w:rsidP="00E657DC">
      <w:pPr>
        <w:pStyle w:val="AnnexNotitle"/>
      </w:pPr>
      <w:r>
        <w:t>ANNEX</w:t>
      </w:r>
    </w:p>
    <w:p w14:paraId="0609D351" w14:textId="77777777" w:rsidR="00E657DC" w:rsidRDefault="00AB2E65" w:rsidP="00AB2E65">
      <w:pPr>
        <w:jc w:val="both"/>
        <w:rPr>
          <w:b/>
          <w:bCs/>
          <w:sz w:val="28"/>
          <w:szCs w:val="28"/>
        </w:rPr>
      </w:pPr>
      <w:r>
        <w:rPr>
          <w:b/>
          <w:bCs/>
          <w:sz w:val="28"/>
          <w:szCs w:val="28"/>
        </w:rPr>
        <w:t>ADD</w:t>
      </w:r>
      <w:r w:rsidR="00E657DC">
        <w:rPr>
          <w:b/>
          <w:bCs/>
          <w:sz w:val="28"/>
          <w:szCs w:val="28"/>
        </w:rPr>
        <w:t xml:space="preserve"> </w:t>
      </w:r>
    </w:p>
    <w:p w14:paraId="7DB77C6E" w14:textId="513554FA" w:rsidR="00AB2E65" w:rsidRDefault="00AB2E65" w:rsidP="00E657DC">
      <w:pPr>
        <w:pStyle w:val="RecNoBR"/>
      </w:pPr>
      <w:r>
        <w:t>Draft new Resolution ITU-R</w:t>
      </w:r>
    </w:p>
    <w:p w14:paraId="032D888B" w14:textId="25C54C98" w:rsidR="00AB2E65" w:rsidRDefault="00AB2E65" w:rsidP="00E657DC">
      <w:pPr>
        <w:pStyle w:val="Rectitle"/>
      </w:pPr>
      <w:r>
        <w:t>Strengthening coordination and cooperation among the three ITU Sectors on matters of mutual interest</w:t>
      </w:r>
    </w:p>
    <w:p w14:paraId="04DBE449" w14:textId="77777777" w:rsidR="00AB2E65" w:rsidRDefault="00AB2E65" w:rsidP="00AB2E65">
      <w:pPr>
        <w:jc w:val="center"/>
        <w:rPr>
          <w:sz w:val="28"/>
          <w:szCs w:val="28"/>
        </w:rPr>
      </w:pPr>
      <w:r>
        <w:rPr>
          <w:sz w:val="28"/>
          <w:szCs w:val="28"/>
        </w:rPr>
        <w:t>(2023)</w:t>
      </w:r>
    </w:p>
    <w:p w14:paraId="02D1894F" w14:textId="77777777" w:rsidR="00AB2E65" w:rsidRDefault="00AB2E65" w:rsidP="00AB2E65">
      <w:pPr>
        <w:jc w:val="center"/>
        <w:rPr>
          <w:sz w:val="28"/>
          <w:szCs w:val="28"/>
        </w:rPr>
      </w:pPr>
    </w:p>
    <w:p w14:paraId="3B8D5C6E" w14:textId="77777777" w:rsidR="00AB2E65" w:rsidRDefault="00AB2E65" w:rsidP="00AB2E65">
      <w:pPr>
        <w:pStyle w:val="Normalaftertitle0"/>
        <w:rPr>
          <w:szCs w:val="22"/>
        </w:rPr>
      </w:pPr>
      <w:r>
        <w:t>The ITU Radiocommunication Assembly,</w:t>
      </w:r>
    </w:p>
    <w:p w14:paraId="391FB026" w14:textId="77777777" w:rsidR="00AB2E65" w:rsidRDefault="00AB2E65" w:rsidP="00AB2E65">
      <w:pPr>
        <w:pStyle w:val="Call"/>
      </w:pPr>
      <w:r>
        <w:t>recalling</w:t>
      </w:r>
    </w:p>
    <w:p w14:paraId="0FB570A2" w14:textId="77777777" w:rsidR="00AB2E65" w:rsidRDefault="00AB2E65" w:rsidP="00AB2E65">
      <w:pPr>
        <w:rPr>
          <w:lang w:eastAsia="zh-CN"/>
        </w:rPr>
      </w:pPr>
      <w:r>
        <w:rPr>
          <w:i/>
          <w:iCs/>
        </w:rPr>
        <w:t>a)</w:t>
      </w:r>
      <w:r>
        <w:rPr>
          <w:i/>
          <w:iCs/>
        </w:rPr>
        <w:tab/>
      </w:r>
      <w:r>
        <w:t xml:space="preserve">that the responsibilities of the ITU Radiocommunication (ITU-R), Telecommunication Standardization (ITU-T) and Telecommunication Development (ITU-D) Sectors are enshrined in the ITU Constitution and </w:t>
      </w:r>
      <w:r>
        <w:rPr>
          <w:lang w:eastAsia="zh-CN"/>
        </w:rPr>
        <w:t>Convention, in particular No. 119 of the Constitution and Nos. 151 to 154 (relating to ITU</w:t>
      </w:r>
      <w:r>
        <w:rPr>
          <w:lang w:eastAsia="zh-CN"/>
        </w:rPr>
        <w:noBreakHyphen/>
        <w:t xml:space="preserve">R), No. 193 (relating to ITU-T), Nos. 211 and 214 (relating to ITU-D) and No. 215 of the </w:t>
      </w:r>
      <w:proofErr w:type="gramStart"/>
      <w:r>
        <w:rPr>
          <w:lang w:eastAsia="zh-CN"/>
        </w:rPr>
        <w:t>Convention;</w:t>
      </w:r>
      <w:proofErr w:type="gramEnd"/>
    </w:p>
    <w:p w14:paraId="3EAEADA0" w14:textId="77777777" w:rsidR="00AB2E65" w:rsidRDefault="00AB2E65" w:rsidP="00AB2E65">
      <w:pPr>
        <w:rPr>
          <w:lang w:eastAsia="zh-CN"/>
        </w:rPr>
      </w:pPr>
      <w:r w:rsidRPr="00E657DC">
        <w:rPr>
          <w:i/>
          <w:iCs/>
          <w:lang w:eastAsia="zh-CN"/>
        </w:rPr>
        <w:t>b)</w:t>
      </w:r>
      <w:r>
        <w:rPr>
          <w:lang w:eastAsia="zh-CN"/>
        </w:rPr>
        <w:tab/>
        <w:t xml:space="preserve">Resolution 191 (Rev. Bucharest, 2022) of the Plenipotentiary Conference, on strategy for the coordination of efforts among the three Sectors of the </w:t>
      </w:r>
      <w:proofErr w:type="gramStart"/>
      <w:r>
        <w:rPr>
          <w:lang w:eastAsia="zh-CN"/>
        </w:rPr>
        <w:t>Union;</w:t>
      </w:r>
      <w:proofErr w:type="gramEnd"/>
    </w:p>
    <w:p w14:paraId="4E47A47F" w14:textId="77777777" w:rsidR="00AB2E65" w:rsidRDefault="00AB2E65" w:rsidP="00AB2E65">
      <w:pPr>
        <w:rPr>
          <w:lang w:eastAsia="zh-CN"/>
        </w:rPr>
      </w:pPr>
      <w:r>
        <w:rPr>
          <w:i/>
          <w:iCs/>
          <w:lang w:eastAsia="zh-CN"/>
        </w:rPr>
        <w:t>c)</w:t>
      </w:r>
      <w:r>
        <w:rPr>
          <w:lang w:eastAsia="zh-CN"/>
        </w:rPr>
        <w:tab/>
        <w:t xml:space="preserve">Resolution 123 (Rev. Bucharest, 2022) of the Plenipotentiary Conference, on bridging the standardization gap between the developing1 and developed </w:t>
      </w:r>
      <w:proofErr w:type="gramStart"/>
      <w:r>
        <w:rPr>
          <w:lang w:eastAsia="zh-CN"/>
        </w:rPr>
        <w:t>countries;</w:t>
      </w:r>
      <w:proofErr w:type="gramEnd"/>
    </w:p>
    <w:p w14:paraId="2D7E8005" w14:textId="77777777" w:rsidR="00AB2E65" w:rsidRDefault="00AB2E65" w:rsidP="00AB2E65">
      <w:pPr>
        <w:rPr>
          <w:lang w:eastAsia="zh-CN"/>
        </w:rPr>
      </w:pPr>
      <w:r>
        <w:rPr>
          <w:i/>
          <w:iCs/>
        </w:rPr>
        <w:t>d)</w:t>
      </w:r>
      <w:r>
        <w:rPr>
          <w:i/>
          <w:iCs/>
        </w:rPr>
        <w:tab/>
      </w:r>
      <w:r>
        <w:rPr>
          <w:lang w:eastAsia="zh-CN"/>
        </w:rPr>
        <w:t>Resolution ITU</w:t>
      </w:r>
      <w:r>
        <w:rPr>
          <w:lang w:eastAsia="zh-CN"/>
        </w:rPr>
        <w:noBreakHyphen/>
        <w:t>R 6 (Rev. Sharm el-Sheikh, 2019) of the Radiocommunication Assembly (RA), on liaison and collaboration with ITU</w:t>
      </w:r>
      <w:r>
        <w:rPr>
          <w:lang w:eastAsia="zh-CN"/>
        </w:rPr>
        <w:noBreakHyphen/>
        <w:t>T, and RA Resolution ITU</w:t>
      </w:r>
      <w:r>
        <w:rPr>
          <w:lang w:eastAsia="zh-CN"/>
        </w:rPr>
        <w:noBreakHyphen/>
        <w:t>R 7 (Rev. Sharm el-Sheikh, 2019), on telecommunication development including liaison and collaboration with ITU</w:t>
      </w:r>
      <w:r>
        <w:rPr>
          <w:lang w:eastAsia="zh-CN"/>
        </w:rPr>
        <w:noBreakHyphen/>
      </w:r>
      <w:proofErr w:type="gramStart"/>
      <w:r>
        <w:rPr>
          <w:lang w:eastAsia="zh-CN"/>
        </w:rPr>
        <w:t>D;</w:t>
      </w:r>
      <w:proofErr w:type="gramEnd"/>
    </w:p>
    <w:p w14:paraId="6901F829" w14:textId="3B716A92" w:rsidR="00AB2E65" w:rsidRDefault="00AB2E65" w:rsidP="00AB2E65">
      <w:pPr>
        <w:rPr>
          <w:lang w:eastAsia="zh-CN"/>
        </w:rPr>
      </w:pPr>
      <w:r>
        <w:rPr>
          <w:i/>
          <w:iCs/>
          <w:lang w:eastAsia="zh-CN"/>
        </w:rPr>
        <w:t>e)</w:t>
      </w:r>
      <w:r w:rsidR="00E657DC">
        <w:rPr>
          <w:lang w:eastAsia="zh-CN"/>
        </w:rPr>
        <w:tab/>
      </w:r>
      <w:r>
        <w:rPr>
          <w:lang w:eastAsia="zh-CN"/>
        </w:rPr>
        <w:t>Resolution 18 (Rev. Geneva, 2022) of the World Telecommunication Standardization Assembly (</w:t>
      </w:r>
      <w:r>
        <w:t>WTSA</w:t>
      </w:r>
      <w:r>
        <w:rPr>
          <w:lang w:eastAsia="zh-CN"/>
        </w:rPr>
        <w:t xml:space="preserve">), on </w:t>
      </w:r>
      <w:bookmarkStart w:id="5" w:name="_Hlk98406883"/>
      <w:r>
        <w:rPr>
          <w:lang w:eastAsia="zh-CN"/>
        </w:rPr>
        <w:t xml:space="preserve">Principles and procedures for the allocation of work to, and strengthening coordination and cooperation among, the ITU Radiocommunication, ITU Telecommunication Standardization and ITU Telecommunication Development </w:t>
      </w:r>
      <w:proofErr w:type="gramStart"/>
      <w:r>
        <w:rPr>
          <w:lang w:eastAsia="zh-CN"/>
        </w:rPr>
        <w:t>Sectors;</w:t>
      </w:r>
      <w:bookmarkEnd w:id="5"/>
      <w:proofErr w:type="gramEnd"/>
    </w:p>
    <w:p w14:paraId="0B9A2D84" w14:textId="77777777" w:rsidR="00AB2E65" w:rsidRDefault="00AB2E65" w:rsidP="00AB2E65">
      <w:r>
        <w:rPr>
          <w:i/>
          <w:iCs/>
        </w:rPr>
        <w:t>f)</w:t>
      </w:r>
      <w:r>
        <w:tab/>
        <w:t xml:space="preserve">Resolution 59 (Rev. Kigali, 2022) of the World Telecommunication Development Conference (WTDC), on strengthening coordination and cooperation among the three ITU Sectors on matters of mutual </w:t>
      </w:r>
      <w:proofErr w:type="gramStart"/>
      <w:r>
        <w:t>interest;</w:t>
      </w:r>
      <w:proofErr w:type="gramEnd"/>
    </w:p>
    <w:p w14:paraId="34D0D4A8" w14:textId="1314AF9E" w:rsidR="00AB2E65" w:rsidRDefault="00AB2E65" w:rsidP="00AB2E65">
      <w:r w:rsidRPr="00E657DC">
        <w:rPr>
          <w:i/>
          <w:iCs/>
        </w:rPr>
        <w:t>g)</w:t>
      </w:r>
      <w:r>
        <w:tab/>
        <w:t xml:space="preserve">Resolution 44 (Rev. Geneva, 2022) of WTSA, on bridging the standardization gap between developing and developed </w:t>
      </w:r>
      <w:proofErr w:type="gramStart"/>
      <w:r>
        <w:t>countries</w:t>
      </w:r>
      <w:r w:rsidR="00E657DC">
        <w:t>;</w:t>
      </w:r>
      <w:proofErr w:type="gramEnd"/>
    </w:p>
    <w:p w14:paraId="4A7AF13F" w14:textId="77777777" w:rsidR="00AB2E65" w:rsidRDefault="00AB2E65" w:rsidP="00E657DC">
      <w:r w:rsidRPr="00E657DC">
        <w:rPr>
          <w:i/>
          <w:iCs/>
        </w:rPr>
        <w:t>h)</w:t>
      </w:r>
      <w:r>
        <w:tab/>
        <w:t>Resolution 5 (Rev. Kigali, 2022) of the WTDC, on enhanced participation by developing countries1 in the activities of the Union,</w:t>
      </w:r>
    </w:p>
    <w:p w14:paraId="4CC6425B" w14:textId="77777777" w:rsidR="00AB2E65" w:rsidRDefault="00AB2E65" w:rsidP="00AB2E65">
      <w:pPr>
        <w:pStyle w:val="Call"/>
        <w:rPr>
          <w:i w:val="0"/>
        </w:rPr>
      </w:pPr>
      <w:r>
        <w:lastRenderedPageBreak/>
        <w:t>considering</w:t>
      </w:r>
    </w:p>
    <w:p w14:paraId="6CEC849B" w14:textId="1C6DE384" w:rsidR="00AB2E65" w:rsidRDefault="00E657DC" w:rsidP="00E657DC">
      <w:r w:rsidRPr="00E657DC">
        <w:rPr>
          <w:i/>
          <w:iCs/>
        </w:rPr>
        <w:t>a)</w:t>
      </w:r>
      <w:r>
        <w:tab/>
      </w:r>
      <w:r w:rsidR="00AB2E65">
        <w:t xml:space="preserve">that a basic principle for cooperation and collaboration among the three ITU Sectors is the need to avoid duplication of activities of the Sectors, and to ensure that work is undertaken efficiently and effectively, respecting the specific functions defined in the ITU Constitution and the ITU Convention for each </w:t>
      </w:r>
      <w:proofErr w:type="gramStart"/>
      <w:r w:rsidR="00AB2E65">
        <w:t>Sector;</w:t>
      </w:r>
      <w:proofErr w:type="gramEnd"/>
    </w:p>
    <w:p w14:paraId="48A82F8F" w14:textId="687474CB" w:rsidR="00AB2E65" w:rsidRDefault="00E657DC" w:rsidP="00E657DC">
      <w:r w:rsidRPr="00E657DC">
        <w:rPr>
          <w:i/>
          <w:iCs/>
        </w:rPr>
        <w:t>b)</w:t>
      </w:r>
      <w:r>
        <w:tab/>
      </w:r>
      <w:r w:rsidR="00AB2E65">
        <w:t>that there are a growing number of issues of mutual interest and concern to all Sectors, in accordance with Resolution 191 (Rev. Bucharest, 2022</w:t>
      </w:r>
      <w:proofErr w:type="gramStart"/>
      <w:r w:rsidR="00AB2E65">
        <w:t>);</w:t>
      </w:r>
      <w:proofErr w:type="gramEnd"/>
    </w:p>
    <w:p w14:paraId="77356786" w14:textId="221CFFA0" w:rsidR="00AB2E65" w:rsidRDefault="00E657DC" w:rsidP="00E657DC">
      <w:r w:rsidRPr="00E657DC">
        <w:rPr>
          <w:i/>
          <w:iCs/>
        </w:rPr>
        <w:t>c)</w:t>
      </w:r>
      <w:r>
        <w:tab/>
      </w:r>
      <w:r w:rsidR="00AB2E65">
        <w:t xml:space="preserve">that the Inter-Sectoral Coordination Task Force (ISC-TF) comprising senior management from the General Secretariat, the Telecommunication Development Bureau (BDT), the Radiocommunication Bureau (BR) and the Telecommunication Standardization Bureau (TSB) considers options for improving cooperation and coordination at the secretariat </w:t>
      </w:r>
      <w:proofErr w:type="gramStart"/>
      <w:r w:rsidR="00AB2E65">
        <w:t>level</w:t>
      </w:r>
      <w:r>
        <w:t>;</w:t>
      </w:r>
      <w:proofErr w:type="gramEnd"/>
    </w:p>
    <w:p w14:paraId="56D17311" w14:textId="7C6D51AF" w:rsidR="00AB2E65" w:rsidRDefault="00E657DC" w:rsidP="00E657DC">
      <w:pPr>
        <w:rPr>
          <w:b/>
          <w:bCs/>
          <w:sz w:val="28"/>
          <w:szCs w:val="28"/>
        </w:rPr>
      </w:pPr>
      <w:r w:rsidRPr="00E657DC">
        <w:rPr>
          <w:i/>
          <w:iCs/>
        </w:rPr>
        <w:t>d)</w:t>
      </w:r>
      <w:r>
        <w:tab/>
      </w:r>
      <w:r w:rsidR="00AB2E65">
        <w:t>that the Inter-Sector Coordination Group on issues of mutual interest (ISCG), which is composed of representatives from the three advisory groups, works to identify subjects of common interest and mechanisms to enhance collaboration and cooperation among the Sectors and the General Secretariat, and considers reports from the Directors of the Bureaux and the Inter-Sectoral Coordination Task Force (ISC-TF) on options for improving cooperation and coordination within the secretariat,</w:t>
      </w:r>
    </w:p>
    <w:p w14:paraId="3C3848E4" w14:textId="77777777" w:rsidR="00AB2E65" w:rsidRDefault="00AB2E65" w:rsidP="00AB2E65">
      <w:pPr>
        <w:pStyle w:val="Call"/>
        <w:ind w:left="890"/>
        <w:rPr>
          <w:sz w:val="22"/>
        </w:rPr>
      </w:pPr>
      <w:r>
        <w:t>recognizing</w:t>
      </w:r>
    </w:p>
    <w:p w14:paraId="56511404" w14:textId="77777777" w:rsidR="00AB2E65" w:rsidRDefault="00AB2E65" w:rsidP="00E657DC">
      <w:r w:rsidRPr="00E657DC">
        <w:rPr>
          <w:i/>
          <w:iCs/>
        </w:rPr>
        <w:t>a)</w:t>
      </w:r>
      <w:r>
        <w:tab/>
        <w:t xml:space="preserve">that there is a need to improve the participation of developing countries in the work of </w:t>
      </w:r>
      <w:proofErr w:type="gramStart"/>
      <w:r>
        <w:t>ITU;</w:t>
      </w:r>
      <w:proofErr w:type="gramEnd"/>
    </w:p>
    <w:p w14:paraId="7BA1C81B" w14:textId="303141B2" w:rsidR="00AB2E65" w:rsidRPr="00E657DC" w:rsidRDefault="00AB2E65" w:rsidP="00E657DC">
      <w:r w:rsidRPr="00E657DC">
        <w:rPr>
          <w:i/>
          <w:iCs/>
        </w:rPr>
        <w:t>b)</w:t>
      </w:r>
      <w:r w:rsidR="00E657DC">
        <w:tab/>
      </w:r>
      <w:r w:rsidRPr="00E657DC">
        <w:t>that interaction and coordination in the joint holding of seminars, workshops, forums,</w:t>
      </w:r>
      <w:r w:rsidR="00E657DC">
        <w:t xml:space="preserve"> </w:t>
      </w:r>
      <w:r w:rsidRPr="00E657DC">
        <w:t xml:space="preserve">symposia and so forth have yielded positive results in terms of saving financial and human </w:t>
      </w:r>
      <w:proofErr w:type="gramStart"/>
      <w:r w:rsidRPr="00E657DC">
        <w:t>resources;</w:t>
      </w:r>
      <w:proofErr w:type="gramEnd"/>
    </w:p>
    <w:p w14:paraId="0886A03C" w14:textId="4629D129" w:rsidR="00AB2E65" w:rsidRDefault="00AB2E65" w:rsidP="00E657DC">
      <w:r w:rsidRPr="00E657DC">
        <w:rPr>
          <w:i/>
          <w:iCs/>
        </w:rPr>
        <w:t>c)</w:t>
      </w:r>
      <w:r w:rsidR="00E657DC">
        <w:tab/>
      </w:r>
      <w:r>
        <w:t>that providing free online access to ITU</w:t>
      </w:r>
      <w:r>
        <w:noBreakHyphen/>
        <w:t>R Recommendations, Reports and Handbooks facilitates awareness and participation of developing countries in the work of ITU</w:t>
      </w:r>
      <w:r>
        <w:noBreakHyphen/>
      </w:r>
      <w:proofErr w:type="gramStart"/>
      <w:r>
        <w:t>R;</w:t>
      </w:r>
      <w:proofErr w:type="gramEnd"/>
    </w:p>
    <w:p w14:paraId="2FBDCAFB" w14:textId="4D49EE21" w:rsidR="00AB2E65" w:rsidRDefault="00AB2E65" w:rsidP="00E657DC">
      <w:r w:rsidRPr="00E657DC">
        <w:rPr>
          <w:i/>
          <w:iCs/>
        </w:rPr>
        <w:t>d)</w:t>
      </w:r>
      <w:r>
        <w:tab/>
        <w:t>that electronic remote participation will reduce travel costs and will facilitate wider participation of developing countries in the work of ITU</w:t>
      </w:r>
      <w:r>
        <w:noBreakHyphen/>
        <w:t xml:space="preserve">R meetings that require their </w:t>
      </w:r>
      <w:proofErr w:type="gramStart"/>
      <w:r>
        <w:t>attendance;</w:t>
      </w:r>
      <w:proofErr w:type="gramEnd"/>
    </w:p>
    <w:p w14:paraId="047A35E7" w14:textId="0D30B96D" w:rsidR="005D2456" w:rsidRDefault="00AB2E65" w:rsidP="005D2456">
      <w:r w:rsidRPr="00E657DC">
        <w:rPr>
          <w:i/>
          <w:iCs/>
        </w:rPr>
        <w:t>e)</w:t>
      </w:r>
      <w:r w:rsidR="00E657DC">
        <w:tab/>
      </w:r>
      <w:r>
        <w:t>that the following are substantial areas of ITU</w:t>
      </w:r>
      <w:r>
        <w:noBreakHyphen/>
        <w:t>D and ITU</w:t>
      </w:r>
      <w:r>
        <w:noBreakHyphen/>
        <w:t>R mutual interest: participation of countries, particularly developing countries, in spectrum management (WTDC Resolution</w:t>
      </w:r>
      <w:r w:rsidRPr="00E657DC">
        <w:t> </w:t>
      </w:r>
      <w:r>
        <w:t>9); deployment of broadband access technologies in developing countries; telecommunications/ICTs for rural and remote areas; migration and adoption of digital broadcasting and implementation of new services (Q2/1); utilization of telecommunications/ICTs for disaster risk reduction and management; ICTs and the environment (Q</w:t>
      </w:r>
      <w:r w:rsidRPr="00E657DC">
        <w:t> </w:t>
      </w:r>
      <w:r>
        <w:t>6/2); human exposure to electromagnetic fields (Q</w:t>
      </w:r>
      <w:r w:rsidRPr="00E657DC">
        <w:t> </w:t>
      </w:r>
      <w:r>
        <w:t>7/2); telecom infrastructure sharing and Cognitive Radio Systems (CRS) assisting Licensed Shared Access (LSA) or Dynamic Spectrum Access (DSA),</w:t>
      </w:r>
    </w:p>
    <w:p w14:paraId="4008B0EF" w14:textId="77777777" w:rsidR="00AB2E65" w:rsidRPr="00E657DC" w:rsidRDefault="00AB2E65" w:rsidP="005D2456">
      <w:pPr>
        <w:pStyle w:val="Call"/>
      </w:pPr>
      <w:proofErr w:type="gramStart"/>
      <w:r w:rsidRPr="00E657DC">
        <w:t>taking into account</w:t>
      </w:r>
      <w:proofErr w:type="gramEnd"/>
    </w:p>
    <w:p w14:paraId="2878A7DA" w14:textId="720E89A2" w:rsidR="00AB2E65" w:rsidRDefault="00AB2E65" w:rsidP="00E657DC">
      <w:r w:rsidRPr="005D2456">
        <w:rPr>
          <w:i/>
          <w:iCs/>
        </w:rPr>
        <w:t>a)</w:t>
      </w:r>
      <w:r w:rsidR="00E657DC">
        <w:tab/>
      </w:r>
      <w:r>
        <w:t xml:space="preserve">the expanding sphere of joint studies between the three Sectors and the need for coordination and cooperation among them in this </w:t>
      </w:r>
      <w:proofErr w:type="gramStart"/>
      <w:r>
        <w:t>regard;</w:t>
      </w:r>
      <w:proofErr w:type="gramEnd"/>
    </w:p>
    <w:p w14:paraId="37CC26AB" w14:textId="000E42B3" w:rsidR="00AB2E65" w:rsidRDefault="00AB2E65" w:rsidP="00E657DC">
      <w:r w:rsidRPr="005D2456">
        <w:rPr>
          <w:i/>
          <w:iCs/>
        </w:rPr>
        <w:t>b)</w:t>
      </w:r>
      <w:r w:rsidR="00E657DC">
        <w:tab/>
      </w:r>
      <w:r>
        <w:t>the growing number of issues of mutual interest and concern to the three Sectors,</w:t>
      </w:r>
    </w:p>
    <w:p w14:paraId="0FF2349C" w14:textId="77777777" w:rsidR="00AB2E65" w:rsidRDefault="00AB2E65" w:rsidP="00AB2E65">
      <w:pPr>
        <w:pStyle w:val="Call"/>
      </w:pPr>
      <w:r>
        <w:t>resolves</w:t>
      </w:r>
    </w:p>
    <w:p w14:paraId="59D90A6E" w14:textId="22DB619C" w:rsidR="00AB2E65" w:rsidRDefault="005D2456" w:rsidP="005D2456">
      <w:r>
        <w:t>1</w:t>
      </w:r>
      <w:r>
        <w:tab/>
      </w:r>
      <w:r w:rsidR="00AB2E65">
        <w:t>that the Radiocommunication Advisory Group (RAG), the Telecommunication Standardisation Advisory Group (TSAG) and the Telecommunication Development Advisory Group (TDAG), meeting jointly as necessary, shall continue the review of new and existing work and its distribution among ITU</w:t>
      </w:r>
      <w:r w:rsidR="00AB2E65">
        <w:noBreakHyphen/>
        <w:t>R, ITU</w:t>
      </w:r>
      <w:r w:rsidR="00AB2E65">
        <w:noBreakHyphen/>
        <w:t>T and ITU</w:t>
      </w:r>
      <w:r w:rsidR="00AB2E65">
        <w:noBreakHyphen/>
        <w:t xml:space="preserve">D, for approval by Member States in accordance </w:t>
      </w:r>
      <w:r w:rsidR="00AB2E65">
        <w:lastRenderedPageBreak/>
        <w:t>with the procedures laid down for the approval of new and/or revised Questions, as stipulated in Resolution 191 (Rev. Bucharest, 2022) of the Plenipotentiary conference;</w:t>
      </w:r>
    </w:p>
    <w:p w14:paraId="7671FBEB" w14:textId="2D902463" w:rsidR="00AB2E65" w:rsidRDefault="005D2456" w:rsidP="005D2456">
      <w:r>
        <w:t>2</w:t>
      </w:r>
      <w:r>
        <w:tab/>
      </w:r>
      <w:r w:rsidR="00AB2E65">
        <w:t xml:space="preserve">that the principles for the allocation of work to the Radiocommunication Sector and Telecommunication Standardization Sector (see Annex 1) should be used to give guidance in the allocation of work to the </w:t>
      </w:r>
      <w:proofErr w:type="gramStart"/>
      <w:r w:rsidR="00AB2E65">
        <w:t>Sectors;</w:t>
      </w:r>
      <w:proofErr w:type="gramEnd"/>
    </w:p>
    <w:p w14:paraId="0DDA5E09" w14:textId="18851A98" w:rsidR="00AB2E65" w:rsidRDefault="005D2456" w:rsidP="005D2456">
      <w:r>
        <w:t>3</w:t>
      </w:r>
      <w:r>
        <w:tab/>
      </w:r>
      <w:r w:rsidR="00AB2E65">
        <w:t>that, if considerable responsibilities in both Sectors in a particular subject are identified, either:</w:t>
      </w:r>
    </w:p>
    <w:p w14:paraId="0D5635E5" w14:textId="77777777" w:rsidR="00AB2E65" w:rsidRPr="009A237A" w:rsidRDefault="00AB2E65" w:rsidP="00AB2E65">
      <w:pPr>
        <w:pStyle w:val="enumlev1"/>
        <w:tabs>
          <w:tab w:val="left" w:pos="709"/>
        </w:tabs>
        <w:ind w:left="0" w:firstLine="0"/>
      </w:pPr>
      <w:r w:rsidRPr="009A237A">
        <w:t>a)</w:t>
      </w:r>
      <w:r w:rsidRPr="009A237A">
        <w:tab/>
        <w:t>the procedure as given in Annex 2 should be applied, or</w:t>
      </w:r>
    </w:p>
    <w:p w14:paraId="3F5E55A1" w14:textId="77777777" w:rsidR="00AB2E65" w:rsidRPr="009A237A" w:rsidRDefault="00AB2E65" w:rsidP="00AB2E65">
      <w:pPr>
        <w:pStyle w:val="enumlev1"/>
        <w:tabs>
          <w:tab w:val="left" w:pos="709"/>
        </w:tabs>
        <w:ind w:left="0" w:firstLine="0"/>
      </w:pPr>
      <w:r w:rsidRPr="009A237A">
        <w:t>b)</w:t>
      </w:r>
      <w:r w:rsidRPr="009A237A">
        <w:tab/>
        <w:t>a joint meeting may be arranged by the Directors, or</w:t>
      </w:r>
    </w:p>
    <w:p w14:paraId="2107C740" w14:textId="77777777" w:rsidR="00AB2E65" w:rsidRDefault="00AB2E65" w:rsidP="00AB2E65">
      <w:pPr>
        <w:pStyle w:val="enumlev1"/>
        <w:tabs>
          <w:tab w:val="left" w:pos="709"/>
        </w:tabs>
        <w:ind w:left="0" w:firstLine="0"/>
        <w:rPr>
          <w:lang w:val="en-US"/>
        </w:rPr>
      </w:pPr>
      <w:r w:rsidRPr="009A237A">
        <w:t>c)</w:t>
      </w:r>
      <w:r w:rsidRPr="009A237A">
        <w:tab/>
        <w:t>the matter should be studied by relevant Study Groups of both Sectors with appropriate coordination (see Annex 3 and Annex 4</w:t>
      </w:r>
      <w:proofErr w:type="gramStart"/>
      <w:r w:rsidRPr="009A237A">
        <w:t>)</w:t>
      </w:r>
      <w:r w:rsidRPr="009A237A">
        <w:rPr>
          <w:lang w:val="en-US"/>
        </w:rPr>
        <w:t>;</w:t>
      </w:r>
      <w:proofErr w:type="gramEnd"/>
    </w:p>
    <w:p w14:paraId="427399D9" w14:textId="2C075AD4" w:rsidR="00AB2E65" w:rsidRDefault="005D2456" w:rsidP="005D2456">
      <w:r>
        <w:t>4</w:t>
      </w:r>
      <w:r>
        <w:tab/>
      </w:r>
      <w:r w:rsidR="00AB2E65">
        <w:t xml:space="preserve"> to continue facilitating the participation of developing countries through extensive use of remote participation by electronic means, as appropriate, at meetings of ITU</w:t>
      </w:r>
      <w:r w:rsidR="00AB2E65">
        <w:noBreakHyphen/>
        <w:t xml:space="preserve">R Study Groups, Working Parties and Task Groups and the Telecommunication Development Bureau should be urged to consider possibilities for providing developing countries with such </w:t>
      </w:r>
      <w:proofErr w:type="gramStart"/>
      <w:r w:rsidR="00AB2E65">
        <w:t>means;</w:t>
      </w:r>
      <w:proofErr w:type="gramEnd"/>
    </w:p>
    <w:p w14:paraId="67E1EB21" w14:textId="3C992F8E" w:rsidR="00AB2E65" w:rsidRDefault="005D2456" w:rsidP="005D2456">
      <w:r>
        <w:t>5</w:t>
      </w:r>
      <w:r>
        <w:tab/>
      </w:r>
      <w:r w:rsidR="00AB2E65">
        <w:t>to cooperate with the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ITU-</w:t>
      </w:r>
      <w:proofErr w:type="gramStart"/>
      <w:r w:rsidR="00AB2E65">
        <w:t>R;</w:t>
      </w:r>
      <w:proofErr w:type="gramEnd"/>
    </w:p>
    <w:p w14:paraId="61062DE6" w14:textId="41964B79" w:rsidR="00AB2E65" w:rsidRDefault="005D2456" w:rsidP="005D2456">
      <w:r>
        <w:t>6</w:t>
      </w:r>
      <w:r>
        <w:tab/>
      </w:r>
      <w:r w:rsidR="00AB2E65">
        <w:t>that the Director of the Radiocommunication Bureau, assisted by the Radiocommunication Study Groups, shall provide the Telecommunication Development Bureau with the necessary assistance in the development and updating of Handbooks and ITU</w:t>
      </w:r>
      <w:r w:rsidR="00AB2E65">
        <w:noBreakHyphen/>
        <w:t xml:space="preserve">D </w:t>
      </w:r>
      <w:proofErr w:type="gramStart"/>
      <w:r w:rsidR="00AB2E65">
        <w:t>Reports;</w:t>
      </w:r>
      <w:proofErr w:type="gramEnd"/>
    </w:p>
    <w:p w14:paraId="451BB363" w14:textId="768A673D" w:rsidR="00AB2E65" w:rsidRDefault="005D2456" w:rsidP="005D2456">
      <w:r>
        <w:t>7</w:t>
      </w:r>
      <w:r>
        <w:tab/>
      </w:r>
      <w:r w:rsidR="00AB2E65">
        <w:t xml:space="preserve">that the Director of the Radiocommunication Bureau, assisted by the Radiocommunication Study Groups, shall contribute to and participate in the work of the Telecommunication Development Study Groups, when considering relevant studies to which they may give valuable </w:t>
      </w:r>
      <w:proofErr w:type="gramStart"/>
      <w:r w:rsidR="00AB2E65">
        <w:t>inputs;</w:t>
      </w:r>
      <w:proofErr w:type="gramEnd"/>
    </w:p>
    <w:p w14:paraId="52BDA6D8" w14:textId="5245765C" w:rsidR="00AB2E65" w:rsidRDefault="005D2456" w:rsidP="005D2456">
      <w:r>
        <w:t>8</w:t>
      </w:r>
      <w:r>
        <w:tab/>
      </w:r>
      <w:r w:rsidR="00AB2E65">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14:paraId="05DB0FE9" w14:textId="77777777" w:rsidR="00AB2E65" w:rsidRDefault="00AB2E65" w:rsidP="00AB2E65">
      <w:pPr>
        <w:pStyle w:val="Call"/>
      </w:pPr>
      <w:r>
        <w:t xml:space="preserve">invites the Directors of the Bureaux </w:t>
      </w:r>
    </w:p>
    <w:p w14:paraId="3FFE026F" w14:textId="77777777" w:rsidR="00AB2E65" w:rsidRDefault="00AB2E65" w:rsidP="00AB2E65">
      <w:pPr>
        <w:pStyle w:val="enumlev1"/>
        <w:numPr>
          <w:ilvl w:val="0"/>
          <w:numId w:val="13"/>
        </w:numPr>
        <w:tabs>
          <w:tab w:val="clear" w:pos="794"/>
          <w:tab w:val="clear" w:pos="1191"/>
          <w:tab w:val="clear" w:pos="1588"/>
          <w:tab w:val="clear" w:pos="1985"/>
          <w:tab w:val="left" w:pos="709"/>
          <w:tab w:val="left" w:pos="2608"/>
          <w:tab w:val="left" w:pos="3345"/>
        </w:tabs>
        <w:ind w:left="0" w:hanging="16"/>
        <w:textAlignment w:val="auto"/>
      </w:pPr>
      <w:r>
        <w:t xml:space="preserve">to continue to create cooperation mechanisms at secretariat level on matters of mutual interest to the three </w:t>
      </w:r>
      <w:proofErr w:type="gramStart"/>
      <w:r>
        <w:t>Sectors;</w:t>
      </w:r>
      <w:proofErr w:type="gramEnd"/>
    </w:p>
    <w:p w14:paraId="0EB03D49" w14:textId="77777777" w:rsidR="00AB2E65" w:rsidRDefault="00AB2E65" w:rsidP="00AB2E65">
      <w:pPr>
        <w:pStyle w:val="enumlev1"/>
        <w:numPr>
          <w:ilvl w:val="0"/>
          <w:numId w:val="13"/>
        </w:numPr>
        <w:tabs>
          <w:tab w:val="clear" w:pos="794"/>
          <w:tab w:val="clear" w:pos="1191"/>
          <w:tab w:val="clear" w:pos="1588"/>
          <w:tab w:val="clear" w:pos="1985"/>
          <w:tab w:val="left" w:pos="709"/>
          <w:tab w:val="left" w:pos="2608"/>
          <w:tab w:val="left" w:pos="3345"/>
        </w:tabs>
        <w:ind w:left="0" w:hanging="16"/>
        <w:textAlignment w:val="auto"/>
      </w:pPr>
      <w:r>
        <w:t>to strictly observe the provisions of resolves 3 and to identify ways and means of strengthening this cooperation,</w:t>
      </w:r>
    </w:p>
    <w:p w14:paraId="1DA36177" w14:textId="5EDACF26" w:rsidR="00AB2E65" w:rsidRPr="00AB2E65" w:rsidRDefault="00AB2E65" w:rsidP="005D2456">
      <w:pPr>
        <w:pStyle w:val="Call"/>
      </w:pPr>
      <w:r w:rsidRPr="00AB2E65">
        <w:t>invites the Telecommunication Development Advisory Group, in collaboration with Radiocommunication Advisory Group and Telecommunication Standardization Advisory Group</w:t>
      </w:r>
    </w:p>
    <w:p w14:paraId="1FDEDDB0" w14:textId="77777777" w:rsidR="00AB2E65" w:rsidRDefault="00AB2E65" w:rsidP="00AB2E65">
      <w:pPr>
        <w:pStyle w:val="enumlev1"/>
        <w:tabs>
          <w:tab w:val="left" w:pos="709"/>
        </w:tabs>
        <w:ind w:left="0" w:firstLine="0"/>
      </w:pPr>
      <w:r>
        <w:t>to assist in identifying subjects common to the three Sectors, or, bilaterally, subjects common to ITU</w:t>
      </w:r>
      <w:r>
        <w:noBreakHyphen/>
        <w:t>D and either ITU</w:t>
      </w:r>
      <w:r>
        <w:noBreakHyphen/>
        <w:t>R or ITU</w:t>
      </w:r>
      <w:r>
        <w:noBreakHyphen/>
        <w:t>T, and in identifying the necessary mech</w:t>
      </w:r>
      <w:r>
        <w:softHyphen/>
        <w:t>anisms to strengthen cooperation and joint activity among the three Sectors or with each Sector, on issues of joint interest, paying particular attention to the interests of the developing countries, including through participation in ISCG,</w:t>
      </w:r>
    </w:p>
    <w:p w14:paraId="36C3C600" w14:textId="77777777" w:rsidR="00AB2E65" w:rsidRPr="00AB2E65" w:rsidRDefault="00AB2E65" w:rsidP="005D2456">
      <w:pPr>
        <w:pStyle w:val="Call"/>
      </w:pPr>
      <w:r w:rsidRPr="00AB2E65">
        <w:lastRenderedPageBreak/>
        <w:t xml:space="preserve">instructs the ITU Radiocommunication Sector study </w:t>
      </w:r>
      <w:proofErr w:type="gramStart"/>
      <w:r w:rsidRPr="00AB2E65">
        <w:t>groups</w:t>
      </w:r>
      <w:proofErr w:type="gramEnd"/>
      <w:r w:rsidRPr="00AB2E65">
        <w:t xml:space="preserve"> </w:t>
      </w:r>
    </w:p>
    <w:p w14:paraId="0F8FC106" w14:textId="77777777" w:rsidR="00AB2E65" w:rsidRDefault="00AB2E65" w:rsidP="00AB2E65">
      <w:pPr>
        <w:pStyle w:val="enumlev1"/>
        <w:tabs>
          <w:tab w:val="left" w:pos="709"/>
        </w:tabs>
        <w:ind w:left="0" w:firstLine="0"/>
      </w:pPr>
      <w:r>
        <w:t xml:space="preserve">to continue cooperation with the study groups of the other two Sectors </w:t>
      </w:r>
      <w:proofErr w:type="gramStart"/>
      <w:r>
        <w:t>so as to</w:t>
      </w:r>
      <w:proofErr w:type="gramEnd"/>
      <w:r>
        <w:t xml:space="preserve"> avoid duplication of effort and proactively make use of the results of work done by the study groups of those two Sectors,</w:t>
      </w:r>
    </w:p>
    <w:p w14:paraId="4DA38BA2" w14:textId="77777777" w:rsidR="00AB2E65" w:rsidRDefault="00AB2E65" w:rsidP="00AB2E65">
      <w:pPr>
        <w:pStyle w:val="Call"/>
      </w:pPr>
      <w:r>
        <w:t>instructs the Chairmen of the Study Groups and the Director of the Radiocommunication Bureau</w:t>
      </w:r>
    </w:p>
    <w:p w14:paraId="1630985A" w14:textId="77777777" w:rsidR="00AB2E65" w:rsidRDefault="00AB2E65" w:rsidP="00AB2E65">
      <w:r>
        <w:t xml:space="preserve">to take all appropriate actions for the implementation of this Resolution, among others, by motivating participants in the Radiocommunication Sector to </w:t>
      </w:r>
      <w:proofErr w:type="gramStart"/>
      <w:r>
        <w:t>provide assistance to</w:t>
      </w:r>
      <w:proofErr w:type="gramEnd"/>
      <w:r>
        <w:t xml:space="preserve"> the Telecommunication Development Sector,</w:t>
      </w:r>
    </w:p>
    <w:p w14:paraId="615167A5" w14:textId="69F0F84C" w:rsidR="00AB2E65" w:rsidRDefault="00AB2E65" w:rsidP="00AB2E65">
      <w:pPr>
        <w:pStyle w:val="Call"/>
      </w:pPr>
      <w:r>
        <w:t xml:space="preserve">invites Member States and Sector Members </w:t>
      </w:r>
    </w:p>
    <w:p w14:paraId="0B021291" w14:textId="77777777" w:rsidR="00AB2E65" w:rsidRDefault="00AB2E65" w:rsidP="00AB2E65">
      <w:pPr>
        <w:pStyle w:val="enumlev1"/>
        <w:numPr>
          <w:ilvl w:val="0"/>
          <w:numId w:val="14"/>
        </w:numPr>
        <w:tabs>
          <w:tab w:val="clear" w:pos="794"/>
          <w:tab w:val="clear" w:pos="1588"/>
          <w:tab w:val="clear" w:pos="1985"/>
          <w:tab w:val="left" w:pos="709"/>
          <w:tab w:val="left" w:pos="2608"/>
          <w:tab w:val="left" w:pos="3345"/>
        </w:tabs>
        <w:ind w:left="0" w:hanging="16"/>
        <w:textAlignment w:val="auto"/>
      </w:pPr>
      <w:r>
        <w:t xml:space="preserve">to support efforts to improve inter-Sector </w:t>
      </w:r>
      <w:proofErr w:type="gramStart"/>
      <w:r>
        <w:t>coordination;</w:t>
      </w:r>
      <w:proofErr w:type="gramEnd"/>
    </w:p>
    <w:p w14:paraId="698EEE2F" w14:textId="5C7279DD" w:rsidR="00AB2E65" w:rsidRDefault="00AB2E65" w:rsidP="00AB2E65">
      <w:pPr>
        <w:pStyle w:val="enumlev1"/>
        <w:numPr>
          <w:ilvl w:val="0"/>
          <w:numId w:val="14"/>
        </w:numPr>
        <w:tabs>
          <w:tab w:val="clear" w:pos="794"/>
          <w:tab w:val="clear" w:pos="1588"/>
          <w:tab w:val="clear" w:pos="1985"/>
          <w:tab w:val="left" w:pos="709"/>
          <w:tab w:val="left" w:pos="2608"/>
          <w:tab w:val="left" w:pos="3345"/>
        </w:tabs>
        <w:ind w:left="0" w:hanging="16"/>
        <w:textAlignment w:val="auto"/>
      </w:pPr>
      <w:r>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r w:rsidR="005D2456">
        <w:t>.</w:t>
      </w:r>
    </w:p>
    <w:p w14:paraId="22B4B377" w14:textId="77777777" w:rsidR="00AB2E65" w:rsidRDefault="00AB2E65" w:rsidP="00AB2E65">
      <w:pPr>
        <w:pStyle w:val="AnnexNo"/>
      </w:pPr>
      <w:r>
        <w:t>Annex 1</w:t>
      </w:r>
    </w:p>
    <w:p w14:paraId="0955928F" w14:textId="77777777" w:rsidR="00AB2E65" w:rsidRDefault="00AB2E65" w:rsidP="00AB2E65">
      <w:pPr>
        <w:pStyle w:val="Annextitle"/>
      </w:pPr>
      <w:r>
        <w:t>Principles for the allocation of work to the Radiocommunication and Telecommunication Standardization Sectors</w:t>
      </w:r>
    </w:p>
    <w:p w14:paraId="32E41F83" w14:textId="77777777" w:rsidR="00AB2E65" w:rsidRDefault="00AB2E65" w:rsidP="00AB2E65">
      <w:pPr>
        <w:pStyle w:val="Heading1"/>
      </w:pPr>
      <w:r>
        <w:t>1</w:t>
      </w:r>
      <w:r>
        <w:tab/>
        <w:t>General</w:t>
      </w:r>
    </w:p>
    <w:p w14:paraId="7499BAD4" w14:textId="77777777" w:rsidR="00AB2E65" w:rsidRDefault="00AB2E65" w:rsidP="00AB2E65">
      <w:pPr>
        <w:rPr>
          <w:b/>
          <w:bCs/>
          <w:i/>
          <w:iCs/>
        </w:rPr>
      </w:pPr>
      <w:r>
        <w:rPr>
          <w:b/>
          <w:bCs/>
          <w:i/>
          <w:iCs/>
        </w:rPr>
        <w:t>Principle 1</w:t>
      </w:r>
    </w:p>
    <w:p w14:paraId="48A159D7" w14:textId="77777777" w:rsidR="00AB2E65" w:rsidRDefault="00AB2E65" w:rsidP="00AB2E65">
      <w:pPr>
        <w:rPr>
          <w:b/>
          <w:bCs/>
        </w:rPr>
      </w:pPr>
      <w:r>
        <w:rPr>
          <w:b/>
          <w:bCs/>
        </w:rPr>
        <w:t>The approach to work in a Sector needs to be task</w:t>
      </w:r>
      <w:r>
        <w:rPr>
          <w:b/>
          <w:bCs/>
        </w:rPr>
        <w:noBreakHyphen/>
        <w:t>oriented, with an appropriate Study Group (or designated group) responsible for coordination. Further assignment of detailed tasks within a given work item or subject area would then occur, with special arrangements for handling work which crosses Sector boundaries.</w:t>
      </w:r>
    </w:p>
    <w:p w14:paraId="71006CA3" w14:textId="77777777" w:rsidR="00AB2E65" w:rsidRDefault="00AB2E65" w:rsidP="00AB2E65">
      <w:r>
        <w:t xml:space="preserve">Work planning may start with a service or system </w:t>
      </w:r>
      <w:proofErr w:type="gramStart"/>
      <w:r>
        <w:t>concept, and</w:t>
      </w:r>
      <w:proofErr w:type="gramEnd"/>
      <w:r>
        <w:t xml:space="preserve"> would include development of overall network or service architectures and identification of interfaces through to more detailed specification and linking of tasks.</w:t>
      </w:r>
    </w:p>
    <w:p w14:paraId="385499C2" w14:textId="77777777" w:rsidR="00AB2E65" w:rsidRDefault="00AB2E65" w:rsidP="00AB2E65">
      <w:r>
        <w:t>Activity related to ongoing review of existing Recommendations needs to be accommodated as a general area of work.</w:t>
      </w:r>
    </w:p>
    <w:p w14:paraId="209B7AB9" w14:textId="77777777" w:rsidR="00AB2E65" w:rsidRDefault="00AB2E65" w:rsidP="00AB2E65">
      <w:pPr>
        <w:pStyle w:val="Heading1"/>
      </w:pPr>
      <w:r>
        <w:t>2</w:t>
      </w:r>
      <w:r>
        <w:tab/>
        <w:t>Roles of the Sectors</w:t>
      </w:r>
    </w:p>
    <w:p w14:paraId="07BFDD7B" w14:textId="77777777" w:rsidR="00AB2E65" w:rsidRDefault="00AB2E65" w:rsidP="00AB2E65">
      <w:r>
        <w:t>Within a task-oriented approach, experts of both Sectors should be able to work as part of a well</w:t>
      </w:r>
      <w:r>
        <w:noBreakHyphen/>
        <w:t>managed team.</w:t>
      </w:r>
    </w:p>
    <w:p w14:paraId="66A07C17" w14:textId="77777777" w:rsidR="00AB2E65" w:rsidRDefault="00AB2E65" w:rsidP="00AB2E65">
      <w:pPr>
        <w:rPr>
          <w:i/>
          <w:iCs/>
        </w:rPr>
      </w:pPr>
      <w:r>
        <w:rPr>
          <w:b/>
          <w:bCs/>
          <w:i/>
          <w:iCs/>
        </w:rPr>
        <w:t>Principle 2</w:t>
      </w:r>
    </w:p>
    <w:p w14:paraId="35C57857" w14:textId="77777777" w:rsidR="00AB2E65" w:rsidRDefault="00AB2E65" w:rsidP="00AB2E65">
      <w:pPr>
        <w:rPr>
          <w:b/>
          <w:bCs/>
        </w:rPr>
      </w:pPr>
      <w:r>
        <w:rPr>
          <w:b/>
          <w:bCs/>
        </w:rPr>
        <w:t>Telecommunication Standardization Sector work includes interworking arrangements required for either radio</w:t>
      </w:r>
      <w:r>
        <w:rPr>
          <w:b/>
          <w:bCs/>
        </w:rPr>
        <w:noBreakHyphen/>
        <w:t>based equipment within a public telecommunication network or radio systems requiring interconnection for the carriage of public correspondence.</w:t>
      </w:r>
    </w:p>
    <w:p w14:paraId="73A6705A" w14:textId="77777777" w:rsidR="00AB2E65" w:rsidRDefault="00AB2E65" w:rsidP="00AB2E65">
      <w:pPr>
        <w:pStyle w:val="Note"/>
      </w:pPr>
      <w:r>
        <w:t xml:space="preserve">NOTE 1 – Public correspondence: any telecommunication which offices and stations must, by reason of their being at the disposal of the public, </w:t>
      </w:r>
      <w:proofErr w:type="gramStart"/>
      <w:r>
        <w:t>accept</w:t>
      </w:r>
      <w:proofErr w:type="gramEnd"/>
      <w:r>
        <w:t xml:space="preserve"> for transmission.</w:t>
      </w:r>
    </w:p>
    <w:p w14:paraId="5331293A" w14:textId="77777777" w:rsidR="00AB2E65" w:rsidRDefault="00AB2E65" w:rsidP="00AB2E65">
      <w:r>
        <w:lastRenderedPageBreak/>
        <w:t xml:space="preserve">In addition, the Recommendations developed by the Telecommunication Standardization Sector need to provide for the capabilities required to support the </w:t>
      </w:r>
      <w:proofErr w:type="gramStart"/>
      <w:r>
        <w:t>particular characteristics</w:t>
      </w:r>
      <w:proofErr w:type="gramEnd"/>
      <w:r>
        <w:t xml:space="preserve"> of radio systems. Similarly, the work of the Telecommunication Radiocommunication Sector should complement the work of the Standardization Sector, especially where it relates to the use of radio</w:t>
      </w:r>
      <w:r>
        <w:noBreakHyphen/>
        <w:t>based technology in telecommunication networks. The two Sectors will therefore both need to consider interface questions.</w:t>
      </w:r>
    </w:p>
    <w:p w14:paraId="20076BB7" w14:textId="77777777" w:rsidR="00AB2E65" w:rsidRDefault="00AB2E65" w:rsidP="00AB2E65">
      <w:r>
        <w:t>The term “public correspondence” should not be interpreted too restrictively in Principle 2 (and elsewhere). The word “includes” is intended to imply that the carriage of related classes of traffic (</w:t>
      </w:r>
      <w:proofErr w:type="gramStart"/>
      <w:r>
        <w:t>e.g.</w:t>
      </w:r>
      <w:proofErr w:type="gramEnd"/>
      <w:r>
        <w:t> government, service) or user applications are not excluded.</w:t>
      </w:r>
    </w:p>
    <w:p w14:paraId="57BC168F" w14:textId="77777777" w:rsidR="00AB2E65" w:rsidRDefault="00AB2E65" w:rsidP="00AB2E65">
      <w:pPr>
        <w:rPr>
          <w:i/>
          <w:iCs/>
        </w:rPr>
      </w:pPr>
      <w:r>
        <w:rPr>
          <w:b/>
          <w:bCs/>
          <w:i/>
          <w:iCs/>
        </w:rPr>
        <w:t>Principle 3</w:t>
      </w:r>
    </w:p>
    <w:p w14:paraId="65BA45F0" w14:textId="77777777" w:rsidR="00AB2E65" w:rsidRDefault="00AB2E65" w:rsidP="00AB2E65">
      <w:pPr>
        <w:rPr>
          <w:b/>
          <w:bCs/>
        </w:rPr>
      </w:pPr>
      <w:r>
        <w:rPr>
          <w:b/>
          <w:bCs/>
        </w:rPr>
        <w:t>Radiocommunication Sector work related to network standards includes studies addressing the characteristics, performance, operation and spectrum aspects of radio</w:t>
      </w:r>
      <w:r>
        <w:rPr>
          <w:b/>
          <w:bCs/>
        </w:rPr>
        <w:noBreakHyphen/>
        <w:t>based equipment or radio systems as necessary to support the interconnection and interworking arrangements identified by the Telecommunication Standardization Sector.</w:t>
      </w:r>
    </w:p>
    <w:p w14:paraId="3619E7CC" w14:textId="77777777" w:rsidR="00AB2E65" w:rsidRDefault="00AB2E65" w:rsidP="00AB2E65">
      <w:r>
        <w:t>The characteristics of radio</w:t>
      </w:r>
      <w:r>
        <w:noBreakHyphen/>
        <w:t>based equipment refer to those characteristics dealing with the equipment and the physical environment in which the equipment must work. Examples include performance, modulation, coding, error correction, maintenance and other aspects that may affect the interface signals and protocols that are able to be supported.</w:t>
      </w:r>
    </w:p>
    <w:p w14:paraId="1ADE4E42" w14:textId="77777777" w:rsidR="00AB2E65" w:rsidRDefault="00AB2E65" w:rsidP="00AB2E65">
      <w:pPr>
        <w:rPr>
          <w:i/>
          <w:iCs/>
        </w:rPr>
      </w:pPr>
      <w:r>
        <w:rPr>
          <w:b/>
          <w:bCs/>
          <w:i/>
          <w:iCs/>
        </w:rPr>
        <w:t>Principle 4</w:t>
      </w:r>
    </w:p>
    <w:p w14:paraId="5D6D08F3" w14:textId="77777777" w:rsidR="00AB2E65" w:rsidRDefault="00AB2E65" w:rsidP="00AB2E65">
      <w:pPr>
        <w:rPr>
          <w:b/>
          <w:bCs/>
        </w:rPr>
      </w:pPr>
      <w:r>
        <w:rPr>
          <w:b/>
          <w:bCs/>
        </w:rPr>
        <w:t>Before specific tasks are allocated, services, network architectures, and interfaces should be identified as clearly as possible.</w:t>
      </w:r>
    </w:p>
    <w:p w14:paraId="3AFD3D5A" w14:textId="77777777" w:rsidR="00AB2E65" w:rsidRDefault="00AB2E65" w:rsidP="00AB2E65">
      <w:r>
        <w:t>For example, the Telecommunication Standardization Sector and the Radiocommunication Sector would jointly identify interfaces to be supported by the system under study. The Radiocommunication Sector will also need to identify the scope and capabilities of radio systems needed to meet the interface requirements and achieve optimum spectrum/orbit utilization.</w:t>
      </w:r>
    </w:p>
    <w:p w14:paraId="20276ED4" w14:textId="77777777" w:rsidR="00AB2E65" w:rsidRDefault="00AB2E65" w:rsidP="00AB2E65">
      <w:pPr>
        <w:rPr>
          <w:i/>
          <w:iCs/>
        </w:rPr>
      </w:pPr>
      <w:r>
        <w:rPr>
          <w:b/>
          <w:bCs/>
          <w:i/>
          <w:iCs/>
        </w:rPr>
        <w:t>Principle 5</w:t>
      </w:r>
    </w:p>
    <w:p w14:paraId="23D37948" w14:textId="11AB4671" w:rsidR="00AB2E65" w:rsidRDefault="00AB2E65" w:rsidP="00AB2E65">
      <w:pPr>
        <w:rPr>
          <w:b/>
          <w:bCs/>
        </w:rPr>
      </w:pPr>
      <w:r>
        <w:rPr>
          <w:b/>
          <w:bCs/>
        </w:rPr>
        <w:t xml:space="preserve">Work unique to the Radiocommunication Sector covers matters related to spectrum and orbit utilization and efficiency and, </w:t>
      </w:r>
      <w:r>
        <w:rPr>
          <w:b/>
          <w:bCs/>
          <w:i/>
          <w:iCs/>
        </w:rPr>
        <w:t>inter alia</w:t>
      </w:r>
      <w:r>
        <w:rPr>
          <w:b/>
          <w:bCs/>
        </w:rPr>
        <w:t>, all aspects of services not used for public correspondence, for example radiodetermination, independent mobile radio services, broadcasting, safety and distress operation, remote sensing, amateur radio, and radio astronomy.</w:t>
      </w:r>
    </w:p>
    <w:p w14:paraId="2B6778FE" w14:textId="7C88845E" w:rsidR="00D35F45" w:rsidRDefault="00D35F45" w:rsidP="009A237A">
      <w:pPr>
        <w:tabs>
          <w:tab w:val="clear" w:pos="794"/>
          <w:tab w:val="clear" w:pos="1191"/>
          <w:tab w:val="clear" w:pos="1985"/>
        </w:tabs>
        <w:rPr>
          <w:i/>
          <w:iCs/>
        </w:rPr>
      </w:pPr>
      <w:r>
        <w:rPr>
          <w:b/>
          <w:bCs/>
          <w:i/>
          <w:iCs/>
        </w:rPr>
        <w:t>Principle 6</w:t>
      </w:r>
    </w:p>
    <w:p w14:paraId="3B99662A" w14:textId="77777777" w:rsidR="00D35F45" w:rsidRDefault="00D35F45" w:rsidP="00D35F45">
      <w:pPr>
        <w:rPr>
          <w:b/>
          <w:bCs/>
        </w:rPr>
      </w:pPr>
      <w:r>
        <w:rPr>
          <w:b/>
          <w:bCs/>
        </w:rPr>
        <w:t>The studies in one Sector must complement those of the other Sector where a task crosses Sector boundaries noting that in some cases, joint studies may be required as the most practical option. To guide actual work allocations, the coordinating Sector (as user) could produce statements on “desirable/required characteristics”. The potential provider Sector (or Study Group) could on its own initiative, or in response, develop statements of technology capability in the form of “achievable/typical characteristics”.</w:t>
      </w:r>
    </w:p>
    <w:p w14:paraId="0C67F144" w14:textId="06F13473" w:rsidR="00AB2E65" w:rsidRDefault="00D35F45" w:rsidP="00D35F45">
      <w:r>
        <w:t>Mutual dependency will require continued cooperation where both Sectors have an interest in the work. In establishing tasks toward standards for a service based on technology of both Sectors, the coordinating Sector must make best use of established sources of skill and knowledge. Joint ad hoc Groups could be established as needed to ensure the best possible progress and information exchange, where necessary.</w:t>
      </w:r>
    </w:p>
    <w:p w14:paraId="0A9F71C8" w14:textId="77777777" w:rsidR="00AB2E65" w:rsidRDefault="00AB2E65" w:rsidP="00AB2E65">
      <w:pPr>
        <w:pStyle w:val="Heading1"/>
      </w:pPr>
      <w:r>
        <w:lastRenderedPageBreak/>
        <w:t>3</w:t>
      </w:r>
      <w:r>
        <w:tab/>
        <w:t>Coordination on new study Questions</w:t>
      </w:r>
    </w:p>
    <w:p w14:paraId="21DCC25A" w14:textId="77777777" w:rsidR="00AB2E65" w:rsidRDefault="00AB2E65" w:rsidP="00AB2E65">
      <w:r>
        <w:t>Coordination on study Questions is needed. A key element of such arrangements is the maintenance of a satisfactory pace, quality of output and avoidance of delays in progressing current work.</w:t>
      </w:r>
    </w:p>
    <w:p w14:paraId="2D18AF1E" w14:textId="77777777" w:rsidR="00AB2E65" w:rsidRDefault="00AB2E65" w:rsidP="00AB2E65">
      <w:pPr>
        <w:rPr>
          <w:i/>
          <w:iCs/>
        </w:rPr>
      </w:pPr>
      <w:r>
        <w:rPr>
          <w:b/>
          <w:bCs/>
          <w:i/>
          <w:iCs/>
        </w:rPr>
        <w:t>Principle 7</w:t>
      </w:r>
    </w:p>
    <w:p w14:paraId="2702E31F" w14:textId="77777777" w:rsidR="00AB2E65" w:rsidRDefault="00AB2E65" w:rsidP="00AB2E65">
      <w:pPr>
        <w:rPr>
          <w:b/>
          <w:bCs/>
        </w:rPr>
      </w:pPr>
      <w:r>
        <w:rPr>
          <w:b/>
          <w:bCs/>
        </w:rPr>
        <w:t>Standardization work should continue in both Sectors while suitable arrangements are developed and put in place to maintain the pace and quality of output.</w:t>
      </w:r>
    </w:p>
    <w:p w14:paraId="34CFF235" w14:textId="77777777" w:rsidR="00AB2E65" w:rsidRDefault="00AB2E65" w:rsidP="00AB2E65">
      <w:r>
        <w:t>Coordination on study Questions should be monitored and reviewed by the Advisory Groups for the purpose of ensuring timely and progressive output.</w:t>
      </w:r>
    </w:p>
    <w:p w14:paraId="288B9BD8" w14:textId="77777777" w:rsidR="00AB2E65" w:rsidRDefault="00AB2E65" w:rsidP="00AB2E65">
      <w:r>
        <w:t>Some new study Questions may include components which fall into both Sectors. In line with the project approach and efficient management practice, such Questions should be revised so that the tasks for each Sector can be clearly identified, or establish joint arrangements, if necessary.</w:t>
      </w:r>
    </w:p>
    <w:p w14:paraId="0EE676FA" w14:textId="77777777" w:rsidR="00AB2E65" w:rsidRDefault="00AB2E65" w:rsidP="00AB2E65">
      <w:pPr>
        <w:rPr>
          <w:i/>
          <w:iCs/>
        </w:rPr>
      </w:pPr>
      <w:r>
        <w:rPr>
          <w:b/>
          <w:bCs/>
          <w:i/>
          <w:iCs/>
        </w:rPr>
        <w:t>Principle 8</w:t>
      </w:r>
    </w:p>
    <w:p w14:paraId="3A6F0F91" w14:textId="77777777" w:rsidR="00AB2E65" w:rsidRDefault="00AB2E65" w:rsidP="00AB2E65">
      <w:pPr>
        <w:rPr>
          <w:b/>
          <w:bCs/>
        </w:rPr>
      </w:pPr>
      <w:r>
        <w:rPr>
          <w:b/>
          <w:bCs/>
        </w:rPr>
        <w:t>Study Groups should continue as efficient and effective sources of special skills in the task</w:t>
      </w:r>
      <w:r>
        <w:rPr>
          <w:b/>
          <w:bCs/>
        </w:rPr>
        <w:noBreakHyphen/>
        <w:t>oriented environment.</w:t>
      </w:r>
    </w:p>
    <w:p w14:paraId="51B4F0BC" w14:textId="7CBFED0B" w:rsidR="00AB2E65" w:rsidRDefault="00AB2E65" w:rsidP="00AB2E65">
      <w:r>
        <w:t>Task orientation should not lead to numerous, independent project groups which potentially duplicate or diverge from established work. Where it is appropriate to establish a special group (</w:t>
      </w:r>
      <w:proofErr w:type="gramStart"/>
      <w:r>
        <w:t>e.g.</w:t>
      </w:r>
      <w:proofErr w:type="gramEnd"/>
      <w:r>
        <w:t xml:space="preserve"> to address interface or interworking issues), it should draw skills from the relevant Study Groups, appropriately limiting the scope of the project group, while following the guidelines in </w:t>
      </w:r>
      <w:r>
        <w:rPr>
          <w:i/>
          <w:iCs/>
        </w:rPr>
        <w:t>resolves </w:t>
      </w:r>
      <w:r>
        <w:t xml:space="preserve">3. In this way, compatibility and consistency across multiple applications is maintained. Recommendations from such special groups, in any case, </w:t>
      </w:r>
      <w:proofErr w:type="gramStart"/>
      <w:r>
        <w:t>have to</w:t>
      </w:r>
      <w:proofErr w:type="gramEnd"/>
      <w:r>
        <w:t xml:space="preserve"> be approved by the appropriate Study Group prior to submission to the ITU Members for approval.</w:t>
      </w:r>
    </w:p>
    <w:p w14:paraId="145E9E39" w14:textId="6476B286" w:rsidR="009A237A" w:rsidRDefault="009A237A" w:rsidP="009A237A">
      <w:pPr>
        <w:pStyle w:val="AnnexNo"/>
      </w:pPr>
      <w:r>
        <w:t>A</w:t>
      </w:r>
      <w:r>
        <w:t>nnex 2</w:t>
      </w:r>
    </w:p>
    <w:p w14:paraId="0CE8BBDD" w14:textId="77777777" w:rsidR="009A237A" w:rsidRDefault="009A237A" w:rsidP="009A237A">
      <w:pPr>
        <w:pStyle w:val="Annextitle"/>
      </w:pPr>
      <w:r>
        <w:t>Procedural method of cooperation</w:t>
      </w:r>
    </w:p>
    <w:p w14:paraId="577BC7E1" w14:textId="77777777" w:rsidR="009A237A" w:rsidRDefault="009A237A" w:rsidP="009A237A">
      <w:pPr>
        <w:pStyle w:val="Normalaftertitle0"/>
      </w:pPr>
      <w:r>
        <w:t xml:space="preserve">With respect to </w:t>
      </w:r>
      <w:r>
        <w:rPr>
          <w:i/>
          <w:iCs/>
        </w:rPr>
        <w:t>resolves </w:t>
      </w:r>
      <w:r>
        <w:t xml:space="preserve">3 </w:t>
      </w:r>
      <w:r>
        <w:rPr>
          <w:i/>
          <w:iCs/>
        </w:rPr>
        <w:t>a)</w:t>
      </w:r>
      <w:r>
        <w:t>, the following procedure should be applied:</w:t>
      </w:r>
    </w:p>
    <w:p w14:paraId="42AFDE3A" w14:textId="77777777" w:rsidR="009A237A" w:rsidRDefault="009A237A" w:rsidP="009A237A">
      <w:r>
        <w:rPr>
          <w:i/>
          <w:iCs/>
        </w:rPr>
        <w:t>a)</w:t>
      </w:r>
      <w:r>
        <w:tab/>
        <w:t xml:space="preserve">the Radiocommunication and Telecommunication Standardization Advisory Groups may jointly nominate the Sector which will be leading in the work and will finally approve the </w:t>
      </w:r>
      <w:proofErr w:type="gramStart"/>
      <w:r>
        <w:t>deliverable;</w:t>
      </w:r>
      <w:proofErr w:type="gramEnd"/>
    </w:p>
    <w:p w14:paraId="6FED2897" w14:textId="77777777" w:rsidR="009A237A" w:rsidRDefault="009A237A" w:rsidP="009A237A">
      <w:r>
        <w:rPr>
          <w:i/>
          <w:iCs/>
        </w:rPr>
        <w:t>b)</w:t>
      </w:r>
      <w:r>
        <w:tab/>
        <w:t xml:space="preserve">the leading Sector will request the other Sector to indicate those requirements which it considers essential for integration in the </w:t>
      </w:r>
      <w:proofErr w:type="gramStart"/>
      <w:r>
        <w:t>deliverable;</w:t>
      </w:r>
      <w:proofErr w:type="gramEnd"/>
    </w:p>
    <w:p w14:paraId="783B1AAB" w14:textId="77777777" w:rsidR="009A237A" w:rsidRDefault="009A237A" w:rsidP="009A237A">
      <w:r>
        <w:rPr>
          <w:i/>
          <w:iCs/>
        </w:rPr>
        <w:t>c)</w:t>
      </w:r>
      <w:r>
        <w:tab/>
        <w:t xml:space="preserve">the leading Sector will base its work on these essential requirements and integrate them in its draft </w:t>
      </w:r>
      <w:proofErr w:type="gramStart"/>
      <w:r>
        <w:t>deliverable;</w:t>
      </w:r>
      <w:proofErr w:type="gramEnd"/>
    </w:p>
    <w:p w14:paraId="0E7B0F08" w14:textId="77777777" w:rsidR="009A237A" w:rsidRDefault="009A237A" w:rsidP="009A237A">
      <w:r>
        <w:rPr>
          <w:i/>
          <w:iCs/>
        </w:rPr>
        <w:t>d)</w:t>
      </w:r>
      <w:r>
        <w:tab/>
        <w:t xml:space="preserve">during the process of development of the required deliverable the leading Sector shall consult with the other Sector in case it meets difficulties with these essential requirements. In case of agreement on revised essential requirements the revised requirements shall be the basis for further </w:t>
      </w:r>
      <w:proofErr w:type="gramStart"/>
      <w:r>
        <w:t>work;</w:t>
      </w:r>
      <w:proofErr w:type="gramEnd"/>
    </w:p>
    <w:p w14:paraId="21FC5197" w14:textId="77777777" w:rsidR="009A237A" w:rsidRDefault="009A237A" w:rsidP="009A237A">
      <w:r>
        <w:rPr>
          <w:i/>
          <w:iCs/>
        </w:rPr>
        <w:t>e)</w:t>
      </w:r>
      <w:r>
        <w:tab/>
        <w:t>when the deliverable concerned comes to maturity, the leading Sector shall seek once more the views of the other Sector.</w:t>
      </w:r>
    </w:p>
    <w:p w14:paraId="54A28F9A" w14:textId="67D2E3B9" w:rsidR="00AB2E65" w:rsidRDefault="009A237A" w:rsidP="009A237A">
      <w:r>
        <w:t xml:space="preserve">In the determination of the work </w:t>
      </w:r>
      <w:proofErr w:type="gramStart"/>
      <w:r>
        <w:t>responsibility</w:t>
      </w:r>
      <w:proofErr w:type="gramEnd"/>
      <w:r>
        <w:t xml:space="preserve"> it may be appropriate to progress the work by drawing jointly on the skills of both Sectors.</w:t>
      </w:r>
    </w:p>
    <w:p w14:paraId="7B6BFA1B" w14:textId="77777777" w:rsidR="00AB2E65" w:rsidRDefault="00AB2E65" w:rsidP="00AB2E65">
      <w:pPr>
        <w:pStyle w:val="AnnexNo"/>
      </w:pPr>
      <w:r>
        <w:lastRenderedPageBreak/>
        <w:t>Annex 3</w:t>
      </w:r>
    </w:p>
    <w:p w14:paraId="7866E4FA" w14:textId="77777777" w:rsidR="00AB2E65" w:rsidRDefault="00AB2E65" w:rsidP="00AB2E65">
      <w:pPr>
        <w:pStyle w:val="Annextitle"/>
      </w:pPr>
      <w:r>
        <w:t xml:space="preserve">Coordination of the radiocommunication and telecommunication standardization activities through </w:t>
      </w:r>
      <w:proofErr w:type="spellStart"/>
      <w:r>
        <w:t>Intersector</w:t>
      </w:r>
      <w:proofErr w:type="spellEnd"/>
      <w:r>
        <w:t xml:space="preserve"> Coordination Groups</w:t>
      </w:r>
    </w:p>
    <w:p w14:paraId="1E6B3EBD" w14:textId="77777777" w:rsidR="00AB2E65" w:rsidRDefault="00AB2E65" w:rsidP="00AB2E65">
      <w:pPr>
        <w:pStyle w:val="Normalaftertitle"/>
      </w:pPr>
      <w:r>
        <w:t xml:space="preserve">With respect to </w:t>
      </w:r>
      <w:r>
        <w:rPr>
          <w:i/>
        </w:rPr>
        <w:t>resolves</w:t>
      </w:r>
      <w:r>
        <w:t xml:space="preserve"> 3 </w:t>
      </w:r>
      <w:r>
        <w:rPr>
          <w:i/>
          <w:iCs/>
        </w:rPr>
        <w:t>c)</w:t>
      </w:r>
      <w:r>
        <w:t xml:space="preserve"> the following procedure shall be applied when two or more Study Groups of the two ITU Sectors are concerned in the same aspects of a specific technical subject:</w:t>
      </w:r>
    </w:p>
    <w:p w14:paraId="13528C24" w14:textId="77777777" w:rsidR="00AB2E65" w:rsidRDefault="00AB2E65" w:rsidP="00AB2E65">
      <w:r>
        <w:rPr>
          <w:i/>
          <w:iCs/>
        </w:rPr>
        <w:t>a)</w:t>
      </w:r>
      <w:r>
        <w:tab/>
        <w:t xml:space="preserve">the joint meeting of the advisory groups as indicated in </w:t>
      </w:r>
      <w:r>
        <w:rPr>
          <w:i/>
          <w:iCs/>
        </w:rPr>
        <w:t>resolves</w:t>
      </w:r>
      <w:r>
        <w:t xml:space="preserve"> 1, may, in exceptional cases, establish an </w:t>
      </w:r>
      <w:proofErr w:type="spellStart"/>
      <w:r>
        <w:t>Intersector</w:t>
      </w:r>
      <w:proofErr w:type="spellEnd"/>
      <w:r>
        <w:t xml:space="preserve"> Coordination Group (ICG) to coordinate the work of both Sectors and to assist the advisory groups in coordinating the related activity of their respective Study </w:t>
      </w:r>
      <w:proofErr w:type="gramStart"/>
      <w:r>
        <w:t>Groups;</w:t>
      </w:r>
      <w:proofErr w:type="gramEnd"/>
    </w:p>
    <w:p w14:paraId="60D6EC63" w14:textId="77777777" w:rsidR="00AB2E65" w:rsidRDefault="00AB2E65" w:rsidP="00AB2E65">
      <w:r>
        <w:rPr>
          <w:i/>
          <w:iCs/>
        </w:rPr>
        <w:t>b)</w:t>
      </w:r>
      <w:r>
        <w:tab/>
        <w:t xml:space="preserve">the joint meeting shall, at the same time, nominate the Sector which will be leading in the </w:t>
      </w:r>
      <w:proofErr w:type="gramStart"/>
      <w:r>
        <w:t>work;</w:t>
      </w:r>
      <w:proofErr w:type="gramEnd"/>
    </w:p>
    <w:p w14:paraId="30376B5B" w14:textId="77777777" w:rsidR="00AB2E65" w:rsidRDefault="00AB2E65" w:rsidP="00AB2E65">
      <w:r>
        <w:rPr>
          <w:i/>
          <w:iCs/>
        </w:rPr>
        <w:t>c)</w:t>
      </w:r>
      <w:r>
        <w:tab/>
        <w:t xml:space="preserve">the mandate of each ICG shall be clearly defined by the joint meeting, based on the particular circumstances and issues at the time the group is established; the joint meeting shall also establish a target date for termination of the </w:t>
      </w:r>
      <w:proofErr w:type="gramStart"/>
      <w:r>
        <w:t>ICG;</w:t>
      </w:r>
      <w:proofErr w:type="gramEnd"/>
    </w:p>
    <w:p w14:paraId="591E5048" w14:textId="77777777" w:rsidR="00AB2E65" w:rsidRDefault="00AB2E65" w:rsidP="00AB2E65">
      <w:r>
        <w:rPr>
          <w:i/>
          <w:iCs/>
        </w:rPr>
        <w:t>d)</w:t>
      </w:r>
      <w:r>
        <w:tab/>
        <w:t xml:space="preserve">the ICG shall designate a Chair and a Vice-Chair, one representing each </w:t>
      </w:r>
      <w:proofErr w:type="gramStart"/>
      <w:r>
        <w:t>Sector;</w:t>
      </w:r>
      <w:proofErr w:type="gramEnd"/>
    </w:p>
    <w:p w14:paraId="7AFACC45" w14:textId="77777777" w:rsidR="00AB2E65" w:rsidRDefault="00AB2E65" w:rsidP="00AB2E65">
      <w:r>
        <w:rPr>
          <w:i/>
          <w:iCs/>
        </w:rPr>
        <w:t>e)</w:t>
      </w:r>
      <w:r>
        <w:tab/>
        <w:t xml:space="preserve">the ICG shall be open to Members of both Sectors in accordance with Nos. 86 to 88 and 110 to 112 of the </w:t>
      </w:r>
      <w:proofErr w:type="gramStart"/>
      <w:r>
        <w:t>Constitution;</w:t>
      </w:r>
      <w:proofErr w:type="gramEnd"/>
    </w:p>
    <w:p w14:paraId="027B6569" w14:textId="77777777" w:rsidR="00AB2E65" w:rsidRDefault="00AB2E65" w:rsidP="00AB2E65">
      <w:r>
        <w:rPr>
          <w:i/>
          <w:iCs/>
        </w:rPr>
        <w:t>f)</w:t>
      </w:r>
      <w:r>
        <w:tab/>
        <w:t xml:space="preserve">the ICG shall not develop </w:t>
      </w:r>
      <w:proofErr w:type="gramStart"/>
      <w:r>
        <w:t>Recommendations;</w:t>
      </w:r>
      <w:proofErr w:type="gramEnd"/>
    </w:p>
    <w:p w14:paraId="52EE27D0" w14:textId="77777777" w:rsidR="00AB2E65" w:rsidRDefault="00AB2E65" w:rsidP="00AB2E65">
      <w:r>
        <w:rPr>
          <w:i/>
          <w:iCs/>
        </w:rPr>
        <w:t>g)</w:t>
      </w:r>
      <w:r>
        <w:tab/>
        <w:t xml:space="preserve">the ICG shall prepare reports on its coordinating activities to be presented to each Sector’s Advisory Group; these reports shall be submitted by the Directors to the two </w:t>
      </w:r>
      <w:proofErr w:type="gramStart"/>
      <w:r>
        <w:t>Sectors;</w:t>
      </w:r>
      <w:proofErr w:type="gramEnd"/>
    </w:p>
    <w:p w14:paraId="157A3906" w14:textId="77777777" w:rsidR="00AB2E65" w:rsidRDefault="00AB2E65" w:rsidP="00AB2E65">
      <w:r>
        <w:rPr>
          <w:i/>
          <w:iCs/>
        </w:rPr>
        <w:t>h)</w:t>
      </w:r>
      <w:r>
        <w:tab/>
        <w:t xml:space="preserve">an ICG may also be established by the Radiocommunication Assembly or by the World Telecommunication Standardization Assembly following a recommendation by the advisory group of the other </w:t>
      </w:r>
      <w:proofErr w:type="gramStart"/>
      <w:r>
        <w:t>Sector;</w:t>
      </w:r>
      <w:proofErr w:type="gramEnd"/>
    </w:p>
    <w:p w14:paraId="0CEA5939" w14:textId="77777777" w:rsidR="00AB2E65" w:rsidRDefault="00AB2E65" w:rsidP="00AB2E65">
      <w:r>
        <w:rPr>
          <w:i/>
          <w:iCs/>
        </w:rPr>
        <w:t>i)</w:t>
      </w:r>
      <w:r>
        <w:tab/>
        <w:t>the cost of an ICG shall be supported by the two Sectors on an equal basis and each Director shall include in the budget of his Sector, budgetary provisions for such meetings.</w:t>
      </w:r>
    </w:p>
    <w:p w14:paraId="156DA279" w14:textId="77777777" w:rsidR="00AB2E65" w:rsidRDefault="00AB2E65" w:rsidP="00AB2E65">
      <w:pPr>
        <w:pStyle w:val="AnnexNo"/>
      </w:pPr>
      <w:r>
        <w:t>Annex 4</w:t>
      </w:r>
    </w:p>
    <w:p w14:paraId="29FEA95E" w14:textId="77777777" w:rsidR="00AB2E65" w:rsidRDefault="00AB2E65" w:rsidP="00AB2E65">
      <w:pPr>
        <w:pStyle w:val="Annextitle"/>
      </w:pPr>
      <w:r>
        <w:t xml:space="preserve">Coordination of the radiocommunication and telecommunication standardization activities through </w:t>
      </w:r>
      <w:proofErr w:type="spellStart"/>
      <w:r>
        <w:t>Intersector</w:t>
      </w:r>
      <w:proofErr w:type="spellEnd"/>
      <w:r>
        <w:t xml:space="preserve"> Rapporteur Groups</w:t>
      </w:r>
    </w:p>
    <w:p w14:paraId="29B43179" w14:textId="77777777" w:rsidR="00AB2E65" w:rsidRDefault="00AB2E65" w:rsidP="00AB2E65">
      <w:pPr>
        <w:pStyle w:val="Normalaftertitle"/>
      </w:pPr>
      <w:r>
        <w:t xml:space="preserve">With respect to </w:t>
      </w:r>
      <w:r>
        <w:rPr>
          <w:i/>
          <w:iCs/>
        </w:rPr>
        <w:t>resolves</w:t>
      </w:r>
      <w:r>
        <w:t xml:space="preserve"> </w:t>
      </w:r>
      <w:r>
        <w:rPr>
          <w:i/>
          <w:iCs/>
          <w:lang w:val="en-US"/>
        </w:rPr>
        <w:t>3</w:t>
      </w:r>
      <w:r>
        <w:rPr>
          <w:i/>
          <w:iCs/>
        </w:rPr>
        <w:t>c)</w:t>
      </w:r>
      <w:r>
        <w:t xml:space="preserve"> the following procedure shall be applied when work on a particular subject could be best performed by bringing together technology experts from the concerned Study Groups or Working Parties of the two ITU Sectors to cooperate on a peer-to-peer basis in a technical group:</w:t>
      </w:r>
    </w:p>
    <w:p w14:paraId="00DABCE3" w14:textId="77777777" w:rsidR="00AB2E65" w:rsidRDefault="00AB2E65" w:rsidP="00AB2E65">
      <w:r>
        <w:rPr>
          <w:i/>
          <w:iCs/>
        </w:rPr>
        <w:t>a)</w:t>
      </w:r>
      <w:r>
        <w:tab/>
        <w:t xml:space="preserve">the concerned Study Groups or Working Parties in the two Sectors may, in special cases, agree by mutual consultation to establish an </w:t>
      </w:r>
      <w:proofErr w:type="spellStart"/>
      <w:r>
        <w:t>Intersector</w:t>
      </w:r>
      <w:proofErr w:type="spellEnd"/>
      <w:r>
        <w:t xml:space="preserve"> Rapporteur Group (IRG) to coordinate the work of their Study Groups or Working Parties on some specific technical issue, informing TSAG and RAG of this action through a liaison </w:t>
      </w:r>
      <w:proofErr w:type="gramStart"/>
      <w:r>
        <w:t>statement;</w:t>
      </w:r>
      <w:proofErr w:type="gramEnd"/>
      <w:r>
        <w:t xml:space="preserve"> </w:t>
      </w:r>
    </w:p>
    <w:p w14:paraId="628D0058" w14:textId="77777777" w:rsidR="00AB2E65" w:rsidRDefault="00AB2E65" w:rsidP="00AB2E65">
      <w:r>
        <w:rPr>
          <w:i/>
          <w:iCs/>
        </w:rPr>
        <w:t>b)</w:t>
      </w:r>
      <w:r>
        <w:tab/>
        <w:t xml:space="preserve">the concerned Study Groups or Working Parties in the two Sectors shall, at the same time, agree on clearly defined terms of reference for the IRG, and establish a target date for completion of the work and termination of the </w:t>
      </w:r>
      <w:proofErr w:type="gramStart"/>
      <w:r>
        <w:t>IRG;</w:t>
      </w:r>
      <w:proofErr w:type="gramEnd"/>
    </w:p>
    <w:p w14:paraId="56530C6E" w14:textId="77777777" w:rsidR="00AB2E65" w:rsidRDefault="00AB2E65" w:rsidP="00AB2E65">
      <w:r>
        <w:rPr>
          <w:i/>
          <w:iCs/>
        </w:rPr>
        <w:lastRenderedPageBreak/>
        <w:t>c)</w:t>
      </w:r>
      <w:r>
        <w:tab/>
        <w:t xml:space="preserve">the concerned Study Groups or Working Parties in the two Sectors shall also designate the Chairman (or co-Chairmen) of the IRG, taking into account the requested specific expertise and ensuring equitable representation of all the concerned Study Groups or Working Parties in each </w:t>
      </w:r>
      <w:proofErr w:type="gramStart"/>
      <w:r>
        <w:t>Sector;</w:t>
      </w:r>
      <w:proofErr w:type="gramEnd"/>
    </w:p>
    <w:p w14:paraId="4B10C2CF" w14:textId="77777777" w:rsidR="00AB2E65" w:rsidRDefault="00AB2E65" w:rsidP="00AB2E65">
      <w:r>
        <w:rPr>
          <w:i/>
          <w:iCs/>
        </w:rPr>
        <w:t>d)</w:t>
      </w:r>
      <w:r>
        <w:tab/>
        <w:t>being a Rapporteur Group, the IRG shall be regulated by the provisions applicable to Rapporteur Groups in Resolution ITU</w:t>
      </w:r>
      <w:r>
        <w:noBreakHyphen/>
        <w:t>R 1 and in Recommendation ITU</w:t>
      </w:r>
      <w:r>
        <w:noBreakHyphen/>
        <w:t>T A.1; participation is limited to members of ITU</w:t>
      </w:r>
      <w:r>
        <w:noBreakHyphen/>
        <w:t>T and ITU</w:t>
      </w:r>
      <w:r>
        <w:noBreakHyphen/>
      </w:r>
      <w:proofErr w:type="gramStart"/>
      <w:r>
        <w:t>R;</w:t>
      </w:r>
      <w:proofErr w:type="gramEnd"/>
    </w:p>
    <w:p w14:paraId="5D0E59C9" w14:textId="77777777" w:rsidR="00AB2E65" w:rsidRDefault="00AB2E65" w:rsidP="00AB2E65">
      <w:r>
        <w:rPr>
          <w:i/>
          <w:iCs/>
        </w:rPr>
        <w:t>e)</w:t>
      </w:r>
      <w:r>
        <w:tab/>
        <w:t xml:space="preserve">in fulfilling its mandate, an IRG may develop draft new Recommendations or draft revisions to Recommendations, as well as draft new Reports or draft revisions to Reports, to be submitted to its parent Study Groups or Working Parties for further processing as </w:t>
      </w:r>
      <w:proofErr w:type="gramStart"/>
      <w:r>
        <w:t>appropriate;</w:t>
      </w:r>
      <w:proofErr w:type="gramEnd"/>
      <w:r>
        <w:t xml:space="preserve"> </w:t>
      </w:r>
    </w:p>
    <w:p w14:paraId="0A976504" w14:textId="77777777" w:rsidR="00AB2E65" w:rsidRDefault="00AB2E65" w:rsidP="00AB2E65">
      <w:r>
        <w:rPr>
          <w:i/>
          <w:iCs/>
        </w:rPr>
        <w:t>f)</w:t>
      </w:r>
      <w:r>
        <w:tab/>
        <w:t xml:space="preserve">the results of the IRG's work should represent the agreed consensus of the Group or reflect the diversity of views of the participants in the </w:t>
      </w:r>
      <w:proofErr w:type="gramStart"/>
      <w:r>
        <w:t>Group;</w:t>
      </w:r>
      <w:proofErr w:type="gramEnd"/>
      <w:r>
        <w:t xml:space="preserve"> </w:t>
      </w:r>
    </w:p>
    <w:p w14:paraId="6D0AFAA1" w14:textId="77777777" w:rsidR="00AB2E65" w:rsidRDefault="00AB2E65" w:rsidP="00AB2E65">
      <w:r>
        <w:rPr>
          <w:i/>
          <w:iCs/>
        </w:rPr>
        <w:t>g)</w:t>
      </w:r>
      <w:r>
        <w:tab/>
        <w:t xml:space="preserve">an IRG shall also prepare reports on its activities, to be submitted to each meeting of its parent Study Groups or Working </w:t>
      </w:r>
      <w:proofErr w:type="gramStart"/>
      <w:r>
        <w:t>Parties;</w:t>
      </w:r>
      <w:proofErr w:type="gramEnd"/>
      <w:r>
        <w:t xml:space="preserve"> </w:t>
      </w:r>
    </w:p>
    <w:p w14:paraId="593DEAD2" w14:textId="77777777" w:rsidR="00AB2E65" w:rsidRDefault="00AB2E65" w:rsidP="00AB2E65">
      <w:r>
        <w:rPr>
          <w:i/>
          <w:iCs/>
        </w:rPr>
        <w:t>h)</w:t>
      </w:r>
      <w:r>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p>
    <w:p w14:paraId="51C039FA" w14:textId="698BF610" w:rsidR="00AB2E65" w:rsidRDefault="00AB2E65" w:rsidP="00B34963">
      <w:pPr>
        <w:tabs>
          <w:tab w:val="clear" w:pos="794"/>
          <w:tab w:val="clear" w:pos="1191"/>
          <w:tab w:val="clear" w:pos="1588"/>
          <w:tab w:val="clear" w:pos="1985"/>
        </w:tabs>
        <w:overflowPunct/>
        <w:autoSpaceDE/>
        <w:autoSpaceDN/>
        <w:adjustRightInd/>
        <w:spacing w:before="0"/>
        <w:textAlignment w:val="auto"/>
        <w:rPr>
          <w:sz w:val="28"/>
          <w:szCs w:val="28"/>
          <w:lang w:val="ru-RU"/>
        </w:rPr>
      </w:pPr>
    </w:p>
    <w:p w14:paraId="396BB554" w14:textId="77777777" w:rsidR="00B34963" w:rsidRDefault="00B34963" w:rsidP="00B34963">
      <w:pPr>
        <w:tabs>
          <w:tab w:val="clear" w:pos="794"/>
          <w:tab w:val="clear" w:pos="1191"/>
          <w:tab w:val="clear" w:pos="1588"/>
          <w:tab w:val="clear" w:pos="1985"/>
        </w:tabs>
        <w:overflowPunct/>
        <w:autoSpaceDE/>
        <w:autoSpaceDN/>
        <w:adjustRightInd/>
        <w:spacing w:before="0"/>
        <w:textAlignment w:val="auto"/>
        <w:rPr>
          <w:sz w:val="28"/>
          <w:szCs w:val="28"/>
          <w:lang w:val="ru-RU"/>
        </w:rPr>
      </w:pPr>
    </w:p>
    <w:p w14:paraId="3A90BC4D" w14:textId="77777777" w:rsidR="00AB2E65" w:rsidRDefault="00AB2E65" w:rsidP="00AB2E65">
      <w:pPr>
        <w:pStyle w:val="ResNo"/>
        <w:spacing w:line="276" w:lineRule="auto"/>
        <w:rPr>
          <w:szCs w:val="28"/>
          <w:lang w:val="en-US"/>
        </w:rPr>
      </w:pPr>
      <w:r>
        <w:rPr>
          <w:b w:val="0"/>
          <w:bCs/>
          <w:caps/>
          <w:szCs w:val="28"/>
          <w:lang w:val="en-US"/>
        </w:rPr>
        <w:t>SUP</w:t>
      </w:r>
      <w:r>
        <w:rPr>
          <w:caps/>
          <w:szCs w:val="28"/>
          <w:lang w:val="en-US"/>
        </w:rPr>
        <w:tab/>
        <w:t>Resolution ITU-R 6-3</w:t>
      </w:r>
    </w:p>
    <w:p w14:paraId="5D94AB04" w14:textId="7011FB09" w:rsidR="00AB2E65" w:rsidRDefault="00AB2E65" w:rsidP="00AB2E65">
      <w:pPr>
        <w:jc w:val="both"/>
        <w:rPr>
          <w:sz w:val="28"/>
          <w:szCs w:val="28"/>
        </w:rPr>
      </w:pPr>
      <w:r>
        <w:rPr>
          <w:sz w:val="28"/>
          <w:szCs w:val="28"/>
        </w:rPr>
        <w:t>"Liaison and cooperation with the ITU Telecommunication Standardization Sector"</w:t>
      </w:r>
    </w:p>
    <w:p w14:paraId="7CD8828D" w14:textId="77777777" w:rsidR="00D35F45" w:rsidRDefault="00D35F45" w:rsidP="00AB2E65">
      <w:pPr>
        <w:jc w:val="both"/>
        <w:rPr>
          <w:sz w:val="28"/>
          <w:szCs w:val="28"/>
        </w:rPr>
      </w:pPr>
    </w:p>
    <w:p w14:paraId="2B719883" w14:textId="6838719F" w:rsidR="00AB2E65" w:rsidRDefault="00AB2E65" w:rsidP="00AB2E65">
      <w:pPr>
        <w:pStyle w:val="ResNo"/>
        <w:spacing w:line="276" w:lineRule="auto"/>
        <w:rPr>
          <w:szCs w:val="28"/>
          <w:lang w:val="ru-RU"/>
        </w:rPr>
      </w:pPr>
      <w:r>
        <w:rPr>
          <w:b w:val="0"/>
          <w:bCs/>
          <w:caps/>
          <w:szCs w:val="28"/>
          <w:lang w:val="ru-RU"/>
        </w:rPr>
        <w:t>SUP</w:t>
      </w:r>
      <w:r w:rsidR="00D35F45">
        <w:rPr>
          <w:b w:val="0"/>
          <w:bCs/>
          <w:caps/>
          <w:szCs w:val="28"/>
          <w:lang w:val="ru-RU"/>
        </w:rPr>
        <w:tab/>
      </w:r>
      <w:r>
        <w:rPr>
          <w:caps/>
          <w:szCs w:val="28"/>
          <w:lang w:val="en-US"/>
        </w:rPr>
        <w:t>Resolution</w:t>
      </w:r>
      <w:r>
        <w:rPr>
          <w:caps/>
          <w:szCs w:val="28"/>
          <w:lang w:val="ru-RU"/>
        </w:rPr>
        <w:t xml:space="preserve"> </w:t>
      </w:r>
      <w:r>
        <w:rPr>
          <w:caps/>
          <w:szCs w:val="28"/>
          <w:lang w:val="en-US"/>
        </w:rPr>
        <w:t>ITU</w:t>
      </w:r>
      <w:r>
        <w:rPr>
          <w:caps/>
          <w:szCs w:val="28"/>
          <w:lang w:val="ru-RU"/>
        </w:rPr>
        <w:t xml:space="preserve">-R </w:t>
      </w:r>
      <w:proofErr w:type="gramStart"/>
      <w:r>
        <w:rPr>
          <w:caps/>
          <w:szCs w:val="28"/>
          <w:lang w:val="ru-RU"/>
        </w:rPr>
        <w:t>7-4</w:t>
      </w:r>
      <w:proofErr w:type="gramEnd"/>
    </w:p>
    <w:p w14:paraId="3FF4AE2F" w14:textId="191545D9" w:rsidR="00AB2E65" w:rsidRDefault="00AB2E65" w:rsidP="00AB2E65">
      <w:pPr>
        <w:pStyle w:val="ResNo"/>
        <w:spacing w:line="276" w:lineRule="auto"/>
        <w:jc w:val="both"/>
        <w:rPr>
          <w:b w:val="0"/>
          <w:szCs w:val="28"/>
        </w:rPr>
      </w:pPr>
      <w:r w:rsidRPr="00D35F45">
        <w:rPr>
          <w:b w:val="0"/>
          <w:szCs w:val="28"/>
        </w:rPr>
        <w:t xml:space="preserve">"Telecommunication development including liaison and collaboration with the ITU Telecommunication Development </w:t>
      </w:r>
      <w:proofErr w:type="gramStart"/>
      <w:r w:rsidRPr="00D35F45">
        <w:rPr>
          <w:b w:val="0"/>
          <w:szCs w:val="28"/>
        </w:rPr>
        <w:t>Sector”</w:t>
      </w:r>
      <w:proofErr w:type="gramEnd"/>
    </w:p>
    <w:p w14:paraId="60255B97" w14:textId="77777777" w:rsidR="00D35F45" w:rsidRPr="00D35F45" w:rsidRDefault="00D35F45" w:rsidP="00D35F45"/>
    <w:p w14:paraId="28CB1DB0" w14:textId="39EDA015" w:rsidR="00AB2E65" w:rsidRDefault="00AB2E65" w:rsidP="00AB2E65">
      <w:pPr>
        <w:pStyle w:val="ResNo"/>
        <w:spacing w:line="276" w:lineRule="auto"/>
        <w:jc w:val="both"/>
        <w:rPr>
          <w:caps/>
          <w:szCs w:val="28"/>
          <w:lang w:val="en-US"/>
        </w:rPr>
      </w:pPr>
      <w:r>
        <w:rPr>
          <w:b w:val="0"/>
          <w:bCs/>
          <w:caps/>
          <w:szCs w:val="28"/>
          <w:lang w:val="en-US"/>
        </w:rPr>
        <w:t>SUP</w:t>
      </w:r>
      <w:r w:rsidR="00D35F45">
        <w:rPr>
          <w:b w:val="0"/>
          <w:bCs/>
          <w:caps/>
          <w:szCs w:val="28"/>
          <w:lang w:val="en-US"/>
        </w:rPr>
        <w:tab/>
      </w:r>
      <w:r>
        <w:rPr>
          <w:caps/>
          <w:szCs w:val="28"/>
          <w:lang w:val="en-US"/>
        </w:rPr>
        <w:t xml:space="preserve">Resolution ITU-R </w:t>
      </w:r>
      <w:r>
        <w:rPr>
          <w:szCs w:val="28"/>
          <w:lang w:val="en-US" w:eastAsia="zh-CN"/>
        </w:rPr>
        <w:t>48-3</w:t>
      </w:r>
    </w:p>
    <w:p w14:paraId="66EEBE8E" w14:textId="77777777" w:rsidR="00AB2E65" w:rsidRPr="00D35F45" w:rsidRDefault="00AB2E65" w:rsidP="00AB2E65">
      <w:pPr>
        <w:tabs>
          <w:tab w:val="clear" w:pos="794"/>
          <w:tab w:val="clear" w:pos="1191"/>
          <w:tab w:val="left" w:pos="426"/>
        </w:tabs>
        <w:rPr>
          <w:sz w:val="28"/>
          <w:szCs w:val="28"/>
        </w:rPr>
      </w:pPr>
      <w:r>
        <w:rPr>
          <w:sz w:val="28"/>
          <w:szCs w:val="28"/>
        </w:rPr>
        <w:t>“Strengthening the regional presence in the Radiocommunication Study Group work” according to the attached document.</w:t>
      </w:r>
    </w:p>
    <w:p w14:paraId="14378DD2" w14:textId="77777777" w:rsidR="00D35F45" w:rsidRDefault="00D35F45" w:rsidP="00411C49">
      <w:pPr>
        <w:pStyle w:val="Reasons"/>
      </w:pPr>
    </w:p>
    <w:p w14:paraId="32485C39" w14:textId="77777777" w:rsidR="00D35F45" w:rsidRDefault="00D35F45">
      <w:pPr>
        <w:jc w:val="center"/>
      </w:pPr>
      <w:r>
        <w:t>______________</w:t>
      </w:r>
    </w:p>
    <w:p w14:paraId="6C42BC6B" w14:textId="77777777" w:rsidR="00AB2E65" w:rsidRDefault="00AB2E65">
      <w:pPr>
        <w:tabs>
          <w:tab w:val="clear" w:pos="794"/>
          <w:tab w:val="clear" w:pos="1191"/>
          <w:tab w:val="clear" w:pos="1588"/>
          <w:tab w:val="clear" w:pos="1985"/>
        </w:tabs>
        <w:overflowPunct/>
        <w:autoSpaceDE/>
        <w:autoSpaceDN/>
        <w:adjustRightInd/>
        <w:spacing w:before="0"/>
        <w:textAlignment w:val="auto"/>
      </w:pPr>
    </w:p>
    <w:sectPr w:rsidR="00AB2E65" w:rsidSect="00F749FF">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12FA" w14:textId="77777777" w:rsidR="00C76B2D" w:rsidRDefault="00C76B2D">
      <w:r>
        <w:separator/>
      </w:r>
    </w:p>
  </w:endnote>
  <w:endnote w:type="continuationSeparator" w:id="0">
    <w:p w14:paraId="43BF8AE9" w14:textId="77777777" w:rsidR="00C76B2D" w:rsidRDefault="00C7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755" w14:textId="77777777" w:rsidR="00C76B2D" w:rsidRDefault="00C76B2D">
      <w:r>
        <w:t>____________________</w:t>
      </w:r>
    </w:p>
  </w:footnote>
  <w:footnote w:type="continuationSeparator" w:id="0">
    <w:p w14:paraId="4CF6F24B" w14:textId="77777777" w:rsidR="00C76B2D" w:rsidRDefault="00C76B2D">
      <w:r>
        <w:continuationSeparator/>
      </w:r>
    </w:p>
  </w:footnote>
  <w:footnote w:id="1">
    <w:p w14:paraId="18C51C01" w14:textId="1F38B15C" w:rsidR="00AB2E65" w:rsidRDefault="00AB2E65" w:rsidP="00AB2E65">
      <w:pPr>
        <w:pStyle w:val="FootnoteText"/>
      </w:pPr>
      <w:r>
        <w:rPr>
          <w:rStyle w:val="FootnoteReference"/>
        </w:rPr>
        <w:footnoteRef/>
      </w:r>
      <w:r>
        <w:t xml:space="preserve"> </w:t>
      </w:r>
      <w:r>
        <w:rPr>
          <w:sz w:val="22"/>
          <w:szCs w:val="22"/>
        </w:rPr>
        <w:t>This document has been agreed within the framework of the Working Group of the RA/WRC of the RCC Commission on RFS and CO</w:t>
      </w:r>
      <w:r w:rsidR="00E657DC">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03947"/>
      <w:docPartObj>
        <w:docPartGallery w:val="Page Numbers (Top of Page)"/>
        <w:docPartUnique/>
      </w:docPartObj>
    </w:sdtPr>
    <w:sdtEndPr>
      <w:rPr>
        <w:noProof/>
      </w:rPr>
    </w:sdtEndPr>
    <w:sdtContent>
      <w:p w14:paraId="79C9C1D5" w14:textId="77777777" w:rsidR="005566C4" w:rsidRDefault="005566C4">
        <w:pPr>
          <w:pStyle w:val="Header"/>
          <w:rPr>
            <w:noProof/>
          </w:rPr>
        </w:pPr>
        <w:r>
          <w:fldChar w:fldCharType="begin"/>
        </w:r>
        <w:r>
          <w:instrText xml:space="preserve"> PAGE   \* MERGEFORMAT </w:instrText>
        </w:r>
        <w:r>
          <w:fldChar w:fldCharType="separate"/>
        </w:r>
        <w:r>
          <w:rPr>
            <w:noProof/>
          </w:rPr>
          <w:t>2</w:t>
        </w:r>
        <w:r>
          <w:rPr>
            <w:noProof/>
          </w:rPr>
          <w:fldChar w:fldCharType="end"/>
        </w:r>
      </w:p>
      <w:p w14:paraId="77F99A2C" w14:textId="26D6FFC4" w:rsidR="005566C4" w:rsidRDefault="005566C4" w:rsidP="005566C4">
        <w:pPr>
          <w:pStyle w:val="Header"/>
        </w:pPr>
        <w:r>
          <w:rPr>
            <w:lang w:val="es-ES"/>
          </w:rPr>
          <w:t>RAG/6</w:t>
        </w:r>
        <w:r>
          <w:rPr>
            <w:lang w:val="es-ES"/>
          </w:rPr>
          <w:t>2</w:t>
        </w:r>
        <w:r>
          <w:rPr>
            <w:lang w:val="es-ES"/>
          </w:rPr>
          <w:t>-E</w:t>
        </w:r>
      </w:p>
    </w:sdtContent>
  </w:sdt>
  <w:p w14:paraId="294A669E" w14:textId="7BF16D43" w:rsidR="00F33D85" w:rsidRDefault="00F33D85" w:rsidP="005566C4">
    <w:pPr>
      <w:pStyle w:val="Header"/>
      <w:tabs>
        <w:tab w:val="left" w:pos="58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028DF"/>
    <w:multiLevelType w:val="hybridMultilevel"/>
    <w:tmpl w:val="751AD5BE"/>
    <w:lvl w:ilvl="0" w:tplc="C302D950">
      <w:start w:val="1"/>
      <w:numFmt w:val="lowerLetter"/>
      <w:lvlText w:val="%1)"/>
      <w:lvlJc w:val="left"/>
      <w:pPr>
        <w:ind w:left="890" w:hanging="530"/>
      </w:pPr>
      <w:rPr>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A166E72"/>
    <w:multiLevelType w:val="hybridMultilevel"/>
    <w:tmpl w:val="0936CE02"/>
    <w:lvl w:ilvl="0" w:tplc="84AE9686">
      <w:start w:val="1"/>
      <w:numFmt w:val="decimal"/>
      <w:lvlText w:val="%1"/>
      <w:lvlJc w:val="left"/>
      <w:pPr>
        <w:ind w:left="1150" w:hanging="7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68406243">
    <w:abstractNumId w:val="9"/>
  </w:num>
  <w:num w:numId="2" w16cid:durableId="841241025">
    <w:abstractNumId w:val="7"/>
  </w:num>
  <w:num w:numId="3" w16cid:durableId="1002852652">
    <w:abstractNumId w:val="6"/>
  </w:num>
  <w:num w:numId="4" w16cid:durableId="1708526449">
    <w:abstractNumId w:val="5"/>
  </w:num>
  <w:num w:numId="5" w16cid:durableId="285359806">
    <w:abstractNumId w:val="4"/>
  </w:num>
  <w:num w:numId="6" w16cid:durableId="1443184437">
    <w:abstractNumId w:val="8"/>
  </w:num>
  <w:num w:numId="7" w16cid:durableId="601687140">
    <w:abstractNumId w:val="3"/>
  </w:num>
  <w:num w:numId="8" w16cid:durableId="1800342220">
    <w:abstractNumId w:val="2"/>
  </w:num>
  <w:num w:numId="9" w16cid:durableId="1001547791">
    <w:abstractNumId w:val="1"/>
  </w:num>
  <w:num w:numId="10" w16cid:durableId="1847474396">
    <w:abstractNumId w:val="0"/>
  </w:num>
  <w:num w:numId="11" w16cid:durableId="1812866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8440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7931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5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1"/>
    <w:rsid w:val="00093C73"/>
    <w:rsid w:val="000C466A"/>
    <w:rsid w:val="000E52EF"/>
    <w:rsid w:val="000F2431"/>
    <w:rsid w:val="00111FE5"/>
    <w:rsid w:val="001377D6"/>
    <w:rsid w:val="001632FD"/>
    <w:rsid w:val="001E41A0"/>
    <w:rsid w:val="00223241"/>
    <w:rsid w:val="00237E22"/>
    <w:rsid w:val="002774E4"/>
    <w:rsid w:val="002A5A75"/>
    <w:rsid w:val="002F4DA3"/>
    <w:rsid w:val="0035406A"/>
    <w:rsid w:val="003C4326"/>
    <w:rsid w:val="003D068D"/>
    <w:rsid w:val="003E2CE2"/>
    <w:rsid w:val="00420F57"/>
    <w:rsid w:val="00481551"/>
    <w:rsid w:val="004E6628"/>
    <w:rsid w:val="004F0848"/>
    <w:rsid w:val="00507DA3"/>
    <w:rsid w:val="0051782D"/>
    <w:rsid w:val="005566C4"/>
    <w:rsid w:val="00597657"/>
    <w:rsid w:val="005B2C58"/>
    <w:rsid w:val="005D2456"/>
    <w:rsid w:val="00646E69"/>
    <w:rsid w:val="00656189"/>
    <w:rsid w:val="00695E43"/>
    <w:rsid w:val="006B4CFB"/>
    <w:rsid w:val="006E7B9E"/>
    <w:rsid w:val="0071010B"/>
    <w:rsid w:val="00746923"/>
    <w:rsid w:val="007934C9"/>
    <w:rsid w:val="007F55BA"/>
    <w:rsid w:val="00806E63"/>
    <w:rsid w:val="0081028D"/>
    <w:rsid w:val="008A1171"/>
    <w:rsid w:val="008B3F50"/>
    <w:rsid w:val="008B55E1"/>
    <w:rsid w:val="00906598"/>
    <w:rsid w:val="0095426A"/>
    <w:rsid w:val="00971BF2"/>
    <w:rsid w:val="009A237A"/>
    <w:rsid w:val="009D27EC"/>
    <w:rsid w:val="009E7E9E"/>
    <w:rsid w:val="00A02EC3"/>
    <w:rsid w:val="00A16CB2"/>
    <w:rsid w:val="00A47B61"/>
    <w:rsid w:val="00AB2E65"/>
    <w:rsid w:val="00AF7CE7"/>
    <w:rsid w:val="00B34963"/>
    <w:rsid w:val="00B35BE4"/>
    <w:rsid w:val="00B409FB"/>
    <w:rsid w:val="00B52992"/>
    <w:rsid w:val="00B54D36"/>
    <w:rsid w:val="00B70E14"/>
    <w:rsid w:val="00C126C1"/>
    <w:rsid w:val="00C2188B"/>
    <w:rsid w:val="00C322C4"/>
    <w:rsid w:val="00C76B2D"/>
    <w:rsid w:val="00C80D8C"/>
    <w:rsid w:val="00CC1D49"/>
    <w:rsid w:val="00CD4D80"/>
    <w:rsid w:val="00CE366B"/>
    <w:rsid w:val="00CF7532"/>
    <w:rsid w:val="00D211BC"/>
    <w:rsid w:val="00D35F45"/>
    <w:rsid w:val="00DC3B29"/>
    <w:rsid w:val="00DD3BF8"/>
    <w:rsid w:val="00E347FA"/>
    <w:rsid w:val="00E657DC"/>
    <w:rsid w:val="00EC0BE3"/>
    <w:rsid w:val="00F176DA"/>
    <w:rsid w:val="00F33D85"/>
    <w:rsid w:val="00F749FF"/>
    <w:rsid w:val="00FB72AB"/>
    <w:rsid w:val="00FC1E29"/>
    <w:rsid w:val="00FE1160"/>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E4272E"/>
  <w15:docId w15:val="{45E7B189-A3C3-4A77-B4D3-9AD25EA9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uiPriority w:val="99"/>
    <w:rsid w:val="00CD4D80"/>
    <w:pPr>
      <w:spacing w:before="80"/>
    </w:p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link w:val="ResNoChar"/>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uiPriority w:val="99"/>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rsid w:val="006E7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E9E"/>
    <w:rPr>
      <w:color w:val="0000FF"/>
      <w:u w:val="single"/>
    </w:rPr>
  </w:style>
  <w:style w:type="character" w:styleId="UnresolvedMention">
    <w:name w:val="Unresolved Mention"/>
    <w:basedOn w:val="DefaultParagraphFont"/>
    <w:uiPriority w:val="99"/>
    <w:semiHidden/>
    <w:unhideWhenUsed/>
    <w:rsid w:val="009E7E9E"/>
    <w:rPr>
      <w:color w:val="605E5C"/>
      <w:shd w:val="clear" w:color="auto" w:fill="E1DFDD"/>
    </w:rPr>
  </w:style>
  <w:style w:type="character" w:styleId="FollowedHyperlink">
    <w:name w:val="FollowedHyperlink"/>
    <w:basedOn w:val="DefaultParagraphFont"/>
    <w:semiHidden/>
    <w:unhideWhenUsed/>
    <w:rsid w:val="008A1171"/>
    <w:rPr>
      <w:color w:val="800080" w:themeColor="followedHyperlink"/>
      <w:u w:val="single"/>
    </w:rPr>
  </w:style>
  <w:style w:type="paragraph" w:styleId="NormalWeb">
    <w:name w:val="Normal (Web)"/>
    <w:basedOn w:val="Normal"/>
    <w:uiPriority w:val="99"/>
    <w:semiHidden/>
    <w:unhideWhenUsed/>
    <w:rsid w:val="00AB2E6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styleId="ListParagraph">
    <w:name w:val="List Paragraph"/>
    <w:basedOn w:val="Normal"/>
    <w:uiPriority w:val="34"/>
    <w:qFormat/>
    <w:rsid w:val="00AB2E65"/>
    <w:pPr>
      <w:ind w:left="720"/>
      <w:contextualSpacing/>
      <w:textAlignment w:val="auto"/>
    </w:pPr>
  </w:style>
  <w:style w:type="character" w:customStyle="1" w:styleId="RestitleChar">
    <w:name w:val="Res_title Char"/>
    <w:link w:val="Restitle"/>
    <w:locked/>
    <w:rsid w:val="00AB2E65"/>
    <w:rPr>
      <w:rFonts w:ascii="Times New Roman" w:hAnsi="Times New Roman"/>
      <w:b/>
      <w:sz w:val="28"/>
      <w:lang w:val="en-GB" w:eastAsia="en-US"/>
    </w:rPr>
  </w:style>
  <w:style w:type="character" w:customStyle="1" w:styleId="NormalaftertitleChar0">
    <w:name w:val="Normal after title Char"/>
    <w:basedOn w:val="DefaultParagraphFont"/>
    <w:link w:val="Normalaftertitle0"/>
    <w:semiHidden/>
    <w:locked/>
    <w:rsid w:val="00AB2E65"/>
    <w:rPr>
      <w:rFonts w:ascii="Times New Roman" w:hAnsi="Times New Roman"/>
      <w:sz w:val="24"/>
      <w:lang w:val="en-GB"/>
    </w:rPr>
  </w:style>
  <w:style w:type="paragraph" w:customStyle="1" w:styleId="Normalaftertitle0">
    <w:name w:val="Normal after title"/>
    <w:basedOn w:val="Normal"/>
    <w:next w:val="Normal"/>
    <w:link w:val="NormalaftertitleChar0"/>
    <w:semiHidden/>
    <w:rsid w:val="00AB2E65"/>
    <w:pPr>
      <w:tabs>
        <w:tab w:val="clear" w:pos="794"/>
        <w:tab w:val="clear" w:pos="1191"/>
        <w:tab w:val="clear" w:pos="1588"/>
        <w:tab w:val="clear" w:pos="1985"/>
        <w:tab w:val="left" w:pos="1134"/>
        <w:tab w:val="left" w:pos="1871"/>
        <w:tab w:val="left" w:pos="2268"/>
      </w:tabs>
      <w:spacing w:before="280"/>
      <w:textAlignment w:val="auto"/>
    </w:pPr>
    <w:rPr>
      <w:lang w:eastAsia="zh-CN"/>
    </w:rPr>
  </w:style>
  <w:style w:type="character" w:customStyle="1" w:styleId="CallChar">
    <w:name w:val="Call Char"/>
    <w:link w:val="Call"/>
    <w:locked/>
    <w:rsid w:val="00AB2E65"/>
    <w:rPr>
      <w:rFonts w:ascii="Times New Roman" w:hAnsi="Times New Roman"/>
      <w:i/>
      <w:sz w:val="24"/>
      <w:lang w:val="en-GB" w:eastAsia="en-US"/>
    </w:rPr>
  </w:style>
  <w:style w:type="paragraph" w:customStyle="1" w:styleId="Pa30">
    <w:name w:val="Pa3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paragraph" w:customStyle="1" w:styleId="Pa10">
    <w:name w:val="Pa10"/>
    <w:basedOn w:val="Normal"/>
    <w:next w:val="Normal"/>
    <w:uiPriority w:val="99"/>
    <w:semiHidden/>
    <w:rsid w:val="00AB2E65"/>
    <w:pPr>
      <w:tabs>
        <w:tab w:val="clear" w:pos="794"/>
        <w:tab w:val="clear" w:pos="1191"/>
        <w:tab w:val="clear" w:pos="1588"/>
        <w:tab w:val="clear" w:pos="1985"/>
      </w:tabs>
      <w:overflowPunct/>
      <w:spacing w:before="0" w:line="201" w:lineRule="atLeast"/>
      <w:textAlignment w:val="auto"/>
    </w:pPr>
    <w:rPr>
      <w:rFonts w:ascii="Calibri Light" w:eastAsiaTheme="minorHAnsi" w:hAnsi="Calibri Light" w:cs="Calibri Light"/>
      <w:szCs w:val="24"/>
      <w:lang w:val="ru-RU"/>
    </w:rPr>
  </w:style>
  <w:style w:type="character" w:customStyle="1" w:styleId="enumlev1Char">
    <w:name w:val="enumlev1 Char"/>
    <w:basedOn w:val="DefaultParagraphFont"/>
    <w:link w:val="enumlev1"/>
    <w:locked/>
    <w:rsid w:val="00AB2E65"/>
    <w:rPr>
      <w:rFonts w:ascii="Times New Roman" w:hAnsi="Times New Roman"/>
      <w:sz w:val="24"/>
      <w:lang w:val="en-GB" w:eastAsia="en-US"/>
    </w:rPr>
  </w:style>
  <w:style w:type="paragraph" w:customStyle="1" w:styleId="Annextitle">
    <w:name w:val="Annex_title"/>
    <w:basedOn w:val="Normal"/>
    <w:next w:val="Normal"/>
    <w:uiPriority w:val="99"/>
    <w:semiHidden/>
    <w:rsid w:val="00AB2E65"/>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hAnsi="Times New Roman Bold"/>
      <w:b/>
      <w:sz w:val="28"/>
    </w:rPr>
  </w:style>
  <w:style w:type="paragraph" w:customStyle="1" w:styleId="AnnexNo">
    <w:name w:val="Annex_No"/>
    <w:basedOn w:val="Normal"/>
    <w:next w:val="Annextitle"/>
    <w:uiPriority w:val="99"/>
    <w:semiHidden/>
    <w:rsid w:val="00AB2E65"/>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rPr>
  </w:style>
  <w:style w:type="character" w:customStyle="1" w:styleId="NormalaftertitleChar">
    <w:name w:val="Normal_after_title Char"/>
    <w:basedOn w:val="DefaultParagraphFont"/>
    <w:link w:val="Normalaftertitle"/>
    <w:locked/>
    <w:rsid w:val="00AB2E65"/>
    <w:rPr>
      <w:rFonts w:ascii="Times New Roman" w:hAnsi="Times New Roman"/>
      <w:sz w:val="24"/>
      <w:lang w:val="en-GB" w:eastAsia="en-US"/>
    </w:rPr>
  </w:style>
  <w:style w:type="paragraph" w:customStyle="1" w:styleId="Reasons">
    <w:name w:val="Reasons"/>
    <w:basedOn w:val="Normal"/>
    <w:qFormat/>
    <w:rsid w:val="00AB2E65"/>
    <w:pPr>
      <w:tabs>
        <w:tab w:val="clear" w:pos="794"/>
        <w:tab w:val="clear" w:pos="1191"/>
        <w:tab w:val="left" w:pos="1134"/>
      </w:tabs>
      <w:textAlignment w:val="auto"/>
    </w:pPr>
    <w:rPr>
      <w:sz w:val="22"/>
    </w:rPr>
  </w:style>
  <w:style w:type="character" w:customStyle="1" w:styleId="ResNoChar">
    <w:name w:val="Res_No Char"/>
    <w:basedOn w:val="DefaultParagraphFont"/>
    <w:link w:val="ResNo"/>
    <w:locked/>
    <w:rsid w:val="00AB2E6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62380">
      <w:bodyDiv w:val="1"/>
      <w:marLeft w:val="0"/>
      <w:marRight w:val="0"/>
      <w:marTop w:val="0"/>
      <w:marBottom w:val="0"/>
      <w:divBdr>
        <w:top w:val="none" w:sz="0" w:space="0" w:color="auto"/>
        <w:left w:val="none" w:sz="0" w:space="0" w:color="auto"/>
        <w:bottom w:val="none" w:sz="0" w:space="0" w:color="auto"/>
        <w:right w:val="none" w:sz="0" w:space="0" w:color="auto"/>
      </w:divBdr>
    </w:div>
    <w:div w:id="951403495">
      <w:bodyDiv w:val="1"/>
      <w:marLeft w:val="0"/>
      <w:marRight w:val="0"/>
      <w:marTop w:val="0"/>
      <w:marBottom w:val="0"/>
      <w:divBdr>
        <w:top w:val="none" w:sz="0" w:space="0" w:color="auto"/>
        <w:left w:val="none" w:sz="0" w:space="0" w:color="auto"/>
        <w:bottom w:val="none" w:sz="0" w:space="0" w:color="auto"/>
        <w:right w:val="none" w:sz="0" w:space="0" w:color="auto"/>
      </w:divBdr>
    </w:div>
    <w:div w:id="12833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3427</Words>
  <Characters>20056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Bonnici, Adrienne</cp:lastModifiedBy>
  <cp:revision>8</cp:revision>
  <cp:lastPrinted>1999-09-30T15:03:00Z</cp:lastPrinted>
  <dcterms:created xsi:type="dcterms:W3CDTF">2023-03-31T06:01:00Z</dcterms:created>
  <dcterms:modified xsi:type="dcterms:W3CDTF">2023-03-31T06:41:00Z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