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C317D5" w14:paraId="61DB63A8" w14:textId="77777777" w:rsidTr="00B27BCB">
        <w:trPr>
          <w:cantSplit/>
        </w:trPr>
        <w:tc>
          <w:tcPr>
            <w:tcW w:w="6772" w:type="dxa"/>
            <w:vAlign w:val="center"/>
          </w:tcPr>
          <w:p w14:paraId="30D1A273" w14:textId="77777777" w:rsidR="0057336B" w:rsidRPr="00C317D5" w:rsidRDefault="0057336B" w:rsidP="00AB4BAD">
            <w:pPr>
              <w:shd w:val="solid" w:color="FFFFFF" w:fill="FFFFFF"/>
              <w:tabs>
                <w:tab w:val="left" w:pos="568"/>
              </w:tabs>
              <w:spacing w:before="360" w:after="240"/>
              <w:rPr>
                <w:b/>
                <w:caps/>
                <w:sz w:val="32"/>
              </w:rPr>
            </w:pPr>
            <w:bookmarkStart w:id="0" w:name="_GoBack"/>
            <w:bookmarkEnd w:id="0"/>
            <w:r w:rsidRPr="00C317D5">
              <w:rPr>
                <w:rFonts w:ascii="Verdana" w:hAnsi="Verdana" w:cs="Times New Roman Bold"/>
                <w:b/>
                <w:sz w:val="26"/>
                <w:szCs w:val="26"/>
              </w:rPr>
              <w:t>Grupo Asesor de Radiocomunicaciones</w:t>
            </w:r>
            <w:r w:rsidRPr="00C317D5">
              <w:rPr>
                <w:b/>
                <w:caps/>
                <w:sz w:val="32"/>
              </w:rPr>
              <w:br/>
            </w:r>
          </w:p>
        </w:tc>
        <w:tc>
          <w:tcPr>
            <w:tcW w:w="3117" w:type="dxa"/>
            <w:vAlign w:val="center"/>
          </w:tcPr>
          <w:p w14:paraId="7551E56C" w14:textId="77777777" w:rsidR="0057336B" w:rsidRPr="00C317D5" w:rsidRDefault="00AB4BAD" w:rsidP="00A7663C">
            <w:pPr>
              <w:shd w:val="solid" w:color="FFFFFF" w:fill="FFFFFF"/>
              <w:spacing w:before="0"/>
            </w:pPr>
            <w:r w:rsidRPr="00C317D5">
              <w:rPr>
                <w:noProof/>
                <w:lang w:eastAsia="es-ES"/>
              </w:rPr>
              <w:drawing>
                <wp:inline distT="0" distB="0" distL="0" distR="0" wp14:anchorId="60936036" wp14:editId="10DEF221">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C317D5" w14:paraId="497BEA4A" w14:textId="77777777" w:rsidTr="00B27BCB">
        <w:trPr>
          <w:cantSplit/>
        </w:trPr>
        <w:tc>
          <w:tcPr>
            <w:tcW w:w="6772" w:type="dxa"/>
            <w:tcBorders>
              <w:bottom w:val="single" w:sz="12" w:space="0" w:color="auto"/>
            </w:tcBorders>
          </w:tcPr>
          <w:p w14:paraId="388B14F3" w14:textId="77777777" w:rsidR="006E291F" w:rsidRPr="00C317D5"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14:paraId="4AAF7DDA" w14:textId="77777777" w:rsidR="006E291F" w:rsidRPr="00C317D5" w:rsidRDefault="006E291F" w:rsidP="00CB7A43">
            <w:pPr>
              <w:shd w:val="solid" w:color="FFFFFF" w:fill="FFFFFF"/>
              <w:spacing w:before="0" w:after="48" w:line="240" w:lineRule="atLeast"/>
              <w:rPr>
                <w:sz w:val="22"/>
                <w:szCs w:val="22"/>
              </w:rPr>
            </w:pPr>
          </w:p>
        </w:tc>
      </w:tr>
      <w:tr w:rsidR="006E291F" w:rsidRPr="00C317D5" w14:paraId="10133FA4" w14:textId="77777777" w:rsidTr="00B27BCB">
        <w:trPr>
          <w:cantSplit/>
        </w:trPr>
        <w:tc>
          <w:tcPr>
            <w:tcW w:w="6772" w:type="dxa"/>
            <w:tcBorders>
              <w:top w:val="single" w:sz="12" w:space="0" w:color="auto"/>
            </w:tcBorders>
          </w:tcPr>
          <w:p w14:paraId="31D7E769" w14:textId="77777777" w:rsidR="006E291F" w:rsidRPr="00C317D5"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14:paraId="42D56868" w14:textId="77777777" w:rsidR="006E291F" w:rsidRPr="00C317D5" w:rsidRDefault="006E291F" w:rsidP="00CB7A43">
            <w:pPr>
              <w:shd w:val="solid" w:color="FFFFFF" w:fill="FFFFFF"/>
              <w:spacing w:before="0" w:after="48" w:line="240" w:lineRule="atLeast"/>
              <w:rPr>
                <w:rFonts w:ascii="Verdana" w:hAnsi="Verdana"/>
                <w:sz w:val="22"/>
                <w:szCs w:val="22"/>
              </w:rPr>
            </w:pPr>
          </w:p>
        </w:tc>
      </w:tr>
      <w:tr w:rsidR="00B27BCB" w:rsidRPr="00C317D5" w14:paraId="56F40F67" w14:textId="77777777" w:rsidTr="008428BF">
        <w:trPr>
          <w:cantSplit/>
          <w:trHeight w:val="279"/>
        </w:trPr>
        <w:tc>
          <w:tcPr>
            <w:tcW w:w="6772" w:type="dxa"/>
            <w:vMerge w:val="restart"/>
          </w:tcPr>
          <w:p w14:paraId="4D7D3298" w14:textId="77777777" w:rsidR="00B27BCB" w:rsidRPr="00C317D5" w:rsidRDefault="00B27BCB" w:rsidP="00B27BCB">
            <w:pPr>
              <w:shd w:val="solid" w:color="FFFFFF" w:fill="FFFFFF"/>
              <w:spacing w:after="240"/>
              <w:rPr>
                <w:sz w:val="20"/>
              </w:rPr>
            </w:pPr>
            <w:bookmarkStart w:id="1" w:name="dnum" w:colFirst="1" w:colLast="1"/>
          </w:p>
        </w:tc>
        <w:tc>
          <w:tcPr>
            <w:tcW w:w="3117" w:type="dxa"/>
          </w:tcPr>
          <w:p w14:paraId="570ADE03" w14:textId="71501B40" w:rsidR="00B27BCB" w:rsidRPr="00C317D5" w:rsidRDefault="00E31093" w:rsidP="0000257A">
            <w:pPr>
              <w:shd w:val="solid" w:color="FFFFFF" w:fill="FFFFFF"/>
              <w:spacing w:before="0" w:line="240" w:lineRule="atLeast"/>
              <w:rPr>
                <w:rFonts w:ascii="Verdana" w:hAnsi="Verdana"/>
                <w:sz w:val="20"/>
              </w:rPr>
            </w:pPr>
            <w:r w:rsidRPr="00C317D5">
              <w:rPr>
                <w:rFonts w:ascii="Verdana" w:hAnsi="Verdana"/>
                <w:b/>
                <w:sz w:val="20"/>
              </w:rPr>
              <w:t>Revisión 1 al</w:t>
            </w:r>
            <w:r w:rsidR="0000257A" w:rsidRPr="00C317D5">
              <w:rPr>
                <w:rFonts w:ascii="Verdana" w:hAnsi="Verdana"/>
                <w:b/>
                <w:sz w:val="20"/>
              </w:rPr>
              <w:br/>
            </w:r>
            <w:r w:rsidR="00B27BCB" w:rsidRPr="00C317D5">
              <w:rPr>
                <w:rFonts w:ascii="Verdana" w:hAnsi="Verdana"/>
                <w:b/>
                <w:sz w:val="20"/>
              </w:rPr>
              <w:t>Documento RAG/</w:t>
            </w:r>
            <w:r w:rsidR="008428BF" w:rsidRPr="00C317D5">
              <w:rPr>
                <w:rFonts w:ascii="Verdana" w:hAnsi="Verdana"/>
                <w:b/>
                <w:sz w:val="20"/>
              </w:rPr>
              <w:t>58</w:t>
            </w:r>
            <w:r w:rsidR="00B27BCB" w:rsidRPr="00C317D5">
              <w:rPr>
                <w:rFonts w:ascii="Verdana" w:hAnsi="Verdana"/>
                <w:b/>
                <w:sz w:val="20"/>
              </w:rPr>
              <w:t>-S</w:t>
            </w:r>
          </w:p>
        </w:tc>
      </w:tr>
      <w:tr w:rsidR="00B27BCB" w:rsidRPr="00C317D5" w14:paraId="662BF75F" w14:textId="77777777" w:rsidTr="00B27BCB">
        <w:trPr>
          <w:cantSplit/>
        </w:trPr>
        <w:tc>
          <w:tcPr>
            <w:tcW w:w="6772" w:type="dxa"/>
            <w:vMerge/>
          </w:tcPr>
          <w:p w14:paraId="6BFFB4FD" w14:textId="77777777" w:rsidR="00B27BCB" w:rsidRPr="00C317D5" w:rsidRDefault="00B27BCB" w:rsidP="00B27BCB">
            <w:pPr>
              <w:spacing w:before="60"/>
              <w:jc w:val="center"/>
              <w:rPr>
                <w:b/>
                <w:smallCaps/>
                <w:sz w:val="32"/>
              </w:rPr>
            </w:pPr>
            <w:bookmarkStart w:id="2" w:name="ddate" w:colFirst="1" w:colLast="1"/>
            <w:bookmarkEnd w:id="1"/>
          </w:p>
        </w:tc>
        <w:tc>
          <w:tcPr>
            <w:tcW w:w="3117" w:type="dxa"/>
          </w:tcPr>
          <w:p w14:paraId="4BCF2E31" w14:textId="22E552FF" w:rsidR="00B27BCB" w:rsidRPr="00C317D5" w:rsidRDefault="00E31093" w:rsidP="00B27BCB">
            <w:pPr>
              <w:shd w:val="solid" w:color="FFFFFF" w:fill="FFFFFF"/>
              <w:spacing w:before="0" w:line="240" w:lineRule="atLeast"/>
              <w:rPr>
                <w:rFonts w:ascii="Verdana" w:hAnsi="Verdana"/>
                <w:sz w:val="20"/>
              </w:rPr>
            </w:pPr>
            <w:r w:rsidRPr="00C317D5">
              <w:rPr>
                <w:rFonts w:ascii="Verdana" w:hAnsi="Verdana"/>
                <w:b/>
                <w:sz w:val="20"/>
              </w:rPr>
              <w:t xml:space="preserve">24 de abril </w:t>
            </w:r>
            <w:r w:rsidR="00B27BCB" w:rsidRPr="00C317D5">
              <w:rPr>
                <w:rFonts w:ascii="Verdana" w:hAnsi="Verdana"/>
                <w:b/>
                <w:sz w:val="20"/>
              </w:rPr>
              <w:t>de 202</w:t>
            </w:r>
            <w:r w:rsidR="008428BF" w:rsidRPr="00C317D5">
              <w:rPr>
                <w:rFonts w:ascii="Verdana" w:hAnsi="Verdana"/>
                <w:b/>
                <w:sz w:val="20"/>
              </w:rPr>
              <w:t>3</w:t>
            </w:r>
          </w:p>
        </w:tc>
      </w:tr>
      <w:tr w:rsidR="00B27BCB" w:rsidRPr="00C317D5" w14:paraId="72C6AC62" w14:textId="77777777" w:rsidTr="00B27BCB">
        <w:trPr>
          <w:cantSplit/>
        </w:trPr>
        <w:tc>
          <w:tcPr>
            <w:tcW w:w="6772" w:type="dxa"/>
            <w:vMerge/>
          </w:tcPr>
          <w:p w14:paraId="3FBDF518" w14:textId="77777777" w:rsidR="00B27BCB" w:rsidRPr="00C317D5" w:rsidRDefault="00B27BCB" w:rsidP="00B27BCB">
            <w:pPr>
              <w:spacing w:before="60"/>
              <w:jc w:val="center"/>
              <w:rPr>
                <w:b/>
                <w:smallCaps/>
                <w:sz w:val="32"/>
              </w:rPr>
            </w:pPr>
            <w:bookmarkStart w:id="3" w:name="dorlang" w:colFirst="1" w:colLast="1"/>
            <w:bookmarkEnd w:id="2"/>
          </w:p>
        </w:tc>
        <w:tc>
          <w:tcPr>
            <w:tcW w:w="3117" w:type="dxa"/>
          </w:tcPr>
          <w:p w14:paraId="75705DAD" w14:textId="7FEFD5AD" w:rsidR="00B27BCB" w:rsidRPr="00C317D5" w:rsidRDefault="00B27BCB" w:rsidP="00B27BCB">
            <w:pPr>
              <w:shd w:val="solid" w:color="FFFFFF" w:fill="FFFFFF"/>
              <w:spacing w:before="0" w:after="120" w:line="240" w:lineRule="atLeast"/>
              <w:rPr>
                <w:rFonts w:ascii="Verdana" w:hAnsi="Verdana"/>
                <w:sz w:val="20"/>
              </w:rPr>
            </w:pPr>
            <w:r w:rsidRPr="00C317D5">
              <w:rPr>
                <w:rFonts w:ascii="Verdana" w:hAnsi="Verdana"/>
                <w:b/>
                <w:sz w:val="20"/>
              </w:rPr>
              <w:t>Original: inglés</w:t>
            </w:r>
          </w:p>
        </w:tc>
      </w:tr>
      <w:tr w:rsidR="00B27BCB" w:rsidRPr="00C317D5" w14:paraId="2B7E7A01" w14:textId="77777777" w:rsidTr="008F0106">
        <w:trPr>
          <w:cantSplit/>
        </w:trPr>
        <w:tc>
          <w:tcPr>
            <w:tcW w:w="9889" w:type="dxa"/>
            <w:gridSpan w:val="2"/>
          </w:tcPr>
          <w:p w14:paraId="4AD0133A" w14:textId="30187447" w:rsidR="00B27BCB" w:rsidRPr="00C317D5" w:rsidRDefault="00B27BCB" w:rsidP="00B27BCB">
            <w:pPr>
              <w:pStyle w:val="Source"/>
            </w:pPr>
            <w:bookmarkStart w:id="4" w:name="dsource" w:colFirst="0" w:colLast="0"/>
            <w:bookmarkEnd w:id="3"/>
            <w:r w:rsidRPr="00C317D5">
              <w:t>Director de la Oficina de Radiocomunicaciones</w:t>
            </w:r>
          </w:p>
        </w:tc>
      </w:tr>
      <w:tr w:rsidR="00B27BCB" w:rsidRPr="00C317D5" w14:paraId="65C0AE01" w14:textId="77777777" w:rsidTr="008F0106">
        <w:trPr>
          <w:cantSplit/>
        </w:trPr>
        <w:tc>
          <w:tcPr>
            <w:tcW w:w="9889" w:type="dxa"/>
            <w:gridSpan w:val="2"/>
          </w:tcPr>
          <w:p w14:paraId="2E1B3B5A" w14:textId="34C964F9" w:rsidR="00B27BCB" w:rsidRPr="00C317D5" w:rsidRDefault="00B27BCB" w:rsidP="00B27BCB">
            <w:pPr>
              <w:pStyle w:val="Title1"/>
            </w:pPr>
            <w:bookmarkStart w:id="5" w:name="dtitle1" w:colFirst="0" w:colLast="0"/>
            <w:bookmarkEnd w:id="4"/>
            <w:r w:rsidRPr="00C317D5">
              <w:t xml:space="preserve">INFORME A LA </w:t>
            </w:r>
            <w:r w:rsidR="008428BF" w:rsidRPr="00C317D5">
              <w:t>TRIGÉSIMA</w:t>
            </w:r>
            <w:r w:rsidRPr="00C317D5">
              <w:t xml:space="preserve"> REUNIÓN DEL</w:t>
            </w:r>
            <w:r w:rsidR="008D2ACA" w:rsidRPr="00C317D5">
              <w:t xml:space="preserve"> </w:t>
            </w:r>
            <w:r w:rsidRPr="00C317D5">
              <w:t>GRUPO ASESOR</w:t>
            </w:r>
            <w:r w:rsidR="008D2ACA" w:rsidRPr="00C317D5">
              <w:br/>
            </w:r>
            <w:r w:rsidRPr="00C317D5">
              <w:t>DE RADIOCOMUNICACIONES</w:t>
            </w:r>
          </w:p>
        </w:tc>
      </w:tr>
      <w:tr w:rsidR="0060268B" w:rsidRPr="00C317D5" w14:paraId="359EA658" w14:textId="77777777" w:rsidTr="008F0106">
        <w:trPr>
          <w:cantSplit/>
        </w:trPr>
        <w:tc>
          <w:tcPr>
            <w:tcW w:w="9889" w:type="dxa"/>
            <w:gridSpan w:val="2"/>
          </w:tcPr>
          <w:p w14:paraId="6EFB3149" w14:textId="77777777" w:rsidR="0060268B" w:rsidRPr="00C317D5" w:rsidRDefault="0060268B" w:rsidP="00B27BCB">
            <w:pPr>
              <w:pStyle w:val="Title1"/>
            </w:pPr>
          </w:p>
        </w:tc>
      </w:tr>
    </w:tbl>
    <w:p w14:paraId="1E3FE3C9" w14:textId="4290EC74" w:rsidR="00B27BCB" w:rsidRDefault="00B27BCB" w:rsidP="00B27BCB">
      <w:pPr>
        <w:pStyle w:val="Heading1"/>
      </w:pPr>
      <w:bookmarkStart w:id="6" w:name="_Toc446060751"/>
      <w:bookmarkEnd w:id="5"/>
      <w:r w:rsidRPr="00C317D5">
        <w:t>1</w:t>
      </w:r>
      <w:r w:rsidRPr="00C317D5">
        <w:tab/>
      </w:r>
      <w:bookmarkEnd w:id="6"/>
      <w:r w:rsidRPr="00C317D5">
        <w:t>Introducción</w:t>
      </w:r>
    </w:p>
    <w:p w14:paraId="141263DF" w14:textId="0C25099D" w:rsidR="00B27BCB" w:rsidRPr="00C317D5" w:rsidRDefault="00B27BCB" w:rsidP="00B27BCB">
      <w:bookmarkStart w:id="7" w:name="_Toc446060752"/>
      <w:r w:rsidRPr="00C317D5">
        <w:t xml:space="preserve">El presente Informe tiene por objeto rendir cuenta de la marcha de los trabajos y proporcionar información sobre algunos de los temas que figuran en el proyecto de orden del día de la </w:t>
      </w:r>
      <w:r w:rsidR="008428BF" w:rsidRPr="00C317D5">
        <w:t>30</w:t>
      </w:r>
      <w:r w:rsidRPr="00C317D5">
        <w:t>ª reunión del GAR (véase la Circular Administrativa</w:t>
      </w:r>
      <w:r w:rsidR="001B30E3" w:rsidRPr="00C317D5">
        <w:t> </w:t>
      </w:r>
      <w:hyperlink r:id="rId8" w:history="1">
        <w:r w:rsidR="008428BF" w:rsidRPr="00C317D5">
          <w:rPr>
            <w:rStyle w:val="Hyperlink"/>
          </w:rPr>
          <w:t>CA/264</w:t>
        </w:r>
      </w:hyperlink>
      <w:r w:rsidRPr="00C317D5">
        <w:t>‎), con el fin de ayudar a los participantes en la reunión a examinar los correspondientes puntos del orden del día.</w:t>
      </w:r>
    </w:p>
    <w:p w14:paraId="208E314A" w14:textId="77777777" w:rsidR="00B27BCB" w:rsidRPr="00C317D5" w:rsidRDefault="00B27BCB" w:rsidP="00B27BCB">
      <w:r w:rsidRPr="00C317D5">
        <w:t>Se presentarán informes independientes para ciertos puntos del orden del día.</w:t>
      </w:r>
    </w:p>
    <w:bookmarkEnd w:id="7"/>
    <w:p w14:paraId="4158A1CD" w14:textId="2525D6A3" w:rsidR="007858E9" w:rsidRPr="00C317D5" w:rsidRDefault="007858E9" w:rsidP="007858E9">
      <w:pPr>
        <w:pStyle w:val="Heading1"/>
      </w:pPr>
      <w:r w:rsidRPr="00C317D5">
        <w:t>2</w:t>
      </w:r>
      <w:r w:rsidRPr="00C317D5">
        <w:tab/>
        <w:t>Gobernanza del UIT-R</w:t>
      </w:r>
    </w:p>
    <w:p w14:paraId="004401FB" w14:textId="483EDDF3" w:rsidR="007858E9" w:rsidRPr="00C317D5" w:rsidRDefault="007858E9" w:rsidP="007858E9">
      <w:pPr>
        <w:pStyle w:val="Heading1"/>
      </w:pPr>
      <w:r w:rsidRPr="00C317D5">
        <w:t>2.1</w:t>
      </w:r>
      <w:r w:rsidRPr="00C317D5">
        <w:tab/>
        <w:t>Resultados de la Conferencia de Plenipotenciarios de 2022 (PP-22) de la UIT</w:t>
      </w:r>
    </w:p>
    <w:p w14:paraId="2DF78311" w14:textId="198C17C0" w:rsidR="007858E9" w:rsidRPr="00C317D5" w:rsidRDefault="007858E9" w:rsidP="007858E9">
      <w:pPr>
        <w:rPr>
          <w:shd w:val="clear" w:color="auto" w:fill="FFFFFF"/>
        </w:rPr>
      </w:pPr>
      <w:r w:rsidRPr="00C317D5">
        <w:rPr>
          <w:shd w:val="clear" w:color="auto" w:fill="FFFFFF"/>
        </w:rPr>
        <w:t xml:space="preserve">La PP-22 </w:t>
      </w:r>
      <w:r w:rsidRPr="00C317D5">
        <w:t>eligió</w:t>
      </w:r>
      <w:r w:rsidRPr="00C317D5">
        <w:rPr>
          <w:shd w:val="clear" w:color="auto" w:fill="FFFFFF"/>
        </w:rPr>
        <w:t xml:space="preserve"> al Equipo Directivo de la UIT, a los Estados Miembros del </w:t>
      </w:r>
      <w:hyperlink r:id="rId9" w:history="1">
        <w:r w:rsidRPr="00C317D5">
          <w:rPr>
            <w:rStyle w:val="Hyperlink"/>
            <w:shd w:val="clear" w:color="auto" w:fill="FFFFFF"/>
          </w:rPr>
          <w:t>Consejo</w:t>
        </w:r>
      </w:hyperlink>
      <w:r w:rsidRPr="00C317D5">
        <w:rPr>
          <w:shd w:val="clear" w:color="auto" w:fill="FFFFFF"/>
        </w:rPr>
        <w:t xml:space="preserve"> y a los doce</w:t>
      </w:r>
      <w:r w:rsidR="0000257A" w:rsidRPr="00C317D5">
        <w:rPr>
          <w:shd w:val="clear" w:color="auto" w:fill="FFFFFF"/>
        </w:rPr>
        <w:t> </w:t>
      </w:r>
      <w:r w:rsidRPr="00C317D5">
        <w:rPr>
          <w:shd w:val="clear" w:color="auto" w:fill="FFFFFF"/>
        </w:rPr>
        <w:t xml:space="preserve">miembros de la </w:t>
      </w:r>
      <w:hyperlink r:id="rId10" w:history="1">
        <w:r w:rsidRPr="00C317D5">
          <w:rPr>
            <w:rStyle w:val="Hyperlink"/>
            <w:shd w:val="clear" w:color="auto" w:fill="FFFFFF"/>
          </w:rPr>
          <w:t>Junta del Reglamento de Radiocomunicaciones</w:t>
        </w:r>
      </w:hyperlink>
      <w:r w:rsidRPr="00C317D5">
        <w:rPr>
          <w:shd w:val="clear" w:color="auto" w:fill="FFFFFF"/>
        </w:rPr>
        <w:t>.</w:t>
      </w:r>
    </w:p>
    <w:p w14:paraId="7CE1160E" w14:textId="77777777" w:rsidR="007858E9" w:rsidRPr="00C317D5" w:rsidRDefault="007858E9" w:rsidP="007858E9">
      <w:r w:rsidRPr="00C317D5">
        <w:t>También estableció las políticas de la Unión en diversos ámbitos, incluidos los Planes Estratégico y Financiero de la Unión, mediante Resoluciones y Decisiones nuevas y la revisión de las existentes.</w:t>
      </w:r>
    </w:p>
    <w:p w14:paraId="2ED58F4A" w14:textId="53B609C4" w:rsidR="007858E9" w:rsidRPr="00C317D5" w:rsidRDefault="007858E9" w:rsidP="0000257A">
      <w:r w:rsidRPr="00C317D5">
        <w:t>La Conferencia de Plenipotenciarios ha aprobado una serie de nuevas Resoluciones y ha revisado algunas Resoluciones relacionadas con el Sector de Radiocomunicaciones:</w:t>
      </w:r>
    </w:p>
    <w:p w14:paraId="5DC115FB" w14:textId="5A4FFA27" w:rsidR="007858E9" w:rsidRPr="00C317D5" w:rsidRDefault="0000257A" w:rsidP="0000257A">
      <w:pPr>
        <w:pStyle w:val="enumlev1"/>
      </w:pPr>
      <w:r w:rsidRPr="00C317D5">
        <w:t>–</w:t>
      </w:r>
      <w:r w:rsidRPr="00C317D5">
        <w:tab/>
      </w:r>
      <w:r w:rsidR="007858E9" w:rsidRPr="00C317D5">
        <w:t>Resolución 25, Fortalecimiento de la presencia regional de la UIT,</w:t>
      </w:r>
    </w:p>
    <w:p w14:paraId="53751CD1" w14:textId="39B2441A" w:rsidR="007858E9" w:rsidRPr="00C317D5" w:rsidRDefault="0000257A" w:rsidP="0000257A">
      <w:pPr>
        <w:pStyle w:val="enumlev1"/>
      </w:pPr>
      <w:r w:rsidRPr="00C317D5">
        <w:t>–</w:t>
      </w:r>
      <w:r w:rsidRPr="00C317D5">
        <w:tab/>
      </w:r>
      <w:r w:rsidR="007858E9" w:rsidRPr="00C317D5">
        <w:t>Resolución 71, Plan Estratégico de la Unión para 2024-2027,</w:t>
      </w:r>
    </w:p>
    <w:p w14:paraId="4EDF6793" w14:textId="06EB6474" w:rsidR="007858E9" w:rsidRPr="00C317D5" w:rsidRDefault="0000257A" w:rsidP="0000257A">
      <w:pPr>
        <w:pStyle w:val="enumlev1"/>
      </w:pPr>
      <w:r w:rsidRPr="00C317D5">
        <w:t>–</w:t>
      </w:r>
      <w:r w:rsidRPr="00C317D5">
        <w:tab/>
      </w:r>
      <w:r w:rsidR="007858E9" w:rsidRPr="00C317D5">
        <w:t>Resolución 119, Métodos para mejorar la eficiencia y eficacia de la Junta del Reglamento de Radiocomunicaciones,</w:t>
      </w:r>
    </w:p>
    <w:p w14:paraId="6B955096" w14:textId="3CDDBE62" w:rsidR="007858E9" w:rsidRPr="00C317D5" w:rsidRDefault="0000257A" w:rsidP="0000257A">
      <w:pPr>
        <w:pStyle w:val="enumlev1"/>
      </w:pPr>
      <w:r w:rsidRPr="00C317D5">
        <w:t>–</w:t>
      </w:r>
      <w:r w:rsidRPr="00C317D5">
        <w:tab/>
      </w:r>
      <w:r w:rsidR="007858E9" w:rsidRPr="00C317D5">
        <w:t xml:space="preserve">Resolución 136, </w:t>
      </w:r>
      <w:bookmarkStart w:id="8" w:name="_Toc406754240"/>
      <w:r w:rsidR="007858E9" w:rsidRPr="00C317D5">
        <w:t>Utilización de las telecomunicaciones/tecnologías de la información y la comunicación para la asistencia humanitaria y en el control y la gestión de situaciones de emergencia y catástrofes, incluidas las situaciones de emergencia sanitaria, la alerta temprana, la prevención, la mitigación y las operaciones de socorro</w:t>
      </w:r>
      <w:bookmarkEnd w:id="8"/>
      <w:r w:rsidR="007858E9" w:rsidRPr="00C317D5">
        <w:t>,</w:t>
      </w:r>
    </w:p>
    <w:p w14:paraId="5A4170B1" w14:textId="3ED00FD7" w:rsidR="007858E9" w:rsidRPr="00C317D5" w:rsidRDefault="0000257A" w:rsidP="0000257A">
      <w:pPr>
        <w:pStyle w:val="enumlev1"/>
      </w:pPr>
      <w:r w:rsidRPr="00C317D5">
        <w:t>–</w:t>
      </w:r>
      <w:r w:rsidRPr="00C317D5">
        <w:tab/>
      </w:r>
      <w:r w:rsidR="007858E9" w:rsidRPr="00C317D5">
        <w:t xml:space="preserve">Resolución 137, </w:t>
      </w:r>
      <w:bookmarkStart w:id="9" w:name="_Toc406754242"/>
      <w:r w:rsidR="007858E9" w:rsidRPr="00C317D5">
        <w:t>Instalación de redes futuras en los países en desarrollo</w:t>
      </w:r>
      <w:bookmarkEnd w:id="9"/>
      <w:r w:rsidR="006F1BE0" w:rsidRPr="00C317D5">
        <w:t>,</w:t>
      </w:r>
    </w:p>
    <w:p w14:paraId="1B8D2D37" w14:textId="4EFC7BE1" w:rsidR="007858E9" w:rsidRPr="00C317D5" w:rsidRDefault="0000257A" w:rsidP="0000257A">
      <w:pPr>
        <w:pStyle w:val="enumlev1"/>
      </w:pPr>
      <w:r w:rsidRPr="00C317D5">
        <w:lastRenderedPageBreak/>
        <w:t>–</w:t>
      </w:r>
      <w:r w:rsidRPr="00C317D5">
        <w:tab/>
      </w:r>
      <w:r w:rsidR="007858E9" w:rsidRPr="00C317D5">
        <w:t>Resolución 139, Utilización de las telecomunicaciones/tecnologías de la información y la comunicación para reducir la brecha digital y crear una sociedad de la información inclusiva,</w:t>
      </w:r>
    </w:p>
    <w:p w14:paraId="120C5493" w14:textId="4729393C" w:rsidR="007858E9" w:rsidRPr="00C317D5" w:rsidRDefault="0000257A" w:rsidP="0000257A">
      <w:pPr>
        <w:pStyle w:val="enumlev1"/>
      </w:pPr>
      <w:r w:rsidRPr="00C317D5">
        <w:t>–</w:t>
      </w:r>
      <w:r w:rsidRPr="00C317D5">
        <w:tab/>
      </w:r>
      <w:r w:rsidR="007858E9" w:rsidRPr="00C317D5">
        <w:t xml:space="preserve">Resolución 154, </w:t>
      </w:r>
      <w:bookmarkStart w:id="10" w:name="_Toc406754258"/>
      <w:r w:rsidR="007858E9" w:rsidRPr="00C317D5">
        <w:t>Utilización de los seis idiomas oficiales de la Unión en igualdad de condiciones</w:t>
      </w:r>
      <w:bookmarkEnd w:id="10"/>
      <w:r w:rsidR="007858E9" w:rsidRPr="00C317D5">
        <w:t>,</w:t>
      </w:r>
    </w:p>
    <w:p w14:paraId="7E154AB7" w14:textId="13858C1D" w:rsidR="007858E9" w:rsidRPr="00C317D5" w:rsidRDefault="0000257A" w:rsidP="0000257A">
      <w:pPr>
        <w:pStyle w:val="enumlev1"/>
      </w:pPr>
      <w:r w:rsidRPr="00C317D5">
        <w:t>–</w:t>
      </w:r>
      <w:r w:rsidRPr="00C317D5">
        <w:tab/>
      </w:r>
      <w:r w:rsidR="007858E9" w:rsidRPr="00C317D5">
        <w:t xml:space="preserve">Resolución 170, </w:t>
      </w:r>
      <w:bookmarkStart w:id="11" w:name="_Toc406754283"/>
      <w:r w:rsidR="007858E9" w:rsidRPr="00C317D5">
        <w:t>Admisión de los Miembros de Sector de los países en desarrollo para participar en los trabajos del Sector de Normalización de las Telecomunicaciones de la UIT y del Sector de Radiocomunicaciones de la UIT</w:t>
      </w:r>
      <w:bookmarkEnd w:id="11"/>
      <w:r w:rsidR="007858E9" w:rsidRPr="00C317D5">
        <w:t>,</w:t>
      </w:r>
    </w:p>
    <w:p w14:paraId="11E03AFB" w14:textId="055CFBCC" w:rsidR="007858E9" w:rsidRPr="00C317D5" w:rsidRDefault="0000257A" w:rsidP="0000257A">
      <w:pPr>
        <w:pStyle w:val="enumlev1"/>
      </w:pPr>
      <w:r w:rsidRPr="00C317D5">
        <w:t>–</w:t>
      </w:r>
      <w:r w:rsidRPr="00C317D5">
        <w:tab/>
      </w:r>
      <w:r w:rsidR="007858E9" w:rsidRPr="00C317D5">
        <w:t>Resolución 176, Problemas de la medición y evaluación de la exposición de las personas a los campos electromagnéticos,</w:t>
      </w:r>
    </w:p>
    <w:p w14:paraId="62436342" w14:textId="5B346A9E" w:rsidR="007858E9" w:rsidRPr="00C317D5" w:rsidRDefault="0000257A" w:rsidP="0000257A">
      <w:pPr>
        <w:pStyle w:val="enumlev1"/>
      </w:pPr>
      <w:r w:rsidRPr="00C317D5">
        <w:t>–</w:t>
      </w:r>
      <w:r w:rsidRPr="00C317D5">
        <w:tab/>
      </w:r>
      <w:r w:rsidR="007858E9" w:rsidRPr="00C317D5">
        <w:t>Resolución 182, El papel de las telecomunicaciones/tecnologías de la información y la comunicación en el cambio climático y la protección del medio ambiente,</w:t>
      </w:r>
    </w:p>
    <w:p w14:paraId="4E43BE08" w14:textId="04EB215E" w:rsidR="007858E9" w:rsidRPr="00C317D5" w:rsidRDefault="0000257A" w:rsidP="0000257A">
      <w:pPr>
        <w:pStyle w:val="enumlev1"/>
      </w:pPr>
      <w:r w:rsidRPr="00C317D5">
        <w:t>–</w:t>
      </w:r>
      <w:r w:rsidRPr="00C317D5">
        <w:tab/>
      </w:r>
      <w:r w:rsidR="007858E9" w:rsidRPr="00C317D5">
        <w:t xml:space="preserve">Resolución 186, </w:t>
      </w:r>
      <w:bookmarkStart w:id="12" w:name="_Toc406754303"/>
      <w:r w:rsidR="007858E9" w:rsidRPr="00C317D5">
        <w:t>Fortalecimiento del papel de la UIT respecto de las medidas de transparencia y fomento de la confianza en las actividades relativas al espacio ultraterrestre</w:t>
      </w:r>
      <w:bookmarkEnd w:id="12"/>
      <w:r w:rsidR="007858E9" w:rsidRPr="00C317D5">
        <w:t>,</w:t>
      </w:r>
    </w:p>
    <w:p w14:paraId="17DE17B1" w14:textId="4B6BD130" w:rsidR="007858E9" w:rsidRPr="00C317D5" w:rsidRDefault="0000257A" w:rsidP="0000257A">
      <w:pPr>
        <w:pStyle w:val="enumlev1"/>
      </w:pPr>
      <w:r w:rsidRPr="00C317D5">
        <w:t>–</w:t>
      </w:r>
      <w:r w:rsidRPr="00C317D5">
        <w:tab/>
      </w:r>
      <w:r w:rsidR="007858E9" w:rsidRPr="00C317D5">
        <w:t xml:space="preserve">Resolución 191, </w:t>
      </w:r>
      <w:bookmarkStart w:id="13" w:name="_Toc406754313"/>
      <w:r w:rsidR="007858E9" w:rsidRPr="00C317D5">
        <w:t>Estrategia de coordinación de los trabajos de los tres Sectores de la Unión</w:t>
      </w:r>
      <w:bookmarkEnd w:id="13"/>
      <w:r w:rsidR="007858E9" w:rsidRPr="00C317D5">
        <w:t>,</w:t>
      </w:r>
    </w:p>
    <w:p w14:paraId="3E3FB286" w14:textId="02450791" w:rsidR="007858E9" w:rsidRPr="00C317D5" w:rsidRDefault="0000257A" w:rsidP="0000257A">
      <w:pPr>
        <w:pStyle w:val="enumlev1"/>
      </w:pPr>
      <w:r w:rsidRPr="00C317D5">
        <w:t>–</w:t>
      </w:r>
      <w:r w:rsidRPr="00C317D5">
        <w:tab/>
      </w:r>
      <w:r w:rsidR="007858E9" w:rsidRPr="00C317D5">
        <w:t xml:space="preserve">Resolución 197, </w:t>
      </w:r>
      <w:bookmarkStart w:id="14" w:name="_Toc406754325"/>
      <w:r w:rsidR="007858E9" w:rsidRPr="00C317D5">
        <w:t>Facilitación de la Internet de las cosas y las ciudades y comunidades inteligentes y sostenibles</w:t>
      </w:r>
      <w:bookmarkEnd w:id="14"/>
      <w:r w:rsidR="007858E9" w:rsidRPr="00C317D5">
        <w:t>,</w:t>
      </w:r>
    </w:p>
    <w:p w14:paraId="2CB094A0" w14:textId="2D3FF315" w:rsidR="007858E9" w:rsidRPr="00C317D5" w:rsidRDefault="0000257A" w:rsidP="0000257A">
      <w:pPr>
        <w:pStyle w:val="enumlev1"/>
      </w:pPr>
      <w:r w:rsidRPr="00C317D5">
        <w:t>–</w:t>
      </w:r>
      <w:r w:rsidRPr="00C317D5">
        <w:tab/>
      </w:r>
      <w:r w:rsidR="007858E9" w:rsidRPr="00C317D5">
        <w:t xml:space="preserve">Resolución 203, </w:t>
      </w:r>
      <w:bookmarkStart w:id="15" w:name="_Toc406754337"/>
      <w:r w:rsidR="007858E9" w:rsidRPr="00C317D5">
        <w:t>Conectividad a redes de banda ancha</w:t>
      </w:r>
      <w:bookmarkEnd w:id="15"/>
      <w:r w:rsidR="007858E9" w:rsidRPr="00C317D5">
        <w:t>,</w:t>
      </w:r>
    </w:p>
    <w:p w14:paraId="0D427EB7" w14:textId="095D4952" w:rsidR="007858E9" w:rsidRPr="00C317D5" w:rsidRDefault="0000257A" w:rsidP="0000257A">
      <w:pPr>
        <w:pStyle w:val="enumlev1"/>
      </w:pPr>
      <w:r w:rsidRPr="00C317D5">
        <w:t>–</w:t>
      </w:r>
      <w:r w:rsidRPr="00C317D5">
        <w:tab/>
      </w:r>
      <w:r w:rsidR="007858E9" w:rsidRPr="00C317D5">
        <w:t xml:space="preserve">Resolución 208, </w:t>
      </w:r>
      <w:r w:rsidR="001835D7" w:rsidRPr="00C317D5">
        <w:t>Nombramiento y duración máxima del mandato de los presidentes y vicepresidentes de los Grupos Asesores, Comisiones de Estudio y otros grupos de los Sectores</w:t>
      </w:r>
    </w:p>
    <w:p w14:paraId="4B03FBFC" w14:textId="5AD28D5A" w:rsidR="007858E9" w:rsidRPr="00C317D5" w:rsidRDefault="0000257A" w:rsidP="0000257A">
      <w:pPr>
        <w:pStyle w:val="enumlev1"/>
      </w:pPr>
      <w:r w:rsidRPr="00C317D5">
        <w:t>–</w:t>
      </w:r>
      <w:r w:rsidRPr="00C317D5">
        <w:tab/>
      </w:r>
      <w:r w:rsidR="003559D4" w:rsidRPr="00C317D5">
        <w:t>n</w:t>
      </w:r>
      <w:r w:rsidR="007858E9" w:rsidRPr="00C317D5">
        <w:t>ueva Resolución 216</w:t>
      </w:r>
      <w:r w:rsidR="001835D7" w:rsidRPr="00C317D5">
        <w:t>, Utilización de las asignaciones de frecuencias en las instalaciones radioeléctricas militares de los servicios de defensa nacional,</w:t>
      </w:r>
    </w:p>
    <w:p w14:paraId="72E6D3A7" w14:textId="62B1A56F" w:rsidR="007858E9" w:rsidRPr="00C317D5" w:rsidRDefault="0000257A" w:rsidP="0000257A">
      <w:pPr>
        <w:pStyle w:val="enumlev1"/>
      </w:pPr>
      <w:r w:rsidRPr="00C317D5">
        <w:t>–</w:t>
      </w:r>
      <w:r w:rsidRPr="00C317D5">
        <w:tab/>
      </w:r>
      <w:r w:rsidR="003559D4" w:rsidRPr="00C317D5">
        <w:t>n</w:t>
      </w:r>
      <w:r w:rsidR="007858E9" w:rsidRPr="00C317D5">
        <w:t xml:space="preserve">ueva Resolución 218, </w:t>
      </w:r>
      <w:r w:rsidR="001835D7" w:rsidRPr="00C317D5">
        <w:t xml:space="preserve">Función de la UIT en la aplicación de la Agenda </w:t>
      </w:r>
      <w:r w:rsidR="009D1B69">
        <w:t>«</w:t>
      </w:r>
      <w:r w:rsidR="001835D7" w:rsidRPr="00C317D5">
        <w:t>Espacio2030</w:t>
      </w:r>
      <w:r w:rsidR="009D1B69">
        <w:t>»</w:t>
      </w:r>
      <w:r w:rsidR="001835D7" w:rsidRPr="00C317D5">
        <w:t>: el espacio como motor del desarrollo sostenible, así como de sus procesos de seguimiento y examen,</w:t>
      </w:r>
    </w:p>
    <w:p w14:paraId="1C529718" w14:textId="181686D4" w:rsidR="007858E9" w:rsidRPr="00C317D5" w:rsidRDefault="0000257A" w:rsidP="0000257A">
      <w:pPr>
        <w:pStyle w:val="enumlev1"/>
        <w:rPr>
          <w:rFonts w:eastAsiaTheme="minorEastAsia" w:cstheme="minorBidi"/>
          <w:szCs w:val="22"/>
          <w:highlight w:val="green"/>
        </w:rPr>
      </w:pPr>
      <w:r w:rsidRPr="00C317D5">
        <w:t>–</w:t>
      </w:r>
      <w:r w:rsidRPr="00C317D5">
        <w:tab/>
      </w:r>
      <w:r w:rsidR="003559D4" w:rsidRPr="00C317D5">
        <w:t>n</w:t>
      </w:r>
      <w:r w:rsidR="007858E9" w:rsidRPr="00C317D5">
        <w:t xml:space="preserve">ueva Resolución 219, </w:t>
      </w:r>
      <w:r w:rsidR="001835D7" w:rsidRPr="00C317D5">
        <w:t>Sostenibilidad del espectro de frecuencias radioeléctricas y los recursos asociados de las órbitas de satélites utilizados por los servicios espaciales</w:t>
      </w:r>
      <w:r w:rsidRPr="00C317D5">
        <w:t>.</w:t>
      </w:r>
    </w:p>
    <w:p w14:paraId="0A059E1B" w14:textId="575BFA85" w:rsidR="00B27BCB" w:rsidRPr="00C317D5" w:rsidRDefault="00047194" w:rsidP="00B27BCB">
      <w:pPr>
        <w:pStyle w:val="Heading1"/>
      </w:pPr>
      <w:r w:rsidRPr="00C317D5">
        <w:t>2.</w:t>
      </w:r>
      <w:r w:rsidR="00B27BCB" w:rsidRPr="00C317D5">
        <w:t>2</w:t>
      </w:r>
      <w:r w:rsidR="00B27BCB" w:rsidRPr="00C317D5">
        <w:tab/>
        <w:t>Asuntos relativos al Consejo</w:t>
      </w:r>
    </w:p>
    <w:p w14:paraId="535C8A44" w14:textId="266D113A" w:rsidR="00B27BCB" w:rsidRPr="00C317D5" w:rsidRDefault="00B27BCB" w:rsidP="00B27BCB">
      <w:r w:rsidRPr="00C317D5">
        <w:t xml:space="preserve">En la presente sección se abordan los temas tratados en </w:t>
      </w:r>
      <w:r w:rsidR="00BD18FD" w:rsidRPr="00C317D5">
        <w:t xml:space="preserve">el período de sesiones del Consejo de 2022 </w:t>
      </w:r>
      <w:r w:rsidRPr="00C317D5">
        <w:t xml:space="preserve">(véase </w:t>
      </w:r>
      <w:hyperlink r:id="rId11" w:history="1">
        <w:r w:rsidRPr="00C317D5">
          <w:rPr>
            <w:rStyle w:val="Hyperlink"/>
          </w:rPr>
          <w:t>https://www.itu.int/es/council/2021/Pages/default.aspx</w:t>
        </w:r>
      </w:hyperlink>
      <w:hyperlink r:id="rId12" w:history="1"/>
      <w:r w:rsidRPr="00C317D5">
        <w:t>).</w:t>
      </w:r>
    </w:p>
    <w:p w14:paraId="203142A6" w14:textId="00B0EDDF" w:rsidR="00B27BCB" w:rsidRPr="00C317D5" w:rsidRDefault="00BD18FD" w:rsidP="00B27BCB">
      <w:pPr>
        <w:pStyle w:val="Heading2"/>
      </w:pPr>
      <w:bookmarkStart w:id="16" w:name="_Toc446060753"/>
      <w:r w:rsidRPr="00C317D5">
        <w:t>2.</w:t>
      </w:r>
      <w:r w:rsidR="00B27BCB" w:rsidRPr="00C317D5">
        <w:t>2.1</w:t>
      </w:r>
      <w:r w:rsidR="00B27BCB" w:rsidRPr="00C317D5">
        <w:tab/>
      </w:r>
      <w:bookmarkEnd w:id="16"/>
      <w:r w:rsidR="00B27BCB" w:rsidRPr="00C317D5">
        <w:t>Acceso gratuito en línea a las publicaciones del UIT-R</w:t>
      </w:r>
    </w:p>
    <w:p w14:paraId="1CD69C05" w14:textId="77777777" w:rsidR="00B27BCB" w:rsidRPr="00C317D5" w:rsidRDefault="00B27BCB" w:rsidP="00B27BCB">
      <w:r w:rsidRPr="00C317D5">
        <w:t xml:space="preserve">La UIT sigue editando diversas publicaciones, entre ellas las emblemáticas, tanto en versión impresa como digital/electrónica. En virtud de su Decisión 12 (Guadalajara, 2010), la Conferencia de Plenipotenciarios de 2010 (PP-10) adoptó una política de acceso gratuito en línea a Recomendaciones e Informes del UIT-R, entre otros documentos. En su reunión de 2012, el Consejo amplió esta política en virtud del Acuerdo 571, revisado en 2013 y 2014, y confirmado por la revisión a la Decisión 12 que realizó la PP-14 y que proporciona acceso gratuito en línea al público en general con carácter permanente. A continuación, se facilitó acceso gratuito en línea a muchas más publicaciones, para divulgar la correspondiente información y llegar a un público más amplio. Entre ellas figuran publicaciones importantes como el Reglamento de Radiocomunicaciones, las Reglas de Procedimiento, las Recomendaciones, los Textos Fundamentales de la Unión, las Actas Finales de la CMTI, las Resoluciones y los Acuerdos del </w:t>
      </w:r>
      <w:r w:rsidRPr="00C317D5">
        <w:lastRenderedPageBreak/>
        <w:t>Consejo y los Manuales de la UIT, razón por la cual sólo quedan a la venta las Publicaciones del Servicio Marítimo y algunos otros títulos.</w:t>
      </w:r>
    </w:p>
    <w:p w14:paraId="702C2AC1" w14:textId="77777777" w:rsidR="00B27BCB" w:rsidRPr="00C317D5" w:rsidRDefault="00B27BCB" w:rsidP="00B27BCB">
      <w:r w:rsidRPr="00C317D5">
        <w:t>Además, en respuesta a solicitudes de diversos Estados Miembros, en particular países en desarrollo, en enero de 2017 el Director de la BR amplió la política de acceso gratuito a todos los Manuales del UIT-R.</w:t>
      </w:r>
    </w:p>
    <w:p w14:paraId="69711E21" w14:textId="77777777" w:rsidR="00B27BCB" w:rsidRPr="00C317D5" w:rsidRDefault="00B27BCB" w:rsidP="00B27BCB">
      <w:r w:rsidRPr="00C317D5">
        <w:t>El elevado número de descargas que registran estas publicaciones evidencia la repercusión de las decisiones antes mencionadas, como se indica en la sección 8.1.4.</w:t>
      </w:r>
    </w:p>
    <w:p w14:paraId="339DC71C" w14:textId="3769D41F" w:rsidR="00B27BCB" w:rsidRPr="00C317D5" w:rsidRDefault="0000257A" w:rsidP="00B27BCB">
      <w:pPr>
        <w:pStyle w:val="Heading2"/>
      </w:pPr>
      <w:r w:rsidRPr="00C317D5">
        <w:t>2.</w:t>
      </w:r>
      <w:r w:rsidR="00B27BCB" w:rsidRPr="00C317D5">
        <w:t>2.2</w:t>
      </w:r>
      <w:r w:rsidR="00B27BCB" w:rsidRPr="00C317D5">
        <w:tab/>
        <w:t>Recuperación de costes aplicable a las notificaciones de redes de satélites</w:t>
      </w:r>
    </w:p>
    <w:p w14:paraId="4E58CC91" w14:textId="77777777" w:rsidR="00471EFF" w:rsidRPr="00C317D5" w:rsidRDefault="00B27BCB" w:rsidP="00B27BCB">
      <w:r w:rsidRPr="00C317D5">
        <w:t xml:space="preserve">En </w:t>
      </w:r>
      <w:r w:rsidR="00805BCF" w:rsidRPr="00C317D5">
        <w:t xml:space="preserve">su reunión de </w:t>
      </w:r>
      <w:r w:rsidRPr="00C317D5">
        <w:t>202</w:t>
      </w:r>
      <w:r w:rsidR="00805BCF" w:rsidRPr="00C317D5">
        <w:t>2, celebrada del 21 al 31 de marzo de 2022, el Consejo tomó nota del</w:t>
      </w:r>
      <w:r w:rsidRPr="00C317D5">
        <w:t xml:space="preserve"> Informe anual sobre la aplicación del Acuerdo 482 (véase el Documento </w:t>
      </w:r>
      <w:hyperlink r:id="rId13" w:history="1">
        <w:r w:rsidRPr="00C317D5">
          <w:rPr>
            <w:rStyle w:val="Hyperlink"/>
          </w:rPr>
          <w:t>C21/16</w:t>
        </w:r>
      </w:hyperlink>
      <w:r w:rsidRPr="00C317D5">
        <w:t>).</w:t>
      </w:r>
    </w:p>
    <w:p w14:paraId="71142297" w14:textId="1950BE52" w:rsidR="00805BCF" w:rsidRPr="00C317D5" w:rsidRDefault="00805BCF" w:rsidP="00B27BCB">
      <w:r w:rsidRPr="00C317D5">
        <w:t>También se indicó que la Oficina realizaría un estudio para evaluar si es necesario volver a revisar el Acuerdo</w:t>
      </w:r>
      <w:r w:rsidR="009D1B69">
        <w:t> </w:t>
      </w:r>
      <w:r w:rsidRPr="00C317D5">
        <w:t>482 y lo presentaría a la reunión del Consejo de 2023.</w:t>
      </w:r>
    </w:p>
    <w:p w14:paraId="11CF2034" w14:textId="77777777" w:rsidR="00805BCF" w:rsidRPr="00C317D5" w:rsidRDefault="00805BCF" w:rsidP="00B27BCB">
      <w:r w:rsidRPr="00C317D5">
        <w:t>En su reunión de abril de 2022, el GAR encargó al Director que, al efectuar dicha evaluación, se tuviesen en cuenta los gastos reales de todo el personal implicado en los distintos Departamentos y Divisiones de la Oficina de Radiocomunicaciones, así como cualquier otro gasto (directo o indirecto) incurrido por otras partes de la UIT.</w:t>
      </w:r>
    </w:p>
    <w:p w14:paraId="35944E54" w14:textId="12CCEE4F" w:rsidR="00B27BCB" w:rsidRPr="00C317D5" w:rsidRDefault="00805BCF" w:rsidP="00B27BCB">
      <w:r w:rsidRPr="00C317D5">
        <w:t>La evaluación en cuestión se está llevando a cabo en la Secretaría de la UIT y se presentará a tiempo para la reunión de 2023 del Consejo, que se celebrará del 11 al 21 de julio de 2023</w:t>
      </w:r>
      <w:r w:rsidR="00B27BCB" w:rsidRPr="00C317D5">
        <w:t>.</w:t>
      </w:r>
    </w:p>
    <w:p w14:paraId="158DB593" w14:textId="01D5A8E3" w:rsidR="00B27BCB" w:rsidRPr="00C317D5" w:rsidRDefault="00BD18FD" w:rsidP="00B27BCB">
      <w:pPr>
        <w:pStyle w:val="Heading2"/>
      </w:pPr>
      <w:bookmarkStart w:id="17" w:name="_Toc446060757"/>
      <w:r w:rsidRPr="00C317D5">
        <w:t>2.</w:t>
      </w:r>
      <w:r w:rsidR="00B27BCB" w:rsidRPr="00C317D5">
        <w:t>2.3</w:t>
      </w:r>
      <w:r w:rsidR="00B27BCB" w:rsidRPr="00C317D5">
        <w:tab/>
        <w:t xml:space="preserve">Presupuesto para </w:t>
      </w:r>
      <w:r w:rsidR="00B41DCC" w:rsidRPr="00C317D5">
        <w:t>2022-2023</w:t>
      </w:r>
      <w:r w:rsidR="00B27BCB" w:rsidRPr="00C317D5">
        <w:t xml:space="preserve"> y proyecto de presupuesto para </w:t>
      </w:r>
      <w:bookmarkEnd w:id="17"/>
      <w:r w:rsidR="00B41DCC" w:rsidRPr="00C317D5">
        <w:t>2024-2025</w:t>
      </w:r>
    </w:p>
    <w:p w14:paraId="787B7FB2" w14:textId="6BF8E49C" w:rsidR="00B27BCB" w:rsidRPr="00C317D5" w:rsidRDefault="00040841" w:rsidP="00B27BCB">
      <w:r w:rsidRPr="00C317D5">
        <w:t>El presupuesto bienal para 2022-2023</w:t>
      </w:r>
      <w:r w:rsidR="00B27BCB" w:rsidRPr="00C317D5">
        <w:t xml:space="preserve">, </w:t>
      </w:r>
      <w:r w:rsidRPr="00C317D5">
        <w:t xml:space="preserve">que </w:t>
      </w:r>
      <w:r w:rsidR="00B27BCB" w:rsidRPr="00C317D5">
        <w:t>el Consejo adoptó en la Resolución</w:t>
      </w:r>
      <w:r w:rsidR="009D1B69">
        <w:t> </w:t>
      </w:r>
      <w:r w:rsidR="00B27BCB" w:rsidRPr="00C317D5">
        <w:t xml:space="preserve">1405, </w:t>
      </w:r>
      <w:r w:rsidRPr="00C317D5">
        <w:t>se presenta a continuación</w:t>
      </w:r>
      <w:r w:rsidR="00B27BCB" w:rsidRPr="00C317D5">
        <w:t>.</w:t>
      </w:r>
    </w:p>
    <w:p w14:paraId="63240608" w14:textId="77777777" w:rsidR="00B27BCB" w:rsidRPr="00C317D5" w:rsidRDefault="00B27BCB" w:rsidP="00B27BCB">
      <w:pPr>
        <w:pStyle w:val="Figure"/>
        <w:keepNext w:val="0"/>
        <w:keepLines w:val="0"/>
      </w:pPr>
      <w:r w:rsidRPr="00C317D5">
        <w:rPr>
          <w:noProof/>
          <w:lang w:eastAsia="es-ES"/>
        </w:rPr>
        <w:drawing>
          <wp:inline distT="0" distB="0" distL="0" distR="0" wp14:anchorId="6400EA35" wp14:editId="0AE7FA37">
            <wp:extent cx="6120000" cy="3840635"/>
            <wp:effectExtent l="0" t="0" r="0" b="7620"/>
            <wp:docPr id="7" name="Picture 7"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medium confidence"/>
                    <pic:cNvPicPr/>
                  </pic:nvPicPr>
                  <pic:blipFill>
                    <a:blip r:embed="rId14"/>
                    <a:stretch>
                      <a:fillRect/>
                    </a:stretch>
                  </pic:blipFill>
                  <pic:spPr>
                    <a:xfrm>
                      <a:off x="0" y="0"/>
                      <a:ext cx="6120000" cy="3840635"/>
                    </a:xfrm>
                    <a:prstGeom prst="rect">
                      <a:avLst/>
                    </a:prstGeom>
                  </pic:spPr>
                </pic:pic>
              </a:graphicData>
            </a:graphic>
          </wp:inline>
        </w:drawing>
      </w:r>
    </w:p>
    <w:p w14:paraId="78084934" w14:textId="1FA882CE" w:rsidR="00B27BCB" w:rsidRPr="00C317D5" w:rsidRDefault="00040841" w:rsidP="00B27BCB">
      <w:pPr>
        <w:pStyle w:val="Normalaftertitle"/>
      </w:pPr>
      <w:r w:rsidRPr="00C317D5">
        <w:lastRenderedPageBreak/>
        <w:t xml:space="preserve">La PP-22 </w:t>
      </w:r>
      <w:r w:rsidR="00EB2CA3" w:rsidRPr="00C317D5">
        <w:t>mantuvo</w:t>
      </w:r>
      <w:r w:rsidRPr="00C317D5">
        <w:t xml:space="preserve"> e</w:t>
      </w:r>
      <w:r w:rsidR="00B27BCB" w:rsidRPr="00C317D5">
        <w:t xml:space="preserve">l importe de la unidad contributiva que han de abonar los Estados Miembros, lo que supone un crecimiento nominal cero desde 2016. Los gastos y los ingresos están equilibrados </w:t>
      </w:r>
      <w:r w:rsidRPr="00C317D5">
        <w:t xml:space="preserve">con normalidad </w:t>
      </w:r>
      <w:r w:rsidR="00B27BCB" w:rsidRPr="00C317D5">
        <w:t xml:space="preserve">y no se han ejecutado </w:t>
      </w:r>
      <w:r w:rsidR="00B27BCB" w:rsidRPr="00C317D5">
        <w:rPr>
          <w:color w:val="000000"/>
        </w:rPr>
        <w:t>detracciones de la Cuenta de Provisión</w:t>
      </w:r>
      <w:r w:rsidR="00B27BCB" w:rsidRPr="00C317D5">
        <w:t>.</w:t>
      </w:r>
      <w:r w:rsidRPr="00C317D5">
        <w:t xml:space="preserve"> </w:t>
      </w:r>
      <w:r w:rsidR="00EB2CA3" w:rsidRPr="00C317D5">
        <w:t xml:space="preserve">Previendo un déficit en la ejecución del presupuesto de 2022, en su período de sesiones extraordinario de 2023, el </w:t>
      </w:r>
      <w:r w:rsidR="00A77573" w:rsidRPr="00C317D5">
        <w:t>C</w:t>
      </w:r>
      <w:r w:rsidR="00EB2CA3" w:rsidRPr="00C317D5">
        <w:t xml:space="preserve">onsejo adoptó la Resolución 1412 por la que se autoriza </w:t>
      </w:r>
      <w:r w:rsidR="00157452" w:rsidRPr="00C317D5">
        <w:t>«</w:t>
      </w:r>
      <w:r w:rsidR="00EB2CA3" w:rsidRPr="00C317D5">
        <w:t xml:space="preserve">que pueda efectuarse una detracción de la </w:t>
      </w:r>
      <w:r w:rsidR="00EB2CA3" w:rsidRPr="00C317D5">
        <w:rPr>
          <w:szCs w:val="24"/>
        </w:rPr>
        <w:t xml:space="preserve">Cuenta de Provisión </w:t>
      </w:r>
      <w:r w:rsidR="00EB2CA3" w:rsidRPr="00C317D5">
        <w:t xml:space="preserve">de hasta 700 000 CHF, </w:t>
      </w:r>
      <w:r w:rsidR="00EB2CA3" w:rsidRPr="00C317D5">
        <w:rPr>
          <w:szCs w:val="24"/>
        </w:rPr>
        <w:t>que el Secretario General podrá utilizar</w:t>
      </w:r>
      <w:r w:rsidR="00EB2CA3" w:rsidRPr="00C317D5">
        <w:t xml:space="preserve"> si al final del año sigue habiendo un déficit en la ejecución del presupuesto de 2022</w:t>
      </w:r>
      <w:r w:rsidR="00157452" w:rsidRPr="00C317D5">
        <w:t>»</w:t>
      </w:r>
      <w:r w:rsidR="00EB2CA3" w:rsidRPr="00C317D5">
        <w:t>.</w:t>
      </w:r>
    </w:p>
    <w:p w14:paraId="70ED4A19" w14:textId="34830F36" w:rsidR="00B27BCB" w:rsidRPr="00C317D5" w:rsidRDefault="00B27BCB" w:rsidP="00B27BCB">
      <w:r w:rsidRPr="00C317D5">
        <w:t xml:space="preserve">Al igual que en presupuestos anteriores, </w:t>
      </w:r>
      <w:r w:rsidR="006E6DED" w:rsidRPr="00C317D5">
        <w:t xml:space="preserve">en 2023 </w:t>
      </w:r>
      <w:r w:rsidRPr="00C317D5">
        <w:t xml:space="preserve">se ha aplicado una tasa de vacantes del 5%, que </w:t>
      </w:r>
      <w:r w:rsidR="006E6DED" w:rsidRPr="00C317D5">
        <w:t>conlleva la necesidad de</w:t>
      </w:r>
      <w:r w:rsidRPr="00C317D5">
        <w:t xml:space="preserve"> demoras en la contratación, servicios a tiempo parcial y licencias sin sueldo. </w:t>
      </w:r>
      <w:r w:rsidR="006E6DED" w:rsidRPr="00C317D5">
        <w:t>L</w:t>
      </w:r>
      <w:r w:rsidRPr="00C317D5">
        <w:t xml:space="preserve">a aplicación de la tasa de vacantes </w:t>
      </w:r>
      <w:r w:rsidR="006E6DED" w:rsidRPr="00C317D5">
        <w:t xml:space="preserve">del 5% continúa suponiendo </w:t>
      </w:r>
      <w:r w:rsidRPr="00C317D5">
        <w:t xml:space="preserve">un reto importante para la gestión de </w:t>
      </w:r>
      <w:r w:rsidR="006E6DED" w:rsidRPr="00C317D5">
        <w:t xml:space="preserve">las actividades de la BR, dado que </w:t>
      </w:r>
      <w:r w:rsidRPr="00C317D5">
        <w:t xml:space="preserve">los </w:t>
      </w:r>
      <w:r w:rsidR="00A77573" w:rsidRPr="00C317D5">
        <w:t xml:space="preserve">nuevos </w:t>
      </w:r>
      <w:r w:rsidRPr="00C317D5">
        <w:t xml:space="preserve">puestos vacantes </w:t>
      </w:r>
      <w:r w:rsidR="006E6DED" w:rsidRPr="00C317D5">
        <w:t xml:space="preserve">del personal jubilado recientemente se han congelado </w:t>
      </w:r>
      <w:r w:rsidRPr="00C317D5">
        <w:t>y el proceso de contratación</w:t>
      </w:r>
      <w:r w:rsidR="006E6DED" w:rsidRPr="00C317D5">
        <w:t xml:space="preserve"> para otras vacantes se ha retrasado o aplazado</w:t>
      </w:r>
      <w:r w:rsidRPr="00C317D5">
        <w:t>. El presupuesto para 2022-2023 se basa en el programa de actividades de la Unión, que incluye la celebración de la Conferencia Mundial de Radiocomunicaciones en 2023 (CMR-23).</w:t>
      </w:r>
    </w:p>
    <w:p w14:paraId="5A4084CF" w14:textId="79A963D7" w:rsidR="00B27BCB" w:rsidRPr="00C317D5" w:rsidRDefault="006E6DED" w:rsidP="00B27BCB">
      <w:r w:rsidRPr="00C317D5">
        <w:t xml:space="preserve">El proyecto de presupuesto bienal para 2024-2025 </w:t>
      </w:r>
      <w:r w:rsidR="00B27BCB" w:rsidRPr="00C317D5">
        <w:t>se presentará al Consejo en</w:t>
      </w:r>
      <w:r w:rsidRPr="00C317D5">
        <w:t xml:space="preserve"> 2023 con miras a su adopción. En la fecha de redacción del presente informe, el proyecto de presupuesto de la UIT para 2024-2025 que se presentará al Consejo no satisfará por completo </w:t>
      </w:r>
      <w:r w:rsidR="00C77ABA" w:rsidRPr="00C317D5">
        <w:t>las necesidades financieras d</w:t>
      </w:r>
      <w:r w:rsidRPr="00C317D5">
        <w:t>e</w:t>
      </w:r>
      <w:r w:rsidR="00C77ABA" w:rsidRPr="00C317D5">
        <w:t xml:space="preserve"> </w:t>
      </w:r>
      <w:r w:rsidRPr="00C317D5">
        <w:t>la</w:t>
      </w:r>
      <w:r w:rsidR="00157452" w:rsidRPr="00C317D5">
        <w:t> </w:t>
      </w:r>
      <w:r w:rsidRPr="00C317D5">
        <w:t>BR.</w:t>
      </w:r>
    </w:p>
    <w:p w14:paraId="7833F068" w14:textId="31F9163F" w:rsidR="00B27BCB" w:rsidRPr="00C317D5" w:rsidRDefault="00157452" w:rsidP="00B27BCB">
      <w:pPr>
        <w:pStyle w:val="Heading2"/>
      </w:pPr>
      <w:r w:rsidRPr="00C317D5">
        <w:t>2.</w:t>
      </w:r>
      <w:r w:rsidR="00B27BCB" w:rsidRPr="00C317D5">
        <w:t>2.4</w:t>
      </w:r>
      <w:r w:rsidR="00B27BCB" w:rsidRPr="00C317D5">
        <w:tab/>
      </w:r>
      <w:r w:rsidR="00805BCF" w:rsidRPr="00C317D5">
        <w:t>Utilización de los seis idiomas oficiales de la Unión en igualdad de condiciones</w:t>
      </w:r>
    </w:p>
    <w:p w14:paraId="7BEC7286" w14:textId="4E278C91" w:rsidR="00805BCF" w:rsidRPr="00C317D5" w:rsidRDefault="00DC6934" w:rsidP="00805BCF">
      <w:r w:rsidRPr="00C317D5">
        <w:t>La Conferencia de Plenipotenciarios de la UIT de 2022 (PP-22) adoptó la Resolución</w:t>
      </w:r>
      <w:r w:rsidR="00067105" w:rsidRPr="00C317D5">
        <w:t> </w:t>
      </w:r>
      <w:r w:rsidRPr="00C317D5">
        <w:t>154 (Rev.</w:t>
      </w:r>
      <w:r w:rsidR="00067105" w:rsidRPr="00C317D5">
        <w:t> </w:t>
      </w:r>
      <w:r w:rsidRPr="00C317D5">
        <w:t>Bucarest, 2022), relativa a la utilización de los seis idiomas oficiales de la Unión. En esa Resolución se pide a la UIT que siga adoptando todas las medidas necesarias para garantizar la utilización de los seis idiomas oficiales de la Unión en igualdad de condiciones y facilitar la interpretación y la traducción de los documentos de la UIT, si bien para algunas actividades de la</w:t>
      </w:r>
      <w:r w:rsidR="00157452" w:rsidRPr="00C317D5">
        <w:t> </w:t>
      </w:r>
      <w:r w:rsidRPr="00C317D5">
        <w:t>UIT (por ejemplo, Grupos de Trabajo o Conferencias Regionales) quizá no se precisen todos los idiomas oficiales.</w:t>
      </w:r>
    </w:p>
    <w:p w14:paraId="666081BA" w14:textId="256C0CEC" w:rsidR="00DC6934" w:rsidRPr="00C317D5" w:rsidRDefault="00DC6934" w:rsidP="00805BCF">
      <w:r w:rsidRPr="00C317D5">
        <w:t>En la Resolución</w:t>
      </w:r>
      <w:r w:rsidR="00145E50" w:rsidRPr="00C317D5">
        <w:t> </w:t>
      </w:r>
      <w:r w:rsidRPr="00C317D5">
        <w:t>154 (Rev. Bucarest, 2022) se encarga a la Secretaría General, en estrecha colaboración con los Directores de las Oficinas, que presente cada año al Consejo y al Grupo de Trabajo del Consejo sobre los idiomas (GTC-Idiomas) un informe sobre diversas medidas en pro del multilingüismo en la UIT. Además, les encarga:</w:t>
      </w:r>
    </w:p>
    <w:p w14:paraId="03DE16DB" w14:textId="3A1CB115" w:rsidR="00DC6934" w:rsidRPr="00C317D5" w:rsidRDefault="00067105" w:rsidP="00067105">
      <w:pPr>
        <w:pStyle w:val="enumlev1"/>
      </w:pPr>
      <w:r w:rsidRPr="00C317D5">
        <w:t>•</w:t>
      </w:r>
      <w:r w:rsidR="00DC6934" w:rsidRPr="00C317D5">
        <w:tab/>
        <w:t>que publiquen todas las contribuciones remitidas a la Secretaría de la UIT para cualquier evento de la UIT en su idioma original en el sitio web correspondiente al evento lo antes posible, pero, en cualquier caso, a más tardar tres días laborables después de su recepción y aun antes de su traducción a los demás idiomas oficiales de la Unión;</w:t>
      </w:r>
    </w:p>
    <w:p w14:paraId="32F9D1CA" w14:textId="701E5776" w:rsidR="00DC6934" w:rsidRPr="00C317D5" w:rsidRDefault="00067105" w:rsidP="00067105">
      <w:pPr>
        <w:pStyle w:val="enumlev1"/>
      </w:pPr>
      <w:r w:rsidRPr="00C317D5">
        <w:t>•</w:t>
      </w:r>
      <w:r w:rsidR="00DC6934" w:rsidRPr="00C317D5">
        <w:tab/>
        <w:t>que intensifiquen sus trabajos para la armonización de los sitios web de los Sectores de la</w:t>
      </w:r>
      <w:r w:rsidR="00F20CD1" w:rsidRPr="00C317D5">
        <w:t> </w:t>
      </w:r>
      <w:r w:rsidR="00DC6934" w:rsidRPr="00C317D5">
        <w:t>UIT y la Secretaría General en todos los idiomas oficiales de la Unión para velar por la claridad de los mismos, facilitar su utilización y lograr la imagen de Una UIT;</w:t>
      </w:r>
    </w:p>
    <w:p w14:paraId="1EA441CF" w14:textId="5C7D48A1" w:rsidR="00DC6934" w:rsidRPr="00C317D5" w:rsidRDefault="00067105" w:rsidP="00067105">
      <w:pPr>
        <w:pStyle w:val="enumlev1"/>
      </w:pPr>
      <w:r w:rsidRPr="00C317D5">
        <w:t>•</w:t>
      </w:r>
      <w:r w:rsidR="00DC6934" w:rsidRPr="00C317D5">
        <w:tab/>
        <w:t>que apoyen la incorporación del multilingüismo a las comunicaciones y el intercambio de conocimientos, prestando una atención especial al contenido multilingüe de los sitios web oficiales y de las cuenta</w:t>
      </w:r>
      <w:r w:rsidR="008F54BE" w:rsidRPr="00C317D5">
        <w:t>s</w:t>
      </w:r>
      <w:r w:rsidR="00DC6934" w:rsidRPr="00C317D5">
        <w:t xml:space="preserve"> de medios sociales de todo el mundo.</w:t>
      </w:r>
    </w:p>
    <w:p w14:paraId="5256FA0E" w14:textId="46E04BC2" w:rsidR="00DC6934" w:rsidRPr="00C317D5" w:rsidRDefault="00067105" w:rsidP="00067105">
      <w:pPr>
        <w:pStyle w:val="enumlev1"/>
      </w:pPr>
      <w:r w:rsidRPr="00C317D5">
        <w:t>•</w:t>
      </w:r>
      <w:r w:rsidR="00DC6934" w:rsidRPr="00C317D5">
        <w:tab/>
        <w:t>que actualicen oportunamente las páginas del sitio web de la UIT en los seis idiomas de la Unión;</w:t>
      </w:r>
    </w:p>
    <w:p w14:paraId="5FA6FA2D" w14:textId="64D2B43A" w:rsidR="00DC6934" w:rsidRPr="00C317D5" w:rsidRDefault="00067105" w:rsidP="00067105">
      <w:pPr>
        <w:pStyle w:val="enumlev1"/>
      </w:pPr>
      <w:r w:rsidRPr="00C317D5">
        <w:t>•</w:t>
      </w:r>
      <w:r w:rsidR="00DC6934" w:rsidRPr="00C317D5">
        <w:tab/>
        <w:t>que faciliten toda la información y el apoyo necesarios al CCT UIT;</w:t>
      </w:r>
    </w:p>
    <w:p w14:paraId="0809B1DE" w14:textId="295F0BFB" w:rsidR="00DC6934" w:rsidRPr="00C317D5" w:rsidRDefault="00067105" w:rsidP="009D1B69">
      <w:pPr>
        <w:pStyle w:val="enumlev1"/>
        <w:keepNext/>
        <w:keepLines/>
      </w:pPr>
      <w:r w:rsidRPr="00C317D5">
        <w:lastRenderedPageBreak/>
        <w:t>•</w:t>
      </w:r>
      <w:r w:rsidR="00DC6934" w:rsidRPr="00C317D5">
        <w:tab/>
        <w:t>que recopilen todos los nuevos términos y definiciones propuestos por las Comisiones de Estudio de la UIT en consulta con el CCT UIT, los incorpore a la base de datos en línea de términos y definiciones de la UIT y mejore las funciones de búsqueda en la base de datos basadas en intervalos de tiempo;</w:t>
      </w:r>
    </w:p>
    <w:p w14:paraId="45F3B7C6" w14:textId="54365F17" w:rsidR="00DC6934" w:rsidRPr="00C317D5" w:rsidRDefault="00067105" w:rsidP="00067105">
      <w:pPr>
        <w:pStyle w:val="enumlev1"/>
      </w:pPr>
      <w:r w:rsidRPr="00C317D5">
        <w:t>•</w:t>
      </w:r>
      <w:r w:rsidR="00DC6934" w:rsidRPr="00C317D5">
        <w:tab/>
        <w:t>que supervisen la calidad de la interpretación y la traducción, así como los gastos conexos;</w:t>
      </w:r>
    </w:p>
    <w:p w14:paraId="3310C512" w14:textId="7E86098F" w:rsidR="00DC6934" w:rsidRPr="00C317D5" w:rsidRDefault="00067105" w:rsidP="00067105">
      <w:pPr>
        <w:pStyle w:val="enumlev1"/>
      </w:pPr>
      <w:r w:rsidRPr="00C317D5">
        <w:t>•</w:t>
      </w:r>
      <w:r w:rsidR="00DC6934" w:rsidRPr="00C317D5">
        <w:tab/>
        <w:t>que se sigan traduciendo los documentos políticos de la UIT y otros documentos en los que se ofrecen orientaciones sobre los derechos de propiedad intelectual en la UIT;</w:t>
      </w:r>
    </w:p>
    <w:p w14:paraId="6E7400C1" w14:textId="13580D1C" w:rsidR="00F07AB4" w:rsidRPr="00C317D5" w:rsidRDefault="00067105" w:rsidP="00067105">
      <w:pPr>
        <w:pStyle w:val="enumlev1"/>
      </w:pPr>
      <w:r w:rsidRPr="00C317D5">
        <w:t>•</w:t>
      </w:r>
      <w:r w:rsidR="00F07AB4" w:rsidRPr="00C317D5">
        <w:tab/>
        <w:t>que se sigan analizando todas las posibles opciones para prestar servicios de interpretación y traducción de la documentación existente de la UIT, a fin de promocionar la utilización de los seis idiomas oficiales de la Unión en igualdad de condiciones en las reuniones oficiales de la UIT;</w:t>
      </w:r>
    </w:p>
    <w:p w14:paraId="70048633" w14:textId="49459A21" w:rsidR="00F07AB4" w:rsidRPr="00C317D5" w:rsidRDefault="00067105" w:rsidP="00067105">
      <w:pPr>
        <w:pStyle w:val="enumlev1"/>
      </w:pPr>
      <w:r w:rsidRPr="00C317D5">
        <w:t>•</w:t>
      </w:r>
      <w:r w:rsidR="00F07AB4" w:rsidRPr="00C317D5">
        <w:tab/>
        <w:t>que sigan colaborando con los Estados Miembros interesados y, en la medida de lo posible, perfeccionen la traducción de términos y definiciones en los seis idiomas oficiales.</w:t>
      </w:r>
    </w:p>
    <w:p w14:paraId="33895B47" w14:textId="60A2B211" w:rsidR="00F07AB4" w:rsidRPr="00C317D5" w:rsidRDefault="00F07AB4" w:rsidP="00805BCF">
      <w:r w:rsidRPr="00C317D5">
        <w:t>De la aplicación de esta Resolución se encargará el Grupo Intersectorial sobre Multilingüismo (GIM), creado por el Consejo en 2022 para preparar el Marco político de multilingüismo. En la actualidad este Grupo es responsable de la preparación de las Directrices administrativas y operativas para la aplicación de la política sobre multilingüismo solicitadas por el Consejo y de garantizar la aplicación de la revisión de la Resolución 154. Las principales actividades del Grupo son:</w:t>
      </w:r>
    </w:p>
    <w:p w14:paraId="5C961795" w14:textId="793EE5B4" w:rsidR="00F07AB4" w:rsidRPr="00C317D5" w:rsidRDefault="00067105" w:rsidP="00067105">
      <w:pPr>
        <w:pStyle w:val="enumlev1"/>
      </w:pPr>
      <w:r w:rsidRPr="00C317D5">
        <w:t>•</w:t>
      </w:r>
      <w:r w:rsidRPr="00C317D5">
        <w:tab/>
      </w:r>
      <w:r w:rsidR="00F07AB4" w:rsidRPr="00C317D5">
        <w:t>Preparar las Directrices administrativas y operativas para la aplicación del marco político de multilingüismo</w:t>
      </w:r>
      <w:r w:rsidRPr="00C317D5">
        <w:t>.</w:t>
      </w:r>
    </w:p>
    <w:p w14:paraId="00447AB4" w14:textId="608B4392" w:rsidR="00F07AB4" w:rsidRPr="00C317D5" w:rsidRDefault="00067105" w:rsidP="00067105">
      <w:pPr>
        <w:pStyle w:val="enumlev1"/>
      </w:pPr>
      <w:r w:rsidRPr="00C317D5">
        <w:t>•</w:t>
      </w:r>
      <w:r w:rsidRPr="00C317D5">
        <w:tab/>
      </w:r>
      <w:r w:rsidR="00F07AB4" w:rsidRPr="00C317D5">
        <w:t>Mejorar y armonizar las funciones del Comité de Coordinación de la Terminología</w:t>
      </w:r>
      <w:r w:rsidRPr="00C317D5">
        <w:t>.</w:t>
      </w:r>
    </w:p>
    <w:p w14:paraId="4393E25F" w14:textId="3E66BAA9" w:rsidR="00F07AB4" w:rsidRPr="00C317D5" w:rsidRDefault="00067105" w:rsidP="00067105">
      <w:pPr>
        <w:pStyle w:val="enumlev1"/>
      </w:pPr>
      <w:r w:rsidRPr="00C317D5">
        <w:t>•</w:t>
      </w:r>
      <w:r w:rsidRPr="00C317D5">
        <w:tab/>
      </w:r>
      <w:r w:rsidR="00F07AB4" w:rsidRPr="00C317D5">
        <w:t>Incrementar el contenido disponible en seis idiomas del sitio web aplicando una política armonizada en función de las páginas/tipos de páginas/tipos de traducción (humana o automática) en todos los Sectores</w:t>
      </w:r>
      <w:r w:rsidRPr="00C317D5">
        <w:t>.</w:t>
      </w:r>
    </w:p>
    <w:p w14:paraId="57FC2AD3" w14:textId="2191EEC8" w:rsidR="00F07AB4" w:rsidRPr="00C317D5" w:rsidRDefault="00067105" w:rsidP="00067105">
      <w:pPr>
        <w:pStyle w:val="enumlev1"/>
      </w:pPr>
      <w:r w:rsidRPr="00C317D5">
        <w:t>•</w:t>
      </w:r>
      <w:r w:rsidRPr="00C317D5">
        <w:tab/>
      </w:r>
      <w:r w:rsidR="00F07AB4" w:rsidRPr="00C317D5">
        <w:t>Presentar al Consejo Informes sobre la aplicación de la Resolución 154 de acuerdo con las instrucciones indicadas.</w:t>
      </w:r>
    </w:p>
    <w:p w14:paraId="02F27989" w14:textId="2A438FDF" w:rsidR="00F07AB4" w:rsidRPr="00C317D5" w:rsidRDefault="00F07AB4" w:rsidP="00F07AB4">
      <w:r w:rsidRPr="00C317D5">
        <w:t>En la Resolución 154 (Rev. Bucarest, 2022) también se encarga a los Grupos Asesores de los Sectores</w:t>
      </w:r>
      <w:r w:rsidR="00823E9D" w:rsidRPr="00C317D5">
        <w:t xml:space="preserve"> que examinen anualmente la utilización de todos los idiomas oficiales de la Unión en igualdad de condiciones en las publicaciones y sitios web de la UIT.</w:t>
      </w:r>
    </w:p>
    <w:p w14:paraId="792177E8" w14:textId="77777777" w:rsidR="00B27BCB" w:rsidRPr="00C317D5" w:rsidRDefault="00B27BCB" w:rsidP="00B27BCB">
      <w:pPr>
        <w:pStyle w:val="Heading1"/>
      </w:pPr>
      <w:r w:rsidRPr="00C317D5">
        <w:t>3</w:t>
      </w:r>
      <w:r w:rsidRPr="00C317D5">
        <w:tab/>
        <w:t>Ejecución de las decisiones de la CMR-19</w:t>
      </w:r>
    </w:p>
    <w:p w14:paraId="1401F3BA" w14:textId="77777777" w:rsidR="00B27BCB" w:rsidRPr="00C317D5" w:rsidRDefault="00B27BCB" w:rsidP="00B27BCB">
      <w:pPr>
        <w:pStyle w:val="Heading2"/>
      </w:pPr>
      <w:r w:rsidRPr="00C317D5">
        <w:t>3.1</w:t>
      </w:r>
      <w:r w:rsidRPr="00C317D5">
        <w:tab/>
        <w:t xml:space="preserve">Desarrollo de </w:t>
      </w:r>
      <w:r w:rsidRPr="00C317D5">
        <w:rPr>
          <w:i/>
        </w:rPr>
        <w:t>software</w:t>
      </w:r>
      <w:r w:rsidRPr="00C317D5">
        <w:t xml:space="preserve"> para la aplicación de las decisiones de la CMR-19</w:t>
      </w:r>
    </w:p>
    <w:p w14:paraId="29EFD51A" w14:textId="77777777" w:rsidR="00B27BCB" w:rsidRPr="00C317D5" w:rsidRDefault="00B27BCB" w:rsidP="00B27BCB">
      <w:r w:rsidRPr="00C317D5">
        <w:t xml:space="preserve">La BR está ultimando el diseño y desarrollo de </w:t>
      </w:r>
      <w:r w:rsidRPr="00C317D5">
        <w:rPr>
          <w:i/>
        </w:rPr>
        <w:t>software</w:t>
      </w:r>
      <w:r w:rsidRPr="00C317D5">
        <w:t xml:space="preserve"> específico para aplicar las decisiones de la CMR-19.</w:t>
      </w:r>
    </w:p>
    <w:p w14:paraId="70CF1890" w14:textId="77777777" w:rsidR="00B27BCB" w:rsidRPr="00C317D5" w:rsidRDefault="00B27BCB" w:rsidP="00B27BCB">
      <w:r w:rsidRPr="00C317D5">
        <w:t>A continuación, se resumen las principales tareas finalizadas desde el último informe o que están pendientes de finalizar.</w:t>
      </w:r>
    </w:p>
    <w:p w14:paraId="53EE4F83" w14:textId="77777777" w:rsidR="00B27BCB" w:rsidRPr="00C317D5" w:rsidRDefault="00B27BCB" w:rsidP="00B27BCB">
      <w:pPr>
        <w:pStyle w:val="Heading3"/>
      </w:pPr>
      <w:r w:rsidRPr="00C317D5">
        <w:t>3.1.</w:t>
      </w:r>
      <w:bookmarkStart w:id="18" w:name="lt_pId358"/>
      <w:r w:rsidRPr="00C317D5">
        <w:t>1</w:t>
      </w:r>
      <w:r w:rsidRPr="00C317D5">
        <w:tab/>
        <w:t>Aplicación de las decisiones de la CMR-19 relativas a los servicios terrenales</w:t>
      </w:r>
      <w:bookmarkEnd w:id="18"/>
    </w:p>
    <w:p w14:paraId="786D3086" w14:textId="1C30552F" w:rsidR="00B27BCB" w:rsidRPr="00C317D5" w:rsidRDefault="001B583A" w:rsidP="00067105">
      <w:bookmarkStart w:id="19" w:name="lt_pId361"/>
      <w:r w:rsidRPr="00C317D5">
        <w:t>A lo largo de este periodo se siguieron desarrollando</w:t>
      </w:r>
      <w:r w:rsidR="00B27BCB" w:rsidRPr="00C317D5">
        <w:t xml:space="preserve"> los módulos de </w:t>
      </w:r>
      <w:r w:rsidR="00B27BCB" w:rsidRPr="00C317D5">
        <w:rPr>
          <w:i/>
          <w:iCs/>
        </w:rPr>
        <w:t>software</w:t>
      </w:r>
      <w:r w:rsidR="00B27BCB" w:rsidRPr="00C317D5">
        <w:t xml:space="preserve"> necesarios para tramitar notificaciones de HAPS (herramientas de validación, examen y publicación). Esta tarea comprende asimismo el desarrollo de módulos de cálculo a efectos de verificar las condiciones técnicas especificadas en las Resoluciones </w:t>
      </w:r>
      <w:r w:rsidR="00B27BCB" w:rsidRPr="00C317D5">
        <w:rPr>
          <w:b/>
          <w:bCs/>
        </w:rPr>
        <w:t>122 (Rev.CMR-19)</w:t>
      </w:r>
      <w:r w:rsidR="00B27BCB" w:rsidRPr="00C317D5">
        <w:t xml:space="preserve">, </w:t>
      </w:r>
      <w:r w:rsidR="00B27BCB" w:rsidRPr="00C317D5">
        <w:rPr>
          <w:b/>
          <w:bCs/>
        </w:rPr>
        <w:t>145 (Rev.CMR-19)</w:t>
      </w:r>
      <w:r w:rsidR="00B27BCB" w:rsidRPr="00C317D5">
        <w:t xml:space="preserve">, </w:t>
      </w:r>
      <w:r w:rsidR="00B27BCB" w:rsidRPr="00C317D5">
        <w:rPr>
          <w:b/>
          <w:bCs/>
        </w:rPr>
        <w:t>165 (CMR</w:t>
      </w:r>
      <w:r w:rsidR="00B27BCB" w:rsidRPr="00C317D5">
        <w:rPr>
          <w:b/>
          <w:bCs/>
        </w:rPr>
        <w:noBreakHyphen/>
        <w:t>9)</w:t>
      </w:r>
      <w:r w:rsidR="00B27BCB" w:rsidRPr="00C317D5">
        <w:t xml:space="preserve">, </w:t>
      </w:r>
      <w:r w:rsidR="00B27BCB" w:rsidRPr="00C317D5">
        <w:rPr>
          <w:b/>
          <w:bCs/>
        </w:rPr>
        <w:t>166 (CMR-19)</w:t>
      </w:r>
      <w:r w:rsidR="00B27BCB" w:rsidRPr="00C317D5">
        <w:t xml:space="preserve">, </w:t>
      </w:r>
      <w:r w:rsidR="00B27BCB" w:rsidRPr="00C317D5">
        <w:rPr>
          <w:b/>
          <w:bCs/>
        </w:rPr>
        <w:t>167 (CMR-19)</w:t>
      </w:r>
      <w:r w:rsidR="00B27BCB" w:rsidRPr="00C317D5">
        <w:t xml:space="preserve"> y </w:t>
      </w:r>
      <w:r w:rsidR="00B27BCB" w:rsidRPr="00C317D5">
        <w:rPr>
          <w:b/>
          <w:bCs/>
        </w:rPr>
        <w:t>168 (CMR-19)</w:t>
      </w:r>
      <w:r w:rsidR="00B27BCB" w:rsidRPr="00C317D5">
        <w:t xml:space="preserve">, así como las modificaciones correspondientes de la base de datos y la estructura de </w:t>
      </w:r>
      <w:bookmarkEnd w:id="19"/>
      <w:r w:rsidR="00B27BCB" w:rsidRPr="00C317D5">
        <w:t>las notificaciones.</w:t>
      </w:r>
    </w:p>
    <w:p w14:paraId="0FEB8004" w14:textId="6E3A59FC" w:rsidR="00B27BCB" w:rsidRPr="00C317D5" w:rsidRDefault="001B583A" w:rsidP="00067105">
      <w:bookmarkStart w:id="20" w:name="lt_pId363"/>
      <w:r w:rsidRPr="00C317D5">
        <w:lastRenderedPageBreak/>
        <w:t>A lo largo de este periodo se siguió desarrollando</w:t>
      </w:r>
      <w:r w:rsidR="00B27BCB" w:rsidRPr="00C317D5">
        <w:t xml:space="preserve"> el </w:t>
      </w:r>
      <w:r w:rsidR="00B27BCB" w:rsidRPr="00C317D5">
        <w:rPr>
          <w:i/>
          <w:iCs/>
        </w:rPr>
        <w:t>software</w:t>
      </w:r>
      <w:r w:rsidR="00B27BCB" w:rsidRPr="00C317D5">
        <w:t xml:space="preserve"> de examen encaminado a la identificación de las administraciones afectadas utilizando modelos de elevación digital para varias bandas de frecuencias y servicios.</w:t>
      </w:r>
      <w:bookmarkEnd w:id="20"/>
    </w:p>
    <w:p w14:paraId="589ACC54" w14:textId="77777777" w:rsidR="00B27BCB" w:rsidRPr="00C317D5" w:rsidRDefault="00B27BCB" w:rsidP="00B95D2E">
      <w:pPr>
        <w:pStyle w:val="Heading3"/>
      </w:pPr>
      <w:r w:rsidRPr="00C317D5">
        <w:t>3.1.</w:t>
      </w:r>
      <w:bookmarkStart w:id="21" w:name="lt_pId365"/>
      <w:r w:rsidRPr="00C317D5">
        <w:t>2</w:t>
      </w:r>
      <w:r w:rsidRPr="00C317D5">
        <w:tab/>
        <w:t>Aplicación de las decisiones de la CMR-19 relativas a los servicios espaciales</w:t>
      </w:r>
      <w:bookmarkEnd w:id="21"/>
    </w:p>
    <w:p w14:paraId="4A09DA9E" w14:textId="2F447D15" w:rsidR="00B27BCB" w:rsidRPr="00C317D5" w:rsidRDefault="001B583A" w:rsidP="00067105">
      <w:r w:rsidRPr="00C317D5">
        <w:t xml:space="preserve">En 2022 la BR terminó de aplicar los cambios a la base de datos y el software decididos </w:t>
      </w:r>
      <w:r w:rsidR="00B27BCB" w:rsidRPr="00C317D5">
        <w:t xml:space="preserve">por la CMR-19 </w:t>
      </w:r>
      <w:r w:rsidRPr="00C317D5">
        <w:t xml:space="preserve">en relación </w:t>
      </w:r>
      <w:r w:rsidR="00B27BCB" w:rsidRPr="00C317D5">
        <w:t>con los servicios espaciales</w:t>
      </w:r>
      <w:r w:rsidRPr="00C317D5">
        <w:t>, como se indica en la CR/493. Estos cambios se presentaron detalladamente en el SMR-22 y se publicaron en la</w:t>
      </w:r>
      <w:r w:rsidR="00B27BCB" w:rsidRPr="00C317D5">
        <w:t xml:space="preserve"> BR IFIC </w:t>
      </w:r>
      <w:r w:rsidRPr="00C317D5">
        <w:t>2985 (29 de noviembre de</w:t>
      </w:r>
      <w:r w:rsidR="00067105" w:rsidRPr="00C317D5">
        <w:t> </w:t>
      </w:r>
      <w:r w:rsidRPr="00C317D5">
        <w:t>2022) como</w:t>
      </w:r>
      <w:r w:rsidR="00B27BCB" w:rsidRPr="00C317D5">
        <w:t xml:space="preserve"> versión 9.1 del </w:t>
      </w:r>
      <w:r w:rsidR="00B27BCB" w:rsidRPr="00C317D5">
        <w:rPr>
          <w:i/>
          <w:iCs/>
        </w:rPr>
        <w:t>software</w:t>
      </w:r>
      <w:r w:rsidR="00B27BCB" w:rsidRPr="00C317D5">
        <w:t xml:space="preserve"> para servicios espaciales de la BR.</w:t>
      </w:r>
      <w:r w:rsidR="00067105" w:rsidRPr="00C317D5">
        <w:t xml:space="preserve"> </w:t>
      </w:r>
      <w:r w:rsidR="00B27BCB" w:rsidRPr="00C317D5">
        <w:t xml:space="preserve">Una lista no exhaustiva de los cambios realizados en el </w:t>
      </w:r>
      <w:r w:rsidR="00B27BCB" w:rsidRPr="00C317D5">
        <w:rPr>
          <w:i/>
          <w:iCs/>
        </w:rPr>
        <w:t>software</w:t>
      </w:r>
      <w:r w:rsidR="00B27BCB" w:rsidRPr="00C317D5">
        <w:t xml:space="preserve"> de los servicios espaciales relacionados con la aplicación en 2021 de las decisiones de la CMR-19 incluye lo siguiente:</w:t>
      </w:r>
    </w:p>
    <w:p w14:paraId="6EE2A40C" w14:textId="6C62AE91" w:rsidR="00B27BCB" w:rsidRPr="00C317D5" w:rsidRDefault="0024772D" w:rsidP="00067105">
      <w:pPr>
        <w:pStyle w:val="enumlev1"/>
      </w:pPr>
      <w:r w:rsidRPr="00C317D5">
        <w:t>–</w:t>
      </w:r>
      <w:r w:rsidR="00067105" w:rsidRPr="00C317D5">
        <w:tab/>
      </w:r>
      <w:r w:rsidR="001B583A" w:rsidRPr="00C317D5">
        <w:t>Se ha puesto a disposición de</w:t>
      </w:r>
      <w:r w:rsidR="00B27BCB" w:rsidRPr="00C317D5">
        <w:t xml:space="preserve"> las administraciones </w:t>
      </w:r>
      <w:r w:rsidR="001B583A" w:rsidRPr="00C317D5">
        <w:t xml:space="preserve">una herramienta para facilitar </w:t>
      </w:r>
      <w:r w:rsidR="007245C4" w:rsidRPr="00C317D5">
        <w:t>la</w:t>
      </w:r>
      <w:r w:rsidR="00B27BCB" w:rsidRPr="00C317D5">
        <w:t xml:space="preserve"> comunicación </w:t>
      </w:r>
      <w:r w:rsidR="007245C4" w:rsidRPr="00C317D5">
        <w:t>a</w:t>
      </w:r>
      <w:r w:rsidR="00B27BCB" w:rsidRPr="00C317D5">
        <w:t xml:space="preserve"> la Oficina </w:t>
      </w:r>
      <w:r w:rsidR="007245C4" w:rsidRPr="00C317D5">
        <w:t xml:space="preserve">de </w:t>
      </w:r>
      <w:r w:rsidR="00B27BCB" w:rsidRPr="00C317D5">
        <w:t>la situación de coordinación con las administraciones afectadas a raíz de la primera notificación y la nueva presentación de notificaciones (en SpaceCap, BR-SIS, SpacePub, en el sistema de presentación electrónica (e-Submission), y en la tramitación interna en la BR) (como se describe en la sección 7.3.3).</w:t>
      </w:r>
    </w:p>
    <w:p w14:paraId="07BC5E2B" w14:textId="77777777" w:rsidR="00B27BCB" w:rsidRPr="00C317D5" w:rsidRDefault="00B27BCB" w:rsidP="00B27BCB">
      <w:pPr>
        <w:pStyle w:val="Heading2"/>
      </w:pPr>
      <w:r w:rsidRPr="00C317D5">
        <w:t>3.2</w:t>
      </w:r>
      <w:r w:rsidRPr="00C317D5">
        <w:tab/>
        <w:t>Otras medidas destinadas a aplicar las decisiones de la CMR-19</w:t>
      </w:r>
    </w:p>
    <w:p w14:paraId="60754A32" w14:textId="6032D499" w:rsidR="00B27BCB" w:rsidRPr="00C317D5" w:rsidRDefault="007245C4" w:rsidP="00B27BCB">
      <w:bookmarkStart w:id="22" w:name="lt_pId300"/>
      <w:r w:rsidRPr="00C317D5">
        <w:t>De conformidad con el número</w:t>
      </w:r>
      <w:r w:rsidR="008C76AE" w:rsidRPr="00C317D5">
        <w:t> </w:t>
      </w:r>
      <w:r w:rsidRPr="00C317D5">
        <w:rPr>
          <w:b/>
          <w:bCs/>
        </w:rPr>
        <w:t>11.50</w:t>
      </w:r>
      <w:r w:rsidRPr="00C317D5">
        <w:t>,</w:t>
      </w:r>
      <w:r w:rsidRPr="00C317D5">
        <w:rPr>
          <w:b/>
          <w:bCs/>
        </w:rPr>
        <w:t xml:space="preserve"> </w:t>
      </w:r>
      <w:r w:rsidRPr="00C317D5">
        <w:t>l</w:t>
      </w:r>
      <w:r w:rsidR="00B27BCB" w:rsidRPr="00C317D5">
        <w:t xml:space="preserve">a Oficina </w:t>
      </w:r>
      <w:r w:rsidRPr="00C317D5">
        <w:t>se puso en contacto con las administraciones notificantes para proceder al</w:t>
      </w:r>
      <w:r w:rsidR="00B27BCB" w:rsidRPr="00C317D5">
        <w:t xml:space="preserve"> examen de las conclusiones relativas a asignaciones de frecuencias </w:t>
      </w:r>
      <w:r w:rsidRPr="00C317D5">
        <w:t>sujetas al número</w:t>
      </w:r>
      <w:r w:rsidR="008C76AE" w:rsidRPr="00C317D5">
        <w:t> </w:t>
      </w:r>
      <w:r w:rsidRPr="00C317D5">
        <w:rPr>
          <w:b/>
          <w:bCs/>
        </w:rPr>
        <w:t>5.560A</w:t>
      </w:r>
      <w:r w:rsidRPr="00C317D5">
        <w:t>. Con ese número la CMR-19 decidió eximir a determinadas asignaciones de frecuencias de los límites de potencia hasta el 22 de noviembre de 2022</w:t>
      </w:r>
      <w:r w:rsidR="00B27BCB" w:rsidRPr="00C317D5">
        <w:t>.</w:t>
      </w:r>
      <w:bookmarkEnd w:id="22"/>
    </w:p>
    <w:p w14:paraId="53333D5B" w14:textId="20CFD8E7" w:rsidR="007245C4" w:rsidRPr="00C317D5" w:rsidRDefault="007245C4" w:rsidP="00B27BCB">
      <w:r w:rsidRPr="00C317D5">
        <w:t>La Oficina también se puso en contacto con las administraciones notificantes de asignaciones de frecuencias sujetas a la Resolución</w:t>
      </w:r>
      <w:r w:rsidR="00D27E52" w:rsidRPr="00C317D5">
        <w:t> </w:t>
      </w:r>
      <w:r w:rsidRPr="00C317D5">
        <w:rPr>
          <w:b/>
          <w:bCs/>
        </w:rPr>
        <w:t>771 (CMR-19)</w:t>
      </w:r>
      <w:r w:rsidRPr="00C317D5">
        <w:t xml:space="preserve"> porque dichas asignaciones debían ponerse en servicio antes del 23 de noviembre de 2022 ( o al final de periodo reglamentario indicado en el número</w:t>
      </w:r>
      <w:r w:rsidR="008C76AE" w:rsidRPr="00C317D5">
        <w:t> </w:t>
      </w:r>
      <w:r w:rsidRPr="00C317D5">
        <w:rPr>
          <w:b/>
          <w:bCs/>
        </w:rPr>
        <w:t>11.44</w:t>
      </w:r>
      <w:r w:rsidRPr="00C317D5">
        <w:t>, si esa fecha era más temprana) o suprimirse.</w:t>
      </w:r>
    </w:p>
    <w:p w14:paraId="0EAC514F" w14:textId="77777777" w:rsidR="00B27BCB" w:rsidRPr="00C317D5" w:rsidRDefault="00B27BCB" w:rsidP="00B27BCB">
      <w:pPr>
        <w:pStyle w:val="Heading1"/>
      </w:pPr>
      <w:bookmarkStart w:id="23" w:name="_Toc446060766"/>
      <w:r w:rsidRPr="00C317D5">
        <w:t>4</w:t>
      </w:r>
      <w:r w:rsidRPr="00C317D5">
        <w:tab/>
        <w:t>Actividades de las Comisiones de Estudio</w:t>
      </w:r>
      <w:bookmarkEnd w:id="23"/>
    </w:p>
    <w:p w14:paraId="03B801D2" w14:textId="77777777" w:rsidR="00B27BCB" w:rsidRPr="00C317D5" w:rsidRDefault="00B27BCB" w:rsidP="00B27BCB">
      <w:r w:rsidRPr="00C317D5">
        <w:t>Este tema se aborda en el Addéndum 1 al presente documento.</w:t>
      </w:r>
    </w:p>
    <w:p w14:paraId="452A78A8" w14:textId="5D13B3BB" w:rsidR="00B27BCB" w:rsidRPr="00C317D5" w:rsidRDefault="00B27BCB" w:rsidP="00B27BCB">
      <w:pPr>
        <w:pStyle w:val="Heading1"/>
      </w:pPr>
      <w:bookmarkStart w:id="24" w:name="_Toc446060767"/>
      <w:r w:rsidRPr="00C317D5">
        <w:t>5</w:t>
      </w:r>
      <w:r w:rsidRPr="00C317D5">
        <w:tab/>
      </w:r>
      <w:r w:rsidR="007245C4" w:rsidRPr="00C317D5">
        <w:t>Preparativos de la AR-23,</w:t>
      </w:r>
      <w:r w:rsidRPr="00C317D5">
        <w:t xml:space="preserve"> la CMR-23 y </w:t>
      </w:r>
      <w:r w:rsidR="007245C4" w:rsidRPr="00C317D5">
        <w:t>la RPC27-1</w:t>
      </w:r>
      <w:bookmarkEnd w:id="24"/>
    </w:p>
    <w:p w14:paraId="38AD553B" w14:textId="58225B60" w:rsidR="007245C4" w:rsidRPr="00C317D5" w:rsidRDefault="007245C4" w:rsidP="00B27BCB">
      <w:r w:rsidRPr="00C317D5">
        <w:t>Los Grupos de Trabajo del UIT-R responsables y el Grupo de Tareas Especiales 6/1 terminar</w:t>
      </w:r>
      <w:r w:rsidR="008C76AE" w:rsidRPr="00C317D5">
        <w:t>on</w:t>
      </w:r>
      <w:r w:rsidRPr="00C317D5">
        <w:t xml:space="preserve"> de preparar los proyectos de textos de la RPC que les asignó la primera sesión de la RPC-23 (RPC23</w:t>
      </w:r>
      <w:r w:rsidR="003D2C41" w:rsidRPr="00C317D5">
        <w:noBreakHyphen/>
      </w:r>
      <w:r w:rsidRPr="00C317D5">
        <w:t>1), que se incluyeron en el proyecto de Informe de la RPC para su consideración por la segunda sesión de la RPC-23 (RPC23-2). La RPC23-2, celebrada del 27 de marzo al 6 de abril de</w:t>
      </w:r>
      <w:r w:rsidR="003D2C41" w:rsidRPr="00C317D5">
        <w:t> </w:t>
      </w:r>
      <w:r w:rsidRPr="00C317D5">
        <w:t xml:space="preserve">2023, terminó de preparar el Informe final de la RPC a la CMR-23. </w:t>
      </w:r>
      <w:r w:rsidR="007A2DF3" w:rsidRPr="00C317D5">
        <w:t xml:space="preserve">La versión refundida del Informe se publicó en la página web de la RPC, </w:t>
      </w:r>
      <w:hyperlink r:id="rId15" w:history="1">
        <w:r w:rsidR="007A2DF3" w:rsidRPr="00C317D5">
          <w:rPr>
            <w:rStyle w:val="Hyperlink"/>
          </w:rPr>
          <w:t>http://www.itu.int/go/ITU-R/CPM</w:t>
        </w:r>
      </w:hyperlink>
      <w:r w:rsidR="007A2DF3" w:rsidRPr="00C317D5">
        <w:t>, a la mayor brevedad tras la RPC23-2, habida cuenta de los plazos fijados en la Resolución UIT-R 2-8. En algunos casos, los Grupos de Trabajo del UIT-R pertinentes proseguirán los estudios técnicos necesarios para finalizar antes de la AR-23 las Recomendaciones/Informes UIT-R correspondientes como preparación de la CMR-23.</w:t>
      </w:r>
    </w:p>
    <w:p w14:paraId="7E7FF260" w14:textId="77777777" w:rsidR="00B27BCB" w:rsidRPr="00C317D5" w:rsidRDefault="00B27BCB" w:rsidP="00B27BCB">
      <w:bookmarkStart w:id="25" w:name="lt_pId315"/>
      <w:r w:rsidRPr="00C317D5">
        <w:t xml:space="preserve">Teniendo en cuenta la Resolución 80 (Rev. Marrakech, 2002) de la Conferencia de Plenipotenciarios y la Resolución </w:t>
      </w:r>
      <w:r w:rsidRPr="00C317D5">
        <w:rPr>
          <w:b/>
          <w:bCs/>
        </w:rPr>
        <w:t>72 (Rev.CMR-19)</w:t>
      </w:r>
      <w:r w:rsidRPr="00C317D5">
        <w:t>, los preparativos de la CMR-23 también han continuado en el ámbito regional, en la medida de lo posible con la participación activa de la BR en las reuniones de los grupos y organizaciones regionales de telecomunicación (ORT), incluidos APT, ASMG, ATU, CEPT, CITEL y CRC, siempre que ha sido posible.</w:t>
      </w:r>
      <w:bookmarkEnd w:id="25"/>
    </w:p>
    <w:p w14:paraId="0D825194" w14:textId="77777777" w:rsidR="00B27BCB" w:rsidRPr="00C317D5" w:rsidRDefault="00B27BCB" w:rsidP="00B27BCB">
      <w:r w:rsidRPr="00C317D5">
        <w:lastRenderedPageBreak/>
        <w:t xml:space="preserve">Se puede encontrar información sobre la preparación de los grupos regionales para la CMR-23 en </w:t>
      </w:r>
      <w:hyperlink r:id="rId16" w:history="1">
        <w:r w:rsidRPr="00C317D5">
          <w:rPr>
            <w:rStyle w:val="Hyperlink"/>
            <w:spacing w:val="-2"/>
          </w:rPr>
          <w:t>www.itu.int/go/wrc-23-regional</w:t>
        </w:r>
      </w:hyperlink>
      <w:r w:rsidRPr="00C317D5">
        <w:t>.</w:t>
      </w:r>
    </w:p>
    <w:p w14:paraId="5B804240" w14:textId="76708261" w:rsidR="00B27BCB" w:rsidRPr="00C317D5" w:rsidRDefault="007A2DF3" w:rsidP="008C76AE">
      <w:pPr>
        <w:ind w:right="-113"/>
      </w:pPr>
      <w:r w:rsidRPr="00C317D5">
        <w:t>Tras el primer Taller Interregional de la UIT sobre los preparativos de la CMR-23, celebrado en línea en diciembre de 2021, el segundo Taller tuvo lugar en la Sede de la UIT en Ginebra, como evento presencial con posibilidad de participar a distancia, del 29 de noviembre al 1 de diciembre de 2022. Se prevé celebrar el tercer y último Taller en Ginebra del 27 al 29 de septiembre de 2023, entre los bloques de reuniones de la CE5 y la CE7. Puede encontrarse más información sobre esos Talleres en la dirección:</w:t>
      </w:r>
      <w:r w:rsidR="008C76AE" w:rsidRPr="00C317D5">
        <w:t xml:space="preserve"> </w:t>
      </w:r>
      <w:r w:rsidRPr="00C317D5">
        <w:rPr>
          <w:rStyle w:val="Hyperlink"/>
        </w:rPr>
        <w:t>https://www.itu.int/en/ITU-R/conferences/wrc/2023/irwsp/Pages/default.aspx</w:t>
      </w:r>
      <w:r w:rsidR="00B27BCB" w:rsidRPr="00C317D5">
        <w:t>.</w:t>
      </w:r>
    </w:p>
    <w:p w14:paraId="627A86E3" w14:textId="573E4874" w:rsidR="00B27BCB" w:rsidRPr="00C317D5" w:rsidRDefault="00B27BCB" w:rsidP="00B27BCB">
      <w:r w:rsidRPr="00C317D5">
        <w:t>El sitio web del UIT</w:t>
      </w:r>
      <w:r w:rsidR="007A2DF3" w:rsidRPr="00C317D5">
        <w:t>-R</w:t>
      </w:r>
      <w:r w:rsidRPr="00C317D5">
        <w:t xml:space="preserve"> para la CMR-23 en </w:t>
      </w:r>
      <w:hyperlink r:id="rId17" w:history="1">
        <w:r w:rsidRPr="00C317D5">
          <w:rPr>
            <w:rStyle w:val="Hyperlink"/>
          </w:rPr>
          <w:t>www.itu.int/wrc-23</w:t>
        </w:r>
      </w:hyperlink>
      <w:r w:rsidRPr="00C317D5">
        <w:t xml:space="preserve"> se ha </w:t>
      </w:r>
      <w:r w:rsidR="007A2DF3" w:rsidRPr="00C317D5">
        <w:t xml:space="preserve">actualizado y </w:t>
      </w:r>
      <w:r w:rsidRPr="00C317D5">
        <w:t>proporciona acceso directo a la información antes mencionada, a</w:t>
      </w:r>
      <w:r w:rsidR="007A2DF3" w:rsidRPr="00C317D5">
        <w:t xml:space="preserve">demás de un </w:t>
      </w:r>
      <w:r w:rsidRPr="00C317D5">
        <w:t xml:space="preserve">enlace </w:t>
      </w:r>
      <w:r w:rsidR="007A2DF3" w:rsidRPr="00C317D5">
        <w:t>a</w:t>
      </w:r>
      <w:r w:rsidRPr="00C317D5">
        <w:t>l folleto sobre la CMR-23 (</w:t>
      </w:r>
      <w:hyperlink r:id="rId18" w:history="1">
        <w:r w:rsidRPr="00C317D5">
          <w:rPr>
            <w:rStyle w:val="Hyperlink"/>
          </w:rPr>
          <w:t>www.itu.int/wrc-23/booklet-wrc-23</w:t>
        </w:r>
      </w:hyperlink>
      <w:r w:rsidRPr="00C317D5">
        <w:t>)</w:t>
      </w:r>
      <w:r w:rsidR="007A2DF3" w:rsidRPr="00C317D5">
        <w:t>, la Sala de Prensa de la CMR-23 (</w:t>
      </w:r>
      <w:hyperlink r:id="rId19" w:history="1">
        <w:r w:rsidR="00CA7154" w:rsidRPr="00C317D5">
          <w:rPr>
            <w:rStyle w:val="Hyperlink"/>
          </w:rPr>
          <w:t>https://www.itu.int/wrc</w:t>
        </w:r>
        <w:r w:rsidR="00CA7154" w:rsidRPr="00C317D5">
          <w:rPr>
            <w:rStyle w:val="Hyperlink"/>
          </w:rPr>
          <w:noBreakHyphen/>
          <w:t>23/newsroom/wrc-news/</w:t>
        </w:r>
      </w:hyperlink>
      <w:r w:rsidR="007A2DF3" w:rsidRPr="00C317D5">
        <w:t>)</w:t>
      </w:r>
      <w:r w:rsidRPr="00C317D5">
        <w:t xml:space="preserve"> </w:t>
      </w:r>
      <w:r w:rsidR="007A2DF3" w:rsidRPr="00C317D5">
        <w:t>y otro material de utilidad.</w:t>
      </w:r>
    </w:p>
    <w:p w14:paraId="724D9BB9" w14:textId="71B3DA80" w:rsidR="007A2DF3" w:rsidRPr="00C317D5" w:rsidRDefault="007A2DF3" w:rsidP="00B27BCB">
      <w:r w:rsidRPr="00C317D5">
        <w:t xml:space="preserve">De acuerdo con el número 10 del Anexo 2 a la Decisión 5 (Rev. Bucarest, 2022) de la PP-22, cuyo objetivo es reducir el coste de la documentación de las conferencias de la UIT, en la AR-23 y la CMR-23 no se utilizará en absoluto el papel. </w:t>
      </w:r>
      <w:r w:rsidR="00DF2C38" w:rsidRPr="00C317D5">
        <w:t>Estas medidas se exponen, para la AR-23 y la CMR</w:t>
      </w:r>
      <w:r w:rsidR="003D2C41" w:rsidRPr="00C317D5">
        <w:noBreakHyphen/>
      </w:r>
      <w:r w:rsidR="00DF2C38" w:rsidRPr="00C317D5">
        <w:t xml:space="preserve">23 respectivamente, en las Circulares Administrativas de la BR </w:t>
      </w:r>
      <w:hyperlink r:id="rId20" w:history="1">
        <w:r w:rsidR="00DF2C38" w:rsidRPr="00C317D5">
          <w:rPr>
            <w:rStyle w:val="Hyperlink"/>
          </w:rPr>
          <w:t>CACE/1050</w:t>
        </w:r>
      </w:hyperlink>
      <w:r w:rsidR="00DF2C38" w:rsidRPr="00C317D5">
        <w:t xml:space="preserve"> de 10 de febrero de</w:t>
      </w:r>
      <w:r w:rsidR="003D2C41" w:rsidRPr="00C317D5">
        <w:t> </w:t>
      </w:r>
      <w:r w:rsidR="00DF2C38" w:rsidRPr="00C317D5">
        <w:t xml:space="preserve">2023 y </w:t>
      </w:r>
      <w:hyperlink r:id="rId21" w:history="1">
        <w:r w:rsidR="00DF2C38" w:rsidRPr="00C317D5">
          <w:rPr>
            <w:rStyle w:val="Hyperlink"/>
          </w:rPr>
          <w:t>CA/265</w:t>
        </w:r>
      </w:hyperlink>
      <w:r w:rsidR="00DF2C38" w:rsidRPr="00C317D5">
        <w:t xml:space="preserve"> de marzo de 2023.</w:t>
      </w:r>
    </w:p>
    <w:p w14:paraId="1F0A92CE" w14:textId="7CDDEA6E" w:rsidR="00DF2C38" w:rsidRPr="00C317D5" w:rsidRDefault="00DF2C38" w:rsidP="00B27BCB">
      <w:r w:rsidRPr="00C317D5">
        <w:t>Se ha proseguido la colaboración con el país anfitrión de la AR-23/CMR-23 para garantizar la disponibilidad de las instalaciones necesarias para la fluidez de los eventos y la definición de las disposiciones logísticas correspondientes.</w:t>
      </w:r>
    </w:p>
    <w:p w14:paraId="687774DF" w14:textId="55507074" w:rsidR="00DF2C38" w:rsidRPr="00C317D5" w:rsidRDefault="00DF2C38" w:rsidP="00B27BCB">
      <w:r w:rsidRPr="00C317D5">
        <w:t>La primera sesión de la RPC para la CMR-27 (es decir, la RPC27-1) se celebrará los días 18 y 19 de diciembre de 2023 en el mismo lugar que la AR-23/CMR-23.</w:t>
      </w:r>
    </w:p>
    <w:p w14:paraId="1195930D" w14:textId="77777777" w:rsidR="00B27BCB" w:rsidRPr="00C317D5" w:rsidRDefault="00B27BCB" w:rsidP="00B27BCB">
      <w:pPr>
        <w:pStyle w:val="Heading1"/>
      </w:pPr>
      <w:bookmarkStart w:id="26" w:name="_Toc446060768"/>
      <w:r w:rsidRPr="00C317D5">
        <w:t>6</w:t>
      </w:r>
      <w:r w:rsidRPr="00C317D5">
        <w:tab/>
      </w:r>
      <w:bookmarkEnd w:id="26"/>
      <w:r w:rsidRPr="00C317D5">
        <w:t>Plan Operacional</w:t>
      </w:r>
    </w:p>
    <w:p w14:paraId="3237125F" w14:textId="77777777" w:rsidR="00B27BCB" w:rsidRPr="00C317D5" w:rsidRDefault="00B27BCB" w:rsidP="00B27BCB">
      <w:bookmarkStart w:id="27" w:name="lt_pId327"/>
      <w:r w:rsidRPr="00C317D5">
        <w:t>El Plan Operacional del UIT</w:t>
      </w:r>
      <w:r w:rsidRPr="00C317D5">
        <w:noBreakHyphen/>
        <w:t>R está estructurado con arreglo al concepto de gestión basada en resultados que se aplica en la UIT, a fin de garantizar una vinculación total con el presupuesto y otras herramientas financieras de la Unión.</w:t>
      </w:r>
    </w:p>
    <w:p w14:paraId="05C88648" w14:textId="1EA48354" w:rsidR="00B27BCB" w:rsidRPr="00C317D5" w:rsidRDefault="00B27BCB" w:rsidP="00B27BCB">
      <w:bookmarkStart w:id="28" w:name="lt_pId329"/>
      <w:bookmarkEnd w:id="27"/>
      <w:r w:rsidRPr="00C317D5">
        <w:t>El proyecto de Plan Operacional del UIT</w:t>
      </w:r>
      <w:r w:rsidRPr="00C317D5">
        <w:noBreakHyphen/>
        <w:t>R para el periodo 202</w:t>
      </w:r>
      <w:r w:rsidR="00317244" w:rsidRPr="00C317D5">
        <w:t>3</w:t>
      </w:r>
      <w:r w:rsidRPr="00C317D5">
        <w:t>-202</w:t>
      </w:r>
      <w:r w:rsidR="00317244" w:rsidRPr="00C317D5">
        <w:t>6, que no estaba disponible cuando se elaboró este Informe, se presentará en un documento independiente</w:t>
      </w:r>
      <w:r w:rsidRPr="00C317D5">
        <w:t xml:space="preserve"> para que el GAR lo examine y formule los comentarios que estime oportunos.</w:t>
      </w:r>
      <w:bookmarkEnd w:id="28"/>
    </w:p>
    <w:p w14:paraId="78D41B5F" w14:textId="77777777" w:rsidR="00B27BCB" w:rsidRPr="00C317D5" w:rsidRDefault="00B27BCB" w:rsidP="00B27BCB">
      <w:pPr>
        <w:pStyle w:val="Heading1"/>
      </w:pPr>
      <w:r w:rsidRPr="00C317D5">
        <w:t>7</w:t>
      </w:r>
      <w:r w:rsidRPr="00C317D5">
        <w:tab/>
        <w:t>Sistemas de información de la BR</w:t>
      </w:r>
    </w:p>
    <w:p w14:paraId="7C2AF395" w14:textId="77777777" w:rsidR="00B27BCB" w:rsidRPr="00C317D5" w:rsidRDefault="00B27BCB" w:rsidP="00B27BCB">
      <w:pPr>
        <w:pStyle w:val="Heading2"/>
      </w:pPr>
      <w:r w:rsidRPr="00C317D5">
        <w:t>7.1</w:t>
      </w:r>
      <w:r w:rsidRPr="00C317D5">
        <w:tab/>
      </w:r>
      <w:r w:rsidRPr="00C317D5">
        <w:rPr>
          <w:i/>
          <w:iCs/>
        </w:rPr>
        <w:t>Software</w:t>
      </w:r>
      <w:r w:rsidRPr="00C317D5">
        <w:t xml:space="preserve"> y herramientas para servicios terrenales</w:t>
      </w:r>
    </w:p>
    <w:p w14:paraId="16CFA6DF" w14:textId="77777777" w:rsidR="00B27BCB" w:rsidRPr="00C317D5" w:rsidRDefault="00B27BCB" w:rsidP="00B27BCB">
      <w:pPr>
        <w:pStyle w:val="Heading3"/>
      </w:pPr>
      <w:r w:rsidRPr="00C317D5">
        <w:t>7.1.1</w:t>
      </w:r>
      <w:r w:rsidRPr="00C317D5">
        <w:tab/>
        <w:t>Tramitación de solicitudes de coordinación con arreglo al número 9.21 del RR</w:t>
      </w:r>
    </w:p>
    <w:p w14:paraId="374189B6" w14:textId="4F3C0E65" w:rsidR="00B27BCB" w:rsidRPr="00C317D5" w:rsidRDefault="00B27BCB" w:rsidP="00B27BCB">
      <w:bookmarkStart w:id="29" w:name="lt_pId414"/>
      <w:r w:rsidRPr="00C317D5">
        <w:t xml:space="preserve">Los módulos de </w:t>
      </w:r>
      <w:r w:rsidRPr="00C317D5">
        <w:rPr>
          <w:i/>
          <w:iCs/>
        </w:rPr>
        <w:t>software</w:t>
      </w:r>
      <w:r w:rsidRPr="00C317D5">
        <w:t xml:space="preserve"> y las herramientas conexas para la tramitación de solicitudes de coordinación con arreglo al número</w:t>
      </w:r>
      <w:r w:rsidR="009851F0" w:rsidRPr="00C317D5">
        <w:t> </w:t>
      </w:r>
      <w:r w:rsidRPr="00C317D5">
        <w:rPr>
          <w:b/>
          <w:bCs/>
        </w:rPr>
        <w:t>9.21</w:t>
      </w:r>
      <w:r w:rsidRPr="00C317D5">
        <w:t xml:space="preserve"> del RR siguieron desarrollándose durante </w:t>
      </w:r>
      <w:r w:rsidR="001C253D" w:rsidRPr="00C317D5">
        <w:t>este periodo</w:t>
      </w:r>
      <w:r w:rsidRPr="00C317D5">
        <w:t xml:space="preserve">. Los algoritmos y módulos de </w:t>
      </w:r>
      <w:r w:rsidRPr="00C317D5">
        <w:rPr>
          <w:i/>
          <w:iCs/>
        </w:rPr>
        <w:t>software</w:t>
      </w:r>
      <w:r w:rsidRPr="00C317D5">
        <w:t xml:space="preserve"> utilizados para los exámenes técnicos en virtud del número</w:t>
      </w:r>
      <w:r w:rsidR="003D2C41" w:rsidRPr="00C317D5">
        <w:t> </w:t>
      </w:r>
      <w:r w:rsidRPr="00C317D5">
        <w:rPr>
          <w:b/>
          <w:bCs/>
        </w:rPr>
        <w:t>9.21</w:t>
      </w:r>
      <w:r w:rsidRPr="00C317D5">
        <w:t xml:space="preserve"> se ha</w:t>
      </w:r>
      <w:r w:rsidR="001C253D" w:rsidRPr="00C317D5">
        <w:t>bía</w:t>
      </w:r>
      <w:r w:rsidRPr="00C317D5">
        <w:t xml:space="preserve">n revisado de conformidad con las Reglas de Procedimiento correspondientes: se han revisado los algoritmos existentes y se han introducido algoritmos nuevos, en particular en relación con la Regla de Procedimiento B6. Las pruebas de estos algoritmos </w:t>
      </w:r>
      <w:r w:rsidR="001C253D" w:rsidRPr="00C317D5">
        <w:t>se han completado</w:t>
      </w:r>
      <w:r w:rsidRPr="00C317D5">
        <w:t xml:space="preserve">. Se prevé ultimar el </w:t>
      </w:r>
      <w:r w:rsidRPr="00C317D5">
        <w:rPr>
          <w:i/>
          <w:iCs/>
        </w:rPr>
        <w:t>software</w:t>
      </w:r>
      <w:r w:rsidRPr="00C317D5">
        <w:t xml:space="preserve"> de comprobación de las correspondientes asignaciones (conforme al número</w:t>
      </w:r>
      <w:r w:rsidR="003D2C41" w:rsidRPr="00C317D5">
        <w:t> </w:t>
      </w:r>
      <w:r w:rsidRPr="00C317D5">
        <w:rPr>
          <w:b/>
          <w:bCs/>
        </w:rPr>
        <w:t>9.21</w:t>
      </w:r>
      <w:r w:rsidRPr="00C317D5">
        <w:t>) notificadas en virtud del Artículo</w:t>
      </w:r>
      <w:r w:rsidR="009851F0" w:rsidRPr="00C317D5">
        <w:t> </w:t>
      </w:r>
      <w:r w:rsidRPr="00C317D5">
        <w:rPr>
          <w:b/>
          <w:bCs/>
        </w:rPr>
        <w:t>11</w:t>
      </w:r>
      <w:r w:rsidRPr="00C317D5">
        <w:t xml:space="preserve"> del</w:t>
      </w:r>
      <w:r w:rsidR="00D14C2D" w:rsidRPr="00C317D5">
        <w:t xml:space="preserve"> </w:t>
      </w:r>
      <w:r w:rsidRPr="00C317D5">
        <w:t>RR al Registro Internacional de Frecuencias y su integración en TerRaSys durante al cuarto trimestre de 2022 en el contexto de la migración de los sistemas.</w:t>
      </w:r>
      <w:bookmarkEnd w:id="29"/>
    </w:p>
    <w:p w14:paraId="684CD6A5" w14:textId="223B947D" w:rsidR="00B27BCB" w:rsidRPr="00C317D5" w:rsidRDefault="00B27BCB" w:rsidP="00B27BCB">
      <w:pPr>
        <w:pStyle w:val="Heading3"/>
      </w:pPr>
      <w:r w:rsidRPr="00C317D5">
        <w:lastRenderedPageBreak/>
        <w:t>7.1.2</w:t>
      </w:r>
      <w:r w:rsidRPr="00C317D5">
        <w:tab/>
      </w:r>
      <w:bookmarkStart w:id="30" w:name="lt_pId423"/>
      <w:r w:rsidR="001C253D" w:rsidRPr="00C317D5">
        <w:t>Reingeniería del software del horario de radiodifusión por ondas decamétricas</w:t>
      </w:r>
      <w:bookmarkEnd w:id="30"/>
    </w:p>
    <w:p w14:paraId="6CC4946C" w14:textId="1C3625CD" w:rsidR="001C253D" w:rsidRPr="00C317D5" w:rsidRDefault="001C253D" w:rsidP="00B27BCB">
      <w:bookmarkStart w:id="31" w:name="lt_pId424"/>
      <w:r w:rsidRPr="00C317D5">
        <w:t>De conformidad con lo dispuesto en el Artículo</w:t>
      </w:r>
      <w:r w:rsidR="00D14C2D" w:rsidRPr="00C317D5">
        <w:t> </w:t>
      </w:r>
      <w:r w:rsidRPr="00C317D5">
        <w:rPr>
          <w:b/>
          <w:bCs/>
        </w:rPr>
        <w:t>12</w:t>
      </w:r>
      <w:r w:rsidRPr="00C317D5">
        <w:t xml:space="preserve"> del Reglamento de Radiocomunicaciones (RR), la Oficina de Radiocomunicaciones (BR) prepara y publica el horario estacional de radiodifusión por ondas decamétricas, junto con los resultados de los análisis de compatibilidad. Los horarios están disponibles en el sitio web de la BR.</w:t>
      </w:r>
    </w:p>
    <w:p w14:paraId="544DA509" w14:textId="68810598" w:rsidR="001C253D" w:rsidRPr="00C317D5" w:rsidRDefault="001C253D" w:rsidP="00B27BCB">
      <w:r w:rsidRPr="00C317D5">
        <w:t>El actual software HF está formado por una serie de aplicaciones de escritorio independientes desarrolladas en Visual Basic. Los sistemas operativos que utilizan los sistemas informáticos de la BR ya no pueden mantener esas aplicaciones, que tienen que volver a desarrollarse con tecnologías más modernas.</w:t>
      </w:r>
    </w:p>
    <w:p w14:paraId="38C08205" w14:textId="44813C57" w:rsidR="001C253D" w:rsidRPr="00C317D5" w:rsidRDefault="001C253D" w:rsidP="00B27BCB">
      <w:r w:rsidRPr="00C317D5">
        <w:t>Por mor de coherencia con otros software y aplicaciones terrenales, se está procediendo a la reingeniería del software HFBC en una única aplicación en línea utilizando el marco .NET en C#.</w:t>
      </w:r>
    </w:p>
    <w:p w14:paraId="2CF4BA76" w14:textId="7D2654D8" w:rsidR="001C253D" w:rsidRPr="00C317D5" w:rsidRDefault="001C253D" w:rsidP="00B27BCB">
      <w:r w:rsidRPr="00C317D5">
        <w:t>Se prevé que la nueva aplicación HFBC esté operativa antes de finales de 2023.</w:t>
      </w:r>
    </w:p>
    <w:p w14:paraId="4291EA9D" w14:textId="1939C10A" w:rsidR="001C253D" w:rsidRPr="00C317D5" w:rsidRDefault="001C253D" w:rsidP="009851F0">
      <w:pPr>
        <w:pStyle w:val="Heading3"/>
      </w:pPr>
      <w:r w:rsidRPr="00C317D5">
        <w:t>7.1.3</w:t>
      </w:r>
      <w:r w:rsidRPr="00C317D5">
        <w:tab/>
        <w:t>Migración de Ingres a SQL Server</w:t>
      </w:r>
    </w:p>
    <w:p w14:paraId="66D35560" w14:textId="62D2CB14" w:rsidR="00B27BCB" w:rsidRPr="00C317D5" w:rsidRDefault="001C253D" w:rsidP="00B27BCB">
      <w:r w:rsidRPr="00C317D5">
        <w:t>En 2022 se ha continuado</w:t>
      </w:r>
      <w:r w:rsidR="00B27BCB" w:rsidRPr="00C317D5">
        <w:t xml:space="preserve"> trabajando en la migración del</w:t>
      </w:r>
      <w:r w:rsidRPr="00C317D5">
        <w:t xml:space="preserve"> sistema</w:t>
      </w:r>
      <w:r w:rsidR="00B27BCB" w:rsidRPr="00C317D5">
        <w:t xml:space="preserve"> TerRaSys</w:t>
      </w:r>
      <w:r w:rsidRPr="00C317D5">
        <w:t>, tanto para la migración de la base de datos como para la reescritura y mejora de los módulos del sistema utilizando nuevas técnicas de codificación</w:t>
      </w:r>
      <w:r w:rsidR="00EE7A9E" w:rsidRPr="00C317D5">
        <w:t>. Esto incluye (entre otras cosas) lo siguiente</w:t>
      </w:r>
      <w:bookmarkEnd w:id="31"/>
      <w:r w:rsidR="00B27BCB" w:rsidRPr="00C317D5">
        <w:t>:</w:t>
      </w:r>
    </w:p>
    <w:p w14:paraId="185B55F5" w14:textId="26FB2EF7" w:rsidR="00EE7A9E" w:rsidRPr="00C317D5" w:rsidRDefault="009851F0" w:rsidP="009851F0">
      <w:pPr>
        <w:pStyle w:val="enumlev1"/>
      </w:pPr>
      <w:r w:rsidRPr="00C317D5">
        <w:t>•</w:t>
      </w:r>
      <w:r w:rsidRPr="00C317D5">
        <w:tab/>
      </w:r>
      <w:r w:rsidR="00EE7A9E" w:rsidRPr="00C317D5">
        <w:t>Elevación del diseño de la base de datos terrenal a su fase final, incluido</w:t>
      </w:r>
      <w:bookmarkStart w:id="32" w:name="lt_pId426"/>
      <w:r w:rsidR="00EE7A9E" w:rsidRPr="00C317D5">
        <w:t xml:space="preserve"> </w:t>
      </w:r>
      <w:r w:rsidR="00B27BCB" w:rsidRPr="00C317D5">
        <w:t>el diseño definitivo de las nuevas estructuras de bases de datos necesarias para incluir la tramitación de las estaciones en plataformas a gran altitud (HAPS), conforme a las decisiones de la</w:t>
      </w:r>
      <w:r w:rsidR="00CA7154" w:rsidRPr="00C317D5">
        <w:t> </w:t>
      </w:r>
      <w:r w:rsidR="00B27BCB" w:rsidRPr="00C317D5">
        <w:t>CMR-19.</w:t>
      </w:r>
    </w:p>
    <w:p w14:paraId="547F311F" w14:textId="364DD9BF" w:rsidR="00B27BCB" w:rsidRPr="00C317D5" w:rsidRDefault="009851F0" w:rsidP="009851F0">
      <w:pPr>
        <w:pStyle w:val="enumlev1"/>
      </w:pPr>
      <w:r w:rsidRPr="00C317D5">
        <w:t>•</w:t>
      </w:r>
      <w:r w:rsidRPr="00C317D5">
        <w:tab/>
      </w:r>
      <w:r w:rsidR="00EE7A9E" w:rsidRPr="00C317D5">
        <w:t>E</w:t>
      </w:r>
      <w:r w:rsidR="00B27BCB" w:rsidRPr="00C317D5">
        <w:t>stabilización de las estructuras, los esquemas y los procedimientos de la base de datos (incluido el sistema de archivos), para adaptarlos a la moderna tecnología que ofrece el nuevo sistema de gestión de bases de datos (SGBD) y aprovechar las ventajas conexas;</w:t>
      </w:r>
      <w:bookmarkEnd w:id="32"/>
    </w:p>
    <w:p w14:paraId="256A4A17" w14:textId="63A750EC" w:rsidR="00EE7A9E" w:rsidRPr="00C317D5" w:rsidRDefault="009851F0" w:rsidP="009851F0">
      <w:pPr>
        <w:pStyle w:val="enumlev1"/>
      </w:pPr>
      <w:r w:rsidRPr="00C317D5">
        <w:t>•</w:t>
      </w:r>
      <w:r w:rsidRPr="00C317D5">
        <w:tab/>
      </w:r>
      <w:r w:rsidR="00EE7A9E" w:rsidRPr="00C317D5">
        <w:t>Nuevo examen y rediseño de numerosas partes de la base de datos, sobre todo para el grupo de servicios de radiodifusión, a fin de mejorar la eficiencia de la estructura y elevarla a su tercera forma normal.</w:t>
      </w:r>
    </w:p>
    <w:p w14:paraId="2E8C45A9" w14:textId="4E9FF1EA" w:rsidR="00B27BCB" w:rsidRPr="00C317D5" w:rsidRDefault="00664995" w:rsidP="00B27BCB">
      <w:pPr>
        <w:pStyle w:val="enumlev1"/>
      </w:pPr>
      <w:bookmarkStart w:id="33" w:name="lt_pId427"/>
      <w:r w:rsidRPr="00C317D5">
        <w:t>•</w:t>
      </w:r>
      <w:r w:rsidR="00B27BCB" w:rsidRPr="00C317D5">
        <w:tab/>
      </w:r>
      <w:r w:rsidR="00EE7A9E" w:rsidRPr="00C317D5">
        <w:t>Utilización de nuevos tipos de datos para la representación de coordenadas geográficas e introducir los nuevos</w:t>
      </w:r>
      <w:r w:rsidR="00B27BCB" w:rsidRPr="00C317D5">
        <w:t xml:space="preserve"> tipos de datos geográficos facilitados por el nuevo SGBD, que proporciona técnicas eficaces para ejecutar consultas geográficas completas rápidas</w:t>
      </w:r>
      <w:bookmarkEnd w:id="33"/>
      <w:r w:rsidR="00B27BCB" w:rsidRPr="00C317D5">
        <w:t>;</w:t>
      </w:r>
    </w:p>
    <w:p w14:paraId="56591E3D" w14:textId="75C7E912" w:rsidR="00B27BCB" w:rsidRPr="00C317D5" w:rsidRDefault="00664995" w:rsidP="00B27BCB">
      <w:pPr>
        <w:pStyle w:val="enumlev1"/>
      </w:pPr>
      <w:bookmarkStart w:id="34" w:name="lt_pId428"/>
      <w:r w:rsidRPr="00C317D5">
        <w:t>•</w:t>
      </w:r>
      <w:r w:rsidR="00B27BCB" w:rsidRPr="00C317D5">
        <w:tab/>
      </w:r>
      <w:r w:rsidR="00D27E52" w:rsidRPr="00C317D5">
        <w:t xml:space="preserve">El </w:t>
      </w:r>
      <w:r w:rsidR="00B27BCB" w:rsidRPr="00C317D5">
        <w:t xml:space="preserve">rediseño continuo de diversos componentes del </w:t>
      </w:r>
      <w:r w:rsidR="00B27BCB" w:rsidRPr="00C317D5">
        <w:rPr>
          <w:i/>
          <w:iCs/>
        </w:rPr>
        <w:t>software</w:t>
      </w:r>
      <w:r w:rsidR="00B27BCB" w:rsidRPr="00C317D5">
        <w:t xml:space="preserve"> y aplicaciones TerRaSys utilizados para acceder a la base de datos, con miras a aprovechar las ventajas de la tecnología moderna que ofrecen el nuevo SGBD y utilizar las aplicaciones web y las t</w:t>
      </w:r>
      <w:r w:rsidR="00EE7A9E" w:rsidRPr="00C317D5">
        <w:t>écnicas</w:t>
      </w:r>
      <w:r w:rsidR="00B27BCB" w:rsidRPr="00C317D5">
        <w:t xml:space="preserve"> modernas de desarrollo de </w:t>
      </w:r>
      <w:r w:rsidR="00B27BCB" w:rsidRPr="00C317D5">
        <w:rPr>
          <w:i/>
          <w:iCs/>
        </w:rPr>
        <w:t>software</w:t>
      </w:r>
      <w:bookmarkEnd w:id="34"/>
      <w:r w:rsidR="00B27BCB" w:rsidRPr="00C317D5">
        <w:t>.</w:t>
      </w:r>
    </w:p>
    <w:p w14:paraId="5DB9FA41" w14:textId="26185A09" w:rsidR="00EE7A9E" w:rsidRPr="00C317D5" w:rsidRDefault="009851F0" w:rsidP="009851F0">
      <w:pPr>
        <w:pStyle w:val="enumlev1"/>
      </w:pPr>
      <w:r w:rsidRPr="00C317D5">
        <w:t>•</w:t>
      </w:r>
      <w:r w:rsidRPr="00C317D5">
        <w:tab/>
      </w:r>
      <w:r w:rsidR="00EE7A9E" w:rsidRPr="00C317D5">
        <w:t>Introducción de un nuevo formato de notificación electrónica de asignaciones de frecuencias terrenales conforme a las normas XML y utilizado además del formato SGML existente. Se han preparado herramientas de conversión automática para conservar la flexibilidad y compatibilidad entre los dos formatos.</w:t>
      </w:r>
    </w:p>
    <w:p w14:paraId="33E9ECB1" w14:textId="3292A1BD" w:rsidR="00B27BCB" w:rsidRPr="00C317D5" w:rsidRDefault="00B27BCB" w:rsidP="00B27BCB">
      <w:bookmarkStart w:id="35" w:name="lt_pId429"/>
      <w:r w:rsidRPr="00C317D5">
        <w:t xml:space="preserve">Se completaron el nuevo sistema de base de datos y los módulos de </w:t>
      </w:r>
      <w:r w:rsidRPr="00C317D5">
        <w:rPr>
          <w:i/>
          <w:iCs/>
        </w:rPr>
        <w:t>software</w:t>
      </w:r>
      <w:r w:rsidRPr="00C317D5">
        <w:t xml:space="preserve"> para la tramitación y la validación de las notificaciones terrenales electrónicas, </w:t>
      </w:r>
      <w:r w:rsidR="00EE7A9E" w:rsidRPr="00C317D5">
        <w:t xml:space="preserve">incluidas las HAPS, </w:t>
      </w:r>
      <w:r w:rsidRPr="00C317D5">
        <w:t xml:space="preserve">que ahora están siendo sometidos a las </w:t>
      </w:r>
      <w:r w:rsidR="00EE7A9E" w:rsidRPr="00C317D5">
        <w:t xml:space="preserve">últimas </w:t>
      </w:r>
      <w:r w:rsidRPr="00C317D5">
        <w:t xml:space="preserve">pruebas beta. </w:t>
      </w:r>
      <w:r w:rsidR="00EE7A9E" w:rsidRPr="00C317D5">
        <w:t>Se ha completado l</w:t>
      </w:r>
      <w:r w:rsidRPr="00C317D5">
        <w:t xml:space="preserve">a migración de los módulos de </w:t>
      </w:r>
      <w:r w:rsidRPr="00C317D5">
        <w:rPr>
          <w:i/>
        </w:rPr>
        <w:t>software</w:t>
      </w:r>
      <w:r w:rsidRPr="00C317D5">
        <w:t xml:space="preserve"> </w:t>
      </w:r>
      <w:r w:rsidR="00EE7A9E" w:rsidRPr="00C317D5">
        <w:t>existentes utilizados para los exámenes técnicos. También se ha finalizado el examen de los módulos de visualización de resultados, cuyas últimas pruebas beta se iniciaron durante el primer trimestre de 2023</w:t>
      </w:r>
      <w:r w:rsidRPr="00C317D5">
        <w:t>. La labor sobre la publicación y preparación de los nuevos paquetes de la</w:t>
      </w:r>
      <w:r w:rsidR="00CF38BD" w:rsidRPr="00C317D5">
        <w:t> </w:t>
      </w:r>
      <w:r w:rsidRPr="00C317D5">
        <w:t>BR</w:t>
      </w:r>
      <w:r w:rsidR="00D14C2D" w:rsidRPr="00C317D5">
        <w:t> </w:t>
      </w:r>
      <w:r w:rsidRPr="00C317D5">
        <w:t>IFIC se ha finalizado y probado antes de la entrega de la versión beta para pruebas</w:t>
      </w:r>
      <w:r w:rsidR="00EE7A9E" w:rsidRPr="00C317D5">
        <w:t>, prevista para el segundo trimestre de 2023</w:t>
      </w:r>
      <w:r w:rsidRPr="00C317D5">
        <w:t>.</w:t>
      </w:r>
    </w:p>
    <w:p w14:paraId="302A16AC" w14:textId="29F1DD58" w:rsidR="00B27BCB" w:rsidRPr="00C317D5" w:rsidRDefault="00B27BCB" w:rsidP="00B27BCB">
      <w:r w:rsidRPr="00C317D5">
        <w:lastRenderedPageBreak/>
        <w:t xml:space="preserve">Se </w:t>
      </w:r>
      <w:r w:rsidR="00EE7A9E" w:rsidRPr="00C317D5">
        <w:t>han</w:t>
      </w:r>
      <w:r w:rsidRPr="00C317D5">
        <w:t xml:space="preserve"> diseñado e implementado varias aplicaciones web</w:t>
      </w:r>
      <w:r w:rsidR="00E856BE" w:rsidRPr="00C317D5">
        <w:t>, cuyas pruebas y desarrollo se efectúan de manera constante,</w:t>
      </w:r>
      <w:r w:rsidRPr="00C317D5">
        <w:t xml:space="preserve"> para permitir el acceso en línea a las consultas de la base de datos y otras herramientas de </w:t>
      </w:r>
      <w:r w:rsidRPr="00C317D5">
        <w:rPr>
          <w:i/>
          <w:iCs/>
        </w:rPr>
        <w:t>software</w:t>
      </w:r>
      <w:r w:rsidRPr="00C317D5">
        <w:t>, incluida la validación en línea de las notificaciones terrestres de asignaciones de frecuencias.</w:t>
      </w:r>
    </w:p>
    <w:p w14:paraId="33263F73" w14:textId="07EDCC17" w:rsidR="00E856BE" w:rsidRPr="00C317D5" w:rsidRDefault="00E856BE" w:rsidP="00E856BE">
      <w:bookmarkStart w:id="36" w:name="lt_pId430"/>
      <w:r w:rsidRPr="00C317D5">
        <w:t>Ya se dispone de copias de la base de datos de servicios terrenales existente en la nueva plataforma del SGBD, que diversas aplicaciones de la BR están utilizando a través de la web para mostrar, validar y procesar las notificaciones de frecuencias terrenales.</w:t>
      </w:r>
      <w:bookmarkEnd w:id="36"/>
      <w:r w:rsidRPr="00C317D5">
        <w:t xml:space="preserve"> También se han diseñado copias particulares que ya están disponibles y contienen la imagen de datos de la última BR IFIC publicada a fin de facilitar una aplicación web BR IFIC terrenal en línea.</w:t>
      </w:r>
    </w:p>
    <w:p w14:paraId="59B48C31" w14:textId="107F6156" w:rsidR="00B27BCB" w:rsidRPr="00C317D5" w:rsidRDefault="00B27BCB" w:rsidP="00B27BCB">
      <w:r w:rsidRPr="00C317D5">
        <w:t xml:space="preserve">Está previsto ultimar la migración y la reestructuración completas del sistema actual </w:t>
      </w:r>
      <w:r w:rsidR="00E856BE" w:rsidRPr="00C317D5">
        <w:t>entre el tercer y el cuarto trimestre de 2023, antes de la CMR-23</w:t>
      </w:r>
      <w:r w:rsidRPr="00C317D5">
        <w:t>.</w:t>
      </w:r>
      <w:bookmarkEnd w:id="35"/>
      <w:r w:rsidRPr="00C317D5">
        <w:t xml:space="preserve"> Se está preparando una carta circular que describe la estructura de la base de datos de servicios terrenales nueva y modificada, así como las herramientas </w:t>
      </w:r>
      <w:r w:rsidR="00E856BE" w:rsidRPr="00C317D5">
        <w:t>relacionadas con la</w:t>
      </w:r>
      <w:r w:rsidRPr="00C317D5">
        <w:t> BR IFIC</w:t>
      </w:r>
      <w:r w:rsidR="00E856BE" w:rsidRPr="00C317D5">
        <w:t xml:space="preserve"> y una descripción del nuevo formato de notificación</w:t>
      </w:r>
      <w:r w:rsidR="009851F0" w:rsidRPr="00C317D5">
        <w:t> </w:t>
      </w:r>
      <w:r w:rsidR="00E856BE" w:rsidRPr="00C317D5">
        <w:t>XML</w:t>
      </w:r>
      <w:r w:rsidRPr="00C317D5">
        <w:t>, que se enviará a l</w:t>
      </w:r>
      <w:r w:rsidR="00E856BE" w:rsidRPr="00C317D5">
        <w:t>os Estados Miembros, l</w:t>
      </w:r>
      <w:r w:rsidRPr="00C317D5">
        <w:t>as administraciones y a otros usuarios.</w:t>
      </w:r>
    </w:p>
    <w:p w14:paraId="208C0AA1" w14:textId="738F2F4B" w:rsidR="00E856BE" w:rsidRPr="00C317D5" w:rsidRDefault="00E856BE" w:rsidP="00B27BCB">
      <w:r w:rsidRPr="00C317D5">
        <w:t>Desde el punto de vista de los Estados Miembros y los usuarios externos, se ha previsto un periodo de transición antes de la supresión del sistema existente, que se especificará en la Carta Circular mencionada, a fin de permitir la oportuna adaptación y ajuste al software de terceros. Durante ese periodo la BR IFIC se distribuirá en su formato actual y en el nuevo formato, garantizando así la continuidad del servicio. Se han desarrollado herramientas de conversión al nuevo formato, que se distribuirán para permitir la conversión del actual formato de base de datos de la BR IFIC al formato de base de datos del nuevo sistema.</w:t>
      </w:r>
    </w:p>
    <w:p w14:paraId="1DE50981" w14:textId="77777777" w:rsidR="00B27BCB" w:rsidRPr="00C317D5" w:rsidRDefault="00B27BCB" w:rsidP="00B27BCB">
      <w:pPr>
        <w:pStyle w:val="Heading2"/>
      </w:pPr>
      <w:r w:rsidRPr="00C317D5">
        <w:t>7.2</w:t>
      </w:r>
      <w:r w:rsidRPr="00C317D5">
        <w:tab/>
      </w:r>
      <w:bookmarkStart w:id="37" w:name="lt_pId439"/>
      <w:r w:rsidRPr="00C317D5">
        <w:t>Progresos en el cumplimiento de la hoja de ruta de los sistemas de información espacial de la BR (GAR-19, 2012)</w:t>
      </w:r>
      <w:bookmarkEnd w:id="37"/>
    </w:p>
    <w:p w14:paraId="76AA5A39" w14:textId="4DFB955A" w:rsidR="00B27BCB" w:rsidRPr="00C317D5" w:rsidRDefault="00B27BCB" w:rsidP="00B27BCB">
      <w:r w:rsidRPr="00C317D5">
        <w:t>El GAR-19 aconsejó al Director que aplicase las medidas recomendadas en los plazos propuestos, tal y como se describe en la hoja de ruta acordada, que comprende la Fase 1 (Aplicación de las decisiones de la CMR</w:t>
      </w:r>
      <w:r w:rsidRPr="00C317D5">
        <w:noBreakHyphen/>
        <w:t xml:space="preserve">12), la Fase 2 (Reescribir parte del </w:t>
      </w:r>
      <w:r w:rsidRPr="00C317D5">
        <w:rPr>
          <w:i/>
        </w:rPr>
        <w:t>software</w:t>
      </w:r>
      <w:r w:rsidRPr="00C317D5">
        <w:t xml:space="preserve"> existente) y la Fase</w:t>
      </w:r>
      <w:r w:rsidR="0044766E" w:rsidRPr="00C317D5">
        <w:t> </w:t>
      </w:r>
      <w:r w:rsidRPr="00C317D5">
        <w:t>3 (Crear un equipo de proyecto para implementar un marco común, un sistema de seguridad y una base de datos espacial centralizada). El GAR alentó a los Estados Miembros y a los Miembros de Sector a formular comentarios sobre la Fase 3.</w:t>
      </w:r>
    </w:p>
    <w:p w14:paraId="00543E0A" w14:textId="319B470C" w:rsidR="00B27BCB" w:rsidRPr="00C317D5" w:rsidRDefault="00B27BCB" w:rsidP="00B27BCB">
      <w:bookmarkStart w:id="38" w:name="lt_pId442"/>
      <w:r w:rsidRPr="00C317D5">
        <w:t>En 202</w:t>
      </w:r>
      <w:r w:rsidR="00245121" w:rsidRPr="00C317D5">
        <w:t>2</w:t>
      </w:r>
      <w:r w:rsidRPr="00C317D5">
        <w:t xml:space="preserve">, la BR mantuvo el </w:t>
      </w:r>
      <w:r w:rsidRPr="00C317D5">
        <w:rPr>
          <w:i/>
        </w:rPr>
        <w:t>software</w:t>
      </w:r>
      <w:r w:rsidRPr="00C317D5">
        <w:t xml:space="preserve"> existente, al tiempo que empezó a trabajar en la implementación de nuevas versiones de aplicaciones de </w:t>
      </w:r>
      <w:r w:rsidRPr="00C317D5">
        <w:rPr>
          <w:i/>
        </w:rPr>
        <w:t>software</w:t>
      </w:r>
      <w:r w:rsidRPr="00C317D5">
        <w:t xml:space="preserve"> fundamentales. Este esfuerzo paralelo es tanto una necesidad, dadas las exigencias operacionales, como la razón por la que ciertos proyectos de modernización siguen en curso.</w:t>
      </w:r>
      <w:bookmarkEnd w:id="38"/>
    </w:p>
    <w:p w14:paraId="3ADCA687" w14:textId="77777777" w:rsidR="00B27BCB" w:rsidRPr="00C317D5" w:rsidRDefault="00B27BCB" w:rsidP="00B27BCB">
      <w:pPr>
        <w:pStyle w:val="Heading3"/>
      </w:pPr>
      <w:r w:rsidRPr="00C317D5">
        <w:t>7.2.1</w:t>
      </w:r>
      <w:r w:rsidRPr="00C317D5">
        <w:tab/>
        <w:t>Progresos hacia los objetivos de la Fase 2 de la hoja de ruta</w:t>
      </w:r>
    </w:p>
    <w:p w14:paraId="3DED58EB" w14:textId="77777777" w:rsidR="00B27BCB" w:rsidRPr="00C317D5" w:rsidRDefault="00B27BCB" w:rsidP="00B27BCB">
      <w:pPr>
        <w:pStyle w:val="Heading4"/>
      </w:pPr>
      <w:r w:rsidRPr="00C317D5">
        <w:t>7.2.1.1</w:t>
      </w:r>
      <w:r w:rsidRPr="00C317D5">
        <w:tab/>
      </w:r>
      <w:bookmarkStart w:id="39" w:name="_Hlk34385380"/>
      <w:r w:rsidRPr="00C317D5">
        <w:t xml:space="preserve">Reescritura del </w:t>
      </w:r>
      <w:bookmarkEnd w:id="39"/>
      <w:r w:rsidRPr="00C317D5">
        <w:rPr>
          <w:i/>
          <w:iCs/>
        </w:rPr>
        <w:t>software</w:t>
      </w:r>
      <w:r w:rsidRPr="00C317D5">
        <w:t xml:space="preserve"> existente para los exámenes técnicos</w:t>
      </w:r>
    </w:p>
    <w:p w14:paraId="5579095C" w14:textId="614E3C64" w:rsidR="00B27BCB" w:rsidRPr="00C317D5" w:rsidRDefault="00664995" w:rsidP="00B27BCB">
      <w:pPr>
        <w:pStyle w:val="enumlev1"/>
      </w:pPr>
      <w:r w:rsidRPr="00C317D5">
        <w:t>•</w:t>
      </w:r>
      <w:r w:rsidR="00B27BCB" w:rsidRPr="00C317D5">
        <w:tab/>
        <w:t xml:space="preserve">Reescritura del </w:t>
      </w:r>
      <w:r w:rsidR="00B27BCB" w:rsidRPr="00C317D5">
        <w:rPr>
          <w:i/>
          <w:iCs/>
        </w:rPr>
        <w:t>software</w:t>
      </w:r>
      <w:r w:rsidR="00B27BCB" w:rsidRPr="00C317D5">
        <w:t xml:space="preserve"> de cálculo de la DFP para la protección de los servicios espaciales: en curso</w:t>
      </w:r>
      <w:r w:rsidR="00245121" w:rsidRPr="00C317D5">
        <w:t>, se finalizará en 2023</w:t>
      </w:r>
      <w:r w:rsidR="00B27BCB" w:rsidRPr="00C317D5">
        <w:t>.</w:t>
      </w:r>
    </w:p>
    <w:p w14:paraId="17807A0E" w14:textId="41D88DAB" w:rsidR="00B27BCB" w:rsidRPr="00C317D5" w:rsidRDefault="00664995" w:rsidP="00B27BCB">
      <w:pPr>
        <w:pStyle w:val="enumlev1"/>
      </w:pPr>
      <w:r w:rsidRPr="00C317D5">
        <w:t>•</w:t>
      </w:r>
      <w:r w:rsidR="00B27BCB" w:rsidRPr="00C317D5">
        <w:tab/>
        <w:t>Migración de los componentes del Fortran del GIMS: pendiente de inicio.</w:t>
      </w:r>
    </w:p>
    <w:p w14:paraId="36D73A10" w14:textId="7491D56A" w:rsidR="00B27BCB" w:rsidRPr="00C317D5" w:rsidRDefault="00664995" w:rsidP="00B27BCB">
      <w:pPr>
        <w:pStyle w:val="enumlev1"/>
      </w:pPr>
      <w:r w:rsidRPr="00C317D5">
        <w:t>•</w:t>
      </w:r>
      <w:r w:rsidR="00B27BCB" w:rsidRPr="00C317D5">
        <w:tab/>
        <w:t>Mspace – Migración de los componentes de Visual Basic 6 a .NET: en curso.</w:t>
      </w:r>
    </w:p>
    <w:p w14:paraId="79DB3C85" w14:textId="77777777" w:rsidR="00B27BCB" w:rsidRPr="00C317D5" w:rsidRDefault="00B27BCB" w:rsidP="00B27BCB">
      <w:pPr>
        <w:pStyle w:val="Heading4"/>
      </w:pPr>
      <w:r w:rsidRPr="00C317D5">
        <w:t>7.2.1.2</w:t>
      </w:r>
      <w:r w:rsidRPr="00C317D5">
        <w:tab/>
        <w:t>Diseño y desarrollo del sistema de información espacial de la BR (BR SIS)</w:t>
      </w:r>
    </w:p>
    <w:p w14:paraId="6AADA9CF" w14:textId="64D16C24" w:rsidR="00B27BCB" w:rsidRPr="00C317D5" w:rsidRDefault="00664995" w:rsidP="00B27BCB">
      <w:pPr>
        <w:pStyle w:val="enumlev1"/>
      </w:pPr>
      <w:r w:rsidRPr="00C317D5">
        <w:t>•</w:t>
      </w:r>
      <w:r w:rsidR="00B27BCB" w:rsidRPr="00C317D5">
        <w:tab/>
        <w:t xml:space="preserve">Reescritura de la versión de SpaceCap en Visual Basic 6: en curso. En 2022, se </w:t>
      </w:r>
      <w:r w:rsidR="00245121" w:rsidRPr="00C317D5">
        <w:t>pusieron a disposición</w:t>
      </w:r>
      <w:r w:rsidR="00B27BCB" w:rsidRPr="00C317D5">
        <w:t xml:space="preserve"> los primeros módulos de SpaceCap implementados en BRSIS, como parte de la prestación de captura de acuerdos de coordinación.</w:t>
      </w:r>
      <w:r w:rsidR="00245121" w:rsidRPr="00C317D5">
        <w:t xml:space="preserve"> La reescritura completa de SpaceCap </w:t>
      </w:r>
      <w:r w:rsidR="00245121" w:rsidRPr="00C317D5">
        <w:lastRenderedPageBreak/>
        <w:t>(que pasará a llamarse BRSIS-Capture) se inició en diciembre de 2022 con el objetivo de que esté disponible cuando se hayan de implementar las decisiones de la CMR-23.</w:t>
      </w:r>
    </w:p>
    <w:p w14:paraId="23584ED4" w14:textId="10469208" w:rsidR="00B27BCB" w:rsidRPr="00C317D5" w:rsidRDefault="00664995" w:rsidP="00B27BCB">
      <w:pPr>
        <w:pStyle w:val="enumlev1"/>
      </w:pPr>
      <w:r w:rsidRPr="00C317D5">
        <w:t>•</w:t>
      </w:r>
      <w:r w:rsidR="00B27BCB" w:rsidRPr="00C317D5">
        <w:tab/>
        <w:t xml:space="preserve">Migración de SRS MDB a tecnologías más modernas: aunque la opción tecnológica que reemplazará a los archivos MDB es evidente, la migración afectará de manera importante a la tramitación interna de la BR de los servicios espaciales. Por lo tanto, la migración a las bases de datos SQLite no podrá entrar en producción antes de la </w:t>
      </w:r>
      <w:r w:rsidR="00DD77C5" w:rsidRPr="00C317D5">
        <w:t xml:space="preserve">implementación de las decisiones de la </w:t>
      </w:r>
      <w:r w:rsidR="00B27BCB" w:rsidRPr="00C317D5">
        <w:t xml:space="preserve">CMR-23. Se conservará durante un tiempo la compatibilidad retroactiva con el formato MDB, así como las herramientas de conversión, cuando las aplicaciones de </w:t>
      </w:r>
      <w:r w:rsidR="00B27BCB" w:rsidRPr="00C317D5">
        <w:rPr>
          <w:i/>
          <w:iCs/>
        </w:rPr>
        <w:t>software</w:t>
      </w:r>
      <w:r w:rsidR="00B27BCB" w:rsidRPr="00C317D5">
        <w:t xml:space="preserve"> espaciales de la BR se hayan trasladado a SQLite.</w:t>
      </w:r>
    </w:p>
    <w:p w14:paraId="0DD4F2AF" w14:textId="47EB99AC" w:rsidR="00B27BCB" w:rsidRPr="00C317D5" w:rsidRDefault="00664995" w:rsidP="00B27BCB">
      <w:pPr>
        <w:pStyle w:val="enumlev1"/>
      </w:pPr>
      <w:r w:rsidRPr="00C317D5">
        <w:t>•</w:t>
      </w:r>
      <w:r w:rsidR="00B27BCB" w:rsidRPr="00C317D5">
        <w:tab/>
        <w:t>Migración de la base de datos SNS de Ingres a SQL Server: la migración de las aplicaciones de tramitación interna específicas del entorno Ingres siguió su curso en 202</w:t>
      </w:r>
      <w:r w:rsidR="00DD77C5" w:rsidRPr="00C317D5">
        <w:t>2</w:t>
      </w:r>
      <w:r w:rsidR="00B27BCB" w:rsidRPr="00C317D5">
        <w:t>.</w:t>
      </w:r>
      <w:r w:rsidR="00DD77C5" w:rsidRPr="00C317D5">
        <w:t xml:space="preserve"> En marzo de 2023 se puso a disposición de los usuarios internos un entorno de pruebas beta y se espera completar la migración antes de finales de junio</w:t>
      </w:r>
      <w:r w:rsidR="00B27BCB" w:rsidRPr="00C317D5">
        <w:t>.</w:t>
      </w:r>
    </w:p>
    <w:p w14:paraId="3D6EEAFB" w14:textId="41339573" w:rsidR="00B27BCB" w:rsidRPr="00C317D5" w:rsidRDefault="00664995" w:rsidP="00B27BCB">
      <w:pPr>
        <w:pStyle w:val="enumlev1"/>
      </w:pPr>
      <w:r w:rsidRPr="00C317D5">
        <w:t>•</w:t>
      </w:r>
      <w:r w:rsidR="00B27BCB" w:rsidRPr="00C317D5">
        <w:tab/>
        <w:t>Examen de SNTrack: en curso. SNTrack se reemplazará gradualmente por un sistema de información de gestión de servicios espaciales, que complementará la funcionalidad de administración del sistema de presentación electrónica.</w:t>
      </w:r>
    </w:p>
    <w:p w14:paraId="63397CFE" w14:textId="04199FB6" w:rsidR="00B27BCB" w:rsidRPr="00C317D5" w:rsidRDefault="00B27BCB" w:rsidP="00B27BCB">
      <w:pPr>
        <w:pStyle w:val="enumlev1"/>
      </w:pPr>
      <w:r w:rsidRPr="00C317D5">
        <w:t>–</w:t>
      </w:r>
      <w:r w:rsidRPr="00C317D5">
        <w:tab/>
        <w:t>Examen de la SNS en línea (y fusión con la SNL en línea): en curso. El desarrollo de la aplicación web «ITU Space Explorer», que reemplazará el sistema de minería de datos que se incluía previamente en la SNS en línea y la SNL en línea, forma parte de</w:t>
      </w:r>
      <w:r w:rsidR="00DD77C5" w:rsidRPr="00C317D5">
        <w:t xml:space="preserve"> </w:t>
      </w:r>
      <w:r w:rsidRPr="00C317D5">
        <w:t>l</w:t>
      </w:r>
      <w:r w:rsidR="00DD77C5" w:rsidRPr="00C317D5">
        <w:t>os productos para</w:t>
      </w:r>
      <w:r w:rsidRPr="00C317D5">
        <w:t xml:space="preserve"> responder al </w:t>
      </w:r>
      <w:r w:rsidRPr="00C317D5">
        <w:rPr>
          <w:i/>
        </w:rPr>
        <w:t>encarga</w:t>
      </w:r>
      <w:r w:rsidRPr="00C317D5">
        <w:t xml:space="preserve"> 4 de la Resolución 186 (Rev. </w:t>
      </w:r>
      <w:r w:rsidR="00DD77C5" w:rsidRPr="00C317D5">
        <w:t>Bucarest, 2022</w:t>
      </w:r>
      <w:r w:rsidRPr="00C317D5">
        <w:t>). En 202</w:t>
      </w:r>
      <w:r w:rsidR="00DD77C5" w:rsidRPr="00C317D5">
        <w:t>2</w:t>
      </w:r>
      <w:r w:rsidRPr="00C317D5">
        <w:t xml:space="preserve"> </w:t>
      </w:r>
      <w:r w:rsidR="00DD77C5" w:rsidRPr="00C317D5">
        <w:t>progresó</w:t>
      </w:r>
      <w:r w:rsidRPr="00C317D5">
        <w:t xml:space="preserve"> la Fase</w:t>
      </w:r>
      <w:r w:rsidR="00664995" w:rsidRPr="00C317D5">
        <w:t> </w:t>
      </w:r>
      <w:r w:rsidRPr="00C317D5">
        <w:t xml:space="preserve">1 del proyecto, que </w:t>
      </w:r>
      <w:r w:rsidR="00DD77C5" w:rsidRPr="00C317D5">
        <w:t xml:space="preserve">se puso a disposición de los probadores externos el 30 de junio de 2022, como se detalla en la CR/489. </w:t>
      </w:r>
      <w:r w:rsidRPr="00C317D5">
        <w:t xml:space="preserve">La entrega </w:t>
      </w:r>
      <w:r w:rsidR="00DD77C5" w:rsidRPr="00C317D5">
        <w:t xml:space="preserve">completa </w:t>
      </w:r>
      <w:r w:rsidRPr="00C317D5">
        <w:t xml:space="preserve">del producto se espera para </w:t>
      </w:r>
      <w:r w:rsidR="00DD77C5" w:rsidRPr="00C317D5">
        <w:t>principios de 2024</w:t>
      </w:r>
      <w:r w:rsidRPr="00C317D5">
        <w:t>.</w:t>
      </w:r>
    </w:p>
    <w:p w14:paraId="2F7D0600" w14:textId="77777777" w:rsidR="00B27BCB" w:rsidRPr="00C317D5" w:rsidRDefault="00B27BCB" w:rsidP="00B27BCB">
      <w:pPr>
        <w:pStyle w:val="Heading3"/>
      </w:pPr>
      <w:r w:rsidRPr="00C317D5">
        <w:t>7.2.2</w:t>
      </w:r>
      <w:r w:rsidRPr="00C317D5">
        <w:tab/>
        <w:t>Progresos hacia los objetivos de la Fase 3 de la hoja de ruta</w:t>
      </w:r>
    </w:p>
    <w:p w14:paraId="6A5BECCA" w14:textId="77777777" w:rsidR="00B27BCB" w:rsidRPr="00C317D5" w:rsidRDefault="00B27BCB" w:rsidP="00B27BCB">
      <w:r w:rsidRPr="00C317D5">
        <w:t>El trabajo realizado durante las fases anteriores, así como las opciones tecnológicas y de diseño adoptadas, sientan una base excelente para finalizar la Fase 3 de forma satisfactoria, que se desarrollará de la forma siguiente:</w:t>
      </w:r>
    </w:p>
    <w:p w14:paraId="6397E376" w14:textId="39ACD9AE" w:rsidR="00B27BCB" w:rsidRPr="00C317D5" w:rsidRDefault="00664995" w:rsidP="00B27BCB">
      <w:pPr>
        <w:pStyle w:val="enumlev1"/>
      </w:pPr>
      <w:r w:rsidRPr="00C317D5">
        <w:t>•</w:t>
      </w:r>
      <w:r w:rsidR="00B27BCB" w:rsidRPr="00C317D5">
        <w:tab/>
        <w:t>Rediseño de la arquitectura, conservando la equivalencia de los datos, a fin de eliminar ciertas redundancias, se entregará al mismo tiempo que la implementación de las decisiones de la CMR-23, a fin de no modificar la arquitectura de la base de datos con excesiva frecuencia.</w:t>
      </w:r>
    </w:p>
    <w:p w14:paraId="54FE1D27" w14:textId="0C6BB177" w:rsidR="00B27BCB" w:rsidRPr="00C317D5" w:rsidRDefault="00664995" w:rsidP="00B27BCB">
      <w:pPr>
        <w:pStyle w:val="enumlev1"/>
      </w:pPr>
      <w:r w:rsidRPr="00C317D5">
        <w:t>•</w:t>
      </w:r>
      <w:r w:rsidR="00B27BCB" w:rsidRPr="00C317D5">
        <w:tab/>
        <w:t>Las actividades relacionadas con la centralización y racionalización de la gestión de riesgos, la recuperación y la seguridad están en curso.</w:t>
      </w:r>
    </w:p>
    <w:p w14:paraId="33B1419A" w14:textId="77777777" w:rsidR="00B27BCB" w:rsidRPr="00C317D5" w:rsidRDefault="00B27BCB" w:rsidP="00B27BCB">
      <w:pPr>
        <w:pStyle w:val="Heading2"/>
      </w:pPr>
      <w:r w:rsidRPr="00C317D5">
        <w:t>7.3</w:t>
      </w:r>
      <w:r w:rsidRPr="00C317D5">
        <w:tab/>
        <w:t xml:space="preserve">Desarrollos de </w:t>
      </w:r>
      <w:r w:rsidRPr="00C317D5">
        <w:rPr>
          <w:i/>
          <w:iCs/>
        </w:rPr>
        <w:t>software</w:t>
      </w:r>
      <w:r w:rsidRPr="00C317D5">
        <w:t xml:space="preserve"> relacionados con los servicios espaciales</w:t>
      </w:r>
    </w:p>
    <w:p w14:paraId="322E8205" w14:textId="77777777" w:rsidR="00B27BCB" w:rsidRPr="00C317D5" w:rsidRDefault="00B27BCB" w:rsidP="00B27BCB">
      <w:pPr>
        <w:pStyle w:val="Heading3"/>
      </w:pPr>
      <w:r w:rsidRPr="00C317D5">
        <w:t>7.3.1</w:t>
      </w:r>
      <w:r w:rsidRPr="00C317D5">
        <w:tab/>
        <w:t>Aplicación de la Resolución 907 (Rev.CMR-15): Utilización de medios electrónicos modernos de comunicación para la correspondencia administrativa relativa a las redes de satélites</w:t>
      </w:r>
    </w:p>
    <w:p w14:paraId="3D3EC1D3" w14:textId="7EC33727" w:rsidR="00B27BCB" w:rsidRPr="00C317D5" w:rsidRDefault="00B27BCB" w:rsidP="00B27BCB">
      <w:r w:rsidRPr="00C317D5">
        <w:t>En 202</w:t>
      </w:r>
      <w:r w:rsidR="009A540E" w:rsidRPr="00C317D5">
        <w:t>2</w:t>
      </w:r>
      <w:r w:rsidRPr="00C317D5">
        <w:t xml:space="preserve"> han proseguido los trabajos para la </w:t>
      </w:r>
      <w:r w:rsidR="009A540E" w:rsidRPr="00C317D5">
        <w:t>mejora</w:t>
      </w:r>
      <w:r w:rsidRPr="00C317D5">
        <w:t xml:space="preserve"> y </w:t>
      </w:r>
      <w:r w:rsidR="009A540E" w:rsidRPr="00C317D5">
        <w:t xml:space="preserve">el </w:t>
      </w:r>
      <w:r w:rsidRPr="00C317D5">
        <w:t xml:space="preserve">mantenimiento del sistema en línea de comunicaciones electrónicas («e-Communications») que responde a la Resolución </w:t>
      </w:r>
      <w:r w:rsidRPr="00C317D5">
        <w:rPr>
          <w:b/>
          <w:bCs/>
        </w:rPr>
        <w:t>907 (Rev.CMR</w:t>
      </w:r>
      <w:r w:rsidR="007D2A28" w:rsidRPr="00C317D5">
        <w:rPr>
          <w:b/>
          <w:bCs/>
        </w:rPr>
        <w:noBreakHyphen/>
      </w:r>
      <w:r w:rsidRPr="00C317D5">
        <w:rPr>
          <w:b/>
          <w:bCs/>
        </w:rPr>
        <w:t>15)</w:t>
      </w:r>
      <w:r w:rsidRPr="00C317D5">
        <w:t>.</w:t>
      </w:r>
      <w:r w:rsidR="009A540E" w:rsidRPr="00C317D5">
        <w:t xml:space="preserve"> El número de </w:t>
      </w:r>
      <w:r w:rsidR="0044766E" w:rsidRPr="00C317D5">
        <w:t xml:space="preserve">Administraciones </w:t>
      </w:r>
      <w:r w:rsidR="009A540E" w:rsidRPr="00C317D5">
        <w:t>registradas es ya de 147, de las cuales, al 8 de marzo de 2023, 126 han enviado correspondencia por el sistema.</w:t>
      </w:r>
    </w:p>
    <w:p w14:paraId="2665A0DD" w14:textId="77777777" w:rsidR="009A540E" w:rsidRPr="00C317D5" w:rsidRDefault="009A540E" w:rsidP="00B27BCB">
      <w:r w:rsidRPr="00C317D5">
        <w:t>En 2022 se aportaron al sistema e-Communications dos grandes actualizaciones.</w:t>
      </w:r>
    </w:p>
    <w:p w14:paraId="2B9E847C" w14:textId="4F82C44F" w:rsidR="00B27BCB" w:rsidRPr="00C317D5" w:rsidRDefault="009A540E" w:rsidP="00B27BCB">
      <w:r w:rsidRPr="00C317D5">
        <w:t xml:space="preserve">En esas actualizaciones se introdujo, el 1 de septiembre de 2022, una nueva función de usuario para las </w:t>
      </w:r>
      <w:r w:rsidR="003B67C3" w:rsidRPr="00C317D5">
        <w:t>«</w:t>
      </w:r>
      <w:r w:rsidRPr="00C317D5">
        <w:t>administraciones que actúan en nombre de una organización intergubernamental de satélites</w:t>
      </w:r>
      <w:r w:rsidR="003B67C3" w:rsidRPr="00C317D5">
        <w:t>»</w:t>
      </w:r>
      <w:r w:rsidRPr="00C317D5">
        <w:t xml:space="preserve"> (ADM/IGSO). La nueva función de usuario </w:t>
      </w:r>
      <w:r w:rsidR="003B67C3" w:rsidRPr="00C317D5">
        <w:t>«</w:t>
      </w:r>
      <w:r w:rsidRPr="00C317D5">
        <w:t>ADM/IGSO</w:t>
      </w:r>
      <w:r w:rsidR="003B67C3" w:rsidRPr="00C317D5">
        <w:t>»</w:t>
      </w:r>
      <w:r w:rsidRPr="00C317D5">
        <w:t xml:space="preserve"> permite a una administración que actúa </w:t>
      </w:r>
      <w:r w:rsidRPr="00C317D5">
        <w:lastRenderedPageBreak/>
        <w:t>en nombre de una IGSO enviar correspondencia a otras administraciones y recibir correspondencia de ellas, incluidas otras ADM/IGSO y la Oficina. Al 8 de marzo de 2023 el número de ADM/IGSO registradas era de 11.</w:t>
      </w:r>
    </w:p>
    <w:p w14:paraId="118B4DF5" w14:textId="5125C348" w:rsidR="009A540E" w:rsidRPr="00C317D5" w:rsidRDefault="009A540E" w:rsidP="00B27BCB">
      <w:r w:rsidRPr="00C317D5">
        <w:t>Además, se aportaron al sistema diversas mejoras que atañen al rendimiento y la facilidad de uso, como la relajación del límite de número de caracteres</w:t>
      </w:r>
      <w:r w:rsidR="00FB4E76" w:rsidRPr="00C317D5">
        <w:t>, se proporcionaron en 2022</w:t>
      </w:r>
      <w:r w:rsidRPr="00C317D5">
        <w:t>.</w:t>
      </w:r>
    </w:p>
    <w:p w14:paraId="7B4D51CD" w14:textId="0287B9A7" w:rsidR="00B27BCB" w:rsidRPr="00C317D5" w:rsidRDefault="009A540E" w:rsidP="00B27BCB">
      <w:r w:rsidRPr="00C317D5">
        <w:t>Se está preparando una nueva función para la integración con el sistema e-Submission con el objetivo de introducirla durante el segundo trimestre de 2023</w:t>
      </w:r>
      <w:r w:rsidR="00B27BCB" w:rsidRPr="00C317D5">
        <w:t>.</w:t>
      </w:r>
    </w:p>
    <w:p w14:paraId="60480D9F" w14:textId="77777777" w:rsidR="00B27BCB" w:rsidRPr="00C317D5" w:rsidRDefault="00B27BCB" w:rsidP="00B27BCB">
      <w:pPr>
        <w:pStyle w:val="Heading3"/>
      </w:pPr>
      <w:r w:rsidRPr="00C317D5">
        <w:t>7.3.2</w:t>
      </w:r>
      <w:r w:rsidRPr="00C317D5">
        <w:tab/>
      </w:r>
      <w:bookmarkStart w:id="40" w:name="lt_pId259"/>
      <w:r w:rsidRPr="00C317D5">
        <w:t>Aplicación de la Resolución 908 (Rev.CMR-15): Presentación en formato electrónico de las notificaciones de redes de satélite</w:t>
      </w:r>
      <w:bookmarkEnd w:id="40"/>
    </w:p>
    <w:p w14:paraId="473F792F" w14:textId="2C07286F" w:rsidR="00B27BCB" w:rsidRPr="00C317D5" w:rsidRDefault="00B27BCB" w:rsidP="00B27BCB">
      <w:r w:rsidRPr="00C317D5">
        <w:t>El sistema de presentación electrónica de notificaciones («e-Submission») ha estado funcionando las 24</w:t>
      </w:r>
      <w:r w:rsidR="00FC04E7" w:rsidRPr="00C317D5">
        <w:t> </w:t>
      </w:r>
      <w:r w:rsidRPr="00C317D5">
        <w:t>horas del día a lo largo de 202</w:t>
      </w:r>
      <w:r w:rsidR="00B516A7" w:rsidRPr="00C317D5">
        <w:t>2</w:t>
      </w:r>
      <w:r w:rsidRPr="00C317D5">
        <w:t xml:space="preserve"> para que las administraciones y </w:t>
      </w:r>
      <w:r w:rsidR="00B516A7" w:rsidRPr="00C317D5">
        <w:t>empresas de explotación</w:t>
      </w:r>
      <w:r w:rsidRPr="00C317D5">
        <w:t xml:space="preserve"> pudieran notificar sus redes de satélites. El número de administraciones registradas ha aumentado hasta 15</w:t>
      </w:r>
      <w:r w:rsidR="0044766E" w:rsidRPr="00C317D5">
        <w:t>3</w:t>
      </w:r>
      <w:r w:rsidRPr="00C317D5">
        <w:t xml:space="preserve"> a </w:t>
      </w:r>
      <w:r w:rsidR="00B516A7" w:rsidRPr="00C317D5">
        <w:t>8</w:t>
      </w:r>
      <w:r w:rsidRPr="00C317D5">
        <w:t xml:space="preserve"> de marzo de 202</w:t>
      </w:r>
      <w:r w:rsidR="00B516A7" w:rsidRPr="00C317D5">
        <w:t>3</w:t>
      </w:r>
      <w:r w:rsidRPr="00C317D5">
        <w:t>.</w:t>
      </w:r>
    </w:p>
    <w:p w14:paraId="5BB7F02B" w14:textId="781AE9C8" w:rsidR="00B516A7" w:rsidRPr="00C317D5" w:rsidRDefault="00B516A7" w:rsidP="00B27BCB">
      <w:r w:rsidRPr="00C317D5">
        <w:t>En 2022 se aportaron al sistema e-Submission cuatro grandes actualizaciones.</w:t>
      </w:r>
    </w:p>
    <w:p w14:paraId="3B87A773" w14:textId="1561FE18" w:rsidR="00B516A7" w:rsidRPr="00C317D5" w:rsidRDefault="00B516A7" w:rsidP="00B27BCB">
      <w:r w:rsidRPr="00C317D5">
        <w:t xml:space="preserve">El 5 de abril de 2022 se introdujo una nueva interfaz para facilitar la comunicación del estado de la coordinación en una nueva presentación de una notificación de estación espacial. Ahora puede presentarse un archivo SNS para volver a presentar una notificación de estación espacial con información sobre los acuerdos de coordinación. Gracias a esta actualización, las administraciones que presentan la información pueden indicar los esfuerzos invertidos en la coordinación de la red de satélites, de conformidad con el número </w:t>
      </w:r>
      <w:r w:rsidRPr="00C317D5">
        <w:rPr>
          <w:b/>
          <w:bCs/>
        </w:rPr>
        <w:t>11.41.2</w:t>
      </w:r>
      <w:r w:rsidRPr="00C317D5">
        <w:t>.</w:t>
      </w:r>
    </w:p>
    <w:p w14:paraId="6B5DA60C" w14:textId="6CA083B5" w:rsidR="00B516A7" w:rsidRPr="00C317D5" w:rsidRDefault="00B516A7" w:rsidP="00B27BCB">
      <w:r w:rsidRPr="00C317D5">
        <w:t>Además, para gestionar la transición de la estructura de la base de datos SNS de la versión</w:t>
      </w:r>
      <w:r w:rsidR="006132A0" w:rsidRPr="00C317D5">
        <w:t> </w:t>
      </w:r>
      <w:r w:rsidRPr="00C317D5">
        <w:t>9.0 a la versión</w:t>
      </w:r>
      <w:r w:rsidR="006132A0" w:rsidRPr="00C317D5">
        <w:t> </w:t>
      </w:r>
      <w:r w:rsidRPr="00C317D5">
        <w:t>9.1, el sistema e-Submission aceptó ambas versiones de los ficheros SNS entre el 29 de noviembre de 2022 y el 15 de enero de 2023. Desde el 16 de enero de 2023 el sistema sólo acepta ficheros SNS en formato SNS 9.1.</w:t>
      </w:r>
    </w:p>
    <w:p w14:paraId="679B3424" w14:textId="589EF9E1" w:rsidR="00A61A6C" w:rsidRPr="00C317D5" w:rsidRDefault="00A61A6C" w:rsidP="00A61A6C">
      <w:r w:rsidRPr="00C317D5">
        <w:t>Además, se han aportado varias mejoras al rendimiento y facilidad de uso del sistema, como un mensaje de alerta cuando en SpaceCom se presentan observaciones una vez expirado el plazo de 4 meses correspondiente y un mensaje de alerta para solicitar a la administración notificante que presente la información necesaria cuando en una notificación se utiliza un nuevo código («999») de empresa de explotación.</w:t>
      </w:r>
    </w:p>
    <w:p w14:paraId="3D6E3EE5" w14:textId="689D4B09" w:rsidR="00B27BCB" w:rsidRPr="00C317D5" w:rsidRDefault="00B516A7" w:rsidP="00B27BCB">
      <w:r w:rsidRPr="00C317D5">
        <w:t>Se está trabajando en aportar otras funciones a las administraciones y empresas de explotación, como el</w:t>
      </w:r>
      <w:r w:rsidR="00B27BCB" w:rsidRPr="00C317D5">
        <w:t xml:space="preserve"> nuevo estado de las notificaciones «Publicado en la BR IFIC», </w:t>
      </w:r>
      <w:r w:rsidRPr="00C317D5">
        <w:t>la integración con el sistema e-Communications y la herramienta DFP en línea, con el objetivo de introducirlas durante el segundo trimestre de 2023</w:t>
      </w:r>
      <w:r w:rsidR="00B27BCB" w:rsidRPr="00C317D5">
        <w:t>.</w:t>
      </w:r>
    </w:p>
    <w:p w14:paraId="496FABEF" w14:textId="568EB398" w:rsidR="00B27BCB" w:rsidRPr="00C317D5" w:rsidRDefault="00B27BCB" w:rsidP="00B27BCB">
      <w:bookmarkStart w:id="41" w:name="lt_pId486"/>
      <w:r w:rsidRPr="00C317D5">
        <w:t>Con miras a facilitar el desarrollo y las pruebas</w:t>
      </w:r>
      <w:r w:rsidR="00B516A7" w:rsidRPr="00C317D5">
        <w:t xml:space="preserve"> de esta herramienta</w:t>
      </w:r>
      <w:r w:rsidRPr="00C317D5">
        <w:t xml:space="preserve">, la Administración de Japón ha realizado una contribución financiera y ha destacado en </w:t>
      </w:r>
      <w:r w:rsidR="00B516A7" w:rsidRPr="00C317D5">
        <w:t xml:space="preserve">la Sede en </w:t>
      </w:r>
      <w:r w:rsidRPr="00C317D5">
        <w:t>Ginebra a un experto en cuestiones técnicas</w:t>
      </w:r>
      <w:r w:rsidR="00B516A7" w:rsidRPr="00C317D5">
        <w:t xml:space="preserve"> y </w:t>
      </w:r>
      <w:r w:rsidRPr="00C317D5">
        <w:t xml:space="preserve">normativas de los servicios espaciales. La Oficina de Radiocomunicaciones reafirma su agradecimiento a la Administración de Japón por </w:t>
      </w:r>
      <w:r w:rsidR="00142950" w:rsidRPr="00C317D5">
        <w:t xml:space="preserve">su constante apoyo y por </w:t>
      </w:r>
      <w:r w:rsidRPr="00C317D5">
        <w:t>la asistencia prestada en el desarrollo de este proyecto.</w:t>
      </w:r>
      <w:bookmarkEnd w:id="41"/>
    </w:p>
    <w:p w14:paraId="5C23DA5F" w14:textId="77777777" w:rsidR="00B27BCB" w:rsidRPr="00C317D5" w:rsidRDefault="00B27BCB" w:rsidP="00B27BCB">
      <w:pPr>
        <w:pStyle w:val="Heading3"/>
      </w:pPr>
      <w:r w:rsidRPr="00C317D5">
        <w:t>7.3.3</w:t>
      </w:r>
      <w:r w:rsidRPr="00C317D5">
        <w:tab/>
        <w:t>Desarrollo de una herramienta para asistir a las administraciones en la comunicación a la Oficina de la situación de coordinación con las administraciones afectadas por la notificación</w:t>
      </w:r>
    </w:p>
    <w:p w14:paraId="129E738E" w14:textId="43C518E2" w:rsidR="00142950" w:rsidRPr="00C317D5" w:rsidRDefault="00B27BCB" w:rsidP="00B27BCB">
      <w:r w:rsidRPr="00C317D5">
        <w:t xml:space="preserve">El desarrollo de </w:t>
      </w:r>
      <w:r w:rsidR="00142950" w:rsidRPr="00C317D5">
        <w:t>esta</w:t>
      </w:r>
      <w:r w:rsidRPr="00C317D5">
        <w:t xml:space="preserve"> herramienta</w:t>
      </w:r>
      <w:r w:rsidR="00142950" w:rsidRPr="00C317D5">
        <w:t xml:space="preserve">, de la que se dio cuenta al GAR en 2022, se ha completado y se prevé ponerla a disposición en la BR IFIC (Servicios Espaciales) 2968 el 8 de abril de 2022. Se anunció la disponibilidad de la herramienta en la Carta Circular CR/483 de </w:t>
      </w:r>
      <w:r w:rsidR="00D13B84" w:rsidRPr="00C317D5">
        <w:t>2</w:t>
      </w:r>
      <w:r w:rsidR="00142950" w:rsidRPr="00C317D5">
        <w:t xml:space="preserve">5 de marzo de 2022. </w:t>
      </w:r>
      <w:r w:rsidR="00142950" w:rsidRPr="00C317D5">
        <w:lastRenderedPageBreak/>
        <w:t>Al</w:t>
      </w:r>
      <w:r w:rsidR="00732527" w:rsidRPr="00C317D5">
        <w:t> </w:t>
      </w:r>
      <w:r w:rsidR="00142950" w:rsidRPr="00C317D5">
        <w:t>mismo tiempo se actualizó el portal e-Submission para soportar la notificación y nueva presentación de notificaciones creadas con la herramienta.</w:t>
      </w:r>
    </w:p>
    <w:p w14:paraId="667D5397" w14:textId="3CA0D895" w:rsidR="00B27BCB" w:rsidRPr="00C317D5" w:rsidRDefault="00142950" w:rsidP="00B27BCB">
      <w:r w:rsidRPr="00C317D5">
        <w:t>Esta herramienta, implementada</w:t>
      </w:r>
      <w:r w:rsidR="00B27BCB" w:rsidRPr="00C317D5">
        <w:t xml:space="preserve"> utilizando el </w:t>
      </w:r>
      <w:r w:rsidR="00B27BCB" w:rsidRPr="00C317D5">
        <w:rPr>
          <w:i/>
          <w:iCs/>
        </w:rPr>
        <w:t>software</w:t>
      </w:r>
      <w:r w:rsidR="00B27BCB" w:rsidRPr="00C317D5">
        <w:t xml:space="preserve"> SpaceCap</w:t>
      </w:r>
      <w:r w:rsidRPr="00C317D5">
        <w:t>, cuenta con interfaces de fácil utilización muestran</w:t>
      </w:r>
      <w:r w:rsidR="00B27BCB" w:rsidRPr="00C317D5">
        <w:t xml:space="preserve"> los requisitos de coordinación de la red de satélites </w:t>
      </w:r>
      <w:r w:rsidRPr="00C317D5">
        <w:t>y permiten</w:t>
      </w:r>
      <w:r w:rsidR="00B27BCB" w:rsidRPr="00C317D5">
        <w:t xml:space="preserve"> al usuario moverse fácilmente dentro de la notificación para capturar el estado de coordinación con respecto a una administración afectada a nivel de grupo de una notificación. </w:t>
      </w:r>
      <w:r w:rsidRPr="00C317D5">
        <w:t xml:space="preserve">Además, el nuevo </w:t>
      </w:r>
      <w:r w:rsidRPr="00C317D5">
        <w:rPr>
          <w:i/>
          <w:iCs/>
        </w:rPr>
        <w:t xml:space="preserve">software </w:t>
      </w:r>
      <w:r w:rsidRPr="00C317D5">
        <w:t xml:space="preserve">SpaceCap contiene </w:t>
      </w:r>
      <w:r w:rsidR="00B27BCB" w:rsidRPr="00C317D5">
        <w:t xml:space="preserve">«asistentes» para </w:t>
      </w:r>
      <w:r w:rsidRPr="00C317D5">
        <w:t>facilitar la creación de</w:t>
      </w:r>
      <w:r w:rsidR="00B27BCB" w:rsidRPr="00C317D5">
        <w:t xml:space="preserve"> notificaciones de estaciones espaciales para su presentación en los siguientes casos:</w:t>
      </w:r>
    </w:p>
    <w:p w14:paraId="70FCA2F7" w14:textId="3CC1470A" w:rsidR="00B27BCB" w:rsidRPr="00C317D5" w:rsidRDefault="00664995" w:rsidP="00B27BCB">
      <w:pPr>
        <w:pStyle w:val="enumlev1"/>
      </w:pPr>
      <w:r w:rsidRPr="00C317D5">
        <w:t>•</w:t>
      </w:r>
      <w:r w:rsidR="00B27BCB" w:rsidRPr="00C317D5">
        <w:tab/>
        <w:t xml:space="preserve">la primera notificación en el marco del número </w:t>
      </w:r>
      <w:r w:rsidR="00B27BCB" w:rsidRPr="00C317D5">
        <w:rPr>
          <w:b/>
          <w:bCs/>
        </w:rPr>
        <w:t>11.2</w:t>
      </w:r>
      <w:r w:rsidR="00B27BCB" w:rsidRPr="00C317D5">
        <w:t xml:space="preserve"> para asignaciones de frecuencias sujetas a coordinación</w:t>
      </w:r>
      <w:r w:rsidR="00142950" w:rsidRPr="00C317D5">
        <w:t xml:space="preserve"> en virtud de la </w:t>
      </w:r>
      <w:r w:rsidR="00F20CD1" w:rsidRPr="00C317D5">
        <w:t xml:space="preserve">Sección </w:t>
      </w:r>
      <w:r w:rsidR="00142950" w:rsidRPr="00C317D5">
        <w:t xml:space="preserve">II del Artículo </w:t>
      </w:r>
      <w:r w:rsidR="00142950" w:rsidRPr="00C317D5">
        <w:rPr>
          <w:b/>
          <w:bCs/>
        </w:rPr>
        <w:t>9</w:t>
      </w:r>
      <w:r w:rsidR="00B27BCB" w:rsidRPr="00C317D5">
        <w:t>;</w:t>
      </w:r>
    </w:p>
    <w:p w14:paraId="2704D924" w14:textId="09DFDDB1" w:rsidR="00B27BCB" w:rsidRPr="00C317D5" w:rsidRDefault="00664995" w:rsidP="00B27BCB">
      <w:pPr>
        <w:pStyle w:val="enumlev1"/>
      </w:pPr>
      <w:r w:rsidRPr="00C317D5">
        <w:t>•</w:t>
      </w:r>
      <w:r w:rsidR="00B27BCB" w:rsidRPr="00C317D5">
        <w:tab/>
        <w:t>reenvío de notificaciones una vez que la notificación ha sido devuelta con arreglo al número</w:t>
      </w:r>
      <w:r w:rsidR="006132A0" w:rsidRPr="00C317D5">
        <w:t> </w:t>
      </w:r>
      <w:r w:rsidR="00B27BCB" w:rsidRPr="00C317D5">
        <w:rPr>
          <w:b/>
          <w:bCs/>
        </w:rPr>
        <w:t>11.37</w:t>
      </w:r>
      <w:r w:rsidR="00B27BCB" w:rsidRPr="00C317D5">
        <w:t xml:space="preserve"> u </w:t>
      </w:r>
      <w:r w:rsidR="00B27BCB" w:rsidRPr="00C317D5">
        <w:rPr>
          <w:b/>
          <w:bCs/>
        </w:rPr>
        <w:t>11.38</w:t>
      </w:r>
      <w:r w:rsidR="00B27BCB" w:rsidRPr="00C317D5">
        <w:t>;</w:t>
      </w:r>
    </w:p>
    <w:p w14:paraId="000AF3DA" w14:textId="35B62205" w:rsidR="00B27BCB" w:rsidRPr="00C317D5" w:rsidRDefault="00664995" w:rsidP="00B27BCB">
      <w:pPr>
        <w:pStyle w:val="enumlev1"/>
      </w:pPr>
      <w:r w:rsidRPr="00C317D5">
        <w:t>•</w:t>
      </w:r>
      <w:r w:rsidR="00B27BCB" w:rsidRPr="00C317D5">
        <w:tab/>
        <w:t xml:space="preserve">la primera notificación en el marco del número </w:t>
      </w:r>
      <w:r w:rsidR="00B27BCB" w:rsidRPr="00C317D5">
        <w:rPr>
          <w:b/>
          <w:bCs/>
        </w:rPr>
        <w:t>11.2</w:t>
      </w:r>
      <w:r w:rsidR="00B27BCB" w:rsidRPr="00C317D5">
        <w:t xml:space="preserve"> para asignaciones de frecuencias no sujetas a coordinación</w:t>
      </w:r>
      <w:r w:rsidR="00142950" w:rsidRPr="00C317D5">
        <w:t xml:space="preserve"> en virtud de la Sección II del Artículo </w:t>
      </w:r>
      <w:r w:rsidR="00142950" w:rsidRPr="00C317D5">
        <w:rPr>
          <w:b/>
          <w:bCs/>
        </w:rPr>
        <w:t>9</w:t>
      </w:r>
      <w:r w:rsidR="00B27BCB" w:rsidRPr="00C317D5">
        <w:t>.</w:t>
      </w:r>
    </w:p>
    <w:p w14:paraId="48DA4D47" w14:textId="77777777" w:rsidR="0086178E" w:rsidRPr="00C317D5" w:rsidRDefault="00142950" w:rsidP="00B27BCB">
      <w:r w:rsidRPr="00C317D5">
        <w:t>Para ayudar a los usuarios a utilizar la nueva herramienta y conocer sus prestaciones se ha creado una página de ayuda con instrucciones y vídeos a la que puede accederse en la siguiente dirección:</w:t>
      </w:r>
    </w:p>
    <w:p w14:paraId="3F39A765" w14:textId="7BF6DF1D" w:rsidR="00B27BCB" w:rsidRPr="00C317D5" w:rsidRDefault="0013255C" w:rsidP="0086178E">
      <w:pPr>
        <w:jc w:val="center"/>
      </w:pPr>
      <w:hyperlink r:id="rId22" w:history="1">
        <w:r w:rsidR="00142950" w:rsidRPr="00C317D5">
          <w:rPr>
            <w:rStyle w:val="Hyperlink"/>
          </w:rPr>
          <w:t>https://www.itu.int/en/ITU-R/space/support/Pages/GuideforNotificationwithSpacecap.aspx</w:t>
        </w:r>
      </w:hyperlink>
    </w:p>
    <w:p w14:paraId="72FA570E" w14:textId="33E50871" w:rsidR="00B27BCB" w:rsidRPr="00C317D5" w:rsidRDefault="00142950" w:rsidP="00B27BCB">
      <w:r w:rsidRPr="00C317D5">
        <w:t>En el marco del Seminario Mundial de Radiocomunicaciones (SMR-22), celebrado en Ginebra del</w:t>
      </w:r>
      <w:r w:rsidR="006132A0" w:rsidRPr="00C317D5">
        <w:t> </w:t>
      </w:r>
      <w:r w:rsidRPr="00C317D5">
        <w:t>24 al 28 de octubre de 2022, se celebró un taller sobre la utilización de la nueva herramienta y sus prestaciones</w:t>
      </w:r>
      <w:r w:rsidR="00B27BCB" w:rsidRPr="00C317D5">
        <w:t>.</w:t>
      </w:r>
    </w:p>
    <w:p w14:paraId="08EAA89A" w14:textId="5B378BF0" w:rsidR="00B27BCB" w:rsidRPr="00C317D5" w:rsidRDefault="00B27BCB" w:rsidP="00B27BCB">
      <w:pPr>
        <w:pStyle w:val="Heading3"/>
      </w:pPr>
      <w:r w:rsidRPr="00C317D5">
        <w:t>7.3.</w:t>
      </w:r>
      <w:r w:rsidR="00142950" w:rsidRPr="00C317D5">
        <w:t>4</w:t>
      </w:r>
      <w:r w:rsidRPr="00C317D5">
        <w:tab/>
        <w:t>Migración de la BR IFIC (servicios espaciales) de un formato DVD a un mecanismo en línea</w:t>
      </w:r>
    </w:p>
    <w:p w14:paraId="2D52E0CE" w14:textId="61BA5004" w:rsidR="00B27BCB" w:rsidRPr="00C317D5" w:rsidRDefault="00B27BCB" w:rsidP="00B27BCB">
      <w:r w:rsidRPr="00C317D5">
        <w:t xml:space="preserve">Tras la obsolescencia de una de las tecnologías de </w:t>
      </w:r>
      <w:r w:rsidRPr="00C317D5">
        <w:rPr>
          <w:i/>
          <w:iCs/>
        </w:rPr>
        <w:t>software</w:t>
      </w:r>
      <w:r w:rsidRPr="00C317D5">
        <w:t xml:space="preserve"> utilizadas actualmente en la creación del DVD de la BR IFIC (servicios espaciales), la Oficina ha estado trabajando en un proyecto para migrar la BR IFIC (servicios espaciales) del formato DVD a un mecanismo de entrega en línea. La BR IFIC (servicios espaciales) en línea facilitará visualizar y descargar de las secciones especiales y las Partes en formato PDF, realizar consultas sobre los datos de todas las publicaciones dentro de esa BR IFIC, con una interfaz en línea fácil de usar, y ofrecerá un servidor seguro</w:t>
      </w:r>
      <w:r w:rsidR="00142950" w:rsidRPr="00C317D5">
        <w:t>. El 7 de marzo de</w:t>
      </w:r>
      <w:r w:rsidR="006132A0" w:rsidRPr="00C317D5">
        <w:t> </w:t>
      </w:r>
      <w:r w:rsidR="00142950" w:rsidRPr="00C317D5">
        <w:t xml:space="preserve">2023 </w:t>
      </w:r>
      <w:r w:rsidR="00E87C86" w:rsidRPr="00C317D5">
        <w:t>se publicó la versión beta de la aplicación BRIFIC (Servicios Espaciales) en línea para los abonados a la BR IFIC. Se recibirán observaciones e informaciones hasta principios de mayo de</w:t>
      </w:r>
      <w:r w:rsidR="006132A0" w:rsidRPr="00C317D5">
        <w:t> </w:t>
      </w:r>
      <w:r w:rsidR="00E87C86" w:rsidRPr="00C317D5">
        <w:t>2023. Se prevé que la BRIFIC en línea entre en producción a principios de junio de 2023. Esta nueva aplicación se utilizará para el DVD BRIFIC y la copia ISO</w:t>
      </w:r>
      <w:r w:rsidRPr="00C317D5">
        <w:t>.</w:t>
      </w:r>
    </w:p>
    <w:p w14:paraId="162AE8A6" w14:textId="77777777" w:rsidR="00B27BCB" w:rsidRPr="00C317D5" w:rsidRDefault="00B27BCB" w:rsidP="00B27BCB">
      <w:pPr>
        <w:pStyle w:val="Heading2"/>
      </w:pPr>
      <w:r w:rsidRPr="00C317D5">
        <w:t>7.4</w:t>
      </w:r>
      <w:r w:rsidRPr="00C317D5">
        <w:tab/>
        <w:t xml:space="preserve">Desarrollos de </w:t>
      </w:r>
      <w:r w:rsidRPr="00C317D5">
        <w:rPr>
          <w:i/>
          <w:iCs/>
        </w:rPr>
        <w:t>software</w:t>
      </w:r>
      <w:r w:rsidRPr="00C317D5">
        <w:t xml:space="preserve"> relacionados con los servicios terrenales y otro </w:t>
      </w:r>
      <w:r w:rsidRPr="00C317D5">
        <w:rPr>
          <w:i/>
          <w:iCs/>
        </w:rPr>
        <w:t>software</w:t>
      </w:r>
      <w:r w:rsidRPr="00C317D5">
        <w:t xml:space="preserve"> y herramientas de la BR</w:t>
      </w:r>
    </w:p>
    <w:p w14:paraId="072BE214" w14:textId="77777777" w:rsidR="00B27BCB" w:rsidRPr="00C317D5" w:rsidRDefault="00B27BCB" w:rsidP="00B27BCB">
      <w:pPr>
        <w:pStyle w:val="Heading3"/>
      </w:pPr>
      <w:r w:rsidRPr="00C317D5">
        <w:t>7.4.1</w:t>
      </w:r>
      <w:r w:rsidRPr="00C317D5">
        <w:tab/>
        <w:t>Herramientas relativas al Reglamento de Radiocomunicaciones</w:t>
      </w:r>
    </w:p>
    <w:p w14:paraId="398CCE77" w14:textId="77777777" w:rsidR="00B27BCB" w:rsidRPr="00C317D5" w:rsidRDefault="00B27BCB" w:rsidP="00B27BCB">
      <w:r w:rsidRPr="00C317D5">
        <w:t>La Oficina sigue actualizando y manteniendo herramientas informáticas para facilitar la utilización y el análisis del Reglamento de Radiocomunicaciones (RR), en concreto:</w:t>
      </w:r>
    </w:p>
    <w:p w14:paraId="69D983B8" w14:textId="6B225C78" w:rsidR="00B27BCB" w:rsidRPr="00C317D5" w:rsidRDefault="00B27BCB" w:rsidP="00B27BCB">
      <w:pPr>
        <w:pStyle w:val="enumlev1"/>
      </w:pPr>
      <w:r w:rsidRPr="00C317D5">
        <w:t>a)</w:t>
      </w:r>
      <w:r w:rsidRPr="00C317D5">
        <w:tab/>
        <w:t xml:space="preserve">La </w:t>
      </w:r>
      <w:r w:rsidR="005B2A32" w:rsidRPr="00C317D5">
        <w:t xml:space="preserve">actual versión de la </w:t>
      </w:r>
      <w:r w:rsidRPr="00C317D5">
        <w:t>herramienta de navegación del Reglamento de Radiocomunicaciones, que se presentó durante el segundo trimestre de 20</w:t>
      </w:r>
      <w:r w:rsidR="005B2A32" w:rsidRPr="00C317D5">
        <w:t>22</w:t>
      </w:r>
      <w:r w:rsidRPr="00C317D5">
        <w:t xml:space="preserve">, </w:t>
      </w:r>
      <w:r w:rsidR="005B2A32" w:rsidRPr="00C317D5">
        <w:t>contiene el</w:t>
      </w:r>
      <w:r w:rsidRPr="00C317D5">
        <w:t xml:space="preserve"> corpus de textos más reciente (RR 2020, Recomendaciones UIT-R, Reglas de Procedimiento</w:t>
      </w:r>
      <w:r w:rsidR="005B2A32" w:rsidRPr="00C317D5">
        <w:t xml:space="preserve"> 2021 rev.2</w:t>
      </w:r>
      <w:r w:rsidRPr="00C317D5">
        <w:t xml:space="preserve">). Esta versión está actualmente disponible para su adquisición y descarga en el sitio web de ventas de la UIT. </w:t>
      </w:r>
      <w:r w:rsidR="005B2A32" w:rsidRPr="00C317D5">
        <w:t>Hasta el 1 de enero de 2024</w:t>
      </w:r>
      <w:r w:rsidRPr="00C317D5">
        <w:t xml:space="preserve"> se publicarán actualizaciones anuales gratuitas para incorporar las últimas versiones de las RdP una vez disponibles.</w:t>
      </w:r>
    </w:p>
    <w:p w14:paraId="589F178A" w14:textId="02AD156E" w:rsidR="00B27BCB" w:rsidRPr="00C317D5" w:rsidRDefault="00B27BCB" w:rsidP="00B27BCB">
      <w:pPr>
        <w:pStyle w:val="enumlev1"/>
      </w:pPr>
      <w:r w:rsidRPr="00C317D5">
        <w:lastRenderedPageBreak/>
        <w:t>b)</w:t>
      </w:r>
      <w:r w:rsidRPr="00C317D5">
        <w:tab/>
        <w:t xml:space="preserve">La herramienta de </w:t>
      </w:r>
      <w:r w:rsidRPr="00C317D5">
        <w:rPr>
          <w:i/>
        </w:rPr>
        <w:t>software</w:t>
      </w:r>
      <w:r w:rsidRPr="00C317D5">
        <w:t xml:space="preserve"> para realizar búsquedas y análisis detallados del Cuadro de atribución de bandas de frecuencias del Artículo</w:t>
      </w:r>
      <w:r w:rsidR="006132A0" w:rsidRPr="00C317D5">
        <w:t> </w:t>
      </w:r>
      <w:r w:rsidRPr="00C317D5">
        <w:rPr>
          <w:b/>
          <w:bCs/>
        </w:rPr>
        <w:t>5</w:t>
      </w:r>
      <w:r w:rsidRPr="00C317D5">
        <w:t xml:space="preserve"> del Reglamento de Radiocomunicaciones permite filtrar y reconfigurar en función de la gama de frecuencias, el servicio, la categoría de servicio, la nota, el país, etc. La herramienta se ha actualizado de acuerdo con los resultados de la CMR-19 y la edición de 2020 del RR, a fin de incorporar los cambios en las atribuciones de frecuencias, las notas de los países y las referencias conexas a las Resoluciones y Recomendaciones asociadas. El paquete actualizado también incluye vínculos a las Recomendaciones UIT-R pertinentes a las que se remite en el </w:t>
      </w:r>
      <w:r w:rsidRPr="00C317D5">
        <w:rPr>
          <w:color w:val="000000"/>
        </w:rPr>
        <w:t>Artículo</w:t>
      </w:r>
      <w:r w:rsidR="006132A0" w:rsidRPr="00C317D5">
        <w:rPr>
          <w:color w:val="000000"/>
        </w:rPr>
        <w:t> </w:t>
      </w:r>
      <w:r w:rsidR="006132A0" w:rsidRPr="00C317D5">
        <w:rPr>
          <w:b/>
          <w:bCs/>
        </w:rPr>
        <w:t>5</w:t>
      </w:r>
      <w:r w:rsidRPr="00C317D5">
        <w:rPr>
          <w:color w:val="000000"/>
        </w:rPr>
        <w:t xml:space="preserve"> del </w:t>
      </w:r>
      <w:r w:rsidRPr="00C317D5">
        <w:t>RR, además de la</w:t>
      </w:r>
      <w:r w:rsidR="005B2A32" w:rsidRPr="00C317D5">
        <w:t xml:space="preserve"> última versión de la</w:t>
      </w:r>
      <w:r w:rsidRPr="00C317D5">
        <w:t xml:space="preserve">s Reglas de Procedimiento aplicables. Además, cuenta con un servicio para extraer el </w:t>
      </w:r>
      <w:r w:rsidRPr="00C317D5">
        <w:rPr>
          <w:color w:val="000000"/>
        </w:rPr>
        <w:t>Cuadro nacional de atribución de frecuencias</w:t>
      </w:r>
      <w:r w:rsidRPr="00C317D5">
        <w:t xml:space="preserve"> de un país concreto derivado de combinar las diferentes disposiciones del Artículo</w:t>
      </w:r>
      <w:r w:rsidR="006132A0" w:rsidRPr="00C317D5">
        <w:t> </w:t>
      </w:r>
      <w:r w:rsidR="006132A0" w:rsidRPr="00C317D5">
        <w:rPr>
          <w:b/>
          <w:bCs/>
        </w:rPr>
        <w:t>5</w:t>
      </w:r>
      <w:r w:rsidRPr="00C317D5">
        <w:t xml:space="preserve"> del RR. A lo largo de 202</w:t>
      </w:r>
      <w:r w:rsidR="005B2A32" w:rsidRPr="00C317D5">
        <w:t>2</w:t>
      </w:r>
      <w:r w:rsidRPr="00C317D5">
        <w:t xml:space="preserve"> </w:t>
      </w:r>
      <w:r w:rsidR="005B2A32" w:rsidRPr="00C317D5">
        <w:t>se mejoró</w:t>
      </w:r>
      <w:r w:rsidRPr="00C317D5">
        <w:t xml:space="preserve"> la herramienta </w:t>
      </w:r>
      <w:r w:rsidR="005B2A32" w:rsidRPr="00C317D5">
        <w:t>con enlaces a diversas disposiciones de los Artículos del RR. D</w:t>
      </w:r>
      <w:r w:rsidRPr="00C317D5">
        <w:t>urante algunos Seminarios Regionales de Radiocomunicaciones</w:t>
      </w:r>
      <w:r w:rsidR="005B2A32" w:rsidRPr="00C317D5">
        <w:t xml:space="preserve"> se hicieron demostracion</w:t>
      </w:r>
      <w:r w:rsidR="006132A0" w:rsidRPr="00C317D5">
        <w:t>e</w:t>
      </w:r>
      <w:r w:rsidR="005B2A32" w:rsidRPr="00C317D5">
        <w:t>s de la herramienta, que p</w:t>
      </w:r>
      <w:r w:rsidRPr="00C317D5">
        <w:t xml:space="preserve">uede adquirirse en el sitio web de ventas de la UIT. Todas las actualizaciones del </w:t>
      </w:r>
      <w:r w:rsidRPr="00C317D5">
        <w:rPr>
          <w:i/>
        </w:rPr>
        <w:t>software</w:t>
      </w:r>
      <w:r w:rsidRPr="00C317D5">
        <w:t xml:space="preserve"> y los datos se proporcionarán de forma regular y gratuita a los abonados, hasta la CMR-23.</w:t>
      </w:r>
    </w:p>
    <w:p w14:paraId="6A56DFF9" w14:textId="77777777" w:rsidR="00B27BCB" w:rsidRPr="00C317D5" w:rsidRDefault="00B27BCB" w:rsidP="00B27BCB">
      <w:pPr>
        <w:pStyle w:val="Heading3"/>
      </w:pPr>
      <w:r w:rsidRPr="00C317D5">
        <w:t>7.4.2</w:t>
      </w:r>
      <w:r w:rsidRPr="00C317D5">
        <w:tab/>
        <w:t>Nuevas mejoras de las herramientas web</w:t>
      </w:r>
    </w:p>
    <w:p w14:paraId="433954F8" w14:textId="77777777" w:rsidR="005B2A32" w:rsidRPr="00C317D5" w:rsidRDefault="00B27BCB" w:rsidP="00B27BCB">
      <w:r w:rsidRPr="00C317D5">
        <w:t>Las herramientas en línea eBroadcasting (antes eBCD2.0) y eMIFR se integraron en el portal eTerrestrial, que cuenta con las tecnologías web más novedosas, y pasaron a producción en diciembre de 2020.</w:t>
      </w:r>
      <w:r w:rsidRPr="00C317D5">
        <w:rPr>
          <w:szCs w:val="24"/>
        </w:rPr>
        <w:t xml:space="preserve"> La </w:t>
      </w:r>
      <w:r w:rsidRPr="00C317D5">
        <w:t xml:space="preserve">validación en línea (Online Validation, rebautizada eValidation) ha sido integrada en el último trimestre de 2021, junto a nuevas capacidades incorporadas como un Panel de control que permite a la BR y a los usuarios supervisar sus actividades. </w:t>
      </w:r>
      <w:r w:rsidR="005B2A32" w:rsidRPr="00C317D5">
        <w:t>Las herramientas de propagación están ahora disponibles en ePropagation con capacidades cartográficas mejoradas.</w:t>
      </w:r>
    </w:p>
    <w:p w14:paraId="21DB414E" w14:textId="463915BD" w:rsidR="00B27BCB" w:rsidRPr="00C317D5" w:rsidRDefault="00B27BCB" w:rsidP="00B27BCB">
      <w:r w:rsidRPr="00C317D5">
        <w:t>Las herramientas eBroadcasting desarrolladas para apoyar el proceso de optimización del Plan</w:t>
      </w:r>
      <w:r w:rsidR="00840C69" w:rsidRPr="00C317D5">
        <w:t> </w:t>
      </w:r>
      <w:r w:rsidRPr="00C317D5">
        <w:t>GE84 han sido decisivas para el éxito de esta actividad. Los mapas se han realizado utilizando la librería de código abierto OpenLayers, que fue seleccionada por el Grupo de Tareas Especiales de la</w:t>
      </w:r>
      <w:r w:rsidR="006132A0" w:rsidRPr="00C317D5">
        <w:t> </w:t>
      </w:r>
      <w:r w:rsidRPr="00C317D5">
        <w:t xml:space="preserve">BR (véase </w:t>
      </w:r>
      <w:r w:rsidR="006132A0" w:rsidRPr="00C317D5">
        <w:t>la sección </w:t>
      </w:r>
      <w:r w:rsidRPr="00C317D5">
        <w:t>7.4.4).</w:t>
      </w:r>
    </w:p>
    <w:p w14:paraId="2FC36E46" w14:textId="3F50AB1B" w:rsidR="005B2A32" w:rsidRPr="00C317D5" w:rsidRDefault="005B2A32" w:rsidP="00B27BCB">
      <w:r w:rsidRPr="00C317D5">
        <w:t>Se ha reescrito con la tecnología web más moderna la interfaz web para la notificación de asignaciones de frecuencias/adjudicaciones terrenales a la BR. Se ha integrado en WISFAT la posibilidad de validar las notificaciones con eValidation. La herramienta integrada está en fase de pruebas.</w:t>
      </w:r>
    </w:p>
    <w:p w14:paraId="14C0F404" w14:textId="137DCB22" w:rsidR="005B2A32" w:rsidRPr="00C317D5" w:rsidRDefault="005B2A32" w:rsidP="00B27BCB">
      <w:r w:rsidRPr="00C317D5">
        <w:t>Se ha desarrollado con la tecnología web más moderna la plataforma en línea para servicios fijos y móviles (eFXM), que se integró en el portal eTerrestrial en octubre de 2022. En la actualidad eFXM comprende eQueryFXM, que es el servicio de búsquedas de asignaciones de frecuencias/adjudicaciones fijas y móviles</w:t>
      </w:r>
      <w:r w:rsidR="007D5F0C" w:rsidRPr="00C317D5">
        <w:t xml:space="preserve"> inscritas en el Registro Internacional y en los Planes. Con eQueryFXM también pueden obtenerse las estadísticas y características técnicas de las asignaciones inscritas en el Registro Internacional en las bandas de frecuencias consideradas en los puntos del orden del día de la CMR-23. Sigue en curso el desarrollo de ePubFXM para que las administraciones puedan consultar las Secciones Especiales FSM publicadas y la información de coordinación conexa.</w:t>
      </w:r>
    </w:p>
    <w:p w14:paraId="73650BC0" w14:textId="5BE692B2" w:rsidR="00B27BCB" w:rsidRPr="00C317D5" w:rsidRDefault="00B27BCB" w:rsidP="00B27BCB">
      <w:pPr>
        <w:pStyle w:val="Heading3"/>
      </w:pPr>
      <w:r w:rsidRPr="00C317D5">
        <w:t>7.4.3</w:t>
      </w:r>
      <w:r w:rsidRPr="00C317D5">
        <w:tab/>
      </w:r>
      <w:bookmarkStart w:id="42" w:name="lt_pId512"/>
      <w:r w:rsidRPr="00C317D5">
        <w:rPr>
          <w:i/>
          <w:iCs/>
        </w:rPr>
        <w:t>Software</w:t>
      </w:r>
      <w:r w:rsidRPr="00C317D5">
        <w:t xml:space="preserve"> de análisis de compatibilidad para la radiodifusión sonora en FM</w:t>
      </w:r>
      <w:bookmarkEnd w:id="42"/>
    </w:p>
    <w:p w14:paraId="0680AA5B" w14:textId="75D17D34" w:rsidR="00B27BCB" w:rsidRPr="00C317D5" w:rsidRDefault="00B27BCB" w:rsidP="00B27BCB">
      <w:bookmarkStart w:id="43" w:name="lt_pId513"/>
      <w:r w:rsidRPr="00C317D5">
        <w:t>En 2021, la BR desplegó una herramienta en línea, eBroadcasting, para la optimización del Plan</w:t>
      </w:r>
      <w:r w:rsidR="006132A0" w:rsidRPr="00C317D5">
        <w:t> </w:t>
      </w:r>
      <w:r w:rsidRPr="00C317D5">
        <w:t>GE84 (radiodifusión en FM) en África en la banda de frecuencias</w:t>
      </w:r>
      <w:r w:rsidR="007D2A28" w:rsidRPr="00C317D5">
        <w:t xml:space="preserve"> </w:t>
      </w:r>
      <w:r w:rsidRPr="00C317D5">
        <w:t>87,5-108</w:t>
      </w:r>
      <w:r w:rsidR="007D2A28" w:rsidRPr="00C317D5">
        <w:t> </w:t>
      </w:r>
      <w:r w:rsidRPr="00C317D5">
        <w:t>MHz:</w:t>
      </w:r>
      <w:bookmarkEnd w:id="43"/>
      <w:r w:rsidRPr="00C317D5">
        <w:t xml:space="preserve"> la herramienta «GE84 Optimization». Esta herramienta ejecuta cálculos de compatibilidad con arreglo al Acuerdo GE84 y evalúa las incompatibilidades de todas las frecuencias en la banda del GE84. Esta herramienta</w:t>
      </w:r>
      <w:r w:rsidR="007D5F0C" w:rsidRPr="00C317D5">
        <w:t xml:space="preserve"> ha servido</w:t>
      </w:r>
      <w:r w:rsidRPr="00C317D5">
        <w:t xml:space="preserve"> de base para la optimización de la banda FM en África</w:t>
      </w:r>
      <w:r w:rsidR="007D5F0C" w:rsidRPr="00C317D5">
        <w:t xml:space="preserve"> y se ha puesto a disposición de</w:t>
      </w:r>
      <w:r w:rsidRPr="00C317D5">
        <w:t xml:space="preserve"> todas las administraciones que son partes del Acuerdo GE84.</w:t>
      </w:r>
    </w:p>
    <w:p w14:paraId="1114243A" w14:textId="10D8DDFB" w:rsidR="00B27BCB" w:rsidRPr="00C317D5" w:rsidRDefault="007D5F0C" w:rsidP="00B27BCB">
      <w:r w:rsidRPr="00C317D5">
        <w:lastRenderedPageBreak/>
        <w:t xml:space="preserve">La herramienta utiliza las curvas de propagación GE84 y el método de predicción de propagación de la Recomendación UIT-R P.1812, además de un mapa </w:t>
      </w:r>
      <w:r w:rsidR="00023D85" w:rsidRPr="00C317D5">
        <w:t>topo</w:t>
      </w:r>
      <w:r w:rsidRPr="00C317D5">
        <w:t>gráfico digital (SRTM3) con una resolución de 90m</w:t>
      </w:r>
      <w:r w:rsidR="00B27BCB" w:rsidRPr="00C317D5">
        <w:t>.</w:t>
      </w:r>
      <w:r w:rsidRPr="00C317D5">
        <w:t xml:space="preserve"> </w:t>
      </w:r>
      <w:r w:rsidR="00023D85" w:rsidRPr="00C317D5">
        <w:t>E</w:t>
      </w:r>
      <w:r w:rsidRPr="00C317D5">
        <w:t>n 2023 se añadieron modelos</w:t>
      </w:r>
      <w:r w:rsidR="00023D85" w:rsidRPr="00C317D5">
        <w:t xml:space="preserve"> topográficos digitales (DEM), a saber, SRTM1 y ASTER, con una resolución de 30m. Contrariamente a los DEM SRTM, que ofrecen información de elevación del terreno entre 56</w:t>
      </w:r>
      <w:r w:rsidR="007D2A28" w:rsidRPr="00C317D5">
        <w:t>° </w:t>
      </w:r>
      <w:r w:rsidR="00023D85" w:rsidRPr="00C317D5">
        <w:t>S y 60</w:t>
      </w:r>
      <w:r w:rsidR="007D2A28" w:rsidRPr="00C317D5">
        <w:t>° </w:t>
      </w:r>
      <w:r w:rsidR="00023D85" w:rsidRPr="00C317D5">
        <w:t>N, ASTER ofrece información de elevación del terreno entre 83</w:t>
      </w:r>
      <w:r w:rsidR="007D2A28" w:rsidRPr="00C317D5">
        <w:t>° </w:t>
      </w:r>
      <w:r w:rsidR="00023D85" w:rsidRPr="00C317D5">
        <w:t>S y 83</w:t>
      </w:r>
      <w:r w:rsidR="007D2A28" w:rsidRPr="00C317D5">
        <w:t>° </w:t>
      </w:r>
      <w:r w:rsidR="00023D85" w:rsidRPr="00C317D5">
        <w:t>N, permitiendo efectuar cálculos de la intensidad de campo entre emplazamientos situados por encima de los 60</w:t>
      </w:r>
      <w:r w:rsidR="007D2A28" w:rsidRPr="00C317D5">
        <w:t>°</w:t>
      </w:r>
      <w:r w:rsidR="00023D85" w:rsidRPr="00C317D5">
        <w:t xml:space="preserve"> de latitud Norte. Habida cuenta de que SRTM1 es más preciso que ASTER, los usuarios tiene</w:t>
      </w:r>
      <w:r w:rsidR="009D1B69">
        <w:t>n</w:t>
      </w:r>
      <w:r w:rsidR="00023D85" w:rsidRPr="00C317D5">
        <w:t xml:space="preserve"> una opción adicional (AUTO) en la que el </w:t>
      </w:r>
      <w:r w:rsidR="00023D85" w:rsidRPr="00C317D5">
        <w:rPr>
          <w:i/>
          <w:iCs/>
        </w:rPr>
        <w:t>software</w:t>
      </w:r>
      <w:r w:rsidR="00023D85" w:rsidRPr="00C317D5">
        <w:t xml:space="preserve"> selecciona automáticamente el DEM más conveniente, entre SRTM1 y ASTER, ambos con una resolución de 30</w:t>
      </w:r>
      <w:r w:rsidR="007D2A28" w:rsidRPr="00C317D5">
        <w:t> </w:t>
      </w:r>
      <w:r w:rsidR="00023D85" w:rsidRPr="00C317D5">
        <w:t>m, para evaluar la predicción de la interferencia punto a punto en función del emplazamiento de las estaciones (transmisoras/receptoras) implicadas en el cálculo.</w:t>
      </w:r>
    </w:p>
    <w:p w14:paraId="4CBE7D44" w14:textId="77777777" w:rsidR="00B27BCB" w:rsidRPr="00C317D5" w:rsidRDefault="00B27BCB" w:rsidP="00B27BCB">
      <w:pPr>
        <w:pStyle w:val="Heading3"/>
      </w:pPr>
      <w:r w:rsidRPr="00C317D5">
        <w:t>7.4.4</w:t>
      </w:r>
      <w:r w:rsidRPr="00C317D5">
        <w:tab/>
        <w:t>Sistema de Información Geográfica de la BR</w:t>
      </w:r>
    </w:p>
    <w:p w14:paraId="42D87C62" w14:textId="77777777" w:rsidR="00B27BCB" w:rsidRPr="00C317D5" w:rsidRDefault="00B27BCB" w:rsidP="00B27BCB">
      <w:bookmarkStart w:id="44" w:name="lt_pId520"/>
      <w:r w:rsidRPr="00C317D5">
        <w:t>El Grupo de Tareas Especiales sobre el Sistema de Información Geográfica (SIG) de la BR, compuesto por personal de todos los departamentos de la Oficina, se creó con el objetivo de armonizar las actividades relacionadas con el SIG en la BR. Una de las tareas iniciales del GTE consistió en implementar la plataforma del SIG de la BR utilizando GeoServer. Actualmente, el Grupo está transfiriendo al servidor todos los datos radiometeorológicos pertinentes (catálogo de datos geoespaciales) y otros conjuntos de datos relevantes del mapa mundial digitalizado de la UIT (IDWM). Estos datos se pondrán a disposición de los usuarios a través de servicios web compatibles con el Open Geospatial Consortium (OGC). La BR está implementando las funcionalidades del SIG en sus herramientas web utilizando la biblioteca de código abierto OpenLayers.</w:t>
      </w:r>
      <w:bookmarkStart w:id="45" w:name="lt_pId525"/>
      <w:bookmarkEnd w:id="44"/>
    </w:p>
    <w:p w14:paraId="06289DE9" w14:textId="1221B969" w:rsidR="00B27BCB" w:rsidRPr="00C317D5" w:rsidRDefault="00B27BCB" w:rsidP="00B27BCB">
      <w:r w:rsidRPr="00C317D5">
        <w:t>La UIT es miembro de la Red Geoespacial de las Naciones Unidas, una coalición de organismos del sistema de las Naciones Unidas encargada de reforzar la coordinación y la coherencia en materia de gestión de la información geoespacial en el sistema de las Naciones Unidas. La BR participa en el Comité Directivo de esta red y dirige el Grupo Intersectorial de Tareas Especiales de la UIT sobre Gestión de la Información Geoespacial.</w:t>
      </w:r>
      <w:bookmarkEnd w:id="45"/>
    </w:p>
    <w:p w14:paraId="32D2A299" w14:textId="6AD83567" w:rsidR="009E3CC8" w:rsidRPr="00C317D5" w:rsidRDefault="009E3CC8" w:rsidP="00B27BCB">
      <w:r w:rsidRPr="00C317D5">
        <w:rPr>
          <w:b/>
          <w:bCs/>
        </w:rPr>
        <w:t>7.4.5</w:t>
      </w:r>
      <w:r w:rsidRPr="00C317D5">
        <w:rPr>
          <w:b/>
          <w:bCs/>
        </w:rPr>
        <w:tab/>
        <w:t>Proyecto de publicaciones del servicio marítimo</w:t>
      </w:r>
    </w:p>
    <w:p w14:paraId="6DDE62BF" w14:textId="155A2B97" w:rsidR="009E3CC8" w:rsidRPr="00C317D5" w:rsidRDefault="00BF2EC0" w:rsidP="009E3CC8">
      <w:pPr>
        <w:rPr>
          <w:szCs w:val="24"/>
        </w:rPr>
      </w:pPr>
      <w:r w:rsidRPr="00C317D5">
        <w:rPr>
          <w:szCs w:val="24"/>
        </w:rPr>
        <w:t>La</w:t>
      </w:r>
      <w:r w:rsidR="009E3CC8" w:rsidRPr="00C317D5">
        <w:rPr>
          <w:szCs w:val="24"/>
        </w:rPr>
        <w:t xml:space="preserve"> BR</w:t>
      </w:r>
      <w:r w:rsidRPr="00C317D5">
        <w:rPr>
          <w:szCs w:val="24"/>
        </w:rPr>
        <w:t xml:space="preserve">, en estrecha cooperación con la TSB, está ejecutando un proyecto para modernizar las publicaciones marítimas de la UIT </w:t>
      </w:r>
      <w:r w:rsidR="009E3CC8" w:rsidRPr="00C317D5">
        <w:rPr>
          <w:szCs w:val="24"/>
        </w:rPr>
        <w:t>(List</w:t>
      </w:r>
      <w:r w:rsidRPr="00C317D5">
        <w:rPr>
          <w:szCs w:val="24"/>
        </w:rPr>
        <w:t>a</w:t>
      </w:r>
      <w:r w:rsidR="009E3CC8" w:rsidRPr="00C317D5">
        <w:rPr>
          <w:szCs w:val="24"/>
        </w:rPr>
        <w:t xml:space="preserve"> </w:t>
      </w:r>
      <w:r w:rsidR="001E209B" w:rsidRPr="00C317D5">
        <w:rPr>
          <w:szCs w:val="24"/>
        </w:rPr>
        <w:t>I</w:t>
      </w:r>
      <w:r w:rsidR="009E3CC8" w:rsidRPr="00C317D5">
        <w:rPr>
          <w:szCs w:val="24"/>
        </w:rPr>
        <w:t>V, List</w:t>
      </w:r>
      <w:r w:rsidRPr="00C317D5">
        <w:rPr>
          <w:szCs w:val="24"/>
        </w:rPr>
        <w:t>a</w:t>
      </w:r>
      <w:r w:rsidR="009E3CC8" w:rsidRPr="00C317D5">
        <w:rPr>
          <w:szCs w:val="24"/>
        </w:rPr>
        <w:t xml:space="preserve"> V </w:t>
      </w:r>
      <w:r w:rsidRPr="00C317D5">
        <w:rPr>
          <w:szCs w:val="24"/>
        </w:rPr>
        <w:t>y Manual Marítimo). El objetivo del proyecto es mejorar la experiencia del usuario de las publicaciones, entre otras cosas sustituyendo el actual formato en CD-ROM. Para este proyecto es necesario crear una plataforma de ventas para la adquisición y descarga de publicaciones digitales, desarrollar aplicaciones móviles y de escritorio para buscar y obtener información y diseñar soluciones antifalsificación que incluyan una aplicación móvil para que los inspectores puedan verificar la validez de las publicaciones a bordo de los buques</w:t>
      </w:r>
      <w:r w:rsidR="009E3CC8" w:rsidRPr="00C317D5">
        <w:rPr>
          <w:szCs w:val="24"/>
        </w:rPr>
        <w:t>.</w:t>
      </w:r>
    </w:p>
    <w:p w14:paraId="077F1E8B" w14:textId="19634B5D" w:rsidR="009E3CC8" w:rsidRPr="00C317D5" w:rsidRDefault="009E3CC8" w:rsidP="009E3CC8">
      <w:pPr>
        <w:pStyle w:val="Heading3"/>
        <w:rPr>
          <w:szCs w:val="24"/>
        </w:rPr>
      </w:pPr>
      <w:r w:rsidRPr="00C317D5">
        <w:rPr>
          <w:szCs w:val="24"/>
        </w:rPr>
        <w:t>7.4.6</w:t>
      </w:r>
      <w:r w:rsidRPr="00C317D5">
        <w:tab/>
      </w:r>
      <w:r w:rsidRPr="00C317D5">
        <w:rPr>
          <w:szCs w:val="24"/>
        </w:rPr>
        <w:t>HITS (</w:t>
      </w:r>
      <w:r w:rsidR="00BF2EC0" w:rsidRPr="00C317D5">
        <w:rPr>
          <w:szCs w:val="24"/>
        </w:rPr>
        <w:t>Interferencia perjudicial a servicios terrenales</w:t>
      </w:r>
      <w:r w:rsidRPr="00C317D5">
        <w:rPr>
          <w:szCs w:val="24"/>
        </w:rPr>
        <w:t>)</w:t>
      </w:r>
    </w:p>
    <w:p w14:paraId="32C3765D" w14:textId="7B7F512C" w:rsidR="009E3CC8" w:rsidRPr="00C317D5" w:rsidRDefault="00BF2EC0" w:rsidP="009E3CC8">
      <w:r w:rsidRPr="00C317D5">
        <w:rPr>
          <w:szCs w:val="24"/>
        </w:rPr>
        <w:t>Se ha empezado a desarrollar una nueva plataforma en línea para la tramitación de informes de interferencia perjudicial y de infracción relacionados con los servicios terrenales. Este sistema se denomina</w:t>
      </w:r>
      <w:r w:rsidR="009E3CC8" w:rsidRPr="00C317D5">
        <w:rPr>
          <w:szCs w:val="24"/>
        </w:rPr>
        <w:t xml:space="preserve"> HITS </w:t>
      </w:r>
      <w:r w:rsidR="00B57783" w:rsidRPr="00C317D5">
        <w:rPr>
          <w:szCs w:val="24"/>
        </w:rPr>
        <w:t>[</w:t>
      </w:r>
      <w:r w:rsidRPr="00C317D5">
        <w:rPr>
          <w:szCs w:val="24"/>
        </w:rPr>
        <w:t>Interferencia perjudicial a servicios terrenales</w:t>
      </w:r>
      <w:r w:rsidR="00B57783" w:rsidRPr="00C317D5">
        <w:rPr>
          <w:szCs w:val="24"/>
        </w:rPr>
        <w:t xml:space="preserve"> (</w:t>
      </w:r>
      <w:r w:rsidR="00B57783" w:rsidRPr="00C317D5">
        <w:rPr>
          <w:i/>
          <w:iCs/>
          <w:szCs w:val="24"/>
        </w:rPr>
        <w:t>Harmful Interference to Terrestrial Services</w:t>
      </w:r>
      <w:r w:rsidR="009E3CC8" w:rsidRPr="00C317D5">
        <w:rPr>
          <w:szCs w:val="24"/>
        </w:rPr>
        <w:t>)</w:t>
      </w:r>
      <w:r w:rsidR="00B57783" w:rsidRPr="00C317D5">
        <w:rPr>
          <w:szCs w:val="24"/>
        </w:rPr>
        <w:t>]</w:t>
      </w:r>
      <w:r w:rsidR="009E3CC8" w:rsidRPr="00C317D5">
        <w:rPr>
          <w:szCs w:val="24"/>
        </w:rPr>
        <w:t xml:space="preserve">. </w:t>
      </w:r>
      <w:r w:rsidRPr="00C317D5">
        <w:rPr>
          <w:szCs w:val="24"/>
        </w:rPr>
        <w:t>Se está diseñando la estructura de la base de datos para ajustarse a los requisitos del nuevo sistema. Además, se están examinando las correspondencias entre la BR y las administraciones para incorporarlas a HITS. También se está trabajando en la interfaz de usuario</w:t>
      </w:r>
      <w:r w:rsidR="009E3CC8" w:rsidRPr="00C317D5">
        <w:rPr>
          <w:szCs w:val="24"/>
        </w:rPr>
        <w:t>.</w:t>
      </w:r>
    </w:p>
    <w:p w14:paraId="5F3EB31B" w14:textId="77777777" w:rsidR="00B27BCB" w:rsidRPr="00C317D5" w:rsidRDefault="00B27BCB" w:rsidP="00920C3D">
      <w:pPr>
        <w:pStyle w:val="Heading2"/>
      </w:pPr>
      <w:r w:rsidRPr="00C317D5">
        <w:lastRenderedPageBreak/>
        <w:t>7.5</w:t>
      </w:r>
      <w:r w:rsidRPr="00C317D5">
        <w:tab/>
        <w:t>Continuidad de las actividades y recuperación en caso de catástrofe (servicios espaciales y terrenales)</w:t>
      </w:r>
    </w:p>
    <w:p w14:paraId="036A0D3F" w14:textId="612292C8" w:rsidR="00B27BCB" w:rsidRPr="00C317D5" w:rsidRDefault="00B27BCB" w:rsidP="004E4608">
      <w:r w:rsidRPr="00C317D5">
        <w:t>Durante 2021 se continuó trabajando para fortalecer aún más el marco de gestión de riesgos de la UIT, con la participación plena de la BR en el Grupo Intersectorial de Tareas Especiales sobre Gestión de Riesgos. Además, el equipo directivo de la BR participó en</w:t>
      </w:r>
      <w:r w:rsidR="00BF2EC0" w:rsidRPr="00C317D5">
        <w:t xml:space="preserve"> sesiones de formación práctica presenciales</w:t>
      </w:r>
      <w:r w:rsidRPr="00C317D5">
        <w:t xml:space="preserve"> organizad</w:t>
      </w:r>
      <w:r w:rsidR="00BF2EC0" w:rsidRPr="00C317D5">
        <w:t>a</w:t>
      </w:r>
      <w:r w:rsidRPr="00C317D5">
        <w:t>s por el coordinador del Sistema de Gestión de la Resiliencia Institucional de la UIT (ORMS) con la participación de una empresa consultora externa experta en la modelización de relaciones entre funciones empresariales fundamentales</w:t>
      </w:r>
      <w:r w:rsidR="00BF2EC0" w:rsidRPr="00C317D5">
        <w:t>. Gracias a estas actividades se han preparado Planes de Recuperación de Actividades (PARA) nuevos o revisados, que se actualizarán periódicamente en cumplimiento de la Política de continuidad de las actividades de la UIT</w:t>
      </w:r>
      <w:r w:rsidRPr="00C317D5">
        <w:t>.</w:t>
      </w:r>
    </w:p>
    <w:p w14:paraId="0665F946" w14:textId="17D50CFF" w:rsidR="00BF2EC0" w:rsidRPr="00C317D5" w:rsidRDefault="00BF2EC0" w:rsidP="00920C3D">
      <w:pPr>
        <w:keepNext/>
        <w:keepLines/>
      </w:pPr>
      <w:r w:rsidRPr="00C317D5">
        <w:rPr>
          <w:b/>
          <w:bCs/>
        </w:rPr>
        <w:t>7.6</w:t>
      </w:r>
      <w:r w:rsidRPr="00C317D5">
        <w:rPr>
          <w:b/>
          <w:bCs/>
        </w:rPr>
        <w:tab/>
        <w:t>Computación en la nube</w:t>
      </w:r>
    </w:p>
    <w:p w14:paraId="6360407E" w14:textId="1A78E974" w:rsidR="00BF2EC0" w:rsidRPr="00C317D5" w:rsidRDefault="00BF2EC0" w:rsidP="00B57783">
      <w:r w:rsidRPr="00C317D5">
        <w:t xml:space="preserve">En 2022 la BR colaboró con el Departamento IS en la definición del mandato del Grupo de Tareas Especiales para la migración a la nube de la BR. </w:t>
      </w:r>
      <w:r w:rsidR="00F44CE8" w:rsidRPr="00C317D5">
        <w:t>Los miembros del RMC examinaron el proyecto de mandato y el Grupo de Tareas Especiales inició sus trabajos en marzo de 2023. El principal motor para la adopción de la computación en la nube por la BR es la necesidad de mejorar la continuidad de las actividades y la recuperación en caso de catástrofe. Los trabajos del Grupo de Tareas Especiales alimentarán los resultados destinados a satisfacer la Resolución 217 (Bucarest, 2022).</w:t>
      </w:r>
    </w:p>
    <w:p w14:paraId="168AD5B9" w14:textId="77777777" w:rsidR="00B27BCB" w:rsidRPr="00C317D5" w:rsidRDefault="00B27BCB" w:rsidP="00B27BCB">
      <w:pPr>
        <w:pStyle w:val="Heading1"/>
      </w:pPr>
      <w:bookmarkStart w:id="46" w:name="_Toc446060776"/>
      <w:r w:rsidRPr="00C317D5">
        <w:t>8</w:t>
      </w:r>
      <w:r w:rsidRPr="00C317D5">
        <w:tab/>
      </w:r>
      <w:bookmarkEnd w:id="46"/>
      <w:r w:rsidRPr="00C317D5">
        <w:t>Divulgación</w:t>
      </w:r>
    </w:p>
    <w:p w14:paraId="6735D7A5" w14:textId="77777777" w:rsidR="00B27BCB" w:rsidRPr="00C317D5" w:rsidRDefault="00B27BCB" w:rsidP="00B27BCB">
      <w:r w:rsidRPr="00C317D5">
        <w:t>Las actividades de divulgación comprenden la difusión de información y asistencia a los Miembros, la publicación de productos del UIT-R, la organización de seminarios y talleres, además de la participación en los mismos, y la elaboración y mantenimiento de herramientas de comunicación y promoción. El objetivo de estas actividades es garantizar que los productos del UIT-R (Reglamentos, Recomendaciones, Informes y Manuales) se difundan a escala mundial de manera que puedan sentar las bases para la formulación de políticas y decisiones nacionales y regionales a efectos de la utilización del espectro radioeléctrico. Para llevar a cabo estas actividades, la BR coopera estrechamente con las demás Oficinas y Sectores, las Oficinas Regionales y Zonales de la UIT, así como con las organizaciones internacionales y autoridades nacionales pertinentes.</w:t>
      </w:r>
    </w:p>
    <w:p w14:paraId="179ED30C" w14:textId="77777777" w:rsidR="00B27BCB" w:rsidRPr="00C317D5" w:rsidRDefault="00B27BCB" w:rsidP="00B27BCB">
      <w:pPr>
        <w:pStyle w:val="Heading2"/>
      </w:pPr>
      <w:bookmarkStart w:id="47" w:name="_Toc418163376"/>
      <w:bookmarkStart w:id="48" w:name="_Toc418232294"/>
      <w:bookmarkStart w:id="49" w:name="_Toc424047595"/>
      <w:bookmarkStart w:id="50" w:name="_Toc446060777"/>
      <w:r w:rsidRPr="00C317D5">
        <w:t>8.1</w:t>
      </w:r>
      <w:r w:rsidRPr="00C317D5">
        <w:tab/>
      </w:r>
      <w:bookmarkEnd w:id="47"/>
      <w:bookmarkEnd w:id="48"/>
      <w:bookmarkEnd w:id="49"/>
      <w:bookmarkEnd w:id="50"/>
      <w:r w:rsidRPr="00C317D5">
        <w:t>Publicaciones</w:t>
      </w:r>
    </w:p>
    <w:p w14:paraId="431341BC" w14:textId="77777777" w:rsidR="00B27BCB" w:rsidRPr="00C317D5" w:rsidRDefault="00B27BCB" w:rsidP="00B27BCB">
      <w:pPr>
        <w:pStyle w:val="Heading3"/>
      </w:pPr>
      <w:bookmarkStart w:id="51" w:name="_Toc424047596"/>
      <w:bookmarkStart w:id="52" w:name="_Toc446060778"/>
      <w:r w:rsidRPr="00C317D5">
        <w:t>8.1.1</w:t>
      </w:r>
      <w:r w:rsidRPr="00C317D5">
        <w:tab/>
      </w:r>
      <w:bookmarkEnd w:id="51"/>
      <w:bookmarkEnd w:id="52"/>
      <w:r w:rsidRPr="00C317D5">
        <w:t>Publicaciones reglamentarias</w:t>
      </w:r>
    </w:p>
    <w:p w14:paraId="54CDA2FC" w14:textId="77777777" w:rsidR="00B27BCB" w:rsidRPr="00C317D5" w:rsidRDefault="00B27BCB" w:rsidP="00B27BCB">
      <w:pPr>
        <w:pStyle w:val="Headingi"/>
      </w:pPr>
      <w:r w:rsidRPr="00C317D5">
        <w:t>Reglamento de Radiocomunicaciones y Reglas de Procedimiento</w:t>
      </w:r>
    </w:p>
    <w:p w14:paraId="6FF287A5" w14:textId="36333BB7" w:rsidR="00B27BCB" w:rsidRPr="00C317D5" w:rsidRDefault="00B27BCB" w:rsidP="00B27BCB">
      <w:r w:rsidRPr="00C317D5">
        <w:t xml:space="preserve">La edición de 2020 del Reglamento de Radiocomunicaciones se publicó en septiembre de 2020. Tras la Conferencia Mundial de Radiocomunicaciones de 2019, se ha publicado la edición de 2021 de las Reglas de Procedimiento. </w:t>
      </w:r>
      <w:r w:rsidR="00F40098" w:rsidRPr="00C317D5">
        <w:t>En abril de 2022 se publicó una segunda actualización</w:t>
      </w:r>
      <w:r w:rsidRPr="00C317D5">
        <w:t>.</w:t>
      </w:r>
    </w:p>
    <w:p w14:paraId="464AA693" w14:textId="10C67294" w:rsidR="00B27BCB" w:rsidRPr="00C317D5" w:rsidRDefault="00B27BCB" w:rsidP="00B27BCB">
      <w:r w:rsidRPr="00C317D5">
        <w:t>La BR también publicó 11</w:t>
      </w:r>
      <w:r w:rsidR="00DA40F4" w:rsidRPr="00C317D5">
        <w:t> </w:t>
      </w:r>
      <w:r w:rsidRPr="00C317D5">
        <w:t>Horarios de la radiodifusión en ondas decamétricas (HFBC) por año, conforme a lo estipulado en el Artículo</w:t>
      </w:r>
      <w:r w:rsidR="00DA40F4" w:rsidRPr="00C317D5">
        <w:t> </w:t>
      </w:r>
      <w:r w:rsidRPr="00C317D5">
        <w:rPr>
          <w:b/>
          <w:bCs/>
        </w:rPr>
        <w:t>12</w:t>
      </w:r>
      <w:r w:rsidRPr="00C317D5">
        <w:t xml:space="preserve"> del RR.</w:t>
      </w:r>
    </w:p>
    <w:p w14:paraId="38E522F4" w14:textId="77777777" w:rsidR="00B27BCB" w:rsidRPr="00C317D5" w:rsidRDefault="00B27BCB" w:rsidP="00B27BCB">
      <w:pPr>
        <w:pStyle w:val="Heading3"/>
      </w:pPr>
      <w:bookmarkStart w:id="53" w:name="_Toc424047597"/>
      <w:bookmarkStart w:id="54" w:name="_Toc446060779"/>
      <w:r w:rsidRPr="00C317D5">
        <w:t>8.1.2</w:t>
      </w:r>
      <w:r w:rsidRPr="00C317D5">
        <w:tab/>
      </w:r>
      <w:bookmarkEnd w:id="53"/>
      <w:bookmarkEnd w:id="54"/>
      <w:r w:rsidRPr="00C317D5">
        <w:t>Documentos de servicio</w:t>
      </w:r>
    </w:p>
    <w:p w14:paraId="497AC468" w14:textId="77777777" w:rsidR="00B27BCB" w:rsidRPr="00C317D5" w:rsidRDefault="00B27BCB" w:rsidP="00B27BCB">
      <w:pPr>
        <w:pStyle w:val="Heading4"/>
        <w:rPr>
          <w:i/>
          <w:iCs/>
        </w:rPr>
      </w:pPr>
      <w:r w:rsidRPr="00C317D5">
        <w:t>8.1.2.1</w:t>
      </w:r>
      <w:r w:rsidRPr="00C317D5">
        <w:tab/>
        <w:t>Antecedentes y consideraciones generales</w:t>
      </w:r>
    </w:p>
    <w:p w14:paraId="05CD947D" w14:textId="77777777" w:rsidR="00B27BCB" w:rsidRPr="00C317D5" w:rsidRDefault="00B27BCB" w:rsidP="00B27BCB">
      <w:r w:rsidRPr="00C317D5">
        <w:t>La Oficina elabora y publica los siguientes documentos de servicio, tal como especifica el Artículo </w:t>
      </w:r>
      <w:r w:rsidRPr="00C317D5">
        <w:rPr>
          <w:b/>
        </w:rPr>
        <w:t>20</w:t>
      </w:r>
      <w:r w:rsidRPr="00C317D5">
        <w:t xml:space="preserve"> del Reglamento de Radiocomunicaciones:</w:t>
      </w:r>
    </w:p>
    <w:p w14:paraId="3AC6368F" w14:textId="42E11791" w:rsidR="00B27BCB" w:rsidRPr="00C317D5" w:rsidRDefault="00653673" w:rsidP="00B27BCB">
      <w:pPr>
        <w:pStyle w:val="enumlev1"/>
      </w:pPr>
      <w:r w:rsidRPr="00C317D5">
        <w:t>•</w:t>
      </w:r>
      <w:r w:rsidR="00B27BCB" w:rsidRPr="00C317D5">
        <w:tab/>
        <w:t>BR IFIC – Circular Internacional de Información sobre Frecuencias</w:t>
      </w:r>
      <w:r w:rsidRPr="00C317D5">
        <w:t>.</w:t>
      </w:r>
    </w:p>
    <w:p w14:paraId="6127D9CC" w14:textId="7321E3D4" w:rsidR="00B27BCB" w:rsidRPr="00C317D5" w:rsidRDefault="00653673" w:rsidP="00B27BCB">
      <w:pPr>
        <w:pStyle w:val="enumlev1"/>
      </w:pPr>
      <w:r w:rsidRPr="00C317D5">
        <w:lastRenderedPageBreak/>
        <w:t>•</w:t>
      </w:r>
      <w:r w:rsidR="00B27BCB" w:rsidRPr="00C317D5">
        <w:tab/>
        <w:t xml:space="preserve">Lista IV − </w:t>
      </w:r>
      <w:bookmarkStart w:id="55" w:name="_Hlk34732127"/>
      <w:r w:rsidR="00B27BCB" w:rsidRPr="00C317D5">
        <w:t>Nomenclátor de las estaciones costeras y de las estaciones que efectúan servicios especiales</w:t>
      </w:r>
      <w:bookmarkEnd w:id="55"/>
      <w:r w:rsidRPr="00C317D5">
        <w:t>.</w:t>
      </w:r>
    </w:p>
    <w:p w14:paraId="50DB5CBF" w14:textId="64F7570A" w:rsidR="00B27BCB" w:rsidRPr="00C317D5" w:rsidRDefault="00653673" w:rsidP="00B27BCB">
      <w:pPr>
        <w:pStyle w:val="enumlev1"/>
      </w:pPr>
      <w:r w:rsidRPr="00C317D5">
        <w:t>•</w:t>
      </w:r>
      <w:r w:rsidR="00B27BCB" w:rsidRPr="00C317D5">
        <w:tab/>
        <w:t>Lista V − Nomenclátor de las estaciones de barco y de las asignaciones a identidades del servicio móvil marítimo</w:t>
      </w:r>
      <w:r w:rsidRPr="00C317D5">
        <w:t>.</w:t>
      </w:r>
    </w:p>
    <w:p w14:paraId="0A81EBF9" w14:textId="5E46B19B" w:rsidR="00B27BCB" w:rsidRPr="00C317D5" w:rsidRDefault="00653673" w:rsidP="00B27BCB">
      <w:pPr>
        <w:pStyle w:val="enumlev1"/>
      </w:pPr>
      <w:r w:rsidRPr="00C317D5">
        <w:t>•</w:t>
      </w:r>
      <w:r w:rsidR="00B27BCB" w:rsidRPr="00C317D5">
        <w:tab/>
        <w:t>Lista VIII − Nomenclátor de las estaciones de comprobación técnica internacional de las emisiones</w:t>
      </w:r>
      <w:r w:rsidRPr="00C317D5">
        <w:t>.</w:t>
      </w:r>
    </w:p>
    <w:p w14:paraId="3546681B" w14:textId="067AF3A8" w:rsidR="00B27BCB" w:rsidRPr="00C317D5" w:rsidRDefault="00653673" w:rsidP="00B27BCB">
      <w:pPr>
        <w:pStyle w:val="enumlev1"/>
      </w:pPr>
      <w:r w:rsidRPr="00C317D5">
        <w:t>•</w:t>
      </w:r>
      <w:r w:rsidR="00B27BCB" w:rsidRPr="00C317D5">
        <w:tab/>
        <w:t>Manual para uso de los servicios móvil marítimo y móvil marítimo por satélite.</w:t>
      </w:r>
    </w:p>
    <w:p w14:paraId="69149392" w14:textId="77777777" w:rsidR="00B27BCB" w:rsidRPr="00C317D5" w:rsidRDefault="00B27BCB" w:rsidP="00B27BCB">
      <w:pPr>
        <w:pStyle w:val="Heading4"/>
      </w:pPr>
      <w:r w:rsidRPr="00C317D5">
        <w:t>8.1.2.2</w:t>
      </w:r>
      <w:r w:rsidRPr="00C317D5">
        <w:tab/>
      </w:r>
      <w:bookmarkStart w:id="56" w:name="_Hlk34393551"/>
      <w:r w:rsidRPr="00C317D5">
        <w:t>Nomenclátor de las estaciones costeras y de las estaciones que efectúan servicios especiales (Lista IV)</w:t>
      </w:r>
    </w:p>
    <w:p w14:paraId="556E37FB" w14:textId="77777777" w:rsidR="00B27BCB" w:rsidRPr="00C317D5" w:rsidRDefault="00B27BCB" w:rsidP="00B27BCB">
      <w:bookmarkStart w:id="57" w:name="lt_pId468"/>
      <w:bookmarkEnd w:id="56"/>
      <w:r w:rsidRPr="00C317D5">
        <w:t>Este Nomenclátor contiene la información notificada a la UIT (es decir, distintivo de llamada, MMSI, coordenadas geográficas, frecuencias de transmisión y de recepción, etc.) en relación con las estaciones costeras que prestan servicios de vigilancia mediante técnicas de llamada selectiva digital, servicio de correspondencia pública, asesoramiento médico, avisos náuticos y meteorológicos, avisos a los navegantes y señales horarias radioeléctricas, etc.</w:t>
      </w:r>
    </w:p>
    <w:p w14:paraId="00668043" w14:textId="5ED3EA32" w:rsidR="00B27BCB" w:rsidRPr="00C317D5" w:rsidRDefault="00B27BCB" w:rsidP="00B27BCB">
      <w:r w:rsidRPr="00C317D5">
        <w:t>El Nomenclátor de las estaciones costeras y de las estaciones que efectúan servicios especiales (Lista</w:t>
      </w:r>
      <w:r w:rsidR="00DA40F4" w:rsidRPr="00C317D5">
        <w:t> </w:t>
      </w:r>
      <w:r w:rsidRPr="00C317D5">
        <w:t>IV) se publica con una periodicidad bienal, en formato CD-ROM. En diciembre de 2021 se publicó una edición de la Lista IV.</w:t>
      </w:r>
    </w:p>
    <w:p w14:paraId="77534947" w14:textId="40B5FC96" w:rsidR="00B27BCB" w:rsidRPr="00C317D5" w:rsidRDefault="00B27BCB" w:rsidP="00B27BCB">
      <w:bookmarkStart w:id="58" w:name="lt_pId470"/>
      <w:bookmarkEnd w:id="57"/>
      <w:r w:rsidRPr="00C317D5">
        <w:t>La información relativa a esta lista puede consultarse a través del sistema de información en línea</w:t>
      </w:r>
      <w:r w:rsidR="000935A1" w:rsidRPr="00C317D5">
        <w:t xml:space="preserve"> </w:t>
      </w:r>
      <w:r w:rsidRPr="00C317D5">
        <w:t xml:space="preserve">«Sistema de acceso y extracción en el servicio móvil marítimo» (MARS) de la UIT. </w:t>
      </w:r>
      <w:bookmarkEnd w:id="58"/>
      <w:r w:rsidRPr="00C317D5">
        <w:t>Cada seis meses, se publica en la web una recopilación de todos los cambios notificados a la UIT.</w:t>
      </w:r>
    </w:p>
    <w:p w14:paraId="512F18D0" w14:textId="77777777" w:rsidR="00B27BCB" w:rsidRPr="00C317D5" w:rsidRDefault="00B27BCB" w:rsidP="00B27BCB">
      <w:pPr>
        <w:pStyle w:val="Heading4"/>
      </w:pPr>
      <w:r w:rsidRPr="00C317D5">
        <w:t>8.1.2.3</w:t>
      </w:r>
      <w:r w:rsidRPr="00C317D5">
        <w:tab/>
      </w:r>
      <w:bookmarkStart w:id="59" w:name="_Hlk34396651"/>
      <w:r w:rsidRPr="00C317D5">
        <w:t>Nomenclátor de las estaciones de barco y de las asignaciones a identidades del servicio móvil marítimo (Lista V)</w:t>
      </w:r>
    </w:p>
    <w:bookmarkEnd w:id="59"/>
    <w:p w14:paraId="16D7BAB5" w14:textId="77777777" w:rsidR="00B27BCB" w:rsidRPr="00C317D5" w:rsidRDefault="00B27BCB" w:rsidP="00B27BCB">
      <w:r w:rsidRPr="00C317D5">
        <w:t>Este Nomenclátor contiene la información notificada a la UIT en relación con las estaciones de barco, costeras y de aeronaves de búsqueda y salvamento (SAR), las estaciones a bordo de aeronaves, los códigos de identificación de la autoridad encargada de la contabilidad (CCA) y la información de contacto de las administraciones notificantes.</w:t>
      </w:r>
    </w:p>
    <w:p w14:paraId="6D226EBE" w14:textId="30F460F5" w:rsidR="00B27BCB" w:rsidRPr="00C317D5" w:rsidRDefault="00B27BCB" w:rsidP="00B27BCB">
      <w:r w:rsidRPr="00C317D5">
        <w:t>El Nomenclátor de las estaciones de barco y de las asignaciones a identidades del servicio móvil marítimo (Lista</w:t>
      </w:r>
      <w:r w:rsidR="00BB3BDE" w:rsidRPr="00C317D5">
        <w:t> </w:t>
      </w:r>
      <w:r w:rsidRPr="00C317D5">
        <w:t>V) se publica con una periodicidad anual, en formato CD ROM. En abril de 202</w:t>
      </w:r>
      <w:r w:rsidR="00F40098" w:rsidRPr="00C317D5">
        <w:t>2</w:t>
      </w:r>
      <w:r w:rsidRPr="00C317D5">
        <w:t xml:space="preserve"> se publicó una edición de la Lista</w:t>
      </w:r>
      <w:r w:rsidR="00BB3BDE" w:rsidRPr="00C317D5">
        <w:t> </w:t>
      </w:r>
      <w:r w:rsidRPr="00C317D5">
        <w:t>V.</w:t>
      </w:r>
    </w:p>
    <w:p w14:paraId="5CFF69AE" w14:textId="77777777" w:rsidR="00B27BCB" w:rsidRPr="00C317D5" w:rsidRDefault="00B27BCB" w:rsidP="00B27BCB">
      <w:r w:rsidRPr="00C317D5">
        <w:t>La información relativa a esta lista también puede consultarse a través del sistema de información en línea MARS. Cada tres meses, se publica en la web una recopilación de todos los cambios notificados a la UIT.</w:t>
      </w:r>
    </w:p>
    <w:p w14:paraId="4D861F63" w14:textId="77777777" w:rsidR="00B27BCB" w:rsidRPr="00C317D5" w:rsidRDefault="00B27BCB" w:rsidP="00B27BCB">
      <w:pPr>
        <w:pStyle w:val="Heading4"/>
      </w:pPr>
      <w:r w:rsidRPr="00C317D5">
        <w:t>8.1.2.4</w:t>
      </w:r>
      <w:r w:rsidRPr="00C317D5">
        <w:tab/>
        <w:t>Nomenclátor de las estaciones de comprobación técnica internacional de las emisiones (Lista VIII)</w:t>
      </w:r>
    </w:p>
    <w:p w14:paraId="2D6EF760" w14:textId="77777777" w:rsidR="00B27BCB" w:rsidRPr="00C317D5" w:rsidRDefault="00B27BCB" w:rsidP="00B27BCB">
      <w:r w:rsidRPr="00C317D5">
        <w:t>El Nomenclátor de las estaciones de comprobación técnica internacional de las emisiones (Lista VIII) contiene las direcciones y otros datos pertinentes de las oficinas centralizadoras, incluida información detallada sobre las estaciones de comprobación técnica que miden emisiones terrenales y espaciales. Se ha puesto a disposición un servicio de descarga directa, gratuito y exclusivo con acceso TIES.</w:t>
      </w:r>
    </w:p>
    <w:p w14:paraId="1514F29F" w14:textId="05C81B7A" w:rsidR="00B27BCB" w:rsidRPr="00C317D5" w:rsidRDefault="00B27BCB" w:rsidP="00B27BCB">
      <w:r w:rsidRPr="00C317D5">
        <w:t>En diciembre de 20</w:t>
      </w:r>
      <w:r w:rsidR="00F40098" w:rsidRPr="00C317D5">
        <w:t>22</w:t>
      </w:r>
      <w:r w:rsidRPr="00C317D5">
        <w:t xml:space="preserve"> se publicó una edición de esta Lista.</w:t>
      </w:r>
    </w:p>
    <w:p w14:paraId="5FAC81F2" w14:textId="77777777" w:rsidR="00B27BCB" w:rsidRPr="00C317D5" w:rsidRDefault="00B27BCB" w:rsidP="00B27BCB">
      <w:pPr>
        <w:pStyle w:val="Heading4"/>
      </w:pPr>
      <w:r w:rsidRPr="00C317D5">
        <w:t>8.1.2.5</w:t>
      </w:r>
      <w:r w:rsidRPr="00C317D5">
        <w:tab/>
        <w:t>Lista de documentos de servicio publicados</w:t>
      </w:r>
    </w:p>
    <w:p w14:paraId="780205FD" w14:textId="72DD2A54" w:rsidR="00B27BCB" w:rsidRPr="00C317D5" w:rsidRDefault="00B27BCB" w:rsidP="00B27BCB">
      <w:r w:rsidRPr="00C317D5">
        <w:t>En el Cuadro 8.1.2.5-1 se resumen las diferentes publicaciones del periodo 201</w:t>
      </w:r>
      <w:r w:rsidR="00F40098" w:rsidRPr="00C317D5">
        <w:t>9</w:t>
      </w:r>
      <w:r w:rsidRPr="00C317D5">
        <w:t>-202</w:t>
      </w:r>
      <w:r w:rsidR="00F40098" w:rsidRPr="00C317D5">
        <w:t>2</w:t>
      </w:r>
      <w:r w:rsidR="006372EA" w:rsidRPr="00C317D5">
        <w:t>.</w:t>
      </w:r>
    </w:p>
    <w:p w14:paraId="00ACBC64" w14:textId="77777777" w:rsidR="00B27BCB" w:rsidRPr="00C317D5" w:rsidRDefault="00B27BCB" w:rsidP="00920C3D">
      <w:pPr>
        <w:pStyle w:val="TableNoBR"/>
      </w:pPr>
      <w:r w:rsidRPr="00C317D5">
        <w:lastRenderedPageBreak/>
        <w:t>Cuadro 8.1.2.5-1</w:t>
      </w:r>
    </w:p>
    <w:tbl>
      <w:tblPr>
        <w:tblStyle w:val="TableGrid"/>
        <w:tblW w:w="9864" w:type="dxa"/>
        <w:jc w:val="center"/>
        <w:tblLayout w:type="fixed"/>
        <w:tblLook w:val="04A0" w:firstRow="1" w:lastRow="0" w:firstColumn="1" w:lastColumn="0" w:noHBand="0" w:noVBand="1"/>
      </w:tblPr>
      <w:tblGrid>
        <w:gridCol w:w="3969"/>
        <w:gridCol w:w="1417"/>
        <w:gridCol w:w="1644"/>
        <w:gridCol w:w="1417"/>
        <w:gridCol w:w="1417"/>
      </w:tblGrid>
      <w:tr w:rsidR="00B27BCB" w:rsidRPr="00C317D5" w14:paraId="6225844D" w14:textId="77777777" w:rsidTr="00E54A53">
        <w:trPr>
          <w:jc w:val="center"/>
        </w:trPr>
        <w:tc>
          <w:tcPr>
            <w:tcW w:w="3969" w:type="dxa"/>
          </w:tcPr>
          <w:p w14:paraId="61E7E7C9" w14:textId="77777777" w:rsidR="00B27BCB" w:rsidRPr="00C317D5" w:rsidRDefault="00B27BCB" w:rsidP="00CF5394">
            <w:pPr>
              <w:pStyle w:val="Tablehead"/>
            </w:pPr>
          </w:p>
        </w:tc>
        <w:tc>
          <w:tcPr>
            <w:tcW w:w="1417" w:type="dxa"/>
          </w:tcPr>
          <w:p w14:paraId="18B3EA28" w14:textId="13928496" w:rsidR="00B27BCB" w:rsidRPr="00C317D5" w:rsidRDefault="00F40098" w:rsidP="00CF5394">
            <w:pPr>
              <w:pStyle w:val="Tablehead"/>
            </w:pPr>
            <w:r w:rsidRPr="00C317D5">
              <w:t>2019</w:t>
            </w:r>
          </w:p>
        </w:tc>
        <w:tc>
          <w:tcPr>
            <w:tcW w:w="1644" w:type="dxa"/>
          </w:tcPr>
          <w:p w14:paraId="492AB5BB" w14:textId="0A61CF5E" w:rsidR="00B27BCB" w:rsidRPr="00C317D5" w:rsidRDefault="00F40098" w:rsidP="00CF5394">
            <w:pPr>
              <w:pStyle w:val="Tablehead"/>
            </w:pPr>
            <w:r w:rsidRPr="00C317D5">
              <w:t>2020</w:t>
            </w:r>
          </w:p>
        </w:tc>
        <w:tc>
          <w:tcPr>
            <w:tcW w:w="1417" w:type="dxa"/>
          </w:tcPr>
          <w:p w14:paraId="068A9F6E" w14:textId="51CA4FC6" w:rsidR="00B27BCB" w:rsidRPr="00C317D5" w:rsidRDefault="00F40098" w:rsidP="00CF5394">
            <w:pPr>
              <w:pStyle w:val="Tablehead"/>
            </w:pPr>
            <w:r w:rsidRPr="00C317D5">
              <w:t>2021</w:t>
            </w:r>
          </w:p>
        </w:tc>
        <w:tc>
          <w:tcPr>
            <w:tcW w:w="1417" w:type="dxa"/>
          </w:tcPr>
          <w:p w14:paraId="0F12DFEF" w14:textId="07E0FB7A" w:rsidR="00B27BCB" w:rsidRPr="00C317D5" w:rsidRDefault="00F40098" w:rsidP="00CF5394">
            <w:pPr>
              <w:pStyle w:val="Tablehead"/>
            </w:pPr>
            <w:r w:rsidRPr="00C317D5">
              <w:t>2022</w:t>
            </w:r>
          </w:p>
        </w:tc>
      </w:tr>
      <w:tr w:rsidR="00B27BCB" w:rsidRPr="00C317D5" w14:paraId="2B2EC897" w14:textId="77777777" w:rsidTr="00E54A53">
        <w:trPr>
          <w:jc w:val="center"/>
        </w:trPr>
        <w:tc>
          <w:tcPr>
            <w:tcW w:w="3969" w:type="dxa"/>
          </w:tcPr>
          <w:p w14:paraId="54516BD1" w14:textId="77777777" w:rsidR="00B27BCB" w:rsidRPr="00C317D5" w:rsidRDefault="00B27BCB" w:rsidP="007E2027">
            <w:pPr>
              <w:pStyle w:val="Tabletext"/>
              <w:spacing w:before="30" w:after="30"/>
              <w:rPr>
                <w:sz w:val="20"/>
              </w:rPr>
            </w:pPr>
            <w:r w:rsidRPr="00C317D5">
              <w:t>BR IFIC (Circular Internacional de Información sobre Frecuencias)</w:t>
            </w:r>
          </w:p>
        </w:tc>
        <w:tc>
          <w:tcPr>
            <w:tcW w:w="1417" w:type="dxa"/>
          </w:tcPr>
          <w:p w14:paraId="52A215B4" w14:textId="77777777" w:rsidR="00B27BCB" w:rsidRPr="00C317D5" w:rsidRDefault="00B27BCB" w:rsidP="007E2027">
            <w:pPr>
              <w:pStyle w:val="Tabletext"/>
              <w:spacing w:before="30" w:after="30"/>
              <w:jc w:val="center"/>
            </w:pPr>
            <w:r w:rsidRPr="00C317D5">
              <w:t>25</w:t>
            </w:r>
          </w:p>
        </w:tc>
        <w:tc>
          <w:tcPr>
            <w:tcW w:w="1644" w:type="dxa"/>
          </w:tcPr>
          <w:p w14:paraId="2F277FFF" w14:textId="77777777" w:rsidR="00B27BCB" w:rsidRPr="00C317D5" w:rsidRDefault="00B27BCB" w:rsidP="007E2027">
            <w:pPr>
              <w:pStyle w:val="Tabletext"/>
              <w:spacing w:before="30" w:after="30"/>
              <w:jc w:val="center"/>
            </w:pPr>
            <w:r w:rsidRPr="00C317D5">
              <w:t>25</w:t>
            </w:r>
          </w:p>
        </w:tc>
        <w:tc>
          <w:tcPr>
            <w:tcW w:w="1417" w:type="dxa"/>
          </w:tcPr>
          <w:p w14:paraId="196618CE" w14:textId="77777777" w:rsidR="00B27BCB" w:rsidRPr="00C317D5" w:rsidRDefault="00B27BCB" w:rsidP="007E2027">
            <w:pPr>
              <w:pStyle w:val="Tabletext"/>
              <w:spacing w:before="30" w:after="30"/>
              <w:jc w:val="center"/>
            </w:pPr>
            <w:r w:rsidRPr="00C317D5">
              <w:t>26</w:t>
            </w:r>
          </w:p>
        </w:tc>
        <w:tc>
          <w:tcPr>
            <w:tcW w:w="1417" w:type="dxa"/>
          </w:tcPr>
          <w:p w14:paraId="7CD24F07" w14:textId="77777777" w:rsidR="00B27BCB" w:rsidRPr="00C317D5" w:rsidRDefault="00B27BCB" w:rsidP="007E2027">
            <w:pPr>
              <w:pStyle w:val="Tabletext"/>
              <w:spacing w:before="30" w:after="30"/>
              <w:jc w:val="center"/>
            </w:pPr>
            <w:r w:rsidRPr="00C317D5">
              <w:t>25</w:t>
            </w:r>
          </w:p>
        </w:tc>
      </w:tr>
      <w:tr w:rsidR="00B27BCB" w:rsidRPr="00C317D5" w14:paraId="3560C708" w14:textId="77777777" w:rsidTr="00E54A53">
        <w:trPr>
          <w:jc w:val="center"/>
        </w:trPr>
        <w:tc>
          <w:tcPr>
            <w:tcW w:w="3969" w:type="dxa"/>
          </w:tcPr>
          <w:p w14:paraId="3CD204E0" w14:textId="77777777" w:rsidR="00B27BCB" w:rsidRPr="00C317D5" w:rsidRDefault="00B27BCB" w:rsidP="007E2027">
            <w:pPr>
              <w:pStyle w:val="Tabletext"/>
              <w:spacing w:before="30" w:after="30"/>
              <w:rPr>
                <w:sz w:val="20"/>
              </w:rPr>
            </w:pPr>
            <w:r w:rsidRPr="00C317D5">
              <w:t>Lista IV (Nomenclátor de las estaciones costeras y de las estaciones que efectúan servicios especiales)</w:t>
            </w:r>
          </w:p>
        </w:tc>
        <w:tc>
          <w:tcPr>
            <w:tcW w:w="1417" w:type="dxa"/>
          </w:tcPr>
          <w:p w14:paraId="6011CBCE" w14:textId="1E872979" w:rsidR="00B27BCB" w:rsidRPr="00C317D5" w:rsidRDefault="00F40098" w:rsidP="007E2027">
            <w:pPr>
              <w:pStyle w:val="Tabletext"/>
              <w:spacing w:before="30" w:after="30"/>
              <w:jc w:val="center"/>
            </w:pPr>
            <w:r w:rsidRPr="00C317D5">
              <w:t>Edición de</w:t>
            </w:r>
            <w:r w:rsidR="00653673" w:rsidRPr="00C317D5">
              <w:t> </w:t>
            </w:r>
            <w:r w:rsidRPr="00C317D5">
              <w:t>2019 (diciembre)</w:t>
            </w:r>
          </w:p>
        </w:tc>
        <w:tc>
          <w:tcPr>
            <w:tcW w:w="1644" w:type="dxa"/>
          </w:tcPr>
          <w:p w14:paraId="25C49426" w14:textId="54B0E5CA" w:rsidR="00B27BCB" w:rsidRPr="00C317D5" w:rsidRDefault="00B27BCB" w:rsidP="007E2027">
            <w:pPr>
              <w:pStyle w:val="Tabletext"/>
              <w:spacing w:before="30" w:after="30"/>
              <w:jc w:val="center"/>
            </w:pPr>
          </w:p>
        </w:tc>
        <w:tc>
          <w:tcPr>
            <w:tcW w:w="1417" w:type="dxa"/>
          </w:tcPr>
          <w:p w14:paraId="01744861" w14:textId="32B9C7EC" w:rsidR="00B27BCB" w:rsidRPr="00C317D5" w:rsidRDefault="00F40098" w:rsidP="007E2027">
            <w:pPr>
              <w:pStyle w:val="Tabletext"/>
              <w:spacing w:before="30" w:after="30"/>
              <w:jc w:val="center"/>
            </w:pPr>
            <w:r w:rsidRPr="00C317D5">
              <w:t>Edición de</w:t>
            </w:r>
            <w:r w:rsidR="00366C2A" w:rsidRPr="00C317D5">
              <w:t> </w:t>
            </w:r>
            <w:r w:rsidRPr="00C317D5">
              <w:t>2021 (diciembre)</w:t>
            </w:r>
          </w:p>
        </w:tc>
        <w:tc>
          <w:tcPr>
            <w:tcW w:w="1417" w:type="dxa"/>
          </w:tcPr>
          <w:p w14:paraId="65096B28" w14:textId="7176125C" w:rsidR="00B27BCB" w:rsidRPr="00C317D5" w:rsidRDefault="00B27BCB" w:rsidP="007E2027">
            <w:pPr>
              <w:pStyle w:val="Tabletext"/>
              <w:spacing w:before="30" w:after="30"/>
              <w:jc w:val="center"/>
            </w:pPr>
          </w:p>
        </w:tc>
      </w:tr>
      <w:tr w:rsidR="00B27BCB" w:rsidRPr="00C317D5" w14:paraId="30ABFD7E" w14:textId="77777777" w:rsidTr="00E54A53">
        <w:trPr>
          <w:jc w:val="center"/>
        </w:trPr>
        <w:tc>
          <w:tcPr>
            <w:tcW w:w="3969" w:type="dxa"/>
          </w:tcPr>
          <w:p w14:paraId="5CC0599E" w14:textId="083F9FE6" w:rsidR="00B27BCB" w:rsidRPr="00C317D5" w:rsidRDefault="00B27BCB" w:rsidP="007E2027">
            <w:pPr>
              <w:pStyle w:val="Tabletext"/>
              <w:spacing w:before="30" w:after="30"/>
              <w:rPr>
                <w:sz w:val="20"/>
              </w:rPr>
            </w:pPr>
            <w:r w:rsidRPr="00C317D5">
              <w:t>Lista V (Nomenclátor de las estaciones de barco y de las asignaciones a identidades del</w:t>
            </w:r>
            <w:r w:rsidR="007903AC" w:rsidRPr="00C317D5">
              <w:t> </w:t>
            </w:r>
            <w:r w:rsidRPr="00C317D5">
              <w:t>servicio</w:t>
            </w:r>
            <w:r w:rsidR="007903AC" w:rsidRPr="00C317D5">
              <w:t xml:space="preserve"> </w:t>
            </w:r>
            <w:r w:rsidRPr="00C317D5">
              <w:t>móvil marítimo)</w:t>
            </w:r>
          </w:p>
        </w:tc>
        <w:tc>
          <w:tcPr>
            <w:tcW w:w="1417" w:type="dxa"/>
          </w:tcPr>
          <w:p w14:paraId="5A3AE8D3" w14:textId="1B07A638" w:rsidR="00B27BCB" w:rsidRPr="00C317D5" w:rsidRDefault="00B27BCB" w:rsidP="007E2027">
            <w:pPr>
              <w:pStyle w:val="Tabletext"/>
              <w:spacing w:before="30" w:after="30"/>
              <w:jc w:val="center"/>
            </w:pPr>
            <w:r w:rsidRPr="00C317D5">
              <w:t>Edición de 201</w:t>
            </w:r>
            <w:r w:rsidR="00F40098" w:rsidRPr="00C317D5">
              <w:t>9</w:t>
            </w:r>
            <w:r w:rsidRPr="00C317D5">
              <w:br/>
              <w:t>(abril)</w:t>
            </w:r>
          </w:p>
        </w:tc>
        <w:tc>
          <w:tcPr>
            <w:tcW w:w="1644" w:type="dxa"/>
          </w:tcPr>
          <w:p w14:paraId="2102CC1C" w14:textId="12DE9DD0" w:rsidR="00B27BCB" w:rsidRPr="00C317D5" w:rsidRDefault="00B27BCB" w:rsidP="007E2027">
            <w:pPr>
              <w:pStyle w:val="Tabletext"/>
              <w:spacing w:before="30" w:after="30"/>
              <w:jc w:val="center"/>
            </w:pPr>
            <w:r w:rsidRPr="00C317D5">
              <w:t>Edición de 20</w:t>
            </w:r>
            <w:r w:rsidR="00F40098" w:rsidRPr="00C317D5">
              <w:t>20</w:t>
            </w:r>
            <w:r w:rsidRPr="00C317D5">
              <w:br/>
              <w:t>(abril)</w:t>
            </w:r>
          </w:p>
        </w:tc>
        <w:tc>
          <w:tcPr>
            <w:tcW w:w="1417" w:type="dxa"/>
          </w:tcPr>
          <w:p w14:paraId="035CFF67" w14:textId="49D6444C" w:rsidR="00B27BCB" w:rsidRPr="00C317D5" w:rsidRDefault="00B27BCB" w:rsidP="007E2027">
            <w:pPr>
              <w:pStyle w:val="Tabletext"/>
              <w:spacing w:before="30" w:after="30"/>
              <w:jc w:val="center"/>
            </w:pPr>
            <w:r w:rsidRPr="00C317D5">
              <w:t>Edición de 202</w:t>
            </w:r>
            <w:r w:rsidR="00F40098" w:rsidRPr="00C317D5">
              <w:t>1</w:t>
            </w:r>
            <w:r w:rsidRPr="00C317D5">
              <w:br/>
              <w:t>(abril)</w:t>
            </w:r>
          </w:p>
        </w:tc>
        <w:tc>
          <w:tcPr>
            <w:tcW w:w="1417" w:type="dxa"/>
          </w:tcPr>
          <w:p w14:paraId="21BED2DC" w14:textId="7218FE06" w:rsidR="00B27BCB" w:rsidRPr="00C317D5" w:rsidRDefault="00B27BCB" w:rsidP="007E2027">
            <w:pPr>
              <w:pStyle w:val="Tabletext"/>
              <w:spacing w:before="30" w:after="30"/>
              <w:jc w:val="center"/>
            </w:pPr>
            <w:r w:rsidRPr="00C317D5">
              <w:t>Edición de 202</w:t>
            </w:r>
            <w:r w:rsidR="00F40098" w:rsidRPr="00C317D5">
              <w:t>2</w:t>
            </w:r>
            <w:r w:rsidRPr="00C317D5">
              <w:br/>
              <w:t>(abril)</w:t>
            </w:r>
          </w:p>
        </w:tc>
      </w:tr>
      <w:tr w:rsidR="00B27BCB" w:rsidRPr="00C317D5" w14:paraId="56BFEFE3" w14:textId="77777777" w:rsidTr="00E54A53">
        <w:trPr>
          <w:jc w:val="center"/>
        </w:trPr>
        <w:tc>
          <w:tcPr>
            <w:tcW w:w="3969" w:type="dxa"/>
          </w:tcPr>
          <w:p w14:paraId="51288DC2" w14:textId="7626D40A" w:rsidR="00B27BCB" w:rsidRPr="00C317D5" w:rsidRDefault="00B27BCB" w:rsidP="007E2027">
            <w:pPr>
              <w:pStyle w:val="Tabletext"/>
              <w:spacing w:before="30" w:after="30"/>
              <w:rPr>
                <w:sz w:val="20"/>
              </w:rPr>
            </w:pPr>
            <w:r w:rsidRPr="00C317D5">
              <w:t>Lista VIII (Nomenclátor de las estaciones de</w:t>
            </w:r>
            <w:r w:rsidR="007903AC" w:rsidRPr="00C317D5">
              <w:t> </w:t>
            </w:r>
            <w:r w:rsidRPr="00C317D5">
              <w:t>comprobación técnica internacional de las</w:t>
            </w:r>
            <w:r w:rsidR="007903AC" w:rsidRPr="00C317D5">
              <w:t> </w:t>
            </w:r>
            <w:r w:rsidRPr="00C317D5">
              <w:t>emisiones)</w:t>
            </w:r>
          </w:p>
        </w:tc>
        <w:tc>
          <w:tcPr>
            <w:tcW w:w="1417" w:type="dxa"/>
          </w:tcPr>
          <w:p w14:paraId="1BD33427" w14:textId="63ABCAF7" w:rsidR="00B27BCB" w:rsidRPr="00C317D5" w:rsidRDefault="00F40098" w:rsidP="007E2027">
            <w:pPr>
              <w:pStyle w:val="Tabletext"/>
              <w:spacing w:before="30" w:after="30"/>
              <w:jc w:val="center"/>
            </w:pPr>
            <w:r w:rsidRPr="00C317D5">
              <w:t>Edición de</w:t>
            </w:r>
            <w:r w:rsidR="00653673" w:rsidRPr="00C317D5">
              <w:t> </w:t>
            </w:r>
            <w:r w:rsidRPr="00C317D5">
              <w:t>2019 (diciembre)</w:t>
            </w:r>
          </w:p>
        </w:tc>
        <w:tc>
          <w:tcPr>
            <w:tcW w:w="1644" w:type="dxa"/>
          </w:tcPr>
          <w:p w14:paraId="10848C7F" w14:textId="106DC577" w:rsidR="00B27BCB" w:rsidRPr="00C317D5" w:rsidRDefault="00B27BCB" w:rsidP="007E2027">
            <w:pPr>
              <w:pStyle w:val="Tabletext"/>
              <w:spacing w:before="30" w:after="30"/>
              <w:jc w:val="center"/>
            </w:pPr>
          </w:p>
        </w:tc>
        <w:tc>
          <w:tcPr>
            <w:tcW w:w="1417" w:type="dxa"/>
          </w:tcPr>
          <w:p w14:paraId="480E8CD3" w14:textId="77777777" w:rsidR="00B27BCB" w:rsidRPr="00C317D5" w:rsidRDefault="00B27BCB" w:rsidP="007E2027">
            <w:pPr>
              <w:pStyle w:val="Tabletext"/>
              <w:spacing w:before="30" w:after="30"/>
              <w:jc w:val="center"/>
            </w:pPr>
          </w:p>
        </w:tc>
        <w:tc>
          <w:tcPr>
            <w:tcW w:w="1417" w:type="dxa"/>
          </w:tcPr>
          <w:p w14:paraId="713D4654" w14:textId="235EF08D" w:rsidR="00B27BCB" w:rsidRPr="00C317D5" w:rsidRDefault="00F40098" w:rsidP="007E2027">
            <w:pPr>
              <w:pStyle w:val="Tabletext"/>
              <w:spacing w:before="30" w:after="30"/>
              <w:jc w:val="center"/>
            </w:pPr>
            <w:r w:rsidRPr="00C317D5">
              <w:t>Edición de</w:t>
            </w:r>
            <w:r w:rsidR="00653673" w:rsidRPr="00C317D5">
              <w:t> </w:t>
            </w:r>
            <w:r w:rsidRPr="00C317D5">
              <w:t>2022 (diciembre)</w:t>
            </w:r>
          </w:p>
        </w:tc>
      </w:tr>
      <w:tr w:rsidR="00B27BCB" w:rsidRPr="00C317D5" w14:paraId="5BDE962E" w14:textId="77777777" w:rsidTr="00E54A53">
        <w:trPr>
          <w:jc w:val="center"/>
        </w:trPr>
        <w:tc>
          <w:tcPr>
            <w:tcW w:w="3969" w:type="dxa"/>
          </w:tcPr>
          <w:p w14:paraId="1C62BC8C" w14:textId="77777777" w:rsidR="00B27BCB" w:rsidRPr="00C317D5" w:rsidRDefault="00B27BCB" w:rsidP="007E2027">
            <w:pPr>
              <w:pStyle w:val="Tabletext"/>
              <w:spacing w:before="30" w:after="30"/>
              <w:rPr>
                <w:sz w:val="20"/>
              </w:rPr>
            </w:pPr>
            <w:r w:rsidRPr="00C317D5">
              <w:t>Manual Marítimo</w:t>
            </w:r>
          </w:p>
        </w:tc>
        <w:tc>
          <w:tcPr>
            <w:tcW w:w="1417" w:type="dxa"/>
          </w:tcPr>
          <w:p w14:paraId="12E7FB9D" w14:textId="77777777" w:rsidR="00B27BCB" w:rsidRPr="00C317D5" w:rsidRDefault="00B27BCB" w:rsidP="007E2027">
            <w:pPr>
              <w:pStyle w:val="Tabletext"/>
              <w:spacing w:before="30" w:after="30"/>
              <w:jc w:val="center"/>
            </w:pPr>
          </w:p>
        </w:tc>
        <w:tc>
          <w:tcPr>
            <w:tcW w:w="1644" w:type="dxa"/>
          </w:tcPr>
          <w:p w14:paraId="68AC64B7" w14:textId="41C547F6" w:rsidR="00B27BCB" w:rsidRPr="00C317D5" w:rsidRDefault="00F40098" w:rsidP="007E2027">
            <w:pPr>
              <w:pStyle w:val="Tabletext"/>
              <w:spacing w:before="30" w:after="30"/>
              <w:jc w:val="center"/>
            </w:pPr>
            <w:r w:rsidRPr="00C317D5">
              <w:t>Edición de</w:t>
            </w:r>
            <w:r w:rsidR="00653673" w:rsidRPr="00C317D5">
              <w:t> </w:t>
            </w:r>
            <w:r w:rsidRPr="00C317D5">
              <w:t>2020 (noviembre)</w:t>
            </w:r>
          </w:p>
        </w:tc>
        <w:tc>
          <w:tcPr>
            <w:tcW w:w="1417" w:type="dxa"/>
          </w:tcPr>
          <w:p w14:paraId="38A0A08A" w14:textId="37D62D14" w:rsidR="00B27BCB" w:rsidRPr="00C317D5" w:rsidRDefault="00B27BCB" w:rsidP="007E2027">
            <w:pPr>
              <w:pStyle w:val="Tabletext"/>
              <w:spacing w:before="30" w:after="30"/>
              <w:jc w:val="center"/>
            </w:pPr>
          </w:p>
        </w:tc>
        <w:tc>
          <w:tcPr>
            <w:tcW w:w="1417" w:type="dxa"/>
          </w:tcPr>
          <w:p w14:paraId="053BA2BB" w14:textId="77777777" w:rsidR="00B27BCB" w:rsidRPr="00C317D5" w:rsidRDefault="00B27BCB" w:rsidP="007E2027">
            <w:pPr>
              <w:pStyle w:val="Tabletext"/>
              <w:spacing w:before="30" w:after="30"/>
              <w:jc w:val="center"/>
            </w:pPr>
          </w:p>
        </w:tc>
      </w:tr>
    </w:tbl>
    <w:p w14:paraId="05345009" w14:textId="77777777" w:rsidR="00B27BCB" w:rsidRPr="00C317D5" w:rsidRDefault="00B27BCB" w:rsidP="00B27BCB">
      <w:pPr>
        <w:pStyle w:val="Heading3"/>
      </w:pPr>
      <w:r w:rsidRPr="00C317D5">
        <w:t>8.1.3</w:t>
      </w:r>
      <w:r w:rsidRPr="00C317D5">
        <w:tab/>
        <w:t>Publicaciones de las Comisiones de Estudio</w:t>
      </w:r>
    </w:p>
    <w:p w14:paraId="42EF1D45" w14:textId="65C294AA" w:rsidR="00B27BCB" w:rsidRPr="00C317D5" w:rsidRDefault="00B27BCB" w:rsidP="00B27BCB">
      <w:bookmarkStart w:id="60" w:name="lt_pId607"/>
      <w:r w:rsidRPr="00C317D5">
        <w:t>Desde la reunión de 202</w:t>
      </w:r>
      <w:r w:rsidR="00AF6240" w:rsidRPr="00C317D5">
        <w:t>2</w:t>
      </w:r>
      <w:r w:rsidRPr="00C317D5">
        <w:t xml:space="preserve"> del GAR, las publicaciones de las Comisiones de Estudio del UIT-R de la UIT siguieron elaborándose de conformidad con la Resolución UIT-R 1-8.</w:t>
      </w:r>
      <w:bookmarkEnd w:id="60"/>
    </w:p>
    <w:p w14:paraId="6A42BC27" w14:textId="0C03B903" w:rsidR="00B27BCB" w:rsidRPr="00C317D5" w:rsidRDefault="00B27BCB" w:rsidP="00B27BCB">
      <w:bookmarkStart w:id="61" w:name="_Hlk99056059"/>
      <w:r w:rsidRPr="00C317D5">
        <w:t>El Addéndum</w:t>
      </w:r>
      <w:r w:rsidR="005F5A34" w:rsidRPr="00C317D5">
        <w:t> </w:t>
      </w:r>
      <w:r w:rsidRPr="00C317D5">
        <w:t>1 al presente documento contiene la lista completa de las Cuestiones UIT-R, las Recomendaciones UIT-R y los Informes UIT-R aprobados desde la reunión de 202</w:t>
      </w:r>
      <w:r w:rsidR="00AF6240" w:rsidRPr="00C317D5">
        <w:t>2</w:t>
      </w:r>
      <w:r w:rsidRPr="00C317D5">
        <w:t xml:space="preserve"> del GAR.</w:t>
      </w:r>
    </w:p>
    <w:bookmarkEnd w:id="61"/>
    <w:p w14:paraId="64153B1C" w14:textId="77777777" w:rsidR="00B27BCB" w:rsidRPr="00C317D5" w:rsidRDefault="00B27BCB" w:rsidP="00B27BCB">
      <w:pPr>
        <w:pStyle w:val="Heading3"/>
      </w:pPr>
      <w:r w:rsidRPr="00C317D5">
        <w:t>8.1.4</w:t>
      </w:r>
      <w:r w:rsidRPr="00C317D5">
        <w:tab/>
        <w:t>Descargas de publicaciones del UIT-R</w:t>
      </w:r>
    </w:p>
    <w:p w14:paraId="1D898162" w14:textId="77777777" w:rsidR="00B27BCB" w:rsidRPr="00C317D5" w:rsidRDefault="00B27BCB" w:rsidP="00A928FF">
      <w:pPr>
        <w:pStyle w:val="Heading4"/>
      </w:pPr>
      <w:r w:rsidRPr="00C317D5">
        <w:t>8.1.4.1</w:t>
      </w:r>
      <w:r w:rsidRPr="00C317D5">
        <w:tab/>
        <w:t>Reglamento de Radiocomunicaciones y Reglas de Procedimiento</w:t>
      </w:r>
    </w:p>
    <w:p w14:paraId="3F3548C5" w14:textId="70150877" w:rsidR="00B27BCB" w:rsidRPr="00C317D5" w:rsidRDefault="00B27BCB" w:rsidP="00653673">
      <w:r w:rsidRPr="00C317D5">
        <w:t>En relación con estos documentos reglamentarios, en el Cuadro</w:t>
      </w:r>
      <w:r w:rsidR="00366C2A" w:rsidRPr="00C317D5">
        <w:t> </w:t>
      </w:r>
      <w:r w:rsidRPr="00C317D5">
        <w:t>8.1.4.1-1 se muestra el número de ejemplares distribuidos de la edición de 2016 del RR y de la edición de 2020 del RR. Conforme a la solicitud de la reunión del GAR de 2021, las versiones en formatos pdf y Word de la edición</w:t>
      </w:r>
      <w:r w:rsidR="007903AC" w:rsidRPr="00C317D5">
        <w:t> </w:t>
      </w:r>
      <w:r w:rsidRPr="00C317D5">
        <w:t>RR</w:t>
      </w:r>
      <w:r w:rsidR="007903AC" w:rsidRPr="00C317D5">
        <w:noBreakHyphen/>
      </w:r>
      <w:r w:rsidRPr="00C317D5">
        <w:t xml:space="preserve">2020 pueden descargarse gratuitamente desde el sitio web de la UIT </w:t>
      </w:r>
      <w:hyperlink r:id="rId23" w:history="1">
        <w:r w:rsidRPr="00C317D5">
          <w:rPr>
            <w:rStyle w:val="Hyperlink"/>
          </w:rPr>
          <w:t>aquí</w:t>
        </w:r>
      </w:hyperlink>
      <w:r w:rsidRPr="00C317D5">
        <w:t xml:space="preserve">, y las versiones en formato Word también están disponibles </w:t>
      </w:r>
      <w:hyperlink r:id="rId24" w:history="1">
        <w:r w:rsidRPr="00C317D5">
          <w:rPr>
            <w:rStyle w:val="Hyperlink"/>
          </w:rPr>
          <w:t>aquí</w:t>
        </w:r>
      </w:hyperlink>
      <w:r w:rsidRPr="00C317D5">
        <w:t>. El Cuadro 8.1.4.1</w:t>
      </w:r>
      <w:r w:rsidRPr="00C317D5">
        <w:noBreakHyphen/>
        <w:t>2 muestra el número total de descargas durante el mismo periodo de las Reglas de Procedimiento. La edición de 2021 de las Reglas de Procedimiento se publicó en junio de 2021, teniendo en cuenta las decisiones de la CMR</w:t>
      </w:r>
      <w:r w:rsidR="003900BF" w:rsidRPr="00C317D5">
        <w:noBreakHyphen/>
      </w:r>
      <w:r w:rsidRPr="00C317D5">
        <w:t xml:space="preserve">19. La edición ha sido posteriormente actualizada </w:t>
      </w:r>
      <w:r w:rsidR="00AF6240" w:rsidRPr="00C317D5">
        <w:t xml:space="preserve">dos veces </w:t>
      </w:r>
      <w:r w:rsidRPr="00C317D5">
        <w:t>como resultado de las Reglas de Procedimiento nuevas y revisadas aprobadas por la Junta del Reglamento de Radiocomunicaciones.</w:t>
      </w:r>
    </w:p>
    <w:p w14:paraId="7A3581EF" w14:textId="77777777" w:rsidR="00B27BCB" w:rsidRPr="00C317D5" w:rsidRDefault="00B27BCB" w:rsidP="00B27BCB">
      <w:pPr>
        <w:pStyle w:val="TableNoBR"/>
      </w:pPr>
      <w:bookmarkStart w:id="62" w:name="lt_pId765"/>
      <w:r w:rsidRPr="00C317D5">
        <w:t>CUADRO 8.1.4.1-1</w:t>
      </w:r>
      <w:bookmarkEnd w:id="62"/>
    </w:p>
    <w:p w14:paraId="71C69BE4" w14:textId="77777777" w:rsidR="00B27BCB" w:rsidRPr="00C317D5" w:rsidRDefault="00B27BCB" w:rsidP="00B27BCB">
      <w:pPr>
        <w:pStyle w:val="TabletitleBR"/>
      </w:pPr>
      <w:r w:rsidRPr="00C317D5">
        <w:t>Número de ejemplares distribuidos del Reglamento de Radiocomunicaciones</w:t>
      </w:r>
    </w:p>
    <w:tbl>
      <w:tblPr>
        <w:tblStyle w:val="GridTable5Dark-Accent12"/>
        <w:tblW w:w="0" w:type="auto"/>
        <w:jc w:val="center"/>
        <w:tblLayout w:type="fixed"/>
        <w:tblLook w:val="04A0" w:firstRow="1" w:lastRow="0" w:firstColumn="1" w:lastColumn="0" w:noHBand="0" w:noVBand="1"/>
      </w:tblPr>
      <w:tblGrid>
        <w:gridCol w:w="2835"/>
        <w:gridCol w:w="1417"/>
        <w:gridCol w:w="2268"/>
        <w:gridCol w:w="1417"/>
        <w:gridCol w:w="1417"/>
      </w:tblGrid>
      <w:tr w:rsidR="00B27BCB" w:rsidRPr="00C317D5" w14:paraId="2BF87C08" w14:textId="77777777" w:rsidTr="003900BF">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35" w:type="dxa"/>
            <w:tcBorders>
              <w:bottom w:val="single" w:sz="8" w:space="0" w:color="FFFFFF" w:themeColor="background1"/>
            </w:tcBorders>
            <w:vAlign w:val="center"/>
            <w:hideMark/>
          </w:tcPr>
          <w:p w14:paraId="6B577396" w14:textId="77777777" w:rsidR="00B27BCB" w:rsidRPr="00C317D5" w:rsidRDefault="00B27BCB" w:rsidP="00653673">
            <w:pPr>
              <w:pStyle w:val="Tablehead"/>
              <w:rPr>
                <w:b/>
                <w:bCs w:val="0"/>
              </w:rPr>
            </w:pPr>
            <w:r w:rsidRPr="00C317D5">
              <w:rPr>
                <w:b/>
                <w:bCs w:val="0"/>
              </w:rPr>
              <w:t>RR-16</w:t>
            </w:r>
          </w:p>
        </w:tc>
        <w:tc>
          <w:tcPr>
            <w:tcW w:w="1417" w:type="dxa"/>
            <w:tcBorders>
              <w:bottom w:val="single" w:sz="8" w:space="0" w:color="FFFFFF" w:themeColor="background1"/>
            </w:tcBorders>
            <w:vAlign w:val="center"/>
            <w:hideMark/>
          </w:tcPr>
          <w:p w14:paraId="14FA21C7" w14:textId="6EAE0975" w:rsidR="00B27BCB" w:rsidRPr="00C317D5" w:rsidRDefault="00AF6240" w:rsidP="00653673">
            <w:pPr>
              <w:pStyle w:val="Tablehead"/>
              <w:cnfStyle w:val="100000000000" w:firstRow="1" w:lastRow="0" w:firstColumn="0" w:lastColumn="0" w:oddVBand="0" w:evenVBand="0" w:oddHBand="0" w:evenHBand="0" w:firstRowFirstColumn="0" w:firstRowLastColumn="0" w:lastRowFirstColumn="0" w:lastRowLastColumn="0"/>
              <w:rPr>
                <w:b/>
                <w:bCs w:val="0"/>
              </w:rPr>
            </w:pPr>
            <w:r w:rsidRPr="00C317D5">
              <w:rPr>
                <w:b/>
                <w:bCs w:val="0"/>
              </w:rPr>
              <w:t>2019</w:t>
            </w:r>
          </w:p>
        </w:tc>
        <w:tc>
          <w:tcPr>
            <w:tcW w:w="2268" w:type="dxa"/>
            <w:tcBorders>
              <w:bottom w:val="single" w:sz="8" w:space="0" w:color="FFFFFF" w:themeColor="background1"/>
            </w:tcBorders>
            <w:vAlign w:val="center"/>
            <w:hideMark/>
          </w:tcPr>
          <w:p w14:paraId="5AEE9281" w14:textId="2D1CB5B4" w:rsidR="00B27BCB" w:rsidRPr="00C317D5" w:rsidRDefault="00AF6240" w:rsidP="00653673">
            <w:pPr>
              <w:pStyle w:val="Tablehead"/>
              <w:cnfStyle w:val="100000000000" w:firstRow="1" w:lastRow="0" w:firstColumn="0" w:lastColumn="0" w:oddVBand="0" w:evenVBand="0" w:oddHBand="0" w:evenHBand="0" w:firstRowFirstColumn="0" w:firstRowLastColumn="0" w:lastRowFirstColumn="0" w:lastRowLastColumn="0"/>
              <w:rPr>
                <w:b/>
                <w:bCs w:val="0"/>
              </w:rPr>
            </w:pPr>
            <w:r w:rsidRPr="00C317D5">
              <w:rPr>
                <w:b/>
                <w:bCs w:val="0"/>
              </w:rPr>
              <w:t>2020</w:t>
            </w:r>
            <w:r w:rsidR="00653673" w:rsidRPr="00C317D5">
              <w:rPr>
                <w:b/>
                <w:bCs w:val="0"/>
              </w:rPr>
              <w:br/>
            </w:r>
            <w:r w:rsidRPr="00C317D5">
              <w:rPr>
                <w:b/>
                <w:bCs w:val="0"/>
              </w:rPr>
              <w:t>(Ed. 2016 y Ed</w:t>
            </w:r>
            <w:r w:rsidR="00653673" w:rsidRPr="00C317D5">
              <w:rPr>
                <w:b/>
                <w:bCs w:val="0"/>
              </w:rPr>
              <w:t>. </w:t>
            </w:r>
            <w:r w:rsidRPr="00C317D5">
              <w:rPr>
                <w:b/>
                <w:bCs w:val="0"/>
              </w:rPr>
              <w:t>2020)</w:t>
            </w:r>
          </w:p>
        </w:tc>
        <w:tc>
          <w:tcPr>
            <w:tcW w:w="1417" w:type="dxa"/>
            <w:tcBorders>
              <w:bottom w:val="single" w:sz="8" w:space="0" w:color="FFFFFF" w:themeColor="background1"/>
            </w:tcBorders>
            <w:vAlign w:val="center"/>
            <w:hideMark/>
          </w:tcPr>
          <w:p w14:paraId="0D773615" w14:textId="32281226" w:rsidR="00AF6240" w:rsidRPr="00C317D5" w:rsidRDefault="00AF6240" w:rsidP="00653673">
            <w:pPr>
              <w:pStyle w:val="Tablehead"/>
              <w:cnfStyle w:val="100000000000" w:firstRow="1" w:lastRow="0" w:firstColumn="0" w:lastColumn="0" w:oddVBand="0" w:evenVBand="0" w:oddHBand="0" w:evenHBand="0" w:firstRowFirstColumn="0" w:firstRowLastColumn="0" w:lastRowFirstColumn="0" w:lastRowLastColumn="0"/>
              <w:rPr>
                <w:b/>
                <w:bCs w:val="0"/>
              </w:rPr>
            </w:pPr>
            <w:r w:rsidRPr="00C317D5">
              <w:rPr>
                <w:b/>
                <w:bCs w:val="0"/>
              </w:rPr>
              <w:t>2021</w:t>
            </w:r>
            <w:r w:rsidR="00653673" w:rsidRPr="00C317D5">
              <w:rPr>
                <w:b/>
                <w:bCs w:val="0"/>
              </w:rPr>
              <w:br/>
            </w:r>
            <w:r w:rsidRPr="00C317D5">
              <w:rPr>
                <w:b/>
                <w:bCs w:val="0"/>
              </w:rPr>
              <w:t>RR-20</w:t>
            </w:r>
          </w:p>
        </w:tc>
        <w:tc>
          <w:tcPr>
            <w:tcW w:w="1417" w:type="dxa"/>
            <w:tcBorders>
              <w:bottom w:val="single" w:sz="8" w:space="0" w:color="FFFFFF" w:themeColor="background1"/>
            </w:tcBorders>
            <w:vAlign w:val="center"/>
          </w:tcPr>
          <w:p w14:paraId="31628797" w14:textId="1316B137" w:rsidR="00AF6240" w:rsidRPr="00C317D5" w:rsidRDefault="00AF6240" w:rsidP="00653673">
            <w:pPr>
              <w:pStyle w:val="Tablehead"/>
              <w:cnfStyle w:val="100000000000" w:firstRow="1" w:lastRow="0" w:firstColumn="0" w:lastColumn="0" w:oddVBand="0" w:evenVBand="0" w:oddHBand="0" w:evenHBand="0" w:firstRowFirstColumn="0" w:firstRowLastColumn="0" w:lastRowFirstColumn="0" w:lastRowLastColumn="0"/>
              <w:rPr>
                <w:b/>
                <w:bCs w:val="0"/>
              </w:rPr>
            </w:pPr>
            <w:r w:rsidRPr="00C317D5">
              <w:rPr>
                <w:b/>
                <w:bCs w:val="0"/>
                <w:color w:val="FFFFFF"/>
                <w:szCs w:val="22"/>
              </w:rPr>
              <w:t>2022</w:t>
            </w:r>
            <w:r w:rsidR="00653673" w:rsidRPr="00C317D5">
              <w:rPr>
                <w:b/>
                <w:bCs w:val="0"/>
                <w:color w:val="FFFFFF"/>
                <w:szCs w:val="22"/>
              </w:rPr>
              <w:br/>
            </w:r>
            <w:r w:rsidRPr="00C317D5">
              <w:rPr>
                <w:b/>
                <w:bCs w:val="0"/>
              </w:rPr>
              <w:t>RR-20</w:t>
            </w:r>
          </w:p>
        </w:tc>
      </w:tr>
      <w:tr w:rsidR="00AF6240" w:rsidRPr="00C317D5" w14:paraId="1A044CBF" w14:textId="77777777" w:rsidTr="003900B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6BB0004" w14:textId="77777777" w:rsidR="00AF6240" w:rsidRPr="00C317D5" w:rsidRDefault="00AF6240" w:rsidP="00AF6240">
            <w:pPr>
              <w:pStyle w:val="Tabletext"/>
            </w:pPr>
            <w:r w:rsidRPr="00C317D5">
              <w:t>Copias impresas vendidas</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EFC93BC" w14:textId="6E8832F2"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pPr>
            <w:r w:rsidRPr="00C317D5">
              <w:rPr>
                <w:color w:val="000000" w:themeColor="text1"/>
                <w:sz w:val="20"/>
              </w:rPr>
              <w:t>182</w:t>
            </w:r>
          </w:p>
        </w:tc>
        <w:tc>
          <w:tcPr>
            <w:tcW w:w="22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ABC7DEC" w14:textId="70646052" w:rsidR="00AF6240" w:rsidRPr="00C317D5" w:rsidRDefault="003900BF" w:rsidP="00AF6240">
            <w:pPr>
              <w:pStyle w:val="Tabletext"/>
              <w:jc w:val="center"/>
              <w:cnfStyle w:val="000000100000" w:firstRow="0" w:lastRow="0" w:firstColumn="0" w:lastColumn="0" w:oddVBand="0" w:evenVBand="0" w:oddHBand="1" w:evenHBand="0" w:firstRowFirstColumn="0" w:firstRowLastColumn="0" w:lastRowFirstColumn="0" w:lastRowLastColumn="0"/>
            </w:pPr>
            <w:r w:rsidRPr="00C317D5">
              <w:rPr>
                <w:color w:val="000000" w:themeColor="text1"/>
                <w:sz w:val="20"/>
              </w:rPr>
              <w:t xml:space="preserve">Edición de </w:t>
            </w:r>
            <w:r w:rsidR="00AF6240" w:rsidRPr="00C317D5">
              <w:rPr>
                <w:color w:val="000000" w:themeColor="text1"/>
                <w:sz w:val="20"/>
              </w:rPr>
              <w:t>2016:</w:t>
            </w:r>
            <w:r w:rsidRPr="00C317D5">
              <w:rPr>
                <w:color w:val="000000" w:themeColor="text1"/>
                <w:sz w:val="20"/>
              </w:rPr>
              <w:t xml:space="preserve"> </w:t>
            </w:r>
            <w:r w:rsidR="00AF6240" w:rsidRPr="00C317D5">
              <w:rPr>
                <w:color w:val="000000" w:themeColor="text1"/>
                <w:sz w:val="20"/>
              </w:rPr>
              <w:t>59</w:t>
            </w:r>
            <w:r w:rsidR="00AF6240" w:rsidRPr="00C317D5">
              <w:rPr>
                <w:color w:val="000000" w:themeColor="text1"/>
                <w:sz w:val="20"/>
              </w:rPr>
              <w:br/>
            </w:r>
            <w:r w:rsidRPr="00C317D5">
              <w:rPr>
                <w:color w:val="000000" w:themeColor="text1"/>
                <w:sz w:val="20"/>
              </w:rPr>
              <w:t xml:space="preserve">Edición de </w:t>
            </w:r>
            <w:r w:rsidR="00AF6240" w:rsidRPr="00C317D5">
              <w:rPr>
                <w:color w:val="000000" w:themeColor="text1"/>
                <w:sz w:val="20"/>
              </w:rPr>
              <w:t>2020: 1 170</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C378C7E" w14:textId="49ECF6C0"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pPr>
            <w:r w:rsidRPr="00C317D5">
              <w:rPr>
                <w:color w:val="000000" w:themeColor="text1"/>
                <w:sz w:val="20"/>
              </w:rPr>
              <w:t>274</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A159BBC" w14:textId="2E1FB4AD"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pPr>
            <w:r w:rsidRPr="00C317D5">
              <w:rPr>
                <w:color w:val="000000" w:themeColor="text1"/>
                <w:sz w:val="20"/>
              </w:rPr>
              <w:t>117</w:t>
            </w:r>
          </w:p>
        </w:tc>
      </w:tr>
      <w:tr w:rsidR="00AF6240" w:rsidRPr="00C317D5" w14:paraId="0186B75E" w14:textId="77777777" w:rsidTr="003900BF">
        <w:trPr>
          <w:trHeight w:val="20"/>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200FFDF" w14:textId="77777777" w:rsidR="00AF6240" w:rsidRPr="00C317D5" w:rsidRDefault="00AF6240" w:rsidP="00AF6240">
            <w:pPr>
              <w:pStyle w:val="Tabletext"/>
            </w:pPr>
            <w:r w:rsidRPr="00C317D5">
              <w:t>DVD vendidos</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B64E899" w14:textId="4EE8BCED" w:rsidR="00AF6240" w:rsidRPr="00C317D5" w:rsidRDefault="00AF6240" w:rsidP="00AF6240">
            <w:pPr>
              <w:pStyle w:val="Tabletext"/>
              <w:jc w:val="center"/>
              <w:cnfStyle w:val="000000000000" w:firstRow="0" w:lastRow="0" w:firstColumn="0" w:lastColumn="0" w:oddVBand="0" w:evenVBand="0" w:oddHBand="0" w:evenHBand="0" w:firstRowFirstColumn="0" w:firstRowLastColumn="0" w:lastRowFirstColumn="0" w:lastRowLastColumn="0"/>
            </w:pPr>
            <w:r w:rsidRPr="00C317D5">
              <w:rPr>
                <w:color w:val="000000" w:themeColor="text1"/>
                <w:sz w:val="20"/>
              </w:rPr>
              <w:t>1</w:t>
            </w:r>
            <w:r w:rsidR="003900BF" w:rsidRPr="00C317D5">
              <w:rPr>
                <w:color w:val="000000" w:themeColor="text1"/>
                <w:sz w:val="20"/>
              </w:rPr>
              <w:t> </w:t>
            </w:r>
            <w:r w:rsidRPr="00C317D5">
              <w:rPr>
                <w:color w:val="000000" w:themeColor="text1"/>
                <w:sz w:val="20"/>
              </w:rPr>
              <w:t>063</w:t>
            </w:r>
          </w:p>
        </w:tc>
        <w:tc>
          <w:tcPr>
            <w:tcW w:w="22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93C2694" w14:textId="3B098D12" w:rsidR="00AF6240" w:rsidRPr="00C317D5" w:rsidRDefault="003900BF" w:rsidP="00AF6240">
            <w:pPr>
              <w:pStyle w:val="Tabletext"/>
              <w:jc w:val="center"/>
              <w:cnfStyle w:val="000000000000" w:firstRow="0" w:lastRow="0" w:firstColumn="0" w:lastColumn="0" w:oddVBand="0" w:evenVBand="0" w:oddHBand="0" w:evenHBand="0" w:firstRowFirstColumn="0" w:firstRowLastColumn="0" w:lastRowFirstColumn="0" w:lastRowLastColumn="0"/>
            </w:pPr>
            <w:r w:rsidRPr="00C317D5">
              <w:rPr>
                <w:color w:val="000000" w:themeColor="text1"/>
                <w:sz w:val="20"/>
              </w:rPr>
              <w:t>Edición de 2016</w:t>
            </w:r>
            <w:r w:rsidR="00AF6240" w:rsidRPr="00C317D5">
              <w:rPr>
                <w:color w:val="000000" w:themeColor="text1"/>
                <w:sz w:val="20"/>
              </w:rPr>
              <w:t xml:space="preserve">: 482  </w:t>
            </w:r>
            <w:r w:rsidR="00AF6240" w:rsidRPr="00C317D5">
              <w:rPr>
                <w:color w:val="000000" w:themeColor="text1"/>
                <w:sz w:val="20"/>
              </w:rPr>
              <w:br/>
            </w:r>
            <w:r w:rsidRPr="00C317D5">
              <w:rPr>
                <w:color w:val="000000" w:themeColor="text1"/>
                <w:sz w:val="20"/>
              </w:rPr>
              <w:t>Edición de 2020:</w:t>
            </w:r>
            <w:r w:rsidR="00AF6240" w:rsidRPr="00C317D5">
              <w:rPr>
                <w:color w:val="000000" w:themeColor="text1"/>
                <w:sz w:val="20"/>
              </w:rPr>
              <w:t> 5 061</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3A0ABF2" w14:textId="5B7611BE" w:rsidR="00AF6240" w:rsidRPr="00C317D5" w:rsidRDefault="00AF6240" w:rsidP="00AF6240">
            <w:pPr>
              <w:pStyle w:val="Tabletext"/>
              <w:jc w:val="center"/>
              <w:cnfStyle w:val="000000000000" w:firstRow="0" w:lastRow="0" w:firstColumn="0" w:lastColumn="0" w:oddVBand="0" w:evenVBand="0" w:oddHBand="0" w:evenHBand="0" w:firstRowFirstColumn="0" w:firstRowLastColumn="0" w:lastRowFirstColumn="0" w:lastRowLastColumn="0"/>
            </w:pPr>
            <w:r w:rsidRPr="00C317D5">
              <w:rPr>
                <w:color w:val="000000" w:themeColor="text1"/>
                <w:sz w:val="20"/>
              </w:rPr>
              <w:t>3</w:t>
            </w:r>
            <w:r w:rsidR="003900BF" w:rsidRPr="00C317D5">
              <w:rPr>
                <w:color w:val="000000" w:themeColor="text1"/>
                <w:sz w:val="20"/>
              </w:rPr>
              <w:t> </w:t>
            </w:r>
            <w:r w:rsidRPr="00C317D5">
              <w:rPr>
                <w:color w:val="000000" w:themeColor="text1"/>
                <w:sz w:val="20"/>
              </w:rPr>
              <w:t>855</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5F134E3" w14:textId="55D013E3" w:rsidR="00AF6240" w:rsidRPr="00C317D5" w:rsidRDefault="00AF6240" w:rsidP="00AF6240">
            <w:pPr>
              <w:pStyle w:val="Tabletext"/>
              <w:jc w:val="center"/>
              <w:cnfStyle w:val="000000000000" w:firstRow="0" w:lastRow="0" w:firstColumn="0" w:lastColumn="0" w:oddVBand="0" w:evenVBand="0" w:oddHBand="0" w:evenHBand="0" w:firstRowFirstColumn="0" w:firstRowLastColumn="0" w:lastRowFirstColumn="0" w:lastRowLastColumn="0"/>
            </w:pPr>
            <w:r w:rsidRPr="00C317D5">
              <w:rPr>
                <w:color w:val="000000" w:themeColor="text1"/>
                <w:sz w:val="20"/>
              </w:rPr>
              <w:t>1</w:t>
            </w:r>
            <w:r w:rsidR="003900BF" w:rsidRPr="00C317D5">
              <w:rPr>
                <w:color w:val="000000" w:themeColor="text1"/>
                <w:sz w:val="20"/>
              </w:rPr>
              <w:t> </w:t>
            </w:r>
            <w:r w:rsidRPr="00C317D5">
              <w:rPr>
                <w:color w:val="000000" w:themeColor="text1"/>
                <w:sz w:val="20"/>
              </w:rPr>
              <w:t>638</w:t>
            </w:r>
          </w:p>
        </w:tc>
      </w:tr>
      <w:tr w:rsidR="00AF6240" w:rsidRPr="00C317D5" w14:paraId="72CDE26F" w14:textId="77777777" w:rsidTr="003900B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8354EE4" w14:textId="77777777" w:rsidR="00AF6240" w:rsidRPr="00C317D5" w:rsidRDefault="00AF6240" w:rsidP="00AF6240">
            <w:pPr>
              <w:pStyle w:val="Tabletext"/>
            </w:pPr>
            <w:r w:rsidRPr="00C317D5">
              <w:t>Descargas gratuitas</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0204E15" w14:textId="35D30574"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pPr>
            <w:r w:rsidRPr="00C317D5">
              <w:rPr>
                <w:color w:val="000000"/>
                <w:sz w:val="20"/>
              </w:rPr>
              <w:t>47</w:t>
            </w:r>
            <w:r w:rsidR="003900BF" w:rsidRPr="00C317D5">
              <w:rPr>
                <w:color w:val="000000"/>
                <w:sz w:val="20"/>
              </w:rPr>
              <w:t> </w:t>
            </w:r>
            <w:r w:rsidRPr="00C317D5">
              <w:rPr>
                <w:color w:val="000000"/>
                <w:sz w:val="20"/>
              </w:rPr>
              <w:t>974</w:t>
            </w:r>
          </w:p>
        </w:tc>
        <w:tc>
          <w:tcPr>
            <w:tcW w:w="22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2604506" w14:textId="74DC96AD" w:rsidR="00AF6240" w:rsidRPr="00C317D5" w:rsidRDefault="003900BF" w:rsidP="00AF6240">
            <w:pPr>
              <w:pStyle w:val="Tabletext"/>
              <w:jc w:val="center"/>
              <w:cnfStyle w:val="000000100000" w:firstRow="0" w:lastRow="0" w:firstColumn="0" w:lastColumn="0" w:oddVBand="0" w:evenVBand="0" w:oddHBand="1" w:evenHBand="0" w:firstRowFirstColumn="0" w:firstRowLastColumn="0" w:lastRowFirstColumn="0" w:lastRowLastColumn="0"/>
            </w:pPr>
            <w:r w:rsidRPr="00C317D5">
              <w:rPr>
                <w:color w:val="000000" w:themeColor="text1"/>
                <w:sz w:val="20"/>
              </w:rPr>
              <w:t>Edición de 2016</w:t>
            </w:r>
            <w:r w:rsidR="00AF6240" w:rsidRPr="00C317D5">
              <w:rPr>
                <w:color w:val="000000" w:themeColor="text1"/>
                <w:sz w:val="20"/>
              </w:rPr>
              <w:t xml:space="preserve">: 36 416 </w:t>
            </w:r>
            <w:r w:rsidR="00AF6240" w:rsidRPr="00C317D5">
              <w:br/>
            </w:r>
            <w:r w:rsidRPr="00C317D5">
              <w:rPr>
                <w:color w:val="000000" w:themeColor="text1"/>
                <w:sz w:val="20"/>
              </w:rPr>
              <w:t>Edición de 2020:</w:t>
            </w:r>
            <w:r w:rsidR="00AF6240" w:rsidRPr="00C317D5">
              <w:rPr>
                <w:color w:val="000000" w:themeColor="text1"/>
                <w:sz w:val="20"/>
              </w:rPr>
              <w:t xml:space="preserve"> 4 236</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244BAA8" w14:textId="48B643C1"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pPr>
            <w:r w:rsidRPr="00C317D5">
              <w:rPr>
                <w:color w:val="000000" w:themeColor="text1"/>
                <w:sz w:val="20"/>
              </w:rPr>
              <w:t>18</w:t>
            </w:r>
            <w:r w:rsidR="003900BF" w:rsidRPr="00C317D5">
              <w:rPr>
                <w:color w:val="000000" w:themeColor="text1"/>
                <w:sz w:val="20"/>
              </w:rPr>
              <w:t> </w:t>
            </w:r>
            <w:r w:rsidRPr="00C317D5">
              <w:rPr>
                <w:color w:val="000000" w:themeColor="text1"/>
                <w:sz w:val="20"/>
              </w:rPr>
              <w:t>092</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1B97517" w14:textId="2A97CD19"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pPr>
            <w:r w:rsidRPr="00C317D5">
              <w:rPr>
                <w:color w:val="000000" w:themeColor="text1"/>
                <w:sz w:val="20"/>
              </w:rPr>
              <w:t>13</w:t>
            </w:r>
            <w:r w:rsidR="003900BF" w:rsidRPr="00C317D5">
              <w:rPr>
                <w:color w:val="000000" w:themeColor="text1"/>
                <w:sz w:val="20"/>
              </w:rPr>
              <w:t> </w:t>
            </w:r>
            <w:r w:rsidRPr="00C317D5">
              <w:rPr>
                <w:color w:val="000000" w:themeColor="text1"/>
                <w:sz w:val="20"/>
              </w:rPr>
              <w:t>467</w:t>
            </w:r>
          </w:p>
        </w:tc>
      </w:tr>
    </w:tbl>
    <w:p w14:paraId="5F74B448" w14:textId="77777777" w:rsidR="00B27BCB" w:rsidRPr="00C317D5" w:rsidRDefault="00B27BCB" w:rsidP="00B27BCB">
      <w:pPr>
        <w:pStyle w:val="TableNoBR"/>
      </w:pPr>
      <w:r w:rsidRPr="00C317D5">
        <w:lastRenderedPageBreak/>
        <w:t>CUADRO 8.1.4.1-2</w:t>
      </w:r>
    </w:p>
    <w:p w14:paraId="1B352705" w14:textId="77777777" w:rsidR="00B27BCB" w:rsidRPr="00C317D5" w:rsidRDefault="00B27BCB" w:rsidP="00B27BCB">
      <w:pPr>
        <w:pStyle w:val="TabletitleBR"/>
      </w:pPr>
      <w:r w:rsidRPr="00C317D5">
        <w:t>Número de descargas de las Reglas de Procedimiento</w:t>
      </w:r>
    </w:p>
    <w:tbl>
      <w:tblPr>
        <w:tblStyle w:val="GridTable5Dark-Accent12"/>
        <w:tblW w:w="0" w:type="auto"/>
        <w:jc w:val="center"/>
        <w:tblLayout w:type="fixed"/>
        <w:tblLook w:val="04A0" w:firstRow="1" w:lastRow="0" w:firstColumn="1" w:lastColumn="0" w:noHBand="0" w:noVBand="1"/>
      </w:tblPr>
      <w:tblGrid>
        <w:gridCol w:w="3402"/>
        <w:gridCol w:w="1417"/>
        <w:gridCol w:w="1417"/>
        <w:gridCol w:w="1417"/>
        <w:gridCol w:w="1417"/>
      </w:tblGrid>
      <w:tr w:rsidR="00B27BCB" w:rsidRPr="00C317D5" w14:paraId="5189C018" w14:textId="77777777" w:rsidTr="00653673">
        <w:trPr>
          <w:cnfStyle w:val="100000000000" w:firstRow="1" w:lastRow="0" w:firstColumn="0" w:lastColumn="0" w:oddVBand="0" w:evenVBand="0" w:oddHBand="0"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3402" w:type="dxa"/>
            <w:tcBorders>
              <w:bottom w:val="single" w:sz="8" w:space="0" w:color="FFFFFF" w:themeColor="background1"/>
            </w:tcBorders>
            <w:hideMark/>
          </w:tcPr>
          <w:p w14:paraId="61269DC4" w14:textId="77777777" w:rsidR="00B27BCB" w:rsidRPr="00C317D5" w:rsidRDefault="00B27BCB" w:rsidP="00CF5394">
            <w:pPr>
              <w:pStyle w:val="Tablehead"/>
              <w:rPr>
                <w:b/>
                <w:bCs w:val="0"/>
              </w:rPr>
            </w:pPr>
          </w:p>
        </w:tc>
        <w:tc>
          <w:tcPr>
            <w:tcW w:w="1417" w:type="dxa"/>
            <w:tcBorders>
              <w:bottom w:val="single" w:sz="8" w:space="0" w:color="FFFFFF" w:themeColor="background1"/>
            </w:tcBorders>
            <w:hideMark/>
          </w:tcPr>
          <w:p w14:paraId="217F55D3" w14:textId="466561DE" w:rsidR="00B27BCB" w:rsidRPr="00C317D5" w:rsidRDefault="00AF6240" w:rsidP="00CF5394">
            <w:pPr>
              <w:pStyle w:val="Tablehead"/>
              <w:cnfStyle w:val="100000000000" w:firstRow="1" w:lastRow="0" w:firstColumn="0" w:lastColumn="0" w:oddVBand="0" w:evenVBand="0" w:oddHBand="0" w:evenHBand="0" w:firstRowFirstColumn="0" w:firstRowLastColumn="0" w:lastRowFirstColumn="0" w:lastRowLastColumn="0"/>
              <w:rPr>
                <w:b/>
                <w:bCs w:val="0"/>
              </w:rPr>
            </w:pPr>
            <w:r w:rsidRPr="00C317D5">
              <w:rPr>
                <w:b/>
                <w:bCs w:val="0"/>
              </w:rPr>
              <w:t>2019</w:t>
            </w:r>
          </w:p>
        </w:tc>
        <w:tc>
          <w:tcPr>
            <w:tcW w:w="1417" w:type="dxa"/>
            <w:tcBorders>
              <w:bottom w:val="single" w:sz="8" w:space="0" w:color="FFFFFF" w:themeColor="background1"/>
            </w:tcBorders>
            <w:hideMark/>
          </w:tcPr>
          <w:p w14:paraId="2D0C4F87" w14:textId="0693E5F1" w:rsidR="00B27BCB" w:rsidRPr="00C317D5" w:rsidRDefault="00AF6240" w:rsidP="00CF5394">
            <w:pPr>
              <w:pStyle w:val="Tablehead"/>
              <w:cnfStyle w:val="100000000000" w:firstRow="1" w:lastRow="0" w:firstColumn="0" w:lastColumn="0" w:oddVBand="0" w:evenVBand="0" w:oddHBand="0" w:evenHBand="0" w:firstRowFirstColumn="0" w:firstRowLastColumn="0" w:lastRowFirstColumn="0" w:lastRowLastColumn="0"/>
              <w:rPr>
                <w:b/>
                <w:bCs w:val="0"/>
              </w:rPr>
            </w:pPr>
            <w:r w:rsidRPr="00C317D5">
              <w:rPr>
                <w:b/>
                <w:bCs w:val="0"/>
              </w:rPr>
              <w:t>2020</w:t>
            </w:r>
          </w:p>
        </w:tc>
        <w:tc>
          <w:tcPr>
            <w:tcW w:w="1417" w:type="dxa"/>
            <w:tcBorders>
              <w:bottom w:val="single" w:sz="8" w:space="0" w:color="FFFFFF" w:themeColor="background1"/>
            </w:tcBorders>
          </w:tcPr>
          <w:p w14:paraId="4C53B9A5" w14:textId="627B5A2A" w:rsidR="00B27BCB" w:rsidRPr="00C317D5" w:rsidRDefault="00AF6240" w:rsidP="00CF5394">
            <w:pPr>
              <w:pStyle w:val="Tablehead"/>
              <w:cnfStyle w:val="100000000000" w:firstRow="1" w:lastRow="0" w:firstColumn="0" w:lastColumn="0" w:oddVBand="0" w:evenVBand="0" w:oddHBand="0" w:evenHBand="0" w:firstRowFirstColumn="0" w:firstRowLastColumn="0" w:lastRowFirstColumn="0" w:lastRowLastColumn="0"/>
              <w:rPr>
                <w:b/>
                <w:bCs w:val="0"/>
              </w:rPr>
            </w:pPr>
            <w:r w:rsidRPr="00C317D5">
              <w:rPr>
                <w:b/>
                <w:bCs w:val="0"/>
              </w:rPr>
              <w:t>2021</w:t>
            </w:r>
          </w:p>
        </w:tc>
        <w:tc>
          <w:tcPr>
            <w:tcW w:w="1417" w:type="dxa"/>
            <w:tcBorders>
              <w:bottom w:val="single" w:sz="8" w:space="0" w:color="FFFFFF" w:themeColor="background1"/>
            </w:tcBorders>
          </w:tcPr>
          <w:p w14:paraId="4305D358" w14:textId="5CFDB48D" w:rsidR="00B27BCB" w:rsidRPr="00C317D5" w:rsidRDefault="00AF6240" w:rsidP="00CF5394">
            <w:pPr>
              <w:pStyle w:val="Tablehead"/>
              <w:cnfStyle w:val="100000000000" w:firstRow="1" w:lastRow="0" w:firstColumn="0" w:lastColumn="0" w:oddVBand="0" w:evenVBand="0" w:oddHBand="0" w:evenHBand="0" w:firstRowFirstColumn="0" w:firstRowLastColumn="0" w:lastRowFirstColumn="0" w:lastRowLastColumn="0"/>
              <w:rPr>
                <w:b/>
                <w:bCs w:val="0"/>
              </w:rPr>
            </w:pPr>
            <w:r w:rsidRPr="00C317D5">
              <w:rPr>
                <w:b/>
                <w:bCs w:val="0"/>
              </w:rPr>
              <w:t>2022</w:t>
            </w:r>
          </w:p>
        </w:tc>
      </w:tr>
      <w:tr w:rsidR="00AF6240" w:rsidRPr="00C317D5" w14:paraId="66019BF8" w14:textId="77777777" w:rsidTr="00653673">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4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C9B2C7D" w14:textId="725FFF44" w:rsidR="00AF6240" w:rsidRPr="00C317D5" w:rsidRDefault="00AF6240" w:rsidP="003900BF">
            <w:pPr>
              <w:pStyle w:val="Tabletext"/>
              <w:spacing w:before="0" w:after="0"/>
              <w:rPr>
                <w:color w:val="FFFFFF"/>
                <w:sz w:val="20"/>
              </w:rPr>
            </w:pPr>
            <w:r w:rsidRPr="00C317D5">
              <w:t>Reglas de Procedimiento</w:t>
            </w:r>
            <w:r w:rsidR="003900BF" w:rsidRPr="00C317D5">
              <w:t xml:space="preserve"> (RdP)</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8069418" w14:textId="14C4E0D6" w:rsidR="00AF6240" w:rsidRPr="00C317D5" w:rsidRDefault="00AF6240" w:rsidP="00AF6240">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C317D5">
              <w:rPr>
                <w:color w:val="000000" w:themeColor="text1"/>
                <w:sz w:val="20"/>
              </w:rPr>
              <w:t>10 014</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F6C5103" w14:textId="6B72FA02" w:rsidR="00AF6240" w:rsidRPr="00C317D5" w:rsidRDefault="00AF6240" w:rsidP="00AF6240">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C317D5">
              <w:rPr>
                <w:color w:val="000000"/>
                <w:sz w:val="20"/>
              </w:rPr>
              <w:t>10 882</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96C8FF8" w14:textId="2BE0BC55" w:rsidR="00AF6240" w:rsidRPr="00C317D5" w:rsidRDefault="00AF6240" w:rsidP="00AF6240">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C317D5">
              <w:rPr>
                <w:color w:val="000000" w:themeColor="text1"/>
                <w:sz w:val="20"/>
              </w:rPr>
              <w:t>10 539</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4DBF98E" w14:textId="71F2A1B5" w:rsidR="00AF6240" w:rsidRPr="00C317D5" w:rsidRDefault="00AF6240" w:rsidP="00AF6240">
            <w:pPr>
              <w:pStyle w:val="Tabletext"/>
              <w:spacing w:before="0" w:after="0"/>
              <w:jc w:val="center"/>
              <w:cnfStyle w:val="000000100000" w:firstRow="0" w:lastRow="0" w:firstColumn="0" w:lastColumn="0" w:oddVBand="0" w:evenVBand="0" w:oddHBand="1" w:evenHBand="0" w:firstRowFirstColumn="0" w:firstRowLastColumn="0" w:lastRowFirstColumn="0" w:lastRowLastColumn="0"/>
            </w:pPr>
            <w:r w:rsidRPr="00C317D5">
              <w:rPr>
                <w:color w:val="000000" w:themeColor="text1"/>
                <w:sz w:val="20"/>
              </w:rPr>
              <w:t>11</w:t>
            </w:r>
            <w:r w:rsidR="003900BF" w:rsidRPr="00C317D5">
              <w:rPr>
                <w:color w:val="000000" w:themeColor="text1"/>
                <w:sz w:val="20"/>
              </w:rPr>
              <w:t xml:space="preserve"> </w:t>
            </w:r>
            <w:r w:rsidRPr="00C317D5">
              <w:rPr>
                <w:color w:val="000000" w:themeColor="text1"/>
                <w:sz w:val="20"/>
              </w:rPr>
              <w:t>887</w:t>
            </w:r>
          </w:p>
        </w:tc>
      </w:tr>
    </w:tbl>
    <w:p w14:paraId="66C95BB3" w14:textId="77777777" w:rsidR="00B27BCB" w:rsidRPr="00C317D5" w:rsidRDefault="00B27BCB" w:rsidP="00B27BCB">
      <w:pPr>
        <w:pStyle w:val="Heading4"/>
      </w:pPr>
      <w:r w:rsidRPr="00C317D5">
        <w:t>8.1.4.2</w:t>
      </w:r>
      <w:r w:rsidRPr="00C317D5">
        <w:tab/>
        <w:t>Recomendaciones UIT-R</w:t>
      </w:r>
    </w:p>
    <w:p w14:paraId="55CFBD5D" w14:textId="51611CD3" w:rsidR="00B27BCB" w:rsidRPr="00C317D5" w:rsidRDefault="00B27BCB" w:rsidP="00B27BCB">
      <w:r w:rsidRPr="00C317D5">
        <w:t>Como consecuencias de la política de acceso gratuito en línea, las Recomendaciones UIT</w:t>
      </w:r>
      <w:r w:rsidRPr="00C317D5">
        <w:noBreakHyphen/>
        <w:t>R son accesibles y descargables desde cualquier parte del mundo. Desde enero de 201</w:t>
      </w:r>
      <w:r w:rsidR="00AF6240" w:rsidRPr="00C317D5">
        <w:t>9</w:t>
      </w:r>
      <w:r w:rsidRPr="00C317D5">
        <w:t xml:space="preserve"> a diciembre de</w:t>
      </w:r>
      <w:r w:rsidR="003900BF" w:rsidRPr="00C317D5">
        <w:t> </w:t>
      </w:r>
      <w:r w:rsidRPr="00C317D5">
        <w:t>202</w:t>
      </w:r>
      <w:r w:rsidR="00AF6240" w:rsidRPr="00C317D5">
        <w:t>2</w:t>
      </w:r>
      <w:r w:rsidRPr="00C317D5">
        <w:t xml:space="preserve"> se registraron más de siete millones de descargas de Recomendaciones UIT</w:t>
      </w:r>
      <w:r w:rsidRPr="00C317D5">
        <w:noBreakHyphen/>
        <w:t>R desde el sitio web de la UIT. En el Cuadro 8.1.4.2-1 se resume su distribución por año y serie. Actualmente, existen 1 </w:t>
      </w:r>
      <w:r w:rsidR="00AF6240" w:rsidRPr="00C317D5">
        <w:t>205</w:t>
      </w:r>
      <w:r w:rsidRPr="00C317D5">
        <w:t xml:space="preserve"> Recomendaciones UIT-R en vigor.</w:t>
      </w:r>
    </w:p>
    <w:p w14:paraId="1DA082BC" w14:textId="77777777" w:rsidR="00B27BCB" w:rsidRPr="00C317D5" w:rsidRDefault="00B27BCB" w:rsidP="00B27BCB">
      <w:pPr>
        <w:pStyle w:val="TableNoBR"/>
      </w:pPr>
      <w:r w:rsidRPr="00C317D5">
        <w:t>CUADRO 8.1.4.2-1</w:t>
      </w:r>
    </w:p>
    <w:p w14:paraId="31C439FE" w14:textId="1B04D759" w:rsidR="00B27BCB" w:rsidRPr="00C317D5" w:rsidRDefault="00B27BCB" w:rsidP="00B27BCB">
      <w:pPr>
        <w:pStyle w:val="TabletitleBR"/>
      </w:pPr>
      <w:r w:rsidRPr="00C317D5">
        <w:t>Distribución de Recomendaciones UIT-R</w:t>
      </w:r>
      <w:r w:rsidR="00BC5D9D" w:rsidRPr="00C317D5">
        <w:t xml:space="preserve"> </w:t>
      </w:r>
      <w:r w:rsidRPr="00C317D5">
        <w:t>(descargas)</w:t>
      </w:r>
    </w:p>
    <w:tbl>
      <w:tblPr>
        <w:tblStyle w:val="GridTable5Dark-Accent1"/>
        <w:tblW w:w="9426" w:type="dxa"/>
        <w:tblInd w:w="90" w:type="dxa"/>
        <w:tblLook w:val="04A0" w:firstRow="1" w:lastRow="0" w:firstColumn="1" w:lastColumn="0" w:noHBand="0" w:noVBand="1"/>
      </w:tblPr>
      <w:tblGrid>
        <w:gridCol w:w="1217"/>
        <w:gridCol w:w="1547"/>
        <w:gridCol w:w="1276"/>
        <w:gridCol w:w="1276"/>
        <w:gridCol w:w="1275"/>
        <w:gridCol w:w="1418"/>
        <w:gridCol w:w="1417"/>
      </w:tblGrid>
      <w:tr w:rsidR="003900BF" w:rsidRPr="00C317D5" w14:paraId="5B9CFE46" w14:textId="77777777" w:rsidTr="003900BF">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tcBorders>
            <w:vAlign w:val="center"/>
            <w:hideMark/>
          </w:tcPr>
          <w:p w14:paraId="0D25830D" w14:textId="69589A81" w:rsidR="003900BF" w:rsidRPr="00C317D5" w:rsidRDefault="00077187" w:rsidP="002B1112">
            <w:pPr>
              <w:pStyle w:val="Tablehead"/>
              <w:rPr>
                <w:b/>
                <w:bCs w:val="0"/>
                <w:lang w:eastAsia="zh-CN"/>
              </w:rPr>
            </w:pPr>
            <w:r w:rsidRPr="00C317D5">
              <w:rPr>
                <w:b/>
                <w:bCs w:val="0"/>
                <w:lang w:eastAsia="zh-CN"/>
              </w:rPr>
              <w:t>SERIE</w:t>
            </w:r>
          </w:p>
        </w:tc>
        <w:tc>
          <w:tcPr>
            <w:tcW w:w="1547" w:type="dxa"/>
            <w:tcBorders>
              <w:top w:val="single" w:sz="8" w:space="0" w:color="FFFFFF" w:themeColor="background1"/>
              <w:bottom w:val="single" w:sz="8" w:space="0" w:color="FFFFFF" w:themeColor="background1"/>
            </w:tcBorders>
            <w:vAlign w:val="center"/>
            <w:hideMark/>
          </w:tcPr>
          <w:p w14:paraId="7321430A" w14:textId="77777777" w:rsidR="003900BF" w:rsidRPr="00C317D5" w:rsidRDefault="003900BF" w:rsidP="002B1112">
            <w:pPr>
              <w:pStyle w:val="Tablehead"/>
              <w:cnfStyle w:val="100000000000" w:firstRow="1" w:lastRow="0" w:firstColumn="0" w:lastColumn="0" w:oddVBand="0" w:evenVBand="0" w:oddHBand="0" w:evenHBand="0" w:firstRowFirstColumn="0" w:firstRowLastColumn="0" w:lastRowFirstColumn="0" w:lastRowLastColumn="0"/>
              <w:rPr>
                <w:b/>
                <w:bCs w:val="0"/>
                <w:lang w:eastAsia="zh-CN"/>
              </w:rPr>
            </w:pPr>
            <w:r w:rsidRPr="00C317D5">
              <w:rPr>
                <w:b/>
                <w:bCs w:val="0"/>
                <w:lang w:eastAsia="zh-CN"/>
              </w:rPr>
              <w:t>2019</w:t>
            </w:r>
          </w:p>
        </w:tc>
        <w:tc>
          <w:tcPr>
            <w:tcW w:w="1276" w:type="dxa"/>
            <w:tcBorders>
              <w:top w:val="single" w:sz="8" w:space="0" w:color="FFFFFF" w:themeColor="background1"/>
              <w:bottom w:val="single" w:sz="8" w:space="0" w:color="FFFFFF" w:themeColor="background1"/>
            </w:tcBorders>
            <w:vAlign w:val="center"/>
            <w:hideMark/>
          </w:tcPr>
          <w:p w14:paraId="5E15D51C" w14:textId="77777777" w:rsidR="003900BF" w:rsidRPr="00C317D5" w:rsidRDefault="003900BF" w:rsidP="002B1112">
            <w:pPr>
              <w:pStyle w:val="Tablehead"/>
              <w:cnfStyle w:val="100000000000" w:firstRow="1" w:lastRow="0" w:firstColumn="0" w:lastColumn="0" w:oddVBand="0" w:evenVBand="0" w:oddHBand="0" w:evenHBand="0" w:firstRowFirstColumn="0" w:firstRowLastColumn="0" w:lastRowFirstColumn="0" w:lastRowLastColumn="0"/>
              <w:rPr>
                <w:b/>
                <w:bCs w:val="0"/>
                <w:lang w:eastAsia="zh-CN"/>
              </w:rPr>
            </w:pPr>
            <w:r w:rsidRPr="00C317D5">
              <w:rPr>
                <w:b/>
                <w:bCs w:val="0"/>
                <w:lang w:eastAsia="zh-CN"/>
              </w:rPr>
              <w:t>2020</w:t>
            </w:r>
          </w:p>
        </w:tc>
        <w:tc>
          <w:tcPr>
            <w:tcW w:w="1276" w:type="dxa"/>
            <w:tcBorders>
              <w:top w:val="single" w:sz="8" w:space="0" w:color="FFFFFF" w:themeColor="background1"/>
              <w:bottom w:val="single" w:sz="8" w:space="0" w:color="FFFFFF" w:themeColor="background1"/>
            </w:tcBorders>
            <w:vAlign w:val="center"/>
            <w:hideMark/>
          </w:tcPr>
          <w:p w14:paraId="069D8464" w14:textId="77777777" w:rsidR="003900BF" w:rsidRPr="00C317D5" w:rsidRDefault="003900BF" w:rsidP="002B1112">
            <w:pPr>
              <w:pStyle w:val="Tablehead"/>
              <w:cnfStyle w:val="100000000000" w:firstRow="1" w:lastRow="0" w:firstColumn="0" w:lastColumn="0" w:oddVBand="0" w:evenVBand="0" w:oddHBand="0" w:evenHBand="0" w:firstRowFirstColumn="0" w:firstRowLastColumn="0" w:lastRowFirstColumn="0" w:lastRowLastColumn="0"/>
              <w:rPr>
                <w:b/>
                <w:bCs w:val="0"/>
                <w:lang w:eastAsia="zh-CN"/>
              </w:rPr>
            </w:pPr>
            <w:r w:rsidRPr="00C317D5">
              <w:rPr>
                <w:b/>
                <w:bCs w:val="0"/>
                <w:lang w:eastAsia="zh-CN"/>
              </w:rPr>
              <w:t>2021</w:t>
            </w:r>
          </w:p>
        </w:tc>
        <w:tc>
          <w:tcPr>
            <w:tcW w:w="1275" w:type="dxa"/>
            <w:tcBorders>
              <w:top w:val="single" w:sz="8" w:space="0" w:color="FFFFFF" w:themeColor="background1"/>
              <w:bottom w:val="single" w:sz="8" w:space="0" w:color="FFFFFF" w:themeColor="background1"/>
            </w:tcBorders>
            <w:vAlign w:val="center"/>
            <w:hideMark/>
          </w:tcPr>
          <w:p w14:paraId="63ECB569" w14:textId="77777777" w:rsidR="003900BF" w:rsidRPr="00C317D5" w:rsidRDefault="003900BF" w:rsidP="002B1112">
            <w:pPr>
              <w:pStyle w:val="Tablehead"/>
              <w:cnfStyle w:val="100000000000" w:firstRow="1" w:lastRow="0" w:firstColumn="0" w:lastColumn="0" w:oddVBand="0" w:evenVBand="0" w:oddHBand="0" w:evenHBand="0" w:firstRowFirstColumn="0" w:firstRowLastColumn="0" w:lastRowFirstColumn="0" w:lastRowLastColumn="0"/>
              <w:rPr>
                <w:b/>
                <w:bCs w:val="0"/>
                <w:lang w:eastAsia="zh-CN"/>
              </w:rPr>
            </w:pPr>
            <w:r w:rsidRPr="00C317D5">
              <w:rPr>
                <w:b/>
                <w:bCs w:val="0"/>
                <w:lang w:eastAsia="zh-CN"/>
              </w:rPr>
              <w:t>2022</w:t>
            </w:r>
          </w:p>
        </w:tc>
        <w:tc>
          <w:tcPr>
            <w:tcW w:w="1418" w:type="dxa"/>
            <w:tcBorders>
              <w:top w:val="single" w:sz="8" w:space="0" w:color="FFFFFF" w:themeColor="background1"/>
              <w:bottom w:val="single" w:sz="8" w:space="0" w:color="FFFFFF" w:themeColor="background1"/>
            </w:tcBorders>
            <w:vAlign w:val="center"/>
            <w:hideMark/>
          </w:tcPr>
          <w:p w14:paraId="0AF8691F" w14:textId="478CD5E9" w:rsidR="003900BF" w:rsidRPr="00C317D5" w:rsidRDefault="00077187" w:rsidP="002B1112">
            <w:pPr>
              <w:pStyle w:val="Tablehead"/>
              <w:cnfStyle w:val="100000000000" w:firstRow="1" w:lastRow="0" w:firstColumn="0" w:lastColumn="0" w:oddVBand="0" w:evenVBand="0" w:oddHBand="0" w:evenHBand="0" w:firstRowFirstColumn="0" w:firstRowLastColumn="0" w:lastRowFirstColumn="0" w:lastRowLastColumn="0"/>
              <w:rPr>
                <w:b/>
                <w:bCs w:val="0"/>
                <w:lang w:eastAsia="zh-CN"/>
              </w:rPr>
            </w:pPr>
            <w:r w:rsidRPr="00C317D5">
              <w:rPr>
                <w:b/>
                <w:bCs w:val="0"/>
                <w:lang w:eastAsia="zh-CN"/>
              </w:rPr>
              <w:t>TOTAL</w:t>
            </w:r>
          </w:p>
        </w:tc>
        <w:tc>
          <w:tcPr>
            <w:tcW w:w="1417" w:type="dxa"/>
            <w:tcBorders>
              <w:top w:val="single" w:sz="8" w:space="0" w:color="FFFFFF" w:themeColor="background1"/>
              <w:bottom w:val="single" w:sz="8" w:space="0" w:color="FFFFFF" w:themeColor="background1"/>
              <w:right w:val="single" w:sz="8" w:space="0" w:color="FFFFFF" w:themeColor="background1"/>
            </w:tcBorders>
            <w:vAlign w:val="center"/>
            <w:hideMark/>
          </w:tcPr>
          <w:p w14:paraId="76E573EB" w14:textId="77777777" w:rsidR="003900BF" w:rsidRPr="00C317D5" w:rsidRDefault="003900BF" w:rsidP="002B1112">
            <w:pPr>
              <w:pStyle w:val="Tablehead"/>
              <w:cnfStyle w:val="100000000000" w:firstRow="1" w:lastRow="0" w:firstColumn="0" w:lastColumn="0" w:oddVBand="0" w:evenVBand="0" w:oddHBand="0" w:evenHBand="0" w:firstRowFirstColumn="0" w:firstRowLastColumn="0" w:lastRowFirstColumn="0" w:lastRowLastColumn="0"/>
              <w:rPr>
                <w:b/>
                <w:bCs w:val="0"/>
                <w:lang w:eastAsia="zh-CN"/>
              </w:rPr>
            </w:pPr>
            <w:r w:rsidRPr="00C317D5">
              <w:rPr>
                <w:b/>
                <w:bCs w:val="0"/>
                <w:lang w:eastAsia="zh-CN"/>
              </w:rPr>
              <w:t>%</w:t>
            </w:r>
          </w:p>
        </w:tc>
      </w:tr>
      <w:tr w:rsidR="003900BF" w:rsidRPr="00C317D5" w14:paraId="3A49FCAE" w14:textId="77777777" w:rsidTr="002B111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30D39FAB" w14:textId="77777777" w:rsidR="003900BF" w:rsidRPr="00C317D5" w:rsidRDefault="003900BF" w:rsidP="002B1112">
            <w:pPr>
              <w:pStyle w:val="Tabletext"/>
              <w:jc w:val="center"/>
            </w:pPr>
            <w:r w:rsidRPr="00C317D5">
              <w:t>P</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1A12D9A"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403 129</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F5F358D"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385 614</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2963C6F"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410 918</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89962D7"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347 953</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F7196E3"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C317D5">
              <w:rPr>
                <w:b/>
                <w:bCs/>
              </w:rPr>
              <w:t>1 547 614</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3B678EC"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21,80%</w:t>
            </w:r>
          </w:p>
        </w:tc>
      </w:tr>
      <w:tr w:rsidR="003900BF" w:rsidRPr="00C317D5" w14:paraId="6A396716" w14:textId="77777777" w:rsidTr="002B1112">
        <w:trPr>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436F7E4C" w14:textId="77777777" w:rsidR="003900BF" w:rsidRPr="00C317D5" w:rsidRDefault="003900BF" w:rsidP="002B1112">
            <w:pPr>
              <w:pStyle w:val="Tabletext"/>
              <w:jc w:val="center"/>
            </w:pPr>
            <w:r w:rsidRPr="00C317D5">
              <w:t>M</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74CF058"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374 649</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DAD256D"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327 720</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681AF0D"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365 675</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8254124"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314 920</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840DD7F"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C317D5">
              <w:rPr>
                <w:b/>
                <w:bCs/>
              </w:rPr>
              <w:t>1 382 964</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B7DF554"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19,48%</w:t>
            </w:r>
          </w:p>
        </w:tc>
      </w:tr>
      <w:tr w:rsidR="003900BF" w:rsidRPr="00C317D5" w14:paraId="1E5CB3B9" w14:textId="77777777" w:rsidTr="002B111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3734B373" w14:textId="77777777" w:rsidR="003900BF" w:rsidRPr="00C317D5" w:rsidRDefault="003900BF" w:rsidP="002B1112">
            <w:pPr>
              <w:pStyle w:val="Tabletext"/>
              <w:jc w:val="center"/>
            </w:pPr>
            <w:r w:rsidRPr="00C317D5">
              <w:t>BT</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BD5114D"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264 823</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8059E99"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226 737</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AA23583"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231 981</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BEBCBF0"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218 403</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FFB9EDD"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C317D5">
              <w:rPr>
                <w:b/>
                <w:bCs/>
              </w:rPr>
              <w:t>941 944</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30A549B"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13,27%</w:t>
            </w:r>
          </w:p>
        </w:tc>
      </w:tr>
      <w:tr w:rsidR="003900BF" w:rsidRPr="00C317D5" w14:paraId="2B66D9ED" w14:textId="77777777" w:rsidTr="002B1112">
        <w:trPr>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65678BE2" w14:textId="77777777" w:rsidR="003900BF" w:rsidRPr="00C317D5" w:rsidRDefault="003900BF" w:rsidP="002B1112">
            <w:pPr>
              <w:pStyle w:val="Tabletext"/>
              <w:jc w:val="center"/>
            </w:pPr>
            <w:r w:rsidRPr="00C317D5">
              <w:t>SM</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06E4879"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175 237</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1DF2EF6"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171 165</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A196783"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196 660</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BA4E5C2"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169 755</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00EFCCD"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C317D5">
              <w:rPr>
                <w:b/>
                <w:bCs/>
              </w:rPr>
              <w:t>712 817</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A04F639"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10,04%</w:t>
            </w:r>
          </w:p>
        </w:tc>
      </w:tr>
      <w:tr w:rsidR="003900BF" w:rsidRPr="00C317D5" w14:paraId="00C4FC52" w14:textId="77777777" w:rsidTr="002B111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23C31E42" w14:textId="77777777" w:rsidR="003900BF" w:rsidRPr="00C317D5" w:rsidRDefault="003900BF" w:rsidP="002B1112">
            <w:pPr>
              <w:pStyle w:val="Tabletext"/>
              <w:jc w:val="center"/>
            </w:pPr>
            <w:r w:rsidRPr="00C317D5">
              <w:t>F</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F6C968E"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189 675</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3D8917D"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154 672</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6524253"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147 667</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CC742CC"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116 539</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35A3B03"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C317D5">
              <w:rPr>
                <w:b/>
                <w:bCs/>
              </w:rPr>
              <w:t>608 553</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796D70E"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8,57%</w:t>
            </w:r>
          </w:p>
        </w:tc>
      </w:tr>
      <w:tr w:rsidR="003900BF" w:rsidRPr="00C317D5" w14:paraId="477815CF" w14:textId="77777777" w:rsidTr="002B1112">
        <w:trPr>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20108D2A" w14:textId="77777777" w:rsidR="003900BF" w:rsidRPr="00C317D5" w:rsidRDefault="003900BF" w:rsidP="002B1112">
            <w:pPr>
              <w:pStyle w:val="Tabletext"/>
              <w:jc w:val="center"/>
            </w:pPr>
            <w:r w:rsidRPr="00C317D5">
              <w:t>BS</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60440A7"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153 839</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C311514"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142 699</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20290A8"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166 563</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774688E"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143 107</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7DBDC29"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C317D5">
              <w:rPr>
                <w:b/>
                <w:bCs/>
              </w:rPr>
              <w:t>606 208</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89A0328"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8,54%</w:t>
            </w:r>
          </w:p>
        </w:tc>
      </w:tr>
      <w:tr w:rsidR="003900BF" w:rsidRPr="00C317D5" w14:paraId="2440E3D5" w14:textId="77777777" w:rsidTr="002B111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64E97ED6" w14:textId="77777777" w:rsidR="003900BF" w:rsidRPr="00C317D5" w:rsidRDefault="003900BF" w:rsidP="002B1112">
            <w:pPr>
              <w:pStyle w:val="Tabletext"/>
              <w:jc w:val="center"/>
            </w:pPr>
            <w:r w:rsidRPr="00C317D5">
              <w:t>S</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CB3D35F"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131 788</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9C0D879"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108 174</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63D88A1"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123 593</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1AF46D5"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87 801</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C3D11A7"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C317D5">
              <w:rPr>
                <w:b/>
                <w:bCs/>
              </w:rPr>
              <w:t>451 356</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DDAF6F6"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6,36%</w:t>
            </w:r>
          </w:p>
        </w:tc>
      </w:tr>
      <w:tr w:rsidR="003900BF" w:rsidRPr="00C317D5" w14:paraId="382745FD" w14:textId="77777777" w:rsidTr="002B1112">
        <w:trPr>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68711926" w14:textId="77777777" w:rsidR="003900BF" w:rsidRPr="00C317D5" w:rsidRDefault="003900BF" w:rsidP="002B1112">
            <w:pPr>
              <w:pStyle w:val="Tabletext"/>
              <w:jc w:val="center"/>
            </w:pPr>
            <w:r w:rsidRPr="00C317D5">
              <w:t>SA</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5DEBE8A"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57 035</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D409803"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46 718</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21489CD"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43 137</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8F747BA"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33 274</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18784A3"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C317D5">
              <w:rPr>
                <w:b/>
                <w:bCs/>
              </w:rPr>
              <w:t>180 164</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6F8216E"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2,54%</w:t>
            </w:r>
          </w:p>
        </w:tc>
      </w:tr>
      <w:tr w:rsidR="003900BF" w:rsidRPr="00C317D5" w14:paraId="1F38A929" w14:textId="77777777" w:rsidTr="002B111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55B4D5B9" w14:textId="77777777" w:rsidR="003900BF" w:rsidRPr="00C317D5" w:rsidRDefault="003900BF" w:rsidP="002B1112">
            <w:pPr>
              <w:pStyle w:val="Tabletext"/>
              <w:jc w:val="center"/>
            </w:pPr>
            <w:r w:rsidRPr="00C317D5">
              <w:t>V</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577F9BE"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39 831</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6B4B834"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40 634</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E0B75FC"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47 032</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8BA2F3F"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44 707</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9B3508B"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C317D5">
              <w:rPr>
                <w:b/>
                <w:bCs/>
              </w:rPr>
              <w:t>172 204</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F259101"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2,43%</w:t>
            </w:r>
          </w:p>
        </w:tc>
      </w:tr>
      <w:tr w:rsidR="003900BF" w:rsidRPr="00C317D5" w14:paraId="424F190B" w14:textId="77777777" w:rsidTr="002B1112">
        <w:trPr>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5BBE3C8B" w14:textId="77777777" w:rsidR="003900BF" w:rsidRPr="00C317D5" w:rsidRDefault="003900BF" w:rsidP="002B1112">
            <w:pPr>
              <w:pStyle w:val="Tabletext"/>
              <w:jc w:val="center"/>
            </w:pPr>
            <w:r w:rsidRPr="00C317D5">
              <w:t>BO</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C25989C"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35 550</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95C52AB"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26 816</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5DC343A"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23 173</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BCC6133"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16 489</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AB9A9FC"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C317D5">
              <w:rPr>
                <w:b/>
                <w:bCs/>
              </w:rPr>
              <w:t>102 028</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FBAF4D2"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1,44%</w:t>
            </w:r>
          </w:p>
        </w:tc>
      </w:tr>
      <w:tr w:rsidR="003900BF" w:rsidRPr="00C317D5" w14:paraId="760261E3" w14:textId="77777777" w:rsidTr="002B111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6F80A577" w14:textId="77777777" w:rsidR="003900BF" w:rsidRPr="00C317D5" w:rsidRDefault="003900BF" w:rsidP="002B1112">
            <w:pPr>
              <w:pStyle w:val="Tabletext"/>
              <w:jc w:val="center"/>
            </w:pPr>
            <w:r w:rsidRPr="00C317D5">
              <w:t>RS</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558CAB4"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31 476</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A653AA0"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26 823</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886E0CC"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23 253</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96AAF54"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19 350</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CD4EC5A"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C317D5">
              <w:rPr>
                <w:b/>
                <w:bCs/>
              </w:rPr>
              <w:t>100 902</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F7C1370"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1,42%</w:t>
            </w:r>
          </w:p>
        </w:tc>
      </w:tr>
      <w:tr w:rsidR="003900BF" w:rsidRPr="00C317D5" w14:paraId="19065FB6" w14:textId="77777777" w:rsidTr="002B1112">
        <w:trPr>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54723621" w14:textId="77777777" w:rsidR="003900BF" w:rsidRPr="00C317D5" w:rsidRDefault="003900BF" w:rsidP="002B1112">
            <w:pPr>
              <w:pStyle w:val="Tabletext"/>
              <w:jc w:val="center"/>
            </w:pPr>
            <w:r w:rsidRPr="00C317D5">
              <w:t>TF</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C9362C9"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24 566</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D4187D7"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24 077</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605469B"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22 729</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37279C2"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18 211</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9B5CBF5"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C317D5">
              <w:rPr>
                <w:b/>
                <w:bCs/>
              </w:rPr>
              <w:t>89 583</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E5E76F4"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1,26%</w:t>
            </w:r>
          </w:p>
        </w:tc>
      </w:tr>
      <w:tr w:rsidR="003900BF" w:rsidRPr="00C317D5" w14:paraId="10676742" w14:textId="77777777" w:rsidTr="002B111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24928044" w14:textId="77777777" w:rsidR="003900BF" w:rsidRPr="00C317D5" w:rsidRDefault="003900BF" w:rsidP="002B1112">
            <w:pPr>
              <w:pStyle w:val="Tabletext"/>
              <w:jc w:val="center"/>
            </w:pPr>
            <w:r w:rsidRPr="00C317D5">
              <w:t>SF</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34F7E8E"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23 517</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BB6DCDC"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19 381</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143C480"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16 720</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FD667DF"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13 102</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F5BBC23"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C317D5">
              <w:rPr>
                <w:b/>
                <w:bCs/>
              </w:rPr>
              <w:t>72 720</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D4D7AA9"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1,02%</w:t>
            </w:r>
          </w:p>
        </w:tc>
      </w:tr>
      <w:tr w:rsidR="003900BF" w:rsidRPr="00C317D5" w14:paraId="1E3929DB" w14:textId="77777777" w:rsidTr="002B1112">
        <w:trPr>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69F11BDA" w14:textId="77777777" w:rsidR="003900BF" w:rsidRPr="00C317D5" w:rsidRDefault="003900BF" w:rsidP="002B1112">
            <w:pPr>
              <w:pStyle w:val="Tabletext"/>
              <w:jc w:val="center"/>
            </w:pPr>
            <w:r w:rsidRPr="00C317D5">
              <w:t>BR</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1C661F8"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22 003</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2A956E4"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17 101</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5771C9C"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15 009</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5912D7E"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9 838</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D8B03AD"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C317D5">
              <w:rPr>
                <w:b/>
                <w:bCs/>
              </w:rPr>
              <w:t>63 951</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918F9F0"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0,90%</w:t>
            </w:r>
          </w:p>
        </w:tc>
      </w:tr>
      <w:tr w:rsidR="003900BF" w:rsidRPr="00C317D5" w14:paraId="2C2612B7" w14:textId="77777777" w:rsidTr="002B111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12077CD8" w14:textId="77777777" w:rsidR="003900BF" w:rsidRPr="00C317D5" w:rsidRDefault="003900BF" w:rsidP="002B1112">
            <w:pPr>
              <w:pStyle w:val="Tabletext"/>
              <w:jc w:val="center"/>
            </w:pPr>
            <w:r w:rsidRPr="00C317D5">
              <w:t>RA</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44D2C7B"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15 173</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FB0457F"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12 315</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866F8AD"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10 777</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15EA8A9"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9 169</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77954DA"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C317D5">
              <w:rPr>
                <w:b/>
                <w:bCs/>
              </w:rPr>
              <w:t>47 434</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4B919F7"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0,67%</w:t>
            </w:r>
          </w:p>
        </w:tc>
      </w:tr>
      <w:tr w:rsidR="003900BF" w:rsidRPr="00C317D5" w14:paraId="0D029997" w14:textId="77777777" w:rsidTr="002B1112">
        <w:trPr>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4BA8C53B" w14:textId="77777777" w:rsidR="003900BF" w:rsidRPr="00C317D5" w:rsidRDefault="003900BF" w:rsidP="002B1112">
            <w:pPr>
              <w:pStyle w:val="Tabletext"/>
              <w:jc w:val="center"/>
            </w:pPr>
            <w:r w:rsidRPr="00C317D5">
              <w:t>SNG</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4A33E9A"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4 924</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5A56F71"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3 319</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6B0FF31"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2 548</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F3ADD08"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1 987</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03E5AC3"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C317D5">
              <w:rPr>
                <w:b/>
                <w:bCs/>
              </w:rPr>
              <w:t>12 778</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32CE965"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0,18%</w:t>
            </w:r>
          </w:p>
        </w:tc>
      </w:tr>
      <w:tr w:rsidR="003900BF" w:rsidRPr="00C317D5" w14:paraId="5769E37C" w14:textId="77777777" w:rsidTr="002B111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37CAFDCA" w14:textId="77777777" w:rsidR="003900BF" w:rsidRPr="00C317D5" w:rsidRDefault="003900BF" w:rsidP="002B1112">
            <w:pPr>
              <w:pStyle w:val="Tabletext"/>
              <w:jc w:val="center"/>
            </w:pPr>
            <w:r w:rsidRPr="00C317D5">
              <w:t>IS</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176F040"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1 802</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AEB6DC3"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1 280</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4DEB99E"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1 366</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F83B74B"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1 203</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6B1B8A5D"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C317D5">
              <w:rPr>
                <w:b/>
                <w:bCs/>
              </w:rPr>
              <w:t>5 651</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1A9814FD"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0,08%</w:t>
            </w:r>
          </w:p>
        </w:tc>
      </w:tr>
      <w:tr w:rsidR="003900BF" w:rsidRPr="00C317D5" w14:paraId="1CEE01CF" w14:textId="77777777" w:rsidTr="002B1112">
        <w:trPr>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1448E105" w14:textId="77777777" w:rsidR="003900BF" w:rsidRPr="00C317D5" w:rsidRDefault="003900BF" w:rsidP="002B1112">
            <w:pPr>
              <w:pStyle w:val="Tabletext"/>
              <w:jc w:val="center"/>
            </w:pPr>
            <w:r w:rsidRPr="00C317D5">
              <w:t>PI</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AED2F8B"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511</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845C037"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372</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6EBB3DA"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206</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B5FA309"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143</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EFE7F64"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C317D5">
              <w:rPr>
                <w:b/>
                <w:bCs/>
              </w:rPr>
              <w:t>1 232</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469E11D" w14:textId="77777777" w:rsidR="003900BF" w:rsidRPr="00C317D5" w:rsidRDefault="003900BF" w:rsidP="002B1112">
            <w:pPr>
              <w:pStyle w:val="Tabletext"/>
              <w:jc w:val="center"/>
              <w:cnfStyle w:val="000000000000" w:firstRow="0" w:lastRow="0" w:firstColumn="0" w:lastColumn="0" w:oddVBand="0" w:evenVBand="0" w:oddHBand="0" w:evenHBand="0" w:firstRowFirstColumn="0" w:firstRowLastColumn="0" w:lastRowFirstColumn="0" w:lastRowLastColumn="0"/>
            </w:pPr>
            <w:r w:rsidRPr="00C317D5">
              <w:t>0,02%</w:t>
            </w:r>
          </w:p>
        </w:tc>
      </w:tr>
      <w:tr w:rsidR="003900BF" w:rsidRPr="00C317D5" w14:paraId="5CA238E1" w14:textId="77777777" w:rsidTr="002B111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71C827CE" w14:textId="77777777" w:rsidR="003900BF" w:rsidRPr="00C317D5" w:rsidRDefault="003900BF" w:rsidP="002B1112">
            <w:pPr>
              <w:pStyle w:val="Tabletext"/>
              <w:jc w:val="center"/>
            </w:pPr>
            <w:r w:rsidRPr="00C317D5">
              <w:t>TOTAL</w:t>
            </w:r>
          </w:p>
        </w:tc>
        <w:tc>
          <w:tcPr>
            <w:tcW w:w="15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6AC0039"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C317D5">
              <w:rPr>
                <w:b/>
                <w:bCs/>
              </w:rPr>
              <w:t>1 949 528</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F91643F"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C317D5">
              <w:rPr>
                <w:b/>
                <w:bCs/>
              </w:rPr>
              <w:t>1 735 617</w:t>
            </w:r>
          </w:p>
        </w:tc>
        <w:tc>
          <w:tcPr>
            <w:tcW w:w="12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7BFA10C"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C317D5">
              <w:rPr>
                <w:b/>
                <w:bCs/>
              </w:rPr>
              <w:t>1 849 007</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D92333D"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C317D5">
              <w:rPr>
                <w:b/>
                <w:bCs/>
              </w:rPr>
              <w:t>1 565 951</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CC45199"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C317D5">
              <w:rPr>
                <w:b/>
                <w:bCs/>
              </w:rPr>
              <w:t>7 100 103</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27B3B63" w14:textId="77777777" w:rsidR="003900BF" w:rsidRPr="00C317D5" w:rsidRDefault="003900BF" w:rsidP="002B1112">
            <w:pPr>
              <w:pStyle w:val="Tabletext"/>
              <w:jc w:val="center"/>
              <w:cnfStyle w:val="000000100000" w:firstRow="0" w:lastRow="0" w:firstColumn="0" w:lastColumn="0" w:oddVBand="0" w:evenVBand="0" w:oddHBand="1" w:evenHBand="0" w:firstRowFirstColumn="0" w:firstRowLastColumn="0" w:lastRowFirstColumn="0" w:lastRowLastColumn="0"/>
            </w:pPr>
            <w:r w:rsidRPr="00C317D5">
              <w:t>100,00%</w:t>
            </w:r>
          </w:p>
        </w:tc>
      </w:tr>
    </w:tbl>
    <w:p w14:paraId="1B07802A" w14:textId="77777777" w:rsidR="00B27BCB" w:rsidRPr="00C317D5" w:rsidRDefault="00B27BCB" w:rsidP="00B27BCB">
      <w:pPr>
        <w:pStyle w:val="Heading4"/>
      </w:pPr>
      <w:bookmarkStart w:id="63" w:name="lt_pId913"/>
      <w:r w:rsidRPr="00C317D5">
        <w:t>8.1.4.3</w:t>
      </w:r>
      <w:r w:rsidRPr="00C317D5">
        <w:tab/>
        <w:t>Informes UIT-R</w:t>
      </w:r>
      <w:bookmarkEnd w:id="63"/>
    </w:p>
    <w:p w14:paraId="09CC81F6" w14:textId="7D9CAA2A" w:rsidR="00B27BCB" w:rsidRPr="00C317D5" w:rsidRDefault="00B27BCB" w:rsidP="00BC5D9D">
      <w:r w:rsidRPr="00C317D5">
        <w:t>Al igual que en el caso de las Recomendaciones UIT-R, los Informes UIT-R se han publicado a escala mundial y puesto a alcance de una gran audiencia, lo que ha contribuido a la adopción de buenas prácticas técnicas en diversos ámbitos de las radiocomunicaciones. Desde enero de 201</w:t>
      </w:r>
      <w:r w:rsidR="00AF6240" w:rsidRPr="00C317D5">
        <w:t>9</w:t>
      </w:r>
      <w:r w:rsidRPr="00C317D5">
        <w:t xml:space="preserve"> a</w:t>
      </w:r>
      <w:r w:rsidR="00BC5D9D" w:rsidRPr="00C317D5">
        <w:t> </w:t>
      </w:r>
      <w:r w:rsidRPr="00C317D5">
        <w:t>diciembre de 202</w:t>
      </w:r>
      <w:r w:rsidR="00AF6240" w:rsidRPr="00C317D5">
        <w:t>2</w:t>
      </w:r>
      <w:r w:rsidRPr="00C317D5">
        <w:t xml:space="preserve">, se registraron más de un millón de descargas de Informes UIT-R desde el </w:t>
      </w:r>
      <w:r w:rsidRPr="00C317D5">
        <w:lastRenderedPageBreak/>
        <w:t>sitio</w:t>
      </w:r>
      <w:r w:rsidR="000216B8" w:rsidRPr="00C317D5">
        <w:t> </w:t>
      </w:r>
      <w:r w:rsidRPr="00C317D5">
        <w:t xml:space="preserve">web de la UIT. En el Cuadro 8.1.4.3-1 se resume su distribución por año y serie. Actualmente, existen </w:t>
      </w:r>
      <w:r w:rsidR="00AF6240" w:rsidRPr="00C317D5">
        <w:t>616</w:t>
      </w:r>
      <w:r w:rsidRPr="00C317D5">
        <w:t xml:space="preserve"> Informes UIT-R en vigor.</w:t>
      </w:r>
    </w:p>
    <w:p w14:paraId="05A269EA" w14:textId="77777777" w:rsidR="00B27BCB" w:rsidRPr="00C317D5" w:rsidRDefault="00B27BCB" w:rsidP="00A928FF">
      <w:pPr>
        <w:pStyle w:val="TableNoBR"/>
        <w:keepLines/>
      </w:pPr>
      <w:bookmarkStart w:id="64" w:name="lt_pId918"/>
      <w:r w:rsidRPr="00C317D5">
        <w:t>CUADRO 8.1.4.3-1</w:t>
      </w:r>
      <w:bookmarkEnd w:id="64"/>
    </w:p>
    <w:p w14:paraId="42C5DFEE" w14:textId="12FE498B" w:rsidR="00B27BCB" w:rsidRPr="00C317D5" w:rsidRDefault="00B27BCB" w:rsidP="00A928FF">
      <w:pPr>
        <w:pStyle w:val="TabletitleBR"/>
      </w:pPr>
      <w:bookmarkStart w:id="65" w:name="lt_pId919"/>
      <w:r w:rsidRPr="00C317D5">
        <w:t>Distribución de Informes UIT-R</w:t>
      </w:r>
      <w:r w:rsidR="00BC5D9D" w:rsidRPr="00C317D5">
        <w:t xml:space="preserve"> </w:t>
      </w:r>
      <w:r w:rsidRPr="00C317D5">
        <w:t>(descargas)</w:t>
      </w:r>
      <w:bookmarkEnd w:id="65"/>
    </w:p>
    <w:tbl>
      <w:tblPr>
        <w:tblStyle w:val="GridTable5Dark-Accent13"/>
        <w:tblW w:w="5000" w:type="pct"/>
        <w:jc w:val="center"/>
        <w:tblLook w:val="04A0" w:firstRow="1" w:lastRow="0" w:firstColumn="1" w:lastColumn="0" w:noHBand="0" w:noVBand="1"/>
      </w:tblPr>
      <w:tblGrid>
        <w:gridCol w:w="1417"/>
        <w:gridCol w:w="1572"/>
        <w:gridCol w:w="1571"/>
        <w:gridCol w:w="1121"/>
        <w:gridCol w:w="1184"/>
        <w:gridCol w:w="1474"/>
        <w:gridCol w:w="1290"/>
      </w:tblGrid>
      <w:tr w:rsidR="00B27BCB" w:rsidRPr="00C317D5" w14:paraId="34E52844" w14:textId="77777777" w:rsidTr="00CF5394">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17" w:type="dxa"/>
            <w:tcBorders>
              <w:bottom w:val="single" w:sz="8" w:space="0" w:color="FFFFFF" w:themeColor="background1"/>
            </w:tcBorders>
            <w:noWrap/>
            <w:hideMark/>
          </w:tcPr>
          <w:p w14:paraId="3C2C8C35" w14:textId="77777777" w:rsidR="00B27BCB" w:rsidRPr="00C317D5" w:rsidRDefault="00B27BCB" w:rsidP="00A928FF">
            <w:pPr>
              <w:pStyle w:val="Tablehead"/>
              <w:keepLines/>
              <w:rPr>
                <w:b/>
                <w:bCs w:val="0"/>
              </w:rPr>
            </w:pPr>
            <w:r w:rsidRPr="00C317D5">
              <w:rPr>
                <w:b/>
                <w:bCs w:val="0"/>
              </w:rPr>
              <w:t>SERIE</w:t>
            </w:r>
          </w:p>
        </w:tc>
        <w:tc>
          <w:tcPr>
            <w:tcW w:w="1572" w:type="dxa"/>
            <w:tcBorders>
              <w:bottom w:val="single" w:sz="8" w:space="0" w:color="FFFFFF" w:themeColor="background1"/>
            </w:tcBorders>
            <w:noWrap/>
            <w:hideMark/>
          </w:tcPr>
          <w:p w14:paraId="140BAE37" w14:textId="2ADAFA0D" w:rsidR="00B27BCB" w:rsidRPr="00C317D5" w:rsidRDefault="00AF6240" w:rsidP="00A928FF">
            <w:pPr>
              <w:pStyle w:val="Tablehead"/>
              <w:keepLines/>
              <w:cnfStyle w:val="100000000000" w:firstRow="1" w:lastRow="0" w:firstColumn="0" w:lastColumn="0" w:oddVBand="0" w:evenVBand="0" w:oddHBand="0" w:evenHBand="0" w:firstRowFirstColumn="0" w:firstRowLastColumn="0" w:lastRowFirstColumn="0" w:lastRowLastColumn="0"/>
              <w:rPr>
                <w:b/>
                <w:bCs w:val="0"/>
              </w:rPr>
            </w:pPr>
            <w:r w:rsidRPr="00C317D5">
              <w:rPr>
                <w:b/>
                <w:bCs w:val="0"/>
              </w:rPr>
              <w:t>2019</w:t>
            </w:r>
          </w:p>
        </w:tc>
        <w:tc>
          <w:tcPr>
            <w:tcW w:w="1571" w:type="dxa"/>
            <w:tcBorders>
              <w:bottom w:val="single" w:sz="8" w:space="0" w:color="FFFFFF" w:themeColor="background1"/>
            </w:tcBorders>
            <w:noWrap/>
            <w:hideMark/>
          </w:tcPr>
          <w:p w14:paraId="1F27291B" w14:textId="1E10AE4E" w:rsidR="00B27BCB" w:rsidRPr="00C317D5" w:rsidRDefault="00AF6240" w:rsidP="00A928FF">
            <w:pPr>
              <w:pStyle w:val="Tablehead"/>
              <w:keepLines/>
              <w:cnfStyle w:val="100000000000" w:firstRow="1" w:lastRow="0" w:firstColumn="0" w:lastColumn="0" w:oddVBand="0" w:evenVBand="0" w:oddHBand="0" w:evenHBand="0" w:firstRowFirstColumn="0" w:firstRowLastColumn="0" w:lastRowFirstColumn="0" w:lastRowLastColumn="0"/>
              <w:rPr>
                <w:b/>
                <w:bCs w:val="0"/>
              </w:rPr>
            </w:pPr>
            <w:r w:rsidRPr="00C317D5">
              <w:rPr>
                <w:b/>
                <w:bCs w:val="0"/>
              </w:rPr>
              <w:t>2020</w:t>
            </w:r>
          </w:p>
        </w:tc>
        <w:tc>
          <w:tcPr>
            <w:tcW w:w="1121" w:type="dxa"/>
            <w:tcBorders>
              <w:bottom w:val="single" w:sz="8" w:space="0" w:color="FFFFFF" w:themeColor="background1"/>
            </w:tcBorders>
          </w:tcPr>
          <w:p w14:paraId="3C60C255" w14:textId="01CEE415" w:rsidR="00B27BCB" w:rsidRPr="00C317D5" w:rsidRDefault="00AF6240" w:rsidP="00A928FF">
            <w:pPr>
              <w:pStyle w:val="Tablehead"/>
              <w:keepLines/>
              <w:cnfStyle w:val="100000000000" w:firstRow="1" w:lastRow="0" w:firstColumn="0" w:lastColumn="0" w:oddVBand="0" w:evenVBand="0" w:oddHBand="0" w:evenHBand="0" w:firstRowFirstColumn="0" w:firstRowLastColumn="0" w:lastRowFirstColumn="0" w:lastRowLastColumn="0"/>
              <w:rPr>
                <w:b/>
                <w:bCs w:val="0"/>
              </w:rPr>
            </w:pPr>
            <w:r w:rsidRPr="00C317D5">
              <w:rPr>
                <w:b/>
                <w:bCs w:val="0"/>
              </w:rPr>
              <w:t>2021</w:t>
            </w:r>
          </w:p>
        </w:tc>
        <w:tc>
          <w:tcPr>
            <w:tcW w:w="1184" w:type="dxa"/>
            <w:tcBorders>
              <w:bottom w:val="single" w:sz="8" w:space="0" w:color="FFFFFF" w:themeColor="background1"/>
            </w:tcBorders>
          </w:tcPr>
          <w:p w14:paraId="670C0254" w14:textId="4F04E492" w:rsidR="00B27BCB" w:rsidRPr="00C317D5" w:rsidRDefault="00AF6240" w:rsidP="00A928FF">
            <w:pPr>
              <w:pStyle w:val="Tablehead"/>
              <w:keepLines/>
              <w:cnfStyle w:val="100000000000" w:firstRow="1" w:lastRow="0" w:firstColumn="0" w:lastColumn="0" w:oddVBand="0" w:evenVBand="0" w:oddHBand="0" w:evenHBand="0" w:firstRowFirstColumn="0" w:firstRowLastColumn="0" w:lastRowFirstColumn="0" w:lastRowLastColumn="0"/>
              <w:rPr>
                <w:b/>
                <w:bCs w:val="0"/>
              </w:rPr>
            </w:pPr>
            <w:r w:rsidRPr="00C317D5">
              <w:rPr>
                <w:b/>
                <w:bCs w:val="0"/>
              </w:rPr>
              <w:t>2022</w:t>
            </w:r>
          </w:p>
        </w:tc>
        <w:tc>
          <w:tcPr>
            <w:tcW w:w="1474" w:type="dxa"/>
            <w:tcBorders>
              <w:bottom w:val="single" w:sz="8" w:space="0" w:color="FFFFFF" w:themeColor="background1"/>
            </w:tcBorders>
            <w:noWrap/>
            <w:hideMark/>
          </w:tcPr>
          <w:p w14:paraId="52C24D58" w14:textId="77777777" w:rsidR="00B27BCB" w:rsidRPr="00C317D5" w:rsidRDefault="00B27BCB" w:rsidP="00A928FF">
            <w:pPr>
              <w:pStyle w:val="Tablehead"/>
              <w:keepLines/>
              <w:cnfStyle w:val="100000000000" w:firstRow="1" w:lastRow="0" w:firstColumn="0" w:lastColumn="0" w:oddVBand="0" w:evenVBand="0" w:oddHBand="0" w:evenHBand="0" w:firstRowFirstColumn="0" w:firstRowLastColumn="0" w:lastRowFirstColumn="0" w:lastRowLastColumn="0"/>
              <w:rPr>
                <w:b/>
                <w:bCs w:val="0"/>
              </w:rPr>
            </w:pPr>
            <w:r w:rsidRPr="00C317D5">
              <w:rPr>
                <w:b/>
                <w:bCs w:val="0"/>
              </w:rPr>
              <w:t>TOTAL</w:t>
            </w:r>
          </w:p>
        </w:tc>
        <w:tc>
          <w:tcPr>
            <w:tcW w:w="1290" w:type="dxa"/>
            <w:tcBorders>
              <w:bottom w:val="single" w:sz="8" w:space="0" w:color="FFFFFF" w:themeColor="background1"/>
            </w:tcBorders>
          </w:tcPr>
          <w:p w14:paraId="031E1A57" w14:textId="77777777" w:rsidR="00B27BCB" w:rsidRPr="00C317D5" w:rsidRDefault="00B27BCB" w:rsidP="00A928FF">
            <w:pPr>
              <w:pStyle w:val="Tablehead"/>
              <w:keepLines/>
              <w:cnfStyle w:val="100000000000" w:firstRow="1" w:lastRow="0" w:firstColumn="0" w:lastColumn="0" w:oddVBand="0" w:evenVBand="0" w:oddHBand="0" w:evenHBand="0" w:firstRowFirstColumn="0" w:firstRowLastColumn="0" w:lastRowFirstColumn="0" w:lastRowLastColumn="0"/>
              <w:rPr>
                <w:b/>
                <w:bCs w:val="0"/>
              </w:rPr>
            </w:pPr>
            <w:r w:rsidRPr="00C317D5">
              <w:rPr>
                <w:b/>
                <w:bCs w:val="0"/>
              </w:rPr>
              <w:t>%</w:t>
            </w:r>
          </w:p>
        </w:tc>
      </w:tr>
      <w:tr w:rsidR="00AF6240" w:rsidRPr="00C317D5" w14:paraId="6C10D872" w14:textId="77777777" w:rsidTr="00CF5394">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hideMark/>
          </w:tcPr>
          <w:p w14:paraId="56467612" w14:textId="09C19B3F" w:rsidR="00AF6240" w:rsidRPr="00C317D5" w:rsidRDefault="00AF6240" w:rsidP="00AF6240">
            <w:pPr>
              <w:pStyle w:val="Tabletext"/>
              <w:keepNext/>
              <w:keepLines/>
              <w:jc w:val="center"/>
            </w:pPr>
            <w:r w:rsidRPr="00C317D5">
              <w:t>SM</w:t>
            </w:r>
          </w:p>
        </w:tc>
        <w:tc>
          <w:tcPr>
            <w:tcW w:w="15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682C7850" w14:textId="3B484A67" w:rsidR="00AF6240" w:rsidRPr="00C317D5" w:rsidRDefault="00AF6240" w:rsidP="00AF6240">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C317D5">
              <w:t>89</w:t>
            </w:r>
            <w:r w:rsidR="003900BF" w:rsidRPr="00C317D5">
              <w:t xml:space="preserve"> </w:t>
            </w:r>
            <w:r w:rsidRPr="00C317D5">
              <w:t>083</w:t>
            </w:r>
          </w:p>
        </w:tc>
        <w:tc>
          <w:tcPr>
            <w:tcW w:w="15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0D1084DC" w14:textId="27712940" w:rsidR="00AF6240" w:rsidRPr="00C317D5" w:rsidRDefault="00AF6240" w:rsidP="00AF6240">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C317D5">
              <w:t>101</w:t>
            </w:r>
            <w:r w:rsidR="003900BF" w:rsidRPr="00C317D5">
              <w:t xml:space="preserve"> </w:t>
            </w:r>
            <w:r w:rsidRPr="00C317D5">
              <w:t>965</w:t>
            </w:r>
          </w:p>
        </w:tc>
        <w:tc>
          <w:tcPr>
            <w:tcW w:w="1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DC59FB2" w14:textId="0CEE5BFE" w:rsidR="00AF6240" w:rsidRPr="00C317D5" w:rsidRDefault="00AF6240" w:rsidP="00AF6240">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C317D5">
              <w:t>149</w:t>
            </w:r>
            <w:r w:rsidR="003900BF" w:rsidRPr="00C317D5">
              <w:t xml:space="preserve"> </w:t>
            </w:r>
            <w:r w:rsidRPr="00C317D5">
              <w:t>392</w:t>
            </w:r>
          </w:p>
        </w:tc>
        <w:tc>
          <w:tcPr>
            <w:tcW w:w="11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18C5D36" w14:textId="1898CF75" w:rsidR="00AF6240" w:rsidRPr="00C317D5" w:rsidRDefault="00AF6240" w:rsidP="00AF6240">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C317D5">
              <w:t>105</w:t>
            </w:r>
            <w:r w:rsidR="003900BF" w:rsidRPr="00C317D5">
              <w:t xml:space="preserve"> </w:t>
            </w:r>
            <w:r w:rsidRPr="00C317D5">
              <w:t>880</w:t>
            </w:r>
          </w:p>
        </w:tc>
        <w:tc>
          <w:tcPr>
            <w:tcW w:w="14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70E0A985" w14:textId="18192B24" w:rsidR="00AF6240" w:rsidRPr="00C317D5" w:rsidRDefault="00AF6240" w:rsidP="00AF6240">
            <w:pPr>
              <w:pStyle w:val="Tabletext"/>
              <w:keepNext/>
              <w:keepLines/>
              <w:jc w:val="center"/>
              <w:cnfStyle w:val="000000100000" w:firstRow="0" w:lastRow="0" w:firstColumn="0" w:lastColumn="0" w:oddVBand="0" w:evenVBand="0" w:oddHBand="1" w:evenHBand="0" w:firstRowFirstColumn="0" w:firstRowLastColumn="0" w:lastRowFirstColumn="0" w:lastRowLastColumn="0"/>
              <w:rPr>
                <w:b/>
                <w:bCs/>
              </w:rPr>
            </w:pPr>
            <w:r w:rsidRPr="00C317D5">
              <w:rPr>
                <w:b/>
                <w:bCs/>
              </w:rPr>
              <w:t>446</w:t>
            </w:r>
            <w:r w:rsidR="003900BF" w:rsidRPr="00C317D5">
              <w:rPr>
                <w:b/>
                <w:bCs/>
              </w:rPr>
              <w:t xml:space="preserve"> </w:t>
            </w:r>
            <w:r w:rsidRPr="00C317D5">
              <w:rPr>
                <w:b/>
                <w:bCs/>
              </w:rPr>
              <w:t>320</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5D44967" w14:textId="1E996EB6" w:rsidR="00AF6240" w:rsidRPr="00C317D5" w:rsidRDefault="00AF6240" w:rsidP="00AF6240">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C317D5">
              <w:t>29,08%</w:t>
            </w:r>
          </w:p>
        </w:tc>
      </w:tr>
      <w:tr w:rsidR="00AF6240" w:rsidRPr="00C317D5" w14:paraId="7D14AD83" w14:textId="77777777" w:rsidTr="00CF5394">
        <w:trPr>
          <w:trHeight w:val="330"/>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hideMark/>
          </w:tcPr>
          <w:p w14:paraId="5D4C7A22" w14:textId="636D6A12" w:rsidR="00AF6240" w:rsidRPr="00C317D5" w:rsidRDefault="00AF6240" w:rsidP="00AF6240">
            <w:pPr>
              <w:pStyle w:val="Tabletext"/>
              <w:keepNext/>
              <w:keepLines/>
              <w:jc w:val="center"/>
            </w:pPr>
            <w:r w:rsidRPr="00C317D5">
              <w:t>M</w:t>
            </w:r>
          </w:p>
        </w:tc>
        <w:tc>
          <w:tcPr>
            <w:tcW w:w="15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59F659C5" w14:textId="5F5B1633" w:rsidR="00AF6240" w:rsidRPr="00C317D5" w:rsidRDefault="00AF6240" w:rsidP="00AF6240">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C317D5">
              <w:t>99</w:t>
            </w:r>
            <w:r w:rsidR="003900BF" w:rsidRPr="00C317D5">
              <w:t xml:space="preserve"> </w:t>
            </w:r>
            <w:r w:rsidRPr="00C317D5">
              <w:t>400</w:t>
            </w:r>
          </w:p>
        </w:tc>
        <w:tc>
          <w:tcPr>
            <w:tcW w:w="15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5ADEB83A" w14:textId="5623689D" w:rsidR="00AF6240" w:rsidRPr="00C317D5" w:rsidRDefault="00AF6240" w:rsidP="00AF6240">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C317D5">
              <w:t>105</w:t>
            </w:r>
            <w:r w:rsidR="003900BF" w:rsidRPr="00C317D5">
              <w:t xml:space="preserve"> </w:t>
            </w:r>
            <w:r w:rsidRPr="00C317D5">
              <w:t>681</w:t>
            </w:r>
          </w:p>
        </w:tc>
        <w:tc>
          <w:tcPr>
            <w:tcW w:w="1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D4E64DC" w14:textId="2F4BDB71" w:rsidR="00AF6240" w:rsidRPr="00C317D5" w:rsidRDefault="00AF6240" w:rsidP="00AF6240">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C317D5">
              <w:t>118</w:t>
            </w:r>
            <w:r w:rsidR="003900BF" w:rsidRPr="00C317D5">
              <w:t xml:space="preserve"> </w:t>
            </w:r>
            <w:r w:rsidRPr="00C317D5">
              <w:t>785</w:t>
            </w:r>
          </w:p>
        </w:tc>
        <w:tc>
          <w:tcPr>
            <w:tcW w:w="11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38012F4" w14:textId="395B8B01" w:rsidR="00AF6240" w:rsidRPr="00C317D5" w:rsidRDefault="00AF6240" w:rsidP="00AF6240">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C317D5">
              <w:t>102</w:t>
            </w:r>
            <w:r w:rsidR="003900BF" w:rsidRPr="00C317D5">
              <w:t xml:space="preserve"> </w:t>
            </w:r>
            <w:r w:rsidRPr="00C317D5">
              <w:t>742</w:t>
            </w:r>
          </w:p>
        </w:tc>
        <w:tc>
          <w:tcPr>
            <w:tcW w:w="14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5363FBF9" w14:textId="427831BE" w:rsidR="00AF6240" w:rsidRPr="00C317D5" w:rsidRDefault="00AF6240" w:rsidP="00AF6240">
            <w:pPr>
              <w:pStyle w:val="Tabletext"/>
              <w:keepNext/>
              <w:keepLines/>
              <w:jc w:val="center"/>
              <w:cnfStyle w:val="000000000000" w:firstRow="0" w:lastRow="0" w:firstColumn="0" w:lastColumn="0" w:oddVBand="0" w:evenVBand="0" w:oddHBand="0" w:evenHBand="0" w:firstRowFirstColumn="0" w:firstRowLastColumn="0" w:lastRowFirstColumn="0" w:lastRowLastColumn="0"/>
              <w:rPr>
                <w:b/>
                <w:bCs/>
              </w:rPr>
            </w:pPr>
            <w:r w:rsidRPr="00C317D5">
              <w:rPr>
                <w:b/>
                <w:bCs/>
                <w:color w:val="000000" w:themeColor="text1"/>
                <w:szCs w:val="24"/>
              </w:rPr>
              <w:t>426</w:t>
            </w:r>
            <w:r w:rsidR="003900BF" w:rsidRPr="00C317D5">
              <w:rPr>
                <w:b/>
                <w:bCs/>
                <w:color w:val="000000" w:themeColor="text1"/>
                <w:szCs w:val="24"/>
              </w:rPr>
              <w:t xml:space="preserve"> </w:t>
            </w:r>
            <w:r w:rsidRPr="00C317D5">
              <w:rPr>
                <w:b/>
                <w:bCs/>
                <w:color w:val="000000" w:themeColor="text1"/>
                <w:szCs w:val="24"/>
              </w:rPr>
              <w:t>608</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DC6576C" w14:textId="4AFB15F6" w:rsidR="00AF6240" w:rsidRPr="00C317D5" w:rsidRDefault="00AF6240" w:rsidP="00AF6240">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C317D5">
              <w:rPr>
                <w:color w:val="000000" w:themeColor="text1"/>
                <w:szCs w:val="24"/>
              </w:rPr>
              <w:t>27,79%</w:t>
            </w:r>
          </w:p>
        </w:tc>
      </w:tr>
      <w:tr w:rsidR="00AF6240" w:rsidRPr="00C317D5" w14:paraId="57CA16E6" w14:textId="77777777" w:rsidTr="00CF5394">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hideMark/>
          </w:tcPr>
          <w:p w14:paraId="1D516E48" w14:textId="77777777" w:rsidR="00AF6240" w:rsidRPr="00C317D5" w:rsidRDefault="00AF6240" w:rsidP="00AF6240">
            <w:pPr>
              <w:pStyle w:val="Tabletext"/>
              <w:keepNext/>
              <w:keepLines/>
              <w:jc w:val="center"/>
            </w:pPr>
            <w:r w:rsidRPr="00C317D5">
              <w:t>BT</w:t>
            </w:r>
          </w:p>
        </w:tc>
        <w:tc>
          <w:tcPr>
            <w:tcW w:w="15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58008504" w14:textId="446F98FD" w:rsidR="00AF6240" w:rsidRPr="00C317D5" w:rsidRDefault="00AF6240" w:rsidP="00AF6240">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C317D5">
              <w:t>57</w:t>
            </w:r>
            <w:r w:rsidR="003900BF" w:rsidRPr="00C317D5">
              <w:t xml:space="preserve"> </w:t>
            </w:r>
            <w:r w:rsidRPr="00C317D5">
              <w:t>578</w:t>
            </w:r>
          </w:p>
        </w:tc>
        <w:tc>
          <w:tcPr>
            <w:tcW w:w="15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26FBC186" w14:textId="5C8ADBE9" w:rsidR="00AF6240" w:rsidRPr="00C317D5" w:rsidRDefault="00AF6240" w:rsidP="00AF6240">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C317D5">
              <w:t>59</w:t>
            </w:r>
            <w:r w:rsidR="003900BF" w:rsidRPr="00C317D5">
              <w:t xml:space="preserve"> </w:t>
            </w:r>
            <w:r w:rsidRPr="00C317D5">
              <w:t>805</w:t>
            </w:r>
          </w:p>
        </w:tc>
        <w:tc>
          <w:tcPr>
            <w:tcW w:w="1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33BE7B4" w14:textId="0C2E526C" w:rsidR="00AF6240" w:rsidRPr="00C317D5" w:rsidRDefault="00AF6240" w:rsidP="00AF6240">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C317D5">
              <w:t>75</w:t>
            </w:r>
            <w:r w:rsidR="003900BF" w:rsidRPr="00C317D5">
              <w:t xml:space="preserve"> </w:t>
            </w:r>
            <w:r w:rsidRPr="00C317D5">
              <w:t>168</w:t>
            </w:r>
          </w:p>
        </w:tc>
        <w:tc>
          <w:tcPr>
            <w:tcW w:w="11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C34BCCE" w14:textId="07F0747E" w:rsidR="00AF6240" w:rsidRPr="00C317D5" w:rsidRDefault="00AF6240" w:rsidP="00AF6240">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C317D5">
              <w:t>76</w:t>
            </w:r>
            <w:r w:rsidR="003900BF" w:rsidRPr="00C317D5">
              <w:t xml:space="preserve"> </w:t>
            </w:r>
            <w:r w:rsidRPr="00C317D5">
              <w:t>421</w:t>
            </w:r>
          </w:p>
        </w:tc>
        <w:tc>
          <w:tcPr>
            <w:tcW w:w="14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1E3C1191" w14:textId="1B024E07" w:rsidR="00AF6240" w:rsidRPr="00C317D5" w:rsidRDefault="00AF6240" w:rsidP="00AF6240">
            <w:pPr>
              <w:pStyle w:val="Tabletext"/>
              <w:keepNext/>
              <w:keepLines/>
              <w:jc w:val="center"/>
              <w:cnfStyle w:val="000000100000" w:firstRow="0" w:lastRow="0" w:firstColumn="0" w:lastColumn="0" w:oddVBand="0" w:evenVBand="0" w:oddHBand="1" w:evenHBand="0" w:firstRowFirstColumn="0" w:firstRowLastColumn="0" w:lastRowFirstColumn="0" w:lastRowLastColumn="0"/>
              <w:rPr>
                <w:b/>
                <w:bCs/>
              </w:rPr>
            </w:pPr>
            <w:r w:rsidRPr="00C317D5">
              <w:rPr>
                <w:b/>
                <w:bCs/>
                <w:color w:val="000000" w:themeColor="text1"/>
                <w:szCs w:val="24"/>
              </w:rPr>
              <w:t>268</w:t>
            </w:r>
            <w:r w:rsidR="003900BF" w:rsidRPr="00C317D5">
              <w:rPr>
                <w:b/>
                <w:bCs/>
                <w:color w:val="000000" w:themeColor="text1"/>
                <w:szCs w:val="24"/>
              </w:rPr>
              <w:t xml:space="preserve"> </w:t>
            </w:r>
            <w:r w:rsidRPr="00C317D5">
              <w:rPr>
                <w:b/>
                <w:bCs/>
                <w:color w:val="000000" w:themeColor="text1"/>
                <w:szCs w:val="24"/>
              </w:rPr>
              <w:t>972</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17A9C48" w14:textId="47122DFE" w:rsidR="00AF6240" w:rsidRPr="00C317D5" w:rsidRDefault="00AF6240" w:rsidP="00AF6240">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C317D5">
              <w:rPr>
                <w:color w:val="000000" w:themeColor="text1"/>
                <w:szCs w:val="24"/>
              </w:rPr>
              <w:t>17,52%</w:t>
            </w:r>
          </w:p>
        </w:tc>
      </w:tr>
      <w:tr w:rsidR="00AF6240" w:rsidRPr="00C317D5" w14:paraId="1350118F" w14:textId="77777777" w:rsidTr="00CF5394">
        <w:trPr>
          <w:trHeight w:val="330"/>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hideMark/>
          </w:tcPr>
          <w:p w14:paraId="7EDD5DDA" w14:textId="77777777" w:rsidR="00AF6240" w:rsidRPr="00C317D5" w:rsidRDefault="00AF6240" w:rsidP="00AF6240">
            <w:pPr>
              <w:pStyle w:val="Tabletext"/>
              <w:keepNext/>
              <w:keepLines/>
              <w:jc w:val="center"/>
            </w:pPr>
            <w:r w:rsidRPr="00C317D5">
              <w:t>BS</w:t>
            </w:r>
          </w:p>
        </w:tc>
        <w:tc>
          <w:tcPr>
            <w:tcW w:w="15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0D6679DF" w14:textId="084D026C" w:rsidR="00AF6240" w:rsidRPr="00C317D5" w:rsidRDefault="00AF6240" w:rsidP="00AF6240">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C317D5">
              <w:t>22</w:t>
            </w:r>
            <w:r w:rsidR="003900BF" w:rsidRPr="00C317D5">
              <w:t xml:space="preserve"> </w:t>
            </w:r>
            <w:r w:rsidRPr="00C317D5">
              <w:t>769</w:t>
            </w:r>
          </w:p>
        </w:tc>
        <w:tc>
          <w:tcPr>
            <w:tcW w:w="15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2F5E1549" w14:textId="5242823A" w:rsidR="00AF6240" w:rsidRPr="00C317D5" w:rsidRDefault="00AF6240" w:rsidP="00AF6240">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C317D5">
              <w:t>28</w:t>
            </w:r>
            <w:r w:rsidR="003900BF" w:rsidRPr="00C317D5">
              <w:t xml:space="preserve"> </w:t>
            </w:r>
            <w:r w:rsidRPr="00C317D5">
              <w:t>707</w:t>
            </w:r>
          </w:p>
        </w:tc>
        <w:tc>
          <w:tcPr>
            <w:tcW w:w="1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76370FA" w14:textId="681CC0F0" w:rsidR="00AF6240" w:rsidRPr="00C317D5" w:rsidRDefault="00AF6240" w:rsidP="00AF6240">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C317D5">
              <w:t>35</w:t>
            </w:r>
            <w:r w:rsidR="003900BF" w:rsidRPr="00C317D5">
              <w:t xml:space="preserve"> </w:t>
            </w:r>
            <w:r w:rsidRPr="00C317D5">
              <w:t>392</w:t>
            </w:r>
          </w:p>
        </w:tc>
        <w:tc>
          <w:tcPr>
            <w:tcW w:w="11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CF21065" w14:textId="2EB1B20F" w:rsidR="00AF6240" w:rsidRPr="00C317D5" w:rsidRDefault="00AF6240" w:rsidP="00AF6240">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C317D5">
              <w:t>30</w:t>
            </w:r>
            <w:r w:rsidR="003900BF" w:rsidRPr="00C317D5">
              <w:t xml:space="preserve"> </w:t>
            </w:r>
            <w:r w:rsidRPr="00C317D5">
              <w:t>002</w:t>
            </w:r>
          </w:p>
        </w:tc>
        <w:tc>
          <w:tcPr>
            <w:tcW w:w="14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7D6BC9E8" w14:textId="00FD9323" w:rsidR="00AF6240" w:rsidRPr="00C317D5" w:rsidRDefault="00AF6240" w:rsidP="00AF6240">
            <w:pPr>
              <w:pStyle w:val="Tabletext"/>
              <w:keepNext/>
              <w:keepLines/>
              <w:jc w:val="center"/>
              <w:cnfStyle w:val="000000000000" w:firstRow="0" w:lastRow="0" w:firstColumn="0" w:lastColumn="0" w:oddVBand="0" w:evenVBand="0" w:oddHBand="0" w:evenHBand="0" w:firstRowFirstColumn="0" w:firstRowLastColumn="0" w:lastRowFirstColumn="0" w:lastRowLastColumn="0"/>
              <w:rPr>
                <w:b/>
                <w:bCs/>
              </w:rPr>
            </w:pPr>
            <w:r w:rsidRPr="00C317D5">
              <w:rPr>
                <w:b/>
                <w:bCs/>
                <w:color w:val="000000" w:themeColor="text1"/>
                <w:szCs w:val="24"/>
              </w:rPr>
              <w:t>11</w:t>
            </w:r>
            <w:r w:rsidR="003900BF" w:rsidRPr="00C317D5">
              <w:rPr>
                <w:b/>
                <w:bCs/>
                <w:color w:val="000000" w:themeColor="text1"/>
                <w:szCs w:val="24"/>
              </w:rPr>
              <w:t xml:space="preserve"> </w:t>
            </w:r>
            <w:r w:rsidRPr="00C317D5">
              <w:rPr>
                <w:b/>
                <w:bCs/>
                <w:color w:val="000000" w:themeColor="text1"/>
                <w:szCs w:val="24"/>
              </w:rPr>
              <w:t>6870</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B2DB39B" w14:textId="5834B0E9" w:rsidR="00AF6240" w:rsidRPr="00C317D5" w:rsidRDefault="00AF6240" w:rsidP="00AF6240">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C317D5">
              <w:rPr>
                <w:color w:val="000000" w:themeColor="text1"/>
                <w:szCs w:val="24"/>
              </w:rPr>
              <w:t>7,61%</w:t>
            </w:r>
          </w:p>
        </w:tc>
      </w:tr>
      <w:tr w:rsidR="00AF6240" w:rsidRPr="00C317D5" w14:paraId="7F9CFEB8" w14:textId="77777777" w:rsidTr="00CF5394">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hideMark/>
          </w:tcPr>
          <w:p w14:paraId="01BE6309" w14:textId="77777777" w:rsidR="00AF6240" w:rsidRPr="00C317D5" w:rsidRDefault="00AF6240" w:rsidP="00AF6240">
            <w:pPr>
              <w:pStyle w:val="Tabletext"/>
              <w:keepNext/>
              <w:keepLines/>
              <w:jc w:val="center"/>
            </w:pPr>
            <w:r w:rsidRPr="00C317D5">
              <w:t>P</w:t>
            </w:r>
          </w:p>
        </w:tc>
        <w:tc>
          <w:tcPr>
            <w:tcW w:w="15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7FE9F9B4" w14:textId="0D629AEA" w:rsidR="00AF6240" w:rsidRPr="00C317D5" w:rsidRDefault="00AF6240" w:rsidP="00AF6240">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C317D5">
              <w:t>12</w:t>
            </w:r>
            <w:r w:rsidR="003900BF" w:rsidRPr="00C317D5">
              <w:t xml:space="preserve"> </w:t>
            </w:r>
            <w:r w:rsidRPr="00C317D5">
              <w:t>628</w:t>
            </w:r>
          </w:p>
        </w:tc>
        <w:tc>
          <w:tcPr>
            <w:tcW w:w="15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4E1D5964" w14:textId="64E22216" w:rsidR="00AF6240" w:rsidRPr="00C317D5" w:rsidRDefault="00AF6240" w:rsidP="00AF6240">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C317D5">
              <w:t>14</w:t>
            </w:r>
            <w:r w:rsidR="003900BF" w:rsidRPr="00C317D5">
              <w:t xml:space="preserve"> </w:t>
            </w:r>
            <w:r w:rsidRPr="00C317D5">
              <w:t>785</w:t>
            </w:r>
          </w:p>
        </w:tc>
        <w:tc>
          <w:tcPr>
            <w:tcW w:w="1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6FB2A91" w14:textId="3222B0DF" w:rsidR="00AF6240" w:rsidRPr="00C317D5" w:rsidRDefault="00AF6240" w:rsidP="00AF6240">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C317D5">
              <w:t>18</w:t>
            </w:r>
            <w:r w:rsidR="003900BF" w:rsidRPr="00C317D5">
              <w:t xml:space="preserve"> </w:t>
            </w:r>
            <w:r w:rsidRPr="00C317D5">
              <w:t>142</w:t>
            </w:r>
          </w:p>
        </w:tc>
        <w:tc>
          <w:tcPr>
            <w:tcW w:w="11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C9CE353" w14:textId="7208AA56" w:rsidR="00AF6240" w:rsidRPr="00C317D5" w:rsidRDefault="00AF6240" w:rsidP="00AF6240">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C317D5">
              <w:t>15</w:t>
            </w:r>
            <w:r w:rsidR="003900BF" w:rsidRPr="00C317D5">
              <w:t xml:space="preserve"> </w:t>
            </w:r>
            <w:r w:rsidRPr="00C317D5">
              <w:t>647</w:t>
            </w:r>
          </w:p>
        </w:tc>
        <w:tc>
          <w:tcPr>
            <w:tcW w:w="14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29C9E183" w14:textId="0CB46E71" w:rsidR="00AF6240" w:rsidRPr="00C317D5" w:rsidRDefault="00AF6240" w:rsidP="00AF6240">
            <w:pPr>
              <w:pStyle w:val="Tabletext"/>
              <w:keepNext/>
              <w:keepLines/>
              <w:jc w:val="center"/>
              <w:cnfStyle w:val="000000100000" w:firstRow="0" w:lastRow="0" w:firstColumn="0" w:lastColumn="0" w:oddVBand="0" w:evenVBand="0" w:oddHBand="1" w:evenHBand="0" w:firstRowFirstColumn="0" w:firstRowLastColumn="0" w:lastRowFirstColumn="0" w:lastRowLastColumn="0"/>
              <w:rPr>
                <w:b/>
                <w:bCs/>
              </w:rPr>
            </w:pPr>
            <w:r w:rsidRPr="00C317D5">
              <w:rPr>
                <w:b/>
                <w:bCs/>
                <w:color w:val="000000" w:themeColor="text1"/>
                <w:szCs w:val="24"/>
              </w:rPr>
              <w:t>61</w:t>
            </w:r>
            <w:r w:rsidR="003900BF" w:rsidRPr="00C317D5">
              <w:rPr>
                <w:b/>
                <w:bCs/>
                <w:color w:val="000000" w:themeColor="text1"/>
                <w:szCs w:val="24"/>
              </w:rPr>
              <w:t xml:space="preserve"> </w:t>
            </w:r>
            <w:r w:rsidRPr="00C317D5">
              <w:rPr>
                <w:b/>
                <w:bCs/>
                <w:color w:val="000000" w:themeColor="text1"/>
                <w:szCs w:val="24"/>
              </w:rPr>
              <w:t>202</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0DD29E5" w14:textId="0C7AACB8" w:rsidR="00AF6240" w:rsidRPr="00C317D5" w:rsidRDefault="00AF6240" w:rsidP="00AF6240">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C317D5">
              <w:rPr>
                <w:color w:val="000000" w:themeColor="text1"/>
                <w:szCs w:val="24"/>
              </w:rPr>
              <w:t>3,99%</w:t>
            </w:r>
          </w:p>
        </w:tc>
      </w:tr>
      <w:tr w:rsidR="00AF6240" w:rsidRPr="00C317D5" w14:paraId="3F64DE2F" w14:textId="77777777" w:rsidTr="00CF5394">
        <w:trPr>
          <w:trHeight w:val="330"/>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hideMark/>
          </w:tcPr>
          <w:p w14:paraId="44E4D274" w14:textId="77777777" w:rsidR="00AF6240" w:rsidRPr="00C317D5" w:rsidRDefault="00AF6240" w:rsidP="00AF6240">
            <w:pPr>
              <w:pStyle w:val="Tabletext"/>
              <w:keepNext/>
              <w:keepLines/>
              <w:jc w:val="center"/>
            </w:pPr>
            <w:r w:rsidRPr="00C317D5">
              <w:t>BO</w:t>
            </w:r>
          </w:p>
        </w:tc>
        <w:tc>
          <w:tcPr>
            <w:tcW w:w="15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196A7E7D" w14:textId="1ADDC6E5" w:rsidR="00AF6240" w:rsidRPr="00C317D5" w:rsidRDefault="00AF6240" w:rsidP="00AF6240">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C317D5">
              <w:t>12</w:t>
            </w:r>
            <w:r w:rsidR="003900BF" w:rsidRPr="00C317D5">
              <w:t xml:space="preserve"> </w:t>
            </w:r>
            <w:r w:rsidRPr="00C317D5">
              <w:t>663</w:t>
            </w:r>
          </w:p>
        </w:tc>
        <w:tc>
          <w:tcPr>
            <w:tcW w:w="15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25834CCA" w14:textId="12F53AEC" w:rsidR="00AF6240" w:rsidRPr="00C317D5" w:rsidRDefault="00AF6240" w:rsidP="00AF6240">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C317D5">
              <w:t>14</w:t>
            </w:r>
            <w:r w:rsidR="003900BF" w:rsidRPr="00C317D5">
              <w:t xml:space="preserve"> </w:t>
            </w:r>
            <w:r w:rsidRPr="00C317D5">
              <w:t>003</w:t>
            </w:r>
          </w:p>
        </w:tc>
        <w:tc>
          <w:tcPr>
            <w:tcW w:w="1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925B0E2" w14:textId="77E83440" w:rsidR="00AF6240" w:rsidRPr="00C317D5" w:rsidRDefault="00AF6240" w:rsidP="00AF6240">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C317D5">
              <w:t>16</w:t>
            </w:r>
            <w:r w:rsidR="003900BF" w:rsidRPr="00C317D5">
              <w:t xml:space="preserve"> </w:t>
            </w:r>
            <w:r w:rsidRPr="00C317D5">
              <w:t>812</w:t>
            </w:r>
          </w:p>
        </w:tc>
        <w:tc>
          <w:tcPr>
            <w:tcW w:w="11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5FF9D39" w14:textId="517B8A9F" w:rsidR="00AF6240" w:rsidRPr="00C317D5" w:rsidRDefault="00AF6240" w:rsidP="00AF6240">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C317D5">
              <w:t>16</w:t>
            </w:r>
            <w:r w:rsidR="003900BF" w:rsidRPr="00C317D5">
              <w:t xml:space="preserve"> </w:t>
            </w:r>
            <w:r w:rsidRPr="00C317D5">
              <w:t>721</w:t>
            </w:r>
          </w:p>
        </w:tc>
        <w:tc>
          <w:tcPr>
            <w:tcW w:w="14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6A3F8CB7" w14:textId="74DE3C19" w:rsidR="00AF6240" w:rsidRPr="00C317D5" w:rsidRDefault="00AF6240" w:rsidP="00AF6240">
            <w:pPr>
              <w:pStyle w:val="Tabletext"/>
              <w:keepNext/>
              <w:keepLines/>
              <w:jc w:val="center"/>
              <w:cnfStyle w:val="000000000000" w:firstRow="0" w:lastRow="0" w:firstColumn="0" w:lastColumn="0" w:oddVBand="0" w:evenVBand="0" w:oddHBand="0" w:evenHBand="0" w:firstRowFirstColumn="0" w:firstRowLastColumn="0" w:lastRowFirstColumn="0" w:lastRowLastColumn="0"/>
              <w:rPr>
                <w:b/>
                <w:bCs/>
              </w:rPr>
            </w:pPr>
            <w:r w:rsidRPr="00C317D5">
              <w:rPr>
                <w:b/>
                <w:bCs/>
                <w:color w:val="000000" w:themeColor="text1"/>
                <w:szCs w:val="24"/>
              </w:rPr>
              <w:t>60</w:t>
            </w:r>
            <w:r w:rsidR="003900BF" w:rsidRPr="00C317D5">
              <w:rPr>
                <w:b/>
                <w:bCs/>
                <w:color w:val="000000" w:themeColor="text1"/>
                <w:szCs w:val="24"/>
              </w:rPr>
              <w:t xml:space="preserve"> </w:t>
            </w:r>
            <w:r w:rsidRPr="00C317D5">
              <w:rPr>
                <w:b/>
                <w:bCs/>
                <w:color w:val="000000" w:themeColor="text1"/>
                <w:szCs w:val="24"/>
              </w:rPr>
              <w:t>199</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3062FCF" w14:textId="24D310CF" w:rsidR="00AF6240" w:rsidRPr="00C317D5" w:rsidRDefault="00AF6240" w:rsidP="00AF6240">
            <w:pPr>
              <w:pStyle w:val="Tabletext"/>
              <w:keepNext/>
              <w:keepLines/>
              <w:jc w:val="center"/>
              <w:cnfStyle w:val="000000000000" w:firstRow="0" w:lastRow="0" w:firstColumn="0" w:lastColumn="0" w:oddVBand="0" w:evenVBand="0" w:oddHBand="0" w:evenHBand="0" w:firstRowFirstColumn="0" w:firstRowLastColumn="0" w:lastRowFirstColumn="0" w:lastRowLastColumn="0"/>
            </w:pPr>
            <w:r w:rsidRPr="00C317D5">
              <w:rPr>
                <w:color w:val="000000" w:themeColor="text1"/>
                <w:szCs w:val="24"/>
              </w:rPr>
              <w:t>3,92%</w:t>
            </w:r>
          </w:p>
        </w:tc>
      </w:tr>
      <w:tr w:rsidR="00AF6240" w:rsidRPr="00C317D5" w14:paraId="22A82CB2" w14:textId="77777777" w:rsidTr="00CF5394">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hideMark/>
          </w:tcPr>
          <w:p w14:paraId="1BAC7D94" w14:textId="77777777" w:rsidR="00AF6240" w:rsidRPr="00C317D5" w:rsidRDefault="00AF6240" w:rsidP="00AF6240">
            <w:pPr>
              <w:pStyle w:val="Tabletext"/>
              <w:jc w:val="center"/>
            </w:pPr>
            <w:r w:rsidRPr="00C317D5">
              <w:t>F</w:t>
            </w:r>
          </w:p>
        </w:tc>
        <w:tc>
          <w:tcPr>
            <w:tcW w:w="15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435A5BB3" w14:textId="49240865"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pPr>
            <w:r w:rsidRPr="00C317D5">
              <w:t>13</w:t>
            </w:r>
            <w:r w:rsidR="003900BF" w:rsidRPr="00C317D5">
              <w:t xml:space="preserve"> </w:t>
            </w:r>
            <w:r w:rsidRPr="00C317D5">
              <w:t>414</w:t>
            </w:r>
          </w:p>
        </w:tc>
        <w:tc>
          <w:tcPr>
            <w:tcW w:w="15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7C7CC00F" w14:textId="152DA3E5"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pPr>
            <w:r w:rsidRPr="00C317D5">
              <w:t>12</w:t>
            </w:r>
            <w:r w:rsidR="003900BF" w:rsidRPr="00C317D5">
              <w:t xml:space="preserve"> </w:t>
            </w:r>
            <w:r w:rsidRPr="00C317D5">
              <w:t>411</w:t>
            </w:r>
          </w:p>
        </w:tc>
        <w:tc>
          <w:tcPr>
            <w:tcW w:w="1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8E0FE14" w14:textId="222961E7"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pPr>
            <w:r w:rsidRPr="00C317D5">
              <w:t>15</w:t>
            </w:r>
            <w:r w:rsidR="003900BF" w:rsidRPr="00C317D5">
              <w:t xml:space="preserve"> </w:t>
            </w:r>
            <w:r w:rsidRPr="00C317D5">
              <w:t>138</w:t>
            </w:r>
          </w:p>
        </w:tc>
        <w:tc>
          <w:tcPr>
            <w:tcW w:w="11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A801E35" w14:textId="0B81C677"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pPr>
            <w:r w:rsidRPr="00C317D5">
              <w:t>8</w:t>
            </w:r>
            <w:r w:rsidR="003900BF" w:rsidRPr="00C317D5">
              <w:t xml:space="preserve"> </w:t>
            </w:r>
            <w:r w:rsidRPr="00C317D5">
              <w:t>623</w:t>
            </w:r>
          </w:p>
        </w:tc>
        <w:tc>
          <w:tcPr>
            <w:tcW w:w="14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3013A209" w14:textId="63E21F78"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C317D5">
              <w:rPr>
                <w:b/>
                <w:bCs/>
                <w:color w:val="000000" w:themeColor="text1"/>
                <w:szCs w:val="24"/>
              </w:rPr>
              <w:t>49</w:t>
            </w:r>
            <w:r w:rsidR="003900BF" w:rsidRPr="00C317D5">
              <w:rPr>
                <w:b/>
                <w:bCs/>
                <w:color w:val="000000" w:themeColor="text1"/>
                <w:szCs w:val="24"/>
              </w:rPr>
              <w:t xml:space="preserve"> </w:t>
            </w:r>
            <w:r w:rsidRPr="00C317D5">
              <w:rPr>
                <w:b/>
                <w:bCs/>
                <w:color w:val="000000" w:themeColor="text1"/>
                <w:szCs w:val="24"/>
              </w:rPr>
              <w:t>586</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C3BF162" w14:textId="24925E81"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pPr>
            <w:r w:rsidRPr="00C317D5">
              <w:rPr>
                <w:color w:val="000000" w:themeColor="text1"/>
                <w:szCs w:val="24"/>
              </w:rPr>
              <w:t>3,23%</w:t>
            </w:r>
          </w:p>
        </w:tc>
      </w:tr>
      <w:tr w:rsidR="00AF6240" w:rsidRPr="00C317D5" w14:paraId="4CBFD372" w14:textId="77777777" w:rsidTr="00CF5394">
        <w:trPr>
          <w:trHeight w:val="330"/>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hideMark/>
          </w:tcPr>
          <w:p w14:paraId="28C77851" w14:textId="77777777" w:rsidR="00AF6240" w:rsidRPr="00C317D5" w:rsidRDefault="00AF6240" w:rsidP="00AF6240">
            <w:pPr>
              <w:pStyle w:val="Tabletext"/>
              <w:jc w:val="center"/>
            </w:pPr>
            <w:r w:rsidRPr="00C317D5">
              <w:t>S</w:t>
            </w:r>
          </w:p>
        </w:tc>
        <w:tc>
          <w:tcPr>
            <w:tcW w:w="15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075F7221" w14:textId="0662F64B" w:rsidR="00AF6240" w:rsidRPr="00C317D5" w:rsidRDefault="00AF6240" w:rsidP="00AF6240">
            <w:pPr>
              <w:pStyle w:val="Tabletext"/>
              <w:jc w:val="center"/>
              <w:cnfStyle w:val="000000000000" w:firstRow="0" w:lastRow="0" w:firstColumn="0" w:lastColumn="0" w:oddVBand="0" w:evenVBand="0" w:oddHBand="0" w:evenHBand="0" w:firstRowFirstColumn="0" w:firstRowLastColumn="0" w:lastRowFirstColumn="0" w:lastRowLastColumn="0"/>
            </w:pPr>
            <w:r w:rsidRPr="00C317D5">
              <w:t>9</w:t>
            </w:r>
            <w:r w:rsidR="003900BF" w:rsidRPr="00C317D5">
              <w:t xml:space="preserve"> </w:t>
            </w:r>
            <w:r w:rsidRPr="00C317D5">
              <w:t>484</w:t>
            </w:r>
          </w:p>
        </w:tc>
        <w:tc>
          <w:tcPr>
            <w:tcW w:w="15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73AA0007" w14:textId="7249D2EC" w:rsidR="00AF6240" w:rsidRPr="00C317D5" w:rsidRDefault="00AF6240" w:rsidP="00AF6240">
            <w:pPr>
              <w:pStyle w:val="Tabletext"/>
              <w:jc w:val="center"/>
              <w:cnfStyle w:val="000000000000" w:firstRow="0" w:lastRow="0" w:firstColumn="0" w:lastColumn="0" w:oddVBand="0" w:evenVBand="0" w:oddHBand="0" w:evenHBand="0" w:firstRowFirstColumn="0" w:firstRowLastColumn="0" w:lastRowFirstColumn="0" w:lastRowLastColumn="0"/>
            </w:pPr>
            <w:r w:rsidRPr="00C317D5">
              <w:t>10</w:t>
            </w:r>
            <w:r w:rsidR="003900BF" w:rsidRPr="00C317D5">
              <w:t xml:space="preserve"> </w:t>
            </w:r>
            <w:r w:rsidRPr="00C317D5">
              <w:t>001</w:t>
            </w:r>
          </w:p>
        </w:tc>
        <w:tc>
          <w:tcPr>
            <w:tcW w:w="1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BCFF48B" w14:textId="289DAF10" w:rsidR="00AF6240" w:rsidRPr="00C317D5" w:rsidRDefault="00AF6240" w:rsidP="00AF6240">
            <w:pPr>
              <w:pStyle w:val="Tabletext"/>
              <w:jc w:val="center"/>
              <w:cnfStyle w:val="000000000000" w:firstRow="0" w:lastRow="0" w:firstColumn="0" w:lastColumn="0" w:oddVBand="0" w:evenVBand="0" w:oddHBand="0" w:evenHBand="0" w:firstRowFirstColumn="0" w:firstRowLastColumn="0" w:lastRowFirstColumn="0" w:lastRowLastColumn="0"/>
            </w:pPr>
            <w:r w:rsidRPr="00C317D5">
              <w:t>9</w:t>
            </w:r>
            <w:r w:rsidR="003900BF" w:rsidRPr="00C317D5">
              <w:t xml:space="preserve"> </w:t>
            </w:r>
            <w:r w:rsidRPr="00C317D5">
              <w:t>918</w:t>
            </w:r>
          </w:p>
        </w:tc>
        <w:tc>
          <w:tcPr>
            <w:tcW w:w="11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3E556D4" w14:textId="0CA76866" w:rsidR="00AF6240" w:rsidRPr="00C317D5" w:rsidRDefault="00AF6240" w:rsidP="00AF6240">
            <w:pPr>
              <w:pStyle w:val="Tabletext"/>
              <w:jc w:val="center"/>
              <w:cnfStyle w:val="000000000000" w:firstRow="0" w:lastRow="0" w:firstColumn="0" w:lastColumn="0" w:oddVBand="0" w:evenVBand="0" w:oddHBand="0" w:evenHBand="0" w:firstRowFirstColumn="0" w:firstRowLastColumn="0" w:lastRowFirstColumn="0" w:lastRowLastColumn="0"/>
            </w:pPr>
            <w:r w:rsidRPr="00C317D5">
              <w:t>9</w:t>
            </w:r>
            <w:r w:rsidR="003900BF" w:rsidRPr="00C317D5">
              <w:t xml:space="preserve"> </w:t>
            </w:r>
            <w:r w:rsidRPr="00C317D5">
              <w:t>170</w:t>
            </w:r>
          </w:p>
        </w:tc>
        <w:tc>
          <w:tcPr>
            <w:tcW w:w="14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2040F728" w14:textId="6E664140" w:rsidR="00AF6240" w:rsidRPr="00C317D5" w:rsidRDefault="00AF6240" w:rsidP="00AF6240">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C317D5">
              <w:rPr>
                <w:b/>
                <w:bCs/>
                <w:color w:val="000000" w:themeColor="text1"/>
                <w:szCs w:val="24"/>
              </w:rPr>
              <w:t>38</w:t>
            </w:r>
            <w:r w:rsidR="003900BF" w:rsidRPr="00C317D5">
              <w:rPr>
                <w:b/>
                <w:bCs/>
                <w:color w:val="000000" w:themeColor="text1"/>
                <w:szCs w:val="24"/>
              </w:rPr>
              <w:t xml:space="preserve"> </w:t>
            </w:r>
            <w:r w:rsidRPr="00C317D5">
              <w:rPr>
                <w:b/>
                <w:bCs/>
                <w:color w:val="000000" w:themeColor="text1"/>
                <w:szCs w:val="24"/>
              </w:rPr>
              <w:t>573</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75681D6" w14:textId="21217B8E" w:rsidR="00AF6240" w:rsidRPr="00C317D5" w:rsidRDefault="00AF6240" w:rsidP="00AF6240">
            <w:pPr>
              <w:pStyle w:val="Tabletext"/>
              <w:jc w:val="center"/>
              <w:cnfStyle w:val="000000000000" w:firstRow="0" w:lastRow="0" w:firstColumn="0" w:lastColumn="0" w:oddVBand="0" w:evenVBand="0" w:oddHBand="0" w:evenHBand="0" w:firstRowFirstColumn="0" w:firstRowLastColumn="0" w:lastRowFirstColumn="0" w:lastRowLastColumn="0"/>
            </w:pPr>
            <w:r w:rsidRPr="00C317D5">
              <w:rPr>
                <w:color w:val="000000" w:themeColor="text1"/>
                <w:szCs w:val="24"/>
              </w:rPr>
              <w:t>2,51%</w:t>
            </w:r>
          </w:p>
        </w:tc>
      </w:tr>
      <w:tr w:rsidR="00AF6240" w:rsidRPr="00C317D5" w14:paraId="281D50A2" w14:textId="77777777" w:rsidTr="00CF5394">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hideMark/>
          </w:tcPr>
          <w:p w14:paraId="761F9B0C" w14:textId="77777777" w:rsidR="00AF6240" w:rsidRPr="00C317D5" w:rsidRDefault="00AF6240" w:rsidP="00AF6240">
            <w:pPr>
              <w:pStyle w:val="Tabletext"/>
              <w:jc w:val="center"/>
            </w:pPr>
            <w:r w:rsidRPr="00C317D5">
              <w:t>SA</w:t>
            </w:r>
          </w:p>
        </w:tc>
        <w:tc>
          <w:tcPr>
            <w:tcW w:w="15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358C0502" w14:textId="1D8F486E"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pPr>
            <w:r w:rsidRPr="00C317D5">
              <w:t>6</w:t>
            </w:r>
            <w:r w:rsidR="003900BF" w:rsidRPr="00C317D5">
              <w:t xml:space="preserve"> </w:t>
            </w:r>
            <w:r w:rsidRPr="00C317D5">
              <w:t>429</w:t>
            </w:r>
          </w:p>
        </w:tc>
        <w:tc>
          <w:tcPr>
            <w:tcW w:w="15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57A8FC0F" w14:textId="3CBB2366"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pPr>
            <w:r w:rsidRPr="00C317D5">
              <w:t>5</w:t>
            </w:r>
            <w:r w:rsidR="003900BF" w:rsidRPr="00C317D5">
              <w:t xml:space="preserve"> </w:t>
            </w:r>
            <w:r w:rsidRPr="00C317D5">
              <w:t>547</w:t>
            </w:r>
          </w:p>
        </w:tc>
        <w:tc>
          <w:tcPr>
            <w:tcW w:w="1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8DABF97" w14:textId="7DB10D13"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pPr>
            <w:r w:rsidRPr="00C317D5">
              <w:t>9</w:t>
            </w:r>
            <w:r w:rsidR="003900BF" w:rsidRPr="00C317D5">
              <w:t xml:space="preserve"> </w:t>
            </w:r>
            <w:r w:rsidRPr="00C317D5">
              <w:t>042</w:t>
            </w:r>
          </w:p>
        </w:tc>
        <w:tc>
          <w:tcPr>
            <w:tcW w:w="11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AF4CC29" w14:textId="0D5CC821"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pPr>
            <w:r w:rsidRPr="00C317D5">
              <w:t>5</w:t>
            </w:r>
            <w:r w:rsidR="003900BF" w:rsidRPr="00C317D5">
              <w:t xml:space="preserve"> </w:t>
            </w:r>
            <w:r w:rsidRPr="00C317D5">
              <w:t>346</w:t>
            </w:r>
          </w:p>
        </w:tc>
        <w:tc>
          <w:tcPr>
            <w:tcW w:w="14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2C49259A" w14:textId="37FC8AD1"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C317D5">
              <w:rPr>
                <w:b/>
                <w:bCs/>
                <w:color w:val="000000" w:themeColor="text1"/>
                <w:szCs w:val="24"/>
              </w:rPr>
              <w:t>26</w:t>
            </w:r>
            <w:r w:rsidR="003900BF" w:rsidRPr="00C317D5">
              <w:rPr>
                <w:b/>
                <w:bCs/>
                <w:color w:val="000000" w:themeColor="text1"/>
                <w:szCs w:val="24"/>
              </w:rPr>
              <w:t xml:space="preserve"> </w:t>
            </w:r>
            <w:r w:rsidRPr="00C317D5">
              <w:rPr>
                <w:b/>
                <w:bCs/>
                <w:color w:val="000000" w:themeColor="text1"/>
                <w:szCs w:val="24"/>
              </w:rPr>
              <w:t>364</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D343D38" w14:textId="016BBD5E"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pPr>
            <w:r w:rsidRPr="00C317D5">
              <w:rPr>
                <w:color w:val="000000" w:themeColor="text1"/>
                <w:szCs w:val="24"/>
              </w:rPr>
              <w:t>1,72%</w:t>
            </w:r>
          </w:p>
        </w:tc>
      </w:tr>
      <w:tr w:rsidR="00AF6240" w:rsidRPr="00C317D5" w14:paraId="694DC03D" w14:textId="77777777" w:rsidTr="00CF5394">
        <w:trPr>
          <w:trHeight w:val="330"/>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hideMark/>
          </w:tcPr>
          <w:p w14:paraId="07AB0EAD" w14:textId="77777777" w:rsidR="00AF6240" w:rsidRPr="00C317D5" w:rsidRDefault="00AF6240" w:rsidP="00AF6240">
            <w:pPr>
              <w:pStyle w:val="Tabletext"/>
              <w:jc w:val="center"/>
            </w:pPr>
            <w:r w:rsidRPr="00C317D5">
              <w:t>RS</w:t>
            </w:r>
          </w:p>
        </w:tc>
        <w:tc>
          <w:tcPr>
            <w:tcW w:w="15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485EC2B0" w14:textId="1CDA6BBF" w:rsidR="00AF6240" w:rsidRPr="00C317D5" w:rsidRDefault="00AF6240" w:rsidP="00AF6240">
            <w:pPr>
              <w:pStyle w:val="Tabletext"/>
              <w:jc w:val="center"/>
              <w:cnfStyle w:val="000000000000" w:firstRow="0" w:lastRow="0" w:firstColumn="0" w:lastColumn="0" w:oddVBand="0" w:evenVBand="0" w:oddHBand="0" w:evenHBand="0" w:firstRowFirstColumn="0" w:firstRowLastColumn="0" w:lastRowFirstColumn="0" w:lastRowLastColumn="0"/>
            </w:pPr>
            <w:r w:rsidRPr="00C317D5">
              <w:t>4</w:t>
            </w:r>
            <w:r w:rsidR="003900BF" w:rsidRPr="00C317D5">
              <w:t xml:space="preserve"> </w:t>
            </w:r>
            <w:r w:rsidRPr="00C317D5">
              <w:t>138</w:t>
            </w:r>
          </w:p>
        </w:tc>
        <w:tc>
          <w:tcPr>
            <w:tcW w:w="15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765FAA7C" w14:textId="679AE7CA" w:rsidR="00AF6240" w:rsidRPr="00C317D5" w:rsidRDefault="00AF6240" w:rsidP="00AF6240">
            <w:pPr>
              <w:pStyle w:val="Tabletext"/>
              <w:jc w:val="center"/>
              <w:cnfStyle w:val="000000000000" w:firstRow="0" w:lastRow="0" w:firstColumn="0" w:lastColumn="0" w:oddVBand="0" w:evenVBand="0" w:oddHBand="0" w:evenHBand="0" w:firstRowFirstColumn="0" w:firstRowLastColumn="0" w:lastRowFirstColumn="0" w:lastRowLastColumn="0"/>
            </w:pPr>
            <w:r w:rsidRPr="00C317D5">
              <w:t>4</w:t>
            </w:r>
            <w:r w:rsidR="003900BF" w:rsidRPr="00C317D5">
              <w:t xml:space="preserve"> </w:t>
            </w:r>
            <w:r w:rsidRPr="00C317D5">
              <w:t>796</w:t>
            </w:r>
          </w:p>
        </w:tc>
        <w:tc>
          <w:tcPr>
            <w:tcW w:w="1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F1C3B00" w14:textId="3A458FE4" w:rsidR="00AF6240" w:rsidRPr="00C317D5" w:rsidRDefault="00AF6240" w:rsidP="00AF6240">
            <w:pPr>
              <w:pStyle w:val="Tabletext"/>
              <w:jc w:val="center"/>
              <w:cnfStyle w:val="000000000000" w:firstRow="0" w:lastRow="0" w:firstColumn="0" w:lastColumn="0" w:oddVBand="0" w:evenVBand="0" w:oddHBand="0" w:evenHBand="0" w:firstRowFirstColumn="0" w:firstRowLastColumn="0" w:lastRowFirstColumn="0" w:lastRowLastColumn="0"/>
            </w:pPr>
            <w:r w:rsidRPr="00C317D5">
              <w:t>6343</w:t>
            </w:r>
          </w:p>
        </w:tc>
        <w:tc>
          <w:tcPr>
            <w:tcW w:w="11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91054D5" w14:textId="3B7660DF" w:rsidR="00AF6240" w:rsidRPr="00C317D5" w:rsidRDefault="00AF6240" w:rsidP="00AF6240">
            <w:pPr>
              <w:pStyle w:val="Tabletext"/>
              <w:jc w:val="center"/>
              <w:cnfStyle w:val="000000000000" w:firstRow="0" w:lastRow="0" w:firstColumn="0" w:lastColumn="0" w:oddVBand="0" w:evenVBand="0" w:oddHBand="0" w:evenHBand="0" w:firstRowFirstColumn="0" w:firstRowLastColumn="0" w:lastRowFirstColumn="0" w:lastRowLastColumn="0"/>
            </w:pPr>
            <w:r w:rsidRPr="00C317D5">
              <w:t>4</w:t>
            </w:r>
            <w:r w:rsidR="003900BF" w:rsidRPr="00C317D5">
              <w:t xml:space="preserve"> </w:t>
            </w:r>
            <w:r w:rsidRPr="00C317D5">
              <w:t>486</w:t>
            </w:r>
          </w:p>
        </w:tc>
        <w:tc>
          <w:tcPr>
            <w:tcW w:w="14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52931D16" w14:textId="3F659B1D" w:rsidR="00AF6240" w:rsidRPr="00C317D5" w:rsidRDefault="00AF6240" w:rsidP="00AF6240">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C317D5">
              <w:rPr>
                <w:b/>
                <w:bCs/>
                <w:color w:val="000000" w:themeColor="text1"/>
                <w:szCs w:val="24"/>
              </w:rPr>
              <w:t>19</w:t>
            </w:r>
            <w:r w:rsidR="003900BF" w:rsidRPr="00C317D5">
              <w:rPr>
                <w:b/>
                <w:bCs/>
                <w:color w:val="000000" w:themeColor="text1"/>
                <w:szCs w:val="24"/>
              </w:rPr>
              <w:t xml:space="preserve"> </w:t>
            </w:r>
            <w:r w:rsidRPr="00C317D5">
              <w:rPr>
                <w:b/>
                <w:bCs/>
                <w:color w:val="000000" w:themeColor="text1"/>
                <w:szCs w:val="24"/>
              </w:rPr>
              <w:t>763</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0CFA730" w14:textId="1A0CA7D5" w:rsidR="00AF6240" w:rsidRPr="00C317D5" w:rsidRDefault="00AF6240" w:rsidP="00AF6240">
            <w:pPr>
              <w:pStyle w:val="Tabletext"/>
              <w:jc w:val="center"/>
              <w:cnfStyle w:val="000000000000" w:firstRow="0" w:lastRow="0" w:firstColumn="0" w:lastColumn="0" w:oddVBand="0" w:evenVBand="0" w:oddHBand="0" w:evenHBand="0" w:firstRowFirstColumn="0" w:firstRowLastColumn="0" w:lastRowFirstColumn="0" w:lastRowLastColumn="0"/>
            </w:pPr>
            <w:r w:rsidRPr="00C317D5">
              <w:rPr>
                <w:color w:val="000000" w:themeColor="text1"/>
                <w:szCs w:val="24"/>
              </w:rPr>
              <w:t>1,29%</w:t>
            </w:r>
          </w:p>
        </w:tc>
      </w:tr>
      <w:tr w:rsidR="00AF6240" w:rsidRPr="00C317D5" w14:paraId="59AE71EE" w14:textId="77777777" w:rsidTr="00CF5394">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hideMark/>
          </w:tcPr>
          <w:p w14:paraId="66D4E243" w14:textId="77777777" w:rsidR="00AF6240" w:rsidRPr="00C317D5" w:rsidRDefault="00AF6240" w:rsidP="00AF6240">
            <w:pPr>
              <w:pStyle w:val="Tabletext"/>
              <w:jc w:val="center"/>
            </w:pPr>
            <w:r w:rsidRPr="00C317D5">
              <w:t>RA</w:t>
            </w:r>
          </w:p>
        </w:tc>
        <w:tc>
          <w:tcPr>
            <w:tcW w:w="15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0FF91915" w14:textId="02643251"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pPr>
            <w:r w:rsidRPr="00C317D5">
              <w:t>4</w:t>
            </w:r>
            <w:r w:rsidR="003900BF" w:rsidRPr="00C317D5">
              <w:t xml:space="preserve"> </w:t>
            </w:r>
            <w:r w:rsidRPr="00C317D5">
              <w:t>175</w:t>
            </w:r>
          </w:p>
        </w:tc>
        <w:tc>
          <w:tcPr>
            <w:tcW w:w="15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6243EDF4" w14:textId="6E4EFF09"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pPr>
            <w:r w:rsidRPr="00C317D5">
              <w:t>4</w:t>
            </w:r>
            <w:r w:rsidR="003900BF" w:rsidRPr="00C317D5">
              <w:t xml:space="preserve"> </w:t>
            </w:r>
            <w:r w:rsidRPr="00C317D5">
              <w:t>222</w:t>
            </w:r>
          </w:p>
        </w:tc>
        <w:tc>
          <w:tcPr>
            <w:tcW w:w="1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30C93BD" w14:textId="6FB783FA"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pPr>
            <w:r w:rsidRPr="00C317D5">
              <w:t>4</w:t>
            </w:r>
            <w:r w:rsidR="003900BF" w:rsidRPr="00C317D5">
              <w:t xml:space="preserve"> </w:t>
            </w:r>
            <w:r w:rsidRPr="00C317D5">
              <w:t>834</w:t>
            </w:r>
          </w:p>
        </w:tc>
        <w:tc>
          <w:tcPr>
            <w:tcW w:w="11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48C9B4A" w14:textId="476F1E68"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pPr>
            <w:r w:rsidRPr="00C317D5">
              <w:t>4</w:t>
            </w:r>
            <w:r w:rsidR="003900BF" w:rsidRPr="00C317D5">
              <w:t xml:space="preserve"> </w:t>
            </w:r>
            <w:r w:rsidRPr="00C317D5">
              <w:t>840</w:t>
            </w:r>
          </w:p>
        </w:tc>
        <w:tc>
          <w:tcPr>
            <w:tcW w:w="14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512E59B9" w14:textId="3FD0915E"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C317D5">
              <w:rPr>
                <w:b/>
                <w:bCs/>
                <w:color w:val="000000" w:themeColor="text1"/>
                <w:szCs w:val="24"/>
              </w:rPr>
              <w:t>18</w:t>
            </w:r>
            <w:r w:rsidR="003900BF" w:rsidRPr="00C317D5">
              <w:rPr>
                <w:b/>
                <w:bCs/>
                <w:color w:val="000000" w:themeColor="text1"/>
                <w:szCs w:val="24"/>
              </w:rPr>
              <w:t xml:space="preserve"> </w:t>
            </w:r>
            <w:r w:rsidRPr="00C317D5">
              <w:rPr>
                <w:b/>
                <w:bCs/>
                <w:color w:val="000000" w:themeColor="text1"/>
                <w:szCs w:val="24"/>
              </w:rPr>
              <w:t>071</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A34E126" w14:textId="02038AC7"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pPr>
            <w:r w:rsidRPr="00C317D5">
              <w:rPr>
                <w:color w:val="000000" w:themeColor="text1"/>
                <w:szCs w:val="24"/>
              </w:rPr>
              <w:t>1,18%</w:t>
            </w:r>
          </w:p>
        </w:tc>
      </w:tr>
      <w:tr w:rsidR="00AF6240" w:rsidRPr="00C317D5" w14:paraId="2460A0A5" w14:textId="77777777" w:rsidTr="00CF5394">
        <w:trPr>
          <w:trHeight w:val="330"/>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hideMark/>
          </w:tcPr>
          <w:p w14:paraId="14558C82" w14:textId="77777777" w:rsidR="00AF6240" w:rsidRPr="00C317D5" w:rsidRDefault="00AF6240" w:rsidP="00AF6240">
            <w:pPr>
              <w:pStyle w:val="Tabletext"/>
              <w:jc w:val="center"/>
            </w:pPr>
            <w:r w:rsidRPr="00C317D5">
              <w:t>SF</w:t>
            </w:r>
          </w:p>
        </w:tc>
        <w:tc>
          <w:tcPr>
            <w:tcW w:w="15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30FC10EC" w14:textId="09F168F0" w:rsidR="00AF6240" w:rsidRPr="00C317D5" w:rsidRDefault="00AF6240" w:rsidP="00AF6240">
            <w:pPr>
              <w:pStyle w:val="Tabletext"/>
              <w:jc w:val="center"/>
              <w:cnfStyle w:val="000000000000" w:firstRow="0" w:lastRow="0" w:firstColumn="0" w:lastColumn="0" w:oddVBand="0" w:evenVBand="0" w:oddHBand="0" w:evenHBand="0" w:firstRowFirstColumn="0" w:firstRowLastColumn="0" w:lastRowFirstColumn="0" w:lastRowLastColumn="0"/>
            </w:pPr>
            <w:r w:rsidRPr="00C317D5">
              <w:t>331</w:t>
            </w:r>
          </w:p>
        </w:tc>
        <w:tc>
          <w:tcPr>
            <w:tcW w:w="15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51220254" w14:textId="5787BCBA" w:rsidR="00AF6240" w:rsidRPr="00C317D5" w:rsidRDefault="00AF6240" w:rsidP="00AF6240">
            <w:pPr>
              <w:pStyle w:val="Tabletext"/>
              <w:jc w:val="center"/>
              <w:cnfStyle w:val="000000000000" w:firstRow="0" w:lastRow="0" w:firstColumn="0" w:lastColumn="0" w:oddVBand="0" w:evenVBand="0" w:oddHBand="0" w:evenHBand="0" w:firstRowFirstColumn="0" w:firstRowLastColumn="0" w:lastRowFirstColumn="0" w:lastRowLastColumn="0"/>
            </w:pPr>
            <w:r w:rsidRPr="00C317D5">
              <w:t>387</w:t>
            </w:r>
          </w:p>
        </w:tc>
        <w:tc>
          <w:tcPr>
            <w:tcW w:w="1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0C02D21" w14:textId="3A711FA6" w:rsidR="00AF6240" w:rsidRPr="00C317D5" w:rsidRDefault="00AF6240" w:rsidP="00AF6240">
            <w:pPr>
              <w:pStyle w:val="Tabletext"/>
              <w:jc w:val="center"/>
              <w:cnfStyle w:val="000000000000" w:firstRow="0" w:lastRow="0" w:firstColumn="0" w:lastColumn="0" w:oddVBand="0" w:evenVBand="0" w:oddHBand="0" w:evenHBand="0" w:firstRowFirstColumn="0" w:firstRowLastColumn="0" w:lastRowFirstColumn="0" w:lastRowLastColumn="0"/>
            </w:pPr>
            <w:r w:rsidRPr="00C317D5">
              <w:t>397</w:t>
            </w:r>
          </w:p>
        </w:tc>
        <w:tc>
          <w:tcPr>
            <w:tcW w:w="11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79011F3" w14:textId="19A9DF85" w:rsidR="00AF6240" w:rsidRPr="00C317D5" w:rsidRDefault="00AF6240" w:rsidP="00AF6240">
            <w:pPr>
              <w:pStyle w:val="Tabletext"/>
              <w:jc w:val="center"/>
              <w:cnfStyle w:val="000000000000" w:firstRow="0" w:lastRow="0" w:firstColumn="0" w:lastColumn="0" w:oddVBand="0" w:evenVBand="0" w:oddHBand="0" w:evenHBand="0" w:firstRowFirstColumn="0" w:firstRowLastColumn="0" w:lastRowFirstColumn="0" w:lastRowLastColumn="0"/>
            </w:pPr>
            <w:r w:rsidRPr="00C317D5">
              <w:t>326</w:t>
            </w:r>
          </w:p>
        </w:tc>
        <w:tc>
          <w:tcPr>
            <w:tcW w:w="14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3D0D4B47" w14:textId="41283D9D" w:rsidR="00AF6240" w:rsidRPr="00C317D5" w:rsidRDefault="00AF6240" w:rsidP="00AF6240">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C317D5">
              <w:rPr>
                <w:b/>
                <w:bCs/>
                <w:color w:val="000000" w:themeColor="text1"/>
                <w:szCs w:val="24"/>
              </w:rPr>
              <w:t>1</w:t>
            </w:r>
            <w:r w:rsidR="003900BF" w:rsidRPr="00C317D5">
              <w:rPr>
                <w:b/>
                <w:bCs/>
                <w:color w:val="000000" w:themeColor="text1"/>
                <w:szCs w:val="24"/>
              </w:rPr>
              <w:t xml:space="preserve"> </w:t>
            </w:r>
            <w:r w:rsidRPr="00C317D5">
              <w:rPr>
                <w:b/>
                <w:bCs/>
                <w:color w:val="000000" w:themeColor="text1"/>
                <w:szCs w:val="24"/>
              </w:rPr>
              <w:t>441</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20DBEE1" w14:textId="6F775416" w:rsidR="00AF6240" w:rsidRPr="00C317D5" w:rsidRDefault="00AF6240" w:rsidP="00AF6240">
            <w:pPr>
              <w:pStyle w:val="Tabletext"/>
              <w:jc w:val="center"/>
              <w:cnfStyle w:val="000000000000" w:firstRow="0" w:lastRow="0" w:firstColumn="0" w:lastColumn="0" w:oddVBand="0" w:evenVBand="0" w:oddHBand="0" w:evenHBand="0" w:firstRowFirstColumn="0" w:firstRowLastColumn="0" w:lastRowFirstColumn="0" w:lastRowLastColumn="0"/>
            </w:pPr>
            <w:r w:rsidRPr="00C317D5">
              <w:rPr>
                <w:color w:val="000000" w:themeColor="text1"/>
                <w:szCs w:val="24"/>
              </w:rPr>
              <w:t>0,09%</w:t>
            </w:r>
          </w:p>
        </w:tc>
      </w:tr>
      <w:tr w:rsidR="00AF6240" w:rsidRPr="00C317D5" w14:paraId="5F51FFEE" w14:textId="77777777" w:rsidTr="00CF5394">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hideMark/>
          </w:tcPr>
          <w:p w14:paraId="29FFAACA" w14:textId="725476BC" w:rsidR="00AF6240" w:rsidRPr="00C317D5" w:rsidRDefault="00AF6240" w:rsidP="00AF6240">
            <w:pPr>
              <w:pStyle w:val="Tabletext"/>
              <w:jc w:val="center"/>
            </w:pPr>
            <w:r w:rsidRPr="00C317D5">
              <w:t>TF</w:t>
            </w:r>
          </w:p>
        </w:tc>
        <w:tc>
          <w:tcPr>
            <w:tcW w:w="15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5047E0D9" w14:textId="494414B1"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pPr>
          </w:p>
        </w:tc>
        <w:tc>
          <w:tcPr>
            <w:tcW w:w="15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7089BA06" w14:textId="029C826C"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pPr>
          </w:p>
        </w:tc>
        <w:tc>
          <w:tcPr>
            <w:tcW w:w="1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EB2662C" w14:textId="0887CBE2"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pPr>
            <w:r w:rsidRPr="00C317D5">
              <w:t>97</w:t>
            </w:r>
          </w:p>
        </w:tc>
        <w:tc>
          <w:tcPr>
            <w:tcW w:w="11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D0698B3" w14:textId="4D3C2D7F"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pPr>
            <w:r w:rsidRPr="00C317D5">
              <w:t>466</w:t>
            </w:r>
          </w:p>
        </w:tc>
        <w:tc>
          <w:tcPr>
            <w:tcW w:w="14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111CE877" w14:textId="57D02188"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C317D5">
              <w:rPr>
                <w:b/>
                <w:bCs/>
                <w:color w:val="000000" w:themeColor="text1"/>
                <w:szCs w:val="24"/>
              </w:rPr>
              <w:t>563</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D0EE41D" w14:textId="219BA6EA"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pPr>
            <w:r w:rsidRPr="00C317D5">
              <w:rPr>
                <w:color w:val="000000" w:themeColor="text1"/>
                <w:szCs w:val="24"/>
              </w:rPr>
              <w:t>0,04%</w:t>
            </w:r>
          </w:p>
        </w:tc>
      </w:tr>
      <w:tr w:rsidR="00AF6240" w:rsidRPr="00C317D5" w14:paraId="4178E464" w14:textId="77777777" w:rsidTr="00CF5394">
        <w:trPr>
          <w:trHeight w:val="361"/>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67D42DAB" w14:textId="173927C8" w:rsidR="00AF6240" w:rsidRPr="00C317D5" w:rsidRDefault="00AF6240" w:rsidP="00AF6240">
            <w:pPr>
              <w:pStyle w:val="Tabletext"/>
              <w:jc w:val="center"/>
            </w:pPr>
            <w:r w:rsidRPr="00C317D5">
              <w:t>BR</w:t>
            </w:r>
          </w:p>
        </w:tc>
        <w:tc>
          <w:tcPr>
            <w:tcW w:w="15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51E8DBA7" w14:textId="0C8B6905" w:rsidR="00AF6240" w:rsidRPr="00C317D5" w:rsidRDefault="00AF6240" w:rsidP="00AF6240">
            <w:pPr>
              <w:pStyle w:val="Tabletext"/>
              <w:jc w:val="center"/>
              <w:cnfStyle w:val="000000000000" w:firstRow="0" w:lastRow="0" w:firstColumn="0" w:lastColumn="0" w:oddVBand="0" w:evenVBand="0" w:oddHBand="0" w:evenHBand="0" w:firstRowFirstColumn="0" w:firstRowLastColumn="0" w:lastRowFirstColumn="0" w:lastRowLastColumn="0"/>
            </w:pPr>
            <w:r w:rsidRPr="00C317D5">
              <w:t>99</w:t>
            </w:r>
          </w:p>
        </w:tc>
        <w:tc>
          <w:tcPr>
            <w:tcW w:w="15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6D3F6A09" w14:textId="5B489764" w:rsidR="00AF6240" w:rsidRPr="00C317D5" w:rsidRDefault="00AF6240" w:rsidP="00AF6240">
            <w:pPr>
              <w:pStyle w:val="Tabletext"/>
              <w:jc w:val="center"/>
              <w:cnfStyle w:val="000000000000" w:firstRow="0" w:lastRow="0" w:firstColumn="0" w:lastColumn="0" w:oddVBand="0" w:evenVBand="0" w:oddHBand="0" w:evenHBand="0" w:firstRowFirstColumn="0" w:firstRowLastColumn="0" w:lastRowFirstColumn="0" w:lastRowLastColumn="0"/>
            </w:pPr>
            <w:r w:rsidRPr="00C317D5">
              <w:t>72</w:t>
            </w:r>
          </w:p>
        </w:tc>
        <w:tc>
          <w:tcPr>
            <w:tcW w:w="1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4D3C957" w14:textId="0AE4C879" w:rsidR="00AF6240" w:rsidRPr="00C317D5" w:rsidRDefault="00AF6240" w:rsidP="00AF6240">
            <w:pPr>
              <w:pStyle w:val="Tabletext"/>
              <w:jc w:val="center"/>
              <w:cnfStyle w:val="000000000000" w:firstRow="0" w:lastRow="0" w:firstColumn="0" w:lastColumn="0" w:oddVBand="0" w:evenVBand="0" w:oddHBand="0" w:evenHBand="0" w:firstRowFirstColumn="0" w:firstRowLastColumn="0" w:lastRowFirstColumn="0" w:lastRowLastColumn="0"/>
            </w:pPr>
            <w:r w:rsidRPr="00C317D5">
              <w:t>61</w:t>
            </w:r>
          </w:p>
        </w:tc>
        <w:tc>
          <w:tcPr>
            <w:tcW w:w="11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3BDFE200" w14:textId="37D00AA2" w:rsidR="00AF6240" w:rsidRPr="00C317D5" w:rsidRDefault="00AF6240" w:rsidP="00AF6240">
            <w:pPr>
              <w:pStyle w:val="Tabletext"/>
              <w:jc w:val="center"/>
              <w:cnfStyle w:val="000000000000" w:firstRow="0" w:lastRow="0" w:firstColumn="0" w:lastColumn="0" w:oddVBand="0" w:evenVBand="0" w:oddHBand="0" w:evenHBand="0" w:firstRowFirstColumn="0" w:firstRowLastColumn="0" w:lastRowFirstColumn="0" w:lastRowLastColumn="0"/>
            </w:pPr>
            <w:r w:rsidRPr="00C317D5">
              <w:t>88</w:t>
            </w:r>
          </w:p>
        </w:tc>
        <w:tc>
          <w:tcPr>
            <w:tcW w:w="14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tcPr>
          <w:p w14:paraId="16EDFA36" w14:textId="5896E38F" w:rsidR="00AF6240" w:rsidRPr="00C317D5" w:rsidRDefault="00AF6240" w:rsidP="00AF6240">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C317D5">
              <w:rPr>
                <w:b/>
                <w:bCs/>
                <w:color w:val="000000" w:themeColor="text1"/>
                <w:szCs w:val="24"/>
              </w:rPr>
              <w:t>320</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2A4A5C9" w14:textId="3D45E353" w:rsidR="00AF6240" w:rsidRPr="00C317D5" w:rsidRDefault="00AF6240" w:rsidP="00AF6240">
            <w:pPr>
              <w:pStyle w:val="Tabletext"/>
              <w:jc w:val="center"/>
              <w:cnfStyle w:val="000000000000" w:firstRow="0" w:lastRow="0" w:firstColumn="0" w:lastColumn="0" w:oddVBand="0" w:evenVBand="0" w:oddHBand="0" w:evenHBand="0" w:firstRowFirstColumn="0" w:firstRowLastColumn="0" w:lastRowFirstColumn="0" w:lastRowLastColumn="0"/>
            </w:pPr>
            <w:r w:rsidRPr="00C317D5">
              <w:rPr>
                <w:color w:val="000000" w:themeColor="text1"/>
                <w:szCs w:val="24"/>
              </w:rPr>
              <w:t>0,02%</w:t>
            </w:r>
          </w:p>
        </w:tc>
      </w:tr>
      <w:tr w:rsidR="00AF6240" w:rsidRPr="00C317D5" w14:paraId="1F65F08B" w14:textId="77777777" w:rsidTr="005F5A34">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bottom"/>
            <w:hideMark/>
          </w:tcPr>
          <w:p w14:paraId="55DE9809" w14:textId="77777777" w:rsidR="00AF6240" w:rsidRPr="00C317D5" w:rsidRDefault="00AF6240" w:rsidP="00AF6240">
            <w:pPr>
              <w:pStyle w:val="Tabletext"/>
              <w:jc w:val="center"/>
            </w:pPr>
            <w:r w:rsidRPr="00C317D5">
              <w:t>TOTAL</w:t>
            </w:r>
          </w:p>
        </w:tc>
        <w:tc>
          <w:tcPr>
            <w:tcW w:w="157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tcPr>
          <w:p w14:paraId="577B6497" w14:textId="39A908DE"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C317D5">
              <w:rPr>
                <w:b/>
                <w:bCs/>
              </w:rPr>
              <w:t>332</w:t>
            </w:r>
            <w:r w:rsidR="003900BF" w:rsidRPr="00C317D5">
              <w:rPr>
                <w:b/>
                <w:bCs/>
              </w:rPr>
              <w:t xml:space="preserve"> </w:t>
            </w:r>
            <w:r w:rsidRPr="00C317D5">
              <w:rPr>
                <w:b/>
                <w:bCs/>
              </w:rPr>
              <w:t>191</w:t>
            </w:r>
          </w:p>
        </w:tc>
        <w:tc>
          <w:tcPr>
            <w:tcW w:w="157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tcPr>
          <w:p w14:paraId="33CECE19" w14:textId="24C5F28F"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C317D5">
              <w:rPr>
                <w:b/>
                <w:bCs/>
              </w:rPr>
              <w:t>362</w:t>
            </w:r>
            <w:r w:rsidR="003900BF" w:rsidRPr="00C317D5">
              <w:rPr>
                <w:b/>
                <w:bCs/>
              </w:rPr>
              <w:t xml:space="preserve"> </w:t>
            </w:r>
            <w:r w:rsidRPr="00C317D5">
              <w:rPr>
                <w:b/>
                <w:bCs/>
              </w:rPr>
              <w:t>382</w:t>
            </w:r>
          </w:p>
        </w:tc>
        <w:tc>
          <w:tcPr>
            <w:tcW w:w="1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FC5555F" w14:textId="1B32E71B"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C317D5">
              <w:rPr>
                <w:b/>
                <w:bCs/>
              </w:rPr>
              <w:t>459</w:t>
            </w:r>
            <w:r w:rsidR="003900BF" w:rsidRPr="00C317D5">
              <w:rPr>
                <w:b/>
                <w:bCs/>
              </w:rPr>
              <w:t xml:space="preserve"> </w:t>
            </w:r>
            <w:r w:rsidRPr="00C317D5">
              <w:rPr>
                <w:b/>
                <w:bCs/>
              </w:rPr>
              <w:t>521</w:t>
            </w:r>
          </w:p>
        </w:tc>
        <w:tc>
          <w:tcPr>
            <w:tcW w:w="11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068F181" w14:textId="58F71D7B"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C317D5">
              <w:rPr>
                <w:b/>
                <w:bCs/>
              </w:rPr>
              <w:t>380</w:t>
            </w:r>
            <w:r w:rsidR="003900BF" w:rsidRPr="00C317D5">
              <w:rPr>
                <w:b/>
                <w:bCs/>
              </w:rPr>
              <w:t xml:space="preserve"> </w:t>
            </w:r>
            <w:r w:rsidRPr="00C317D5">
              <w:rPr>
                <w:b/>
                <w:bCs/>
              </w:rPr>
              <w:t>758</w:t>
            </w:r>
          </w:p>
        </w:tc>
        <w:tc>
          <w:tcPr>
            <w:tcW w:w="14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tcPr>
          <w:p w14:paraId="0505D375" w14:textId="359C1D99"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C317D5">
              <w:rPr>
                <w:b/>
                <w:bCs/>
                <w:color w:val="000000" w:themeColor="text1"/>
              </w:rPr>
              <w:t>1</w:t>
            </w:r>
            <w:r w:rsidR="003900BF" w:rsidRPr="00C317D5">
              <w:rPr>
                <w:b/>
                <w:bCs/>
                <w:color w:val="000000" w:themeColor="text1"/>
              </w:rPr>
              <w:t xml:space="preserve"> </w:t>
            </w:r>
            <w:r w:rsidRPr="00C317D5">
              <w:rPr>
                <w:b/>
                <w:bCs/>
                <w:color w:val="000000" w:themeColor="text1"/>
              </w:rPr>
              <w:t>534</w:t>
            </w:r>
            <w:r w:rsidR="003900BF" w:rsidRPr="00C317D5">
              <w:rPr>
                <w:b/>
                <w:bCs/>
                <w:color w:val="000000" w:themeColor="text1"/>
              </w:rPr>
              <w:t xml:space="preserve"> </w:t>
            </w:r>
            <w:r w:rsidRPr="00C317D5">
              <w:rPr>
                <w:b/>
                <w:bCs/>
                <w:color w:val="000000" w:themeColor="text1"/>
              </w:rPr>
              <w:t>852</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B8DF111" w14:textId="47524F10"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pPr>
            <w:r w:rsidRPr="00C317D5">
              <w:rPr>
                <w:color w:val="000000" w:themeColor="text1"/>
                <w:szCs w:val="24"/>
              </w:rPr>
              <w:t>100,00%</w:t>
            </w:r>
          </w:p>
        </w:tc>
      </w:tr>
    </w:tbl>
    <w:p w14:paraId="24C9D665" w14:textId="77777777" w:rsidR="00B27BCB" w:rsidRPr="00C317D5" w:rsidRDefault="00B27BCB" w:rsidP="00B27BCB">
      <w:pPr>
        <w:pStyle w:val="Heading4"/>
      </w:pPr>
      <w:r w:rsidRPr="00C317D5">
        <w:t>8.1.4.4</w:t>
      </w:r>
      <w:r w:rsidRPr="00C317D5">
        <w:tab/>
        <w:t>Manuales</w:t>
      </w:r>
    </w:p>
    <w:p w14:paraId="6E32A89F" w14:textId="7FE475FC" w:rsidR="00B27BCB" w:rsidRPr="00C317D5" w:rsidRDefault="00B27BCB" w:rsidP="00B27BCB">
      <w:bookmarkStart w:id="66" w:name="lt_pId1014"/>
      <w:r w:rsidRPr="00C317D5">
        <w:t xml:space="preserve">A raíz de la decisión adoptada por el Director de la BR en 2017, todos los Manuales del UIT-R pueden descargarse gratuitamente desde el sitio web de la UIT. El crecimiento ha sido constante desde </w:t>
      </w:r>
      <w:r w:rsidR="00AF6240" w:rsidRPr="00C317D5">
        <w:t>entonces</w:t>
      </w:r>
      <w:r w:rsidRPr="00C317D5">
        <w:t>. Se han registrado más de 100 000 descargas en 202</w:t>
      </w:r>
      <w:r w:rsidR="00AF6240" w:rsidRPr="00C317D5">
        <w:t>2</w:t>
      </w:r>
      <w:r w:rsidRPr="00C317D5">
        <w:t>.</w:t>
      </w:r>
      <w:bookmarkEnd w:id="66"/>
      <w:r w:rsidRPr="00C317D5">
        <w:t xml:space="preserve"> El Cuadro</w:t>
      </w:r>
      <w:r w:rsidR="008B28B5" w:rsidRPr="00C317D5">
        <w:t> </w:t>
      </w:r>
      <w:r w:rsidRPr="00C317D5">
        <w:t>8.1.4.4</w:t>
      </w:r>
      <w:r w:rsidRPr="00C317D5">
        <w:noBreakHyphen/>
        <w:t>1 muestra la distribución de Manuales del UIT-R sobre gestión y comprobación técnica del espectro y de otros Manuales que están puestos a la venta.</w:t>
      </w:r>
    </w:p>
    <w:p w14:paraId="287BC3FD" w14:textId="0D426A21" w:rsidR="00B27BCB" w:rsidRPr="00C317D5" w:rsidRDefault="00B27BCB" w:rsidP="00B27BCB">
      <w:r w:rsidRPr="00C317D5">
        <w:t>Hasta la fecha, se han publicado 4</w:t>
      </w:r>
      <w:r w:rsidR="00AF6240" w:rsidRPr="00C317D5">
        <w:t>7</w:t>
      </w:r>
      <w:r w:rsidRPr="00C317D5">
        <w:t xml:space="preserve"> Manuales del UIT-R, incluida una serie sobre gestión del espectro.</w:t>
      </w:r>
    </w:p>
    <w:p w14:paraId="2F1A8DDD" w14:textId="77777777" w:rsidR="00B27BCB" w:rsidRPr="00C317D5" w:rsidRDefault="00B27BCB" w:rsidP="00B27BCB">
      <w:pPr>
        <w:pStyle w:val="TableNoBR"/>
      </w:pPr>
      <w:r w:rsidRPr="00C317D5">
        <w:t>CUADRO 8.1.4.4-1</w:t>
      </w:r>
    </w:p>
    <w:p w14:paraId="28C11FAB" w14:textId="77777777" w:rsidR="00B27BCB" w:rsidRPr="00C317D5" w:rsidRDefault="00B27BCB" w:rsidP="00B27BCB">
      <w:pPr>
        <w:pStyle w:val="TabletitleBR"/>
      </w:pPr>
      <w:r w:rsidRPr="00C317D5">
        <w:t>Distribución de Manuales del UIT-R sobre gestión del espectro y otros Manuales</w:t>
      </w:r>
    </w:p>
    <w:tbl>
      <w:tblPr>
        <w:tblStyle w:val="GridTable5Dark-Accent13"/>
        <w:tblW w:w="5000" w:type="pct"/>
        <w:tblLook w:val="04A0" w:firstRow="1" w:lastRow="0" w:firstColumn="1" w:lastColumn="0" w:noHBand="0" w:noVBand="1"/>
      </w:tblPr>
      <w:tblGrid>
        <w:gridCol w:w="4335"/>
        <w:gridCol w:w="1329"/>
        <w:gridCol w:w="1302"/>
        <w:gridCol w:w="1323"/>
        <w:gridCol w:w="1340"/>
      </w:tblGrid>
      <w:tr w:rsidR="00B27BCB" w:rsidRPr="00C317D5" w14:paraId="1E57F062" w14:textId="77777777" w:rsidTr="00CF5394">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4335" w:type="dxa"/>
            <w:tcBorders>
              <w:bottom w:val="single" w:sz="8" w:space="0" w:color="FFFFFF" w:themeColor="background1"/>
            </w:tcBorders>
            <w:hideMark/>
          </w:tcPr>
          <w:p w14:paraId="13E8A86F" w14:textId="77777777" w:rsidR="00B27BCB" w:rsidRPr="00C317D5" w:rsidRDefault="00B27BCB" w:rsidP="00CF5394">
            <w:pPr>
              <w:pStyle w:val="Tablehead"/>
              <w:rPr>
                <w:b/>
                <w:bCs w:val="0"/>
              </w:rPr>
            </w:pPr>
            <w:r w:rsidRPr="00C317D5">
              <w:rPr>
                <w:b/>
                <w:bCs w:val="0"/>
              </w:rPr>
              <w:t>Manual</w:t>
            </w:r>
          </w:p>
        </w:tc>
        <w:tc>
          <w:tcPr>
            <w:tcW w:w="1329" w:type="dxa"/>
            <w:tcBorders>
              <w:bottom w:val="single" w:sz="8" w:space="0" w:color="FFFFFF" w:themeColor="background1"/>
            </w:tcBorders>
            <w:hideMark/>
          </w:tcPr>
          <w:p w14:paraId="5F925E79" w14:textId="4EBBED8A" w:rsidR="00B27BCB" w:rsidRPr="00C317D5" w:rsidRDefault="00AF6240" w:rsidP="00CF5394">
            <w:pPr>
              <w:pStyle w:val="Tablehead"/>
              <w:cnfStyle w:val="100000000000" w:firstRow="1" w:lastRow="0" w:firstColumn="0" w:lastColumn="0" w:oddVBand="0" w:evenVBand="0" w:oddHBand="0" w:evenHBand="0" w:firstRowFirstColumn="0" w:firstRowLastColumn="0" w:lastRowFirstColumn="0" w:lastRowLastColumn="0"/>
              <w:rPr>
                <w:b/>
                <w:bCs w:val="0"/>
              </w:rPr>
            </w:pPr>
            <w:r w:rsidRPr="00C317D5">
              <w:rPr>
                <w:b/>
                <w:bCs w:val="0"/>
              </w:rPr>
              <w:t>2019</w:t>
            </w:r>
          </w:p>
        </w:tc>
        <w:tc>
          <w:tcPr>
            <w:tcW w:w="1302" w:type="dxa"/>
            <w:tcBorders>
              <w:bottom w:val="single" w:sz="8" w:space="0" w:color="FFFFFF" w:themeColor="background1"/>
            </w:tcBorders>
            <w:hideMark/>
          </w:tcPr>
          <w:p w14:paraId="0D3F31FC" w14:textId="0CFE464A" w:rsidR="00B27BCB" w:rsidRPr="00C317D5" w:rsidRDefault="00AF6240" w:rsidP="00CF5394">
            <w:pPr>
              <w:pStyle w:val="Tablehead"/>
              <w:cnfStyle w:val="100000000000" w:firstRow="1" w:lastRow="0" w:firstColumn="0" w:lastColumn="0" w:oddVBand="0" w:evenVBand="0" w:oddHBand="0" w:evenHBand="0" w:firstRowFirstColumn="0" w:firstRowLastColumn="0" w:lastRowFirstColumn="0" w:lastRowLastColumn="0"/>
              <w:rPr>
                <w:b/>
                <w:bCs w:val="0"/>
              </w:rPr>
            </w:pPr>
            <w:r w:rsidRPr="00C317D5">
              <w:rPr>
                <w:b/>
                <w:bCs w:val="0"/>
              </w:rPr>
              <w:t>2020</w:t>
            </w:r>
          </w:p>
        </w:tc>
        <w:tc>
          <w:tcPr>
            <w:tcW w:w="1323" w:type="dxa"/>
            <w:tcBorders>
              <w:bottom w:val="single" w:sz="8" w:space="0" w:color="FFFFFF" w:themeColor="background1"/>
            </w:tcBorders>
            <w:hideMark/>
          </w:tcPr>
          <w:p w14:paraId="4C6D44D9" w14:textId="0375E932" w:rsidR="00B27BCB" w:rsidRPr="00C317D5" w:rsidRDefault="00AF6240" w:rsidP="00CF5394">
            <w:pPr>
              <w:pStyle w:val="Tablehead"/>
              <w:cnfStyle w:val="100000000000" w:firstRow="1" w:lastRow="0" w:firstColumn="0" w:lastColumn="0" w:oddVBand="0" w:evenVBand="0" w:oddHBand="0" w:evenHBand="0" w:firstRowFirstColumn="0" w:firstRowLastColumn="0" w:lastRowFirstColumn="0" w:lastRowLastColumn="0"/>
              <w:rPr>
                <w:b/>
                <w:bCs w:val="0"/>
              </w:rPr>
            </w:pPr>
            <w:r w:rsidRPr="00C317D5">
              <w:rPr>
                <w:b/>
                <w:bCs w:val="0"/>
              </w:rPr>
              <w:t>2021</w:t>
            </w:r>
          </w:p>
        </w:tc>
        <w:tc>
          <w:tcPr>
            <w:tcW w:w="1340" w:type="dxa"/>
            <w:tcBorders>
              <w:bottom w:val="single" w:sz="8" w:space="0" w:color="FFFFFF" w:themeColor="background1"/>
            </w:tcBorders>
          </w:tcPr>
          <w:p w14:paraId="16F70A6F" w14:textId="141134AA" w:rsidR="00B27BCB" w:rsidRPr="00C317D5" w:rsidRDefault="00AF6240" w:rsidP="00CF5394">
            <w:pPr>
              <w:pStyle w:val="Tablehead"/>
              <w:cnfStyle w:val="100000000000" w:firstRow="1" w:lastRow="0" w:firstColumn="0" w:lastColumn="0" w:oddVBand="0" w:evenVBand="0" w:oddHBand="0" w:evenHBand="0" w:firstRowFirstColumn="0" w:firstRowLastColumn="0" w:lastRowFirstColumn="0" w:lastRowLastColumn="0"/>
              <w:rPr>
                <w:b/>
                <w:bCs w:val="0"/>
              </w:rPr>
            </w:pPr>
            <w:r w:rsidRPr="00C317D5">
              <w:rPr>
                <w:b/>
                <w:bCs w:val="0"/>
              </w:rPr>
              <w:t>2022</w:t>
            </w:r>
          </w:p>
        </w:tc>
      </w:tr>
      <w:tr w:rsidR="00AF6240" w:rsidRPr="00C317D5" w14:paraId="1C3B7BFA" w14:textId="77777777" w:rsidTr="00CF539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EADB1F3" w14:textId="37657468" w:rsidR="00AF6240" w:rsidRPr="00C317D5" w:rsidRDefault="00AF6240" w:rsidP="00AF6240">
            <w:pPr>
              <w:pStyle w:val="Tabletext"/>
            </w:pPr>
            <w:r w:rsidRPr="00C317D5">
              <w:t>Serie sobre gestión del espectro (copias</w:t>
            </w:r>
            <w:r w:rsidR="007E2027" w:rsidRPr="00C317D5">
              <w:t xml:space="preserve"> </w:t>
            </w:r>
            <w:r w:rsidRPr="00C317D5">
              <w:t>impresas vendidas)</w:t>
            </w:r>
          </w:p>
        </w:tc>
        <w:tc>
          <w:tcPr>
            <w:tcW w:w="13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89082A7" w14:textId="6DE092A9"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pPr>
            <w:r w:rsidRPr="00C317D5">
              <w:rPr>
                <w:color w:val="000000"/>
                <w:sz w:val="20"/>
              </w:rPr>
              <w:t>9</w:t>
            </w:r>
          </w:p>
        </w:tc>
        <w:tc>
          <w:tcPr>
            <w:tcW w:w="13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AF13688" w14:textId="25148410"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pPr>
            <w:r w:rsidRPr="00C317D5">
              <w:rPr>
                <w:color w:val="000000"/>
                <w:sz w:val="20"/>
              </w:rPr>
              <w:t>3</w:t>
            </w:r>
          </w:p>
        </w:tc>
        <w:tc>
          <w:tcPr>
            <w:tcW w:w="13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2C5CE88" w14:textId="6C553BFE"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pPr>
            <w:r w:rsidRPr="00C317D5">
              <w:rPr>
                <w:color w:val="000000"/>
                <w:sz w:val="20"/>
              </w:rPr>
              <w:t>5</w:t>
            </w:r>
          </w:p>
        </w:tc>
        <w:tc>
          <w:tcPr>
            <w:tcW w:w="13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9910A0E" w14:textId="0DE5C6C5"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pPr>
            <w:r w:rsidRPr="00C317D5">
              <w:rPr>
                <w:color w:val="000000"/>
                <w:sz w:val="20"/>
              </w:rPr>
              <w:t>0</w:t>
            </w:r>
          </w:p>
        </w:tc>
      </w:tr>
      <w:tr w:rsidR="00AF6240" w:rsidRPr="00C317D5" w14:paraId="77C83B6B" w14:textId="77777777" w:rsidTr="00CF5394">
        <w:trPr>
          <w:trHeight w:val="441"/>
        </w:trPr>
        <w:tc>
          <w:tcPr>
            <w:cnfStyle w:val="001000000000" w:firstRow="0" w:lastRow="0" w:firstColumn="1" w:lastColumn="0" w:oddVBand="0" w:evenVBand="0" w:oddHBand="0" w:evenHBand="0" w:firstRowFirstColumn="0" w:firstRowLastColumn="0" w:lastRowFirstColumn="0" w:lastRowLastColumn="0"/>
            <w:tcW w:w="4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310FE4D6" w14:textId="77777777" w:rsidR="00AF6240" w:rsidRPr="00C317D5" w:rsidRDefault="00AF6240" w:rsidP="00AF6240">
            <w:pPr>
              <w:pStyle w:val="Tabletext"/>
            </w:pPr>
            <w:r w:rsidRPr="00C317D5">
              <w:t>Otros Manuales (copias impresas vendidas)</w:t>
            </w:r>
          </w:p>
        </w:tc>
        <w:tc>
          <w:tcPr>
            <w:tcW w:w="13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9CAB65D" w14:textId="02A2D77E" w:rsidR="00AF6240" w:rsidRPr="00C317D5" w:rsidRDefault="00AF6240" w:rsidP="00AF6240">
            <w:pPr>
              <w:pStyle w:val="Tabletext"/>
              <w:jc w:val="center"/>
              <w:cnfStyle w:val="000000000000" w:firstRow="0" w:lastRow="0" w:firstColumn="0" w:lastColumn="0" w:oddVBand="0" w:evenVBand="0" w:oddHBand="0" w:evenHBand="0" w:firstRowFirstColumn="0" w:firstRowLastColumn="0" w:lastRowFirstColumn="0" w:lastRowLastColumn="0"/>
            </w:pPr>
            <w:r w:rsidRPr="00C317D5">
              <w:rPr>
                <w:color w:val="000000"/>
                <w:sz w:val="20"/>
              </w:rPr>
              <w:t>20</w:t>
            </w:r>
          </w:p>
        </w:tc>
        <w:tc>
          <w:tcPr>
            <w:tcW w:w="13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00C2F8B6" w14:textId="5AE4262C" w:rsidR="00AF6240" w:rsidRPr="00C317D5" w:rsidRDefault="00AF6240" w:rsidP="00AF6240">
            <w:pPr>
              <w:pStyle w:val="Tabletext"/>
              <w:jc w:val="center"/>
              <w:cnfStyle w:val="000000000000" w:firstRow="0" w:lastRow="0" w:firstColumn="0" w:lastColumn="0" w:oddVBand="0" w:evenVBand="0" w:oddHBand="0" w:evenHBand="0" w:firstRowFirstColumn="0" w:firstRowLastColumn="0" w:lastRowFirstColumn="0" w:lastRowLastColumn="0"/>
            </w:pPr>
            <w:r w:rsidRPr="00C317D5">
              <w:rPr>
                <w:color w:val="000000"/>
                <w:sz w:val="20"/>
              </w:rPr>
              <w:t>4</w:t>
            </w:r>
          </w:p>
        </w:tc>
        <w:tc>
          <w:tcPr>
            <w:tcW w:w="13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2CC194F" w14:textId="7B43928C" w:rsidR="00AF6240" w:rsidRPr="00C317D5" w:rsidRDefault="00AF6240" w:rsidP="00AF6240">
            <w:pPr>
              <w:pStyle w:val="Tabletext"/>
              <w:jc w:val="center"/>
              <w:cnfStyle w:val="000000000000" w:firstRow="0" w:lastRow="0" w:firstColumn="0" w:lastColumn="0" w:oddVBand="0" w:evenVBand="0" w:oddHBand="0" w:evenHBand="0" w:firstRowFirstColumn="0" w:firstRowLastColumn="0" w:lastRowFirstColumn="0" w:lastRowLastColumn="0"/>
            </w:pPr>
            <w:r w:rsidRPr="00C317D5">
              <w:rPr>
                <w:color w:val="000000"/>
                <w:sz w:val="20"/>
              </w:rPr>
              <w:t>5</w:t>
            </w:r>
          </w:p>
        </w:tc>
        <w:tc>
          <w:tcPr>
            <w:tcW w:w="13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AF3D891" w14:textId="16BB3404" w:rsidR="00AF6240" w:rsidRPr="00C317D5" w:rsidRDefault="00AF6240" w:rsidP="00AF6240">
            <w:pPr>
              <w:pStyle w:val="Tabletext"/>
              <w:jc w:val="center"/>
              <w:cnfStyle w:val="000000000000" w:firstRow="0" w:lastRow="0" w:firstColumn="0" w:lastColumn="0" w:oddVBand="0" w:evenVBand="0" w:oddHBand="0" w:evenHBand="0" w:firstRowFirstColumn="0" w:firstRowLastColumn="0" w:lastRowFirstColumn="0" w:lastRowLastColumn="0"/>
            </w:pPr>
            <w:r w:rsidRPr="00C317D5">
              <w:rPr>
                <w:color w:val="000000"/>
                <w:sz w:val="20"/>
              </w:rPr>
              <w:t>4</w:t>
            </w:r>
          </w:p>
        </w:tc>
      </w:tr>
      <w:tr w:rsidR="00AF6240" w:rsidRPr="00C317D5" w14:paraId="60E35BF9" w14:textId="77777777" w:rsidTr="00CF5394">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4335" w:type="dxa"/>
            <w:tcBorders>
              <w:top w:val="single" w:sz="8" w:space="0" w:color="FFFFFF" w:themeColor="background1"/>
              <w:bottom w:val="nil"/>
            </w:tcBorders>
            <w:hideMark/>
          </w:tcPr>
          <w:p w14:paraId="579C64BE" w14:textId="77777777" w:rsidR="00AF6240" w:rsidRPr="00C317D5" w:rsidRDefault="00AF6240" w:rsidP="00AF6240">
            <w:pPr>
              <w:pStyle w:val="Tabletext"/>
            </w:pPr>
            <w:r w:rsidRPr="00C317D5">
              <w:t>TOTAL</w:t>
            </w:r>
          </w:p>
        </w:tc>
        <w:tc>
          <w:tcPr>
            <w:tcW w:w="1329" w:type="dxa"/>
            <w:tcBorders>
              <w:top w:val="single" w:sz="8" w:space="0" w:color="FFFFFF" w:themeColor="background1"/>
              <w:bottom w:val="nil"/>
            </w:tcBorders>
            <w:hideMark/>
          </w:tcPr>
          <w:p w14:paraId="25D1A404" w14:textId="4430FAAD"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C317D5">
              <w:rPr>
                <w:b/>
                <w:bCs/>
                <w:color w:val="000000"/>
                <w:sz w:val="20"/>
              </w:rPr>
              <w:t>29</w:t>
            </w:r>
          </w:p>
        </w:tc>
        <w:tc>
          <w:tcPr>
            <w:tcW w:w="1302" w:type="dxa"/>
            <w:tcBorders>
              <w:top w:val="single" w:sz="8" w:space="0" w:color="FFFFFF" w:themeColor="background1"/>
              <w:bottom w:val="nil"/>
            </w:tcBorders>
            <w:hideMark/>
          </w:tcPr>
          <w:p w14:paraId="768E02DE" w14:textId="6FB36B9F"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C317D5">
              <w:rPr>
                <w:b/>
                <w:bCs/>
                <w:color w:val="000000"/>
                <w:sz w:val="20"/>
              </w:rPr>
              <w:t>7</w:t>
            </w:r>
          </w:p>
        </w:tc>
        <w:tc>
          <w:tcPr>
            <w:tcW w:w="1323" w:type="dxa"/>
            <w:tcBorders>
              <w:top w:val="single" w:sz="8" w:space="0" w:color="FFFFFF" w:themeColor="background1"/>
              <w:bottom w:val="nil"/>
            </w:tcBorders>
            <w:hideMark/>
          </w:tcPr>
          <w:p w14:paraId="4111018C" w14:textId="696451DC"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C317D5">
              <w:rPr>
                <w:b/>
                <w:bCs/>
                <w:color w:val="000000"/>
                <w:sz w:val="20"/>
              </w:rPr>
              <w:t>10</w:t>
            </w:r>
          </w:p>
        </w:tc>
        <w:tc>
          <w:tcPr>
            <w:tcW w:w="1340" w:type="dxa"/>
            <w:tcBorders>
              <w:top w:val="single" w:sz="8" w:space="0" w:color="FFFFFF" w:themeColor="background1"/>
              <w:bottom w:val="nil"/>
            </w:tcBorders>
          </w:tcPr>
          <w:p w14:paraId="44753E49" w14:textId="0731A755" w:rsidR="00AF6240" w:rsidRPr="00C317D5" w:rsidRDefault="00AF6240" w:rsidP="00AF6240">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C317D5">
              <w:rPr>
                <w:b/>
                <w:bCs/>
                <w:color w:val="000000"/>
                <w:sz w:val="20"/>
              </w:rPr>
              <w:t>4</w:t>
            </w:r>
          </w:p>
        </w:tc>
      </w:tr>
      <w:tr w:rsidR="00AF6240" w:rsidRPr="00C317D5" w14:paraId="7B5261B4" w14:textId="77777777" w:rsidTr="00CF5394">
        <w:trPr>
          <w:trHeight w:val="248"/>
        </w:trPr>
        <w:tc>
          <w:tcPr>
            <w:cnfStyle w:val="001000000000" w:firstRow="0" w:lastRow="0" w:firstColumn="1" w:lastColumn="0" w:oddVBand="0" w:evenVBand="0" w:oddHBand="0" w:evenHBand="0" w:firstRowFirstColumn="0" w:firstRowLastColumn="0" w:lastRowFirstColumn="0" w:lastRowLastColumn="0"/>
            <w:tcW w:w="43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EDFDC08" w14:textId="77777777" w:rsidR="00AF6240" w:rsidRPr="00C317D5" w:rsidRDefault="00AF6240" w:rsidP="00AF6240">
            <w:pPr>
              <w:pStyle w:val="Tabletext"/>
            </w:pPr>
            <w:r w:rsidRPr="00C317D5">
              <w:t>Descargas GRATUITAS</w:t>
            </w:r>
          </w:p>
        </w:tc>
        <w:tc>
          <w:tcPr>
            <w:tcW w:w="13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D0910F2" w14:textId="20F9C8A3" w:rsidR="00AF6240" w:rsidRPr="00C317D5" w:rsidRDefault="00AF6240" w:rsidP="00AF6240">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C317D5">
              <w:rPr>
                <w:b/>
                <w:bCs/>
                <w:color w:val="000000"/>
                <w:sz w:val="20"/>
              </w:rPr>
              <w:t>68 507</w:t>
            </w:r>
          </w:p>
        </w:tc>
        <w:tc>
          <w:tcPr>
            <w:tcW w:w="13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FDBFF49" w14:textId="2992E05F" w:rsidR="00AF6240" w:rsidRPr="00C317D5" w:rsidRDefault="00AF6240" w:rsidP="00AF6240">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C317D5">
              <w:rPr>
                <w:b/>
                <w:bCs/>
                <w:color w:val="000000"/>
                <w:sz w:val="20"/>
              </w:rPr>
              <w:t>79 961</w:t>
            </w:r>
          </w:p>
        </w:tc>
        <w:tc>
          <w:tcPr>
            <w:tcW w:w="13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5DD789A" w14:textId="02B6571C" w:rsidR="00AF6240" w:rsidRPr="00C317D5" w:rsidRDefault="00AF6240" w:rsidP="00AF6240">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C317D5">
              <w:rPr>
                <w:b/>
                <w:bCs/>
                <w:color w:val="000000"/>
                <w:sz w:val="20"/>
              </w:rPr>
              <w:t>126 201</w:t>
            </w:r>
          </w:p>
        </w:tc>
        <w:tc>
          <w:tcPr>
            <w:tcW w:w="13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C6860B1" w14:textId="2838824C" w:rsidR="00AF6240" w:rsidRPr="00C317D5" w:rsidRDefault="00AF6240" w:rsidP="00AF6240">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C317D5">
              <w:rPr>
                <w:b/>
                <w:bCs/>
                <w:color w:val="000000"/>
                <w:sz w:val="20"/>
              </w:rPr>
              <w:t>134159</w:t>
            </w:r>
          </w:p>
        </w:tc>
      </w:tr>
    </w:tbl>
    <w:p w14:paraId="227B3CE4" w14:textId="77777777" w:rsidR="00B27BCB" w:rsidRPr="00C317D5" w:rsidRDefault="00B27BCB" w:rsidP="00B27BCB">
      <w:pPr>
        <w:pStyle w:val="Heading2"/>
        <w:rPr>
          <w:i/>
          <w:iCs/>
        </w:rPr>
      </w:pPr>
      <w:bookmarkStart w:id="67" w:name="_Toc424047601"/>
      <w:bookmarkStart w:id="68" w:name="_Toc446060783"/>
      <w:r w:rsidRPr="00C317D5">
        <w:lastRenderedPageBreak/>
        <w:t>8.2</w:t>
      </w:r>
      <w:r w:rsidRPr="00C317D5">
        <w:tab/>
      </w:r>
      <w:bookmarkEnd w:id="67"/>
      <w:bookmarkEnd w:id="68"/>
      <w:r w:rsidRPr="00C317D5">
        <w:t>Seminarios, talleres y otros eventos</w:t>
      </w:r>
    </w:p>
    <w:p w14:paraId="6CDBAC1A" w14:textId="77777777" w:rsidR="00B27BCB" w:rsidRPr="00C317D5" w:rsidRDefault="00B27BCB" w:rsidP="00B27BCB">
      <w:r w:rsidRPr="00C317D5">
        <w:t>Desde 2020, se ha iniciado el nuevo ciclo de eventos SMR y SRR entre dos CMR: el ciclo de SMR y SRR para el periodo 2020-2023. El objetivo de estos seminarios es la divulgación en todo el mundo de las actualizaciones que contiene la edición de 2020 del Reglamento de Radiocomunicaciones (con las decisiones adoptadas por la CMR-19) y las Reglas de Procedimiento (RdP) correspondientes. En base a la experiencia de los SMR y SRR anteriores, la planificación del ciclo de SMR y SRR para 2020-2023 prevé la celebración de dos Seminarios Mundiales de Radiocomunicaciones (SMR) bienales complementados con once Seminario Regionales de Radiocomunicaciones (SRR) (cada uno dedicado a una subregión diferente), como se indica a continuación:</w:t>
      </w:r>
    </w:p>
    <w:p w14:paraId="426640E7" w14:textId="77777777" w:rsidR="00B27BCB" w:rsidRPr="00C317D5" w:rsidRDefault="00B27BCB" w:rsidP="00B27BCB">
      <w:pPr>
        <w:pStyle w:val="TableNoBR"/>
      </w:pPr>
      <w:r w:rsidRPr="00C317D5">
        <w:t>CUADRO 8.2.2-1</w:t>
      </w:r>
    </w:p>
    <w:tbl>
      <w:tblPr>
        <w:tblStyle w:val="TableGrid"/>
        <w:tblW w:w="9627" w:type="dxa"/>
        <w:jc w:val="center"/>
        <w:tblLayout w:type="fixed"/>
        <w:tblCellMar>
          <w:left w:w="57" w:type="dxa"/>
          <w:right w:w="57" w:type="dxa"/>
        </w:tblCellMar>
        <w:tblLook w:val="04A0" w:firstRow="1" w:lastRow="0" w:firstColumn="1" w:lastColumn="0" w:noHBand="0" w:noVBand="1"/>
      </w:tblPr>
      <w:tblGrid>
        <w:gridCol w:w="2494"/>
        <w:gridCol w:w="1417"/>
        <w:gridCol w:w="1804"/>
        <w:gridCol w:w="1474"/>
        <w:gridCol w:w="1247"/>
        <w:gridCol w:w="1191"/>
      </w:tblGrid>
      <w:tr w:rsidR="00B27BCB" w:rsidRPr="00C317D5" w14:paraId="21DFBAF0" w14:textId="77777777" w:rsidTr="007E2027">
        <w:trPr>
          <w:trHeight w:val="375"/>
          <w:tblHeader/>
          <w:jc w:val="center"/>
        </w:trPr>
        <w:tc>
          <w:tcPr>
            <w:tcW w:w="2494" w:type="dxa"/>
            <w:tcBorders>
              <w:top w:val="single" w:sz="8" w:space="0" w:color="auto"/>
              <w:left w:val="single" w:sz="8" w:space="0" w:color="auto"/>
              <w:bottom w:val="single" w:sz="8" w:space="0" w:color="auto"/>
              <w:right w:val="single" w:sz="8" w:space="0" w:color="auto"/>
            </w:tcBorders>
          </w:tcPr>
          <w:p w14:paraId="67D4C7A4" w14:textId="77777777" w:rsidR="00B27BCB" w:rsidRPr="00C317D5" w:rsidRDefault="00B27BCB" w:rsidP="00CF5394">
            <w:pPr>
              <w:pStyle w:val="Tablehead"/>
            </w:pPr>
          </w:p>
        </w:tc>
        <w:tc>
          <w:tcPr>
            <w:tcW w:w="1417" w:type="dxa"/>
            <w:tcBorders>
              <w:top w:val="single" w:sz="8" w:space="0" w:color="auto"/>
              <w:left w:val="single" w:sz="8" w:space="0" w:color="auto"/>
              <w:bottom w:val="single" w:sz="8" w:space="0" w:color="auto"/>
              <w:right w:val="single" w:sz="8" w:space="0" w:color="auto"/>
            </w:tcBorders>
            <w:hideMark/>
          </w:tcPr>
          <w:p w14:paraId="68FBC3BB" w14:textId="77777777" w:rsidR="00B27BCB" w:rsidRPr="00C317D5" w:rsidRDefault="00B27BCB" w:rsidP="00CF5394">
            <w:pPr>
              <w:pStyle w:val="Tablehead"/>
              <w:rPr>
                <w:bCs/>
              </w:rPr>
            </w:pPr>
            <w:r w:rsidRPr="00C317D5">
              <w:rPr>
                <w:bCs/>
              </w:rPr>
              <w:t>Idioma</w:t>
            </w:r>
          </w:p>
        </w:tc>
        <w:tc>
          <w:tcPr>
            <w:tcW w:w="1804" w:type="dxa"/>
            <w:tcBorders>
              <w:top w:val="single" w:sz="8" w:space="0" w:color="auto"/>
              <w:left w:val="single" w:sz="8" w:space="0" w:color="auto"/>
              <w:bottom w:val="single" w:sz="8" w:space="0" w:color="auto"/>
              <w:right w:val="single" w:sz="8" w:space="0" w:color="auto"/>
            </w:tcBorders>
            <w:hideMark/>
          </w:tcPr>
          <w:p w14:paraId="1D90BF04" w14:textId="77777777" w:rsidR="00B27BCB" w:rsidRPr="00C317D5" w:rsidRDefault="00B27BCB" w:rsidP="00CF5394">
            <w:pPr>
              <w:pStyle w:val="Tablehead"/>
              <w:rPr>
                <w:bCs/>
              </w:rPr>
            </w:pPr>
            <w:r w:rsidRPr="00C317D5">
              <w:rPr>
                <w:bCs/>
              </w:rPr>
              <w:t>2020</w:t>
            </w:r>
          </w:p>
        </w:tc>
        <w:tc>
          <w:tcPr>
            <w:tcW w:w="1474" w:type="dxa"/>
            <w:tcBorders>
              <w:top w:val="single" w:sz="8" w:space="0" w:color="auto"/>
              <w:left w:val="single" w:sz="8" w:space="0" w:color="auto"/>
              <w:bottom w:val="single" w:sz="8" w:space="0" w:color="auto"/>
              <w:right w:val="single" w:sz="8" w:space="0" w:color="auto"/>
            </w:tcBorders>
            <w:hideMark/>
          </w:tcPr>
          <w:p w14:paraId="54FCCD60" w14:textId="77777777" w:rsidR="00B27BCB" w:rsidRPr="00C317D5" w:rsidRDefault="00B27BCB" w:rsidP="00CF5394">
            <w:pPr>
              <w:pStyle w:val="Tablehead"/>
              <w:rPr>
                <w:bCs/>
              </w:rPr>
            </w:pPr>
            <w:r w:rsidRPr="00C317D5">
              <w:rPr>
                <w:bCs/>
              </w:rPr>
              <w:t>2021</w:t>
            </w:r>
          </w:p>
        </w:tc>
        <w:tc>
          <w:tcPr>
            <w:tcW w:w="1247" w:type="dxa"/>
            <w:tcBorders>
              <w:top w:val="single" w:sz="8" w:space="0" w:color="auto"/>
              <w:left w:val="single" w:sz="8" w:space="0" w:color="auto"/>
              <w:bottom w:val="single" w:sz="8" w:space="0" w:color="auto"/>
              <w:right w:val="single" w:sz="8" w:space="0" w:color="auto"/>
            </w:tcBorders>
            <w:hideMark/>
          </w:tcPr>
          <w:p w14:paraId="015FBC50" w14:textId="77777777" w:rsidR="00B27BCB" w:rsidRPr="00C317D5" w:rsidRDefault="00B27BCB" w:rsidP="00CF5394">
            <w:pPr>
              <w:pStyle w:val="Tablehead"/>
              <w:rPr>
                <w:bCs/>
              </w:rPr>
            </w:pPr>
            <w:r w:rsidRPr="00C317D5">
              <w:rPr>
                <w:bCs/>
              </w:rPr>
              <w:t>2022</w:t>
            </w:r>
          </w:p>
        </w:tc>
        <w:tc>
          <w:tcPr>
            <w:tcW w:w="1191" w:type="dxa"/>
            <w:tcBorders>
              <w:top w:val="single" w:sz="8" w:space="0" w:color="auto"/>
              <w:left w:val="single" w:sz="8" w:space="0" w:color="auto"/>
              <w:bottom w:val="single" w:sz="8" w:space="0" w:color="auto"/>
              <w:right w:val="single" w:sz="8" w:space="0" w:color="auto"/>
            </w:tcBorders>
            <w:hideMark/>
          </w:tcPr>
          <w:p w14:paraId="50C7F3C5" w14:textId="77777777" w:rsidR="00B27BCB" w:rsidRPr="00C317D5" w:rsidRDefault="00B27BCB" w:rsidP="00CF5394">
            <w:pPr>
              <w:pStyle w:val="Tablehead"/>
              <w:rPr>
                <w:bCs/>
              </w:rPr>
            </w:pPr>
            <w:r w:rsidRPr="00C317D5">
              <w:rPr>
                <w:bCs/>
              </w:rPr>
              <w:t>2023</w:t>
            </w:r>
          </w:p>
        </w:tc>
      </w:tr>
      <w:tr w:rsidR="00B27BCB" w:rsidRPr="00C317D5" w14:paraId="67D0D87F" w14:textId="77777777" w:rsidTr="007E2027">
        <w:trPr>
          <w:trHeight w:val="300"/>
          <w:jc w:val="center"/>
        </w:trPr>
        <w:tc>
          <w:tcPr>
            <w:tcW w:w="2494" w:type="dxa"/>
            <w:tcBorders>
              <w:top w:val="single" w:sz="8" w:space="0" w:color="auto"/>
              <w:left w:val="single" w:sz="8" w:space="0" w:color="auto"/>
              <w:bottom w:val="single" w:sz="8" w:space="0" w:color="auto"/>
              <w:right w:val="single" w:sz="8" w:space="0" w:color="auto"/>
            </w:tcBorders>
            <w:hideMark/>
          </w:tcPr>
          <w:p w14:paraId="1F135D7C" w14:textId="77777777" w:rsidR="00B27BCB" w:rsidRPr="00C317D5" w:rsidRDefault="00B27BCB" w:rsidP="00CF5394">
            <w:pPr>
              <w:pStyle w:val="Tabletext"/>
              <w:rPr>
                <w:b/>
                <w:bCs/>
              </w:rPr>
            </w:pPr>
            <w:r w:rsidRPr="00C317D5">
              <w:rPr>
                <w:b/>
                <w:bCs/>
              </w:rPr>
              <w:t>África (subsahariana): 2</w:t>
            </w:r>
          </w:p>
        </w:tc>
        <w:tc>
          <w:tcPr>
            <w:tcW w:w="1417" w:type="dxa"/>
            <w:tcBorders>
              <w:top w:val="single" w:sz="8" w:space="0" w:color="auto"/>
              <w:left w:val="single" w:sz="8" w:space="0" w:color="auto"/>
              <w:bottom w:val="single" w:sz="8" w:space="0" w:color="auto"/>
              <w:right w:val="single" w:sz="8" w:space="0" w:color="auto"/>
            </w:tcBorders>
            <w:hideMark/>
          </w:tcPr>
          <w:p w14:paraId="44F61EC9" w14:textId="77777777" w:rsidR="00B27BCB" w:rsidRPr="00C317D5" w:rsidRDefault="00B27BCB" w:rsidP="00CF5394">
            <w:pPr>
              <w:pStyle w:val="Tabletext"/>
            </w:pPr>
          </w:p>
        </w:tc>
        <w:tc>
          <w:tcPr>
            <w:tcW w:w="1804" w:type="dxa"/>
            <w:tcBorders>
              <w:top w:val="single" w:sz="8" w:space="0" w:color="auto"/>
              <w:left w:val="single" w:sz="8" w:space="0" w:color="auto"/>
              <w:bottom w:val="single" w:sz="8" w:space="0" w:color="auto"/>
              <w:right w:val="single" w:sz="8" w:space="0" w:color="auto"/>
            </w:tcBorders>
          </w:tcPr>
          <w:p w14:paraId="3107DC76" w14:textId="77777777" w:rsidR="00B27BCB" w:rsidRPr="00C317D5" w:rsidRDefault="00B27BCB" w:rsidP="00CF5394">
            <w:pPr>
              <w:pStyle w:val="Tabletext"/>
              <w:jc w:val="center"/>
            </w:pPr>
          </w:p>
        </w:tc>
        <w:tc>
          <w:tcPr>
            <w:tcW w:w="1474" w:type="dxa"/>
            <w:tcBorders>
              <w:top w:val="single" w:sz="8" w:space="0" w:color="auto"/>
              <w:left w:val="single" w:sz="8" w:space="0" w:color="auto"/>
              <w:bottom w:val="single" w:sz="8" w:space="0" w:color="auto"/>
              <w:right w:val="single" w:sz="8" w:space="0" w:color="auto"/>
            </w:tcBorders>
          </w:tcPr>
          <w:p w14:paraId="15A173BC" w14:textId="77777777" w:rsidR="00B27BCB" w:rsidRPr="00C317D5" w:rsidRDefault="00B27BCB" w:rsidP="00CF5394">
            <w:pPr>
              <w:pStyle w:val="Tabletext"/>
              <w:jc w:val="center"/>
            </w:pPr>
          </w:p>
        </w:tc>
        <w:tc>
          <w:tcPr>
            <w:tcW w:w="1247" w:type="dxa"/>
            <w:tcBorders>
              <w:top w:val="single" w:sz="8" w:space="0" w:color="auto"/>
              <w:left w:val="single" w:sz="8" w:space="0" w:color="auto"/>
              <w:bottom w:val="single" w:sz="8" w:space="0" w:color="auto"/>
              <w:right w:val="single" w:sz="8" w:space="0" w:color="auto"/>
            </w:tcBorders>
          </w:tcPr>
          <w:p w14:paraId="6DE1B71B" w14:textId="77777777" w:rsidR="00B27BCB" w:rsidRPr="00C317D5" w:rsidRDefault="00B27BCB" w:rsidP="00CF5394">
            <w:pPr>
              <w:pStyle w:val="Tabletext"/>
              <w:jc w:val="center"/>
            </w:pPr>
          </w:p>
        </w:tc>
        <w:tc>
          <w:tcPr>
            <w:tcW w:w="1191" w:type="dxa"/>
            <w:tcBorders>
              <w:top w:val="single" w:sz="8" w:space="0" w:color="auto"/>
              <w:left w:val="single" w:sz="8" w:space="0" w:color="auto"/>
              <w:bottom w:val="single" w:sz="8" w:space="0" w:color="auto"/>
              <w:right w:val="single" w:sz="8" w:space="0" w:color="auto"/>
            </w:tcBorders>
          </w:tcPr>
          <w:p w14:paraId="073A6F6A" w14:textId="77777777" w:rsidR="00B27BCB" w:rsidRPr="00C317D5" w:rsidRDefault="00B27BCB" w:rsidP="00CF5394">
            <w:pPr>
              <w:pStyle w:val="Tabletext"/>
              <w:jc w:val="center"/>
            </w:pPr>
          </w:p>
        </w:tc>
      </w:tr>
      <w:tr w:rsidR="00B27BCB" w:rsidRPr="00C317D5" w14:paraId="2E8632BD" w14:textId="77777777" w:rsidTr="007E2027">
        <w:trPr>
          <w:trHeight w:val="300"/>
          <w:jc w:val="center"/>
        </w:trPr>
        <w:tc>
          <w:tcPr>
            <w:tcW w:w="2494" w:type="dxa"/>
            <w:tcBorders>
              <w:top w:val="single" w:sz="8" w:space="0" w:color="auto"/>
              <w:left w:val="single" w:sz="8" w:space="0" w:color="auto"/>
              <w:bottom w:val="single" w:sz="8" w:space="0" w:color="auto"/>
              <w:right w:val="single" w:sz="8" w:space="0" w:color="auto"/>
            </w:tcBorders>
            <w:hideMark/>
          </w:tcPr>
          <w:p w14:paraId="520E79AB" w14:textId="21B3A19D" w:rsidR="00B27BCB" w:rsidRPr="00C317D5" w:rsidRDefault="00B27BCB" w:rsidP="00CF5394">
            <w:pPr>
              <w:pStyle w:val="Tabletext"/>
              <w:rPr>
                <w:b/>
              </w:rPr>
            </w:pPr>
            <w:r w:rsidRPr="00C317D5">
              <w:t>África</w:t>
            </w:r>
          </w:p>
        </w:tc>
        <w:tc>
          <w:tcPr>
            <w:tcW w:w="1417" w:type="dxa"/>
            <w:tcBorders>
              <w:top w:val="single" w:sz="8" w:space="0" w:color="auto"/>
              <w:left w:val="single" w:sz="8" w:space="0" w:color="auto"/>
              <w:bottom w:val="single" w:sz="8" w:space="0" w:color="auto"/>
              <w:right w:val="single" w:sz="8" w:space="0" w:color="auto"/>
            </w:tcBorders>
            <w:hideMark/>
          </w:tcPr>
          <w:p w14:paraId="105E86CA" w14:textId="77777777" w:rsidR="00B27BCB" w:rsidRPr="00C317D5" w:rsidRDefault="00B27BCB" w:rsidP="00CF5394">
            <w:pPr>
              <w:pStyle w:val="Tabletext"/>
            </w:pPr>
            <w:r w:rsidRPr="00C317D5">
              <w:t>Inglés/francés</w:t>
            </w:r>
          </w:p>
        </w:tc>
        <w:tc>
          <w:tcPr>
            <w:tcW w:w="1804" w:type="dxa"/>
            <w:tcBorders>
              <w:top w:val="single" w:sz="8" w:space="0" w:color="auto"/>
              <w:left w:val="single" w:sz="8" w:space="0" w:color="auto"/>
              <w:bottom w:val="single" w:sz="8" w:space="0" w:color="auto"/>
              <w:right w:val="single" w:sz="8" w:space="0" w:color="auto"/>
            </w:tcBorders>
          </w:tcPr>
          <w:p w14:paraId="1565BBEB" w14:textId="77777777" w:rsidR="00B27BCB" w:rsidRPr="00C317D5" w:rsidRDefault="00B27BCB" w:rsidP="00CF5394">
            <w:pPr>
              <w:pStyle w:val="Tabletext"/>
              <w:jc w:val="center"/>
            </w:pPr>
          </w:p>
        </w:tc>
        <w:tc>
          <w:tcPr>
            <w:tcW w:w="1474" w:type="dxa"/>
            <w:tcBorders>
              <w:top w:val="single" w:sz="8" w:space="0" w:color="auto"/>
              <w:left w:val="single" w:sz="8" w:space="0" w:color="auto"/>
              <w:bottom w:val="single" w:sz="8" w:space="0" w:color="auto"/>
              <w:right w:val="single" w:sz="8" w:space="0" w:color="auto"/>
            </w:tcBorders>
            <w:hideMark/>
          </w:tcPr>
          <w:p w14:paraId="7AE6D340" w14:textId="77777777" w:rsidR="00B27BCB" w:rsidRPr="00C317D5" w:rsidRDefault="00B27BCB" w:rsidP="00CF5394">
            <w:pPr>
              <w:pStyle w:val="Tabletext"/>
              <w:jc w:val="center"/>
            </w:pPr>
            <w:r w:rsidRPr="00C317D5">
              <w:t>5-16 de julio</w:t>
            </w:r>
            <w:r w:rsidRPr="00C317D5">
              <w:br/>
              <w:t>en línea</w:t>
            </w:r>
          </w:p>
        </w:tc>
        <w:tc>
          <w:tcPr>
            <w:tcW w:w="1247" w:type="dxa"/>
            <w:tcBorders>
              <w:top w:val="single" w:sz="8" w:space="0" w:color="auto"/>
              <w:left w:val="single" w:sz="8" w:space="0" w:color="auto"/>
              <w:bottom w:val="single" w:sz="8" w:space="0" w:color="auto"/>
              <w:right w:val="single" w:sz="8" w:space="0" w:color="auto"/>
            </w:tcBorders>
          </w:tcPr>
          <w:p w14:paraId="044336E3" w14:textId="77777777" w:rsidR="00B27BCB" w:rsidRPr="00C317D5" w:rsidRDefault="00B27BCB" w:rsidP="00CF5394">
            <w:pPr>
              <w:pStyle w:val="Tabletext"/>
              <w:jc w:val="center"/>
            </w:pPr>
          </w:p>
        </w:tc>
        <w:tc>
          <w:tcPr>
            <w:tcW w:w="1191" w:type="dxa"/>
            <w:tcBorders>
              <w:top w:val="single" w:sz="8" w:space="0" w:color="auto"/>
              <w:left w:val="single" w:sz="8" w:space="0" w:color="auto"/>
              <w:bottom w:val="single" w:sz="8" w:space="0" w:color="auto"/>
              <w:right w:val="single" w:sz="8" w:space="0" w:color="auto"/>
            </w:tcBorders>
          </w:tcPr>
          <w:p w14:paraId="3A5E14D6" w14:textId="23774274" w:rsidR="00B27BCB" w:rsidRPr="00C317D5" w:rsidRDefault="009C7A3A" w:rsidP="00CF5394">
            <w:pPr>
              <w:pStyle w:val="Tabletext"/>
              <w:jc w:val="center"/>
            </w:pPr>
            <w:r w:rsidRPr="00C317D5">
              <w:t>19-23 de</w:t>
            </w:r>
            <w:r w:rsidR="00077187" w:rsidRPr="00C317D5">
              <w:t> </w:t>
            </w:r>
            <w:r w:rsidRPr="00C317D5">
              <w:t>junio</w:t>
            </w:r>
          </w:p>
          <w:p w14:paraId="219D6707" w14:textId="39B3FB0F" w:rsidR="009C7A3A" w:rsidRPr="00C317D5" w:rsidRDefault="009C7A3A" w:rsidP="00CF5394">
            <w:pPr>
              <w:pStyle w:val="Tabletext"/>
              <w:jc w:val="center"/>
            </w:pPr>
            <w:r w:rsidRPr="00C317D5">
              <w:t>Brazaville, Congo</w:t>
            </w:r>
          </w:p>
        </w:tc>
      </w:tr>
      <w:tr w:rsidR="00B27BCB" w:rsidRPr="00C317D5" w14:paraId="1853231A" w14:textId="77777777" w:rsidTr="007E2027">
        <w:trPr>
          <w:trHeight w:val="300"/>
          <w:jc w:val="center"/>
        </w:trPr>
        <w:tc>
          <w:tcPr>
            <w:tcW w:w="2494" w:type="dxa"/>
            <w:tcBorders>
              <w:top w:val="single" w:sz="8" w:space="0" w:color="auto"/>
              <w:left w:val="single" w:sz="8" w:space="0" w:color="auto"/>
              <w:bottom w:val="single" w:sz="8" w:space="0" w:color="auto"/>
              <w:right w:val="single" w:sz="8" w:space="0" w:color="auto"/>
            </w:tcBorders>
            <w:hideMark/>
          </w:tcPr>
          <w:p w14:paraId="6D55432A" w14:textId="48B341EB" w:rsidR="00B27BCB" w:rsidRPr="00C317D5" w:rsidRDefault="00B27BCB" w:rsidP="00CF5394">
            <w:pPr>
              <w:pStyle w:val="Tabletext"/>
            </w:pPr>
          </w:p>
        </w:tc>
        <w:tc>
          <w:tcPr>
            <w:tcW w:w="1417" w:type="dxa"/>
            <w:tcBorders>
              <w:top w:val="single" w:sz="8" w:space="0" w:color="auto"/>
              <w:left w:val="single" w:sz="8" w:space="0" w:color="auto"/>
              <w:bottom w:val="single" w:sz="8" w:space="0" w:color="auto"/>
              <w:right w:val="single" w:sz="8" w:space="0" w:color="auto"/>
            </w:tcBorders>
            <w:hideMark/>
          </w:tcPr>
          <w:p w14:paraId="7AFE9F89" w14:textId="1FF4BB8D" w:rsidR="00B27BCB" w:rsidRPr="00C317D5" w:rsidRDefault="00B27BCB" w:rsidP="00CF5394">
            <w:pPr>
              <w:pStyle w:val="Tabletext"/>
            </w:pPr>
          </w:p>
        </w:tc>
        <w:tc>
          <w:tcPr>
            <w:tcW w:w="1804" w:type="dxa"/>
            <w:tcBorders>
              <w:top w:val="single" w:sz="8" w:space="0" w:color="auto"/>
              <w:left w:val="single" w:sz="8" w:space="0" w:color="auto"/>
              <w:bottom w:val="single" w:sz="8" w:space="0" w:color="auto"/>
              <w:right w:val="single" w:sz="8" w:space="0" w:color="auto"/>
            </w:tcBorders>
          </w:tcPr>
          <w:p w14:paraId="153B3F96" w14:textId="77777777" w:rsidR="00B27BCB" w:rsidRPr="00C317D5" w:rsidRDefault="00B27BCB" w:rsidP="00CF5394">
            <w:pPr>
              <w:pStyle w:val="Tabletext"/>
              <w:jc w:val="center"/>
            </w:pPr>
          </w:p>
        </w:tc>
        <w:tc>
          <w:tcPr>
            <w:tcW w:w="1474" w:type="dxa"/>
            <w:tcBorders>
              <w:top w:val="single" w:sz="8" w:space="0" w:color="auto"/>
              <w:left w:val="single" w:sz="8" w:space="0" w:color="auto"/>
              <w:bottom w:val="single" w:sz="8" w:space="0" w:color="auto"/>
              <w:right w:val="single" w:sz="8" w:space="0" w:color="auto"/>
            </w:tcBorders>
          </w:tcPr>
          <w:p w14:paraId="1D0317DD" w14:textId="77777777" w:rsidR="00B27BCB" w:rsidRPr="00C317D5" w:rsidRDefault="00B27BCB" w:rsidP="00CF5394">
            <w:pPr>
              <w:pStyle w:val="Tabletext"/>
              <w:jc w:val="center"/>
            </w:pPr>
          </w:p>
        </w:tc>
        <w:tc>
          <w:tcPr>
            <w:tcW w:w="1247" w:type="dxa"/>
            <w:tcBorders>
              <w:top w:val="single" w:sz="8" w:space="0" w:color="auto"/>
              <w:left w:val="single" w:sz="8" w:space="0" w:color="auto"/>
              <w:bottom w:val="single" w:sz="8" w:space="0" w:color="auto"/>
              <w:right w:val="single" w:sz="8" w:space="0" w:color="auto"/>
            </w:tcBorders>
          </w:tcPr>
          <w:p w14:paraId="1AB73FDF" w14:textId="77777777" w:rsidR="00B27BCB" w:rsidRPr="00C317D5" w:rsidRDefault="00B27BCB" w:rsidP="00CF5394">
            <w:pPr>
              <w:pStyle w:val="Tabletext"/>
              <w:jc w:val="center"/>
            </w:pPr>
          </w:p>
        </w:tc>
        <w:tc>
          <w:tcPr>
            <w:tcW w:w="1191" w:type="dxa"/>
            <w:tcBorders>
              <w:top w:val="single" w:sz="8" w:space="0" w:color="auto"/>
              <w:left w:val="single" w:sz="8" w:space="0" w:color="auto"/>
              <w:bottom w:val="single" w:sz="8" w:space="0" w:color="auto"/>
              <w:right w:val="single" w:sz="8" w:space="0" w:color="auto"/>
            </w:tcBorders>
            <w:hideMark/>
          </w:tcPr>
          <w:p w14:paraId="031A058A" w14:textId="0ACBC846" w:rsidR="00B27BCB" w:rsidRPr="00C317D5" w:rsidRDefault="00B27BCB" w:rsidP="00CF5394">
            <w:pPr>
              <w:pStyle w:val="Tabletext"/>
              <w:jc w:val="center"/>
            </w:pPr>
          </w:p>
        </w:tc>
      </w:tr>
      <w:tr w:rsidR="00B27BCB" w:rsidRPr="00C317D5" w14:paraId="7056E165" w14:textId="77777777" w:rsidTr="007E2027">
        <w:trPr>
          <w:trHeight w:val="300"/>
          <w:jc w:val="center"/>
        </w:trPr>
        <w:tc>
          <w:tcPr>
            <w:tcW w:w="2494" w:type="dxa"/>
            <w:tcBorders>
              <w:top w:val="single" w:sz="8" w:space="0" w:color="auto"/>
              <w:left w:val="single" w:sz="8" w:space="0" w:color="auto"/>
              <w:bottom w:val="single" w:sz="8" w:space="0" w:color="auto"/>
              <w:right w:val="single" w:sz="8" w:space="0" w:color="auto"/>
            </w:tcBorders>
            <w:hideMark/>
          </w:tcPr>
          <w:p w14:paraId="4876571E" w14:textId="77777777" w:rsidR="00B27BCB" w:rsidRPr="00C317D5" w:rsidRDefault="00B27BCB" w:rsidP="005675F9">
            <w:pPr>
              <w:pStyle w:val="Tabletext"/>
              <w:keepNext/>
              <w:keepLines/>
              <w:rPr>
                <w:b/>
                <w:bCs/>
              </w:rPr>
            </w:pPr>
            <w:r w:rsidRPr="00C317D5">
              <w:rPr>
                <w:b/>
                <w:bCs/>
              </w:rPr>
              <w:t>América: (3)</w:t>
            </w:r>
          </w:p>
        </w:tc>
        <w:tc>
          <w:tcPr>
            <w:tcW w:w="1417" w:type="dxa"/>
            <w:tcBorders>
              <w:top w:val="single" w:sz="8" w:space="0" w:color="auto"/>
              <w:left w:val="single" w:sz="8" w:space="0" w:color="auto"/>
              <w:bottom w:val="single" w:sz="8" w:space="0" w:color="auto"/>
              <w:right w:val="single" w:sz="8" w:space="0" w:color="auto"/>
            </w:tcBorders>
          </w:tcPr>
          <w:p w14:paraId="7EF8ECFE" w14:textId="77777777" w:rsidR="00B27BCB" w:rsidRPr="00C317D5" w:rsidRDefault="00B27BCB" w:rsidP="005675F9">
            <w:pPr>
              <w:pStyle w:val="Tabletext"/>
              <w:keepNext/>
              <w:keepLines/>
            </w:pPr>
          </w:p>
        </w:tc>
        <w:tc>
          <w:tcPr>
            <w:tcW w:w="1804" w:type="dxa"/>
            <w:tcBorders>
              <w:top w:val="single" w:sz="8" w:space="0" w:color="auto"/>
              <w:left w:val="single" w:sz="8" w:space="0" w:color="auto"/>
              <w:bottom w:val="single" w:sz="8" w:space="0" w:color="auto"/>
              <w:right w:val="single" w:sz="8" w:space="0" w:color="auto"/>
            </w:tcBorders>
          </w:tcPr>
          <w:p w14:paraId="2EA8B6F9" w14:textId="77777777" w:rsidR="00B27BCB" w:rsidRPr="00C317D5" w:rsidRDefault="00B27BCB" w:rsidP="005675F9">
            <w:pPr>
              <w:pStyle w:val="Tabletext"/>
              <w:keepNext/>
              <w:keepLines/>
              <w:jc w:val="center"/>
            </w:pPr>
          </w:p>
        </w:tc>
        <w:tc>
          <w:tcPr>
            <w:tcW w:w="1474" w:type="dxa"/>
            <w:tcBorders>
              <w:top w:val="single" w:sz="8" w:space="0" w:color="auto"/>
              <w:left w:val="single" w:sz="8" w:space="0" w:color="auto"/>
              <w:bottom w:val="single" w:sz="8" w:space="0" w:color="auto"/>
              <w:right w:val="single" w:sz="8" w:space="0" w:color="auto"/>
            </w:tcBorders>
          </w:tcPr>
          <w:p w14:paraId="19803B1D" w14:textId="77777777" w:rsidR="00B27BCB" w:rsidRPr="00C317D5" w:rsidRDefault="00B27BCB" w:rsidP="005675F9">
            <w:pPr>
              <w:pStyle w:val="Tabletext"/>
              <w:keepNext/>
              <w:keepLines/>
              <w:jc w:val="center"/>
            </w:pPr>
          </w:p>
        </w:tc>
        <w:tc>
          <w:tcPr>
            <w:tcW w:w="1247" w:type="dxa"/>
            <w:tcBorders>
              <w:top w:val="single" w:sz="8" w:space="0" w:color="auto"/>
              <w:left w:val="single" w:sz="8" w:space="0" w:color="auto"/>
              <w:bottom w:val="single" w:sz="8" w:space="0" w:color="auto"/>
              <w:right w:val="single" w:sz="8" w:space="0" w:color="auto"/>
            </w:tcBorders>
          </w:tcPr>
          <w:p w14:paraId="6768740A" w14:textId="77777777" w:rsidR="00B27BCB" w:rsidRPr="00C317D5" w:rsidRDefault="00B27BCB" w:rsidP="005675F9">
            <w:pPr>
              <w:pStyle w:val="Tabletext"/>
              <w:keepNext/>
              <w:keepLines/>
              <w:jc w:val="center"/>
            </w:pPr>
          </w:p>
        </w:tc>
        <w:tc>
          <w:tcPr>
            <w:tcW w:w="1191" w:type="dxa"/>
            <w:tcBorders>
              <w:top w:val="single" w:sz="8" w:space="0" w:color="auto"/>
              <w:left w:val="single" w:sz="8" w:space="0" w:color="auto"/>
              <w:bottom w:val="single" w:sz="8" w:space="0" w:color="auto"/>
              <w:right w:val="single" w:sz="8" w:space="0" w:color="auto"/>
            </w:tcBorders>
          </w:tcPr>
          <w:p w14:paraId="2D389FCA" w14:textId="77777777" w:rsidR="00B27BCB" w:rsidRPr="00C317D5" w:rsidRDefault="00B27BCB" w:rsidP="005675F9">
            <w:pPr>
              <w:pStyle w:val="Tabletext"/>
              <w:keepNext/>
              <w:keepLines/>
              <w:jc w:val="center"/>
            </w:pPr>
          </w:p>
        </w:tc>
      </w:tr>
      <w:tr w:rsidR="00B27BCB" w:rsidRPr="00C317D5" w14:paraId="2D1A27D6" w14:textId="77777777" w:rsidTr="007E2027">
        <w:trPr>
          <w:trHeight w:val="300"/>
          <w:jc w:val="center"/>
        </w:trPr>
        <w:tc>
          <w:tcPr>
            <w:tcW w:w="2494" w:type="dxa"/>
            <w:tcBorders>
              <w:top w:val="single" w:sz="8" w:space="0" w:color="auto"/>
              <w:left w:val="single" w:sz="8" w:space="0" w:color="auto"/>
              <w:bottom w:val="single" w:sz="8" w:space="0" w:color="auto"/>
              <w:right w:val="single" w:sz="8" w:space="0" w:color="auto"/>
            </w:tcBorders>
            <w:hideMark/>
          </w:tcPr>
          <w:p w14:paraId="5011D7CD" w14:textId="77777777" w:rsidR="00B27BCB" w:rsidRPr="00C317D5" w:rsidRDefault="00B27BCB" w:rsidP="005675F9">
            <w:pPr>
              <w:pStyle w:val="Tabletext"/>
              <w:keepNext/>
              <w:keepLines/>
            </w:pPr>
            <w:r w:rsidRPr="00C317D5">
              <w:t>América del Sur</w:t>
            </w:r>
          </w:p>
        </w:tc>
        <w:tc>
          <w:tcPr>
            <w:tcW w:w="1417" w:type="dxa"/>
            <w:tcBorders>
              <w:top w:val="single" w:sz="8" w:space="0" w:color="auto"/>
              <w:left w:val="single" w:sz="8" w:space="0" w:color="auto"/>
              <w:bottom w:val="single" w:sz="8" w:space="0" w:color="auto"/>
              <w:right w:val="single" w:sz="8" w:space="0" w:color="auto"/>
            </w:tcBorders>
            <w:hideMark/>
          </w:tcPr>
          <w:p w14:paraId="5790B3E7" w14:textId="77777777" w:rsidR="00B27BCB" w:rsidRPr="00C317D5" w:rsidRDefault="00B27BCB" w:rsidP="005675F9">
            <w:pPr>
              <w:pStyle w:val="Tabletext"/>
              <w:keepNext/>
              <w:keepLines/>
            </w:pPr>
            <w:r w:rsidRPr="00C317D5">
              <w:t>Español</w:t>
            </w:r>
          </w:p>
        </w:tc>
        <w:tc>
          <w:tcPr>
            <w:tcW w:w="1804" w:type="dxa"/>
            <w:tcBorders>
              <w:top w:val="single" w:sz="8" w:space="0" w:color="auto"/>
              <w:left w:val="single" w:sz="8" w:space="0" w:color="auto"/>
              <w:bottom w:val="single" w:sz="8" w:space="0" w:color="auto"/>
              <w:right w:val="single" w:sz="8" w:space="0" w:color="auto"/>
            </w:tcBorders>
          </w:tcPr>
          <w:p w14:paraId="65529C5A" w14:textId="77777777" w:rsidR="00B27BCB" w:rsidRPr="00C317D5" w:rsidRDefault="00B27BCB" w:rsidP="005675F9">
            <w:pPr>
              <w:pStyle w:val="Tabletext"/>
              <w:keepNext/>
              <w:keepLines/>
              <w:jc w:val="center"/>
            </w:pPr>
          </w:p>
        </w:tc>
        <w:tc>
          <w:tcPr>
            <w:tcW w:w="1474" w:type="dxa"/>
            <w:tcBorders>
              <w:top w:val="single" w:sz="8" w:space="0" w:color="auto"/>
              <w:left w:val="single" w:sz="8" w:space="0" w:color="auto"/>
              <w:bottom w:val="single" w:sz="8" w:space="0" w:color="auto"/>
              <w:right w:val="single" w:sz="8" w:space="0" w:color="auto"/>
            </w:tcBorders>
          </w:tcPr>
          <w:p w14:paraId="2D451711" w14:textId="77777777" w:rsidR="00B27BCB" w:rsidRPr="00C317D5" w:rsidRDefault="00B27BCB" w:rsidP="005675F9">
            <w:pPr>
              <w:pStyle w:val="Tabletext"/>
              <w:keepNext/>
              <w:keepLines/>
              <w:jc w:val="center"/>
            </w:pPr>
            <w:r w:rsidRPr="00C317D5">
              <w:t>26 de abril a 7 de mayo</w:t>
            </w:r>
            <w:r w:rsidRPr="00C317D5">
              <w:br/>
              <w:t>en línea</w:t>
            </w:r>
          </w:p>
        </w:tc>
        <w:tc>
          <w:tcPr>
            <w:tcW w:w="1247" w:type="dxa"/>
            <w:tcBorders>
              <w:top w:val="single" w:sz="8" w:space="0" w:color="auto"/>
              <w:left w:val="single" w:sz="8" w:space="0" w:color="auto"/>
              <w:bottom w:val="single" w:sz="8" w:space="0" w:color="auto"/>
              <w:right w:val="single" w:sz="8" w:space="0" w:color="auto"/>
            </w:tcBorders>
            <w:hideMark/>
          </w:tcPr>
          <w:p w14:paraId="4E92B001" w14:textId="77777777" w:rsidR="00B27BCB" w:rsidRPr="00C317D5" w:rsidRDefault="00B27BCB" w:rsidP="005675F9">
            <w:pPr>
              <w:pStyle w:val="Tabletext"/>
              <w:keepNext/>
              <w:keepLines/>
              <w:jc w:val="center"/>
            </w:pPr>
          </w:p>
        </w:tc>
        <w:tc>
          <w:tcPr>
            <w:tcW w:w="1191" w:type="dxa"/>
            <w:tcBorders>
              <w:top w:val="single" w:sz="8" w:space="0" w:color="auto"/>
              <w:left w:val="single" w:sz="8" w:space="0" w:color="auto"/>
              <w:bottom w:val="single" w:sz="8" w:space="0" w:color="auto"/>
              <w:right w:val="single" w:sz="8" w:space="0" w:color="auto"/>
            </w:tcBorders>
          </w:tcPr>
          <w:p w14:paraId="6C77057B" w14:textId="77777777" w:rsidR="00B27BCB" w:rsidRPr="00C317D5" w:rsidRDefault="00B27BCB" w:rsidP="005675F9">
            <w:pPr>
              <w:pStyle w:val="Tabletext"/>
              <w:keepNext/>
              <w:keepLines/>
              <w:jc w:val="center"/>
            </w:pPr>
          </w:p>
        </w:tc>
      </w:tr>
      <w:tr w:rsidR="00B27BCB" w:rsidRPr="00C317D5" w14:paraId="4E1C7439" w14:textId="77777777" w:rsidTr="007E2027">
        <w:trPr>
          <w:trHeight w:val="300"/>
          <w:jc w:val="center"/>
        </w:trPr>
        <w:tc>
          <w:tcPr>
            <w:tcW w:w="2494" w:type="dxa"/>
            <w:tcBorders>
              <w:top w:val="single" w:sz="8" w:space="0" w:color="auto"/>
              <w:left w:val="single" w:sz="8" w:space="0" w:color="auto"/>
              <w:bottom w:val="single" w:sz="8" w:space="0" w:color="auto"/>
              <w:right w:val="single" w:sz="8" w:space="0" w:color="auto"/>
            </w:tcBorders>
            <w:hideMark/>
          </w:tcPr>
          <w:p w14:paraId="5F7702CC" w14:textId="77777777" w:rsidR="00B27BCB" w:rsidRPr="00C317D5" w:rsidRDefault="00B27BCB" w:rsidP="00CF5394">
            <w:pPr>
              <w:pStyle w:val="Tabletext"/>
            </w:pPr>
            <w:r w:rsidRPr="00C317D5">
              <w:t>Mesoamérica</w:t>
            </w:r>
          </w:p>
        </w:tc>
        <w:tc>
          <w:tcPr>
            <w:tcW w:w="1417" w:type="dxa"/>
            <w:tcBorders>
              <w:top w:val="single" w:sz="8" w:space="0" w:color="auto"/>
              <w:left w:val="single" w:sz="8" w:space="0" w:color="auto"/>
              <w:bottom w:val="single" w:sz="8" w:space="0" w:color="auto"/>
              <w:right w:val="single" w:sz="8" w:space="0" w:color="auto"/>
            </w:tcBorders>
            <w:hideMark/>
          </w:tcPr>
          <w:p w14:paraId="73B345F1" w14:textId="77777777" w:rsidR="00B27BCB" w:rsidRPr="00C317D5" w:rsidRDefault="00B27BCB" w:rsidP="00CF5394">
            <w:pPr>
              <w:pStyle w:val="Tabletext"/>
            </w:pPr>
            <w:r w:rsidRPr="00C317D5">
              <w:t>Español</w:t>
            </w:r>
          </w:p>
        </w:tc>
        <w:tc>
          <w:tcPr>
            <w:tcW w:w="1804" w:type="dxa"/>
            <w:tcBorders>
              <w:top w:val="single" w:sz="8" w:space="0" w:color="auto"/>
              <w:left w:val="single" w:sz="8" w:space="0" w:color="auto"/>
              <w:bottom w:val="single" w:sz="8" w:space="0" w:color="auto"/>
              <w:right w:val="single" w:sz="8" w:space="0" w:color="auto"/>
            </w:tcBorders>
          </w:tcPr>
          <w:p w14:paraId="3F8F15BA" w14:textId="77777777" w:rsidR="00B27BCB" w:rsidRPr="00C317D5" w:rsidRDefault="00B27BCB" w:rsidP="00CF5394">
            <w:pPr>
              <w:pStyle w:val="Tabletext"/>
              <w:jc w:val="center"/>
            </w:pPr>
          </w:p>
        </w:tc>
        <w:tc>
          <w:tcPr>
            <w:tcW w:w="1474" w:type="dxa"/>
            <w:tcBorders>
              <w:top w:val="single" w:sz="8" w:space="0" w:color="auto"/>
              <w:left w:val="single" w:sz="8" w:space="0" w:color="auto"/>
              <w:bottom w:val="single" w:sz="8" w:space="0" w:color="auto"/>
              <w:right w:val="single" w:sz="8" w:space="0" w:color="auto"/>
            </w:tcBorders>
            <w:hideMark/>
          </w:tcPr>
          <w:p w14:paraId="6F415F0D" w14:textId="77777777" w:rsidR="00B27BCB" w:rsidRPr="00C317D5" w:rsidRDefault="00B27BCB" w:rsidP="00CF5394">
            <w:pPr>
              <w:pStyle w:val="Tabletext"/>
              <w:jc w:val="center"/>
            </w:pPr>
          </w:p>
        </w:tc>
        <w:tc>
          <w:tcPr>
            <w:tcW w:w="1247" w:type="dxa"/>
            <w:tcBorders>
              <w:top w:val="single" w:sz="8" w:space="0" w:color="auto"/>
              <w:left w:val="single" w:sz="8" w:space="0" w:color="auto"/>
              <w:bottom w:val="single" w:sz="8" w:space="0" w:color="auto"/>
              <w:right w:val="single" w:sz="8" w:space="0" w:color="auto"/>
            </w:tcBorders>
          </w:tcPr>
          <w:p w14:paraId="39E877CD" w14:textId="77777777" w:rsidR="00B27BCB" w:rsidRPr="00C317D5" w:rsidRDefault="00B27BCB" w:rsidP="00CF5394">
            <w:pPr>
              <w:pStyle w:val="Tabletext"/>
              <w:jc w:val="center"/>
            </w:pPr>
          </w:p>
        </w:tc>
        <w:tc>
          <w:tcPr>
            <w:tcW w:w="1191" w:type="dxa"/>
            <w:tcBorders>
              <w:top w:val="single" w:sz="8" w:space="0" w:color="auto"/>
              <w:left w:val="single" w:sz="8" w:space="0" w:color="auto"/>
              <w:bottom w:val="single" w:sz="8" w:space="0" w:color="auto"/>
              <w:right w:val="single" w:sz="8" w:space="0" w:color="auto"/>
            </w:tcBorders>
          </w:tcPr>
          <w:p w14:paraId="741513ED" w14:textId="13BFE1B2" w:rsidR="00B27BCB" w:rsidRPr="00C317D5" w:rsidRDefault="009C7A3A" w:rsidP="00CF5394">
            <w:pPr>
              <w:pStyle w:val="Tabletext"/>
              <w:jc w:val="center"/>
            </w:pPr>
            <w:r w:rsidRPr="00C317D5">
              <w:t>8-12 de</w:t>
            </w:r>
            <w:r w:rsidR="00077187" w:rsidRPr="00C317D5">
              <w:t> </w:t>
            </w:r>
            <w:r w:rsidRPr="00C317D5">
              <w:t>mayo</w:t>
            </w:r>
          </w:p>
          <w:p w14:paraId="2648B38A" w14:textId="783F6A1D" w:rsidR="009C7A3A" w:rsidRPr="00C317D5" w:rsidRDefault="009C7A3A" w:rsidP="00CF5394">
            <w:pPr>
              <w:pStyle w:val="Tabletext"/>
              <w:jc w:val="center"/>
            </w:pPr>
            <w:r w:rsidRPr="00C317D5">
              <w:t>La Habana, Cuba</w:t>
            </w:r>
          </w:p>
        </w:tc>
      </w:tr>
      <w:tr w:rsidR="00B27BCB" w:rsidRPr="00C317D5" w14:paraId="5C4921C9" w14:textId="77777777" w:rsidTr="007E2027">
        <w:trPr>
          <w:trHeight w:val="300"/>
          <w:jc w:val="center"/>
        </w:trPr>
        <w:tc>
          <w:tcPr>
            <w:tcW w:w="2494" w:type="dxa"/>
            <w:tcBorders>
              <w:top w:val="single" w:sz="8" w:space="0" w:color="auto"/>
              <w:left w:val="single" w:sz="8" w:space="0" w:color="auto"/>
              <w:bottom w:val="single" w:sz="8" w:space="0" w:color="auto"/>
              <w:right w:val="single" w:sz="8" w:space="0" w:color="auto"/>
            </w:tcBorders>
            <w:hideMark/>
          </w:tcPr>
          <w:p w14:paraId="34A3864D" w14:textId="77777777" w:rsidR="00B27BCB" w:rsidRPr="00C317D5" w:rsidRDefault="00B27BCB" w:rsidP="00CF5394">
            <w:pPr>
              <w:pStyle w:val="Tabletext"/>
            </w:pPr>
            <w:r w:rsidRPr="00C317D5">
              <w:t>Caribe</w:t>
            </w:r>
          </w:p>
        </w:tc>
        <w:tc>
          <w:tcPr>
            <w:tcW w:w="1417" w:type="dxa"/>
            <w:tcBorders>
              <w:top w:val="single" w:sz="8" w:space="0" w:color="auto"/>
              <w:left w:val="single" w:sz="8" w:space="0" w:color="auto"/>
              <w:bottom w:val="single" w:sz="8" w:space="0" w:color="auto"/>
              <w:right w:val="single" w:sz="8" w:space="0" w:color="auto"/>
            </w:tcBorders>
            <w:hideMark/>
          </w:tcPr>
          <w:p w14:paraId="0063F86A" w14:textId="77777777" w:rsidR="00B27BCB" w:rsidRPr="00C317D5" w:rsidRDefault="00B27BCB" w:rsidP="00CF5394">
            <w:pPr>
              <w:pStyle w:val="Tabletext"/>
            </w:pPr>
            <w:r w:rsidRPr="00C317D5">
              <w:t>Inglés</w:t>
            </w:r>
          </w:p>
        </w:tc>
        <w:tc>
          <w:tcPr>
            <w:tcW w:w="1804" w:type="dxa"/>
            <w:tcBorders>
              <w:top w:val="single" w:sz="8" w:space="0" w:color="auto"/>
              <w:left w:val="single" w:sz="8" w:space="0" w:color="auto"/>
              <w:bottom w:val="single" w:sz="8" w:space="0" w:color="auto"/>
              <w:right w:val="single" w:sz="8" w:space="0" w:color="auto"/>
            </w:tcBorders>
            <w:hideMark/>
          </w:tcPr>
          <w:p w14:paraId="163DB614" w14:textId="77777777" w:rsidR="00B27BCB" w:rsidRPr="00C317D5" w:rsidRDefault="00B27BCB" w:rsidP="00CF5394">
            <w:pPr>
              <w:pStyle w:val="Tabletext"/>
              <w:jc w:val="center"/>
            </w:pPr>
            <w:r w:rsidRPr="00C317D5">
              <w:t>13-24 de julio</w:t>
            </w:r>
            <w:r w:rsidRPr="00C317D5">
              <w:br/>
              <w:t>en línea</w:t>
            </w:r>
          </w:p>
        </w:tc>
        <w:tc>
          <w:tcPr>
            <w:tcW w:w="1474" w:type="dxa"/>
            <w:tcBorders>
              <w:top w:val="single" w:sz="8" w:space="0" w:color="auto"/>
              <w:left w:val="single" w:sz="8" w:space="0" w:color="auto"/>
              <w:bottom w:val="single" w:sz="8" w:space="0" w:color="auto"/>
              <w:right w:val="single" w:sz="8" w:space="0" w:color="auto"/>
            </w:tcBorders>
          </w:tcPr>
          <w:p w14:paraId="587EE040" w14:textId="77777777" w:rsidR="00B27BCB" w:rsidRPr="00C317D5" w:rsidRDefault="00B27BCB" w:rsidP="00CF5394">
            <w:pPr>
              <w:pStyle w:val="Tabletext"/>
              <w:jc w:val="center"/>
            </w:pPr>
          </w:p>
        </w:tc>
        <w:tc>
          <w:tcPr>
            <w:tcW w:w="1247" w:type="dxa"/>
            <w:tcBorders>
              <w:top w:val="single" w:sz="8" w:space="0" w:color="auto"/>
              <w:left w:val="single" w:sz="8" w:space="0" w:color="auto"/>
              <w:bottom w:val="single" w:sz="8" w:space="0" w:color="auto"/>
              <w:right w:val="single" w:sz="8" w:space="0" w:color="auto"/>
            </w:tcBorders>
          </w:tcPr>
          <w:p w14:paraId="166DEE4C" w14:textId="77777777" w:rsidR="00B27BCB" w:rsidRPr="00C317D5" w:rsidRDefault="00B27BCB" w:rsidP="00CF5394">
            <w:pPr>
              <w:pStyle w:val="Tabletext"/>
              <w:jc w:val="center"/>
            </w:pPr>
          </w:p>
        </w:tc>
        <w:tc>
          <w:tcPr>
            <w:tcW w:w="1191" w:type="dxa"/>
            <w:tcBorders>
              <w:top w:val="single" w:sz="8" w:space="0" w:color="auto"/>
              <w:left w:val="single" w:sz="8" w:space="0" w:color="auto"/>
              <w:bottom w:val="single" w:sz="8" w:space="0" w:color="auto"/>
              <w:right w:val="single" w:sz="8" w:space="0" w:color="auto"/>
            </w:tcBorders>
          </w:tcPr>
          <w:p w14:paraId="125B86A5" w14:textId="77777777" w:rsidR="00B27BCB" w:rsidRPr="00C317D5" w:rsidRDefault="00B27BCB" w:rsidP="00CF5394">
            <w:pPr>
              <w:pStyle w:val="Tabletext"/>
              <w:jc w:val="center"/>
            </w:pPr>
          </w:p>
        </w:tc>
      </w:tr>
      <w:tr w:rsidR="00B27BCB" w:rsidRPr="00C317D5" w14:paraId="3EEE457B" w14:textId="77777777" w:rsidTr="007E2027">
        <w:trPr>
          <w:trHeight w:val="300"/>
          <w:jc w:val="center"/>
        </w:trPr>
        <w:tc>
          <w:tcPr>
            <w:tcW w:w="2494" w:type="dxa"/>
            <w:tcBorders>
              <w:top w:val="single" w:sz="8" w:space="0" w:color="auto"/>
              <w:left w:val="single" w:sz="8" w:space="0" w:color="auto"/>
              <w:bottom w:val="single" w:sz="8" w:space="0" w:color="auto"/>
              <w:right w:val="single" w:sz="8" w:space="0" w:color="auto"/>
            </w:tcBorders>
            <w:hideMark/>
          </w:tcPr>
          <w:p w14:paraId="7CA1FE8C" w14:textId="77777777" w:rsidR="00B27BCB" w:rsidRPr="00C317D5" w:rsidRDefault="00B27BCB" w:rsidP="00CF5394">
            <w:pPr>
              <w:pStyle w:val="Tabletext"/>
              <w:rPr>
                <w:b/>
                <w:bCs/>
              </w:rPr>
            </w:pPr>
            <w:r w:rsidRPr="00C317D5">
              <w:rPr>
                <w:b/>
                <w:bCs/>
              </w:rPr>
              <w:t>Asia-Pacífico: (3)</w:t>
            </w:r>
          </w:p>
        </w:tc>
        <w:tc>
          <w:tcPr>
            <w:tcW w:w="1417" w:type="dxa"/>
            <w:tcBorders>
              <w:top w:val="single" w:sz="8" w:space="0" w:color="auto"/>
              <w:left w:val="single" w:sz="8" w:space="0" w:color="auto"/>
              <w:bottom w:val="single" w:sz="8" w:space="0" w:color="auto"/>
              <w:right w:val="single" w:sz="8" w:space="0" w:color="auto"/>
            </w:tcBorders>
          </w:tcPr>
          <w:p w14:paraId="6DAF3B97" w14:textId="77777777" w:rsidR="00B27BCB" w:rsidRPr="00C317D5" w:rsidRDefault="00B27BCB" w:rsidP="00CF5394">
            <w:pPr>
              <w:pStyle w:val="Tabletext"/>
            </w:pPr>
          </w:p>
        </w:tc>
        <w:tc>
          <w:tcPr>
            <w:tcW w:w="1804" w:type="dxa"/>
            <w:tcBorders>
              <w:top w:val="single" w:sz="8" w:space="0" w:color="auto"/>
              <w:left w:val="single" w:sz="8" w:space="0" w:color="auto"/>
              <w:bottom w:val="single" w:sz="8" w:space="0" w:color="auto"/>
              <w:right w:val="single" w:sz="8" w:space="0" w:color="auto"/>
            </w:tcBorders>
          </w:tcPr>
          <w:p w14:paraId="768DFE12" w14:textId="77777777" w:rsidR="00B27BCB" w:rsidRPr="00C317D5" w:rsidRDefault="00B27BCB" w:rsidP="00CF5394">
            <w:pPr>
              <w:pStyle w:val="Tabletext"/>
              <w:jc w:val="center"/>
            </w:pPr>
          </w:p>
        </w:tc>
        <w:tc>
          <w:tcPr>
            <w:tcW w:w="1474" w:type="dxa"/>
            <w:tcBorders>
              <w:top w:val="single" w:sz="8" w:space="0" w:color="auto"/>
              <w:left w:val="single" w:sz="8" w:space="0" w:color="auto"/>
              <w:bottom w:val="single" w:sz="8" w:space="0" w:color="auto"/>
              <w:right w:val="single" w:sz="8" w:space="0" w:color="auto"/>
            </w:tcBorders>
          </w:tcPr>
          <w:p w14:paraId="4059003C" w14:textId="77777777" w:rsidR="00B27BCB" w:rsidRPr="00C317D5" w:rsidRDefault="00B27BCB" w:rsidP="00CF5394">
            <w:pPr>
              <w:pStyle w:val="Tabletext"/>
              <w:jc w:val="center"/>
            </w:pPr>
          </w:p>
        </w:tc>
        <w:tc>
          <w:tcPr>
            <w:tcW w:w="1247" w:type="dxa"/>
            <w:tcBorders>
              <w:top w:val="single" w:sz="8" w:space="0" w:color="auto"/>
              <w:left w:val="single" w:sz="8" w:space="0" w:color="auto"/>
              <w:bottom w:val="single" w:sz="8" w:space="0" w:color="auto"/>
              <w:right w:val="single" w:sz="8" w:space="0" w:color="auto"/>
            </w:tcBorders>
          </w:tcPr>
          <w:p w14:paraId="316AD5D7" w14:textId="77777777" w:rsidR="00B27BCB" w:rsidRPr="00C317D5" w:rsidRDefault="00B27BCB" w:rsidP="00CF5394">
            <w:pPr>
              <w:pStyle w:val="Tabletext"/>
              <w:jc w:val="center"/>
            </w:pPr>
          </w:p>
        </w:tc>
        <w:tc>
          <w:tcPr>
            <w:tcW w:w="1191" w:type="dxa"/>
            <w:tcBorders>
              <w:top w:val="single" w:sz="8" w:space="0" w:color="auto"/>
              <w:left w:val="single" w:sz="8" w:space="0" w:color="auto"/>
              <w:bottom w:val="single" w:sz="8" w:space="0" w:color="auto"/>
              <w:right w:val="single" w:sz="8" w:space="0" w:color="auto"/>
            </w:tcBorders>
          </w:tcPr>
          <w:p w14:paraId="6A9A5CFD" w14:textId="77777777" w:rsidR="00B27BCB" w:rsidRPr="00C317D5" w:rsidRDefault="00B27BCB" w:rsidP="00CF5394">
            <w:pPr>
              <w:pStyle w:val="Tabletext"/>
              <w:jc w:val="center"/>
            </w:pPr>
          </w:p>
        </w:tc>
      </w:tr>
      <w:tr w:rsidR="00B27BCB" w:rsidRPr="00C317D5" w14:paraId="2BF83BDB" w14:textId="77777777" w:rsidTr="007E2027">
        <w:trPr>
          <w:trHeight w:val="300"/>
          <w:jc w:val="center"/>
        </w:trPr>
        <w:tc>
          <w:tcPr>
            <w:tcW w:w="2494" w:type="dxa"/>
            <w:tcBorders>
              <w:top w:val="single" w:sz="8" w:space="0" w:color="auto"/>
              <w:left w:val="single" w:sz="8" w:space="0" w:color="auto"/>
              <w:bottom w:val="single" w:sz="8" w:space="0" w:color="auto"/>
              <w:right w:val="single" w:sz="8" w:space="0" w:color="auto"/>
            </w:tcBorders>
            <w:hideMark/>
          </w:tcPr>
          <w:p w14:paraId="55EC44EB" w14:textId="77777777" w:rsidR="00B27BCB" w:rsidRPr="00C317D5" w:rsidRDefault="00B27BCB" w:rsidP="00CF5394">
            <w:pPr>
              <w:pStyle w:val="Tabletext"/>
            </w:pPr>
            <w:r w:rsidRPr="00C317D5">
              <w:t>Estados insulares del Pacífico</w:t>
            </w:r>
          </w:p>
        </w:tc>
        <w:tc>
          <w:tcPr>
            <w:tcW w:w="1417" w:type="dxa"/>
            <w:tcBorders>
              <w:top w:val="single" w:sz="8" w:space="0" w:color="auto"/>
              <w:left w:val="single" w:sz="8" w:space="0" w:color="auto"/>
              <w:bottom w:val="single" w:sz="8" w:space="0" w:color="auto"/>
              <w:right w:val="single" w:sz="8" w:space="0" w:color="auto"/>
            </w:tcBorders>
            <w:hideMark/>
          </w:tcPr>
          <w:p w14:paraId="641CBEEA" w14:textId="77777777" w:rsidR="00B27BCB" w:rsidRPr="00C317D5" w:rsidRDefault="00B27BCB" w:rsidP="00CF5394">
            <w:pPr>
              <w:pStyle w:val="Tabletext"/>
            </w:pPr>
            <w:r w:rsidRPr="00C317D5">
              <w:t>Inglés</w:t>
            </w:r>
          </w:p>
        </w:tc>
        <w:tc>
          <w:tcPr>
            <w:tcW w:w="1804" w:type="dxa"/>
            <w:tcBorders>
              <w:top w:val="single" w:sz="8" w:space="0" w:color="auto"/>
              <w:left w:val="single" w:sz="8" w:space="0" w:color="auto"/>
              <w:bottom w:val="single" w:sz="8" w:space="0" w:color="auto"/>
              <w:right w:val="single" w:sz="8" w:space="0" w:color="auto"/>
            </w:tcBorders>
          </w:tcPr>
          <w:p w14:paraId="3DD50527" w14:textId="77777777" w:rsidR="00B27BCB" w:rsidRPr="00C317D5" w:rsidRDefault="00B27BCB" w:rsidP="00CF5394">
            <w:pPr>
              <w:pStyle w:val="Tabletext"/>
              <w:jc w:val="center"/>
            </w:pPr>
          </w:p>
        </w:tc>
        <w:tc>
          <w:tcPr>
            <w:tcW w:w="1474" w:type="dxa"/>
            <w:tcBorders>
              <w:top w:val="single" w:sz="8" w:space="0" w:color="auto"/>
              <w:left w:val="single" w:sz="8" w:space="0" w:color="auto"/>
              <w:bottom w:val="single" w:sz="8" w:space="0" w:color="auto"/>
              <w:right w:val="single" w:sz="8" w:space="0" w:color="auto"/>
            </w:tcBorders>
            <w:hideMark/>
          </w:tcPr>
          <w:p w14:paraId="30338375" w14:textId="77777777" w:rsidR="00B27BCB" w:rsidRPr="00C317D5" w:rsidRDefault="00B27BCB" w:rsidP="00CF5394">
            <w:pPr>
              <w:pStyle w:val="Tabletext"/>
              <w:jc w:val="center"/>
            </w:pPr>
          </w:p>
        </w:tc>
        <w:tc>
          <w:tcPr>
            <w:tcW w:w="1247" w:type="dxa"/>
            <w:tcBorders>
              <w:top w:val="single" w:sz="8" w:space="0" w:color="auto"/>
              <w:left w:val="single" w:sz="8" w:space="0" w:color="auto"/>
              <w:bottom w:val="single" w:sz="8" w:space="0" w:color="auto"/>
              <w:right w:val="single" w:sz="8" w:space="0" w:color="auto"/>
            </w:tcBorders>
          </w:tcPr>
          <w:p w14:paraId="2DA2492C" w14:textId="46821947" w:rsidR="00B27BCB" w:rsidRPr="00C317D5" w:rsidRDefault="009C7A3A" w:rsidP="00CF5394">
            <w:pPr>
              <w:pStyle w:val="Tabletext"/>
              <w:jc w:val="center"/>
            </w:pPr>
            <w:r w:rsidRPr="00C317D5">
              <w:t>15-20 de diciembre</w:t>
            </w:r>
          </w:p>
          <w:p w14:paraId="4346F49F" w14:textId="463296CC" w:rsidR="009C7A3A" w:rsidRPr="00C317D5" w:rsidRDefault="009C7A3A" w:rsidP="00CF5394">
            <w:pPr>
              <w:pStyle w:val="Tabletext"/>
              <w:jc w:val="center"/>
            </w:pPr>
            <w:r w:rsidRPr="00C317D5">
              <w:t>Nadi, Fiji</w:t>
            </w:r>
          </w:p>
        </w:tc>
        <w:tc>
          <w:tcPr>
            <w:tcW w:w="1191" w:type="dxa"/>
            <w:tcBorders>
              <w:top w:val="single" w:sz="8" w:space="0" w:color="auto"/>
              <w:left w:val="single" w:sz="8" w:space="0" w:color="auto"/>
              <w:bottom w:val="single" w:sz="8" w:space="0" w:color="auto"/>
              <w:right w:val="single" w:sz="8" w:space="0" w:color="auto"/>
            </w:tcBorders>
          </w:tcPr>
          <w:p w14:paraId="14235ECB" w14:textId="77777777" w:rsidR="00B27BCB" w:rsidRPr="00C317D5" w:rsidRDefault="00B27BCB" w:rsidP="00CF5394">
            <w:pPr>
              <w:pStyle w:val="Tabletext"/>
              <w:jc w:val="center"/>
            </w:pPr>
          </w:p>
        </w:tc>
      </w:tr>
      <w:tr w:rsidR="00B27BCB" w:rsidRPr="00C317D5" w14:paraId="298302B2" w14:textId="77777777" w:rsidTr="007E2027">
        <w:trPr>
          <w:trHeight w:val="300"/>
          <w:jc w:val="center"/>
        </w:trPr>
        <w:tc>
          <w:tcPr>
            <w:tcW w:w="2494" w:type="dxa"/>
            <w:tcBorders>
              <w:top w:val="single" w:sz="8" w:space="0" w:color="auto"/>
              <w:left w:val="single" w:sz="8" w:space="0" w:color="auto"/>
              <w:bottom w:val="single" w:sz="8" w:space="0" w:color="auto"/>
              <w:right w:val="single" w:sz="8" w:space="0" w:color="auto"/>
            </w:tcBorders>
            <w:hideMark/>
          </w:tcPr>
          <w:p w14:paraId="6D1D1D8B" w14:textId="77777777" w:rsidR="00B27BCB" w:rsidRPr="00C317D5" w:rsidRDefault="00B27BCB" w:rsidP="00CF5394">
            <w:pPr>
              <w:pStyle w:val="Tabletext"/>
            </w:pPr>
            <w:r w:rsidRPr="00C317D5">
              <w:t>Asia central</w:t>
            </w:r>
          </w:p>
        </w:tc>
        <w:tc>
          <w:tcPr>
            <w:tcW w:w="1417" w:type="dxa"/>
            <w:tcBorders>
              <w:top w:val="single" w:sz="8" w:space="0" w:color="auto"/>
              <w:left w:val="single" w:sz="8" w:space="0" w:color="auto"/>
              <w:bottom w:val="single" w:sz="8" w:space="0" w:color="auto"/>
              <w:right w:val="single" w:sz="8" w:space="0" w:color="auto"/>
            </w:tcBorders>
            <w:hideMark/>
          </w:tcPr>
          <w:p w14:paraId="1103474C" w14:textId="77777777" w:rsidR="00B27BCB" w:rsidRPr="00C317D5" w:rsidRDefault="00B27BCB" w:rsidP="00CF5394">
            <w:pPr>
              <w:pStyle w:val="Tabletext"/>
            </w:pPr>
            <w:r w:rsidRPr="00C317D5">
              <w:t>Inglés</w:t>
            </w:r>
          </w:p>
        </w:tc>
        <w:tc>
          <w:tcPr>
            <w:tcW w:w="1804" w:type="dxa"/>
            <w:tcBorders>
              <w:top w:val="single" w:sz="8" w:space="0" w:color="auto"/>
              <w:left w:val="single" w:sz="8" w:space="0" w:color="auto"/>
              <w:bottom w:val="single" w:sz="8" w:space="0" w:color="auto"/>
              <w:right w:val="single" w:sz="8" w:space="0" w:color="auto"/>
            </w:tcBorders>
          </w:tcPr>
          <w:p w14:paraId="45D2F45E" w14:textId="6E3001F3" w:rsidR="009C7A3A" w:rsidRPr="00C317D5" w:rsidRDefault="009C7A3A" w:rsidP="007E2027">
            <w:pPr>
              <w:pStyle w:val="Tabletext"/>
              <w:jc w:val="center"/>
            </w:pPr>
            <w:r w:rsidRPr="00C317D5">
              <w:t>19-30 de octubre</w:t>
            </w:r>
            <w:r w:rsidR="007E2027" w:rsidRPr="00C317D5">
              <w:br/>
            </w:r>
            <w:r w:rsidRPr="00C317D5">
              <w:t>en línea</w:t>
            </w:r>
          </w:p>
        </w:tc>
        <w:tc>
          <w:tcPr>
            <w:tcW w:w="1474" w:type="dxa"/>
            <w:tcBorders>
              <w:top w:val="single" w:sz="8" w:space="0" w:color="auto"/>
              <w:left w:val="single" w:sz="8" w:space="0" w:color="auto"/>
              <w:bottom w:val="single" w:sz="8" w:space="0" w:color="auto"/>
              <w:right w:val="single" w:sz="8" w:space="0" w:color="auto"/>
            </w:tcBorders>
          </w:tcPr>
          <w:p w14:paraId="48F5981C" w14:textId="77777777" w:rsidR="00B27BCB" w:rsidRPr="00C317D5" w:rsidRDefault="00B27BCB" w:rsidP="00CF5394">
            <w:pPr>
              <w:pStyle w:val="Tabletext"/>
              <w:jc w:val="center"/>
            </w:pPr>
          </w:p>
        </w:tc>
        <w:tc>
          <w:tcPr>
            <w:tcW w:w="1247" w:type="dxa"/>
            <w:tcBorders>
              <w:top w:val="single" w:sz="8" w:space="0" w:color="auto"/>
              <w:left w:val="single" w:sz="8" w:space="0" w:color="auto"/>
              <w:bottom w:val="single" w:sz="8" w:space="0" w:color="auto"/>
              <w:right w:val="single" w:sz="8" w:space="0" w:color="auto"/>
            </w:tcBorders>
            <w:hideMark/>
          </w:tcPr>
          <w:p w14:paraId="10D93B79" w14:textId="77777777" w:rsidR="00B27BCB" w:rsidRPr="00C317D5" w:rsidRDefault="00B27BCB" w:rsidP="00CF5394">
            <w:pPr>
              <w:pStyle w:val="Tabletext"/>
              <w:jc w:val="center"/>
            </w:pPr>
          </w:p>
        </w:tc>
        <w:tc>
          <w:tcPr>
            <w:tcW w:w="1191" w:type="dxa"/>
            <w:tcBorders>
              <w:top w:val="single" w:sz="8" w:space="0" w:color="auto"/>
              <w:left w:val="single" w:sz="8" w:space="0" w:color="auto"/>
              <w:bottom w:val="single" w:sz="8" w:space="0" w:color="auto"/>
              <w:right w:val="single" w:sz="8" w:space="0" w:color="auto"/>
            </w:tcBorders>
          </w:tcPr>
          <w:p w14:paraId="78CB4780" w14:textId="77777777" w:rsidR="00B27BCB" w:rsidRPr="00C317D5" w:rsidRDefault="00B27BCB" w:rsidP="00CF5394">
            <w:pPr>
              <w:pStyle w:val="Tabletext"/>
              <w:jc w:val="center"/>
            </w:pPr>
            <w:r w:rsidRPr="00C317D5">
              <w:t>2T</w:t>
            </w:r>
          </w:p>
        </w:tc>
      </w:tr>
      <w:tr w:rsidR="00B27BCB" w:rsidRPr="00C317D5" w14:paraId="052B041A" w14:textId="77777777" w:rsidTr="007E2027">
        <w:trPr>
          <w:trHeight w:val="300"/>
          <w:jc w:val="center"/>
        </w:trPr>
        <w:tc>
          <w:tcPr>
            <w:tcW w:w="2494" w:type="dxa"/>
            <w:tcBorders>
              <w:top w:val="single" w:sz="8" w:space="0" w:color="auto"/>
              <w:left w:val="single" w:sz="8" w:space="0" w:color="auto"/>
              <w:bottom w:val="single" w:sz="8" w:space="0" w:color="auto"/>
              <w:right w:val="single" w:sz="8" w:space="0" w:color="auto"/>
            </w:tcBorders>
            <w:hideMark/>
          </w:tcPr>
          <w:p w14:paraId="220B309F" w14:textId="77777777" w:rsidR="00B27BCB" w:rsidRPr="00C317D5" w:rsidRDefault="00B27BCB" w:rsidP="00CF5394">
            <w:pPr>
              <w:pStyle w:val="Tabletext"/>
            </w:pPr>
            <w:r w:rsidRPr="00C317D5">
              <w:t>Asia meridional</w:t>
            </w:r>
          </w:p>
        </w:tc>
        <w:tc>
          <w:tcPr>
            <w:tcW w:w="1417" w:type="dxa"/>
            <w:tcBorders>
              <w:top w:val="single" w:sz="8" w:space="0" w:color="auto"/>
              <w:left w:val="single" w:sz="8" w:space="0" w:color="auto"/>
              <w:bottom w:val="single" w:sz="8" w:space="0" w:color="auto"/>
              <w:right w:val="single" w:sz="8" w:space="0" w:color="auto"/>
            </w:tcBorders>
            <w:hideMark/>
          </w:tcPr>
          <w:p w14:paraId="225501F4" w14:textId="77777777" w:rsidR="00B27BCB" w:rsidRPr="00C317D5" w:rsidRDefault="00B27BCB" w:rsidP="00CF5394">
            <w:pPr>
              <w:pStyle w:val="Tabletext"/>
            </w:pPr>
            <w:r w:rsidRPr="00C317D5">
              <w:t>Inglés</w:t>
            </w:r>
          </w:p>
        </w:tc>
        <w:tc>
          <w:tcPr>
            <w:tcW w:w="1804" w:type="dxa"/>
            <w:tcBorders>
              <w:top w:val="single" w:sz="8" w:space="0" w:color="auto"/>
              <w:left w:val="single" w:sz="8" w:space="0" w:color="auto"/>
              <w:bottom w:val="single" w:sz="8" w:space="0" w:color="auto"/>
              <w:right w:val="single" w:sz="8" w:space="0" w:color="auto"/>
            </w:tcBorders>
            <w:hideMark/>
          </w:tcPr>
          <w:p w14:paraId="3238BE57" w14:textId="6DB680FD" w:rsidR="00B27BCB" w:rsidRPr="00C317D5" w:rsidRDefault="00B27BCB" w:rsidP="00CF5394">
            <w:pPr>
              <w:pStyle w:val="Tabletext"/>
              <w:jc w:val="center"/>
            </w:pPr>
          </w:p>
        </w:tc>
        <w:tc>
          <w:tcPr>
            <w:tcW w:w="1474" w:type="dxa"/>
            <w:tcBorders>
              <w:top w:val="single" w:sz="8" w:space="0" w:color="auto"/>
              <w:left w:val="single" w:sz="8" w:space="0" w:color="auto"/>
              <w:bottom w:val="single" w:sz="8" w:space="0" w:color="auto"/>
              <w:right w:val="single" w:sz="8" w:space="0" w:color="auto"/>
            </w:tcBorders>
          </w:tcPr>
          <w:p w14:paraId="45EADB22" w14:textId="5E0985C8" w:rsidR="009C7A3A" w:rsidRPr="00C317D5" w:rsidRDefault="009C7A3A" w:rsidP="007E2027">
            <w:pPr>
              <w:pStyle w:val="Tabletext"/>
              <w:jc w:val="center"/>
            </w:pPr>
            <w:r w:rsidRPr="00C317D5">
              <w:t>11-22 de</w:t>
            </w:r>
            <w:r w:rsidR="00077187" w:rsidRPr="00C317D5">
              <w:t> </w:t>
            </w:r>
            <w:r w:rsidRPr="00C317D5">
              <w:t>octubre</w:t>
            </w:r>
            <w:r w:rsidR="007E2027" w:rsidRPr="00C317D5">
              <w:br/>
            </w:r>
            <w:r w:rsidRPr="00C317D5">
              <w:t>en línea</w:t>
            </w:r>
          </w:p>
        </w:tc>
        <w:tc>
          <w:tcPr>
            <w:tcW w:w="1247" w:type="dxa"/>
            <w:tcBorders>
              <w:top w:val="single" w:sz="8" w:space="0" w:color="auto"/>
              <w:left w:val="single" w:sz="8" w:space="0" w:color="auto"/>
              <w:bottom w:val="single" w:sz="8" w:space="0" w:color="auto"/>
              <w:right w:val="single" w:sz="8" w:space="0" w:color="auto"/>
            </w:tcBorders>
          </w:tcPr>
          <w:p w14:paraId="5DE584C9" w14:textId="77777777" w:rsidR="00B27BCB" w:rsidRPr="00C317D5" w:rsidRDefault="00B27BCB" w:rsidP="00CF5394">
            <w:pPr>
              <w:pStyle w:val="Tabletext"/>
              <w:jc w:val="center"/>
            </w:pPr>
          </w:p>
        </w:tc>
        <w:tc>
          <w:tcPr>
            <w:tcW w:w="1191" w:type="dxa"/>
            <w:tcBorders>
              <w:top w:val="single" w:sz="8" w:space="0" w:color="auto"/>
              <w:left w:val="single" w:sz="8" w:space="0" w:color="auto"/>
              <w:bottom w:val="single" w:sz="8" w:space="0" w:color="auto"/>
              <w:right w:val="single" w:sz="8" w:space="0" w:color="auto"/>
            </w:tcBorders>
          </w:tcPr>
          <w:p w14:paraId="49240044" w14:textId="77777777" w:rsidR="00B27BCB" w:rsidRPr="00C317D5" w:rsidRDefault="00B27BCB" w:rsidP="00CF5394">
            <w:pPr>
              <w:pStyle w:val="Tabletext"/>
              <w:jc w:val="center"/>
            </w:pPr>
          </w:p>
        </w:tc>
      </w:tr>
      <w:tr w:rsidR="00B27BCB" w:rsidRPr="00C317D5" w14:paraId="5FF4D86B" w14:textId="77777777" w:rsidTr="007E2027">
        <w:trPr>
          <w:trHeight w:val="300"/>
          <w:jc w:val="center"/>
        </w:trPr>
        <w:tc>
          <w:tcPr>
            <w:tcW w:w="2494" w:type="dxa"/>
            <w:tcBorders>
              <w:top w:val="single" w:sz="8" w:space="0" w:color="auto"/>
              <w:left w:val="single" w:sz="8" w:space="0" w:color="auto"/>
              <w:bottom w:val="single" w:sz="8" w:space="0" w:color="auto"/>
              <w:right w:val="single" w:sz="8" w:space="0" w:color="auto"/>
            </w:tcBorders>
            <w:hideMark/>
          </w:tcPr>
          <w:p w14:paraId="5E49134A" w14:textId="77777777" w:rsidR="00B27BCB" w:rsidRPr="00C317D5" w:rsidRDefault="00B27BCB" w:rsidP="00CF5394">
            <w:pPr>
              <w:pStyle w:val="Tabletext"/>
              <w:rPr>
                <w:b/>
                <w:bCs/>
              </w:rPr>
            </w:pPr>
            <w:r w:rsidRPr="00C317D5">
              <w:rPr>
                <w:b/>
                <w:bCs/>
              </w:rPr>
              <w:t>Estados Árabes (1)</w:t>
            </w:r>
          </w:p>
        </w:tc>
        <w:tc>
          <w:tcPr>
            <w:tcW w:w="1417" w:type="dxa"/>
            <w:tcBorders>
              <w:top w:val="single" w:sz="8" w:space="0" w:color="auto"/>
              <w:left w:val="single" w:sz="8" w:space="0" w:color="auto"/>
              <w:bottom w:val="single" w:sz="8" w:space="0" w:color="auto"/>
              <w:right w:val="single" w:sz="8" w:space="0" w:color="auto"/>
            </w:tcBorders>
            <w:hideMark/>
          </w:tcPr>
          <w:p w14:paraId="3475E06A" w14:textId="77777777" w:rsidR="00B27BCB" w:rsidRPr="00C317D5" w:rsidRDefault="00B27BCB" w:rsidP="00CF5394">
            <w:pPr>
              <w:pStyle w:val="Tabletext"/>
            </w:pPr>
            <w:r w:rsidRPr="00C317D5">
              <w:t>Árabe/inglés</w:t>
            </w:r>
          </w:p>
        </w:tc>
        <w:tc>
          <w:tcPr>
            <w:tcW w:w="1804" w:type="dxa"/>
            <w:tcBorders>
              <w:top w:val="single" w:sz="8" w:space="0" w:color="auto"/>
              <w:left w:val="single" w:sz="8" w:space="0" w:color="auto"/>
              <w:bottom w:val="single" w:sz="8" w:space="0" w:color="auto"/>
              <w:right w:val="single" w:sz="8" w:space="0" w:color="auto"/>
            </w:tcBorders>
          </w:tcPr>
          <w:p w14:paraId="292F16E1" w14:textId="77777777" w:rsidR="00B27BCB" w:rsidRPr="00C317D5" w:rsidRDefault="00B27BCB" w:rsidP="00CF5394">
            <w:pPr>
              <w:pStyle w:val="Tabletext"/>
              <w:jc w:val="center"/>
            </w:pPr>
          </w:p>
        </w:tc>
        <w:tc>
          <w:tcPr>
            <w:tcW w:w="1474" w:type="dxa"/>
            <w:tcBorders>
              <w:top w:val="single" w:sz="8" w:space="0" w:color="auto"/>
              <w:left w:val="single" w:sz="8" w:space="0" w:color="auto"/>
              <w:bottom w:val="single" w:sz="8" w:space="0" w:color="auto"/>
              <w:right w:val="single" w:sz="8" w:space="0" w:color="auto"/>
            </w:tcBorders>
          </w:tcPr>
          <w:p w14:paraId="0E8D7D73" w14:textId="77777777" w:rsidR="00B27BCB" w:rsidRPr="00C317D5" w:rsidRDefault="00B27BCB" w:rsidP="00CF5394">
            <w:pPr>
              <w:pStyle w:val="Tabletext"/>
              <w:jc w:val="center"/>
            </w:pPr>
          </w:p>
        </w:tc>
        <w:tc>
          <w:tcPr>
            <w:tcW w:w="1247" w:type="dxa"/>
            <w:tcBorders>
              <w:top w:val="single" w:sz="8" w:space="0" w:color="auto"/>
              <w:left w:val="single" w:sz="8" w:space="0" w:color="auto"/>
              <w:bottom w:val="single" w:sz="8" w:space="0" w:color="auto"/>
              <w:right w:val="single" w:sz="8" w:space="0" w:color="auto"/>
            </w:tcBorders>
          </w:tcPr>
          <w:p w14:paraId="651251BB" w14:textId="6904E0BC" w:rsidR="00B27BCB" w:rsidRPr="00C317D5" w:rsidRDefault="00B27BCB" w:rsidP="00CF5394">
            <w:pPr>
              <w:pStyle w:val="Tabletext"/>
              <w:jc w:val="center"/>
            </w:pPr>
            <w:r w:rsidRPr="00C317D5">
              <w:t>13-24 de</w:t>
            </w:r>
            <w:r w:rsidR="00BC5D9D" w:rsidRPr="00C317D5">
              <w:t> </w:t>
            </w:r>
            <w:r w:rsidRPr="00C317D5">
              <w:t>marzo</w:t>
            </w:r>
            <w:r w:rsidRPr="00C317D5">
              <w:br/>
              <w:t>en línea</w:t>
            </w:r>
          </w:p>
        </w:tc>
        <w:tc>
          <w:tcPr>
            <w:tcW w:w="1191" w:type="dxa"/>
            <w:tcBorders>
              <w:top w:val="single" w:sz="8" w:space="0" w:color="auto"/>
              <w:left w:val="single" w:sz="8" w:space="0" w:color="auto"/>
              <w:bottom w:val="single" w:sz="8" w:space="0" w:color="auto"/>
              <w:right w:val="single" w:sz="8" w:space="0" w:color="auto"/>
            </w:tcBorders>
          </w:tcPr>
          <w:p w14:paraId="0AD6728A" w14:textId="77777777" w:rsidR="00B27BCB" w:rsidRPr="00C317D5" w:rsidRDefault="00B27BCB" w:rsidP="00CF5394">
            <w:pPr>
              <w:pStyle w:val="Tabletext"/>
              <w:jc w:val="center"/>
            </w:pPr>
          </w:p>
        </w:tc>
      </w:tr>
      <w:tr w:rsidR="00B27BCB" w:rsidRPr="00C317D5" w14:paraId="3152870E" w14:textId="77777777" w:rsidTr="007E2027">
        <w:trPr>
          <w:trHeight w:val="300"/>
          <w:jc w:val="center"/>
        </w:trPr>
        <w:tc>
          <w:tcPr>
            <w:tcW w:w="2494" w:type="dxa"/>
            <w:tcBorders>
              <w:top w:val="single" w:sz="8" w:space="0" w:color="auto"/>
              <w:left w:val="single" w:sz="8" w:space="0" w:color="auto"/>
              <w:bottom w:val="single" w:sz="8" w:space="0" w:color="auto"/>
              <w:right w:val="single" w:sz="8" w:space="0" w:color="auto"/>
            </w:tcBorders>
            <w:hideMark/>
          </w:tcPr>
          <w:p w14:paraId="4F1F7B3A" w14:textId="77777777" w:rsidR="00B27BCB" w:rsidRPr="00C317D5" w:rsidRDefault="00B27BCB" w:rsidP="00CF5394">
            <w:pPr>
              <w:pStyle w:val="Tabletext"/>
              <w:rPr>
                <w:b/>
                <w:bCs/>
              </w:rPr>
            </w:pPr>
            <w:r w:rsidRPr="00C317D5">
              <w:rPr>
                <w:b/>
                <w:bCs/>
              </w:rPr>
              <w:t>CEI (1)</w:t>
            </w:r>
          </w:p>
        </w:tc>
        <w:tc>
          <w:tcPr>
            <w:tcW w:w="1417" w:type="dxa"/>
            <w:tcBorders>
              <w:top w:val="single" w:sz="8" w:space="0" w:color="auto"/>
              <w:left w:val="single" w:sz="8" w:space="0" w:color="auto"/>
              <w:bottom w:val="single" w:sz="8" w:space="0" w:color="auto"/>
              <w:right w:val="single" w:sz="8" w:space="0" w:color="auto"/>
            </w:tcBorders>
            <w:hideMark/>
          </w:tcPr>
          <w:p w14:paraId="05C751AA" w14:textId="77777777" w:rsidR="00B27BCB" w:rsidRPr="00C317D5" w:rsidRDefault="00B27BCB" w:rsidP="00CF5394">
            <w:pPr>
              <w:pStyle w:val="Tabletext"/>
            </w:pPr>
            <w:r w:rsidRPr="00C317D5">
              <w:t>Ruso</w:t>
            </w:r>
          </w:p>
        </w:tc>
        <w:tc>
          <w:tcPr>
            <w:tcW w:w="1804" w:type="dxa"/>
            <w:tcBorders>
              <w:top w:val="single" w:sz="8" w:space="0" w:color="auto"/>
              <w:left w:val="single" w:sz="8" w:space="0" w:color="auto"/>
              <w:bottom w:val="single" w:sz="8" w:space="0" w:color="auto"/>
              <w:right w:val="single" w:sz="8" w:space="0" w:color="auto"/>
            </w:tcBorders>
          </w:tcPr>
          <w:p w14:paraId="4A94A852" w14:textId="77777777" w:rsidR="00B27BCB" w:rsidRPr="00C317D5" w:rsidRDefault="00B27BCB" w:rsidP="00CF5394">
            <w:pPr>
              <w:pStyle w:val="Tabletext"/>
              <w:jc w:val="center"/>
            </w:pPr>
          </w:p>
        </w:tc>
        <w:tc>
          <w:tcPr>
            <w:tcW w:w="1474" w:type="dxa"/>
            <w:tcBorders>
              <w:top w:val="single" w:sz="8" w:space="0" w:color="auto"/>
              <w:left w:val="single" w:sz="8" w:space="0" w:color="auto"/>
              <w:bottom w:val="single" w:sz="8" w:space="0" w:color="auto"/>
              <w:right w:val="single" w:sz="8" w:space="0" w:color="auto"/>
            </w:tcBorders>
          </w:tcPr>
          <w:p w14:paraId="440A2928" w14:textId="77777777" w:rsidR="00B27BCB" w:rsidRPr="00C317D5" w:rsidRDefault="00B27BCB" w:rsidP="00CF5394">
            <w:pPr>
              <w:pStyle w:val="Tabletext"/>
              <w:jc w:val="center"/>
            </w:pPr>
          </w:p>
        </w:tc>
        <w:tc>
          <w:tcPr>
            <w:tcW w:w="1247" w:type="dxa"/>
            <w:tcBorders>
              <w:top w:val="single" w:sz="8" w:space="0" w:color="auto"/>
              <w:left w:val="single" w:sz="8" w:space="0" w:color="auto"/>
              <w:bottom w:val="single" w:sz="8" w:space="0" w:color="auto"/>
              <w:right w:val="single" w:sz="8" w:space="0" w:color="auto"/>
            </w:tcBorders>
            <w:hideMark/>
          </w:tcPr>
          <w:p w14:paraId="54D9B56D" w14:textId="79BAF027" w:rsidR="00B27BCB" w:rsidRPr="00C317D5" w:rsidRDefault="00B27BCB" w:rsidP="00CF5394">
            <w:pPr>
              <w:pStyle w:val="Tabletext"/>
              <w:jc w:val="center"/>
            </w:pPr>
          </w:p>
        </w:tc>
        <w:tc>
          <w:tcPr>
            <w:tcW w:w="1191" w:type="dxa"/>
            <w:tcBorders>
              <w:top w:val="single" w:sz="8" w:space="0" w:color="auto"/>
              <w:left w:val="single" w:sz="8" w:space="0" w:color="auto"/>
              <w:bottom w:val="single" w:sz="8" w:space="0" w:color="auto"/>
              <w:right w:val="single" w:sz="8" w:space="0" w:color="auto"/>
            </w:tcBorders>
          </w:tcPr>
          <w:p w14:paraId="3F1204E4" w14:textId="2F84F142" w:rsidR="00B27BCB" w:rsidRPr="00C317D5" w:rsidRDefault="007E2027" w:rsidP="00CF5394">
            <w:pPr>
              <w:pStyle w:val="Tabletext"/>
              <w:jc w:val="center"/>
            </w:pPr>
            <w:r w:rsidRPr="00C317D5">
              <w:t xml:space="preserve">Por </w:t>
            </w:r>
            <w:r w:rsidR="009C7A3A" w:rsidRPr="00C317D5">
              <w:t>determinar</w:t>
            </w:r>
          </w:p>
        </w:tc>
      </w:tr>
      <w:tr w:rsidR="00B27BCB" w:rsidRPr="00C317D5" w14:paraId="5D384969" w14:textId="77777777" w:rsidTr="007E2027">
        <w:trPr>
          <w:trHeight w:val="300"/>
          <w:jc w:val="center"/>
        </w:trPr>
        <w:tc>
          <w:tcPr>
            <w:tcW w:w="2494" w:type="dxa"/>
            <w:tcBorders>
              <w:top w:val="single" w:sz="8" w:space="0" w:color="auto"/>
              <w:left w:val="single" w:sz="8" w:space="0" w:color="auto"/>
              <w:bottom w:val="single" w:sz="8" w:space="0" w:color="auto"/>
              <w:right w:val="single" w:sz="8" w:space="0" w:color="auto"/>
            </w:tcBorders>
            <w:hideMark/>
          </w:tcPr>
          <w:p w14:paraId="4613F0F6" w14:textId="4F0CE8EE" w:rsidR="00B27BCB" w:rsidRPr="00C317D5" w:rsidRDefault="00B27BCB" w:rsidP="006C1A8F">
            <w:pPr>
              <w:pStyle w:val="Tabletext"/>
              <w:keepNext/>
              <w:keepLines/>
              <w:rPr>
                <w:b/>
                <w:bCs/>
              </w:rPr>
            </w:pPr>
            <w:r w:rsidRPr="00C317D5">
              <w:rPr>
                <w:b/>
                <w:bCs/>
              </w:rPr>
              <w:lastRenderedPageBreak/>
              <w:t>Europa (1)</w:t>
            </w:r>
          </w:p>
        </w:tc>
        <w:tc>
          <w:tcPr>
            <w:tcW w:w="1417" w:type="dxa"/>
            <w:tcBorders>
              <w:top w:val="single" w:sz="8" w:space="0" w:color="auto"/>
              <w:left w:val="single" w:sz="8" w:space="0" w:color="auto"/>
              <w:bottom w:val="single" w:sz="8" w:space="0" w:color="auto"/>
              <w:right w:val="single" w:sz="8" w:space="0" w:color="auto"/>
            </w:tcBorders>
            <w:hideMark/>
          </w:tcPr>
          <w:p w14:paraId="060FF526" w14:textId="18BC7DC3" w:rsidR="00B27BCB" w:rsidRPr="00C317D5" w:rsidRDefault="00B27BCB" w:rsidP="006C1A8F">
            <w:pPr>
              <w:pStyle w:val="Tabletext"/>
              <w:keepNext/>
              <w:keepLines/>
            </w:pPr>
            <w:r w:rsidRPr="00C317D5">
              <w:t>Inglés</w:t>
            </w:r>
          </w:p>
        </w:tc>
        <w:tc>
          <w:tcPr>
            <w:tcW w:w="1804" w:type="dxa"/>
            <w:tcBorders>
              <w:top w:val="single" w:sz="8" w:space="0" w:color="auto"/>
              <w:left w:val="single" w:sz="8" w:space="0" w:color="auto"/>
              <w:bottom w:val="single" w:sz="8" w:space="0" w:color="auto"/>
              <w:right w:val="single" w:sz="8" w:space="0" w:color="auto"/>
            </w:tcBorders>
          </w:tcPr>
          <w:p w14:paraId="2D3C55DF" w14:textId="77777777" w:rsidR="00B27BCB" w:rsidRPr="00C317D5" w:rsidRDefault="00B27BCB" w:rsidP="006C1A8F">
            <w:pPr>
              <w:pStyle w:val="Tabletext"/>
              <w:keepNext/>
              <w:keepLines/>
              <w:jc w:val="center"/>
            </w:pPr>
          </w:p>
        </w:tc>
        <w:tc>
          <w:tcPr>
            <w:tcW w:w="1474" w:type="dxa"/>
            <w:tcBorders>
              <w:top w:val="single" w:sz="8" w:space="0" w:color="auto"/>
              <w:left w:val="single" w:sz="8" w:space="0" w:color="auto"/>
              <w:bottom w:val="single" w:sz="8" w:space="0" w:color="auto"/>
              <w:right w:val="single" w:sz="8" w:space="0" w:color="auto"/>
            </w:tcBorders>
          </w:tcPr>
          <w:p w14:paraId="7EB72626" w14:textId="77777777" w:rsidR="00B27BCB" w:rsidRPr="00C317D5" w:rsidRDefault="00B27BCB" w:rsidP="006C1A8F">
            <w:pPr>
              <w:pStyle w:val="Tabletext"/>
              <w:keepNext/>
              <w:keepLines/>
              <w:jc w:val="center"/>
            </w:pPr>
          </w:p>
        </w:tc>
        <w:tc>
          <w:tcPr>
            <w:tcW w:w="1247" w:type="dxa"/>
            <w:tcBorders>
              <w:top w:val="single" w:sz="8" w:space="0" w:color="auto"/>
              <w:left w:val="single" w:sz="8" w:space="0" w:color="auto"/>
              <w:bottom w:val="single" w:sz="8" w:space="0" w:color="auto"/>
              <w:right w:val="single" w:sz="8" w:space="0" w:color="auto"/>
            </w:tcBorders>
          </w:tcPr>
          <w:p w14:paraId="533F6D59" w14:textId="0702FF2D" w:rsidR="009C7A3A" w:rsidRPr="00C317D5" w:rsidRDefault="009C7A3A" w:rsidP="006C1A8F">
            <w:pPr>
              <w:pStyle w:val="Tabletext"/>
              <w:keepNext/>
              <w:keepLines/>
              <w:jc w:val="center"/>
            </w:pPr>
            <w:r w:rsidRPr="00C317D5">
              <w:t>30 de agosto-8 de septiembre</w:t>
            </w:r>
            <w:r w:rsidR="007E2027" w:rsidRPr="00C317D5">
              <w:br/>
            </w:r>
            <w:r w:rsidRPr="00C317D5">
              <w:t>en línea</w:t>
            </w:r>
          </w:p>
        </w:tc>
        <w:tc>
          <w:tcPr>
            <w:tcW w:w="1191" w:type="dxa"/>
            <w:tcBorders>
              <w:top w:val="single" w:sz="8" w:space="0" w:color="auto"/>
              <w:left w:val="single" w:sz="8" w:space="0" w:color="auto"/>
              <w:bottom w:val="single" w:sz="8" w:space="0" w:color="auto"/>
              <w:right w:val="single" w:sz="8" w:space="0" w:color="auto"/>
            </w:tcBorders>
            <w:hideMark/>
          </w:tcPr>
          <w:p w14:paraId="4352DEC0" w14:textId="0E30623E" w:rsidR="00B27BCB" w:rsidRPr="00C317D5" w:rsidRDefault="009C7A3A" w:rsidP="006C1A8F">
            <w:pPr>
              <w:pStyle w:val="Tabletext"/>
              <w:keepNext/>
              <w:keepLines/>
              <w:jc w:val="center"/>
            </w:pPr>
            <w:r w:rsidRPr="00C317D5">
              <w:t>[</w:t>
            </w:r>
            <w:r w:rsidR="00B27BCB" w:rsidRPr="00C317D5">
              <w:t>2T</w:t>
            </w:r>
            <w:r w:rsidRPr="00C317D5">
              <w:t>]</w:t>
            </w:r>
          </w:p>
        </w:tc>
      </w:tr>
      <w:tr w:rsidR="00B27BCB" w:rsidRPr="00C317D5" w14:paraId="0E739387" w14:textId="77777777" w:rsidTr="007E2027">
        <w:trPr>
          <w:trHeight w:val="450"/>
          <w:jc w:val="center"/>
        </w:trPr>
        <w:tc>
          <w:tcPr>
            <w:tcW w:w="2494" w:type="dxa"/>
            <w:tcBorders>
              <w:top w:val="single" w:sz="8" w:space="0" w:color="auto"/>
              <w:left w:val="single" w:sz="8" w:space="0" w:color="auto"/>
              <w:bottom w:val="single" w:sz="8" w:space="0" w:color="auto"/>
              <w:right w:val="single" w:sz="8" w:space="0" w:color="auto"/>
            </w:tcBorders>
            <w:hideMark/>
          </w:tcPr>
          <w:p w14:paraId="53651CEE" w14:textId="77777777" w:rsidR="00B27BCB" w:rsidRPr="00C317D5" w:rsidRDefault="00B27BCB" w:rsidP="00CF5394">
            <w:pPr>
              <w:pStyle w:val="Tabletext"/>
              <w:rPr>
                <w:b/>
                <w:bCs/>
              </w:rPr>
            </w:pPr>
            <w:r w:rsidRPr="00C317D5">
              <w:rPr>
                <w:b/>
                <w:bCs/>
              </w:rPr>
              <w:t>SMR (2)</w:t>
            </w:r>
          </w:p>
        </w:tc>
        <w:tc>
          <w:tcPr>
            <w:tcW w:w="1417" w:type="dxa"/>
            <w:tcBorders>
              <w:top w:val="single" w:sz="8" w:space="0" w:color="auto"/>
              <w:left w:val="single" w:sz="8" w:space="0" w:color="auto"/>
              <w:bottom w:val="single" w:sz="8" w:space="0" w:color="auto"/>
              <w:right w:val="single" w:sz="8" w:space="0" w:color="auto"/>
            </w:tcBorders>
            <w:hideMark/>
          </w:tcPr>
          <w:p w14:paraId="6913C3DB" w14:textId="24EC805C" w:rsidR="00B27BCB" w:rsidRPr="00C317D5" w:rsidRDefault="00B27BCB" w:rsidP="00CF5394">
            <w:pPr>
              <w:pStyle w:val="Tabletext"/>
            </w:pPr>
            <w:r w:rsidRPr="00C317D5">
              <w:t>En los seis</w:t>
            </w:r>
            <w:r w:rsidR="008B28B5" w:rsidRPr="00C317D5">
              <w:t> </w:t>
            </w:r>
            <w:r w:rsidRPr="00C317D5">
              <w:t>idiomas oficiales de las</w:t>
            </w:r>
            <w:r w:rsidR="007E2027" w:rsidRPr="00C317D5">
              <w:t> </w:t>
            </w:r>
            <w:r w:rsidRPr="00C317D5">
              <w:t>Naciones Unidas</w:t>
            </w:r>
          </w:p>
        </w:tc>
        <w:tc>
          <w:tcPr>
            <w:tcW w:w="1804" w:type="dxa"/>
            <w:tcBorders>
              <w:top w:val="single" w:sz="8" w:space="0" w:color="auto"/>
              <w:left w:val="single" w:sz="8" w:space="0" w:color="auto"/>
              <w:bottom w:val="single" w:sz="8" w:space="0" w:color="auto"/>
              <w:right w:val="single" w:sz="8" w:space="0" w:color="auto"/>
            </w:tcBorders>
            <w:hideMark/>
          </w:tcPr>
          <w:p w14:paraId="364D89E4" w14:textId="618621D6" w:rsidR="00B27BCB" w:rsidRPr="00C317D5" w:rsidRDefault="00B27BCB" w:rsidP="007E2027">
            <w:pPr>
              <w:pStyle w:val="Tabletext"/>
              <w:ind w:left="-57" w:right="-57"/>
              <w:jc w:val="center"/>
            </w:pPr>
            <w:r w:rsidRPr="00C317D5">
              <w:t>30 de noviembre al</w:t>
            </w:r>
            <w:r w:rsidR="00162175" w:rsidRPr="00C317D5">
              <w:t> </w:t>
            </w:r>
            <w:r w:rsidRPr="00C317D5">
              <w:t>11 de diciembre</w:t>
            </w:r>
            <w:r w:rsidRPr="00C317D5">
              <w:br/>
              <w:t>en línea</w:t>
            </w:r>
          </w:p>
          <w:p w14:paraId="57AFC7CB" w14:textId="77777777" w:rsidR="00B27BCB" w:rsidRPr="00C317D5" w:rsidRDefault="00B27BCB" w:rsidP="00CF5394">
            <w:pPr>
              <w:pStyle w:val="Tabletext"/>
              <w:jc w:val="center"/>
            </w:pPr>
            <w:r w:rsidRPr="00C317D5">
              <w:t>Hemisferio oriental: sesiones de mañana</w:t>
            </w:r>
          </w:p>
          <w:p w14:paraId="0D909A08" w14:textId="77777777" w:rsidR="00B27BCB" w:rsidRPr="00C317D5" w:rsidRDefault="00B27BCB" w:rsidP="00CF5394">
            <w:pPr>
              <w:pStyle w:val="Tabletext"/>
              <w:jc w:val="center"/>
            </w:pPr>
            <w:r w:rsidRPr="00C317D5">
              <w:t>Hemisferio occidental: sesiones de tarde</w:t>
            </w:r>
          </w:p>
        </w:tc>
        <w:tc>
          <w:tcPr>
            <w:tcW w:w="1474" w:type="dxa"/>
            <w:tcBorders>
              <w:top w:val="single" w:sz="8" w:space="0" w:color="auto"/>
              <w:left w:val="single" w:sz="8" w:space="0" w:color="auto"/>
              <w:bottom w:val="single" w:sz="8" w:space="0" w:color="auto"/>
              <w:right w:val="single" w:sz="8" w:space="0" w:color="auto"/>
            </w:tcBorders>
          </w:tcPr>
          <w:p w14:paraId="7F71CBDE" w14:textId="77777777" w:rsidR="00B27BCB" w:rsidRPr="00C317D5" w:rsidRDefault="00B27BCB" w:rsidP="00CF5394">
            <w:pPr>
              <w:pStyle w:val="Tabletext"/>
              <w:jc w:val="center"/>
            </w:pPr>
          </w:p>
        </w:tc>
        <w:tc>
          <w:tcPr>
            <w:tcW w:w="1247" w:type="dxa"/>
            <w:tcBorders>
              <w:top w:val="single" w:sz="8" w:space="0" w:color="auto"/>
              <w:left w:val="single" w:sz="8" w:space="0" w:color="auto"/>
              <w:bottom w:val="single" w:sz="8" w:space="0" w:color="auto"/>
              <w:right w:val="single" w:sz="8" w:space="0" w:color="auto"/>
            </w:tcBorders>
            <w:hideMark/>
          </w:tcPr>
          <w:p w14:paraId="4BA6EEDF" w14:textId="3E2779EE" w:rsidR="00B27BCB" w:rsidRPr="00C317D5" w:rsidRDefault="00B27BCB" w:rsidP="00CF5394">
            <w:pPr>
              <w:pStyle w:val="Tabletext"/>
              <w:jc w:val="center"/>
            </w:pPr>
            <w:r w:rsidRPr="00C317D5">
              <w:t>24-28 de</w:t>
            </w:r>
            <w:r w:rsidR="00BC5D9D" w:rsidRPr="00C317D5">
              <w:t> </w:t>
            </w:r>
            <w:r w:rsidRPr="00C317D5">
              <w:t>octubre</w:t>
            </w:r>
          </w:p>
        </w:tc>
        <w:tc>
          <w:tcPr>
            <w:tcW w:w="1191" w:type="dxa"/>
            <w:tcBorders>
              <w:top w:val="single" w:sz="8" w:space="0" w:color="auto"/>
              <w:left w:val="single" w:sz="8" w:space="0" w:color="auto"/>
              <w:bottom w:val="single" w:sz="8" w:space="0" w:color="auto"/>
              <w:right w:val="single" w:sz="8" w:space="0" w:color="auto"/>
            </w:tcBorders>
          </w:tcPr>
          <w:p w14:paraId="5E26B827" w14:textId="77777777" w:rsidR="00B27BCB" w:rsidRPr="00C317D5" w:rsidRDefault="00B27BCB" w:rsidP="00CF5394">
            <w:pPr>
              <w:pStyle w:val="Tabletext"/>
              <w:jc w:val="center"/>
            </w:pPr>
          </w:p>
        </w:tc>
      </w:tr>
    </w:tbl>
    <w:p w14:paraId="02EF4FFA" w14:textId="77777777" w:rsidR="00B27BCB" w:rsidRPr="00C317D5" w:rsidRDefault="00B27BCB" w:rsidP="00FC0782">
      <w:r w:rsidRPr="00C317D5">
        <w:t>Como en los ciclos anteriores y para optimizar los recursos necesarios, esta planificación responde a los siguientes principios:</w:t>
      </w:r>
    </w:p>
    <w:p w14:paraId="31DBEA8F" w14:textId="77777777" w:rsidR="00B27BCB" w:rsidRPr="00C317D5" w:rsidRDefault="00B27BCB" w:rsidP="00B27BCB">
      <w:pPr>
        <w:pStyle w:val="enumlev1"/>
      </w:pPr>
      <w:r w:rsidRPr="00C317D5">
        <w:t>–</w:t>
      </w:r>
      <w:r w:rsidRPr="00C317D5">
        <w:tab/>
        <w:t>primer semestre de 2020: no se celebraron SMR y SRR, actualización del RR y de las correspondientes herramientas informáticas;</w:t>
      </w:r>
    </w:p>
    <w:p w14:paraId="5CC24764" w14:textId="77777777" w:rsidR="00B27BCB" w:rsidRPr="00C317D5" w:rsidRDefault="00B27BCB" w:rsidP="00B27BCB">
      <w:pPr>
        <w:pStyle w:val="enumlev1"/>
      </w:pPr>
      <w:r w:rsidRPr="00C317D5">
        <w:t>–</w:t>
      </w:r>
      <w:r w:rsidRPr="00C317D5">
        <w:tab/>
        <w:t>segundo semestre de 2023: no se celebran SMR y SRR, preparación de la CMR-23;</w:t>
      </w:r>
    </w:p>
    <w:p w14:paraId="2439B733" w14:textId="77777777" w:rsidR="00B27BCB" w:rsidRPr="00C317D5" w:rsidRDefault="00B27BCB" w:rsidP="00B27BCB">
      <w:pPr>
        <w:pStyle w:val="enumlev1"/>
      </w:pPr>
      <w:r w:rsidRPr="00C317D5">
        <w:t>–</w:t>
      </w:r>
      <w:r w:rsidRPr="00C317D5">
        <w:tab/>
        <w:t>se celebrarán dos SMR por ciclo (cada dos años): SMR-20 y SMR-22;</w:t>
      </w:r>
    </w:p>
    <w:p w14:paraId="5535DA45" w14:textId="77777777" w:rsidR="00B27BCB" w:rsidRPr="00C317D5" w:rsidRDefault="00B27BCB" w:rsidP="00B27BCB">
      <w:pPr>
        <w:pStyle w:val="enumlev1"/>
      </w:pPr>
      <w:r w:rsidRPr="00C317D5">
        <w:t>–</w:t>
      </w:r>
      <w:r w:rsidRPr="00C317D5">
        <w:tab/>
        <w:t>el primer SMR después de la CMR (SMR-20) comprenderá una reunión específica dedicada a explicar en detalle las modificaciones del RR introducidas por la CMR;</w:t>
      </w:r>
    </w:p>
    <w:p w14:paraId="0E03727E" w14:textId="77777777" w:rsidR="00B27BCB" w:rsidRPr="00C317D5" w:rsidRDefault="00B27BCB" w:rsidP="00B27BCB">
      <w:pPr>
        <w:pStyle w:val="enumlev1"/>
      </w:pPr>
      <w:r w:rsidRPr="00C317D5">
        <w:t>–</w:t>
      </w:r>
      <w:r w:rsidRPr="00C317D5">
        <w:tab/>
        <w:t>los dos SRR de África no tendrán lugar el mismo año que los SMR, dado que la participación en los SRR de África es casi el doble que en los demás SRR y que es preciso distribuir equitativamente el presupuesto para becas;</w:t>
      </w:r>
    </w:p>
    <w:p w14:paraId="354C150E" w14:textId="77777777" w:rsidR="00B27BCB" w:rsidRPr="00C317D5" w:rsidRDefault="00B27BCB" w:rsidP="00B27BCB">
      <w:pPr>
        <w:pStyle w:val="enumlev1"/>
      </w:pPr>
      <w:r w:rsidRPr="00C317D5">
        <w:t>–</w:t>
      </w:r>
      <w:r w:rsidRPr="00C317D5">
        <w:tab/>
        <w:t>los SRR se celebrarán en el idioma predominante de la región, con el fin de reducir los costos de interpretación y facilitar el intercambio de información durante el evento;</w:t>
      </w:r>
    </w:p>
    <w:p w14:paraId="42D0864A" w14:textId="7A30442A" w:rsidR="00B27BCB" w:rsidRPr="00C317D5" w:rsidRDefault="00B27BCB" w:rsidP="00B27BCB">
      <w:pPr>
        <w:pStyle w:val="enumlev1"/>
      </w:pPr>
      <w:r w:rsidRPr="00C317D5">
        <w:t>–</w:t>
      </w:r>
      <w:r w:rsidRPr="00C317D5">
        <w:tab/>
        <w:t>los programas de los SRR se ajustarán a las necesidades específicas de la región en</w:t>
      </w:r>
      <w:r w:rsidR="006D60C4" w:rsidRPr="00C317D5">
        <w:t xml:space="preserve"> </w:t>
      </w:r>
      <w:r w:rsidRPr="00C317D5">
        <w:t>cuestión;</w:t>
      </w:r>
    </w:p>
    <w:p w14:paraId="54BC944E" w14:textId="71359F1D" w:rsidR="00B27BCB" w:rsidRPr="00C317D5" w:rsidRDefault="00B27BCB" w:rsidP="00B27BCB">
      <w:pPr>
        <w:pStyle w:val="enumlev1"/>
      </w:pPr>
      <w:r w:rsidRPr="00C317D5">
        <w:t>–</w:t>
      </w:r>
      <w:r w:rsidRPr="00C317D5">
        <w:tab/>
        <w:t>el último día o los últimos días de cada SRR se dedicarán a una sesión de tipo foro, a la que podrá invitarse a oradores de otras regiones para ampliar el alcance de los debates (esos días podría requerirse la prestación de servicios de interpretación desde o hacia el inglés).</w:t>
      </w:r>
    </w:p>
    <w:p w14:paraId="31261D63" w14:textId="11E1B2BB" w:rsidR="009C7A3A" w:rsidRPr="00C317D5" w:rsidRDefault="006C1A8F" w:rsidP="009C7A3A">
      <w:pPr>
        <w:pStyle w:val="enumlev1"/>
      </w:pPr>
      <w:r w:rsidRPr="00C317D5">
        <w:t>–</w:t>
      </w:r>
      <w:r w:rsidR="009C7A3A" w:rsidRPr="00C317D5">
        <w:tab/>
      </w:r>
      <w:r w:rsidR="00281DEC" w:rsidRPr="00C317D5">
        <w:t xml:space="preserve">formato </w:t>
      </w:r>
      <w:r w:rsidR="009C7A3A" w:rsidRPr="00C317D5">
        <w:t>en línea: debido al brote de COVID-19, el SMR-20 y casi todos los SRR celebrados en 2020, 2021 y parte de 2022 se celebraron en línea, por lo que fue necesario reformular el formato de los ejercicios de notificación de estaciones, pasando de talleres prácticos a tutoriales. El SMR-22 se celebró en formato presencial con participación a distancia.</w:t>
      </w:r>
    </w:p>
    <w:p w14:paraId="619262DA" w14:textId="77777777" w:rsidR="00B27BCB" w:rsidRPr="00C317D5" w:rsidRDefault="00B27BCB" w:rsidP="00B27BCB">
      <w:r w:rsidRPr="00C317D5">
        <w:t>La planificación anterior deberá coordinarse y ajustarse debidamente con las Oficinas Regionales (OR) de la UIT y los grupos regionales pertinentes, teniendo en cuenta los problemas que plantea la pandemia actual y los consiguientes cambios de formato (eventos en línea), así como las implicaciones que tienen para el personal de la UIT involucrado (BR, OR).</w:t>
      </w:r>
    </w:p>
    <w:p w14:paraId="47E74253" w14:textId="77777777" w:rsidR="00B27BCB" w:rsidRPr="00C317D5" w:rsidRDefault="00B27BCB" w:rsidP="00A928FF">
      <w:pPr>
        <w:pStyle w:val="Heading3"/>
      </w:pPr>
      <w:r w:rsidRPr="00C317D5">
        <w:t>8.2.1</w:t>
      </w:r>
      <w:r w:rsidRPr="00C317D5">
        <w:tab/>
        <w:t>Seminarios Mundiales de Radiocomunicaciones</w:t>
      </w:r>
    </w:p>
    <w:p w14:paraId="2520A070" w14:textId="4CF9B585" w:rsidR="00515771" w:rsidRPr="00C317D5" w:rsidRDefault="00515771" w:rsidP="00515771">
      <w:pPr>
        <w:pStyle w:val="Headingb"/>
      </w:pPr>
      <w:r w:rsidRPr="00C317D5">
        <w:t>Seminario Mundial de Radiocomunicaciones de 2022 (SMR-22)</w:t>
      </w:r>
    </w:p>
    <w:p w14:paraId="6FB7B8EF" w14:textId="28B3F7BF" w:rsidR="00515771" w:rsidRPr="00C317D5" w:rsidRDefault="00515771" w:rsidP="00515771">
      <w:pPr>
        <w:spacing w:line="257" w:lineRule="auto"/>
        <w:rPr>
          <w:szCs w:val="24"/>
        </w:rPr>
      </w:pPr>
      <w:r w:rsidRPr="00C317D5">
        <w:rPr>
          <w:szCs w:val="24"/>
        </w:rPr>
        <w:t>El SMR-22 se celebró del 24 al 28 de octubre de 2022.</w:t>
      </w:r>
    </w:p>
    <w:p w14:paraId="763E9744" w14:textId="6832B3F5" w:rsidR="00515771" w:rsidRPr="00C317D5" w:rsidRDefault="00515771" w:rsidP="00515771">
      <w:pPr>
        <w:spacing w:line="257" w:lineRule="auto"/>
        <w:rPr>
          <w:szCs w:val="24"/>
        </w:rPr>
      </w:pPr>
      <w:r w:rsidRPr="00C317D5">
        <w:rPr>
          <w:szCs w:val="24"/>
        </w:rPr>
        <w:lastRenderedPageBreak/>
        <w:t>La Plenaria del SMR-22 tuvo lugar el lunes 24 de octubre de 2022 en formato presencial con participación a distancia abierta a los Miembros del UIT-R y al público en general. En esta sesión se trataron asuntos relacionados con las radiocomunicaciones, la aplicación del Reglamento de Radiocomunicaciones de la UIT y las tendencias de diversos servicios de radiocomunicaciones. También se presentaron a los participantes las actividades y trabajos de las Comisiones de Estudio del UIT-R, la Junta del Reglamento de Radiocomunicaciones, la Asamblea de Radiocomunicaciones (AR) y la Conferencia Mundial de Radiocomunicaciones (CMR). La sesión se celebró en los seis idiomas oficiales de las Naciones Unidas.</w:t>
      </w:r>
    </w:p>
    <w:p w14:paraId="5A3E0203" w14:textId="56838051" w:rsidR="00515771" w:rsidRPr="00C317D5" w:rsidRDefault="00515771" w:rsidP="00515771">
      <w:pPr>
        <w:spacing w:line="257" w:lineRule="auto"/>
      </w:pPr>
      <w:r w:rsidRPr="00C317D5">
        <w:t>A las sesiones plenarias del SMR-22 asistieron 540 participantes de 123 países.</w:t>
      </w:r>
    </w:p>
    <w:p w14:paraId="17E0261A" w14:textId="4849138E" w:rsidR="00515771" w:rsidRPr="00C317D5" w:rsidRDefault="00515771" w:rsidP="00515771">
      <w:pPr>
        <w:spacing w:line="257" w:lineRule="auto"/>
        <w:rPr>
          <w:szCs w:val="24"/>
        </w:rPr>
      </w:pPr>
      <w:r w:rsidRPr="00C317D5">
        <w:rPr>
          <w:szCs w:val="24"/>
        </w:rPr>
        <w:t>Entre el martes 25 y el viernes 28 de octubre de 2022 se celebraron los talleres espaciales y terrenales del SMR-22. Estos talleres prácticos se celebraron en paralelo y en formato exclusivamente presencial abierto sólo a los Miembros del UIT-R. Durante los cuatros días de talleres espaciales y terrenales del SMR-22, los participantes tuvieron la oportunidad de llevar a cabo experiencias prácticas con los procedimientos de notificación de la UIT, así como con los programas informáticos, las bases de datos y las publicaciones electrónicas que la Oficina de Radiocomunicaciones pone a disposición de los Miembros de la UIT. También se organizaron sesiones específicas para usuarios principiantes y avanzados de las herramientas informáticas de la</w:t>
      </w:r>
      <w:r w:rsidR="00281DEC" w:rsidRPr="00C317D5">
        <w:rPr>
          <w:szCs w:val="24"/>
        </w:rPr>
        <w:t> </w:t>
      </w:r>
      <w:r w:rsidRPr="00C317D5">
        <w:rPr>
          <w:szCs w:val="24"/>
        </w:rPr>
        <w:t>BR. Estas sesiones se celebraron principalmente en inglés y francés.</w:t>
      </w:r>
    </w:p>
    <w:p w14:paraId="0D227456" w14:textId="26265946" w:rsidR="00515771" w:rsidRPr="00C317D5" w:rsidRDefault="000E3864" w:rsidP="00515771">
      <w:pPr>
        <w:spacing w:line="257" w:lineRule="auto"/>
        <w:rPr>
          <w:szCs w:val="24"/>
        </w:rPr>
      </w:pPr>
      <w:r w:rsidRPr="00C317D5">
        <w:rPr>
          <w:szCs w:val="24"/>
        </w:rPr>
        <w:t>A los talleres del SMR-22 asistieron</w:t>
      </w:r>
      <w:r w:rsidR="00515771" w:rsidRPr="00C317D5">
        <w:rPr>
          <w:szCs w:val="24"/>
        </w:rPr>
        <w:t xml:space="preserve"> 427 participant</w:t>
      </w:r>
      <w:r w:rsidRPr="00C317D5">
        <w:rPr>
          <w:szCs w:val="24"/>
        </w:rPr>
        <w:t>e</w:t>
      </w:r>
      <w:r w:rsidR="00515771" w:rsidRPr="00C317D5">
        <w:rPr>
          <w:szCs w:val="24"/>
        </w:rPr>
        <w:t xml:space="preserve">s </w:t>
      </w:r>
      <w:r w:rsidRPr="00C317D5">
        <w:rPr>
          <w:szCs w:val="24"/>
        </w:rPr>
        <w:t>de</w:t>
      </w:r>
      <w:r w:rsidR="00515771" w:rsidRPr="00C317D5">
        <w:rPr>
          <w:szCs w:val="24"/>
        </w:rPr>
        <w:t xml:space="preserve"> 92 </w:t>
      </w:r>
      <w:r w:rsidRPr="00C317D5">
        <w:rPr>
          <w:szCs w:val="24"/>
        </w:rPr>
        <w:t>países, que participaron en las actividades ofrecidas durante la semana. La BR concedió 23 becas</w:t>
      </w:r>
      <w:r w:rsidR="00515771" w:rsidRPr="00C317D5">
        <w:rPr>
          <w:szCs w:val="24"/>
        </w:rPr>
        <w:t>.</w:t>
      </w:r>
    </w:p>
    <w:p w14:paraId="5CA0ABDC" w14:textId="77777777" w:rsidR="00B27BCB" w:rsidRPr="00C317D5" w:rsidRDefault="00B27BCB" w:rsidP="00B27BCB">
      <w:pPr>
        <w:pStyle w:val="Heading3"/>
      </w:pPr>
      <w:r w:rsidRPr="00C317D5">
        <w:t>8.2.2</w:t>
      </w:r>
      <w:r w:rsidRPr="00C317D5">
        <w:tab/>
        <w:t>Seminarios Regionales de Radiocomunicaciones</w:t>
      </w:r>
    </w:p>
    <w:p w14:paraId="1AEE07FE" w14:textId="77777777" w:rsidR="00B27BCB" w:rsidRPr="00C317D5" w:rsidRDefault="00B27BCB" w:rsidP="00B27BCB">
      <w:r w:rsidRPr="00C317D5">
        <w:t>A fin de complementar los Seminarios Mundiales de Radiocomunicaciones de carácter bienal, la BR mantuvo su estrategia de divulgación regional mediante la organización de Seminarios Regionales de Radiocomunicaciones (SRR), con el objetivo de visitar todas las regiones en desarrollo del mundo e impulsar la creación de capacidad en materia de utilización del espectro de radiofrecuencias y las órbitas de los satélites y, en particular, de aplicación de las disposiciones del Reglamento de Radiocomunicaciones de la UIT.</w:t>
      </w:r>
    </w:p>
    <w:p w14:paraId="38B5526C" w14:textId="3AC9F04D" w:rsidR="00B27BCB" w:rsidRPr="00C317D5" w:rsidRDefault="00B27BCB" w:rsidP="00B27BCB">
      <w:r w:rsidRPr="00C317D5">
        <w:t>Los SRR se organizan conjuntamente con las autoridades de gestión del espectro de los países anfitriones, en estrecha colaboración con las organizaciones regionales pertinentes y las Oficinas Regionales y/o Zonales de la UIT. Su orden del día incluye dos días de sesiones teóricas y uno o dos días de talleres sobre servicios terrenales y espaciales. Se complementan con un foro de uno o dos días dedicado a temas relacionados con el espectro que revisten una importancia particular para la región correspondiente.</w:t>
      </w:r>
      <w:r w:rsidR="000E3864" w:rsidRPr="00C317D5">
        <w:t xml:space="preserve"> Debido a la pandemia de COVID-19, se adaptaron la duración y los horarios para acomodarlos a los distintos husos horarios.</w:t>
      </w:r>
    </w:p>
    <w:p w14:paraId="43B227BA" w14:textId="7C2C0563" w:rsidR="000E3864" w:rsidRPr="00C317D5" w:rsidRDefault="000E3864" w:rsidP="000E3864">
      <w:pPr>
        <w:spacing w:after="120" w:line="257" w:lineRule="auto"/>
        <w:rPr>
          <w:szCs w:val="24"/>
        </w:rPr>
      </w:pPr>
      <w:r w:rsidRPr="00C317D5">
        <w:rPr>
          <w:szCs w:val="24"/>
        </w:rPr>
        <w:t>En 2022 se celebraron los tres SRR siguientes:</w:t>
      </w:r>
    </w:p>
    <w:p w14:paraId="24AAD4AD" w14:textId="6E1780D4" w:rsidR="000E3864" w:rsidRPr="00C317D5" w:rsidRDefault="000E3864" w:rsidP="000E3864">
      <w:pPr>
        <w:pStyle w:val="enumlev1"/>
      </w:pPr>
      <w:r w:rsidRPr="00C317D5">
        <w:t>−</w:t>
      </w:r>
      <w:r w:rsidRPr="00C317D5">
        <w:tab/>
        <w:t>Seminario Regional de Radiocomunicaciones de la UIT para los Estados Árabes de 2022 (SRR-22-Estados Árabes)</w:t>
      </w:r>
    </w:p>
    <w:p w14:paraId="48ADBCF9" w14:textId="5619B107" w:rsidR="000E3864" w:rsidRPr="00C317D5" w:rsidRDefault="000E3864" w:rsidP="000E3864">
      <w:pPr>
        <w:pStyle w:val="enumlev1"/>
        <w:rPr>
          <w:szCs w:val="24"/>
        </w:rPr>
      </w:pPr>
      <w:r w:rsidRPr="00C317D5">
        <w:t>−</w:t>
      </w:r>
      <w:r w:rsidRPr="00C317D5">
        <w:tab/>
        <w:t>Seminario Regional de Radiocomunicaciones de la UIT para Europa de 2022 (SRR</w:t>
      </w:r>
      <w:r w:rsidR="006D60C4" w:rsidRPr="00C317D5">
        <w:noBreakHyphen/>
      </w:r>
      <w:r w:rsidRPr="00C317D5">
        <w:t>22</w:t>
      </w:r>
      <w:r w:rsidR="006D60C4" w:rsidRPr="00C317D5">
        <w:noBreakHyphen/>
      </w:r>
      <w:r w:rsidRPr="00C317D5">
        <w:t>Europa)</w:t>
      </w:r>
    </w:p>
    <w:p w14:paraId="4C378B47" w14:textId="6D9AB7B1" w:rsidR="000E3864" w:rsidRPr="00C317D5" w:rsidRDefault="000E3864" w:rsidP="000E3864">
      <w:pPr>
        <w:pStyle w:val="enumlev1"/>
        <w:rPr>
          <w:szCs w:val="24"/>
        </w:rPr>
      </w:pPr>
      <w:r w:rsidRPr="00C317D5">
        <w:t>−</w:t>
      </w:r>
      <w:r w:rsidRPr="00C317D5">
        <w:tab/>
        <w:t>Seminario Regional de Radiocomunicaciones de la UIT para Asia y el Pacífico de 2022 (SRR-22-Asia-Pacífico)</w:t>
      </w:r>
    </w:p>
    <w:p w14:paraId="09E6EF13" w14:textId="52FB6E12" w:rsidR="000E3864" w:rsidRPr="00C317D5" w:rsidRDefault="000E3864" w:rsidP="000E3864">
      <w:pPr>
        <w:spacing w:line="257" w:lineRule="auto"/>
      </w:pPr>
      <w:r w:rsidRPr="00C317D5">
        <w:t>Pueden encontrarse los detalles de los SRR celebrados en 2022 en el Cuadro 8.2.2-2.</w:t>
      </w:r>
    </w:p>
    <w:p w14:paraId="7B6E5BEE" w14:textId="77777777" w:rsidR="000E3864" w:rsidRPr="00C317D5" w:rsidRDefault="000E3864" w:rsidP="000E3864">
      <w:pPr>
        <w:pStyle w:val="enumlev1"/>
        <w:rPr>
          <w:szCs w:val="24"/>
        </w:rPr>
      </w:pPr>
    </w:p>
    <w:p w14:paraId="53C9A3DC" w14:textId="77777777" w:rsidR="000E3864" w:rsidRPr="00C317D5" w:rsidRDefault="000E3864" w:rsidP="000E3864">
      <w:pPr>
        <w:rPr>
          <w:szCs w:val="24"/>
        </w:rPr>
        <w:sectPr w:rsidR="000E3864" w:rsidRPr="00C317D5" w:rsidSect="0027511E">
          <w:headerReference w:type="default" r:id="rId25"/>
          <w:footerReference w:type="default" r:id="rId26"/>
          <w:headerReference w:type="first" r:id="rId27"/>
          <w:footerReference w:type="first" r:id="rId28"/>
          <w:pgSz w:w="11907" w:h="16834" w:code="9"/>
          <w:pgMar w:top="1418" w:right="1134" w:bottom="1418" w:left="1134" w:header="720" w:footer="720" w:gutter="0"/>
          <w:paperSrc w:first="15" w:other="15"/>
          <w:cols w:space="720"/>
          <w:titlePg/>
          <w:docGrid w:linePitch="326"/>
        </w:sectPr>
      </w:pPr>
    </w:p>
    <w:p w14:paraId="23C9A2F9" w14:textId="77777777" w:rsidR="00B27BCB" w:rsidRPr="00C317D5" w:rsidRDefault="00B27BCB" w:rsidP="007E2027">
      <w:pPr>
        <w:pStyle w:val="TableNoBR"/>
        <w:spacing w:before="0"/>
      </w:pPr>
      <w:r w:rsidRPr="00C317D5">
        <w:lastRenderedPageBreak/>
        <w:t>CUADRO 8.2.2-2</w:t>
      </w:r>
    </w:p>
    <w:p w14:paraId="097DF829" w14:textId="5CE527F2" w:rsidR="00B27BCB" w:rsidRPr="00C317D5" w:rsidRDefault="00B27BCB" w:rsidP="00B27BCB">
      <w:pPr>
        <w:pStyle w:val="TabletitleBR"/>
      </w:pPr>
      <w:r w:rsidRPr="00C317D5">
        <w:t>Seminarios Regionales de Radiocomunicaciones de la UIT (202</w:t>
      </w:r>
      <w:r w:rsidR="005830A0" w:rsidRPr="00C317D5">
        <w:t>2</w:t>
      </w:r>
      <w:r w:rsidRPr="00C317D5">
        <w:t>)</w:t>
      </w:r>
    </w:p>
    <w:tbl>
      <w:tblPr>
        <w:tblW w:w="14406" w:type="dxa"/>
        <w:jc w:val="center"/>
        <w:tblLayout w:type="fixed"/>
        <w:tblCellMar>
          <w:left w:w="57" w:type="dxa"/>
          <w:right w:w="57" w:type="dxa"/>
        </w:tblCellMar>
        <w:tblLook w:val="0420" w:firstRow="1" w:lastRow="0" w:firstColumn="0" w:lastColumn="0" w:noHBand="0" w:noVBand="1"/>
      </w:tblPr>
      <w:tblGrid>
        <w:gridCol w:w="1049"/>
        <w:gridCol w:w="907"/>
        <w:gridCol w:w="907"/>
        <w:gridCol w:w="964"/>
        <w:gridCol w:w="1928"/>
        <w:gridCol w:w="5839"/>
        <w:gridCol w:w="758"/>
        <w:gridCol w:w="917"/>
        <w:gridCol w:w="1137"/>
      </w:tblGrid>
      <w:tr w:rsidR="00BD0E07" w:rsidRPr="00C317D5" w14:paraId="4D010023" w14:textId="0F9D54BB" w:rsidTr="006D60C4">
        <w:trPr>
          <w:tblHeader/>
          <w:jc w:val="center"/>
        </w:trPr>
        <w:tc>
          <w:tcPr>
            <w:tcW w:w="1049" w:type="dxa"/>
            <w:tcBorders>
              <w:top w:val="single" w:sz="4" w:space="0" w:color="auto"/>
              <w:left w:val="single" w:sz="4" w:space="0" w:color="auto"/>
            </w:tcBorders>
            <w:shd w:val="clear" w:color="auto" w:fill="8DB3E2" w:themeFill="text2" w:themeFillTint="66"/>
            <w:vAlign w:val="center"/>
            <w:hideMark/>
          </w:tcPr>
          <w:p w14:paraId="40A5FE3B" w14:textId="77777777" w:rsidR="00BD0E07" w:rsidRPr="00C317D5" w:rsidRDefault="00BD0E07" w:rsidP="00CF5394">
            <w:pPr>
              <w:pStyle w:val="Tablehead"/>
              <w:rPr>
                <w:color w:val="FFFFFF" w:themeColor="background1"/>
                <w:sz w:val="19"/>
                <w:szCs w:val="19"/>
              </w:rPr>
            </w:pPr>
            <w:r w:rsidRPr="00C317D5">
              <w:rPr>
                <w:color w:val="FFFFFF" w:themeColor="background1"/>
                <w:sz w:val="19"/>
                <w:szCs w:val="19"/>
              </w:rPr>
              <w:t>Fecha</w:t>
            </w:r>
          </w:p>
        </w:tc>
        <w:tc>
          <w:tcPr>
            <w:tcW w:w="907" w:type="dxa"/>
            <w:tcBorders>
              <w:top w:val="single" w:sz="4" w:space="0" w:color="auto"/>
            </w:tcBorders>
            <w:shd w:val="clear" w:color="auto" w:fill="8DB3E2" w:themeFill="text2" w:themeFillTint="66"/>
            <w:vAlign w:val="center"/>
            <w:hideMark/>
          </w:tcPr>
          <w:p w14:paraId="3B170642" w14:textId="77777777" w:rsidR="00BD0E07" w:rsidRPr="00C317D5" w:rsidRDefault="00BD0E07" w:rsidP="00CF5394">
            <w:pPr>
              <w:pStyle w:val="Tablehead"/>
              <w:rPr>
                <w:color w:val="FFFFFF" w:themeColor="background1"/>
                <w:sz w:val="19"/>
                <w:szCs w:val="19"/>
              </w:rPr>
            </w:pPr>
            <w:bookmarkStart w:id="69" w:name="lt_pId1063"/>
            <w:r w:rsidRPr="00C317D5">
              <w:rPr>
                <w:color w:val="FFFFFF" w:themeColor="background1"/>
                <w:sz w:val="19"/>
                <w:szCs w:val="19"/>
              </w:rPr>
              <w:t>SRR</w:t>
            </w:r>
            <w:bookmarkEnd w:id="69"/>
          </w:p>
        </w:tc>
        <w:tc>
          <w:tcPr>
            <w:tcW w:w="907" w:type="dxa"/>
            <w:tcBorders>
              <w:top w:val="single" w:sz="4" w:space="0" w:color="auto"/>
            </w:tcBorders>
            <w:shd w:val="clear" w:color="auto" w:fill="8DB3E2" w:themeFill="text2" w:themeFillTint="66"/>
            <w:tcMar>
              <w:left w:w="0" w:type="dxa"/>
              <w:right w:w="0" w:type="dxa"/>
            </w:tcMar>
            <w:vAlign w:val="center"/>
            <w:hideMark/>
          </w:tcPr>
          <w:p w14:paraId="7D57F03C" w14:textId="77777777" w:rsidR="00BD0E07" w:rsidRPr="00C317D5" w:rsidRDefault="00BD0E07" w:rsidP="00CF5394">
            <w:pPr>
              <w:pStyle w:val="Tablehead"/>
              <w:rPr>
                <w:color w:val="FFFFFF" w:themeColor="background1"/>
                <w:sz w:val="19"/>
                <w:szCs w:val="19"/>
              </w:rPr>
            </w:pPr>
            <w:r w:rsidRPr="00C317D5">
              <w:rPr>
                <w:color w:val="FFFFFF" w:themeColor="background1"/>
                <w:sz w:val="19"/>
                <w:szCs w:val="19"/>
              </w:rPr>
              <w:t>Lugar</w:t>
            </w:r>
          </w:p>
        </w:tc>
        <w:tc>
          <w:tcPr>
            <w:tcW w:w="964" w:type="dxa"/>
            <w:tcBorders>
              <w:top w:val="single" w:sz="4" w:space="0" w:color="auto"/>
            </w:tcBorders>
            <w:shd w:val="clear" w:color="auto" w:fill="8DB3E2" w:themeFill="text2" w:themeFillTint="66"/>
            <w:tcMar>
              <w:left w:w="0" w:type="dxa"/>
              <w:right w:w="0" w:type="dxa"/>
            </w:tcMar>
            <w:vAlign w:val="center"/>
            <w:hideMark/>
          </w:tcPr>
          <w:p w14:paraId="31A81AF8" w14:textId="77777777" w:rsidR="00BD0E07" w:rsidRPr="00C317D5" w:rsidRDefault="00BD0E07" w:rsidP="00CF5394">
            <w:pPr>
              <w:pStyle w:val="Tablehead"/>
              <w:rPr>
                <w:color w:val="FFFFFF" w:themeColor="background1"/>
                <w:sz w:val="19"/>
                <w:szCs w:val="19"/>
              </w:rPr>
            </w:pPr>
            <w:r w:rsidRPr="00C317D5">
              <w:rPr>
                <w:color w:val="FFFFFF" w:themeColor="background1"/>
                <w:sz w:val="19"/>
                <w:szCs w:val="19"/>
              </w:rPr>
              <w:t>Anfitrión</w:t>
            </w:r>
          </w:p>
        </w:tc>
        <w:tc>
          <w:tcPr>
            <w:tcW w:w="1928" w:type="dxa"/>
            <w:tcBorders>
              <w:top w:val="single" w:sz="4" w:space="0" w:color="auto"/>
            </w:tcBorders>
            <w:shd w:val="clear" w:color="auto" w:fill="8DB3E2" w:themeFill="text2" w:themeFillTint="66"/>
            <w:tcMar>
              <w:left w:w="0" w:type="dxa"/>
              <w:right w:w="0" w:type="dxa"/>
            </w:tcMar>
            <w:vAlign w:val="center"/>
            <w:hideMark/>
          </w:tcPr>
          <w:p w14:paraId="191F6899" w14:textId="77777777" w:rsidR="00BD0E07" w:rsidRPr="00C317D5" w:rsidRDefault="00BD0E07" w:rsidP="00CF5394">
            <w:pPr>
              <w:pStyle w:val="Tablehead"/>
              <w:rPr>
                <w:color w:val="FFFFFF" w:themeColor="background1"/>
                <w:sz w:val="19"/>
                <w:szCs w:val="19"/>
              </w:rPr>
            </w:pPr>
            <w:r w:rsidRPr="00C317D5">
              <w:rPr>
                <w:color w:val="FFFFFF" w:themeColor="background1"/>
                <w:sz w:val="19"/>
                <w:szCs w:val="19"/>
              </w:rPr>
              <w:t>Cooperación</w:t>
            </w:r>
          </w:p>
        </w:tc>
        <w:tc>
          <w:tcPr>
            <w:tcW w:w="5839" w:type="dxa"/>
            <w:tcBorders>
              <w:top w:val="single" w:sz="4" w:space="0" w:color="auto"/>
            </w:tcBorders>
            <w:shd w:val="clear" w:color="auto" w:fill="8DB3E2" w:themeFill="text2" w:themeFillTint="66"/>
            <w:tcMar>
              <w:left w:w="0" w:type="dxa"/>
              <w:right w:w="0" w:type="dxa"/>
            </w:tcMar>
            <w:vAlign w:val="center"/>
            <w:hideMark/>
          </w:tcPr>
          <w:p w14:paraId="64FC7A84" w14:textId="77777777" w:rsidR="00BD0E07" w:rsidRPr="00C317D5" w:rsidRDefault="00BD0E07" w:rsidP="00CF5394">
            <w:pPr>
              <w:pStyle w:val="Tablehead"/>
              <w:rPr>
                <w:color w:val="FFFFFF" w:themeColor="background1"/>
                <w:sz w:val="19"/>
                <w:szCs w:val="19"/>
              </w:rPr>
            </w:pPr>
            <w:r w:rsidRPr="00C317D5">
              <w:rPr>
                <w:color w:val="FFFFFF" w:themeColor="background1"/>
                <w:sz w:val="19"/>
                <w:szCs w:val="19"/>
              </w:rPr>
              <w:t>Temas del Foro</w:t>
            </w:r>
          </w:p>
        </w:tc>
        <w:tc>
          <w:tcPr>
            <w:tcW w:w="758" w:type="dxa"/>
            <w:tcBorders>
              <w:top w:val="single" w:sz="4" w:space="0" w:color="auto"/>
            </w:tcBorders>
            <w:shd w:val="clear" w:color="auto" w:fill="8DB3E2" w:themeFill="text2" w:themeFillTint="66"/>
            <w:tcMar>
              <w:left w:w="0" w:type="dxa"/>
              <w:right w:w="0" w:type="dxa"/>
            </w:tcMar>
            <w:vAlign w:val="center"/>
            <w:hideMark/>
          </w:tcPr>
          <w:p w14:paraId="44F4F7FD" w14:textId="77777777" w:rsidR="00BD0E07" w:rsidRPr="00C317D5" w:rsidRDefault="00BD0E07" w:rsidP="00CF5394">
            <w:pPr>
              <w:pStyle w:val="Tablehead"/>
              <w:rPr>
                <w:color w:val="FFFFFF" w:themeColor="background1"/>
                <w:sz w:val="19"/>
                <w:szCs w:val="19"/>
              </w:rPr>
            </w:pPr>
            <w:bookmarkStart w:id="70" w:name="lt_pId1068"/>
            <w:r w:rsidRPr="00C317D5">
              <w:rPr>
                <w:color w:val="FFFFFF" w:themeColor="background1"/>
                <w:sz w:val="19"/>
                <w:szCs w:val="19"/>
              </w:rPr>
              <w:t>Idiom</w:t>
            </w:r>
            <w:bookmarkEnd w:id="70"/>
            <w:r w:rsidRPr="00C317D5">
              <w:rPr>
                <w:color w:val="FFFFFF" w:themeColor="background1"/>
                <w:sz w:val="19"/>
                <w:szCs w:val="19"/>
              </w:rPr>
              <w:t>a</w:t>
            </w:r>
          </w:p>
        </w:tc>
        <w:tc>
          <w:tcPr>
            <w:tcW w:w="917" w:type="dxa"/>
            <w:tcBorders>
              <w:top w:val="single" w:sz="4" w:space="0" w:color="auto"/>
              <w:right w:val="single" w:sz="4" w:space="0" w:color="auto"/>
            </w:tcBorders>
            <w:shd w:val="clear" w:color="auto" w:fill="8DB3E2" w:themeFill="text2" w:themeFillTint="66"/>
            <w:tcMar>
              <w:left w:w="0" w:type="dxa"/>
              <w:right w:w="0" w:type="dxa"/>
            </w:tcMar>
            <w:vAlign w:val="center"/>
            <w:hideMark/>
          </w:tcPr>
          <w:p w14:paraId="04DA7D2E" w14:textId="77777777" w:rsidR="00BD0E07" w:rsidRPr="00C317D5" w:rsidRDefault="00BD0E07" w:rsidP="00CF5394">
            <w:pPr>
              <w:pStyle w:val="Tablehead"/>
              <w:rPr>
                <w:color w:val="FFFFFF" w:themeColor="background1"/>
                <w:sz w:val="19"/>
                <w:szCs w:val="19"/>
              </w:rPr>
            </w:pPr>
            <w:r w:rsidRPr="00C317D5">
              <w:rPr>
                <w:color w:val="FFFFFF" w:themeColor="background1"/>
                <w:sz w:val="19"/>
                <w:szCs w:val="19"/>
              </w:rPr>
              <w:t>Particip./</w:t>
            </w:r>
            <w:r w:rsidRPr="00C317D5">
              <w:rPr>
                <w:color w:val="FFFFFF" w:themeColor="background1"/>
                <w:sz w:val="19"/>
                <w:szCs w:val="19"/>
              </w:rPr>
              <w:br/>
              <w:t>Admin.</w:t>
            </w:r>
          </w:p>
        </w:tc>
        <w:tc>
          <w:tcPr>
            <w:tcW w:w="1134" w:type="dxa"/>
            <w:tcBorders>
              <w:top w:val="single" w:sz="4" w:space="0" w:color="auto"/>
              <w:right w:val="single" w:sz="4" w:space="0" w:color="auto"/>
            </w:tcBorders>
            <w:shd w:val="clear" w:color="auto" w:fill="8DB3E2" w:themeFill="text2" w:themeFillTint="66"/>
          </w:tcPr>
          <w:p w14:paraId="21C8558A" w14:textId="19E78992" w:rsidR="00BD0E07" w:rsidRPr="00C317D5" w:rsidRDefault="00BD0E07" w:rsidP="00CF5394">
            <w:pPr>
              <w:pStyle w:val="Tablehead"/>
              <w:rPr>
                <w:color w:val="FFFFFF" w:themeColor="background1"/>
                <w:sz w:val="19"/>
                <w:szCs w:val="19"/>
              </w:rPr>
            </w:pPr>
            <w:r w:rsidRPr="00C317D5">
              <w:rPr>
                <w:color w:val="FFFFFF" w:themeColor="background1"/>
                <w:sz w:val="19"/>
                <w:szCs w:val="19"/>
              </w:rPr>
              <w:t>Becas</w:t>
            </w:r>
          </w:p>
        </w:tc>
      </w:tr>
      <w:tr w:rsidR="00CA7FF0" w:rsidRPr="00C317D5" w14:paraId="79A1A458" w14:textId="1D864D2D" w:rsidTr="006D60C4">
        <w:trPr>
          <w:jc w:val="center"/>
        </w:trPr>
        <w:tc>
          <w:tcPr>
            <w:tcW w:w="14406" w:type="dxa"/>
            <w:gridSpan w:val="9"/>
            <w:tcBorders>
              <w:left w:val="single" w:sz="4" w:space="0" w:color="auto"/>
              <w:bottom w:val="single" w:sz="4" w:space="0" w:color="auto"/>
              <w:right w:val="single" w:sz="4" w:space="0" w:color="auto"/>
            </w:tcBorders>
            <w:shd w:val="clear" w:color="auto" w:fill="DBE5F1" w:themeFill="accent1" w:themeFillTint="33"/>
          </w:tcPr>
          <w:p w14:paraId="444B7A1C" w14:textId="2123CCFB" w:rsidR="00CA7FF0" w:rsidRPr="00C317D5" w:rsidRDefault="00CA7FF0" w:rsidP="00CF5394">
            <w:pPr>
              <w:pStyle w:val="Tabletext"/>
              <w:jc w:val="center"/>
              <w:rPr>
                <w:sz w:val="19"/>
                <w:szCs w:val="19"/>
              </w:rPr>
            </w:pPr>
            <w:r w:rsidRPr="00C317D5">
              <w:rPr>
                <w:b/>
                <w:bCs/>
                <w:sz w:val="19"/>
                <w:szCs w:val="19"/>
              </w:rPr>
              <w:t>2022</w:t>
            </w:r>
          </w:p>
        </w:tc>
      </w:tr>
      <w:tr w:rsidR="00BD0E07" w:rsidRPr="00C317D5" w14:paraId="3C934759" w14:textId="1E9857F2" w:rsidTr="006D60C4">
        <w:trPr>
          <w:jc w:val="center"/>
        </w:trPr>
        <w:tc>
          <w:tcPr>
            <w:tcW w:w="1049" w:type="dxa"/>
            <w:tcBorders>
              <w:top w:val="single" w:sz="4" w:space="0" w:color="auto"/>
              <w:left w:val="single" w:sz="4" w:space="0" w:color="auto"/>
              <w:bottom w:val="single" w:sz="4" w:space="0" w:color="auto"/>
              <w:right w:val="single" w:sz="4" w:space="0" w:color="auto"/>
            </w:tcBorders>
            <w:hideMark/>
          </w:tcPr>
          <w:p w14:paraId="492AC9A4" w14:textId="431404D5" w:rsidR="00BD0E07" w:rsidRPr="00C317D5" w:rsidRDefault="00BD0E07" w:rsidP="00CF5394">
            <w:pPr>
              <w:pStyle w:val="Tabletext"/>
              <w:rPr>
                <w:sz w:val="19"/>
                <w:szCs w:val="19"/>
              </w:rPr>
            </w:pPr>
            <w:r w:rsidRPr="00C317D5">
              <w:rPr>
                <w:sz w:val="19"/>
                <w:szCs w:val="19"/>
              </w:rPr>
              <w:t>13-24 de marzo de 2022</w:t>
            </w:r>
          </w:p>
        </w:tc>
        <w:tc>
          <w:tcPr>
            <w:tcW w:w="907" w:type="dxa"/>
            <w:tcBorders>
              <w:top w:val="single" w:sz="4" w:space="0" w:color="auto"/>
              <w:left w:val="single" w:sz="4" w:space="0" w:color="auto"/>
              <w:bottom w:val="single" w:sz="4" w:space="0" w:color="auto"/>
              <w:right w:val="single" w:sz="4" w:space="0" w:color="auto"/>
            </w:tcBorders>
            <w:hideMark/>
          </w:tcPr>
          <w:p w14:paraId="09867438" w14:textId="0298B09E" w:rsidR="00BD0E07" w:rsidRPr="00C317D5" w:rsidRDefault="00BD0E07" w:rsidP="00CF5394">
            <w:pPr>
              <w:pStyle w:val="Tabletext"/>
              <w:rPr>
                <w:sz w:val="19"/>
                <w:szCs w:val="19"/>
              </w:rPr>
            </w:pPr>
            <w:r w:rsidRPr="00C317D5">
              <w:rPr>
                <w:sz w:val="19"/>
                <w:szCs w:val="19"/>
              </w:rPr>
              <w:t>SRR-22-Estados Árabes</w:t>
            </w:r>
          </w:p>
        </w:tc>
        <w:tc>
          <w:tcPr>
            <w:tcW w:w="907" w:type="dxa"/>
            <w:tcBorders>
              <w:top w:val="single" w:sz="4" w:space="0" w:color="auto"/>
              <w:left w:val="single" w:sz="4" w:space="0" w:color="auto"/>
              <w:bottom w:val="single" w:sz="4" w:space="0" w:color="auto"/>
              <w:right w:val="single" w:sz="4" w:space="0" w:color="auto"/>
            </w:tcBorders>
            <w:hideMark/>
          </w:tcPr>
          <w:p w14:paraId="06254171" w14:textId="77777777" w:rsidR="00BD0E07" w:rsidRPr="00C317D5" w:rsidRDefault="00BD0E07" w:rsidP="00CF5394">
            <w:pPr>
              <w:pStyle w:val="Tabletext"/>
              <w:rPr>
                <w:sz w:val="19"/>
                <w:szCs w:val="19"/>
              </w:rPr>
            </w:pPr>
            <w:r w:rsidRPr="00C317D5">
              <w:rPr>
                <w:sz w:val="19"/>
                <w:szCs w:val="19"/>
              </w:rPr>
              <w:t>Reunión virtual</w:t>
            </w:r>
          </w:p>
        </w:tc>
        <w:tc>
          <w:tcPr>
            <w:tcW w:w="964" w:type="dxa"/>
            <w:tcBorders>
              <w:top w:val="single" w:sz="4" w:space="0" w:color="auto"/>
              <w:left w:val="single" w:sz="4" w:space="0" w:color="auto"/>
              <w:bottom w:val="single" w:sz="4" w:space="0" w:color="auto"/>
              <w:right w:val="single" w:sz="4" w:space="0" w:color="auto"/>
            </w:tcBorders>
            <w:hideMark/>
          </w:tcPr>
          <w:p w14:paraId="5E4C4F43" w14:textId="77777777" w:rsidR="00BD0E07" w:rsidRPr="00C317D5" w:rsidRDefault="00BD0E07" w:rsidP="00CF5394">
            <w:pPr>
              <w:pStyle w:val="Tabletext"/>
              <w:jc w:val="center"/>
              <w:rPr>
                <w:sz w:val="19"/>
                <w:szCs w:val="19"/>
              </w:rPr>
            </w:pPr>
            <w:r w:rsidRPr="00C317D5">
              <w:rPr>
                <w:sz w:val="19"/>
                <w:szCs w:val="19"/>
              </w:rPr>
              <w:t>−</w:t>
            </w:r>
          </w:p>
        </w:tc>
        <w:tc>
          <w:tcPr>
            <w:tcW w:w="1928" w:type="dxa"/>
            <w:tcBorders>
              <w:top w:val="single" w:sz="4" w:space="0" w:color="auto"/>
              <w:left w:val="single" w:sz="4" w:space="0" w:color="auto"/>
              <w:bottom w:val="single" w:sz="4" w:space="0" w:color="auto"/>
              <w:right w:val="single" w:sz="4" w:space="0" w:color="auto"/>
            </w:tcBorders>
          </w:tcPr>
          <w:p w14:paraId="44F8929B" w14:textId="77777777" w:rsidR="00BD0E07" w:rsidRPr="00C317D5" w:rsidRDefault="00BD0E07" w:rsidP="00CF5394">
            <w:pPr>
              <w:pStyle w:val="Tabletext"/>
              <w:rPr>
                <w:sz w:val="19"/>
                <w:szCs w:val="19"/>
              </w:rPr>
            </w:pPr>
            <w:r w:rsidRPr="00C317D5">
              <w:rPr>
                <w:sz w:val="19"/>
                <w:szCs w:val="19"/>
              </w:rPr>
              <w:t>Grupo de Gestión del Espectro de los Estados Árabes (ASMG)</w:t>
            </w:r>
          </w:p>
          <w:p w14:paraId="242ABBD2" w14:textId="0C4DF2C7" w:rsidR="00BD0E07" w:rsidRPr="00C317D5" w:rsidRDefault="00BD0E07" w:rsidP="00CF5394">
            <w:pPr>
              <w:pStyle w:val="Tabletext"/>
              <w:rPr>
                <w:sz w:val="19"/>
                <w:szCs w:val="19"/>
              </w:rPr>
            </w:pPr>
            <w:r w:rsidRPr="00C317D5">
              <w:rPr>
                <w:sz w:val="19"/>
                <w:szCs w:val="19"/>
              </w:rPr>
              <w:t>Oficina Regional de la</w:t>
            </w:r>
            <w:r w:rsidR="006D60C4" w:rsidRPr="00C317D5">
              <w:rPr>
                <w:sz w:val="19"/>
                <w:szCs w:val="19"/>
              </w:rPr>
              <w:t> </w:t>
            </w:r>
            <w:r w:rsidRPr="00C317D5">
              <w:rPr>
                <w:sz w:val="19"/>
                <w:szCs w:val="19"/>
              </w:rPr>
              <w:t>UIT para los Estados Árabes</w:t>
            </w:r>
          </w:p>
        </w:tc>
        <w:tc>
          <w:tcPr>
            <w:tcW w:w="5839" w:type="dxa"/>
            <w:tcBorders>
              <w:top w:val="single" w:sz="4" w:space="0" w:color="auto"/>
              <w:left w:val="single" w:sz="4" w:space="0" w:color="auto"/>
              <w:bottom w:val="single" w:sz="4" w:space="0" w:color="auto"/>
              <w:right w:val="single" w:sz="4" w:space="0" w:color="auto"/>
            </w:tcBorders>
            <w:hideMark/>
          </w:tcPr>
          <w:p w14:paraId="16742868" w14:textId="2D0F86E7" w:rsidR="00BD0E07" w:rsidRPr="00C317D5" w:rsidRDefault="00BD0E07" w:rsidP="00CA7FF0">
            <w:pPr>
              <w:pStyle w:val="Tabletext"/>
              <w:ind w:left="284" w:hanging="284"/>
              <w:rPr>
                <w:sz w:val="19"/>
                <w:szCs w:val="19"/>
              </w:rPr>
            </w:pPr>
            <w:r w:rsidRPr="00C317D5">
              <w:rPr>
                <w:sz w:val="19"/>
                <w:szCs w:val="19"/>
              </w:rPr>
              <w:t>•</w:t>
            </w:r>
            <w:r w:rsidRPr="00C317D5">
              <w:rPr>
                <w:sz w:val="19"/>
                <w:szCs w:val="19"/>
              </w:rPr>
              <w:tab/>
              <w:t>Cuadros nacionales de atribución de bandas de frecuencias y herramientas NFAT</w:t>
            </w:r>
          </w:p>
          <w:p w14:paraId="013ECB58" w14:textId="1A161491" w:rsidR="00BD0E07" w:rsidRPr="00C317D5" w:rsidRDefault="00BD0E07" w:rsidP="00CF5394">
            <w:pPr>
              <w:pStyle w:val="Tabletext"/>
              <w:ind w:left="284" w:hanging="284"/>
              <w:rPr>
                <w:sz w:val="19"/>
                <w:szCs w:val="19"/>
              </w:rPr>
            </w:pPr>
            <w:r w:rsidRPr="00C317D5">
              <w:rPr>
                <w:sz w:val="19"/>
                <w:szCs w:val="19"/>
              </w:rPr>
              <w:t>•</w:t>
            </w:r>
            <w:r w:rsidRPr="00C317D5">
              <w:rPr>
                <w:sz w:val="19"/>
                <w:szCs w:val="19"/>
              </w:rPr>
              <w:tab/>
              <w:t>Técnicas modernas de gestión y comprobación técnica del espectro</w:t>
            </w:r>
          </w:p>
          <w:p w14:paraId="610B8CDD" w14:textId="39EFD797" w:rsidR="00BD0E07" w:rsidRPr="00C317D5" w:rsidRDefault="00BD0E07" w:rsidP="00CF5394">
            <w:pPr>
              <w:pStyle w:val="Tabletext"/>
              <w:ind w:left="284" w:hanging="284"/>
              <w:rPr>
                <w:sz w:val="19"/>
                <w:szCs w:val="19"/>
              </w:rPr>
            </w:pPr>
            <w:r w:rsidRPr="00C317D5">
              <w:rPr>
                <w:sz w:val="19"/>
                <w:szCs w:val="19"/>
              </w:rPr>
              <w:t>•</w:t>
            </w:r>
            <w:r w:rsidRPr="00C317D5">
              <w:rPr>
                <w:sz w:val="19"/>
                <w:szCs w:val="19"/>
              </w:rPr>
              <w:tab/>
              <w:t>Alcance regional de los servicios marítimos</w:t>
            </w:r>
          </w:p>
          <w:p w14:paraId="1327E656" w14:textId="3BE0F89B" w:rsidR="00BD0E07" w:rsidRPr="00C317D5" w:rsidRDefault="00BD0E07" w:rsidP="00CF5394">
            <w:pPr>
              <w:pStyle w:val="Tabletext"/>
              <w:ind w:left="284" w:hanging="284"/>
              <w:rPr>
                <w:sz w:val="19"/>
                <w:szCs w:val="19"/>
              </w:rPr>
            </w:pPr>
            <w:r w:rsidRPr="00C317D5">
              <w:rPr>
                <w:sz w:val="19"/>
                <w:szCs w:val="19"/>
              </w:rPr>
              <w:t>•</w:t>
            </w:r>
            <w:r w:rsidRPr="00C317D5">
              <w:rPr>
                <w:sz w:val="19"/>
                <w:szCs w:val="19"/>
              </w:rPr>
              <w:tab/>
              <w:t>Constelaciones no OSG</w:t>
            </w:r>
          </w:p>
          <w:p w14:paraId="7CBC2D55" w14:textId="0ED45127" w:rsidR="00BD0E07" w:rsidRPr="00C317D5" w:rsidRDefault="00BD0E07" w:rsidP="00CF5394">
            <w:pPr>
              <w:pStyle w:val="Tabletext"/>
              <w:rPr>
                <w:sz w:val="19"/>
                <w:szCs w:val="19"/>
              </w:rPr>
            </w:pPr>
            <w:r w:rsidRPr="00C317D5">
              <w:rPr>
                <w:sz w:val="19"/>
                <w:szCs w:val="19"/>
              </w:rPr>
              <w:t>•</w:t>
            </w:r>
            <w:r w:rsidRPr="00C317D5">
              <w:rPr>
                <w:sz w:val="19"/>
                <w:szCs w:val="19"/>
              </w:rPr>
              <w:tab/>
              <w:t>Redistribución del espectro de ondas decimétricas</w:t>
            </w:r>
          </w:p>
          <w:p w14:paraId="5A2409A4" w14:textId="5E5C2D2B" w:rsidR="00BD0E07" w:rsidRPr="00C317D5" w:rsidRDefault="00BD0E07" w:rsidP="00CF5394">
            <w:pPr>
              <w:pStyle w:val="Tabletext"/>
              <w:ind w:left="284" w:hanging="284"/>
              <w:rPr>
                <w:sz w:val="19"/>
                <w:szCs w:val="19"/>
              </w:rPr>
            </w:pPr>
            <w:r w:rsidRPr="00C317D5">
              <w:rPr>
                <w:sz w:val="19"/>
                <w:szCs w:val="19"/>
              </w:rPr>
              <w:t>•</w:t>
            </w:r>
            <w:r w:rsidRPr="00C317D5">
              <w:rPr>
                <w:sz w:val="19"/>
                <w:szCs w:val="19"/>
              </w:rPr>
              <w:tab/>
              <w:t>Compartición de la banda de 6 GHz</w:t>
            </w:r>
          </w:p>
          <w:p w14:paraId="3392CAD8" w14:textId="512D9699" w:rsidR="00BD0E07" w:rsidRPr="00C317D5" w:rsidRDefault="00BD0E07" w:rsidP="00CF5394">
            <w:pPr>
              <w:pStyle w:val="Tabletext"/>
              <w:ind w:left="284" w:hanging="284"/>
              <w:rPr>
                <w:sz w:val="19"/>
                <w:szCs w:val="19"/>
              </w:rPr>
            </w:pPr>
            <w:r w:rsidRPr="00C317D5">
              <w:rPr>
                <w:sz w:val="19"/>
                <w:szCs w:val="19"/>
              </w:rPr>
              <w:t>•</w:t>
            </w:r>
            <w:r w:rsidRPr="00C317D5">
              <w:rPr>
                <w:sz w:val="19"/>
                <w:szCs w:val="19"/>
              </w:rPr>
              <w:tab/>
              <w:t>Modelo de licencias 5G</w:t>
            </w:r>
          </w:p>
          <w:p w14:paraId="217C9A63" w14:textId="5CF75754" w:rsidR="00BD0E07" w:rsidRPr="00C317D5" w:rsidRDefault="00BD0E07" w:rsidP="00CF5394">
            <w:pPr>
              <w:pStyle w:val="Tabletext"/>
              <w:ind w:left="284" w:hanging="284"/>
              <w:rPr>
                <w:sz w:val="19"/>
                <w:szCs w:val="19"/>
              </w:rPr>
            </w:pPr>
            <w:r w:rsidRPr="00C317D5">
              <w:rPr>
                <w:sz w:val="19"/>
                <w:szCs w:val="19"/>
              </w:rPr>
              <w:t>•</w:t>
            </w:r>
            <w:r w:rsidRPr="00C317D5">
              <w:rPr>
                <w:sz w:val="19"/>
                <w:szCs w:val="19"/>
              </w:rPr>
              <w:tab/>
              <w:t>Mesa redonda sobre el alcance regional de los retos del orden del día de la CMR-23</w:t>
            </w:r>
          </w:p>
        </w:tc>
        <w:tc>
          <w:tcPr>
            <w:tcW w:w="758" w:type="dxa"/>
            <w:tcBorders>
              <w:top w:val="single" w:sz="4" w:space="0" w:color="auto"/>
              <w:left w:val="single" w:sz="4" w:space="0" w:color="auto"/>
              <w:bottom w:val="single" w:sz="4" w:space="0" w:color="auto"/>
              <w:right w:val="single" w:sz="4" w:space="0" w:color="auto"/>
            </w:tcBorders>
            <w:hideMark/>
          </w:tcPr>
          <w:p w14:paraId="443B7A3E" w14:textId="31DBF4B5" w:rsidR="00BD0E07" w:rsidRPr="00C317D5" w:rsidRDefault="00BD0E07" w:rsidP="00CF5394">
            <w:pPr>
              <w:pStyle w:val="Tabletext"/>
              <w:jc w:val="center"/>
              <w:rPr>
                <w:sz w:val="19"/>
                <w:szCs w:val="19"/>
              </w:rPr>
            </w:pPr>
            <w:r w:rsidRPr="00C317D5">
              <w:rPr>
                <w:sz w:val="19"/>
                <w:szCs w:val="19"/>
              </w:rPr>
              <w:t>A y E</w:t>
            </w:r>
          </w:p>
        </w:tc>
        <w:tc>
          <w:tcPr>
            <w:tcW w:w="917" w:type="dxa"/>
            <w:tcBorders>
              <w:top w:val="single" w:sz="4" w:space="0" w:color="auto"/>
              <w:left w:val="single" w:sz="4" w:space="0" w:color="auto"/>
              <w:bottom w:val="single" w:sz="4" w:space="0" w:color="auto"/>
              <w:right w:val="single" w:sz="4" w:space="0" w:color="auto"/>
            </w:tcBorders>
            <w:hideMark/>
          </w:tcPr>
          <w:p w14:paraId="38CD71CB" w14:textId="6536B328" w:rsidR="00BD0E07" w:rsidRPr="00C317D5" w:rsidRDefault="00BD0E07" w:rsidP="00CF5394">
            <w:pPr>
              <w:pStyle w:val="Tabletext"/>
              <w:jc w:val="center"/>
              <w:rPr>
                <w:sz w:val="19"/>
                <w:szCs w:val="19"/>
              </w:rPr>
            </w:pPr>
            <w:r w:rsidRPr="00C317D5">
              <w:rPr>
                <w:sz w:val="19"/>
                <w:szCs w:val="19"/>
              </w:rPr>
              <w:t>185/51</w:t>
            </w:r>
          </w:p>
        </w:tc>
        <w:tc>
          <w:tcPr>
            <w:tcW w:w="1134" w:type="dxa"/>
            <w:tcBorders>
              <w:top w:val="single" w:sz="4" w:space="0" w:color="auto"/>
              <w:left w:val="single" w:sz="4" w:space="0" w:color="auto"/>
              <w:bottom w:val="single" w:sz="4" w:space="0" w:color="auto"/>
              <w:right w:val="single" w:sz="4" w:space="0" w:color="auto"/>
            </w:tcBorders>
          </w:tcPr>
          <w:p w14:paraId="5572953C" w14:textId="07E8BFC0" w:rsidR="00BD0E07" w:rsidRPr="00C317D5" w:rsidRDefault="00BD0E07" w:rsidP="00CF5394">
            <w:pPr>
              <w:pStyle w:val="Tabletext"/>
              <w:jc w:val="center"/>
              <w:rPr>
                <w:sz w:val="19"/>
                <w:szCs w:val="19"/>
              </w:rPr>
            </w:pPr>
            <w:r w:rsidRPr="00C317D5">
              <w:rPr>
                <w:sz w:val="19"/>
                <w:szCs w:val="19"/>
              </w:rPr>
              <w:t>N/A</w:t>
            </w:r>
          </w:p>
        </w:tc>
      </w:tr>
      <w:tr w:rsidR="00BD0E07" w:rsidRPr="00C317D5" w14:paraId="002911A7" w14:textId="27D41316" w:rsidTr="006D60C4">
        <w:trPr>
          <w:jc w:val="center"/>
        </w:trPr>
        <w:tc>
          <w:tcPr>
            <w:tcW w:w="1049" w:type="dxa"/>
            <w:tcBorders>
              <w:top w:val="single" w:sz="4" w:space="0" w:color="auto"/>
              <w:left w:val="single" w:sz="4" w:space="0" w:color="auto"/>
              <w:bottom w:val="single" w:sz="4" w:space="0" w:color="auto"/>
              <w:right w:val="single" w:sz="4" w:space="0" w:color="auto"/>
            </w:tcBorders>
            <w:shd w:val="clear" w:color="auto" w:fill="DEEAF6"/>
            <w:hideMark/>
          </w:tcPr>
          <w:p w14:paraId="7924E98F" w14:textId="1E60A64A" w:rsidR="00BD0E07" w:rsidRPr="00C317D5" w:rsidRDefault="00BD0E07" w:rsidP="00CF5394">
            <w:pPr>
              <w:pStyle w:val="Tabletext"/>
              <w:rPr>
                <w:sz w:val="19"/>
                <w:szCs w:val="19"/>
              </w:rPr>
            </w:pPr>
            <w:r w:rsidRPr="00C317D5">
              <w:rPr>
                <w:sz w:val="19"/>
                <w:szCs w:val="19"/>
              </w:rPr>
              <w:t>30 de agosto-8</w:t>
            </w:r>
            <w:r w:rsidR="00DB2723" w:rsidRPr="00C317D5">
              <w:rPr>
                <w:sz w:val="19"/>
                <w:szCs w:val="19"/>
              </w:rPr>
              <w:t> </w:t>
            </w:r>
            <w:r w:rsidRPr="00C317D5">
              <w:rPr>
                <w:sz w:val="19"/>
                <w:szCs w:val="19"/>
              </w:rPr>
              <w:t>de septiembre de 2022</w:t>
            </w:r>
          </w:p>
        </w:tc>
        <w:tc>
          <w:tcPr>
            <w:tcW w:w="907" w:type="dxa"/>
            <w:tcBorders>
              <w:top w:val="single" w:sz="4" w:space="0" w:color="auto"/>
              <w:left w:val="single" w:sz="4" w:space="0" w:color="auto"/>
              <w:bottom w:val="single" w:sz="4" w:space="0" w:color="auto"/>
              <w:right w:val="single" w:sz="4" w:space="0" w:color="auto"/>
            </w:tcBorders>
            <w:shd w:val="clear" w:color="auto" w:fill="DEEAF6"/>
            <w:hideMark/>
          </w:tcPr>
          <w:p w14:paraId="1821170D" w14:textId="14457BD4" w:rsidR="00BD0E07" w:rsidRPr="00C317D5" w:rsidRDefault="00BD0E07" w:rsidP="00CF5394">
            <w:pPr>
              <w:pStyle w:val="Tabletext"/>
              <w:rPr>
                <w:sz w:val="19"/>
                <w:szCs w:val="19"/>
              </w:rPr>
            </w:pPr>
            <w:r w:rsidRPr="00C317D5">
              <w:rPr>
                <w:sz w:val="19"/>
                <w:szCs w:val="19"/>
              </w:rPr>
              <w:t>SRR-22-Europa</w:t>
            </w:r>
          </w:p>
        </w:tc>
        <w:tc>
          <w:tcPr>
            <w:tcW w:w="907" w:type="dxa"/>
            <w:tcBorders>
              <w:top w:val="single" w:sz="4" w:space="0" w:color="auto"/>
              <w:left w:val="single" w:sz="4" w:space="0" w:color="auto"/>
              <w:bottom w:val="single" w:sz="4" w:space="0" w:color="auto"/>
              <w:right w:val="single" w:sz="4" w:space="0" w:color="auto"/>
            </w:tcBorders>
            <w:shd w:val="clear" w:color="auto" w:fill="DEEAF6"/>
            <w:hideMark/>
          </w:tcPr>
          <w:p w14:paraId="487E0A31" w14:textId="77777777" w:rsidR="00BD0E07" w:rsidRPr="00C317D5" w:rsidRDefault="00BD0E07" w:rsidP="00CF5394">
            <w:pPr>
              <w:pStyle w:val="Tabletext"/>
              <w:rPr>
                <w:sz w:val="19"/>
                <w:szCs w:val="19"/>
              </w:rPr>
            </w:pPr>
            <w:r w:rsidRPr="00C317D5">
              <w:rPr>
                <w:sz w:val="19"/>
                <w:szCs w:val="19"/>
              </w:rPr>
              <w:t>Reunión virtual</w:t>
            </w:r>
          </w:p>
        </w:tc>
        <w:tc>
          <w:tcPr>
            <w:tcW w:w="964" w:type="dxa"/>
            <w:tcBorders>
              <w:top w:val="single" w:sz="4" w:space="0" w:color="auto"/>
              <w:left w:val="single" w:sz="4" w:space="0" w:color="auto"/>
              <w:bottom w:val="single" w:sz="4" w:space="0" w:color="auto"/>
              <w:right w:val="single" w:sz="4" w:space="0" w:color="auto"/>
            </w:tcBorders>
            <w:shd w:val="clear" w:color="auto" w:fill="DEEAF6"/>
            <w:hideMark/>
          </w:tcPr>
          <w:p w14:paraId="2659C3AF" w14:textId="77777777" w:rsidR="00BD0E07" w:rsidRPr="00C317D5" w:rsidRDefault="00BD0E07" w:rsidP="00CF5394">
            <w:pPr>
              <w:pStyle w:val="Tabletext"/>
              <w:jc w:val="center"/>
              <w:rPr>
                <w:sz w:val="19"/>
                <w:szCs w:val="19"/>
              </w:rPr>
            </w:pPr>
            <w:r w:rsidRPr="00C317D5">
              <w:rPr>
                <w:sz w:val="19"/>
                <w:szCs w:val="19"/>
              </w:rPr>
              <w:t>−</w:t>
            </w:r>
          </w:p>
        </w:tc>
        <w:tc>
          <w:tcPr>
            <w:tcW w:w="1928" w:type="dxa"/>
            <w:tcBorders>
              <w:top w:val="single" w:sz="4" w:space="0" w:color="auto"/>
              <w:left w:val="single" w:sz="4" w:space="0" w:color="auto"/>
              <w:bottom w:val="single" w:sz="4" w:space="0" w:color="auto"/>
              <w:right w:val="single" w:sz="4" w:space="0" w:color="auto"/>
            </w:tcBorders>
            <w:shd w:val="clear" w:color="auto" w:fill="DEEAF6"/>
            <w:hideMark/>
          </w:tcPr>
          <w:p w14:paraId="1E61B1EE" w14:textId="56CB3226" w:rsidR="00BD0E07" w:rsidRPr="00C317D5" w:rsidRDefault="00BD0E07" w:rsidP="00CF5394">
            <w:pPr>
              <w:pStyle w:val="Tabletext"/>
              <w:rPr>
                <w:sz w:val="19"/>
                <w:szCs w:val="19"/>
              </w:rPr>
            </w:pPr>
            <w:r w:rsidRPr="00C317D5">
              <w:rPr>
                <w:sz w:val="19"/>
                <w:szCs w:val="19"/>
              </w:rPr>
              <w:t>Oficina Regional de la UIT para Europa</w:t>
            </w:r>
          </w:p>
        </w:tc>
        <w:tc>
          <w:tcPr>
            <w:tcW w:w="5839" w:type="dxa"/>
            <w:tcBorders>
              <w:top w:val="single" w:sz="4" w:space="0" w:color="auto"/>
              <w:left w:val="single" w:sz="4" w:space="0" w:color="auto"/>
              <w:bottom w:val="single" w:sz="4" w:space="0" w:color="auto"/>
              <w:right w:val="single" w:sz="4" w:space="0" w:color="auto"/>
            </w:tcBorders>
            <w:shd w:val="clear" w:color="auto" w:fill="DEEAF6"/>
            <w:hideMark/>
          </w:tcPr>
          <w:p w14:paraId="24F3C29E" w14:textId="77777777" w:rsidR="00BD0E07" w:rsidRPr="00C317D5" w:rsidRDefault="00BD0E07" w:rsidP="00CF5394">
            <w:pPr>
              <w:pStyle w:val="Tabletext"/>
              <w:ind w:left="284" w:hanging="284"/>
              <w:rPr>
                <w:sz w:val="19"/>
                <w:szCs w:val="19"/>
              </w:rPr>
            </w:pPr>
            <w:r w:rsidRPr="00C317D5">
              <w:rPr>
                <w:sz w:val="19"/>
                <w:szCs w:val="19"/>
              </w:rPr>
              <w:t>•</w:t>
            </w:r>
            <w:r w:rsidRPr="00C317D5">
              <w:rPr>
                <w:sz w:val="19"/>
                <w:szCs w:val="19"/>
              </w:rPr>
              <w:tab/>
              <w:t xml:space="preserve">Herramientas aplicables al Cuadro nacional de atribución de frecuencias y herramienta de visualización para el Artículo </w:t>
            </w:r>
            <w:r w:rsidRPr="00C317D5">
              <w:rPr>
                <w:b/>
                <w:bCs/>
                <w:sz w:val="19"/>
                <w:szCs w:val="19"/>
              </w:rPr>
              <w:t>5</w:t>
            </w:r>
            <w:r w:rsidRPr="00C317D5">
              <w:rPr>
                <w:sz w:val="19"/>
                <w:szCs w:val="19"/>
              </w:rPr>
              <w:t xml:space="preserve"> del RR</w:t>
            </w:r>
          </w:p>
          <w:p w14:paraId="367DE1FE" w14:textId="53597D22" w:rsidR="00BD0E07" w:rsidRPr="00C317D5" w:rsidRDefault="00BD0E07" w:rsidP="00CF5394">
            <w:pPr>
              <w:pStyle w:val="Tabletext"/>
              <w:ind w:left="284" w:hanging="284"/>
              <w:rPr>
                <w:sz w:val="19"/>
                <w:szCs w:val="19"/>
              </w:rPr>
            </w:pPr>
            <w:r w:rsidRPr="00C317D5">
              <w:rPr>
                <w:sz w:val="19"/>
                <w:szCs w:val="19"/>
              </w:rPr>
              <w:t>•</w:t>
            </w:r>
            <w:r w:rsidRPr="00C317D5">
              <w:rPr>
                <w:sz w:val="19"/>
                <w:szCs w:val="19"/>
              </w:rPr>
              <w:tab/>
              <w:t>Evolución de la 5G en Europa</w:t>
            </w:r>
          </w:p>
          <w:p w14:paraId="0791538B" w14:textId="77777777" w:rsidR="00BD0E07" w:rsidRPr="00C317D5" w:rsidRDefault="00BD0E07" w:rsidP="00BD0E07">
            <w:pPr>
              <w:pStyle w:val="Tabletext"/>
              <w:ind w:left="284" w:hanging="284"/>
              <w:rPr>
                <w:sz w:val="19"/>
                <w:szCs w:val="19"/>
              </w:rPr>
            </w:pPr>
            <w:r w:rsidRPr="00C317D5">
              <w:rPr>
                <w:sz w:val="19"/>
                <w:szCs w:val="19"/>
              </w:rPr>
              <w:t>•</w:t>
            </w:r>
            <w:r w:rsidRPr="00C317D5">
              <w:rPr>
                <w:sz w:val="19"/>
                <w:szCs w:val="19"/>
              </w:rPr>
              <w:tab/>
              <w:t>Técnicas modernas de gestión y comprobación técnica del espectro</w:t>
            </w:r>
          </w:p>
          <w:p w14:paraId="2306B6CC" w14:textId="6D3E9F62" w:rsidR="00BD0E07" w:rsidRPr="00C317D5" w:rsidRDefault="00BD0E07" w:rsidP="00BD0E07">
            <w:pPr>
              <w:pStyle w:val="Tabletext"/>
              <w:ind w:left="284" w:hanging="284"/>
              <w:rPr>
                <w:sz w:val="19"/>
                <w:szCs w:val="19"/>
              </w:rPr>
            </w:pPr>
            <w:r w:rsidRPr="00C317D5">
              <w:rPr>
                <w:sz w:val="19"/>
                <w:szCs w:val="19"/>
              </w:rPr>
              <w:t>•</w:t>
            </w:r>
            <w:r w:rsidRPr="00C317D5">
              <w:rPr>
                <w:sz w:val="19"/>
                <w:szCs w:val="19"/>
              </w:rPr>
              <w:tab/>
              <w:t>Mesa redonda sobre el alcance regional de los retos del orden del día de la CMR-23</w:t>
            </w:r>
          </w:p>
        </w:tc>
        <w:tc>
          <w:tcPr>
            <w:tcW w:w="758" w:type="dxa"/>
            <w:tcBorders>
              <w:top w:val="single" w:sz="4" w:space="0" w:color="auto"/>
              <w:left w:val="single" w:sz="4" w:space="0" w:color="auto"/>
              <w:bottom w:val="single" w:sz="4" w:space="0" w:color="auto"/>
              <w:right w:val="single" w:sz="4" w:space="0" w:color="auto"/>
            </w:tcBorders>
            <w:shd w:val="clear" w:color="auto" w:fill="DEEAF6"/>
            <w:hideMark/>
          </w:tcPr>
          <w:p w14:paraId="539F847A" w14:textId="36652E04" w:rsidR="00BD0E07" w:rsidRPr="00C317D5" w:rsidRDefault="00BD0E07" w:rsidP="00CF5394">
            <w:pPr>
              <w:pStyle w:val="Tabletext"/>
              <w:jc w:val="center"/>
              <w:rPr>
                <w:sz w:val="19"/>
                <w:szCs w:val="19"/>
              </w:rPr>
            </w:pPr>
            <w:r w:rsidRPr="00C317D5">
              <w:rPr>
                <w:sz w:val="19"/>
                <w:szCs w:val="19"/>
              </w:rPr>
              <w:t>E</w:t>
            </w:r>
          </w:p>
        </w:tc>
        <w:tc>
          <w:tcPr>
            <w:tcW w:w="917" w:type="dxa"/>
            <w:tcBorders>
              <w:top w:val="single" w:sz="4" w:space="0" w:color="auto"/>
              <w:left w:val="single" w:sz="4" w:space="0" w:color="auto"/>
              <w:bottom w:val="single" w:sz="4" w:space="0" w:color="auto"/>
              <w:right w:val="single" w:sz="4" w:space="0" w:color="auto"/>
            </w:tcBorders>
            <w:shd w:val="clear" w:color="auto" w:fill="DEEAF6"/>
            <w:hideMark/>
          </w:tcPr>
          <w:p w14:paraId="29AA2A64" w14:textId="386A8F4C" w:rsidR="00BD0E07" w:rsidRPr="00C317D5" w:rsidRDefault="00BD0E07" w:rsidP="00CF5394">
            <w:pPr>
              <w:pStyle w:val="Tabletext"/>
              <w:jc w:val="center"/>
              <w:rPr>
                <w:sz w:val="19"/>
                <w:szCs w:val="19"/>
              </w:rPr>
            </w:pPr>
            <w:r w:rsidRPr="00C317D5">
              <w:rPr>
                <w:sz w:val="19"/>
                <w:szCs w:val="19"/>
              </w:rPr>
              <w:t>286/83</w:t>
            </w:r>
          </w:p>
        </w:tc>
        <w:tc>
          <w:tcPr>
            <w:tcW w:w="1134" w:type="dxa"/>
            <w:tcBorders>
              <w:top w:val="single" w:sz="4" w:space="0" w:color="auto"/>
              <w:left w:val="single" w:sz="4" w:space="0" w:color="auto"/>
              <w:bottom w:val="single" w:sz="4" w:space="0" w:color="auto"/>
              <w:right w:val="single" w:sz="4" w:space="0" w:color="auto"/>
            </w:tcBorders>
            <w:shd w:val="clear" w:color="auto" w:fill="DEEAF6"/>
          </w:tcPr>
          <w:p w14:paraId="0DED093D" w14:textId="7AE33AA3" w:rsidR="00BD0E07" w:rsidRPr="00C317D5" w:rsidRDefault="00BD0E07" w:rsidP="00CF5394">
            <w:pPr>
              <w:pStyle w:val="Tabletext"/>
              <w:jc w:val="center"/>
              <w:rPr>
                <w:sz w:val="19"/>
                <w:szCs w:val="19"/>
              </w:rPr>
            </w:pPr>
            <w:r w:rsidRPr="00C317D5">
              <w:rPr>
                <w:sz w:val="19"/>
                <w:szCs w:val="19"/>
              </w:rPr>
              <w:t>N/A</w:t>
            </w:r>
          </w:p>
        </w:tc>
      </w:tr>
      <w:tr w:rsidR="00BD0E07" w:rsidRPr="00C317D5" w14:paraId="1D7D6CAD" w14:textId="59881F42" w:rsidTr="006D60C4">
        <w:trPr>
          <w:jc w:val="center"/>
        </w:trPr>
        <w:tc>
          <w:tcPr>
            <w:tcW w:w="1049" w:type="dxa"/>
            <w:tcBorders>
              <w:top w:val="single" w:sz="4" w:space="0" w:color="auto"/>
              <w:left w:val="single" w:sz="4" w:space="0" w:color="auto"/>
              <w:bottom w:val="single" w:sz="4" w:space="0" w:color="auto"/>
              <w:right w:val="single" w:sz="4" w:space="0" w:color="auto"/>
            </w:tcBorders>
          </w:tcPr>
          <w:p w14:paraId="4296E68B" w14:textId="75AC614C" w:rsidR="00BD0E07" w:rsidRPr="00C317D5" w:rsidRDefault="00BD0E07" w:rsidP="00CF5394">
            <w:pPr>
              <w:pStyle w:val="Tabletext"/>
              <w:rPr>
                <w:sz w:val="19"/>
                <w:szCs w:val="19"/>
              </w:rPr>
            </w:pPr>
            <w:r w:rsidRPr="00C317D5">
              <w:rPr>
                <w:sz w:val="19"/>
                <w:szCs w:val="19"/>
              </w:rPr>
              <w:t>15-20 de diciembre de</w:t>
            </w:r>
            <w:r w:rsidR="00CA7FF0" w:rsidRPr="00C317D5">
              <w:rPr>
                <w:sz w:val="19"/>
                <w:szCs w:val="19"/>
              </w:rPr>
              <w:t> </w:t>
            </w:r>
            <w:r w:rsidRPr="00C317D5">
              <w:rPr>
                <w:sz w:val="19"/>
                <w:szCs w:val="19"/>
              </w:rPr>
              <w:t>2022</w:t>
            </w:r>
          </w:p>
        </w:tc>
        <w:tc>
          <w:tcPr>
            <w:tcW w:w="907" w:type="dxa"/>
            <w:tcBorders>
              <w:top w:val="single" w:sz="4" w:space="0" w:color="auto"/>
              <w:left w:val="single" w:sz="4" w:space="0" w:color="auto"/>
              <w:bottom w:val="single" w:sz="4" w:space="0" w:color="auto"/>
              <w:right w:val="single" w:sz="4" w:space="0" w:color="auto"/>
            </w:tcBorders>
          </w:tcPr>
          <w:p w14:paraId="32174927" w14:textId="0B053555" w:rsidR="00BD0E07" w:rsidRPr="00C317D5" w:rsidRDefault="00BD0E07" w:rsidP="00CF5394">
            <w:pPr>
              <w:pStyle w:val="Tabletext"/>
              <w:rPr>
                <w:sz w:val="19"/>
                <w:szCs w:val="19"/>
              </w:rPr>
            </w:pPr>
            <w:r w:rsidRPr="00C317D5">
              <w:rPr>
                <w:sz w:val="19"/>
                <w:szCs w:val="19"/>
              </w:rPr>
              <w:t>SRR-22-Asia-Pacífico</w:t>
            </w:r>
          </w:p>
        </w:tc>
        <w:tc>
          <w:tcPr>
            <w:tcW w:w="907" w:type="dxa"/>
            <w:tcBorders>
              <w:top w:val="single" w:sz="4" w:space="0" w:color="auto"/>
              <w:left w:val="single" w:sz="4" w:space="0" w:color="auto"/>
              <w:bottom w:val="single" w:sz="4" w:space="0" w:color="auto"/>
              <w:right w:val="single" w:sz="4" w:space="0" w:color="auto"/>
            </w:tcBorders>
          </w:tcPr>
          <w:p w14:paraId="425E1930" w14:textId="202CA518" w:rsidR="00BD0E07" w:rsidRPr="00C317D5" w:rsidRDefault="00BD0E07" w:rsidP="00CF5394">
            <w:pPr>
              <w:pStyle w:val="Tabletext"/>
              <w:rPr>
                <w:sz w:val="19"/>
                <w:szCs w:val="19"/>
              </w:rPr>
            </w:pPr>
            <w:r w:rsidRPr="00C317D5">
              <w:rPr>
                <w:sz w:val="19"/>
                <w:szCs w:val="19"/>
              </w:rPr>
              <w:t>Nadi, Fiji</w:t>
            </w:r>
          </w:p>
        </w:tc>
        <w:tc>
          <w:tcPr>
            <w:tcW w:w="964" w:type="dxa"/>
            <w:tcBorders>
              <w:top w:val="single" w:sz="4" w:space="0" w:color="auto"/>
              <w:left w:val="single" w:sz="4" w:space="0" w:color="auto"/>
              <w:bottom w:val="single" w:sz="4" w:space="0" w:color="auto"/>
              <w:right w:val="single" w:sz="4" w:space="0" w:color="auto"/>
            </w:tcBorders>
          </w:tcPr>
          <w:p w14:paraId="2EF90CDF" w14:textId="4C9A9250" w:rsidR="00BD0E07" w:rsidRPr="00C317D5" w:rsidRDefault="0013255C" w:rsidP="00CF5394">
            <w:pPr>
              <w:pStyle w:val="Tabletext"/>
              <w:jc w:val="center"/>
              <w:rPr>
                <w:sz w:val="19"/>
                <w:szCs w:val="19"/>
              </w:rPr>
            </w:pPr>
            <w:hyperlink r:id="rId29" w:history="1">
              <w:r w:rsidR="00BD0E07" w:rsidRPr="00C317D5">
                <w:rPr>
                  <w:rStyle w:val="Hyperlink"/>
                  <w:sz w:val="19"/>
                  <w:szCs w:val="19"/>
                </w:rPr>
                <w:t>Ministerio de Comu</w:t>
              </w:r>
              <w:r w:rsidR="005E41AC" w:rsidRPr="00C317D5">
                <w:rPr>
                  <w:rStyle w:val="Hyperlink"/>
                  <w:sz w:val="19"/>
                  <w:szCs w:val="19"/>
                </w:rPr>
                <w:t>-</w:t>
              </w:r>
              <w:r w:rsidR="006C4333" w:rsidRPr="00C317D5">
                <w:rPr>
                  <w:rStyle w:val="Hyperlink"/>
                  <w:sz w:val="19"/>
                  <w:szCs w:val="19"/>
                </w:rPr>
                <w:br/>
              </w:r>
              <w:r w:rsidR="00BD0E07" w:rsidRPr="00C317D5">
                <w:rPr>
                  <w:rStyle w:val="Hyperlink"/>
                  <w:sz w:val="19"/>
                  <w:szCs w:val="19"/>
                </w:rPr>
                <w:t>nicaciones</w:t>
              </w:r>
            </w:hyperlink>
            <w:r w:rsidR="00BD0E07" w:rsidRPr="00C317D5">
              <w:rPr>
                <w:sz w:val="19"/>
                <w:szCs w:val="19"/>
              </w:rPr>
              <w:t xml:space="preserve"> (MOC) de</w:t>
            </w:r>
            <w:r w:rsidR="00DB2723" w:rsidRPr="00C317D5">
              <w:rPr>
                <w:sz w:val="19"/>
                <w:szCs w:val="19"/>
              </w:rPr>
              <w:t> </w:t>
            </w:r>
            <w:r w:rsidR="00BD0E07" w:rsidRPr="00C317D5">
              <w:rPr>
                <w:sz w:val="19"/>
                <w:szCs w:val="19"/>
              </w:rPr>
              <w:t>Fiji</w:t>
            </w:r>
          </w:p>
        </w:tc>
        <w:tc>
          <w:tcPr>
            <w:tcW w:w="1928" w:type="dxa"/>
            <w:tcBorders>
              <w:top w:val="single" w:sz="4" w:space="0" w:color="auto"/>
              <w:left w:val="single" w:sz="4" w:space="0" w:color="auto"/>
              <w:bottom w:val="single" w:sz="4" w:space="0" w:color="auto"/>
              <w:right w:val="single" w:sz="4" w:space="0" w:color="auto"/>
            </w:tcBorders>
          </w:tcPr>
          <w:p w14:paraId="518505B1" w14:textId="4BD3FB05" w:rsidR="00BD0E07" w:rsidRPr="00C317D5" w:rsidRDefault="0013255C" w:rsidP="00CF5394">
            <w:pPr>
              <w:pStyle w:val="Tabletext"/>
              <w:rPr>
                <w:sz w:val="19"/>
                <w:szCs w:val="19"/>
              </w:rPr>
            </w:pPr>
            <w:hyperlink r:id="rId30" w:history="1">
              <w:r w:rsidR="00BD0E07" w:rsidRPr="00C317D5">
                <w:rPr>
                  <w:rStyle w:val="Hyperlink"/>
                  <w:sz w:val="19"/>
                  <w:szCs w:val="19"/>
                </w:rPr>
                <w:t>Asociación de Telecomunicaciones de las Islas del Pacífico (PITA)</w:t>
              </w:r>
            </w:hyperlink>
          </w:p>
          <w:p w14:paraId="1E51D64B" w14:textId="7FDCF62B" w:rsidR="00132252" w:rsidRPr="00C317D5" w:rsidRDefault="0013255C" w:rsidP="00CF5394">
            <w:pPr>
              <w:pStyle w:val="Tabletext"/>
              <w:rPr>
                <w:sz w:val="19"/>
                <w:szCs w:val="19"/>
              </w:rPr>
            </w:pPr>
            <w:hyperlink r:id="rId31" w:history="1">
              <w:r w:rsidR="00132252" w:rsidRPr="00C317D5">
                <w:rPr>
                  <w:rStyle w:val="Hyperlink"/>
                  <w:sz w:val="19"/>
                  <w:szCs w:val="19"/>
                </w:rPr>
                <w:t>Departamento de Infraestructura, Transporte, Desarrollo Regional, Comunicaciones y Arte</w:t>
              </w:r>
            </w:hyperlink>
            <w:r w:rsidR="00132252" w:rsidRPr="00C317D5">
              <w:rPr>
                <w:sz w:val="19"/>
                <w:szCs w:val="19"/>
              </w:rPr>
              <w:t xml:space="preserve"> (DITRDCA) del Gobierno de Australia</w:t>
            </w:r>
          </w:p>
          <w:p w14:paraId="0AFF2DF1" w14:textId="2AF39619" w:rsidR="00BD0E07" w:rsidRPr="00C317D5" w:rsidRDefault="00BD0E07" w:rsidP="00CF5394">
            <w:pPr>
              <w:pStyle w:val="Tabletext"/>
              <w:rPr>
                <w:sz w:val="19"/>
                <w:szCs w:val="19"/>
              </w:rPr>
            </w:pPr>
            <w:r w:rsidRPr="00C317D5">
              <w:rPr>
                <w:sz w:val="19"/>
                <w:szCs w:val="19"/>
              </w:rPr>
              <w:t xml:space="preserve">Oficina </w:t>
            </w:r>
            <w:r w:rsidR="00132252" w:rsidRPr="00C317D5">
              <w:rPr>
                <w:sz w:val="19"/>
                <w:szCs w:val="19"/>
              </w:rPr>
              <w:t xml:space="preserve">Regional </w:t>
            </w:r>
            <w:r w:rsidRPr="00C317D5">
              <w:rPr>
                <w:sz w:val="19"/>
                <w:szCs w:val="19"/>
              </w:rPr>
              <w:t>de la UIT para Asia-Pacífico</w:t>
            </w: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A923078" w14:textId="3B74AC82" w:rsidR="00BD0E07" w:rsidRPr="00C317D5" w:rsidRDefault="00BD0E07" w:rsidP="00CF5394">
            <w:pPr>
              <w:pStyle w:val="Tabletext"/>
              <w:ind w:left="284" w:hanging="284"/>
              <w:rPr>
                <w:sz w:val="19"/>
                <w:szCs w:val="19"/>
              </w:rPr>
            </w:pPr>
            <w:r w:rsidRPr="00C317D5">
              <w:rPr>
                <w:sz w:val="19"/>
                <w:szCs w:val="19"/>
              </w:rPr>
              <w:t>•</w:t>
            </w:r>
            <w:r w:rsidRPr="00C317D5">
              <w:rPr>
                <w:sz w:val="19"/>
                <w:szCs w:val="19"/>
              </w:rPr>
              <w:tab/>
              <w:t>Cuadro</w:t>
            </w:r>
            <w:r w:rsidR="00132252" w:rsidRPr="00C317D5">
              <w:rPr>
                <w:sz w:val="19"/>
                <w:szCs w:val="19"/>
              </w:rPr>
              <w:t>s</w:t>
            </w:r>
            <w:r w:rsidRPr="00C317D5">
              <w:rPr>
                <w:sz w:val="19"/>
                <w:szCs w:val="19"/>
              </w:rPr>
              <w:t xml:space="preserve"> nacional</w:t>
            </w:r>
            <w:r w:rsidR="00132252" w:rsidRPr="00C317D5">
              <w:rPr>
                <w:sz w:val="19"/>
                <w:szCs w:val="19"/>
              </w:rPr>
              <w:t>es</w:t>
            </w:r>
            <w:r w:rsidRPr="00C317D5">
              <w:rPr>
                <w:sz w:val="19"/>
                <w:szCs w:val="19"/>
              </w:rPr>
              <w:t xml:space="preserve"> de atribución de frecuencias</w:t>
            </w:r>
            <w:r w:rsidR="00132252" w:rsidRPr="00C317D5">
              <w:rPr>
                <w:sz w:val="19"/>
                <w:szCs w:val="19"/>
              </w:rPr>
              <w:t xml:space="preserve"> y herramientas NFAT</w:t>
            </w:r>
          </w:p>
          <w:p w14:paraId="555A5518" w14:textId="02849D75" w:rsidR="00BD0E07" w:rsidRPr="00C317D5" w:rsidRDefault="00BD0E07" w:rsidP="00CF5394">
            <w:pPr>
              <w:pStyle w:val="Tabletext"/>
              <w:rPr>
                <w:sz w:val="19"/>
                <w:szCs w:val="19"/>
              </w:rPr>
            </w:pPr>
            <w:r w:rsidRPr="00C317D5">
              <w:rPr>
                <w:sz w:val="19"/>
                <w:szCs w:val="19"/>
              </w:rPr>
              <w:t>•</w:t>
            </w:r>
            <w:r w:rsidRPr="00C317D5">
              <w:rPr>
                <w:sz w:val="19"/>
                <w:szCs w:val="19"/>
              </w:rPr>
              <w:tab/>
            </w:r>
            <w:r w:rsidR="00132252" w:rsidRPr="00C317D5">
              <w:rPr>
                <w:sz w:val="19"/>
                <w:szCs w:val="19"/>
              </w:rPr>
              <w:t>Técnicas m</w:t>
            </w:r>
            <w:r w:rsidRPr="00C317D5">
              <w:rPr>
                <w:sz w:val="19"/>
                <w:szCs w:val="19"/>
              </w:rPr>
              <w:t>odernas de gestión y comprobación técnica del espectro</w:t>
            </w:r>
          </w:p>
          <w:p w14:paraId="057F49F9" w14:textId="248719D3" w:rsidR="00BD0E07" w:rsidRPr="00C317D5" w:rsidRDefault="00BD0E07" w:rsidP="00CF5394">
            <w:pPr>
              <w:pStyle w:val="Tabletext"/>
              <w:rPr>
                <w:sz w:val="19"/>
                <w:szCs w:val="19"/>
              </w:rPr>
            </w:pPr>
            <w:r w:rsidRPr="00C317D5">
              <w:rPr>
                <w:sz w:val="19"/>
                <w:szCs w:val="19"/>
              </w:rPr>
              <w:t>•</w:t>
            </w:r>
            <w:r w:rsidRPr="00C317D5">
              <w:rPr>
                <w:sz w:val="19"/>
                <w:szCs w:val="19"/>
              </w:rPr>
              <w:tab/>
              <w:t xml:space="preserve">Radiodifusión terrenal digital para TV </w:t>
            </w:r>
            <w:r w:rsidR="00132252" w:rsidRPr="00C317D5">
              <w:rPr>
                <w:sz w:val="19"/>
                <w:szCs w:val="19"/>
              </w:rPr>
              <w:t xml:space="preserve">(TDT) </w:t>
            </w:r>
            <w:r w:rsidRPr="00C317D5">
              <w:rPr>
                <w:sz w:val="19"/>
                <w:szCs w:val="19"/>
              </w:rPr>
              <w:t>y audio</w:t>
            </w:r>
            <w:r w:rsidR="00132252" w:rsidRPr="00C317D5">
              <w:rPr>
                <w:sz w:val="19"/>
                <w:szCs w:val="19"/>
              </w:rPr>
              <w:t xml:space="preserve"> (DAB)</w:t>
            </w:r>
          </w:p>
          <w:p w14:paraId="7F45772C" w14:textId="77777777" w:rsidR="00BD0E07" w:rsidRPr="00C317D5" w:rsidRDefault="00BD0E07" w:rsidP="00CF5394">
            <w:pPr>
              <w:pStyle w:val="Tabletext"/>
              <w:rPr>
                <w:sz w:val="19"/>
                <w:szCs w:val="19"/>
              </w:rPr>
            </w:pPr>
            <w:r w:rsidRPr="00C317D5">
              <w:rPr>
                <w:sz w:val="19"/>
                <w:szCs w:val="19"/>
              </w:rPr>
              <w:t>•</w:t>
            </w:r>
            <w:r w:rsidRPr="00C317D5">
              <w:rPr>
                <w:sz w:val="19"/>
                <w:szCs w:val="19"/>
              </w:rPr>
              <w:tab/>
              <w:t>Marcos de planes nacionales para las comunicaciones de emergencia</w:t>
            </w:r>
          </w:p>
          <w:p w14:paraId="26F9C926" w14:textId="77777777" w:rsidR="00BD0E07" w:rsidRPr="00C317D5" w:rsidRDefault="00BD0E07" w:rsidP="00CF5394">
            <w:pPr>
              <w:pStyle w:val="Tabletext"/>
              <w:rPr>
                <w:sz w:val="19"/>
                <w:szCs w:val="19"/>
              </w:rPr>
            </w:pPr>
            <w:r w:rsidRPr="00C317D5">
              <w:rPr>
                <w:sz w:val="19"/>
                <w:szCs w:val="19"/>
              </w:rPr>
              <w:t>•</w:t>
            </w:r>
            <w:r w:rsidRPr="00C317D5">
              <w:rPr>
                <w:sz w:val="19"/>
                <w:szCs w:val="19"/>
              </w:rPr>
              <w:tab/>
              <w:t>Tendencias de las IMT-2020 (5G)</w:t>
            </w:r>
          </w:p>
          <w:p w14:paraId="57A67B83" w14:textId="77777777" w:rsidR="00BD0E07" w:rsidRPr="00C317D5" w:rsidRDefault="00BD0E07" w:rsidP="00CF5394">
            <w:pPr>
              <w:pStyle w:val="Tabletext"/>
              <w:ind w:left="284" w:hanging="284"/>
              <w:rPr>
                <w:sz w:val="19"/>
                <w:szCs w:val="19"/>
              </w:rPr>
            </w:pPr>
            <w:r w:rsidRPr="00C317D5">
              <w:rPr>
                <w:sz w:val="19"/>
                <w:szCs w:val="19"/>
              </w:rPr>
              <w:t>•</w:t>
            </w:r>
            <w:r w:rsidRPr="00C317D5">
              <w:rPr>
                <w:sz w:val="19"/>
                <w:szCs w:val="19"/>
              </w:rPr>
              <w:tab/>
              <w:t>Otros sistemas terrenales de banda ancha: fijos; HAPS/HIBS; RLAN</w:t>
            </w:r>
          </w:p>
          <w:p w14:paraId="4AF04A42" w14:textId="2423A907" w:rsidR="00BD0E07" w:rsidRPr="00C317D5" w:rsidRDefault="00BD0E07" w:rsidP="00CF5394">
            <w:pPr>
              <w:pStyle w:val="Tabletext"/>
              <w:ind w:left="284" w:hanging="284"/>
              <w:rPr>
                <w:sz w:val="19"/>
                <w:szCs w:val="19"/>
              </w:rPr>
            </w:pPr>
            <w:r w:rsidRPr="00C317D5">
              <w:rPr>
                <w:sz w:val="19"/>
                <w:szCs w:val="19"/>
              </w:rPr>
              <w:t>•</w:t>
            </w:r>
            <w:r w:rsidRPr="00C317D5">
              <w:rPr>
                <w:sz w:val="19"/>
                <w:szCs w:val="19"/>
              </w:rPr>
              <w:tab/>
              <w:t>Sistemas de satélite: satélites de banda ancha (OSG y no OSG)</w:t>
            </w:r>
          </w:p>
          <w:p w14:paraId="0718410C" w14:textId="7610F688" w:rsidR="00132252" w:rsidRPr="00C317D5" w:rsidRDefault="003D2C41" w:rsidP="003D2C41">
            <w:pPr>
              <w:pStyle w:val="Tabletext"/>
              <w:ind w:left="284" w:hanging="284"/>
              <w:rPr>
                <w:sz w:val="19"/>
                <w:szCs w:val="19"/>
              </w:rPr>
            </w:pPr>
            <w:r w:rsidRPr="00C317D5">
              <w:rPr>
                <w:sz w:val="19"/>
                <w:szCs w:val="19"/>
              </w:rPr>
              <w:t>•</w:t>
            </w:r>
            <w:r w:rsidRPr="00C317D5">
              <w:rPr>
                <w:sz w:val="19"/>
                <w:szCs w:val="19"/>
              </w:rPr>
              <w:tab/>
            </w:r>
            <w:r w:rsidR="00132252" w:rsidRPr="00C317D5">
              <w:rPr>
                <w:sz w:val="19"/>
                <w:szCs w:val="19"/>
              </w:rPr>
              <w:t>Determinación de precios del espectro</w:t>
            </w:r>
          </w:p>
          <w:p w14:paraId="7F5D9DA4" w14:textId="5B5A0212" w:rsidR="00BD0E07" w:rsidRPr="00C317D5" w:rsidRDefault="00BD0E07" w:rsidP="00CF5394">
            <w:pPr>
              <w:pStyle w:val="Tabletext"/>
              <w:ind w:left="284" w:hanging="284"/>
              <w:rPr>
                <w:sz w:val="19"/>
                <w:szCs w:val="19"/>
              </w:rPr>
            </w:pPr>
            <w:r w:rsidRPr="00C317D5">
              <w:rPr>
                <w:sz w:val="19"/>
                <w:szCs w:val="19"/>
              </w:rPr>
              <w:t>•</w:t>
            </w:r>
            <w:r w:rsidRPr="00C317D5">
              <w:rPr>
                <w:sz w:val="19"/>
                <w:szCs w:val="19"/>
              </w:rPr>
              <w:tab/>
              <w:t>Mesa redonda sobre el alcance regional de los retos del orden del día de la CMR-23</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45758A59" w14:textId="77777777" w:rsidR="00BD0E07" w:rsidRPr="00C317D5" w:rsidRDefault="00BD0E07" w:rsidP="00CF5394">
            <w:pPr>
              <w:pStyle w:val="Tabletext"/>
              <w:jc w:val="center"/>
              <w:rPr>
                <w:sz w:val="19"/>
                <w:szCs w:val="19"/>
              </w:rPr>
            </w:pPr>
            <w:r w:rsidRPr="00C317D5">
              <w:rPr>
                <w:sz w:val="19"/>
                <w:szCs w:val="19"/>
              </w:rPr>
              <w:t>E</w:t>
            </w:r>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49495638" w14:textId="7FDB1EC4" w:rsidR="00BD0E07" w:rsidRPr="00C317D5" w:rsidRDefault="00132252" w:rsidP="00CF5394">
            <w:pPr>
              <w:pStyle w:val="Tabletext"/>
              <w:jc w:val="center"/>
              <w:rPr>
                <w:sz w:val="19"/>
                <w:szCs w:val="19"/>
              </w:rPr>
            </w:pPr>
            <w:r w:rsidRPr="00C317D5">
              <w:rPr>
                <w:sz w:val="19"/>
                <w:szCs w:val="19"/>
              </w:rPr>
              <w:t>80/40</w:t>
            </w:r>
          </w:p>
        </w:tc>
        <w:tc>
          <w:tcPr>
            <w:tcW w:w="1134" w:type="dxa"/>
            <w:tcBorders>
              <w:top w:val="single" w:sz="4" w:space="0" w:color="auto"/>
              <w:left w:val="single" w:sz="4" w:space="0" w:color="auto"/>
              <w:bottom w:val="single" w:sz="4" w:space="0" w:color="auto"/>
              <w:right w:val="single" w:sz="4" w:space="0" w:color="auto"/>
            </w:tcBorders>
          </w:tcPr>
          <w:p w14:paraId="5624065C" w14:textId="72E5D717" w:rsidR="00BD0E07" w:rsidRPr="00C317D5" w:rsidRDefault="00132252" w:rsidP="00CF5394">
            <w:pPr>
              <w:pStyle w:val="Tabletext"/>
              <w:jc w:val="center"/>
              <w:rPr>
                <w:sz w:val="19"/>
                <w:szCs w:val="19"/>
              </w:rPr>
            </w:pPr>
            <w:r w:rsidRPr="00C317D5">
              <w:rPr>
                <w:sz w:val="19"/>
                <w:szCs w:val="19"/>
              </w:rPr>
              <w:t>11 (financiadas y</w:t>
            </w:r>
            <w:r w:rsidR="00CA7FF0" w:rsidRPr="00C317D5">
              <w:rPr>
                <w:sz w:val="19"/>
                <w:szCs w:val="19"/>
              </w:rPr>
              <w:t> </w:t>
            </w:r>
            <w:r w:rsidRPr="00C317D5">
              <w:rPr>
                <w:sz w:val="19"/>
                <w:szCs w:val="19"/>
              </w:rPr>
              <w:t>concedidas por la BR</w:t>
            </w:r>
            <w:r w:rsidR="00CA7FF0" w:rsidRPr="00C317D5">
              <w:rPr>
                <w:sz w:val="19"/>
                <w:szCs w:val="19"/>
              </w:rPr>
              <w:br/>
            </w:r>
            <w:r w:rsidRPr="00C317D5">
              <w:rPr>
                <w:sz w:val="19"/>
                <w:szCs w:val="19"/>
              </w:rPr>
              <w:t>y el DITRDCA de</w:t>
            </w:r>
            <w:r w:rsidR="00CA7FF0" w:rsidRPr="00C317D5">
              <w:rPr>
                <w:sz w:val="19"/>
                <w:szCs w:val="19"/>
              </w:rPr>
              <w:t> </w:t>
            </w:r>
            <w:r w:rsidRPr="00C317D5">
              <w:rPr>
                <w:sz w:val="19"/>
                <w:szCs w:val="19"/>
              </w:rPr>
              <w:t>Australia)</w:t>
            </w:r>
          </w:p>
        </w:tc>
      </w:tr>
    </w:tbl>
    <w:p w14:paraId="6FBEE384" w14:textId="76370920" w:rsidR="00CA7FF0" w:rsidRPr="00C317D5" w:rsidRDefault="00CA7FF0" w:rsidP="00CA7FF0">
      <w:pPr>
        <w:sectPr w:rsidR="00CA7FF0" w:rsidRPr="00C317D5" w:rsidSect="007E2027">
          <w:headerReference w:type="first" r:id="rId32"/>
          <w:pgSz w:w="16834" w:h="11907" w:orient="landscape"/>
          <w:pgMar w:top="1418" w:right="1134" w:bottom="1418" w:left="1134" w:header="720" w:footer="720" w:gutter="0"/>
          <w:paperSrc w:first="15" w:other="15"/>
          <w:cols w:space="720"/>
          <w:titlePg/>
          <w:docGrid w:linePitch="326"/>
        </w:sectPr>
      </w:pPr>
      <w:bookmarkStart w:id="71" w:name="_Toc446060786"/>
    </w:p>
    <w:p w14:paraId="1B2D9925" w14:textId="3F58E932" w:rsidR="0022237C" w:rsidRPr="00C317D5" w:rsidRDefault="00B27BCB" w:rsidP="0022237C">
      <w:pPr>
        <w:pStyle w:val="Heading3"/>
      </w:pPr>
      <w:r w:rsidRPr="00C317D5">
        <w:lastRenderedPageBreak/>
        <w:t>8.2.3</w:t>
      </w:r>
      <w:r w:rsidRPr="00C317D5">
        <w:tab/>
      </w:r>
      <w:bookmarkEnd w:id="71"/>
      <w:r w:rsidRPr="00C317D5">
        <w:t>Seminarios Mundiales y Regionales de Radiocomunicaciones previstos para 2022-2023</w:t>
      </w:r>
    </w:p>
    <w:p w14:paraId="56AD86B2" w14:textId="3CCC9FFD" w:rsidR="00B27BCB" w:rsidRPr="00C317D5" w:rsidRDefault="00B27BCB" w:rsidP="00B27BCB">
      <w:pPr>
        <w:textAlignment w:val="auto"/>
      </w:pPr>
      <w:r w:rsidRPr="00C317D5">
        <w:t>En base a la planificación de SMR y SRR para 2020-2023 (Cuadro 8.2.2-1), se están considerando los siguientes seminarios en 202</w:t>
      </w:r>
      <w:r w:rsidR="00132252" w:rsidRPr="00C317D5">
        <w:t>3</w:t>
      </w:r>
      <w:r w:rsidRPr="00C317D5">
        <w:t>:</w:t>
      </w:r>
    </w:p>
    <w:p w14:paraId="5A15346D" w14:textId="6B75D4F8" w:rsidR="00B27BCB" w:rsidRPr="00C317D5" w:rsidRDefault="00B27BCB" w:rsidP="00B27BCB">
      <w:pPr>
        <w:pStyle w:val="enumlev1"/>
      </w:pPr>
      <w:r w:rsidRPr="00C317D5">
        <w:t>–</w:t>
      </w:r>
      <w:r w:rsidRPr="00C317D5">
        <w:tab/>
        <w:t>SRR-2</w:t>
      </w:r>
      <w:r w:rsidR="00132252" w:rsidRPr="00C317D5">
        <w:t>3</w:t>
      </w:r>
      <w:r w:rsidRPr="00C317D5">
        <w:t>-</w:t>
      </w:r>
      <w:r w:rsidR="00132252" w:rsidRPr="00C317D5">
        <w:t>Américas</w:t>
      </w:r>
      <w:r w:rsidRPr="00C317D5">
        <w:t xml:space="preserve">; </w:t>
      </w:r>
      <w:r w:rsidR="00132252" w:rsidRPr="00C317D5">
        <w:t>La Habana, Cuba, del 8 al 12 de mayo de 2023, en español</w:t>
      </w:r>
      <w:r w:rsidR="00874F33" w:rsidRPr="00C317D5">
        <w:t>.</w:t>
      </w:r>
    </w:p>
    <w:p w14:paraId="78A2B9EA" w14:textId="4ABE5DEE" w:rsidR="00B27BCB" w:rsidRPr="00C317D5" w:rsidRDefault="00B27BCB" w:rsidP="00132252">
      <w:pPr>
        <w:pStyle w:val="enumlev1"/>
      </w:pPr>
      <w:r w:rsidRPr="00C317D5">
        <w:t>–</w:t>
      </w:r>
      <w:r w:rsidRPr="00C317D5">
        <w:tab/>
        <w:t>SRR-2</w:t>
      </w:r>
      <w:r w:rsidR="00132252" w:rsidRPr="00C317D5">
        <w:t>3</w:t>
      </w:r>
      <w:r w:rsidRPr="00C317D5">
        <w:t>-</w:t>
      </w:r>
      <w:r w:rsidR="00132252" w:rsidRPr="00C317D5">
        <w:t>África; Brazzaville, Congo, del 19 al 23 de junio de 2023, en inglés y francés</w:t>
      </w:r>
      <w:r w:rsidR="00874F33" w:rsidRPr="00C317D5">
        <w:t>.</w:t>
      </w:r>
    </w:p>
    <w:p w14:paraId="15C33BB9" w14:textId="36AAF1A0" w:rsidR="00B27BCB" w:rsidRPr="00C317D5" w:rsidRDefault="00B27BCB" w:rsidP="00B27BCB">
      <w:pPr>
        <w:textAlignment w:val="auto"/>
      </w:pPr>
      <w:r w:rsidRPr="00C317D5">
        <w:t>Como se ha indicado anteriormente, se está coordinando y ajustando la planificación de 202</w:t>
      </w:r>
      <w:r w:rsidR="00132252" w:rsidRPr="00C317D5">
        <w:t>3</w:t>
      </w:r>
      <w:r w:rsidRPr="00C317D5">
        <w:t xml:space="preserve"> con las Oficinas Regionales de la UIT y los grupos regionales pertinentes, teniendo en cuenta los problemas que </w:t>
      </w:r>
      <w:r w:rsidR="00132252" w:rsidRPr="00C317D5">
        <w:t>pudieran surgir a nivel regional</w:t>
      </w:r>
      <w:r w:rsidRPr="00C317D5">
        <w:t>.</w:t>
      </w:r>
    </w:p>
    <w:p w14:paraId="7DD6E977" w14:textId="77777777" w:rsidR="00B27BCB" w:rsidRPr="00C317D5" w:rsidRDefault="00B27BCB" w:rsidP="00B27BCB">
      <w:pPr>
        <w:pStyle w:val="Heading3"/>
      </w:pPr>
      <w:bookmarkStart w:id="72" w:name="_Toc446060787"/>
      <w:r w:rsidRPr="00C317D5">
        <w:t>8.2.4</w:t>
      </w:r>
      <w:r w:rsidRPr="00C317D5">
        <w:tab/>
      </w:r>
      <w:bookmarkEnd w:id="72"/>
      <w:r w:rsidRPr="00C317D5">
        <w:t>Otros eventos</w:t>
      </w:r>
    </w:p>
    <w:p w14:paraId="38C78273" w14:textId="6311510F" w:rsidR="00B27BCB" w:rsidRPr="00C317D5" w:rsidRDefault="00B27BCB" w:rsidP="00B27BCB">
      <w:pPr>
        <w:textAlignment w:val="auto"/>
      </w:pPr>
      <w:bookmarkStart w:id="73" w:name="lt_pId1203"/>
      <w:r w:rsidRPr="00C317D5">
        <w:t>Los expertos de la BR siguieron asistiendo y prestando apoyo a diversos eventos como los organizados por organismos especializados de las Naciones Unidas y organizaciones regionales de telecomunicaciones, así como a conferencias y simposios no organizados por la UIT. La BR también organizó seminarios y talleres y respondió a solicitudes de asistencia de Estados Miembros como:</w:t>
      </w:r>
    </w:p>
    <w:bookmarkEnd w:id="73"/>
    <w:p w14:paraId="58E4584F" w14:textId="77777777" w:rsidR="00B27BCB" w:rsidRPr="00C317D5" w:rsidRDefault="00B27BCB" w:rsidP="00B27BCB">
      <w:pPr>
        <w:pStyle w:val="enumlev1"/>
        <w:rPr>
          <w:lang w:eastAsia="zh-CN"/>
        </w:rPr>
      </w:pPr>
      <w:r w:rsidRPr="00C317D5">
        <w:rPr>
          <w:lang w:eastAsia="zh-CN"/>
        </w:rPr>
        <w:t>–</w:t>
      </w:r>
      <w:r w:rsidRPr="00C317D5">
        <w:rPr>
          <w:lang w:eastAsia="zh-CN"/>
        </w:rPr>
        <w:tab/>
        <w:t>Taller de capacitación en cuestiones de satélites de la SADC.</w:t>
      </w:r>
    </w:p>
    <w:p w14:paraId="4B1CA311" w14:textId="77777777" w:rsidR="00B27BCB" w:rsidRPr="00C317D5" w:rsidRDefault="00B27BCB" w:rsidP="00B27BCB">
      <w:pPr>
        <w:pStyle w:val="enumlev1"/>
        <w:rPr>
          <w:lang w:eastAsia="zh-CN"/>
        </w:rPr>
      </w:pPr>
      <w:r w:rsidRPr="00C317D5">
        <w:rPr>
          <w:lang w:eastAsia="zh-CN"/>
        </w:rPr>
        <w:t>–</w:t>
      </w:r>
      <w:r w:rsidRPr="00C317D5">
        <w:rPr>
          <w:lang w:eastAsia="zh-CN"/>
        </w:rPr>
        <w:tab/>
        <w:t>Taller UIT/UAT sobre la aplicación del punto 1.4 del orden del día de la CMR-19.</w:t>
      </w:r>
    </w:p>
    <w:p w14:paraId="2263777F" w14:textId="73EF5927" w:rsidR="00B27BCB" w:rsidRPr="00C317D5" w:rsidRDefault="00B27BCB" w:rsidP="00B27BCB">
      <w:pPr>
        <w:pStyle w:val="enumlev1"/>
        <w:rPr>
          <w:lang w:eastAsia="zh-CN"/>
        </w:rPr>
      </w:pPr>
      <w:r w:rsidRPr="00C317D5">
        <w:rPr>
          <w:lang w:eastAsia="zh-CN"/>
        </w:rPr>
        <w:t>–</w:t>
      </w:r>
      <w:r w:rsidRPr="00C317D5">
        <w:rPr>
          <w:lang w:eastAsia="zh-CN"/>
        </w:rPr>
        <w:tab/>
        <w:t>Seminario Regional de la UIT para Europa y la CEI</w:t>
      </w:r>
      <w:r w:rsidR="00506DFC" w:rsidRPr="00C317D5">
        <w:rPr>
          <w:lang w:eastAsia="zh-CN"/>
        </w:rPr>
        <w:t> –</w:t>
      </w:r>
      <w:r w:rsidRPr="00C317D5">
        <w:rPr>
          <w:lang w:eastAsia="zh-CN"/>
        </w:rPr>
        <w:t xml:space="preserve"> Espectro y Radiodifusión.</w:t>
      </w:r>
    </w:p>
    <w:p w14:paraId="654F2076" w14:textId="77777777" w:rsidR="00B27BCB" w:rsidRPr="00C317D5" w:rsidRDefault="00B27BCB" w:rsidP="00B27BCB">
      <w:pPr>
        <w:pStyle w:val="enumlev1"/>
        <w:rPr>
          <w:lang w:eastAsia="zh-CN"/>
        </w:rPr>
      </w:pPr>
      <w:r w:rsidRPr="00C317D5">
        <w:rPr>
          <w:lang w:eastAsia="zh-CN"/>
        </w:rPr>
        <w:t>–</w:t>
      </w:r>
      <w:r w:rsidRPr="00C317D5">
        <w:rPr>
          <w:lang w:eastAsia="zh-CN"/>
        </w:rPr>
        <w:tab/>
        <w:t>Formación UIT/ITSO para las Américas.</w:t>
      </w:r>
    </w:p>
    <w:p w14:paraId="279D3C57" w14:textId="540BE878" w:rsidR="00B27BCB" w:rsidRPr="00C317D5" w:rsidRDefault="00B27BCB" w:rsidP="00B27BCB">
      <w:pPr>
        <w:pStyle w:val="enumlev1"/>
        <w:rPr>
          <w:lang w:eastAsia="zh-CN"/>
        </w:rPr>
      </w:pPr>
      <w:r w:rsidRPr="00C317D5">
        <w:rPr>
          <w:lang w:eastAsia="zh-CN"/>
        </w:rPr>
        <w:t>–</w:t>
      </w:r>
      <w:r w:rsidRPr="00C317D5">
        <w:rPr>
          <w:lang w:eastAsia="zh-CN"/>
        </w:rPr>
        <w:tab/>
        <w:t>Taller de la UIT</w:t>
      </w:r>
      <w:r w:rsidR="00132252" w:rsidRPr="00C317D5">
        <w:rPr>
          <w:lang w:eastAsia="zh-CN"/>
        </w:rPr>
        <w:t>/Proyecto Smart Seas (Caribe)</w:t>
      </w:r>
      <w:r w:rsidRPr="00C317D5">
        <w:rPr>
          <w:lang w:eastAsia="zh-CN"/>
        </w:rPr>
        <w:t xml:space="preserve"> sobre la</w:t>
      </w:r>
      <w:r w:rsidR="00132252" w:rsidRPr="00C317D5">
        <w:rPr>
          <w:lang w:eastAsia="zh-CN"/>
        </w:rPr>
        <w:t>s herramientas Smart Sea (seguridad de pescadores a pequeña escala en el mar)</w:t>
      </w:r>
      <w:r w:rsidRPr="00C317D5">
        <w:rPr>
          <w:lang w:eastAsia="zh-CN"/>
        </w:rPr>
        <w:t>.</w:t>
      </w:r>
    </w:p>
    <w:p w14:paraId="5620978B" w14:textId="77777777" w:rsidR="00B27BCB" w:rsidRPr="00C317D5" w:rsidRDefault="00B27BCB" w:rsidP="00B27BCB">
      <w:pPr>
        <w:pStyle w:val="Heading2"/>
      </w:pPr>
      <w:r w:rsidRPr="00C317D5">
        <w:t>8.3</w:t>
      </w:r>
      <w:r w:rsidRPr="00C317D5">
        <w:tab/>
        <w:t>Asistencia a los Estados Miembros, en particular a países en desarrollo y PMA</w:t>
      </w:r>
    </w:p>
    <w:p w14:paraId="3B628357" w14:textId="77777777" w:rsidR="00B27BCB" w:rsidRPr="00C317D5" w:rsidRDefault="00B27BCB" w:rsidP="00B27BCB">
      <w:pPr>
        <w:pStyle w:val="Heading3"/>
      </w:pPr>
      <w:bookmarkStart w:id="74" w:name="_Toc424047611"/>
      <w:bookmarkStart w:id="75" w:name="_Toc446060789"/>
      <w:r w:rsidRPr="00C317D5">
        <w:t>8.3.1</w:t>
      </w:r>
      <w:r w:rsidRPr="00C317D5">
        <w:tab/>
      </w:r>
      <w:bookmarkEnd w:id="74"/>
      <w:bookmarkEnd w:id="75"/>
      <w:r w:rsidRPr="00C317D5">
        <w:t>Asistencia a las administraciones de los países en desarrollo</w:t>
      </w:r>
    </w:p>
    <w:p w14:paraId="4D558442" w14:textId="77777777" w:rsidR="00B27BCB" w:rsidRPr="00C317D5" w:rsidRDefault="00B27BCB" w:rsidP="00B27BCB">
      <w:pPr>
        <w:textAlignment w:val="auto"/>
      </w:pPr>
      <w:r w:rsidRPr="00C317D5">
        <w:t>La Oficina siguió prestando asistencia a las administraciones de los países en desarrollo a través de medidas tales como:</w:t>
      </w:r>
    </w:p>
    <w:p w14:paraId="64BFC824" w14:textId="77777777" w:rsidR="00B27BCB" w:rsidRPr="00C317D5" w:rsidRDefault="00B27BCB" w:rsidP="00B27BCB">
      <w:pPr>
        <w:pStyle w:val="enumlev1"/>
      </w:pPr>
      <w:r w:rsidRPr="00C317D5">
        <w:t>–</w:t>
      </w:r>
      <w:r w:rsidRPr="00C317D5">
        <w:tab/>
        <w:t xml:space="preserve">Apoyo a las actividades nacionales de gestión del espectro en un entorno reglamentario en rápida evolución (véase la Resolución </w:t>
      </w:r>
      <w:r w:rsidRPr="00C317D5">
        <w:rPr>
          <w:b/>
          <w:bCs/>
        </w:rPr>
        <w:t>7 (Rev.CMR-19)</w:t>
      </w:r>
      <w:r w:rsidRPr="00C317D5">
        <w:t xml:space="preserve">), así como de asistencia técnica en el campo de las radiocomunicaciones espaciales (Resolución </w:t>
      </w:r>
      <w:r w:rsidRPr="00C317D5">
        <w:rPr>
          <w:b/>
          <w:bCs/>
        </w:rPr>
        <w:t>15 (Rev.CMR-03)</w:t>
      </w:r>
      <w:r w:rsidRPr="00C317D5">
        <w:t>), ya sea en la sede de la UIT o en el terreno.</w:t>
      </w:r>
    </w:p>
    <w:p w14:paraId="2C6E0A0F" w14:textId="31C2A670" w:rsidR="00B27BCB" w:rsidRPr="00C317D5" w:rsidRDefault="00B27BCB" w:rsidP="00B27BCB">
      <w:pPr>
        <w:pStyle w:val="enumlev1"/>
      </w:pPr>
      <w:r w:rsidRPr="00C317D5">
        <w:t>–</w:t>
      </w:r>
      <w:r w:rsidRPr="00C317D5">
        <w:tab/>
        <w:t>Participación en las reuniones de los grupos de coordinación regional, como se estipula en el Artículo</w:t>
      </w:r>
      <w:r w:rsidR="00AA3D23" w:rsidRPr="00C317D5">
        <w:t> </w:t>
      </w:r>
      <w:r w:rsidRPr="00C317D5">
        <w:rPr>
          <w:b/>
          <w:bCs/>
        </w:rPr>
        <w:t>12</w:t>
      </w:r>
      <w:r w:rsidRPr="00C317D5">
        <w:t xml:space="preserve"> del Reglamento de Radiocomunicaciones.</w:t>
      </w:r>
    </w:p>
    <w:p w14:paraId="1484BA64" w14:textId="77777777" w:rsidR="00B27BCB" w:rsidRPr="00C317D5" w:rsidRDefault="00B27BCB" w:rsidP="00B27BCB">
      <w:pPr>
        <w:pStyle w:val="enumlev1"/>
      </w:pPr>
      <w:r w:rsidRPr="00C317D5">
        <w:t>–</w:t>
      </w:r>
      <w:r w:rsidRPr="00C317D5">
        <w:tab/>
        <w:t>Prestación de asistencia en relación con la hoja de ruta sobre el espectro a largo plazo para la banda ancha móvil y la asignación de frecuencias para la banda ancha móvil (IMT).</w:t>
      </w:r>
    </w:p>
    <w:p w14:paraId="733A4549" w14:textId="77777777" w:rsidR="00B27BCB" w:rsidRPr="00C317D5" w:rsidRDefault="00B27BCB" w:rsidP="00B27BCB">
      <w:pPr>
        <w:textAlignment w:val="auto"/>
      </w:pPr>
      <w:r w:rsidRPr="00C317D5">
        <w:t>A lo largo del año 2020 se finalizaron las prestaciones de asistencia directa que estaban en curso. No se han recibido nuevas solicitudes de asistencia directa.</w:t>
      </w:r>
    </w:p>
    <w:p w14:paraId="1D80F19D" w14:textId="77777777" w:rsidR="00B27BCB" w:rsidRPr="00C317D5" w:rsidRDefault="00B27BCB" w:rsidP="00B27BCB">
      <w:pPr>
        <w:pStyle w:val="Heading3"/>
      </w:pPr>
      <w:r w:rsidRPr="00C317D5">
        <w:t>8.3.2</w:t>
      </w:r>
      <w:r w:rsidRPr="00C317D5">
        <w:tab/>
        <w:t>Asistencia a los grupos regionales</w:t>
      </w:r>
    </w:p>
    <w:p w14:paraId="76C1E3AE" w14:textId="7040DC83" w:rsidR="00B27BCB" w:rsidRPr="00C317D5" w:rsidRDefault="00B27BCB" w:rsidP="00B27BCB">
      <w:pPr>
        <w:textAlignment w:val="auto"/>
      </w:pPr>
      <w:r w:rsidRPr="00C317D5">
        <w:t>La Oficina siguió participando en las reuniones de los grupos de coordinación regionales (por</w:t>
      </w:r>
      <w:r w:rsidR="006A4BA7" w:rsidRPr="00C317D5">
        <w:t> </w:t>
      </w:r>
      <w:r w:rsidRPr="00C317D5">
        <w:t>ejemplo, la HFCC) conforme a lo estipulado en el Artículo</w:t>
      </w:r>
      <w:r w:rsidR="00AA3D23" w:rsidRPr="00C317D5">
        <w:t> </w:t>
      </w:r>
      <w:r w:rsidRPr="00C317D5">
        <w:rPr>
          <w:b/>
          <w:bCs/>
        </w:rPr>
        <w:t>12</w:t>
      </w:r>
      <w:r w:rsidRPr="00C317D5">
        <w:t xml:space="preserve"> del Reglamento de Radiocomunicaciones, prestando la asistencia y la colaboración necesarias, como se indica a continuación.</w:t>
      </w:r>
    </w:p>
    <w:p w14:paraId="07488DA4" w14:textId="77777777" w:rsidR="00B27BCB" w:rsidRPr="00C317D5" w:rsidRDefault="00B27BCB" w:rsidP="00B27BCB">
      <w:pPr>
        <w:pStyle w:val="Heading4"/>
      </w:pPr>
      <w:bookmarkStart w:id="76" w:name="_Toc424047613"/>
      <w:r w:rsidRPr="00C317D5">
        <w:lastRenderedPageBreak/>
        <w:t>8.3.2.1</w:t>
      </w:r>
      <w:r w:rsidRPr="00C317D5">
        <w:tab/>
      </w:r>
      <w:bookmarkStart w:id="77" w:name="lt_pId1318"/>
      <w:r w:rsidRPr="00C317D5">
        <w:t>Asistencia a la UAT</w:t>
      </w:r>
      <w:bookmarkEnd w:id="76"/>
      <w:bookmarkEnd w:id="77"/>
    </w:p>
    <w:p w14:paraId="60A80B9C" w14:textId="298EDBCB" w:rsidR="00B27BCB" w:rsidRPr="00C317D5" w:rsidRDefault="00B27BCB" w:rsidP="00132252">
      <w:pPr>
        <w:textAlignment w:val="auto"/>
      </w:pPr>
      <w:bookmarkStart w:id="78" w:name="lt_pId1319"/>
      <w:r w:rsidRPr="00C317D5">
        <w:rPr>
          <w:b/>
          <w:bCs/>
        </w:rPr>
        <w:t>PRIDA</w:t>
      </w:r>
      <w:r w:rsidRPr="00C317D5">
        <w:t xml:space="preserve">: El proyecto de la Iniciativa de Política y Reglamentación para el África Digital (PRIDA) es una iniciativa conjunta de la Unión Africana, la Unión Europea y la UIT, en la que también participan comunidades económicas regionales, la UAT, asociaciones de reglamentación regionales, organismos reguladores nacionales y otros interesados. La BR, junto con la BDT, participa activamente en la iniciativa encaminada al «Aumento de la penetración de la banda ancha inalámbrica a través de la mejora y la armonización de la utilización del espectro y la reglamentación». </w:t>
      </w:r>
      <w:r w:rsidR="00132252" w:rsidRPr="00C317D5">
        <w:t>La B</w:t>
      </w:r>
      <w:r w:rsidR="006C1A8F" w:rsidRPr="00C317D5">
        <w:t xml:space="preserve">R </w:t>
      </w:r>
      <w:r w:rsidR="00132252" w:rsidRPr="00C317D5">
        <w:t>participó en la reunión del Comité Técnico del Proyecto PRIDA celebrada en junio de 2022, donde se aprobaron tres sesiones de formación propuestas por la BR (comprobación técnica del espectro, servicios aeronáuticos y servicios marítimos), que se organizarán este año en cooperación con la BR, la OACI y la OMI</w:t>
      </w:r>
      <w:bookmarkEnd w:id="78"/>
      <w:r w:rsidRPr="00C317D5">
        <w:t>.</w:t>
      </w:r>
    </w:p>
    <w:p w14:paraId="29D24161" w14:textId="77777777" w:rsidR="00B27BCB" w:rsidRPr="00C317D5" w:rsidRDefault="00B27BCB" w:rsidP="00A928FF">
      <w:pPr>
        <w:pStyle w:val="Heading2"/>
      </w:pPr>
      <w:bookmarkStart w:id="79" w:name="_Toc418163382"/>
      <w:bookmarkStart w:id="80" w:name="_Toc418232300"/>
      <w:bookmarkStart w:id="81" w:name="_Toc424047620"/>
      <w:bookmarkStart w:id="82" w:name="_Toc446060792"/>
      <w:r w:rsidRPr="00C317D5">
        <w:t>8.4</w:t>
      </w:r>
      <w:r w:rsidRPr="00C317D5">
        <w:tab/>
      </w:r>
      <w:bookmarkStart w:id="83" w:name="lt_pId1333"/>
      <w:r w:rsidRPr="00C317D5">
        <w:t>Asociaciones estratégicas, incluida la cooperación intersectorial</w:t>
      </w:r>
      <w:bookmarkEnd w:id="79"/>
      <w:bookmarkEnd w:id="80"/>
      <w:bookmarkEnd w:id="81"/>
      <w:bookmarkEnd w:id="82"/>
      <w:bookmarkEnd w:id="83"/>
    </w:p>
    <w:p w14:paraId="12F7DA41" w14:textId="77777777" w:rsidR="00B27BCB" w:rsidRPr="00C317D5" w:rsidRDefault="00B27BCB" w:rsidP="00B27BCB">
      <w:pPr>
        <w:pStyle w:val="Heading3"/>
      </w:pPr>
      <w:bookmarkStart w:id="84" w:name="_Toc427230145"/>
      <w:bookmarkStart w:id="85" w:name="_Toc427158785"/>
      <w:bookmarkStart w:id="86" w:name="_Toc427046906"/>
      <w:bookmarkStart w:id="87" w:name="_Toc20478083"/>
      <w:r w:rsidRPr="00C317D5">
        <w:t>8.4.1</w:t>
      </w:r>
      <w:r w:rsidRPr="00C317D5">
        <w:tab/>
        <w:t>Cooperación con el UIT-D</w:t>
      </w:r>
      <w:bookmarkEnd w:id="84"/>
      <w:bookmarkEnd w:id="85"/>
      <w:bookmarkEnd w:id="86"/>
      <w:bookmarkEnd w:id="87"/>
    </w:p>
    <w:p w14:paraId="497C9874" w14:textId="6DEE7E66" w:rsidR="00B27BCB" w:rsidRPr="00C317D5" w:rsidRDefault="00B27BCB" w:rsidP="00B27BCB">
      <w:pPr>
        <w:textAlignment w:val="auto"/>
      </w:pPr>
      <w:r w:rsidRPr="00C317D5">
        <w:t>La Oficina de Radiocomunicaciones mantiene una estrecha colaboración con la BDT en asuntos de interés común al</w:t>
      </w:r>
      <w:r w:rsidR="00DE5307" w:rsidRPr="00C317D5">
        <w:t xml:space="preserve"> </w:t>
      </w:r>
      <w:r w:rsidRPr="00C317D5">
        <w:t>UIT-R y el</w:t>
      </w:r>
      <w:r w:rsidR="00DE5307" w:rsidRPr="00C317D5">
        <w:t xml:space="preserve"> </w:t>
      </w:r>
      <w:r w:rsidRPr="00C317D5">
        <w:t>UIT</w:t>
      </w:r>
      <w:r w:rsidRPr="00C317D5">
        <w:noBreakHyphen/>
        <w:t>D. Además, la BR ha participado en las reuniones pertinentes de las Comisiones de Estudio del UIT-D, los Grupos de Relator y el GADT, donde las actividades de coordinación han incluido temas como la gestión del espectro, la radiodifusión digital y la migración de los sistemas analógicos, la transición a las IMT y su implantación, y las tecnologías de acceso inalámbrico de banda ancha.</w:t>
      </w:r>
    </w:p>
    <w:p w14:paraId="4BF16465" w14:textId="77777777" w:rsidR="00B27BCB" w:rsidRPr="00C317D5" w:rsidRDefault="00B27BCB" w:rsidP="00B27BCB">
      <w:pPr>
        <w:pStyle w:val="Heading4"/>
      </w:pPr>
      <w:bookmarkStart w:id="88" w:name="_Toc427230146"/>
      <w:bookmarkStart w:id="89" w:name="_Toc427158786"/>
      <w:bookmarkStart w:id="90" w:name="_Toc427046907"/>
      <w:bookmarkStart w:id="91" w:name="_Toc20478084"/>
      <w:r w:rsidRPr="00C317D5">
        <w:t>8.4.1.1</w:t>
      </w:r>
      <w:r w:rsidRPr="00C317D5">
        <w:tab/>
        <w:t>Simposio Mundial para Organismos Reguladores</w:t>
      </w:r>
      <w:bookmarkEnd w:id="88"/>
      <w:bookmarkEnd w:id="89"/>
      <w:bookmarkEnd w:id="90"/>
      <w:bookmarkEnd w:id="91"/>
      <w:r w:rsidRPr="00C317D5">
        <w:t xml:space="preserve"> (GSR)</w:t>
      </w:r>
    </w:p>
    <w:p w14:paraId="4D48F8A5" w14:textId="430E151D" w:rsidR="00334CC9" w:rsidRPr="00C317D5" w:rsidRDefault="00A77573" w:rsidP="00B27BCB">
      <w:r w:rsidRPr="00C317D5">
        <w:t>No se celebró e</w:t>
      </w:r>
      <w:r w:rsidR="00B27BCB" w:rsidRPr="00C317D5">
        <w:t xml:space="preserve">l Simposio Mundial para Organismos Reguladores de la UIT </w:t>
      </w:r>
      <w:r w:rsidRPr="00C317D5">
        <w:t>en 2022.</w:t>
      </w:r>
    </w:p>
    <w:p w14:paraId="0F17E2B2" w14:textId="77777777" w:rsidR="00B27BCB" w:rsidRPr="00C317D5" w:rsidRDefault="00B27BCB" w:rsidP="00B27BCB">
      <w:pPr>
        <w:pStyle w:val="Heading4"/>
      </w:pPr>
      <w:bookmarkStart w:id="92" w:name="_Toc424047623"/>
      <w:r w:rsidRPr="00C317D5">
        <w:t>8.4.1.2</w:t>
      </w:r>
      <w:bookmarkStart w:id="93" w:name="lt_pId1359"/>
      <w:r w:rsidRPr="00C317D5">
        <w:tab/>
      </w:r>
      <w:bookmarkEnd w:id="92"/>
      <w:bookmarkEnd w:id="93"/>
      <w:r w:rsidRPr="00C317D5">
        <w:t>Simposio Mundial sobre Indicadores de Telecomunicaciones/TIC</w:t>
      </w:r>
    </w:p>
    <w:p w14:paraId="22606D54" w14:textId="6DCD77FB" w:rsidR="00B27BCB" w:rsidRPr="00C317D5" w:rsidRDefault="00B27BCB" w:rsidP="00B27BCB">
      <w:pPr>
        <w:textAlignment w:val="auto"/>
      </w:pPr>
      <w:r w:rsidRPr="00C317D5">
        <w:t>El SMIT no se celebró en 202</w:t>
      </w:r>
      <w:r w:rsidR="00132252" w:rsidRPr="00C317D5">
        <w:t>2</w:t>
      </w:r>
      <w:r w:rsidRPr="00C317D5">
        <w:t>.</w:t>
      </w:r>
    </w:p>
    <w:p w14:paraId="7A7891B5" w14:textId="2D427F03" w:rsidR="00B27BCB" w:rsidRPr="00C317D5" w:rsidRDefault="00B27BCB" w:rsidP="00B27BCB">
      <w:pPr>
        <w:pStyle w:val="Heading4"/>
      </w:pPr>
      <w:bookmarkStart w:id="94" w:name="_Hlk98358105"/>
      <w:bookmarkStart w:id="95" w:name="_Toc20478086"/>
      <w:r w:rsidRPr="00C317D5">
        <w:t>8.4.1.</w:t>
      </w:r>
      <w:r w:rsidR="00132252" w:rsidRPr="00C317D5">
        <w:t>3</w:t>
      </w:r>
      <w:r w:rsidRPr="00C317D5">
        <w:tab/>
        <w:t xml:space="preserve">Programa </w:t>
      </w:r>
      <w:bookmarkEnd w:id="94"/>
      <w:r w:rsidRPr="00C317D5">
        <w:t>de capacitación en gestión del espectro</w:t>
      </w:r>
      <w:bookmarkEnd w:id="95"/>
    </w:p>
    <w:p w14:paraId="7E7AC8D5" w14:textId="77777777" w:rsidR="00B27BCB" w:rsidRPr="00C317D5" w:rsidRDefault="00B27BCB" w:rsidP="00B27BCB">
      <w:r w:rsidRPr="00C317D5">
        <w:t>La BR ha participado activamente desde 2013 en un proyecto conjunto con la BDT para la elaboración del Programa de capacitación en gestión del espectro (SMTP), en sus distintas fases: diseño, preparación del material, revisión por expertos y prueba piloto. A lo largo de los años, se han realizado varias actualizaciones y la BR ha revisado periódicamente el material del SMTP. Recientemente, se han realizado actualizaciones para incluir los resultados de la CMR-19 y la AR</w:t>
      </w:r>
      <w:r w:rsidRPr="00C317D5">
        <w:noBreakHyphen/>
        <w:t>19.</w:t>
      </w:r>
    </w:p>
    <w:p w14:paraId="47778BCA" w14:textId="34615B08" w:rsidR="00B27BCB" w:rsidRPr="00C317D5" w:rsidRDefault="00B27BCB" w:rsidP="00B27BCB">
      <w:bookmarkStart w:id="96" w:name="_Toc418163383"/>
      <w:bookmarkStart w:id="97" w:name="_Toc418232301"/>
      <w:bookmarkStart w:id="98" w:name="_Toc424047626"/>
      <w:bookmarkStart w:id="99" w:name="_Toc446060795"/>
      <w:r w:rsidRPr="00C317D5">
        <w:t>Teniendo en cuenta los recursos necesarios para mantener/actualizar esta herramienta y la importancia que tiene para muchas administraciones, actualmente se está debatiendo en la BDT si el SMTP podría mejorarse o migrar a una herramienta diferente.</w:t>
      </w:r>
    </w:p>
    <w:p w14:paraId="44CD13FC" w14:textId="77777777" w:rsidR="00B27BCB" w:rsidRPr="00C317D5" w:rsidRDefault="00B27BCB" w:rsidP="00B27BCB">
      <w:pPr>
        <w:pStyle w:val="Heading2"/>
      </w:pPr>
      <w:bookmarkStart w:id="100" w:name="_Toc446060796"/>
      <w:bookmarkEnd w:id="96"/>
      <w:bookmarkEnd w:id="97"/>
      <w:bookmarkEnd w:id="98"/>
      <w:bookmarkEnd w:id="99"/>
      <w:r w:rsidRPr="00C317D5">
        <w:t>8.5</w:t>
      </w:r>
      <w:r w:rsidRPr="00C317D5">
        <w:tab/>
      </w:r>
      <w:bookmarkEnd w:id="100"/>
      <w:r w:rsidRPr="00C317D5">
        <w:t>Miembros</w:t>
      </w:r>
    </w:p>
    <w:p w14:paraId="0A84769A" w14:textId="7A7C0AF8" w:rsidR="00B27BCB" w:rsidRPr="00C317D5" w:rsidRDefault="00B27BCB" w:rsidP="00B27BCB">
      <w:pPr>
        <w:pStyle w:val="Heading3"/>
      </w:pPr>
      <w:r w:rsidRPr="00C317D5">
        <w:t>8.5.1</w:t>
      </w:r>
      <w:r w:rsidRPr="00C317D5">
        <w:tab/>
        <w:t>Miembros de la UIT</w:t>
      </w:r>
    </w:p>
    <w:p w14:paraId="16C6B36F" w14:textId="7F4C758C" w:rsidR="00B27BCB" w:rsidRPr="00C317D5" w:rsidRDefault="00B27BCB" w:rsidP="00B27BCB">
      <w:pPr>
        <w:textAlignment w:val="auto"/>
      </w:pPr>
      <w:bookmarkStart w:id="101" w:name="lt_pId1391"/>
      <w:r w:rsidRPr="00C317D5">
        <w:t>Los Cuadros 8.5.1-1 a 8.5.1-3 muestran la proporción de Miembros por Sector y Región, junto con sus contribuciones en 202</w:t>
      </w:r>
      <w:r w:rsidR="00132252" w:rsidRPr="00C317D5">
        <w:t>2</w:t>
      </w:r>
      <w:r w:rsidRPr="00C317D5">
        <w:t>, y la evolución del número de Miembros de Sector, Asociados e Instituciones Académicas del UIT-R durante el periodo comprendido entre 201</w:t>
      </w:r>
      <w:r w:rsidR="00132252" w:rsidRPr="00C317D5">
        <w:t>8</w:t>
      </w:r>
      <w:r w:rsidRPr="00C317D5">
        <w:t xml:space="preserve"> y 202</w:t>
      </w:r>
      <w:r w:rsidR="00132252" w:rsidRPr="00C317D5">
        <w:t>2</w:t>
      </w:r>
      <w:r w:rsidRPr="00C317D5">
        <w:t>.</w:t>
      </w:r>
      <w:bookmarkEnd w:id="101"/>
    </w:p>
    <w:bookmarkStart w:id="102" w:name="lt_pId1392"/>
    <w:p w14:paraId="5FDE79B8" w14:textId="4BFF60E1" w:rsidR="00B27BCB" w:rsidRPr="00C317D5" w:rsidRDefault="00734369" w:rsidP="00985024">
      <w:pPr>
        <w:pStyle w:val="TableNoBR"/>
        <w:spacing w:after="360"/>
      </w:pPr>
      <w:r w:rsidRPr="00C317D5">
        <w:rPr>
          <w:noProof/>
          <w:lang w:eastAsia="es-ES"/>
        </w:rPr>
        <w:lastRenderedPageBreak/>
        <mc:AlternateContent>
          <mc:Choice Requires="wps">
            <w:drawing>
              <wp:anchor distT="0" distB="0" distL="114300" distR="114300" simplePos="0" relativeHeight="251661312" behindDoc="0" locked="0" layoutInCell="1" allowOverlap="1" wp14:anchorId="5CAFF342" wp14:editId="51CC1912">
                <wp:simplePos x="0" y="0"/>
                <wp:positionH relativeFrom="margin">
                  <wp:posOffset>1881206</wp:posOffset>
                </wp:positionH>
                <wp:positionV relativeFrom="paragraph">
                  <wp:posOffset>302955</wp:posOffset>
                </wp:positionV>
                <wp:extent cx="2757830" cy="811033"/>
                <wp:effectExtent l="0" t="0" r="4445"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7830" cy="811033"/>
                        </a:xfrm>
                        <a:prstGeom prst="rect">
                          <a:avLst/>
                        </a:prstGeom>
                        <a:solidFill>
                          <a:schemeClr val="lt1"/>
                        </a:solidFill>
                        <a:ln w="6350">
                          <a:noFill/>
                        </a:ln>
                      </wps:spPr>
                      <wps:txbx>
                        <w:txbxContent>
                          <w:p w14:paraId="344D074B" w14:textId="77777777" w:rsidR="00CF38BD" w:rsidRDefault="00CF38BD" w:rsidP="00734369">
                            <w:pPr>
                              <w:spacing w:before="0" w:line="276" w:lineRule="auto"/>
                              <w:jc w:val="center"/>
                              <w:rPr>
                                <w:b/>
                                <w:bCs/>
                                <w:sz w:val="18"/>
                                <w:szCs w:val="18"/>
                                <w:lang w:val="fr-CH"/>
                              </w:rPr>
                            </w:pPr>
                            <w:r>
                              <w:rPr>
                                <w:b/>
                                <w:bCs/>
                                <w:sz w:val="18"/>
                                <w:szCs w:val="18"/>
                                <w:lang w:val="fr-CH"/>
                              </w:rPr>
                              <w:t>Miembros por Sector y Región</w:t>
                            </w:r>
                            <w:r>
                              <w:rPr>
                                <w:b/>
                                <w:bCs/>
                                <w:sz w:val="18"/>
                                <w:szCs w:val="18"/>
                                <w:lang w:val="fr-CH"/>
                              </w:rPr>
                              <w:br/>
                              <w:t>2022</w:t>
                            </w:r>
                          </w:p>
                          <w:p w14:paraId="0A1DA66F" w14:textId="77777777" w:rsidR="00CF38BD" w:rsidRDefault="00CF38BD" w:rsidP="00734369">
                            <w:pPr>
                              <w:spacing w:before="0" w:line="276" w:lineRule="auto"/>
                              <w:jc w:val="center"/>
                              <w:rPr>
                                <w:sz w:val="18"/>
                                <w:szCs w:val="18"/>
                                <w:lang w:val="fr-CH"/>
                              </w:rPr>
                            </w:pPr>
                            <w:r>
                              <w:rPr>
                                <w:sz w:val="18"/>
                                <w:szCs w:val="18"/>
                                <w:lang w:val="fr-CH"/>
                              </w:rPr>
                              <w:t>(por Región y Oficina Regional de la BDT)</w:t>
                            </w:r>
                          </w:p>
                          <w:p w14:paraId="2E86B02A" w14:textId="77777777" w:rsidR="00CF38BD" w:rsidRDefault="00CF38BD" w:rsidP="00734369">
                            <w:pPr>
                              <w:spacing w:line="276" w:lineRule="auto"/>
                              <w:jc w:val="center"/>
                              <w:rPr>
                                <w:sz w:val="18"/>
                                <w:szCs w:val="18"/>
                                <w:lang w:val="fr-CH"/>
                              </w:rPr>
                            </w:pPr>
                            <w:r>
                              <w:rPr>
                                <w:color w:val="FF0000"/>
                                <w:sz w:val="18"/>
                                <w:szCs w:val="18"/>
                                <w:lang w:val="fr-CH"/>
                              </w:rPr>
                              <w:t>Datos relativos a los miembros al 31 de diciembre 2022</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FF342" id="_x0000_t202" coordsize="21600,21600" o:spt="202" path="m,l,21600r21600,l21600,xe">
                <v:stroke joinstyle="miter"/>
                <v:path gradientshapeok="t" o:connecttype="rect"/>
              </v:shapetype>
              <v:shape id="Text Box 3" o:spid="_x0000_s1026" type="#_x0000_t202" style="position:absolute;left:0;text-align:left;margin-left:148.15pt;margin-top:23.85pt;width:217.15pt;height:63.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8zSgIAAIoEAAAOAAAAZHJzL2Uyb0RvYy54bWysVE2P2yAQvVfqf0DcG9v52E2tOKs0q1SV&#10;ot2VkmrPBOMEFTMUSOz013fA+Wp6q3rBDPOY4c2b8eSprRU5COsk6IJmvZQSoTmUUm8L+n29+DSm&#10;xHmmS6ZAi4IehaNP048fJo3JRR92oEphCQbRLm9MQXfemzxJHN+JmrkeGKHRWYGtmUfTbpPSsgaj&#10;1yrpp+lD0oAtjQUunMPT585JpzF+VQnuX6vKCU9UQfFtPq42rpuwJtMJy7eWmZ3kp2ewf3hFzaTG&#10;pJdQz8wzsrfyr1C15BYcVL7HoU6gqiQXkQOyydI7NqsdMyJyweI4cymT+39h+cvhzRJZFnRAiWY1&#10;SrQWrSdfoCWDUJ3GuBxBK4Mw3+IxqhyZOrME/sMhJLnBdBccokM12srW4Ys8CV5EAY6XoocsHA/7&#10;j6PH8QBdHH3jLEsHMW9yvW2s818F1CRsCmpR1PgCdlg6H/Kz/AwJyRwoWS6kUtEIjSTmypIDwxZQ&#10;Pguk8MYfKKVJU9CHwSiNgTWE6x1O6RPBjlOg6ttNi86w3UB5xMJY6BrLGb6Q+Mglc/6NWewk5IXT&#10;4V9xqRRgEq6koWQH9tf9WcChsOihpMGOLKj7uWdWUKK+aZT8czYcYjgfjeHosY+GvfVsbj16X88B&#10;GWc4f4bHbcB7dd5WFup3HJ5ZyIoupjnmLqg/b+e+mxMcPi5mswjCpjXML/XK8HMfhNKv23dmzUkf&#10;j8q+wLl3WX4nU4cN2miY7T1UMmp4reap3tjwUajTcIaJurUj6voLmf4GAAD//wMAUEsDBBQABgAI&#10;AAAAIQDBY6S44QAAAAoBAAAPAAAAZHJzL2Rvd25yZXYueG1sTI9NT4NAEIbvJv6HzZh4MXaxtKDI&#10;0hjjR+LN0mq8bdkRiOwsYbeA/97xpMfJ++R9n8k3s+3EiINvHSm4WkQgkCpnWqoV7MrHy2sQPmgy&#10;unOECr7Rw6Y4Pcl1ZtxErzhuQy24hHymFTQh9JmUvmrQar9wPRJnn26wOvA51NIMeuJy28llFCXS&#10;6pZ4odE93jdYfW2PVsHHRf3+4uen/RSv4/7heSzTN1MqdX42392CCDiHPxh+9VkdCnY6uCMZLzoF&#10;y5skZlTBKk1BMJDGUQLiwGS6XoEscvn/heIHAAD//wMAUEsBAi0AFAAGAAgAAAAhALaDOJL+AAAA&#10;4QEAABMAAAAAAAAAAAAAAAAAAAAAAFtDb250ZW50X1R5cGVzXS54bWxQSwECLQAUAAYACAAAACEA&#10;OP0h/9YAAACUAQAACwAAAAAAAAAAAAAAAAAvAQAAX3JlbHMvLnJlbHNQSwECLQAUAAYACAAAACEA&#10;VVYfM0oCAACKBAAADgAAAAAAAAAAAAAAAAAuAgAAZHJzL2Uyb0RvYy54bWxQSwECLQAUAAYACAAA&#10;ACEAwWOkuOEAAAAKAQAADwAAAAAAAAAAAAAAAACkBAAAZHJzL2Rvd25yZXYueG1sUEsFBgAAAAAE&#10;AAQA8wAAALIFAAAAAA==&#10;" fillcolor="white [3201]" stroked="f" strokeweight=".5pt">
                <v:textbox>
                  <w:txbxContent>
                    <w:p w14:paraId="344D074B" w14:textId="77777777" w:rsidR="00CF38BD" w:rsidRDefault="00CF38BD" w:rsidP="00734369">
                      <w:pPr>
                        <w:spacing w:before="0" w:line="276" w:lineRule="auto"/>
                        <w:jc w:val="center"/>
                        <w:rPr>
                          <w:b/>
                          <w:bCs/>
                          <w:sz w:val="18"/>
                          <w:szCs w:val="18"/>
                          <w:lang w:val="fr-CH"/>
                        </w:rPr>
                      </w:pPr>
                      <w:r>
                        <w:rPr>
                          <w:b/>
                          <w:bCs/>
                          <w:sz w:val="18"/>
                          <w:szCs w:val="18"/>
                          <w:lang w:val="fr-CH"/>
                        </w:rPr>
                        <w:t>Miembros por Sector y Región</w:t>
                      </w:r>
                      <w:r>
                        <w:rPr>
                          <w:b/>
                          <w:bCs/>
                          <w:sz w:val="18"/>
                          <w:szCs w:val="18"/>
                          <w:lang w:val="fr-CH"/>
                        </w:rPr>
                        <w:br/>
                        <w:t>2022</w:t>
                      </w:r>
                    </w:p>
                    <w:p w14:paraId="0A1DA66F" w14:textId="77777777" w:rsidR="00CF38BD" w:rsidRDefault="00CF38BD" w:rsidP="00734369">
                      <w:pPr>
                        <w:spacing w:before="0" w:line="276" w:lineRule="auto"/>
                        <w:jc w:val="center"/>
                        <w:rPr>
                          <w:sz w:val="18"/>
                          <w:szCs w:val="18"/>
                          <w:lang w:val="fr-CH"/>
                        </w:rPr>
                      </w:pPr>
                      <w:r>
                        <w:rPr>
                          <w:sz w:val="18"/>
                          <w:szCs w:val="18"/>
                          <w:lang w:val="fr-CH"/>
                        </w:rPr>
                        <w:t>(por Región y Oficina Regional de la BDT)</w:t>
                      </w:r>
                    </w:p>
                    <w:p w14:paraId="2E86B02A" w14:textId="77777777" w:rsidR="00CF38BD" w:rsidRDefault="00CF38BD" w:rsidP="00734369">
                      <w:pPr>
                        <w:spacing w:line="276" w:lineRule="auto"/>
                        <w:jc w:val="center"/>
                        <w:rPr>
                          <w:sz w:val="18"/>
                          <w:szCs w:val="18"/>
                          <w:lang w:val="fr-CH"/>
                        </w:rPr>
                      </w:pPr>
                      <w:r>
                        <w:rPr>
                          <w:color w:val="FF0000"/>
                          <w:sz w:val="18"/>
                          <w:szCs w:val="18"/>
                          <w:lang w:val="fr-CH"/>
                        </w:rPr>
                        <w:t>Datos relativos a los miembros al 31 de diciembre 2022</w:t>
                      </w:r>
                    </w:p>
                  </w:txbxContent>
                </v:textbox>
                <w10:wrap anchorx="margin"/>
              </v:shape>
            </w:pict>
          </mc:Fallback>
        </mc:AlternateContent>
      </w:r>
      <w:r w:rsidR="00B27BCB" w:rsidRPr="00C317D5">
        <w:t>Cuadro 8.5.1-1</w:t>
      </w:r>
      <w:bookmarkEnd w:id="102"/>
    </w:p>
    <w:p w14:paraId="52E956B3" w14:textId="5D0FDAA4" w:rsidR="00734369" w:rsidRPr="00C317D5" w:rsidRDefault="00985024" w:rsidP="00985024">
      <w:pPr>
        <w:pStyle w:val="Figure"/>
        <w:keepNext w:val="0"/>
        <w:keepLines w:val="0"/>
      </w:pPr>
      <w:r w:rsidRPr="00C317D5">
        <w:rPr>
          <w:noProof/>
          <w:lang w:eastAsia="es-ES"/>
        </w:rPr>
        <mc:AlternateContent>
          <mc:Choice Requires="wps">
            <w:drawing>
              <wp:anchor distT="0" distB="0" distL="114300" distR="114300" simplePos="0" relativeHeight="251667456" behindDoc="0" locked="0" layoutInCell="1" allowOverlap="1" wp14:anchorId="4CCA2EEF" wp14:editId="5D50DA90">
                <wp:simplePos x="0" y="0"/>
                <wp:positionH relativeFrom="column">
                  <wp:posOffset>3062605</wp:posOffset>
                </wp:positionH>
                <wp:positionV relativeFrom="paragraph">
                  <wp:posOffset>1791767</wp:posOffset>
                </wp:positionV>
                <wp:extent cx="1112350" cy="156522"/>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350" cy="156522"/>
                        </a:xfrm>
                        <a:prstGeom prst="rect">
                          <a:avLst/>
                        </a:prstGeom>
                        <a:solidFill>
                          <a:schemeClr val="lt1"/>
                        </a:solidFill>
                        <a:ln w="6350">
                          <a:noFill/>
                        </a:ln>
                      </wps:spPr>
                      <wps:txbx>
                        <w:txbxContent>
                          <w:p w14:paraId="0ECEC1CB" w14:textId="2A17A798" w:rsidR="00CF38BD" w:rsidRPr="005675F9" w:rsidRDefault="00CF38BD" w:rsidP="00734369">
                            <w:pPr>
                              <w:spacing w:before="100" w:beforeAutospacing="1"/>
                              <w:rPr>
                                <w:sz w:val="14"/>
                                <w:szCs w:val="14"/>
                                <w:lang w:val="fr-CH"/>
                              </w:rPr>
                            </w:pPr>
                            <w:r w:rsidRPr="005675F9">
                              <w:rPr>
                                <w:sz w:val="14"/>
                                <w:szCs w:val="14"/>
                                <w:lang w:val="fr-CH"/>
                              </w:rPr>
                              <w:t>Número de miembros</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A2EEF" id="Text Box 18" o:spid="_x0000_s1027" type="#_x0000_t202" style="position:absolute;left:0;text-align:left;margin-left:241.15pt;margin-top:141.1pt;width:87.6pt;height:1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NssPgIAAIMEAAAOAAAAZHJzL2Uyb0RvYy54bWysVF1r2zAUfR/sPwi9L44zWkaIU7KWjkFo&#10;C03psyLLjZisq0lK7OzX70iO2y57G3tRrqVzv865N4urvjXsoHzQZCteTqacKSup1val4k+b209f&#10;OAtR2FoYsqriRxX41fLjh0Xn5mpGOzK18gxBbJh3ruK7GN28KILcqVaECTll8diQb0XEp38pai86&#10;RG9NMZtOL4uOfO08SRUCbm+GR77M8ZtGyXjfNEFFZiqO2mI+fT636SyWCzF/8cLttDyVIf6hilZo&#10;i6SvoW5EFGzv9V+hWi09BWriRFJbUNNoqXIP6KacnnXzuBNO5V5ATnCvNIX/F1beHR480zW0g1JW&#10;tNBoo/rIvlLPcAV+OhfmgD06AGOPe2Bzr8GtSf4IgBTvMINDADrx0Te+Tb/olMEREhxfaU9pZIpW&#10;lrPPF3iSeCsvLi9ms5S3ePN2PsRvilqWjIp7yJorEId1iAN0hKRkgYyub7Ux+SONkro2nh0EhsDE&#10;8hT8D5SxrKv4ZSojOVlK7kNkY08NDj2lVmO/7QfSRoK2VB/Bj6dhwoKTtxq1rkWID8JjpNAe1iTe&#10;42gMIZc02nG2I//r/C7hoDBeOOswmhUPP/fCK87MdwvtESqOhh+N7WjYfXtNaLTE4jmZTTj4aEaz&#10;8dQ+Y2tWKQuehJXIVfE4mtdxWBBsnVSrVQZhWp2Ia/vo5Ch/YnzTPwvvTrJECHpH49CK+Zk6A3Zg&#10;d7WP1OgsXeJzYO9EMyY9i3/ayrRK778z6u2/Y/kbAAD//wMAUEsDBBQABgAIAAAAIQAC2RG44wAA&#10;AAsBAAAPAAAAZHJzL2Rvd25yZXYueG1sTI/BTsMwEETvSPyDtUhcEHVw2zQK2VSAxAGJClFQz25s&#10;4lB7HWK3Tfl6zAmOq3maeVstR2fZQQ+h84RwM8mAaWq86qhFeH97vC6AhShJSetJI5x0gGV9flbJ&#10;UvkjverDOrYslVAoJYKJsS85D43RToaJ7zWl7MMPTsZ0Di1Xgzymcme5yLKcO9lRWjCy1w9GN7v1&#10;3iEUp9nqapMvNp/25enefLdf9LyTiJcX490tsKjH+AfDr35Shzo5bf2eVGAWYVaIaUIRRCEEsETk&#10;88Uc2BZhmuUF8Lri/3+ofwAAAP//AwBQSwECLQAUAAYACAAAACEAtoM4kv4AAADhAQAAEwAAAAAA&#10;AAAAAAAAAAAAAAAAW0NvbnRlbnRfVHlwZXNdLnhtbFBLAQItABQABgAIAAAAIQA4/SH/1gAAAJQB&#10;AAALAAAAAAAAAAAAAAAAAC8BAABfcmVscy8ucmVsc1BLAQItABQABgAIAAAAIQCLANssPgIAAIME&#10;AAAOAAAAAAAAAAAAAAAAAC4CAABkcnMvZTJvRG9jLnhtbFBLAQItABQABgAIAAAAIQAC2RG44wAA&#10;AAsBAAAPAAAAAAAAAAAAAAAAAJgEAABkcnMvZG93bnJldi54bWxQSwUGAAAAAAQABADzAAAAqAUA&#10;AAAA&#10;" fillcolor="white [3201]" stroked="f" strokeweight=".5pt">
                <v:textbox inset="0,0,0,0">
                  <w:txbxContent>
                    <w:p w14:paraId="0ECEC1CB" w14:textId="2A17A798" w:rsidR="00CF38BD" w:rsidRPr="005675F9" w:rsidRDefault="00CF38BD" w:rsidP="00734369">
                      <w:pPr>
                        <w:spacing w:before="100" w:beforeAutospacing="1"/>
                        <w:rPr>
                          <w:sz w:val="14"/>
                          <w:szCs w:val="14"/>
                          <w:lang w:val="fr-CH"/>
                        </w:rPr>
                      </w:pPr>
                      <w:r w:rsidRPr="005675F9">
                        <w:rPr>
                          <w:sz w:val="14"/>
                          <w:szCs w:val="14"/>
                          <w:lang w:val="fr-CH"/>
                        </w:rPr>
                        <w:t>Número de miembros</w:t>
                      </w:r>
                    </w:p>
                  </w:txbxContent>
                </v:textbox>
              </v:shape>
            </w:pict>
          </mc:Fallback>
        </mc:AlternateContent>
      </w:r>
      <w:r w:rsidRPr="00C317D5">
        <w:rPr>
          <w:noProof/>
          <w:lang w:eastAsia="es-ES"/>
        </w:rPr>
        <mc:AlternateContent>
          <mc:Choice Requires="wps">
            <w:drawing>
              <wp:anchor distT="0" distB="0" distL="114300" distR="114300" simplePos="0" relativeHeight="251663360" behindDoc="0" locked="0" layoutInCell="1" allowOverlap="1" wp14:anchorId="29024A95" wp14:editId="254F2378">
                <wp:simplePos x="0" y="0"/>
                <wp:positionH relativeFrom="column">
                  <wp:posOffset>2110740</wp:posOffset>
                </wp:positionH>
                <wp:positionV relativeFrom="paragraph">
                  <wp:posOffset>1933143</wp:posOffset>
                </wp:positionV>
                <wp:extent cx="885140" cy="17556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140" cy="175565"/>
                        </a:xfrm>
                        <a:prstGeom prst="rect">
                          <a:avLst/>
                        </a:prstGeom>
                        <a:solidFill>
                          <a:schemeClr val="lt1"/>
                        </a:solidFill>
                        <a:ln w="6350">
                          <a:noFill/>
                        </a:ln>
                      </wps:spPr>
                      <wps:txbx>
                        <w:txbxContent>
                          <w:p w14:paraId="2F99C10F" w14:textId="77777777" w:rsidR="00CF38BD" w:rsidRDefault="00CF38BD" w:rsidP="00734369">
                            <w:pPr>
                              <w:spacing w:before="0"/>
                              <w:rPr>
                                <w:sz w:val="12"/>
                                <w:szCs w:val="12"/>
                                <w:lang w:val="fr-CH"/>
                              </w:rPr>
                            </w:pPr>
                            <w:r>
                              <w:rPr>
                                <w:sz w:val="12"/>
                                <w:szCs w:val="12"/>
                                <w:lang w:val="fr-CH"/>
                              </w:rPr>
                              <w:t>Instituciones Académicas*</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24A95" id="Text Box 17" o:spid="_x0000_s1028" type="#_x0000_t202" style="position:absolute;left:0;text-align:left;margin-left:166.2pt;margin-top:152.2pt;width:69.7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3FQwIAAIIEAAAOAAAAZHJzL2Uyb0RvYy54bWysVMFu2zAMvQ/YPwi6r066JQ2COkWWosOA&#10;oC3QFj0rstwIk0VNUmJnX78nOW677DbsIlPiEym+R/ryqmsM2ysfNNmSj89GnCkrqdL2peRPjzef&#10;ZpyFKGwlDFlV8oMK/Grx8cNl6+bqnLZkKuUZgtgwb13JtzG6eVEEuVWNCGfklIWzJt+IiK1/KSov&#10;WkRvTHE+Gk2LlnzlPEkVAk6veydf5Ph1rWS8q+ugIjMlx9tiXn1eN2ktFpdi/uKF22p5fIb4h1c0&#10;QlskfQ11LaJgO6//CtVo6SlQHc8kNQXVtZYq14BqxqOTah62wqlcC8gJ7pWm8P/Cytv9vWe6gnYX&#10;nFnRQKNH1UX2lTqGI/DTujAH7MEBGDucA5trDW5N8kcApHiH6S8EoBMfXe2b9EWlDBchweGV9pRG&#10;4nA2m4y/wCPhGl9MJtNJSlu8XXY+xG+KGpaMknuomh8g9usQe+gASbkCGV3daGPyJnWSWhnP9gI9&#10;YOL4GPwPlLGsLfn082SUA1tK1/vIxh7r60tKlcZu02XOzgd+NlQdQI+nvsGCkzcab12LEO+FR0eh&#10;PExJvMNSG0IuabTjbEv+1+lZwkFgeDhr0ZklDz93wivOzHcL6REqDoYfjM1g2F2zIhQ6xtw5mU1c&#10;8NEMZu2pecbQLFMWuISVyFXyOJir2M8Hhk6q5TKD0KxOxLV9cHJQPzH+2D0L746yROh5S0PPivmJ&#10;Oj02SWJpuYtU6yxd4rNn70gzGj2LfxzKNEnv9xn19utY/AYAAP//AwBQSwMEFAAGAAgAAAAhANNg&#10;Jy3hAAAACwEAAA8AAABkcnMvZG93bnJldi54bWxMj8FOwzAQRO9I/IO1SFwQddpGbRXiVIDEAQlU&#10;UVDP29jEofY6xG6b8vUsXOA2qxnNvimXg3fiYPrYBlIwHmUgDNVBt9QoeHt9uF6AiAlJowtkFJxM&#10;hGV1flZiocORXsxhnRrBJRQLVGBT6gopY22NxzgKnSH23kPvMfHZN1L3eORy7+Qky2bSY0v8wWJn&#10;7q2pd+u9V7A45c9Xm9l88+FWj3f2q/mkpx0qdXkx3N6ASGZIf2H4wWd0qJhpG/ako3AKptNJzlEW&#10;Wc6CE/l8zGO2v1YGsirl/w3VNwAAAP//AwBQSwECLQAUAAYACAAAACEAtoM4kv4AAADhAQAAEwAA&#10;AAAAAAAAAAAAAAAAAAAAW0NvbnRlbnRfVHlwZXNdLnhtbFBLAQItABQABgAIAAAAIQA4/SH/1gAA&#10;AJQBAAALAAAAAAAAAAAAAAAAAC8BAABfcmVscy8ucmVsc1BLAQItABQABgAIAAAAIQCnnQ3FQwIA&#10;AIIEAAAOAAAAAAAAAAAAAAAAAC4CAABkcnMvZTJvRG9jLnhtbFBLAQItABQABgAIAAAAIQDTYCct&#10;4QAAAAsBAAAPAAAAAAAAAAAAAAAAAJ0EAABkcnMvZG93bnJldi54bWxQSwUGAAAAAAQABADzAAAA&#10;qwUAAAAA&#10;" fillcolor="white [3201]" stroked="f" strokeweight=".5pt">
                <v:textbox inset="0,0,0,0">
                  <w:txbxContent>
                    <w:p w14:paraId="2F99C10F" w14:textId="77777777" w:rsidR="00CF38BD" w:rsidRDefault="00CF38BD" w:rsidP="00734369">
                      <w:pPr>
                        <w:spacing w:before="0"/>
                        <w:rPr>
                          <w:sz w:val="12"/>
                          <w:szCs w:val="12"/>
                          <w:lang w:val="fr-CH"/>
                        </w:rPr>
                      </w:pPr>
                      <w:r>
                        <w:rPr>
                          <w:sz w:val="12"/>
                          <w:szCs w:val="12"/>
                          <w:lang w:val="fr-CH"/>
                        </w:rPr>
                        <w:t>Instituciones Académicas*</w:t>
                      </w:r>
                    </w:p>
                  </w:txbxContent>
                </v:textbox>
              </v:shape>
            </w:pict>
          </mc:Fallback>
        </mc:AlternateContent>
      </w:r>
      <w:r w:rsidR="00734369" w:rsidRPr="00C317D5">
        <w:rPr>
          <w:noProof/>
          <w:lang w:eastAsia="es-ES"/>
        </w:rPr>
        <mc:AlternateContent>
          <mc:Choice Requires="wps">
            <w:drawing>
              <wp:anchor distT="0" distB="0" distL="114300" distR="114300" simplePos="0" relativeHeight="251662336" behindDoc="0" locked="0" layoutInCell="1" allowOverlap="1" wp14:anchorId="44BD00D1" wp14:editId="53B6E456">
                <wp:simplePos x="0" y="0"/>
                <wp:positionH relativeFrom="column">
                  <wp:posOffset>-576580</wp:posOffset>
                </wp:positionH>
                <wp:positionV relativeFrom="paragraph">
                  <wp:posOffset>601752</wp:posOffset>
                </wp:positionV>
                <wp:extent cx="1583690" cy="12827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3690" cy="1282700"/>
                        </a:xfrm>
                        <a:prstGeom prst="rect">
                          <a:avLst/>
                        </a:prstGeom>
                        <a:solidFill>
                          <a:schemeClr val="lt1"/>
                        </a:solidFill>
                        <a:ln w="6350">
                          <a:noFill/>
                        </a:ln>
                      </wps:spPr>
                      <wps:txbx>
                        <w:txbxContent>
                          <w:p w14:paraId="0D2C8154" w14:textId="77777777" w:rsidR="00CF38BD" w:rsidRPr="005675F9" w:rsidRDefault="00CF38BD" w:rsidP="005675F9">
                            <w:pPr>
                              <w:spacing w:before="0"/>
                              <w:jc w:val="right"/>
                              <w:rPr>
                                <w:b/>
                                <w:bCs/>
                                <w:sz w:val="14"/>
                                <w:szCs w:val="14"/>
                                <w:lang w:val="fr-CH"/>
                              </w:rPr>
                            </w:pPr>
                            <w:r w:rsidRPr="005675F9">
                              <w:rPr>
                                <w:b/>
                                <w:bCs/>
                                <w:sz w:val="14"/>
                                <w:szCs w:val="14"/>
                                <w:lang w:val="fr-CH"/>
                              </w:rPr>
                              <w:t>Región de la BDT</w:t>
                            </w:r>
                          </w:p>
                          <w:p w14:paraId="7F6A2F9B" w14:textId="77777777" w:rsidR="00CF38BD" w:rsidRDefault="00CF38BD" w:rsidP="00734369">
                            <w:pPr>
                              <w:spacing w:before="0" w:after="40"/>
                              <w:jc w:val="right"/>
                              <w:rPr>
                                <w:sz w:val="14"/>
                                <w:szCs w:val="14"/>
                                <w:lang w:val="fr-CH"/>
                              </w:rPr>
                            </w:pPr>
                            <w:r>
                              <w:rPr>
                                <w:sz w:val="14"/>
                                <w:szCs w:val="14"/>
                                <w:lang w:val="fr-CH"/>
                              </w:rPr>
                              <w:t>África</w:t>
                            </w:r>
                          </w:p>
                          <w:p w14:paraId="27B14113" w14:textId="77777777" w:rsidR="00CF38BD" w:rsidRDefault="00CF38BD" w:rsidP="00734369">
                            <w:pPr>
                              <w:spacing w:before="0" w:after="40"/>
                              <w:jc w:val="right"/>
                              <w:rPr>
                                <w:sz w:val="14"/>
                                <w:szCs w:val="14"/>
                                <w:lang w:val="fr-CH"/>
                              </w:rPr>
                            </w:pPr>
                            <w:r>
                              <w:rPr>
                                <w:sz w:val="14"/>
                                <w:szCs w:val="14"/>
                                <w:lang w:val="fr-CH"/>
                              </w:rPr>
                              <w:t>Américas</w:t>
                            </w:r>
                          </w:p>
                          <w:p w14:paraId="561A41CE" w14:textId="77777777" w:rsidR="00CF38BD" w:rsidRDefault="00CF38BD" w:rsidP="00734369">
                            <w:pPr>
                              <w:spacing w:before="20"/>
                              <w:jc w:val="right"/>
                              <w:rPr>
                                <w:sz w:val="14"/>
                                <w:szCs w:val="14"/>
                                <w:lang w:val="fr-CH"/>
                              </w:rPr>
                            </w:pPr>
                            <w:r>
                              <w:rPr>
                                <w:sz w:val="14"/>
                                <w:szCs w:val="14"/>
                                <w:lang w:val="fr-CH"/>
                              </w:rPr>
                              <w:t>Estados Árabes</w:t>
                            </w:r>
                          </w:p>
                          <w:p w14:paraId="485B55C0" w14:textId="77777777" w:rsidR="00CF38BD" w:rsidRDefault="00CF38BD" w:rsidP="00734369">
                            <w:pPr>
                              <w:spacing w:before="40"/>
                              <w:jc w:val="right"/>
                              <w:rPr>
                                <w:sz w:val="14"/>
                                <w:szCs w:val="14"/>
                                <w:lang w:val="fr-CH"/>
                              </w:rPr>
                            </w:pPr>
                            <w:r>
                              <w:rPr>
                                <w:sz w:val="14"/>
                                <w:szCs w:val="14"/>
                                <w:lang w:val="fr-CH"/>
                              </w:rPr>
                              <w:t>Asia-Pacífico</w:t>
                            </w:r>
                          </w:p>
                          <w:p w14:paraId="72F57F63" w14:textId="77777777" w:rsidR="00CF38BD" w:rsidRDefault="00CF38BD" w:rsidP="005675F9">
                            <w:pPr>
                              <w:spacing w:before="0"/>
                              <w:jc w:val="right"/>
                              <w:rPr>
                                <w:sz w:val="14"/>
                                <w:szCs w:val="14"/>
                                <w:lang w:val="fr-CH"/>
                              </w:rPr>
                            </w:pPr>
                            <w:r>
                              <w:rPr>
                                <w:sz w:val="14"/>
                                <w:szCs w:val="14"/>
                                <w:lang w:val="fr-CH"/>
                              </w:rPr>
                              <w:t>CEI (Comunidad de</w:t>
                            </w:r>
                            <w:r>
                              <w:rPr>
                                <w:sz w:val="14"/>
                                <w:szCs w:val="14"/>
                                <w:lang w:val="fr-CH"/>
                              </w:rPr>
                              <w:br/>
                              <w:t>Estados Independientes)</w:t>
                            </w:r>
                            <w:r>
                              <w:rPr>
                                <w:sz w:val="14"/>
                                <w:szCs w:val="14"/>
                                <w:lang w:val="fr-CH"/>
                              </w:rPr>
                              <w:br/>
                              <w:t>Europa</w:t>
                            </w:r>
                          </w:p>
                          <w:p w14:paraId="4F24F499" w14:textId="6142BC98" w:rsidR="00CF38BD" w:rsidRDefault="00CF38BD" w:rsidP="005675F9">
                            <w:pPr>
                              <w:spacing w:before="40"/>
                              <w:jc w:val="right"/>
                              <w:rPr>
                                <w:sz w:val="14"/>
                                <w:szCs w:val="14"/>
                                <w:lang w:val="fr-CH"/>
                              </w:rPr>
                            </w:pPr>
                            <w:r>
                              <w:rPr>
                                <w:sz w:val="14"/>
                                <w:szCs w:val="14"/>
                                <w:lang w:val="fr-CH"/>
                              </w:rPr>
                              <w:t>Regional e internacional*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D00D1" id="Text Box 13" o:spid="_x0000_s1029" type="#_x0000_t202" style="position:absolute;left:0;text-align:left;margin-left:-45.4pt;margin-top:47.4pt;width:124.7pt;height:1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gmTwIAAJQEAAAOAAAAZHJzL2Uyb0RvYy54bWysVE1v2zAMvQ/YfxB0X52kX6lRp8hadBgQ&#10;tAXaomdFlhthsqhJSuzu1+9JTtKsuw27yJL4RPLxkb686lvDNsoHTbbi46MRZ8pKqrV9rfjz0+2X&#10;KWchClsLQ1ZV/E0FfjX7/Omyc6Wa0IpMrTyDExvKzlV8FaMriyLIlWpFOCKnLIwN+VZEHP1rUXvR&#10;wXtrislodFZ05GvnSaoQcHszGPks+28aJeN90wQVmak4cot59XldprWYXYry1Qu30nKbhviHLFqh&#10;LYLuXd2IKNja679ctVp6CtTEI0ltQU2jpcocwGY8+sDmcSWcylxQnOD2ZQr/z6282zx4pmtod8yZ&#10;FS00elJ9ZF+pZ7hCfToXSsAeHYCxxz2wmWtwC5I/AiDFAWZ4EIBO9egb36YvmDI8hARv+7KnMDJ5&#10;O50en13AJGEbT6aT81EWpnh/7nyI3xS1LG0q7qFrTkFsFiGmBES5g6RogYyub7Ux+ZB6SV0bzzYC&#10;XWDiOLHCiz9QxrKu4mfHp6Ps2FJ6PuCM3TIcSCWusV/2uWr7Ci2pfkOBPA0tFpy81ch1IUJ8EB49&#10;BX6Yk3iPpTGEWNJox9mK/K+PdwkHiWHhrENvVjz8XAuvODPfLcS/GJ+cwF3Mh5PT8wkO/tCyPLTY&#10;dXtNID7GJDqZtwkfzW7beGpfMEbzFBUmYSViVzzuttdxmBiMoVTzeQahfZ2IC/vo5K4fkgJP/Yvw&#10;bitThMJ3tOtiUX5Qa8AmiSzN15EanaVM9R2quS07Wj/rtR3TNFuH54x6/5nMfgMAAP//AwBQSwME&#10;FAAGAAgAAAAhAAeFOBziAAAACgEAAA8AAABkcnMvZG93bnJldi54bWxMj0tPwzAQhO9I/Adrkbig&#10;1qGlIQnZVAjxkLjR8BA3N16SiHgdxW4S/j3uCU6r0Y5mvsm3s+nESINrLSNcLiMQxJXVLdcIr+XD&#10;IgHhvGKtOsuE8EMOtsXpSa4ybSd+oXHnaxFC2GUKofG+z6R0VUNGuaXticPvyw5G+SCHWupBTSHc&#10;dHIVRbE0quXQ0Kie7hqqvncHg/B5UX88u/nxbVpv1v3901hev+sS8fxsvr0B4Wn2f2Y44gd0KALT&#10;3h5YO9EhLNIooHuE9Crco2GTxCD2CKs0TkAWufw/ofgFAAD//wMAUEsBAi0AFAAGAAgAAAAhALaD&#10;OJL+AAAA4QEAABMAAAAAAAAAAAAAAAAAAAAAAFtDb250ZW50X1R5cGVzXS54bWxQSwECLQAUAAYA&#10;CAAAACEAOP0h/9YAAACUAQAACwAAAAAAAAAAAAAAAAAvAQAAX3JlbHMvLnJlbHNQSwECLQAUAAYA&#10;CAAAACEAExVoJk8CAACUBAAADgAAAAAAAAAAAAAAAAAuAgAAZHJzL2Uyb0RvYy54bWxQSwECLQAU&#10;AAYACAAAACEAB4U4HOIAAAAKAQAADwAAAAAAAAAAAAAAAACpBAAAZHJzL2Rvd25yZXYueG1sUEsF&#10;BgAAAAAEAAQA8wAAALgFAAAAAA==&#10;" fillcolor="white [3201]" stroked="f" strokeweight=".5pt">
                <v:textbox>
                  <w:txbxContent>
                    <w:p w14:paraId="0D2C8154" w14:textId="77777777" w:rsidR="00CF38BD" w:rsidRPr="005675F9" w:rsidRDefault="00CF38BD" w:rsidP="005675F9">
                      <w:pPr>
                        <w:spacing w:before="0"/>
                        <w:jc w:val="right"/>
                        <w:rPr>
                          <w:b/>
                          <w:bCs/>
                          <w:sz w:val="14"/>
                          <w:szCs w:val="14"/>
                          <w:lang w:val="fr-CH"/>
                        </w:rPr>
                      </w:pPr>
                      <w:r w:rsidRPr="005675F9">
                        <w:rPr>
                          <w:b/>
                          <w:bCs/>
                          <w:sz w:val="14"/>
                          <w:szCs w:val="14"/>
                          <w:lang w:val="fr-CH"/>
                        </w:rPr>
                        <w:t>Región de la BDT</w:t>
                      </w:r>
                    </w:p>
                    <w:p w14:paraId="7F6A2F9B" w14:textId="77777777" w:rsidR="00CF38BD" w:rsidRDefault="00CF38BD" w:rsidP="00734369">
                      <w:pPr>
                        <w:spacing w:before="0" w:after="40"/>
                        <w:jc w:val="right"/>
                        <w:rPr>
                          <w:sz w:val="14"/>
                          <w:szCs w:val="14"/>
                          <w:lang w:val="fr-CH"/>
                        </w:rPr>
                      </w:pPr>
                      <w:r>
                        <w:rPr>
                          <w:sz w:val="14"/>
                          <w:szCs w:val="14"/>
                          <w:lang w:val="fr-CH"/>
                        </w:rPr>
                        <w:t>África</w:t>
                      </w:r>
                    </w:p>
                    <w:p w14:paraId="27B14113" w14:textId="77777777" w:rsidR="00CF38BD" w:rsidRDefault="00CF38BD" w:rsidP="00734369">
                      <w:pPr>
                        <w:spacing w:before="0" w:after="40"/>
                        <w:jc w:val="right"/>
                        <w:rPr>
                          <w:sz w:val="14"/>
                          <w:szCs w:val="14"/>
                          <w:lang w:val="fr-CH"/>
                        </w:rPr>
                      </w:pPr>
                      <w:r>
                        <w:rPr>
                          <w:sz w:val="14"/>
                          <w:szCs w:val="14"/>
                          <w:lang w:val="fr-CH"/>
                        </w:rPr>
                        <w:t>Américas</w:t>
                      </w:r>
                    </w:p>
                    <w:p w14:paraId="561A41CE" w14:textId="77777777" w:rsidR="00CF38BD" w:rsidRDefault="00CF38BD" w:rsidP="00734369">
                      <w:pPr>
                        <w:spacing w:before="20"/>
                        <w:jc w:val="right"/>
                        <w:rPr>
                          <w:sz w:val="14"/>
                          <w:szCs w:val="14"/>
                          <w:lang w:val="fr-CH"/>
                        </w:rPr>
                      </w:pPr>
                      <w:r>
                        <w:rPr>
                          <w:sz w:val="14"/>
                          <w:szCs w:val="14"/>
                          <w:lang w:val="fr-CH"/>
                        </w:rPr>
                        <w:t>Estados Árabes</w:t>
                      </w:r>
                    </w:p>
                    <w:p w14:paraId="485B55C0" w14:textId="77777777" w:rsidR="00CF38BD" w:rsidRDefault="00CF38BD" w:rsidP="00734369">
                      <w:pPr>
                        <w:spacing w:before="40"/>
                        <w:jc w:val="right"/>
                        <w:rPr>
                          <w:sz w:val="14"/>
                          <w:szCs w:val="14"/>
                          <w:lang w:val="fr-CH"/>
                        </w:rPr>
                      </w:pPr>
                      <w:r>
                        <w:rPr>
                          <w:sz w:val="14"/>
                          <w:szCs w:val="14"/>
                          <w:lang w:val="fr-CH"/>
                        </w:rPr>
                        <w:t>Asia-Pacífico</w:t>
                      </w:r>
                    </w:p>
                    <w:p w14:paraId="72F57F63" w14:textId="77777777" w:rsidR="00CF38BD" w:rsidRDefault="00CF38BD" w:rsidP="005675F9">
                      <w:pPr>
                        <w:spacing w:before="0"/>
                        <w:jc w:val="right"/>
                        <w:rPr>
                          <w:sz w:val="14"/>
                          <w:szCs w:val="14"/>
                          <w:lang w:val="fr-CH"/>
                        </w:rPr>
                      </w:pPr>
                      <w:r>
                        <w:rPr>
                          <w:sz w:val="14"/>
                          <w:szCs w:val="14"/>
                          <w:lang w:val="fr-CH"/>
                        </w:rPr>
                        <w:t>CEI (Comunidad de</w:t>
                      </w:r>
                      <w:r>
                        <w:rPr>
                          <w:sz w:val="14"/>
                          <w:szCs w:val="14"/>
                          <w:lang w:val="fr-CH"/>
                        </w:rPr>
                        <w:br/>
                        <w:t>Estados Independientes)</w:t>
                      </w:r>
                      <w:r>
                        <w:rPr>
                          <w:sz w:val="14"/>
                          <w:szCs w:val="14"/>
                          <w:lang w:val="fr-CH"/>
                        </w:rPr>
                        <w:br/>
                        <w:t>Europa</w:t>
                      </w:r>
                    </w:p>
                    <w:p w14:paraId="4F24F499" w14:textId="6142BC98" w:rsidR="00CF38BD" w:rsidRDefault="00CF38BD" w:rsidP="005675F9">
                      <w:pPr>
                        <w:spacing w:before="40"/>
                        <w:jc w:val="right"/>
                        <w:rPr>
                          <w:sz w:val="14"/>
                          <w:szCs w:val="14"/>
                          <w:lang w:val="fr-CH"/>
                        </w:rPr>
                      </w:pPr>
                      <w:r>
                        <w:rPr>
                          <w:sz w:val="14"/>
                          <w:szCs w:val="14"/>
                          <w:lang w:val="fr-CH"/>
                        </w:rPr>
                        <w:t>Regional e internacional*</w:t>
                      </w:r>
                    </w:p>
                  </w:txbxContent>
                </v:textbox>
              </v:shape>
            </w:pict>
          </mc:Fallback>
        </mc:AlternateContent>
      </w:r>
      <w:r w:rsidR="00734369" w:rsidRPr="00C317D5">
        <w:rPr>
          <w:noProof/>
          <w:lang w:eastAsia="es-ES"/>
        </w:rPr>
        <mc:AlternateContent>
          <mc:Choice Requires="wps">
            <w:drawing>
              <wp:anchor distT="0" distB="0" distL="114300" distR="114300" simplePos="0" relativeHeight="251664384" behindDoc="0" locked="0" layoutInCell="1" allowOverlap="1" wp14:anchorId="14909945" wp14:editId="0A54B20E">
                <wp:simplePos x="0" y="0"/>
                <wp:positionH relativeFrom="column">
                  <wp:posOffset>1490310</wp:posOffset>
                </wp:positionH>
                <wp:positionV relativeFrom="paragraph">
                  <wp:posOffset>1951310</wp:posOffset>
                </wp:positionV>
                <wp:extent cx="381600" cy="17970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600" cy="179705"/>
                        </a:xfrm>
                        <a:prstGeom prst="rect">
                          <a:avLst/>
                        </a:prstGeom>
                        <a:solidFill>
                          <a:schemeClr val="lt1"/>
                        </a:solidFill>
                        <a:ln w="6350">
                          <a:noFill/>
                        </a:ln>
                      </wps:spPr>
                      <wps:txbx>
                        <w:txbxContent>
                          <w:p w14:paraId="25F26251" w14:textId="77777777" w:rsidR="00CF38BD" w:rsidRDefault="00CF38BD" w:rsidP="00734369">
                            <w:pPr>
                              <w:spacing w:before="0"/>
                              <w:rPr>
                                <w:sz w:val="12"/>
                                <w:szCs w:val="12"/>
                                <w:lang w:val="fr-CH"/>
                              </w:rPr>
                            </w:pPr>
                            <w:r>
                              <w:rPr>
                                <w:sz w:val="12"/>
                                <w:szCs w:val="12"/>
                                <w:lang w:val="fr-CH"/>
                              </w:rPr>
                              <w:t>UIT-D</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09945" id="Text Box 16" o:spid="_x0000_s1030" type="#_x0000_t202" style="position:absolute;left:0;text-align:left;margin-left:117.35pt;margin-top:153.65pt;width:30.0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L0QwIAAIIEAAAOAAAAZHJzL2Uyb0RvYy54bWysVFFP2zAQfp+0/2D5fSSFUaAiRV0R06QK&#10;kGDi2XWc1prj82y3Cfv1++w0wNjbtBfn7Pt85/u+u1xe9a1he+WDJlvxyVHJmbKSam03Ff/+ePPp&#10;nLMQha2FIasq/qwCv5p//HDZuZk6pi2ZWnmGIDbMOlfxbYxuVhRBblUrwhE5ZeFsyLciYus3Re1F&#10;h+itKY7Lclp05GvnSaoQcHo9OPk8x28aJeNd0wQVmak43hbz6vO6TmsxvxSzjRduq+XhGeIfXtEK&#10;bZH0JdS1iILtvP4rVKulp0BNPJLUFtQ0WqpcA6qZlO+qedgKp3ItICe4F5rC/wsrb/f3nuka2k05&#10;s6KFRo+qj+wL9QxH4KdzYQbYgwMw9jgHNtca3IrkjwBI8QYzXAhAJz76xrfpi0oZLkKC5xfaUxqJ&#10;w5PzybSER8I1Obs4K09T2uL1svMhflXUsmRU3EPV/ACxX4U4QEdIyhXI6PpGG5M3qZPU0ni2F+gB&#10;EyeH4H+gjGVdxacnp2UObCldHyIbe6hvKClVGvt1nzn7PPKzpvoZ9HgaGiw4eaPx1pUI8V54dBTK&#10;w5TEOyyNIeSSRjvOtuR/vT9LOAgMD2cdOrPi4edOeMWZ+WYhPULF0fCjsR4Nu2uXhEInmDsns4kL&#10;PprRbDy1TxiaRcoCl7ASuSoeR3MZh/nA0Em1WGQQmtWJuLIPTo7qJ8Yf+yfh3UGWCD1vaexZMXun&#10;zoBNklha7CI1OkuX+BzYO9CMRs/iH4YyTdLbfUa9/jrmvwEAAP//AwBQSwMEFAAGAAgAAAAhAHCH&#10;DSjjAAAACwEAAA8AAABkcnMvZG93bnJldi54bWxMj8FOwzAMhu9IvENkJC6IpbSlHaXpBEgckIYQ&#10;A+2cNaEpS5zSZFvH02NOcLT96ff314vJWbbXY+g9CriaJcA0tl712Al4f3u8nAMLUaKS1qMWcNQB&#10;Fs3pSS0r5Q/4qver2DEKwVBJASbGoeI8tEY7GWZ+0Ei3Dz86GWkcO65GeaBwZ3maJAV3skf6YOSg&#10;H4xut6udEzA/5s8X66Jcf9qXp3vz3X3hciuFOD+b7m6BRT3FPxh+9UkdGnLa+B2qwKyANMtLQgVk&#10;SZkBIyK9yanMhjbZdQG8qfn/Ds0PAAAA//8DAFBLAQItABQABgAIAAAAIQC2gziS/gAAAOEBAAAT&#10;AAAAAAAAAAAAAAAAAAAAAABbQ29udGVudF9UeXBlc10ueG1sUEsBAi0AFAAGAAgAAAAhADj9If/W&#10;AAAAlAEAAAsAAAAAAAAAAAAAAAAALwEAAF9yZWxzLy5yZWxzUEsBAi0AFAAGAAgAAAAhAAw8kvRD&#10;AgAAggQAAA4AAAAAAAAAAAAAAAAALgIAAGRycy9lMm9Eb2MueG1sUEsBAi0AFAAGAAgAAAAhAHCH&#10;DSjjAAAACwEAAA8AAAAAAAAAAAAAAAAAnQQAAGRycy9kb3ducmV2LnhtbFBLBQYAAAAABAAEAPMA&#10;AACtBQAAAAA=&#10;" fillcolor="white [3201]" stroked="f" strokeweight=".5pt">
                <v:textbox inset="0,0,0,0">
                  <w:txbxContent>
                    <w:p w14:paraId="25F26251" w14:textId="77777777" w:rsidR="00CF38BD" w:rsidRDefault="00CF38BD" w:rsidP="00734369">
                      <w:pPr>
                        <w:spacing w:before="0"/>
                        <w:rPr>
                          <w:sz w:val="12"/>
                          <w:szCs w:val="12"/>
                          <w:lang w:val="fr-CH"/>
                        </w:rPr>
                      </w:pPr>
                      <w:r>
                        <w:rPr>
                          <w:sz w:val="12"/>
                          <w:szCs w:val="12"/>
                          <w:lang w:val="fr-CH"/>
                        </w:rPr>
                        <w:t>UIT-D</w:t>
                      </w:r>
                    </w:p>
                  </w:txbxContent>
                </v:textbox>
              </v:shape>
            </w:pict>
          </mc:Fallback>
        </mc:AlternateContent>
      </w:r>
      <w:r w:rsidR="00734369" w:rsidRPr="00C317D5">
        <w:rPr>
          <w:noProof/>
          <w:lang w:eastAsia="es-ES"/>
        </w:rPr>
        <mc:AlternateContent>
          <mc:Choice Requires="wps">
            <w:drawing>
              <wp:anchor distT="0" distB="0" distL="114300" distR="114300" simplePos="0" relativeHeight="251665408" behindDoc="0" locked="0" layoutInCell="1" allowOverlap="1" wp14:anchorId="6E3F6939" wp14:editId="11B49B02">
                <wp:simplePos x="0" y="0"/>
                <wp:positionH relativeFrom="column">
                  <wp:posOffset>913895</wp:posOffset>
                </wp:positionH>
                <wp:positionV relativeFrom="paragraph">
                  <wp:posOffset>1929130</wp:posOffset>
                </wp:positionV>
                <wp:extent cx="381600" cy="179705"/>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600" cy="179705"/>
                        </a:xfrm>
                        <a:prstGeom prst="rect">
                          <a:avLst/>
                        </a:prstGeom>
                        <a:solidFill>
                          <a:schemeClr val="lt1"/>
                        </a:solidFill>
                        <a:ln w="6350">
                          <a:noFill/>
                        </a:ln>
                      </wps:spPr>
                      <wps:txbx>
                        <w:txbxContent>
                          <w:p w14:paraId="7F2EF940" w14:textId="77777777" w:rsidR="00CF38BD" w:rsidRDefault="00CF38BD" w:rsidP="00734369">
                            <w:pPr>
                              <w:spacing w:before="0"/>
                              <w:rPr>
                                <w:sz w:val="12"/>
                                <w:szCs w:val="12"/>
                                <w:lang w:val="fr-CH"/>
                              </w:rPr>
                            </w:pPr>
                            <w:r>
                              <w:rPr>
                                <w:sz w:val="12"/>
                                <w:szCs w:val="12"/>
                                <w:lang w:val="fr-CH"/>
                              </w:rPr>
                              <w:t>UIT-T</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F6939" id="_x0000_s1031" type="#_x0000_t202" style="position:absolute;left:0;text-align:left;margin-left:71.95pt;margin-top:151.9pt;width:30.0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OaQgIAAIEEAAAOAAAAZHJzL2Uyb0RvYy54bWysVMFu2zAMvQ/YPwi6L7bbNW2NOEWWIsOA&#10;oC2QDD0rshwLk0VNUmJnXz9KtpOuuw27KLT4RPLxkZk9dI0iR2GdBF3QbJJSIjSHUup9Qb9vV5/u&#10;KHGe6ZIp0KKgJ+How/zjh1lrcnEFNahSWIJBtMtbU9Dae5MnieO1aJibgBEanRXYhnn8tPuktKzF&#10;6I1KrtJ0mrRgS2OBC+fw9rF30nmMX1WC++eqcsITVVCszcfTxnMXzmQ+Y/neMlNLPpTB/qGKhkmN&#10;Sc+hHpln5GDlX6EayS04qPyEQ5NAVUkuIgdkk6Xv2GxqZkTkgs1x5twm9//C8qfjiyWyLOhnSjRr&#10;UKKt6Dz5Ah3JpqE9rXE5ojYGcb7De5Q5UnVmDfyHQ0jyBtM/cIgO7egq24RfJErwISpwOnc9pOF4&#10;eX2XTVP0cHRlt/e36U1Im1weG+v8VwENCUZBLYoaC2DHtfM9dISEXA6ULFdSqfgRBkkslSVHhiOg&#10;fDYE/wOlNGkLOr2+SWNgDeF5H1npgV9PKTD13a6LLYuFhpsdlCdsj4V+vpzhK4m1rpnzL8ziQCE9&#10;XBL/jEelAHNxJQ0lNdhf7+8CDvVFDyUtDmZB3c8Ds4IS9U2j8hjKj4Ydjd1o6EOzBCSa4doZHk18&#10;YL0azcpC84o7swhZ0MU0x1wF9aO59P164M5xsVhEEM6qYX6tN4aP6oeOb7tXZs0gi0c9n2AcWZa/&#10;U6fHBkk0LA4eKhmlu3RvaDPOeRR/2MmwSG+/I+ryzzH/DQAA//8DAFBLAwQUAAYACAAAACEAN5hB&#10;++EAAAALAQAADwAAAGRycy9kb3ducmV2LnhtbEyPwU7DMBBE70j8g7VIXBC1m0SlhDgVIHFAAiHa&#10;qmc3NnGovQ6x26Z8PcsJjjP7NDtTLUbv2MEMsQsoYToRwAw2QXfYSlivnq7nwGJSqJULaCScTIRF&#10;fX5WqVKHI76bwzK1jEIwlkqCTakvOY+NNV7FSegN0u0jDF4lkkPL9aCOFO4dz4SYca86pA9W9ebR&#10;mma33HsJ81PxerWZ3Ww+3dvzg/1uv/Blp6S8vBjv74AlM6Y/GH7rU3WoqdM27FFH5kgX+S2hEnKR&#10;0wYiMlHQui05eTYFXlf8/4b6BwAA//8DAFBLAQItABQABgAIAAAAIQC2gziS/gAAAOEBAAATAAAA&#10;AAAAAAAAAAAAAAAAAABbQ29udGVudF9UeXBlc10ueG1sUEsBAi0AFAAGAAgAAAAhADj9If/WAAAA&#10;lAEAAAsAAAAAAAAAAAAAAAAALwEAAF9yZWxzLy5yZWxzUEsBAi0AFAAGAAgAAAAhAAiGA5pCAgAA&#10;gQQAAA4AAAAAAAAAAAAAAAAALgIAAGRycy9lMm9Eb2MueG1sUEsBAi0AFAAGAAgAAAAhADeYQfvh&#10;AAAACwEAAA8AAAAAAAAAAAAAAAAAnAQAAGRycy9kb3ducmV2LnhtbFBLBQYAAAAABAAEAPMAAACq&#10;BQAAAAA=&#10;" fillcolor="white [3201]" stroked="f" strokeweight=".5pt">
                <v:textbox inset="0,0,0,0">
                  <w:txbxContent>
                    <w:p w14:paraId="7F2EF940" w14:textId="77777777" w:rsidR="00CF38BD" w:rsidRDefault="00CF38BD" w:rsidP="00734369">
                      <w:pPr>
                        <w:spacing w:before="0"/>
                        <w:rPr>
                          <w:sz w:val="12"/>
                          <w:szCs w:val="12"/>
                          <w:lang w:val="fr-CH"/>
                        </w:rPr>
                      </w:pPr>
                      <w:r>
                        <w:rPr>
                          <w:sz w:val="12"/>
                          <w:szCs w:val="12"/>
                          <w:lang w:val="fr-CH"/>
                        </w:rPr>
                        <w:t>UIT-T</w:t>
                      </w:r>
                    </w:p>
                  </w:txbxContent>
                </v:textbox>
              </v:shape>
            </w:pict>
          </mc:Fallback>
        </mc:AlternateContent>
      </w:r>
      <w:r w:rsidR="00734369" w:rsidRPr="00C317D5">
        <w:rPr>
          <w:noProof/>
          <w:lang w:eastAsia="es-ES"/>
        </w:rPr>
        <mc:AlternateContent>
          <mc:Choice Requires="wps">
            <w:drawing>
              <wp:anchor distT="0" distB="0" distL="114300" distR="114300" simplePos="0" relativeHeight="251666432" behindDoc="0" locked="0" layoutInCell="1" allowOverlap="1" wp14:anchorId="58AB5366" wp14:editId="25FEF0F9">
                <wp:simplePos x="0" y="0"/>
                <wp:positionH relativeFrom="column">
                  <wp:posOffset>345755</wp:posOffset>
                </wp:positionH>
                <wp:positionV relativeFrom="paragraph">
                  <wp:posOffset>1930035</wp:posOffset>
                </wp:positionV>
                <wp:extent cx="381600" cy="179705"/>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600" cy="179705"/>
                        </a:xfrm>
                        <a:prstGeom prst="rect">
                          <a:avLst/>
                        </a:prstGeom>
                        <a:solidFill>
                          <a:schemeClr val="lt1"/>
                        </a:solidFill>
                        <a:ln w="6350">
                          <a:noFill/>
                        </a:ln>
                      </wps:spPr>
                      <wps:txbx>
                        <w:txbxContent>
                          <w:p w14:paraId="1BDE4233" w14:textId="77777777" w:rsidR="00CF38BD" w:rsidRDefault="00CF38BD" w:rsidP="00734369">
                            <w:pPr>
                              <w:spacing w:before="0"/>
                              <w:rPr>
                                <w:sz w:val="12"/>
                                <w:szCs w:val="12"/>
                                <w:lang w:val="fr-CH"/>
                              </w:rPr>
                            </w:pPr>
                            <w:r>
                              <w:rPr>
                                <w:sz w:val="12"/>
                                <w:szCs w:val="12"/>
                                <w:lang w:val="fr-CH"/>
                              </w:rPr>
                              <w:t>UIT-R</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B5366" id="_x0000_s1032" type="#_x0000_t202" style="position:absolute;left:0;text-align:left;margin-left:27.2pt;margin-top:151.95pt;width:30.05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g/VQgIAAIEEAAAOAAAAZHJzL2Uyb0RvYy54bWysVMFu2zAMvQ/YPwi6L7ZbJO2MOEWWIsOA&#10;oC2QDD0rshwLk0VNUmJnXz9KttMuuw27yJT4RIrvkZ4/dI0iJ2GdBF3QbJJSIjSHUupDQb/v1p/u&#10;KXGe6ZIp0KKgZ+How+Ljh3lrcnEDNahSWIJBtMtbU9Dae5MnieO1aJibgBEanRXYhnnc2kNSWtZi&#10;9EYlN2k6S1qwpbHAhXN4+tg76SLGryrB/XNVOeGJKii+zcfVxnUf1mQxZ/nBMlNLPjyD/cMrGiY1&#10;Jr2EemSekaOVf4VqJLfgoPITDk0CVSW5iDVgNVl6Vc22ZkbEWpAcZy40uf8Xlj+dXiyRZUGnlGjW&#10;oEQ70XnyBTqSzQI9rXE5orYGcb7Dc5Q5lurMBvgPh5DkHaa/4BAd6Ogq24QvFkrwIipwvrAe0nA8&#10;vL3PZil6OLqyu8936TSkTd4uG+v8VwENCUZBLYoaH8BOG+d76AgJuRwoWa6lUnETGkmslCUnhi2g&#10;fDYE/wOlNGkLOrudpjGwhnC9j6z0UF9fUqjUd/suUnbhZw/lGemx0PeXM3wt8a0b5vwLs9hQWB4O&#10;iX/GpVKAubiShpIa7K/rs4BDfdFDSYuNWVD388isoER906g8hvKjYUdjPxr62KwAC81w7AyPJl6w&#10;Xo1mZaF5xZlZhizoYppjroL60Vz5fjxw5rhYLiMIe9Uwv9Fbw0f1A+O77pVZM8jiUc8nGFuW5Vfq&#10;9NggiYbl0UMlo3SBz569gWbs8yj+MJNhkN7vI+rtz7H4DQAA//8DAFBLAwQUAAYACAAAACEA7I0o&#10;YuIAAAAKAQAADwAAAGRycy9kb3ducmV2LnhtbEyPwU7DMAyG70i8Q2QkLmhL13ZjlKYTIHFAGkIb&#10;aOesMU1Z4pQm2zqenuwER9uffn9/uRisYQfsfetIwGScAEOqnWqpEfDx/jyaA/NBkpLGEQo4oYdF&#10;dXlRykK5I63wsA4NiyHkCylAh9AVnPtao5V+7DqkePt0vZUhjn3DVS+PMdwanibJjFvZUvygZYdP&#10;Guvdem8FzE/5681mdrv5Mm8vj/qn+ablTgpxfTU83AMLOIQ/GM76UR2q6LR1e1KeGQHTPI+kgCzJ&#10;7oCdgUk+BbaNmyxNgVcl/1+h+gUAAP//AwBQSwECLQAUAAYACAAAACEAtoM4kv4AAADhAQAAEwAA&#10;AAAAAAAAAAAAAAAAAAAAW0NvbnRlbnRfVHlwZXNdLnhtbFBLAQItABQABgAIAAAAIQA4/SH/1gAA&#10;AJQBAAALAAAAAAAAAAAAAAAAAC8BAABfcmVscy8ucmVsc1BLAQItABQABgAIAAAAIQCygg/VQgIA&#10;AIEEAAAOAAAAAAAAAAAAAAAAAC4CAABkcnMvZTJvRG9jLnhtbFBLAQItABQABgAIAAAAIQDsjShi&#10;4gAAAAoBAAAPAAAAAAAAAAAAAAAAAJwEAABkcnMvZG93bnJldi54bWxQSwUGAAAAAAQABADzAAAA&#10;qwUAAAAA&#10;" fillcolor="white [3201]" stroked="f" strokeweight=".5pt">
                <v:textbox inset="0,0,0,0">
                  <w:txbxContent>
                    <w:p w14:paraId="1BDE4233" w14:textId="77777777" w:rsidR="00CF38BD" w:rsidRDefault="00CF38BD" w:rsidP="00734369">
                      <w:pPr>
                        <w:spacing w:before="0"/>
                        <w:rPr>
                          <w:sz w:val="12"/>
                          <w:szCs w:val="12"/>
                          <w:lang w:val="fr-CH"/>
                        </w:rPr>
                      </w:pPr>
                      <w:r>
                        <w:rPr>
                          <w:sz w:val="12"/>
                          <w:szCs w:val="12"/>
                          <w:lang w:val="fr-CH"/>
                        </w:rPr>
                        <w:t>UIT-R</w:t>
                      </w:r>
                    </w:p>
                  </w:txbxContent>
                </v:textbox>
              </v:shape>
            </w:pict>
          </mc:Fallback>
        </mc:AlternateContent>
      </w:r>
      <w:r w:rsidR="00734369" w:rsidRPr="00C317D5">
        <w:rPr>
          <w:noProof/>
          <w:lang w:eastAsia="es-ES"/>
        </w:rPr>
        <w:drawing>
          <wp:inline distT="0" distB="0" distL="0" distR="0" wp14:anchorId="07760CFA" wp14:editId="56DC8C5D">
            <wp:extent cx="5857875" cy="2086868"/>
            <wp:effectExtent l="0" t="0" r="0" b="0"/>
            <wp:docPr id="1841905058" name="Picture 184190505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905058" name="Picture 1841905058" descr="Chart, bar chart&#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857875" cy="2086868"/>
                    </a:xfrm>
                    <a:prstGeom prst="rect">
                      <a:avLst/>
                    </a:prstGeom>
                  </pic:spPr>
                </pic:pic>
              </a:graphicData>
            </a:graphic>
          </wp:inline>
        </w:drawing>
      </w:r>
    </w:p>
    <w:p w14:paraId="7387A17E" w14:textId="310286F9" w:rsidR="000D09B2" w:rsidRPr="00C317D5" w:rsidRDefault="00E33F6C" w:rsidP="000D09B2">
      <w:pPr>
        <w:pStyle w:val="TableNoBR"/>
      </w:pPr>
      <w:r w:rsidRPr="00C317D5">
        <w:t>Cuadro 8.5.1-2</w:t>
      </w:r>
    </w:p>
    <w:p w14:paraId="354B44AD" w14:textId="4900C0C5" w:rsidR="000D09B2" w:rsidRPr="00C317D5" w:rsidRDefault="00A70F9B" w:rsidP="009D3A3D">
      <w:pPr>
        <w:pStyle w:val="TabletitleBR"/>
        <w:keepNext w:val="0"/>
        <w:keepLines w:val="0"/>
      </w:pPr>
      <w:r w:rsidRPr="00C317D5">
        <w:rPr>
          <w:noProof/>
          <w:lang w:eastAsia="es-ES"/>
        </w:rPr>
        <mc:AlternateContent>
          <mc:Choice Requires="wps">
            <w:drawing>
              <wp:anchor distT="0" distB="0" distL="114300" distR="114300" simplePos="0" relativeHeight="251669504" behindDoc="0" locked="0" layoutInCell="1" allowOverlap="1" wp14:anchorId="23967BE3" wp14:editId="4150673A">
                <wp:simplePos x="0" y="0"/>
                <wp:positionH relativeFrom="margin">
                  <wp:posOffset>2065978</wp:posOffset>
                </wp:positionH>
                <wp:positionV relativeFrom="paragraph">
                  <wp:posOffset>17672</wp:posOffset>
                </wp:positionV>
                <wp:extent cx="2016000" cy="576000"/>
                <wp:effectExtent l="0" t="0" r="3810" b="0"/>
                <wp:wrapNone/>
                <wp:docPr id="6" name="Text Box 6"/>
                <wp:cNvGraphicFramePr/>
                <a:graphic xmlns:a="http://schemas.openxmlformats.org/drawingml/2006/main">
                  <a:graphicData uri="http://schemas.microsoft.com/office/word/2010/wordprocessingShape">
                    <wps:wsp>
                      <wps:cNvSpPr txBox="1"/>
                      <wps:spPr>
                        <a:xfrm>
                          <a:off x="0" y="0"/>
                          <a:ext cx="2016000" cy="576000"/>
                        </a:xfrm>
                        <a:prstGeom prst="rect">
                          <a:avLst/>
                        </a:prstGeom>
                        <a:solidFill>
                          <a:schemeClr val="lt1"/>
                        </a:solidFill>
                        <a:ln w="6350">
                          <a:noFill/>
                        </a:ln>
                      </wps:spPr>
                      <wps:txbx>
                        <w:txbxContent>
                          <w:p w14:paraId="7A4D8C7C" w14:textId="2E035D5F" w:rsidR="00CF38BD" w:rsidRPr="00C302C4" w:rsidRDefault="00CF38BD" w:rsidP="000D09B2">
                            <w:pPr>
                              <w:spacing w:before="100" w:beforeAutospacing="1"/>
                              <w:jc w:val="center"/>
                              <w:rPr>
                                <w:b/>
                                <w:bCs/>
                                <w:sz w:val="16"/>
                                <w:szCs w:val="16"/>
                                <w:lang w:val="fr-CH"/>
                              </w:rPr>
                            </w:pPr>
                            <w:r>
                              <w:rPr>
                                <w:b/>
                                <w:bCs/>
                                <w:sz w:val="16"/>
                                <w:szCs w:val="16"/>
                                <w:lang w:val="fr-CH"/>
                              </w:rPr>
                              <w:t>Informe anual de los miembros</w:t>
                            </w:r>
                          </w:p>
                          <w:p w14:paraId="0C137C1E" w14:textId="77777777" w:rsidR="00CF38BD" w:rsidRPr="00C302C4" w:rsidRDefault="00CF38BD" w:rsidP="000D09B2">
                            <w:pPr>
                              <w:spacing w:before="0" w:line="480" w:lineRule="auto"/>
                              <w:jc w:val="center"/>
                              <w:rPr>
                                <w:sz w:val="16"/>
                                <w:szCs w:val="16"/>
                                <w:lang w:val="fr-CH"/>
                              </w:rPr>
                            </w:pPr>
                            <w:r w:rsidRPr="00C302C4">
                              <w:rPr>
                                <w:b/>
                                <w:bCs/>
                                <w:sz w:val="16"/>
                                <w:szCs w:val="16"/>
                                <w:lang w:val="fr-CH"/>
                              </w:rPr>
                              <w:t>2022</w:t>
                            </w:r>
                          </w:p>
                          <w:p w14:paraId="628D432B" w14:textId="77777777" w:rsidR="00CF38BD" w:rsidRPr="008742D2" w:rsidRDefault="00CF38BD" w:rsidP="000D09B2">
                            <w:pPr>
                              <w:spacing w:before="0" w:line="480" w:lineRule="auto"/>
                              <w:jc w:val="center"/>
                              <w:rPr>
                                <w:sz w:val="12"/>
                                <w:szCs w:val="12"/>
                              </w:rPr>
                            </w:pPr>
                            <w:r w:rsidRPr="008742D2">
                              <w:rPr>
                                <w:color w:val="FF0000"/>
                                <w:sz w:val="12"/>
                                <w:szCs w:val="12"/>
                              </w:rPr>
                              <w:t>Datos de los miembros al 31 de diciembre 2022</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67BE3" id="Text Box 6" o:spid="_x0000_s1033" type="#_x0000_t202" style="position:absolute;left:0;text-align:left;margin-left:162.7pt;margin-top:1.4pt;width:158.75pt;height:45.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RKQAIAAHgEAAAOAAAAZHJzL2Uyb0RvYy54bWysVMFu2zAMvQ/YPwi6r3ayNu2COEXWosOA&#10;oi3QDj0rspwIkEVNUmJ3X78nOUmz7DbsolAk/cT3SGZ23beGbZUPmmzFR2clZ8pKqrVdVfzHy92n&#10;K85CFLYWhqyq+JsK/Hr+8cOsc1M1pjWZWnkGEBumnav4OkY3LYog16oV4Yycsgg25FsRcfWrovai&#10;A3prinFZToqOfO08SRUCvLdDkM8zftMoGR+bJqjITMVRW8ynz+cyncV8JqYrL9xay10Z4h+qaIW2&#10;ePQAdSuiYBuv/4JqtfQUqIlnktqCmkZLlTmAzag8YfO8Fk5lLhAnuINM4f/Byoftk2e6rviEMyta&#10;tOhF9ZF9pZ5NkjqdC1MkPTukxR5udHnvD3Am0n3j2/QLOgxx6Px20DaBSThBb1KWCEnELi6zDfji&#10;/WvnQ/ymqGXJqLhH77KkYnsf4pC6T0mPBTK6vtPG5EuaF3VjPNsKdNrEXCPA/8gylnUg+vmizMCW&#10;0ucDsrGoJXEdOCUr9ss+K3O557uk+g0yeBrGKDh5p1HrvQjxSXjMDehhF+IjjsYQ3pJGO87W5H+d&#10;+lIe2ogIZx3mr+Lh50Z4xZn5btHgL6Pzc8DFfDm/uBzj4o8jy+OI3bQ3BOIjbJuT2Uz50ezNxlP7&#10;ilVZpFcRElbi7YrHvXkTh63Aqkm1WOQkjKgT8d4+O5mgk9CpAy/9q/Bu16aIBj/QflLF9KRbQ276&#10;0tJiE6nRuZVJ30HNnewY7zwMu1VM+3N8z1nvfxjz3wAAAP//AwBQSwMEFAAGAAgAAAAhAL9A7h3g&#10;AAAACAEAAA8AAABkcnMvZG93bnJldi54bWxMj09Pg0AUxO8mfofNM/Fi7CKU1iJLY4x/Em+WqvG2&#10;ZZ9AZN8Sdgv47X2e9DiZycxv8u1sOzHi4FtHCq4WEQikypmWagX78uHyGoQPmozuHKGCb/SwLU5P&#10;cp0ZN9ELjrtQCy4hn2kFTQh9JqWvGrTaL1yPxN6nG6wOLIdamkFPXG47GUfRSlrdEi80use7Bquv&#10;3dEq+Lio35/9/Pg6JWnS3z+N5frNlEqdn823NyACzuEvDL/4jA4FMx3ckYwXnYIkTpccVRDzA/ZX&#10;y3gD4qBgk6Qgi1z+P1D8AAAA//8DAFBLAQItABQABgAIAAAAIQC2gziS/gAAAOEBAAATAAAAAAAA&#10;AAAAAAAAAAAAAABbQ29udGVudF9UeXBlc10ueG1sUEsBAi0AFAAGAAgAAAAhADj9If/WAAAAlAEA&#10;AAsAAAAAAAAAAAAAAAAALwEAAF9yZWxzLy5yZWxzUEsBAi0AFAAGAAgAAAAhAO+sBEpAAgAAeAQA&#10;AA4AAAAAAAAAAAAAAAAALgIAAGRycy9lMm9Eb2MueG1sUEsBAi0AFAAGAAgAAAAhAL9A7h3gAAAA&#10;CAEAAA8AAAAAAAAAAAAAAAAAmgQAAGRycy9kb3ducmV2LnhtbFBLBQYAAAAABAAEAPMAAACnBQAA&#10;AAA=&#10;" fillcolor="white [3201]" stroked="f" strokeweight=".5pt">
                <v:textbox>
                  <w:txbxContent>
                    <w:p w14:paraId="7A4D8C7C" w14:textId="2E035D5F" w:rsidR="00CF38BD" w:rsidRPr="00C302C4" w:rsidRDefault="00CF38BD" w:rsidP="000D09B2">
                      <w:pPr>
                        <w:spacing w:before="100" w:beforeAutospacing="1"/>
                        <w:jc w:val="center"/>
                        <w:rPr>
                          <w:b/>
                          <w:bCs/>
                          <w:sz w:val="16"/>
                          <w:szCs w:val="16"/>
                          <w:lang w:val="fr-CH"/>
                        </w:rPr>
                      </w:pPr>
                      <w:r>
                        <w:rPr>
                          <w:b/>
                          <w:bCs/>
                          <w:sz w:val="16"/>
                          <w:szCs w:val="16"/>
                          <w:lang w:val="fr-CH"/>
                        </w:rPr>
                        <w:t>Informe anual de los miembros</w:t>
                      </w:r>
                    </w:p>
                    <w:p w14:paraId="0C137C1E" w14:textId="77777777" w:rsidR="00CF38BD" w:rsidRPr="00C302C4" w:rsidRDefault="00CF38BD" w:rsidP="000D09B2">
                      <w:pPr>
                        <w:spacing w:before="0" w:line="480" w:lineRule="auto"/>
                        <w:jc w:val="center"/>
                        <w:rPr>
                          <w:sz w:val="16"/>
                          <w:szCs w:val="16"/>
                          <w:lang w:val="fr-CH"/>
                        </w:rPr>
                      </w:pPr>
                      <w:r w:rsidRPr="00C302C4">
                        <w:rPr>
                          <w:b/>
                          <w:bCs/>
                          <w:sz w:val="16"/>
                          <w:szCs w:val="16"/>
                          <w:lang w:val="fr-CH"/>
                        </w:rPr>
                        <w:t>2022</w:t>
                      </w:r>
                    </w:p>
                    <w:p w14:paraId="628D432B" w14:textId="77777777" w:rsidR="00CF38BD" w:rsidRPr="008742D2" w:rsidRDefault="00CF38BD" w:rsidP="000D09B2">
                      <w:pPr>
                        <w:spacing w:before="0" w:line="480" w:lineRule="auto"/>
                        <w:jc w:val="center"/>
                        <w:rPr>
                          <w:sz w:val="12"/>
                          <w:szCs w:val="12"/>
                        </w:rPr>
                      </w:pPr>
                      <w:r w:rsidRPr="008742D2">
                        <w:rPr>
                          <w:color w:val="FF0000"/>
                          <w:sz w:val="12"/>
                          <w:szCs w:val="12"/>
                        </w:rPr>
                        <w:t>Datos de los miembros al 31 de diciembre 2022</w:t>
                      </w:r>
                    </w:p>
                  </w:txbxContent>
                </v:textbox>
                <w10:wrap anchorx="margin"/>
              </v:shape>
            </w:pict>
          </mc:Fallback>
        </mc:AlternateContent>
      </w:r>
      <w:r w:rsidR="00E33F6C" w:rsidRPr="00C317D5">
        <w:rPr>
          <w:noProof/>
          <w:lang w:eastAsia="es-ES"/>
        </w:rPr>
        <mc:AlternateContent>
          <mc:Choice Requires="wps">
            <w:drawing>
              <wp:anchor distT="0" distB="0" distL="114300" distR="114300" simplePos="0" relativeHeight="251671552" behindDoc="0" locked="0" layoutInCell="1" allowOverlap="1" wp14:anchorId="2F5A5F75" wp14:editId="3E03362D">
                <wp:simplePos x="0" y="0"/>
                <wp:positionH relativeFrom="margin">
                  <wp:posOffset>4175760</wp:posOffset>
                </wp:positionH>
                <wp:positionV relativeFrom="paragraph">
                  <wp:posOffset>169621</wp:posOffset>
                </wp:positionV>
                <wp:extent cx="1719072" cy="292836"/>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719072" cy="292836"/>
                        </a:xfrm>
                        <a:prstGeom prst="rect">
                          <a:avLst/>
                        </a:prstGeom>
                        <a:solidFill>
                          <a:schemeClr val="lt1"/>
                        </a:solidFill>
                        <a:ln w="6350">
                          <a:noFill/>
                        </a:ln>
                      </wps:spPr>
                      <wps:txbx>
                        <w:txbxContent>
                          <w:p w14:paraId="001A1112" w14:textId="77777777" w:rsidR="00CF38BD" w:rsidRDefault="00CF38BD" w:rsidP="000D09B2">
                            <w:pPr>
                              <w:spacing w:before="0"/>
                              <w:rPr>
                                <w:sz w:val="14"/>
                                <w:szCs w:val="14"/>
                              </w:rPr>
                            </w:pPr>
                            <w:r>
                              <w:rPr>
                                <w:color w:val="4F81BD" w:themeColor="accent1"/>
                                <w:sz w:val="14"/>
                                <w:szCs w:val="14"/>
                              </w:rPr>
                              <w:t xml:space="preserve">107 </w:t>
                            </w:r>
                            <w:r>
                              <w:rPr>
                                <w:sz w:val="14"/>
                                <w:szCs w:val="14"/>
                              </w:rPr>
                              <w:t>Miembros de los tres Sectores</w:t>
                            </w:r>
                          </w:p>
                          <w:p w14:paraId="030D895A" w14:textId="77777777" w:rsidR="00CF38BD" w:rsidRDefault="00CF38BD" w:rsidP="000D09B2">
                            <w:pPr>
                              <w:spacing w:before="0"/>
                              <w:rPr>
                                <w:sz w:val="13"/>
                                <w:szCs w:val="13"/>
                                <w:lang w:val="fr-CH"/>
                              </w:rPr>
                            </w:pPr>
                            <w:r w:rsidRPr="005E197D">
                              <w:rPr>
                                <w:color w:val="4F81BD" w:themeColor="accent1"/>
                                <w:sz w:val="14"/>
                                <w:szCs w:val="14"/>
                              </w:rPr>
                              <w:t>73</w:t>
                            </w:r>
                            <w:r>
                              <w:rPr>
                                <w:sz w:val="14"/>
                                <w:szCs w:val="14"/>
                              </w:rPr>
                              <w:t xml:space="preserve"> </w:t>
                            </w:r>
                            <w:r w:rsidRPr="00942C39">
                              <w:rPr>
                                <w:sz w:val="14"/>
                                <w:szCs w:val="14"/>
                              </w:rPr>
                              <w:t>Asoci</w:t>
                            </w:r>
                            <w:r>
                              <w:rPr>
                                <w:sz w:val="14"/>
                                <w:szCs w:val="14"/>
                              </w:rPr>
                              <w:t>ado</w:t>
                            </w:r>
                            <w:r w:rsidRPr="00942C39">
                              <w:rPr>
                                <w:sz w:val="14"/>
                                <w:szCs w:val="14"/>
                              </w:rPr>
                              <w:t xml:space="preserve">s </w:t>
                            </w:r>
                            <w:r>
                              <w:rPr>
                                <w:sz w:val="14"/>
                                <w:szCs w:val="14"/>
                              </w:rPr>
                              <w:t>con tasas de pymes</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A5F75" id="Text Box 12" o:spid="_x0000_s1034" type="#_x0000_t202" style="position:absolute;left:0;text-align:left;margin-left:328.8pt;margin-top:13.35pt;width:135.35pt;height:23.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oOOgIAAGoEAAAOAAAAZHJzL2Uyb0RvYy54bWysVFGP2jAMfp+0/xDlfbRwGsdVlBPjxDQJ&#10;3Z0E0z2HNKWRkjhLAi379XNSym3sbdpL6tjOZ/uz3fljpxU5CeclmJKORzklwnCopDmU9Ptu/WlG&#10;iQ/MVEyBESU9C08fFx8/zFtbiAk0oCrhCIIYX7S2pE0ItsgyzxuhmR+BFQaNNTjNAl7dIascaxFd&#10;q2yS59OsBVdZB1x4j9qn3kgXCb+uBQ8vde1FIKqkmFtIp0vnPp7ZYs6Kg2O2kfySBvuHLDSTBoNe&#10;oZ5YYOTo5F9QWnIHHuow4qAzqGvJRaoBqxnnN9VsG2ZFqgXJ8fZKk/9/sPz59OqIrLB3E0oM09ij&#10;negC+QIdQRXy01pfoNvWomPoUI++g96jMpbd1U7HLxZE0I5Mn6/sRjQeH92PH/J7jMLRNnmYzO6m&#10;ESZ7f22dD18FaBKFkjrsXiKVnTY+9K6DSwzmQclqLZVKlzgxYqUcOTHstQopRwT/w0sZ0pZ0evc5&#10;T8AG4vMeWRnMJdba1xSl0O27xM1sqHcP1RlpcNAPkrd8LTHXDfPhlTmcHKwctyG84FErwFhcSUtJ&#10;A+7nrS76YSPRQkmLE1hS/+PInKBEfTPY4jiug+AGYT8I5qhXgIWOcb8sTyI+cEENYu1Av+FyLGMU&#10;NDHDMVZJwyCuQr8HuFxcLJfJCYfSsrAxW8sjdCQ2Mr7r3pizl7YEbOgzDLPJipvu9L7xpYHlMUAt&#10;U+sinz17F5pxoFPzL8sXN+b3e/J6/0UsfgEAAP//AwBQSwMEFAAGAAgAAAAhALzVTnfhAAAACQEA&#10;AA8AAABkcnMvZG93bnJldi54bWxMj8FOwzAQRO9I/IO1SFwQdQjghJBNBUgckIoQBfXsxiYOtdch&#10;dtuUr8ec4Liap5m39Xxylu30GHpPCBezDJim1queOoT3t8fzEliIkpS0njTCQQeYN8dHtayU39Or&#10;3i1jx1IJhUoimBiHivPQGu1kmPlBU8o+/OhkTOfYcTXKfSp3ludZJriTPaUFIwf9YHS7WW4dQnm4&#10;ej5biWL1aV+e7s1390WLjUQ8PZnuboFFPcU/GH71kzo0yWntt6QCswjiuhAJRchFASwBN3l5CWyN&#10;UOQl8Kbm/z9ofgAAAP//AwBQSwECLQAUAAYACAAAACEAtoM4kv4AAADhAQAAEwAAAAAAAAAAAAAA&#10;AAAAAAAAW0NvbnRlbnRfVHlwZXNdLnhtbFBLAQItABQABgAIAAAAIQA4/SH/1gAAAJQBAAALAAAA&#10;AAAAAAAAAAAAAC8BAABfcmVscy8ucmVsc1BLAQItABQABgAIAAAAIQDKhUoOOgIAAGoEAAAOAAAA&#10;AAAAAAAAAAAAAC4CAABkcnMvZTJvRG9jLnhtbFBLAQItABQABgAIAAAAIQC81U534QAAAAkBAAAP&#10;AAAAAAAAAAAAAAAAAJQEAABkcnMvZG93bnJldi54bWxQSwUGAAAAAAQABADzAAAAogUAAAAA&#10;" fillcolor="white [3201]" stroked="f" strokeweight=".5pt">
                <v:textbox inset="0,0,0,0">
                  <w:txbxContent>
                    <w:p w14:paraId="001A1112" w14:textId="77777777" w:rsidR="00CF38BD" w:rsidRDefault="00CF38BD" w:rsidP="000D09B2">
                      <w:pPr>
                        <w:spacing w:before="0"/>
                        <w:rPr>
                          <w:sz w:val="14"/>
                          <w:szCs w:val="14"/>
                        </w:rPr>
                      </w:pPr>
                      <w:r>
                        <w:rPr>
                          <w:color w:val="4F81BD" w:themeColor="accent1"/>
                          <w:sz w:val="14"/>
                          <w:szCs w:val="14"/>
                        </w:rPr>
                        <w:t xml:space="preserve">107 </w:t>
                      </w:r>
                      <w:r>
                        <w:rPr>
                          <w:sz w:val="14"/>
                          <w:szCs w:val="14"/>
                        </w:rPr>
                        <w:t>Miembros de los tres Sectores</w:t>
                      </w:r>
                    </w:p>
                    <w:p w14:paraId="030D895A" w14:textId="77777777" w:rsidR="00CF38BD" w:rsidRDefault="00CF38BD" w:rsidP="000D09B2">
                      <w:pPr>
                        <w:spacing w:before="0"/>
                        <w:rPr>
                          <w:sz w:val="13"/>
                          <w:szCs w:val="13"/>
                          <w:lang w:val="fr-CH"/>
                        </w:rPr>
                      </w:pPr>
                      <w:r w:rsidRPr="005E197D">
                        <w:rPr>
                          <w:color w:val="4F81BD" w:themeColor="accent1"/>
                          <w:sz w:val="14"/>
                          <w:szCs w:val="14"/>
                        </w:rPr>
                        <w:t>73</w:t>
                      </w:r>
                      <w:r>
                        <w:rPr>
                          <w:sz w:val="14"/>
                          <w:szCs w:val="14"/>
                        </w:rPr>
                        <w:t xml:space="preserve"> </w:t>
                      </w:r>
                      <w:r w:rsidRPr="00942C39">
                        <w:rPr>
                          <w:sz w:val="14"/>
                          <w:szCs w:val="14"/>
                        </w:rPr>
                        <w:t>Asoci</w:t>
                      </w:r>
                      <w:r>
                        <w:rPr>
                          <w:sz w:val="14"/>
                          <w:szCs w:val="14"/>
                        </w:rPr>
                        <w:t>ado</w:t>
                      </w:r>
                      <w:r w:rsidRPr="00942C39">
                        <w:rPr>
                          <w:sz w:val="14"/>
                          <w:szCs w:val="14"/>
                        </w:rPr>
                        <w:t xml:space="preserve">s </w:t>
                      </w:r>
                      <w:r>
                        <w:rPr>
                          <w:sz w:val="14"/>
                          <w:szCs w:val="14"/>
                        </w:rPr>
                        <w:t>con tasas de pymes</w:t>
                      </w:r>
                    </w:p>
                  </w:txbxContent>
                </v:textbox>
                <w10:wrap anchorx="margin"/>
              </v:shape>
            </w:pict>
          </mc:Fallback>
        </mc:AlternateContent>
      </w:r>
      <w:r w:rsidR="00E33F6C" w:rsidRPr="00C317D5">
        <w:rPr>
          <w:noProof/>
          <w:lang w:eastAsia="es-ES"/>
        </w:rPr>
        <mc:AlternateContent>
          <mc:Choice Requires="wps">
            <w:drawing>
              <wp:anchor distT="0" distB="0" distL="114300" distR="114300" simplePos="0" relativeHeight="251673600" behindDoc="0" locked="0" layoutInCell="1" allowOverlap="1" wp14:anchorId="092E85F9" wp14:editId="2A7A5FF9">
                <wp:simplePos x="0" y="0"/>
                <wp:positionH relativeFrom="margin">
                  <wp:posOffset>3830091</wp:posOffset>
                </wp:positionH>
                <wp:positionV relativeFrom="paragraph">
                  <wp:posOffset>426543</wp:posOffset>
                </wp:positionV>
                <wp:extent cx="917347" cy="265888"/>
                <wp:effectExtent l="0" t="0" r="0" b="1270"/>
                <wp:wrapNone/>
                <wp:docPr id="24" name="Text Box 24"/>
                <wp:cNvGraphicFramePr/>
                <a:graphic xmlns:a="http://schemas.openxmlformats.org/drawingml/2006/main">
                  <a:graphicData uri="http://schemas.microsoft.com/office/word/2010/wordprocessingShape">
                    <wps:wsp>
                      <wps:cNvSpPr txBox="1"/>
                      <wps:spPr>
                        <a:xfrm>
                          <a:off x="0" y="0"/>
                          <a:ext cx="917347" cy="265888"/>
                        </a:xfrm>
                        <a:prstGeom prst="rect">
                          <a:avLst/>
                        </a:prstGeom>
                        <a:solidFill>
                          <a:schemeClr val="lt1"/>
                        </a:solidFill>
                        <a:ln w="6350">
                          <a:noFill/>
                        </a:ln>
                      </wps:spPr>
                      <wps:txbx>
                        <w:txbxContent>
                          <w:p w14:paraId="0ECF052C" w14:textId="02F1218A" w:rsidR="00CF38BD" w:rsidRPr="008742D2" w:rsidRDefault="00CF38BD" w:rsidP="00E33F6C">
                            <w:pPr>
                              <w:spacing w:before="0" w:line="120" w:lineRule="exact"/>
                              <w:jc w:val="center"/>
                              <w:rPr>
                                <w:sz w:val="13"/>
                                <w:szCs w:val="13"/>
                              </w:rPr>
                            </w:pPr>
                            <w:r w:rsidRPr="008742D2">
                              <w:rPr>
                                <w:b/>
                                <w:bCs/>
                                <w:color w:val="548DD4" w:themeColor="text2" w:themeTint="99"/>
                                <w:sz w:val="13"/>
                                <w:szCs w:val="13"/>
                              </w:rPr>
                              <w:t>Instituciones</w:t>
                            </w:r>
                            <w:r w:rsidRPr="008742D2">
                              <w:rPr>
                                <w:b/>
                                <w:bCs/>
                                <w:color w:val="548DD4" w:themeColor="text2" w:themeTint="99"/>
                                <w:sz w:val="13"/>
                                <w:szCs w:val="13"/>
                              </w:rPr>
                              <w:br/>
                              <w:t>Académicas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E85F9" id="Text Box 24" o:spid="_x0000_s1035" type="#_x0000_t202" style="position:absolute;left:0;text-align:left;margin-left:301.6pt;margin-top:33.6pt;width:72.25pt;height:20.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OfRQIAAHkEAAAOAAAAZHJzL2Uyb0RvYy54bWysVMGO2jAQvVfqP1i+lwALLESEFWVFVQnt&#10;rgTVno3jEEuOx7UNCf36jh3CUnqrenHsmfHzvDczmT81lSInYZ0EndFBr0+J0BxyqQ8Z/bFbf5lS&#10;4jzTOVOgRUbPwtGnxedP89qkYgglqFxYgiDapbXJaOm9SZPE8VJUzPXACI3OAmzFPB7tIcktqxG9&#10;Usmw358kNdjcWODCObQ+t066iPhFIbh/LQonPFEZxdx8XG1c92FNFnOWHiwzpeSXNNg/ZFExqfHR&#10;K9Qz84wcrfwLqpLcgoPC9zhUCRSF5CJyQDaD/h2bbcmMiFxQHGeuMrn/B8tfTm+WyDyjwxElmlVY&#10;o51oPPkKDUET6lMbl2LY1mCgb9COde7sDo2BdlPYKnyREEE/Kn2+qhvQOBpng8eH0SMlHF3DyXg6&#10;nQaU5OOysc5/E1CRsMmoxeJFTdlp43wb2oWEtxwoma+lUvEQGkaslCUnhqVWPqaI4H9EKU3qjE4e&#10;xv0IrCFcb5GVxlwC1ZZS2Plm30RpZh3dPeRnVMFC20fO8LXEXDfM+TdmsXGQOA6Df8WlUIBvcSUN&#10;JSXYX/e2EId1RA8lNTZgRt3PI7OCEvVdY4Vng9EodGw8jMaPQzzYW8/+1qOP1QqQ+ADHzfC4DfFe&#10;ddvCQvWOs7IMr6KLaY5vZ9R325VvxwJnjYvlMgZhjxrmN3preIAOQocK7Jp3Zs2lTB7r+wJdq7L0&#10;rlptbLipYXn0UMhYyqBvq+ZFduzv2AyXWQwDdHuOUR9/jMVvAAAA//8DAFBLAwQUAAYACAAAACEA&#10;z2ojk+AAAAAKAQAADwAAAGRycy9kb3ducmV2LnhtbEyPTU/DMAyG70j8h8hIXBBLtsIKpemEEDCJ&#10;Gysf4pY1pq1onKrJ2vLvMSc42ZYfvX6cb2bXiRGH0HrSsFwoEEiVty3VGl7Kh/MrECEasqbzhBq+&#10;McCmOD7KTWb9RM847mItOIRCZjQ0MfaZlKFq0Jmw8D0S7z794EzkcailHczE4a6TK6XW0pmW+EJj&#10;erxrsPraHZyGj7P6/SnMj69Tcpn099uxTN9sqfXpyXx7AyLiHP9g+NVndSjYae8PZIPoNKxVsmKU&#10;m5QrA+lFmoLYM6mulyCLXP5/ofgBAAD//wMAUEsBAi0AFAAGAAgAAAAhALaDOJL+AAAA4QEAABMA&#10;AAAAAAAAAAAAAAAAAAAAAFtDb250ZW50X1R5cGVzXS54bWxQSwECLQAUAAYACAAAACEAOP0h/9YA&#10;AACUAQAACwAAAAAAAAAAAAAAAAAvAQAAX3JlbHMvLnJlbHNQSwECLQAUAAYACAAAACEAnlRTn0UC&#10;AAB5BAAADgAAAAAAAAAAAAAAAAAuAgAAZHJzL2Uyb0RvYy54bWxQSwECLQAUAAYACAAAACEAz2oj&#10;k+AAAAAKAQAADwAAAAAAAAAAAAAAAACfBAAAZHJzL2Rvd25yZXYueG1sUEsFBgAAAAAEAAQA8wAA&#10;AKwFAAAAAA==&#10;" fillcolor="white [3201]" stroked="f" strokeweight=".5pt">
                <v:textbox>
                  <w:txbxContent>
                    <w:p w14:paraId="0ECF052C" w14:textId="02F1218A" w:rsidR="00CF38BD" w:rsidRPr="008742D2" w:rsidRDefault="00CF38BD" w:rsidP="00E33F6C">
                      <w:pPr>
                        <w:spacing w:before="0" w:line="120" w:lineRule="exact"/>
                        <w:jc w:val="center"/>
                        <w:rPr>
                          <w:sz w:val="13"/>
                          <w:szCs w:val="13"/>
                        </w:rPr>
                      </w:pPr>
                      <w:r w:rsidRPr="008742D2">
                        <w:rPr>
                          <w:b/>
                          <w:bCs/>
                          <w:color w:val="548DD4" w:themeColor="text2" w:themeTint="99"/>
                          <w:sz w:val="13"/>
                          <w:szCs w:val="13"/>
                        </w:rPr>
                        <w:t>Instituciones</w:t>
                      </w:r>
                      <w:r w:rsidRPr="008742D2">
                        <w:rPr>
                          <w:b/>
                          <w:bCs/>
                          <w:color w:val="548DD4" w:themeColor="text2" w:themeTint="99"/>
                          <w:sz w:val="13"/>
                          <w:szCs w:val="13"/>
                        </w:rPr>
                        <w:br/>
                        <w:t>Académicas</w:t>
                      </w:r>
                    </w:p>
                  </w:txbxContent>
                </v:textbox>
                <w10:wrap anchorx="margin"/>
              </v:shape>
            </w:pict>
          </mc:Fallback>
        </mc:AlternateContent>
      </w:r>
      <w:r w:rsidR="009A11D1" w:rsidRPr="00C317D5">
        <w:rPr>
          <w:noProof/>
          <w:lang w:eastAsia="es-ES"/>
        </w:rPr>
        <mc:AlternateContent>
          <mc:Choice Requires="wps">
            <w:drawing>
              <wp:anchor distT="0" distB="0" distL="114300" distR="114300" simplePos="0" relativeHeight="251692032" behindDoc="0" locked="0" layoutInCell="1" allowOverlap="1" wp14:anchorId="280AAA73" wp14:editId="7838E471">
                <wp:simplePos x="0" y="0"/>
                <wp:positionH relativeFrom="margin">
                  <wp:posOffset>4865497</wp:posOffset>
                </wp:positionH>
                <wp:positionV relativeFrom="paragraph">
                  <wp:posOffset>1070965</wp:posOffset>
                </wp:positionV>
                <wp:extent cx="683895" cy="102235"/>
                <wp:effectExtent l="0" t="0" r="1905" b="0"/>
                <wp:wrapNone/>
                <wp:docPr id="28" name="Text Box 28"/>
                <wp:cNvGraphicFramePr/>
                <a:graphic xmlns:a="http://schemas.openxmlformats.org/drawingml/2006/main">
                  <a:graphicData uri="http://schemas.microsoft.com/office/word/2010/wordprocessingShape">
                    <wps:wsp>
                      <wps:cNvSpPr txBox="1"/>
                      <wps:spPr>
                        <a:xfrm>
                          <a:off x="0" y="0"/>
                          <a:ext cx="683895" cy="102235"/>
                        </a:xfrm>
                        <a:prstGeom prst="rect">
                          <a:avLst/>
                        </a:prstGeom>
                        <a:solidFill>
                          <a:schemeClr val="lt1"/>
                        </a:solidFill>
                        <a:ln w="6350">
                          <a:noFill/>
                        </a:ln>
                      </wps:spPr>
                      <wps:txbx>
                        <w:txbxContent>
                          <w:p w14:paraId="24FFFD65" w14:textId="043F10EC" w:rsidR="00CF38BD" w:rsidRPr="009A11D1" w:rsidRDefault="00CF38BD" w:rsidP="009A11D1">
                            <w:pPr>
                              <w:spacing w:before="0"/>
                              <w:rPr>
                                <w:rFonts w:ascii="Arial" w:hAnsi="Arial" w:cs="Arial"/>
                                <w:sz w:val="14"/>
                                <w:szCs w:val="14"/>
                                <w:lang w:val="fr-CH"/>
                              </w:rPr>
                            </w:pPr>
                            <w:r w:rsidRPr="009A11D1">
                              <w:rPr>
                                <w:rFonts w:ascii="Arial" w:hAnsi="Arial" w:cs="Arial"/>
                                <w:b/>
                                <w:bCs/>
                                <w:color w:val="4F81BD" w:themeColor="accent1"/>
                                <w:sz w:val="14"/>
                                <w:szCs w:val="14"/>
                              </w:rPr>
                              <w:t xml:space="preserve">CHF </w:t>
                            </w:r>
                            <w:r>
                              <w:rPr>
                                <w:rFonts w:ascii="Arial" w:hAnsi="Arial" w:cs="Arial"/>
                                <w:b/>
                                <w:bCs/>
                                <w:color w:val="4F81BD" w:themeColor="accent1"/>
                                <w:sz w:val="14"/>
                                <w:szCs w:val="14"/>
                              </w:rPr>
                              <w:t>1</w:t>
                            </w:r>
                            <w:r w:rsidRPr="009A11D1">
                              <w:rPr>
                                <w:rFonts w:ascii="Arial" w:hAnsi="Arial" w:cs="Arial"/>
                                <w:b/>
                                <w:bCs/>
                                <w:color w:val="4F81BD" w:themeColor="accent1"/>
                                <w:sz w:val="14"/>
                                <w:szCs w:val="14"/>
                              </w:rPr>
                              <w:t>6 8</w:t>
                            </w:r>
                            <w:r>
                              <w:rPr>
                                <w:rFonts w:ascii="Arial" w:hAnsi="Arial" w:cs="Arial"/>
                                <w:b/>
                                <w:bCs/>
                                <w:color w:val="4F81BD" w:themeColor="accent1"/>
                                <w:sz w:val="14"/>
                                <w:szCs w:val="14"/>
                              </w:rPr>
                              <w:t>72</w:t>
                            </w:r>
                            <w:r w:rsidRPr="009A11D1">
                              <w:rPr>
                                <w:rFonts w:ascii="Arial" w:hAnsi="Arial" w:cs="Arial"/>
                                <w:b/>
                                <w:bCs/>
                                <w:color w:val="4F81BD" w:themeColor="accent1"/>
                                <w:sz w:val="14"/>
                                <w:szCs w:val="14"/>
                              </w:rPr>
                              <w:t xml:space="preserve"> </w:t>
                            </w:r>
                            <w:r>
                              <w:rPr>
                                <w:rFonts w:ascii="Arial" w:hAnsi="Arial" w:cs="Arial"/>
                                <w:b/>
                                <w:bCs/>
                                <w:color w:val="4F81BD" w:themeColor="accent1"/>
                                <w:sz w:val="14"/>
                                <w:szCs w:val="14"/>
                              </w:rPr>
                              <w:t>550</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AAA73" id="Text Box 28" o:spid="_x0000_s1036" type="#_x0000_t202" style="position:absolute;left:0;text-align:left;margin-left:383.1pt;margin-top:84.35pt;width:53.85pt;height:8.0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0++OgIAAGoEAAAOAAAAZHJzL2Uyb0RvYy54bWysVMFu2zAMvQ/YPwi6L3ZSpOiCOkXWIsOA&#10;oi3QDD0rstwIkEVNUmJ3X78nOW627DbsotAk9US+R+b6pm8NOygfNNmKTyclZ8pKqrV9rfj3zfrT&#10;FWchClsLQ1ZV/E0FfrP8+OG6cws1ox2ZWnkGEBsWnav4Lka3KIogd6oVYUJOWQQb8q2I+PSvRe1F&#10;B/TWFLOyvCw68rXzJFUI8N4NQb7M+E2jZHxsmqAiMxVHbTGfPp/bdBbLa7F49cLttDyWIf6hilZo&#10;i0ffoe5EFGzv9V9QrZaeAjVxIqktqGm0VLkHdDMtz7p53gmnci8gJ7h3msL/g5UPhyfPdF3xGZSy&#10;ooVGG9VH9oV6Bhf46VxYIO3ZITH28EPn0R/gTG33jW/TLxpiiIPpt3d2E5qE8/Lq4urznDOJ0LSc&#10;zS7mCaU4XXY+xK+KWpaMinuIlzkVh/sQh9QxJb0VyOh6rY3JH2lg1K3x7CAgtYm5RID/kWUs61DI&#10;xbzMwJbS9QHZWNSSWh1aSlbst32mZprnJLm2VL+BBk/DIAUn1xrF3osQn4TH5KBzbEN8xNEYwmPS&#10;aMfZjvzPc1/Kg5CIcNZhAisefuyFV5yZbxYSp3EdDT8a29Gw+/aW0OkU++VkNnHBRzOajaf2Bcux&#10;Sq8gJKzEWxWPo3kbhz3Ackm1WuUkDKUT8d4+O5mgE7OJ8k3/Irw76hIh6AONsykWZ/IMuemmpdU+&#10;UqOzdif2jjxjoLP6x+VLG/P7d846/UUsfwEAAP//AwBQSwMEFAAGAAgAAAAhABew2CriAAAACwEA&#10;AA8AAABkcnMvZG93bnJldi54bWxMj8FOwzAMhu9IvENkJC5oSxlTGkrTCZA4IDEhNrRz1oS2LHFK&#10;k20dT485wdH+P/3+XC5G79jBDrELqOB6mgGzWAfTYaPgff00kcBi0mi0C2gVnGyERXV+VurChCO+&#10;2cMqNYxKMBZaQZtSX3Ae69Z6Haeht0jZRxi8TjQODTeDPlK5d3yWZYJ73SFdaHVvH1tb71Z7r0Ce&#10;5surjcg3n+71+aH9br7wZaeVurwY7++AJTumPxh+9UkdKnLahj2ayJyCXIgZoRQImQMjQuY3t8C2&#10;tJFzCbwq+f8fqh8AAAD//wMAUEsBAi0AFAAGAAgAAAAhALaDOJL+AAAA4QEAABMAAAAAAAAAAAAA&#10;AAAAAAAAAFtDb250ZW50X1R5cGVzXS54bWxQSwECLQAUAAYACAAAACEAOP0h/9YAAACUAQAACwAA&#10;AAAAAAAAAAAAAAAvAQAAX3JlbHMvLnJlbHNQSwECLQAUAAYACAAAACEAsvdPvjoCAABqBAAADgAA&#10;AAAAAAAAAAAAAAAuAgAAZHJzL2Uyb0RvYy54bWxQSwECLQAUAAYACAAAACEAF7DYKuIAAAALAQAA&#10;DwAAAAAAAAAAAAAAAACUBAAAZHJzL2Rvd25yZXYueG1sUEsFBgAAAAAEAAQA8wAAAKMFAAAAAA==&#10;" fillcolor="white [3201]" stroked="f" strokeweight=".5pt">
                <v:textbox inset="0,0,0,0">
                  <w:txbxContent>
                    <w:p w14:paraId="24FFFD65" w14:textId="043F10EC" w:rsidR="00CF38BD" w:rsidRPr="009A11D1" w:rsidRDefault="00CF38BD" w:rsidP="009A11D1">
                      <w:pPr>
                        <w:spacing w:before="0"/>
                        <w:rPr>
                          <w:rFonts w:ascii="Arial" w:hAnsi="Arial" w:cs="Arial"/>
                          <w:sz w:val="14"/>
                          <w:szCs w:val="14"/>
                          <w:lang w:val="fr-CH"/>
                        </w:rPr>
                      </w:pPr>
                      <w:r w:rsidRPr="009A11D1">
                        <w:rPr>
                          <w:rFonts w:ascii="Arial" w:hAnsi="Arial" w:cs="Arial"/>
                          <w:b/>
                          <w:bCs/>
                          <w:color w:val="4F81BD" w:themeColor="accent1"/>
                          <w:sz w:val="14"/>
                          <w:szCs w:val="14"/>
                        </w:rPr>
                        <w:t xml:space="preserve">CHF </w:t>
                      </w:r>
                      <w:r>
                        <w:rPr>
                          <w:rFonts w:ascii="Arial" w:hAnsi="Arial" w:cs="Arial"/>
                          <w:b/>
                          <w:bCs/>
                          <w:color w:val="4F81BD" w:themeColor="accent1"/>
                          <w:sz w:val="14"/>
                          <w:szCs w:val="14"/>
                        </w:rPr>
                        <w:t>1</w:t>
                      </w:r>
                      <w:r w:rsidRPr="009A11D1">
                        <w:rPr>
                          <w:rFonts w:ascii="Arial" w:hAnsi="Arial" w:cs="Arial"/>
                          <w:b/>
                          <w:bCs/>
                          <w:color w:val="4F81BD" w:themeColor="accent1"/>
                          <w:sz w:val="14"/>
                          <w:szCs w:val="14"/>
                        </w:rPr>
                        <w:t>6 8</w:t>
                      </w:r>
                      <w:r>
                        <w:rPr>
                          <w:rFonts w:ascii="Arial" w:hAnsi="Arial" w:cs="Arial"/>
                          <w:b/>
                          <w:bCs/>
                          <w:color w:val="4F81BD" w:themeColor="accent1"/>
                          <w:sz w:val="14"/>
                          <w:szCs w:val="14"/>
                        </w:rPr>
                        <w:t>72</w:t>
                      </w:r>
                      <w:r w:rsidRPr="009A11D1">
                        <w:rPr>
                          <w:rFonts w:ascii="Arial" w:hAnsi="Arial" w:cs="Arial"/>
                          <w:b/>
                          <w:bCs/>
                          <w:color w:val="4F81BD" w:themeColor="accent1"/>
                          <w:sz w:val="14"/>
                          <w:szCs w:val="14"/>
                        </w:rPr>
                        <w:t xml:space="preserve"> </w:t>
                      </w:r>
                      <w:r>
                        <w:rPr>
                          <w:rFonts w:ascii="Arial" w:hAnsi="Arial" w:cs="Arial"/>
                          <w:b/>
                          <w:bCs/>
                          <w:color w:val="4F81BD" w:themeColor="accent1"/>
                          <w:sz w:val="14"/>
                          <w:szCs w:val="14"/>
                        </w:rPr>
                        <w:t>550</w:t>
                      </w:r>
                    </w:p>
                  </w:txbxContent>
                </v:textbox>
                <w10:wrap anchorx="margin"/>
              </v:shape>
            </w:pict>
          </mc:Fallback>
        </mc:AlternateContent>
      </w:r>
      <w:r w:rsidR="009A11D1" w:rsidRPr="00C317D5">
        <w:rPr>
          <w:noProof/>
          <w:lang w:eastAsia="es-ES"/>
        </w:rPr>
        <mc:AlternateContent>
          <mc:Choice Requires="wps">
            <w:drawing>
              <wp:anchor distT="0" distB="0" distL="114300" distR="114300" simplePos="0" relativeHeight="251689984" behindDoc="0" locked="0" layoutInCell="1" allowOverlap="1" wp14:anchorId="45F098C2" wp14:editId="20A6736D">
                <wp:simplePos x="0" y="0"/>
                <wp:positionH relativeFrom="margin">
                  <wp:posOffset>4014165</wp:posOffset>
                </wp:positionH>
                <wp:positionV relativeFrom="paragraph">
                  <wp:posOffset>1065530</wp:posOffset>
                </wp:positionV>
                <wp:extent cx="684000" cy="102413"/>
                <wp:effectExtent l="0" t="0" r="1905" b="0"/>
                <wp:wrapNone/>
                <wp:docPr id="21" name="Text Box 21"/>
                <wp:cNvGraphicFramePr/>
                <a:graphic xmlns:a="http://schemas.openxmlformats.org/drawingml/2006/main">
                  <a:graphicData uri="http://schemas.microsoft.com/office/word/2010/wordprocessingShape">
                    <wps:wsp>
                      <wps:cNvSpPr txBox="1"/>
                      <wps:spPr>
                        <a:xfrm>
                          <a:off x="0" y="0"/>
                          <a:ext cx="684000" cy="102413"/>
                        </a:xfrm>
                        <a:prstGeom prst="rect">
                          <a:avLst/>
                        </a:prstGeom>
                        <a:solidFill>
                          <a:schemeClr val="lt1"/>
                        </a:solidFill>
                        <a:ln w="6350">
                          <a:noFill/>
                        </a:ln>
                      </wps:spPr>
                      <wps:txbx>
                        <w:txbxContent>
                          <w:p w14:paraId="4E6CBD5D" w14:textId="32EFF833" w:rsidR="00CF38BD" w:rsidRPr="009A11D1" w:rsidRDefault="00CF38BD" w:rsidP="009A11D1">
                            <w:pPr>
                              <w:spacing w:before="0"/>
                              <w:rPr>
                                <w:rFonts w:ascii="Arial" w:hAnsi="Arial" w:cs="Arial"/>
                                <w:sz w:val="14"/>
                                <w:szCs w:val="14"/>
                                <w:lang w:val="fr-CH"/>
                              </w:rPr>
                            </w:pPr>
                            <w:r w:rsidRPr="009A11D1">
                              <w:rPr>
                                <w:rFonts w:ascii="Arial" w:hAnsi="Arial" w:cs="Arial"/>
                                <w:b/>
                                <w:bCs/>
                                <w:color w:val="4F81BD" w:themeColor="accent1"/>
                                <w:sz w:val="14"/>
                                <w:szCs w:val="14"/>
                              </w:rPr>
                              <w:t xml:space="preserve">CHF </w:t>
                            </w:r>
                            <w:r>
                              <w:rPr>
                                <w:rFonts w:ascii="Arial" w:hAnsi="Arial" w:cs="Arial"/>
                                <w:b/>
                                <w:bCs/>
                                <w:color w:val="4F81BD" w:themeColor="accent1"/>
                                <w:sz w:val="14"/>
                                <w:szCs w:val="14"/>
                              </w:rPr>
                              <w:t>449</w:t>
                            </w:r>
                            <w:r w:rsidRPr="009A11D1">
                              <w:rPr>
                                <w:rFonts w:ascii="Arial" w:hAnsi="Arial" w:cs="Arial"/>
                                <w:b/>
                                <w:bCs/>
                                <w:color w:val="4F81BD" w:themeColor="accent1"/>
                                <w:sz w:val="14"/>
                                <w:szCs w:val="14"/>
                              </w:rPr>
                              <w:t xml:space="preserve"> </w:t>
                            </w:r>
                            <w:r>
                              <w:rPr>
                                <w:rFonts w:ascii="Arial" w:hAnsi="Arial" w:cs="Arial"/>
                                <w:b/>
                                <w:bCs/>
                                <w:color w:val="4F81BD" w:themeColor="accent1"/>
                                <w:sz w:val="14"/>
                                <w:szCs w:val="14"/>
                              </w:rPr>
                              <w:t>175</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098C2" id="Text Box 21" o:spid="_x0000_s1037" type="#_x0000_t202" style="position:absolute;left:0;text-align:left;margin-left:316.1pt;margin-top:83.9pt;width:53.85pt;height:8.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6y7OAIAAGoEAAAOAAAAZHJzL2Uyb0RvYy54bWysVMFu2zAMvQ/YPwi6L3bSriiCOEXWosOA&#10;oC2QDD0rstwIkEVNUmJ3X78nOU637jbsotAk9US+R2Zx07eGHZUPmmzFp5OSM2Ul1dq+VPz79v7T&#10;NWchClsLQ1ZV/FUFfrP8+GHRubma0Z5MrTwDiA3zzlV8H6ObF0WQe9WKMCGnLIIN+VZEfPqXovai&#10;A3prillZXhUd+dp5kioEeO+GIF9m/KZRMj42TVCRmYqjtphPn89dOovlQsxfvHB7LU9liH+oohXa&#10;4tEz1J2Igh28/guq1dJToCZOJLUFNY2WKveAbqblu242e+FU7gXkBHemKfw/WPlwfPJM1xWfTTmz&#10;ooVGW9VH9oV6Bhf46VyYI23jkBh7+KHz6A9wprb7xrfpFw0xxMH065ndhCbhvLq+LEtEJELTcnY5&#10;vUgoxdtl50P8qqhlyai4h3iZU3FchzikjinprUBG1/famPyRBkbdGs+OAlKbmEsE+B9ZxrIOhVx8&#10;LjOwpXR9QDYWtaRWh5aSFftdn6mZnvvdUf0KGjwNgxScvNcodi1CfBIek4P+sA3xEUdjCI9Jox1n&#10;e/I/3/tSHoREhLMOE1jx8OMgvOLMfLOQGFBxNPxo7EbDHtpbQqdQDVVkExd8NKPZeGqfsRyr9ApC&#10;wkq8VfE4mrdx2AMsl1SrVU7CUDoR13bjZIJOzCbKt/2z8O6kS4SgDzTOppi/k2fITTctrQ6RGp21&#10;S4QO7J14xkBn9U/Llzbm9++c9fYXsfwFAAD//wMAUEsDBBQABgAIAAAAIQDYKbCp4QAAAAsBAAAP&#10;AAAAZHJzL2Rvd25yZXYueG1sTI/NTsMwEITvSLyDtUhcEHVIUP6IUwESByQQoqCe3djEofY6xG6b&#10;8vQsJzjuzKfZmWY5O8v2egqDRwFXiwSYxs6rAXsB728PlyWwECUqaT1qAUcdYNmenjSyVv6Ar3q/&#10;ij2jEAy1FGBiHGvOQ2e0k2HhR43kffjJyUjn1HM1yQOFO8vTJMm5kwPSByNHfW90t13tnIDyeP18&#10;sc6L9ad9ebwz3/0XPm2lEOdn8+0NsKjn+AfDb32qDi112vgdqsCsgDxLU0LJyAvaQESRVRWwDSll&#10;VgFvG/5/Q/sDAAD//wMAUEsBAi0AFAAGAAgAAAAhALaDOJL+AAAA4QEAABMAAAAAAAAAAAAAAAAA&#10;AAAAAFtDb250ZW50X1R5cGVzXS54bWxQSwECLQAUAAYACAAAACEAOP0h/9YAAACUAQAACwAAAAAA&#10;AAAAAAAAAAAvAQAAX3JlbHMvLnJlbHNQSwECLQAUAAYACAAAACEA+p+suzgCAABqBAAADgAAAAAA&#10;AAAAAAAAAAAuAgAAZHJzL2Uyb0RvYy54bWxQSwECLQAUAAYACAAAACEA2CmwqeEAAAALAQAADwAA&#10;AAAAAAAAAAAAAACSBAAAZHJzL2Rvd25yZXYueG1sUEsFBgAAAAAEAAQA8wAAAKAFAAAAAA==&#10;" fillcolor="white [3201]" stroked="f" strokeweight=".5pt">
                <v:textbox inset="0,0,0,0">
                  <w:txbxContent>
                    <w:p w14:paraId="4E6CBD5D" w14:textId="32EFF833" w:rsidR="00CF38BD" w:rsidRPr="009A11D1" w:rsidRDefault="00CF38BD" w:rsidP="009A11D1">
                      <w:pPr>
                        <w:spacing w:before="0"/>
                        <w:rPr>
                          <w:rFonts w:ascii="Arial" w:hAnsi="Arial" w:cs="Arial"/>
                          <w:sz w:val="14"/>
                          <w:szCs w:val="14"/>
                          <w:lang w:val="fr-CH"/>
                        </w:rPr>
                      </w:pPr>
                      <w:r w:rsidRPr="009A11D1">
                        <w:rPr>
                          <w:rFonts w:ascii="Arial" w:hAnsi="Arial" w:cs="Arial"/>
                          <w:b/>
                          <w:bCs/>
                          <w:color w:val="4F81BD" w:themeColor="accent1"/>
                          <w:sz w:val="14"/>
                          <w:szCs w:val="14"/>
                        </w:rPr>
                        <w:t xml:space="preserve">CHF </w:t>
                      </w:r>
                      <w:r>
                        <w:rPr>
                          <w:rFonts w:ascii="Arial" w:hAnsi="Arial" w:cs="Arial"/>
                          <w:b/>
                          <w:bCs/>
                          <w:color w:val="4F81BD" w:themeColor="accent1"/>
                          <w:sz w:val="14"/>
                          <w:szCs w:val="14"/>
                        </w:rPr>
                        <w:t>449</w:t>
                      </w:r>
                      <w:r w:rsidRPr="009A11D1">
                        <w:rPr>
                          <w:rFonts w:ascii="Arial" w:hAnsi="Arial" w:cs="Arial"/>
                          <w:b/>
                          <w:bCs/>
                          <w:color w:val="4F81BD" w:themeColor="accent1"/>
                          <w:sz w:val="14"/>
                          <w:szCs w:val="14"/>
                        </w:rPr>
                        <w:t xml:space="preserve"> </w:t>
                      </w:r>
                      <w:r>
                        <w:rPr>
                          <w:rFonts w:ascii="Arial" w:hAnsi="Arial" w:cs="Arial"/>
                          <w:b/>
                          <w:bCs/>
                          <w:color w:val="4F81BD" w:themeColor="accent1"/>
                          <w:sz w:val="14"/>
                          <w:szCs w:val="14"/>
                        </w:rPr>
                        <w:t>175</w:t>
                      </w:r>
                    </w:p>
                  </w:txbxContent>
                </v:textbox>
                <w10:wrap anchorx="margin"/>
              </v:shape>
            </w:pict>
          </mc:Fallback>
        </mc:AlternateContent>
      </w:r>
      <w:r w:rsidR="009A11D1" w:rsidRPr="00C317D5">
        <w:rPr>
          <w:noProof/>
          <w:lang w:eastAsia="es-ES"/>
        </w:rPr>
        <mc:AlternateContent>
          <mc:Choice Requires="wps">
            <w:drawing>
              <wp:anchor distT="0" distB="0" distL="114300" distR="114300" simplePos="0" relativeHeight="251687936" behindDoc="0" locked="0" layoutInCell="1" allowOverlap="1" wp14:anchorId="1A52C623" wp14:editId="39ACCC01">
                <wp:simplePos x="0" y="0"/>
                <wp:positionH relativeFrom="margin">
                  <wp:posOffset>3057957</wp:posOffset>
                </wp:positionH>
                <wp:positionV relativeFrom="paragraph">
                  <wp:posOffset>1066597</wp:posOffset>
                </wp:positionV>
                <wp:extent cx="684000" cy="102413"/>
                <wp:effectExtent l="0" t="0" r="1905" b="0"/>
                <wp:wrapNone/>
                <wp:docPr id="20" name="Text Box 20"/>
                <wp:cNvGraphicFramePr/>
                <a:graphic xmlns:a="http://schemas.openxmlformats.org/drawingml/2006/main">
                  <a:graphicData uri="http://schemas.microsoft.com/office/word/2010/wordprocessingShape">
                    <wps:wsp>
                      <wps:cNvSpPr txBox="1"/>
                      <wps:spPr>
                        <a:xfrm>
                          <a:off x="0" y="0"/>
                          <a:ext cx="684000" cy="102413"/>
                        </a:xfrm>
                        <a:prstGeom prst="rect">
                          <a:avLst/>
                        </a:prstGeom>
                        <a:solidFill>
                          <a:schemeClr val="lt1"/>
                        </a:solidFill>
                        <a:ln w="6350">
                          <a:noFill/>
                        </a:ln>
                      </wps:spPr>
                      <wps:txbx>
                        <w:txbxContent>
                          <w:p w14:paraId="51A6A0FD" w14:textId="7F826AC4" w:rsidR="00CF38BD" w:rsidRPr="009A11D1" w:rsidRDefault="00CF38BD" w:rsidP="009A11D1">
                            <w:pPr>
                              <w:spacing w:before="0"/>
                              <w:rPr>
                                <w:rFonts w:ascii="Arial" w:hAnsi="Arial" w:cs="Arial"/>
                                <w:sz w:val="14"/>
                                <w:szCs w:val="14"/>
                                <w:lang w:val="fr-CH"/>
                              </w:rPr>
                            </w:pPr>
                            <w:r w:rsidRPr="009A11D1">
                              <w:rPr>
                                <w:rFonts w:ascii="Arial" w:hAnsi="Arial" w:cs="Arial"/>
                                <w:b/>
                                <w:bCs/>
                                <w:color w:val="4F81BD" w:themeColor="accent1"/>
                                <w:sz w:val="14"/>
                                <w:szCs w:val="14"/>
                              </w:rPr>
                              <w:t xml:space="preserve">CHF </w:t>
                            </w:r>
                            <w:r>
                              <w:rPr>
                                <w:rFonts w:ascii="Arial" w:hAnsi="Arial" w:cs="Arial"/>
                                <w:b/>
                                <w:bCs/>
                                <w:color w:val="4F81BD" w:themeColor="accent1"/>
                                <w:sz w:val="14"/>
                                <w:szCs w:val="14"/>
                              </w:rPr>
                              <w:t>1</w:t>
                            </w:r>
                            <w:r w:rsidRPr="009A11D1">
                              <w:rPr>
                                <w:rFonts w:ascii="Arial" w:hAnsi="Arial" w:cs="Arial"/>
                                <w:b/>
                                <w:bCs/>
                                <w:color w:val="4F81BD" w:themeColor="accent1"/>
                                <w:sz w:val="14"/>
                                <w:szCs w:val="14"/>
                              </w:rPr>
                              <w:t xml:space="preserve"> </w:t>
                            </w:r>
                            <w:r>
                              <w:rPr>
                                <w:rFonts w:ascii="Arial" w:hAnsi="Arial" w:cs="Arial"/>
                                <w:b/>
                                <w:bCs/>
                                <w:color w:val="4F81BD" w:themeColor="accent1"/>
                                <w:sz w:val="14"/>
                                <w:szCs w:val="14"/>
                              </w:rPr>
                              <w:t>496</w:t>
                            </w:r>
                            <w:r w:rsidRPr="009A11D1">
                              <w:rPr>
                                <w:rFonts w:ascii="Arial" w:hAnsi="Arial" w:cs="Arial"/>
                                <w:b/>
                                <w:bCs/>
                                <w:color w:val="4F81BD" w:themeColor="accent1"/>
                                <w:sz w:val="14"/>
                                <w:szCs w:val="14"/>
                              </w:rPr>
                              <w:t xml:space="preserve"> </w:t>
                            </w:r>
                            <w:r>
                              <w:rPr>
                                <w:rFonts w:ascii="Arial" w:hAnsi="Arial" w:cs="Arial"/>
                                <w:b/>
                                <w:bCs/>
                                <w:color w:val="4F81BD" w:themeColor="accent1"/>
                                <w:sz w:val="14"/>
                                <w:szCs w:val="14"/>
                              </w:rPr>
                              <w:t>588</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2C623" id="Text Box 20" o:spid="_x0000_s1038" type="#_x0000_t202" style="position:absolute;left:0;text-align:left;margin-left:240.8pt;margin-top:84pt;width:53.85pt;height:8.0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1dOQIAAGoEAAAOAAAAZHJzL2Uyb0RvYy54bWysVMFu2zAMvQ/YPwi6r3bSriiCOEWWIsOA&#10;oi3QDD0rspwIkEVNUmJ3X78nOW637DbsotAk9cT3SGZ+27eGHZUPmmzFJxclZ8pKqrXdVfz7Zv3p&#10;hrMQha2FIasq/qoCv118/DDv3ExNaU+mVp4BxIZZ5yq+j9HNiiLIvWpFuCCnLIIN+VZEfPpdUXvR&#10;Ab01xbQsr4uOfO08SRUCvHdDkC8yftMoGR+bJqjITMVRW8ynz+c2ncViLmY7L9xey1MZ4h+qaIW2&#10;ePQN6k5EwQ5e/wXVaukpUBMvJLUFNY2WKnMAm0l5xuZ5L5zKXCBOcG8yhf8HKx+OT57puuJTyGNF&#10;ix5tVB/ZF+oZXNCnc2GGtGeHxNjDjz6P/gBnot03vk2/IMQQB9Trm7oJTcJ5fXNVlohIhCbl9Gpy&#10;mVCK98vOh/hVUcuSUXGP5mVNxfE+xCF1TElvBTK6Xmtj8kcaGLUynh0FWm1iLhHgf2QZyzoUcvm5&#10;zMCW0vUB2VjUkqgOlJIV+22fpZlMR75bql8hg6dhkIKTa41i70WIT8JjcsAP2xAfcTSG8Jg02nG2&#10;J//z3Jfy0EhEOOswgRUPPw7CK87MN4sWAyqOhh+N7WjYQ7siMJ1gv5zMJi74aEaz8dS+YDmW6RWE&#10;hJV4q+JxNFdx2AMsl1TLZU7CUDoR7+2zkwk6KZsk3/QvwrtTXyIa+kDjbIrZWXuG3HTT0vIQqdG5&#10;d0nQQb2Tzhjo3P3T8qWN+f07Z73/RSx+AQAA//8DAFBLAwQUAAYACAAAACEAY7gneeEAAAALAQAA&#10;DwAAAGRycy9kb3ducmV2LnhtbEyPwU7DMBBE70j8g7VIXBB1AiGYEKcCJA5IRYiCenZjE4fa6xC7&#10;bcrXs5zguDNPszP1fPKO7cwY+4AS8lkGzGAbdI+dhPe3x3MBLCaFWrmARsLBRJg3x0e1qnTY46vZ&#10;LVPHKARjpSTYlIaK89ha41WchcEgeR9h9CrROXZcj2pP4d7xiywruVc90gerBvNgTbtZbr0EcSie&#10;z1bl9erTvTzd2+/uCxcbJeXpyXR3CyyZKf3B8FufqkNDndZhizoyJ6EQeUkoGaWgUURciZtLYGtS&#10;RJEDb2r+f0PzAwAA//8DAFBLAQItABQABgAIAAAAIQC2gziS/gAAAOEBAAATAAAAAAAAAAAAAAAA&#10;AAAAAABbQ29udGVudF9UeXBlc10ueG1sUEsBAi0AFAAGAAgAAAAhADj9If/WAAAAlAEAAAsAAAAA&#10;AAAAAAAAAAAALwEAAF9yZWxzLy5yZWxzUEsBAi0AFAAGAAgAAAAhAONdHV05AgAAagQAAA4AAAAA&#10;AAAAAAAAAAAALgIAAGRycy9lMm9Eb2MueG1sUEsBAi0AFAAGAAgAAAAhAGO4J3nhAAAACwEAAA8A&#10;AAAAAAAAAAAAAAAAkwQAAGRycy9kb3ducmV2LnhtbFBLBQYAAAAABAAEAPMAAAChBQAAAAA=&#10;" fillcolor="white [3201]" stroked="f" strokeweight=".5pt">
                <v:textbox inset="0,0,0,0">
                  <w:txbxContent>
                    <w:p w14:paraId="51A6A0FD" w14:textId="7F826AC4" w:rsidR="00CF38BD" w:rsidRPr="009A11D1" w:rsidRDefault="00CF38BD" w:rsidP="009A11D1">
                      <w:pPr>
                        <w:spacing w:before="0"/>
                        <w:rPr>
                          <w:rFonts w:ascii="Arial" w:hAnsi="Arial" w:cs="Arial"/>
                          <w:sz w:val="14"/>
                          <w:szCs w:val="14"/>
                          <w:lang w:val="fr-CH"/>
                        </w:rPr>
                      </w:pPr>
                      <w:r w:rsidRPr="009A11D1">
                        <w:rPr>
                          <w:rFonts w:ascii="Arial" w:hAnsi="Arial" w:cs="Arial"/>
                          <w:b/>
                          <w:bCs/>
                          <w:color w:val="4F81BD" w:themeColor="accent1"/>
                          <w:sz w:val="14"/>
                          <w:szCs w:val="14"/>
                        </w:rPr>
                        <w:t xml:space="preserve">CHF </w:t>
                      </w:r>
                      <w:r>
                        <w:rPr>
                          <w:rFonts w:ascii="Arial" w:hAnsi="Arial" w:cs="Arial"/>
                          <w:b/>
                          <w:bCs/>
                          <w:color w:val="4F81BD" w:themeColor="accent1"/>
                          <w:sz w:val="14"/>
                          <w:szCs w:val="14"/>
                        </w:rPr>
                        <w:t>1</w:t>
                      </w:r>
                      <w:r w:rsidRPr="009A11D1">
                        <w:rPr>
                          <w:rFonts w:ascii="Arial" w:hAnsi="Arial" w:cs="Arial"/>
                          <w:b/>
                          <w:bCs/>
                          <w:color w:val="4F81BD" w:themeColor="accent1"/>
                          <w:sz w:val="14"/>
                          <w:szCs w:val="14"/>
                        </w:rPr>
                        <w:t xml:space="preserve"> </w:t>
                      </w:r>
                      <w:r>
                        <w:rPr>
                          <w:rFonts w:ascii="Arial" w:hAnsi="Arial" w:cs="Arial"/>
                          <w:b/>
                          <w:bCs/>
                          <w:color w:val="4F81BD" w:themeColor="accent1"/>
                          <w:sz w:val="14"/>
                          <w:szCs w:val="14"/>
                        </w:rPr>
                        <w:t>496</w:t>
                      </w:r>
                      <w:r w:rsidRPr="009A11D1">
                        <w:rPr>
                          <w:rFonts w:ascii="Arial" w:hAnsi="Arial" w:cs="Arial"/>
                          <w:b/>
                          <w:bCs/>
                          <w:color w:val="4F81BD" w:themeColor="accent1"/>
                          <w:sz w:val="14"/>
                          <w:szCs w:val="14"/>
                        </w:rPr>
                        <w:t xml:space="preserve"> </w:t>
                      </w:r>
                      <w:r>
                        <w:rPr>
                          <w:rFonts w:ascii="Arial" w:hAnsi="Arial" w:cs="Arial"/>
                          <w:b/>
                          <w:bCs/>
                          <w:color w:val="4F81BD" w:themeColor="accent1"/>
                          <w:sz w:val="14"/>
                          <w:szCs w:val="14"/>
                        </w:rPr>
                        <w:t>588</w:t>
                      </w:r>
                    </w:p>
                  </w:txbxContent>
                </v:textbox>
                <w10:wrap anchorx="margin"/>
              </v:shape>
            </w:pict>
          </mc:Fallback>
        </mc:AlternateContent>
      </w:r>
      <w:r w:rsidR="009A11D1" w:rsidRPr="00C317D5">
        <w:rPr>
          <w:noProof/>
          <w:lang w:eastAsia="es-ES"/>
        </w:rPr>
        <mc:AlternateContent>
          <mc:Choice Requires="wps">
            <w:drawing>
              <wp:anchor distT="0" distB="0" distL="114300" distR="114300" simplePos="0" relativeHeight="251685888" behindDoc="0" locked="0" layoutInCell="1" allowOverlap="1" wp14:anchorId="6A9BECCA" wp14:editId="172FBDF2">
                <wp:simplePos x="0" y="0"/>
                <wp:positionH relativeFrom="margin">
                  <wp:posOffset>2194560</wp:posOffset>
                </wp:positionH>
                <wp:positionV relativeFrom="paragraph">
                  <wp:posOffset>1074699</wp:posOffset>
                </wp:positionV>
                <wp:extent cx="684000" cy="102413"/>
                <wp:effectExtent l="0" t="0" r="1905" b="0"/>
                <wp:wrapNone/>
                <wp:docPr id="15" name="Text Box 15"/>
                <wp:cNvGraphicFramePr/>
                <a:graphic xmlns:a="http://schemas.openxmlformats.org/drawingml/2006/main">
                  <a:graphicData uri="http://schemas.microsoft.com/office/word/2010/wordprocessingShape">
                    <wps:wsp>
                      <wps:cNvSpPr txBox="1"/>
                      <wps:spPr>
                        <a:xfrm>
                          <a:off x="0" y="0"/>
                          <a:ext cx="684000" cy="102413"/>
                        </a:xfrm>
                        <a:prstGeom prst="rect">
                          <a:avLst/>
                        </a:prstGeom>
                        <a:solidFill>
                          <a:schemeClr val="lt1"/>
                        </a:solidFill>
                        <a:ln w="6350">
                          <a:noFill/>
                        </a:ln>
                      </wps:spPr>
                      <wps:txbx>
                        <w:txbxContent>
                          <w:p w14:paraId="55E03E95" w14:textId="56766340" w:rsidR="00CF38BD" w:rsidRPr="009A11D1" w:rsidRDefault="00CF38BD" w:rsidP="009A11D1">
                            <w:pPr>
                              <w:spacing w:before="0"/>
                              <w:rPr>
                                <w:rFonts w:ascii="Arial" w:hAnsi="Arial" w:cs="Arial"/>
                                <w:sz w:val="14"/>
                                <w:szCs w:val="14"/>
                                <w:lang w:val="fr-CH"/>
                              </w:rPr>
                            </w:pPr>
                            <w:r w:rsidRPr="009A11D1">
                              <w:rPr>
                                <w:rFonts w:ascii="Arial" w:hAnsi="Arial" w:cs="Arial"/>
                                <w:b/>
                                <w:bCs/>
                                <w:color w:val="4F81BD" w:themeColor="accent1"/>
                                <w:sz w:val="14"/>
                                <w:szCs w:val="14"/>
                              </w:rPr>
                              <w:t xml:space="preserve">CHF </w:t>
                            </w:r>
                            <w:r>
                              <w:rPr>
                                <w:rFonts w:ascii="Arial" w:hAnsi="Arial" w:cs="Arial"/>
                                <w:b/>
                                <w:bCs/>
                                <w:color w:val="4F81BD" w:themeColor="accent1"/>
                                <w:sz w:val="14"/>
                                <w:szCs w:val="14"/>
                              </w:rPr>
                              <w:t>8</w:t>
                            </w:r>
                            <w:r w:rsidRPr="009A11D1">
                              <w:rPr>
                                <w:rFonts w:ascii="Arial" w:hAnsi="Arial" w:cs="Arial"/>
                                <w:b/>
                                <w:bCs/>
                                <w:color w:val="4F81BD" w:themeColor="accent1"/>
                                <w:sz w:val="14"/>
                                <w:szCs w:val="14"/>
                              </w:rPr>
                              <w:t xml:space="preserve"> </w:t>
                            </w:r>
                            <w:r>
                              <w:rPr>
                                <w:rFonts w:ascii="Arial" w:hAnsi="Arial" w:cs="Arial"/>
                                <w:b/>
                                <w:bCs/>
                                <w:color w:val="4F81BD" w:themeColor="accent1"/>
                                <w:sz w:val="14"/>
                                <w:szCs w:val="14"/>
                              </w:rPr>
                              <w:t>146</w:t>
                            </w:r>
                            <w:r w:rsidRPr="009A11D1">
                              <w:rPr>
                                <w:rFonts w:ascii="Arial" w:hAnsi="Arial" w:cs="Arial"/>
                                <w:b/>
                                <w:bCs/>
                                <w:color w:val="4F81BD" w:themeColor="accent1"/>
                                <w:sz w:val="14"/>
                                <w:szCs w:val="14"/>
                              </w:rPr>
                              <w:t xml:space="preserve"> </w:t>
                            </w:r>
                            <w:r>
                              <w:rPr>
                                <w:rFonts w:ascii="Arial" w:hAnsi="Arial" w:cs="Arial"/>
                                <w:b/>
                                <w:bCs/>
                                <w:color w:val="4F81BD" w:themeColor="accent1"/>
                                <w:sz w:val="14"/>
                                <w:szCs w:val="14"/>
                              </w:rPr>
                              <w:t>100</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BECCA" id="Text Box 15" o:spid="_x0000_s1039" type="#_x0000_t202" style="position:absolute;left:0;text-align:left;margin-left:172.8pt;margin-top:84.6pt;width:53.85pt;height:8.0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SwyNwIAAGoEAAAOAAAAZHJzL2Uyb0RvYy54bWysVE1v2zAMvQ/YfxB0X+30C0VQp8hSZBhQ&#10;tAXSoWdFlhMBsqhJSuzu1+9JjtMuuw27KDRJPZHvkbm961vD9soHTbbik7OSM2Ul1dpuKv7jZfnl&#10;hrMQha2FIasq/qYCv5t9/nTbuak6py2ZWnkGEBumnav4NkY3LYogt6oV4Yycsgg25FsR8ek3Re1F&#10;B/TWFOdleV105GvnSaoQ4L0fgnyW8ZtGyfjUNEFFZiqO2mI+fT7X6Sxmt2K68cJttTyUIf6hilZo&#10;i0ePUPciCrbz+i+oVktPgZp4JqktqGm0VLkHdDMpT7pZbYVTuReQE9yRpvD/YOXj/tkzXUO7K86s&#10;aKHRi+oj+0o9gwv8dC5MkbZySIw9/Mgd/QHO1Hbf+Db9oiGGOJh+O7Kb0CSc1zeXZYmIRGhSnl9O&#10;LhJK8X7Z+RC/KWpZMiruIV7mVOwfQhxSx5T0ViCj66U2Jn+kgVEL49leQGoTc4kA/yPLWNahkIur&#10;MgNbStcHZGNRS2p1aClZsV/3AzW50uRaU/0GGjwNgxScXGoU+yBCfBYek4P+sA3xCUdjCI9Jox1n&#10;W/K/Tn0pD0IiwlmHCax4+LkTXnFmvltIDKg4Gn401qNhd+2C0OkE++VkNnHBRzOajaf2FcsxT68g&#10;JKzEWxWPo7mIwx5guaSaz3MShtKJ+GBXTiboxGyi/KV/Fd4ddIkQ9JHG2RTTE3mG3HTT0nwXqdFZ&#10;u3f2DjxjoLP6h+VLG/PxO2e9/0XMfgMAAP//AwBQSwMEFAAGAAgAAAAhAKSHigjiAAAACwEAAA8A&#10;AABkcnMvZG93bnJldi54bWxMj8tOwzAQRfdI/IM1SGwQdWgehBCnAiQWSEWIgrp2YxOH2uMQu23K&#10;1zOsYDlzj+6cqReTs2yvx9B7FHA1S4BpbL3qsRPw/vZ4WQILUaKS1qMWcNQBFs3pSS0r5Q/4qver&#10;2DEqwVBJASbGoeI8tEY7GWZ+0EjZhx+djDSOHVejPFC5s3yeJAV3ske6YOSgH4xut6udE1Aes+eL&#10;dXG9/rQvT/fmu/vC5VYKcX423d0Ci3qKfzD86pM6NOS08TtUgVkBaZYXhFJQ3MyBEZHlaQpsQ5sy&#10;T4E3Nf//Q/MDAAD//wMAUEsBAi0AFAAGAAgAAAAhALaDOJL+AAAA4QEAABMAAAAAAAAAAAAAAAAA&#10;AAAAAFtDb250ZW50X1R5cGVzXS54bWxQSwECLQAUAAYACAAAACEAOP0h/9YAAACUAQAACwAAAAAA&#10;AAAAAAAAAAAvAQAAX3JlbHMvLnJlbHNQSwECLQAUAAYACAAAACEADcUsMjcCAABqBAAADgAAAAAA&#10;AAAAAAAAAAAuAgAAZHJzL2Uyb0RvYy54bWxQSwECLQAUAAYACAAAACEApIeKCOIAAAALAQAADwAA&#10;AAAAAAAAAAAAAACRBAAAZHJzL2Rvd25yZXYueG1sUEsFBgAAAAAEAAQA8wAAAKAFAAAAAA==&#10;" fillcolor="white [3201]" stroked="f" strokeweight=".5pt">
                <v:textbox inset="0,0,0,0">
                  <w:txbxContent>
                    <w:p w14:paraId="55E03E95" w14:textId="56766340" w:rsidR="00CF38BD" w:rsidRPr="009A11D1" w:rsidRDefault="00CF38BD" w:rsidP="009A11D1">
                      <w:pPr>
                        <w:spacing w:before="0"/>
                        <w:rPr>
                          <w:rFonts w:ascii="Arial" w:hAnsi="Arial" w:cs="Arial"/>
                          <w:sz w:val="14"/>
                          <w:szCs w:val="14"/>
                          <w:lang w:val="fr-CH"/>
                        </w:rPr>
                      </w:pPr>
                      <w:r w:rsidRPr="009A11D1">
                        <w:rPr>
                          <w:rFonts w:ascii="Arial" w:hAnsi="Arial" w:cs="Arial"/>
                          <w:b/>
                          <w:bCs/>
                          <w:color w:val="4F81BD" w:themeColor="accent1"/>
                          <w:sz w:val="14"/>
                          <w:szCs w:val="14"/>
                        </w:rPr>
                        <w:t xml:space="preserve">CHF </w:t>
                      </w:r>
                      <w:r>
                        <w:rPr>
                          <w:rFonts w:ascii="Arial" w:hAnsi="Arial" w:cs="Arial"/>
                          <w:b/>
                          <w:bCs/>
                          <w:color w:val="4F81BD" w:themeColor="accent1"/>
                          <w:sz w:val="14"/>
                          <w:szCs w:val="14"/>
                        </w:rPr>
                        <w:t>8</w:t>
                      </w:r>
                      <w:r w:rsidRPr="009A11D1">
                        <w:rPr>
                          <w:rFonts w:ascii="Arial" w:hAnsi="Arial" w:cs="Arial"/>
                          <w:b/>
                          <w:bCs/>
                          <w:color w:val="4F81BD" w:themeColor="accent1"/>
                          <w:sz w:val="14"/>
                          <w:szCs w:val="14"/>
                        </w:rPr>
                        <w:t xml:space="preserve"> </w:t>
                      </w:r>
                      <w:r>
                        <w:rPr>
                          <w:rFonts w:ascii="Arial" w:hAnsi="Arial" w:cs="Arial"/>
                          <w:b/>
                          <w:bCs/>
                          <w:color w:val="4F81BD" w:themeColor="accent1"/>
                          <w:sz w:val="14"/>
                          <w:szCs w:val="14"/>
                        </w:rPr>
                        <w:t>146</w:t>
                      </w:r>
                      <w:r w:rsidRPr="009A11D1">
                        <w:rPr>
                          <w:rFonts w:ascii="Arial" w:hAnsi="Arial" w:cs="Arial"/>
                          <w:b/>
                          <w:bCs/>
                          <w:color w:val="4F81BD" w:themeColor="accent1"/>
                          <w:sz w:val="14"/>
                          <w:szCs w:val="14"/>
                        </w:rPr>
                        <w:t xml:space="preserve"> </w:t>
                      </w:r>
                      <w:r>
                        <w:rPr>
                          <w:rFonts w:ascii="Arial" w:hAnsi="Arial" w:cs="Arial"/>
                          <w:b/>
                          <w:bCs/>
                          <w:color w:val="4F81BD" w:themeColor="accent1"/>
                          <w:sz w:val="14"/>
                          <w:szCs w:val="14"/>
                        </w:rPr>
                        <w:t>100</w:t>
                      </w:r>
                    </w:p>
                  </w:txbxContent>
                </v:textbox>
                <w10:wrap anchorx="margin"/>
              </v:shape>
            </w:pict>
          </mc:Fallback>
        </mc:AlternateContent>
      </w:r>
      <w:r w:rsidR="009A11D1" w:rsidRPr="00C317D5">
        <w:rPr>
          <w:noProof/>
          <w:lang w:eastAsia="es-ES"/>
        </w:rPr>
        <mc:AlternateContent>
          <mc:Choice Requires="wps">
            <w:drawing>
              <wp:anchor distT="0" distB="0" distL="114300" distR="114300" simplePos="0" relativeHeight="251683840" behindDoc="0" locked="0" layoutInCell="1" allowOverlap="1" wp14:anchorId="0A932046" wp14:editId="2EA3D1DE">
                <wp:simplePos x="0" y="0"/>
                <wp:positionH relativeFrom="margin">
                  <wp:posOffset>1276985</wp:posOffset>
                </wp:positionH>
                <wp:positionV relativeFrom="paragraph">
                  <wp:posOffset>1075055</wp:posOffset>
                </wp:positionV>
                <wp:extent cx="684000" cy="102413"/>
                <wp:effectExtent l="0" t="0" r="1905" b="0"/>
                <wp:wrapNone/>
                <wp:docPr id="14" name="Text Box 14"/>
                <wp:cNvGraphicFramePr/>
                <a:graphic xmlns:a="http://schemas.openxmlformats.org/drawingml/2006/main">
                  <a:graphicData uri="http://schemas.microsoft.com/office/word/2010/wordprocessingShape">
                    <wps:wsp>
                      <wps:cNvSpPr txBox="1"/>
                      <wps:spPr>
                        <a:xfrm>
                          <a:off x="0" y="0"/>
                          <a:ext cx="684000" cy="102413"/>
                        </a:xfrm>
                        <a:prstGeom prst="rect">
                          <a:avLst/>
                        </a:prstGeom>
                        <a:solidFill>
                          <a:schemeClr val="lt1"/>
                        </a:solidFill>
                        <a:ln w="6350">
                          <a:noFill/>
                        </a:ln>
                      </wps:spPr>
                      <wps:txbx>
                        <w:txbxContent>
                          <w:p w14:paraId="5FC74419" w14:textId="586BB101" w:rsidR="00CF38BD" w:rsidRPr="009A11D1" w:rsidRDefault="00CF38BD" w:rsidP="009A11D1">
                            <w:pPr>
                              <w:spacing w:before="0"/>
                              <w:rPr>
                                <w:rFonts w:ascii="Arial" w:hAnsi="Arial" w:cs="Arial"/>
                                <w:sz w:val="14"/>
                                <w:szCs w:val="14"/>
                                <w:lang w:val="fr-CH"/>
                              </w:rPr>
                            </w:pPr>
                            <w:r w:rsidRPr="009A11D1">
                              <w:rPr>
                                <w:rFonts w:ascii="Arial" w:hAnsi="Arial" w:cs="Arial"/>
                                <w:b/>
                                <w:bCs/>
                                <w:color w:val="4F81BD" w:themeColor="accent1"/>
                                <w:sz w:val="14"/>
                                <w:szCs w:val="14"/>
                              </w:rPr>
                              <w:t>CHF 6 780 688</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32046" id="Text Box 14" o:spid="_x0000_s1040" type="#_x0000_t202" style="position:absolute;left:0;text-align:left;margin-left:100.55pt;margin-top:84.65pt;width:53.85pt;height:8.0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i8OOAIAAGoEAAAOAAAAZHJzL2Uyb0RvYy54bWysVMFu2zAMvQ/YPwi6r3bariiCOkWWIsOA&#10;oi2QDD0rspwIkEVNUmJ3X78nOU637DbsotAk9US+R+buvm8NOygfNNmKTy5KzpSVVGu7rfj39fLT&#10;LWchClsLQ1ZV/E0Ffj/7+OGuc1N1STsytfIMIDZMO1fxXYxuWhRB7lQrwgU5ZRFsyLci4tNvi9qL&#10;DuitKS7L8qboyNfOk1QhwPswBPks4zeNkvG5aYKKzFQctcV8+nxu0lnM7sR064XbaXksQ/xDFa3Q&#10;Fo+eoB5EFGzv9V9QrZaeAjXxQlJbUNNoqXIP6GZSnnWz2gmnci8gJ7gTTeH/wcqnw4tnuoZ215xZ&#10;0UKjteoj+0I9gwv8dC5MkbZySIw9/Mgd/QHO1Hbf+Db9oiGGOJh+O7Gb0CScN7fXZYmIRGhSXl5P&#10;rhJK8X7Z+RC/KmpZMiruIV7mVBweQxxSx5T0ViCj66U2Jn+kgVEL49lBQGoTc4kA/yPLWNahkKvP&#10;ZQa2lK4PyMailtTq0FKyYr/pR2qOPGyofgMNnoZBCk4uNYp9FCG+CI/JQX/YhviMozGEx6TRjrMd&#10;+Z/nvpQHIRHhrMMEVjz82AuvODPfLCQGVBwNPxqb0bD7dkHodIL9cjKbuOCjGc3GU/uK5ZinVxAS&#10;VuKtisfRXMRhD7BcUs3nOQlD6UR8tCsnE3RiNlG+7l+Fd0ddIgR9onE2xfRMniE33bQ030dqdNYu&#10;ETqwd+QZA53VPy5f2pjfv3PW+1/E7BcAAAD//wMAUEsDBBQABgAIAAAAIQDg3LKA4gAAAAsBAAAP&#10;AAAAZHJzL2Rvd25yZXYueG1sTI/BTsMwEETvSPyDtUhcELXTlhBCnAqQOCAVIQrq2Y1NHGqvQ+y2&#10;KV/PcoLjzjzNzlSL0Tu2N0PsAkrIJgKYwSboDlsJ72+PlwWwmBRq5QIaCUcTYVGfnlSq1OGAr2a/&#10;Si2jEIylkmBT6kvOY2ONV3ESeoPkfYTBq0Tn0HI9qAOFe8enQuTcqw7pg1W9ebCm2a52XkJxnD9f&#10;rPPr9ad7ebq33+0XLrdKyvOz8e4WWDJj+oPhtz5Vh5o6bcIOdWROwlRkGaFk5DczYETMREFjNqQU&#10;V3PgdcX/b6h/AAAA//8DAFBLAQItABQABgAIAAAAIQC2gziS/gAAAOEBAAATAAAAAAAAAAAAAAAA&#10;AAAAAABbQ29udGVudF9UeXBlc10ueG1sUEsBAi0AFAAGAAgAAAAhADj9If/WAAAAlAEAAAsAAAAA&#10;AAAAAAAAAAAALwEAAF9yZWxzLy5yZWxzUEsBAi0AFAAGAAgAAAAhAPsuLw44AgAAagQAAA4AAAAA&#10;AAAAAAAAAAAALgIAAGRycy9lMm9Eb2MueG1sUEsBAi0AFAAGAAgAAAAhAODcsoDiAAAACwEAAA8A&#10;AAAAAAAAAAAAAAAAkgQAAGRycy9kb3ducmV2LnhtbFBLBQYAAAAABAAEAPMAAAChBQAAAAA=&#10;" fillcolor="white [3201]" stroked="f" strokeweight=".5pt">
                <v:textbox inset="0,0,0,0">
                  <w:txbxContent>
                    <w:p w14:paraId="5FC74419" w14:textId="586BB101" w:rsidR="00CF38BD" w:rsidRPr="009A11D1" w:rsidRDefault="00CF38BD" w:rsidP="009A11D1">
                      <w:pPr>
                        <w:spacing w:before="0"/>
                        <w:rPr>
                          <w:rFonts w:ascii="Arial" w:hAnsi="Arial" w:cs="Arial"/>
                          <w:sz w:val="14"/>
                          <w:szCs w:val="14"/>
                          <w:lang w:val="fr-CH"/>
                        </w:rPr>
                      </w:pPr>
                      <w:r w:rsidRPr="009A11D1">
                        <w:rPr>
                          <w:rFonts w:ascii="Arial" w:hAnsi="Arial" w:cs="Arial"/>
                          <w:b/>
                          <w:bCs/>
                          <w:color w:val="4F81BD" w:themeColor="accent1"/>
                          <w:sz w:val="14"/>
                          <w:szCs w:val="14"/>
                        </w:rPr>
                        <w:t>CHF 6 780 688</w:t>
                      </w:r>
                    </w:p>
                  </w:txbxContent>
                </v:textbox>
                <w10:wrap anchorx="margin"/>
              </v:shape>
            </w:pict>
          </mc:Fallback>
        </mc:AlternateContent>
      </w:r>
      <w:r w:rsidR="000D09B2" w:rsidRPr="00C317D5">
        <w:rPr>
          <w:noProof/>
          <w:lang w:eastAsia="es-ES"/>
        </w:rPr>
        <mc:AlternateContent>
          <mc:Choice Requires="wps">
            <w:drawing>
              <wp:anchor distT="0" distB="0" distL="114300" distR="114300" simplePos="0" relativeHeight="251681792" behindDoc="0" locked="0" layoutInCell="1" allowOverlap="1" wp14:anchorId="3D456F50" wp14:editId="64C94228">
                <wp:simplePos x="0" y="0"/>
                <wp:positionH relativeFrom="margin">
                  <wp:posOffset>3082494</wp:posOffset>
                </wp:positionH>
                <wp:positionV relativeFrom="paragraph">
                  <wp:posOffset>1955165</wp:posOffset>
                </wp:positionV>
                <wp:extent cx="1455725" cy="1811122"/>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455725" cy="1811122"/>
                        </a:xfrm>
                        <a:prstGeom prst="rect">
                          <a:avLst/>
                        </a:prstGeom>
                        <a:solidFill>
                          <a:schemeClr val="lt1"/>
                        </a:solidFill>
                        <a:ln w="6350">
                          <a:noFill/>
                        </a:ln>
                      </wps:spPr>
                      <wps:txbx>
                        <w:txbxContent>
                          <w:p w14:paraId="6056B245" w14:textId="77777777" w:rsidR="00CF38BD" w:rsidRPr="00FF371C" w:rsidRDefault="00CF38BD" w:rsidP="000D09B2">
                            <w:pPr>
                              <w:spacing w:before="40"/>
                              <w:rPr>
                                <w:sz w:val="14"/>
                                <w:szCs w:val="14"/>
                              </w:rPr>
                            </w:pPr>
                            <w:r>
                              <w:rPr>
                                <w:sz w:val="14"/>
                                <w:szCs w:val="14"/>
                              </w:rPr>
                              <w:t>Miembros de los tres sectores</w:t>
                            </w:r>
                          </w:p>
                          <w:p w14:paraId="7901DF40" w14:textId="77777777" w:rsidR="00CF38BD" w:rsidRPr="00FF371C" w:rsidRDefault="00CF38BD" w:rsidP="009A11D1">
                            <w:pPr>
                              <w:spacing w:before="480"/>
                              <w:rPr>
                                <w:sz w:val="14"/>
                                <w:szCs w:val="14"/>
                              </w:rPr>
                            </w:pPr>
                            <w:r>
                              <w:rPr>
                                <w:sz w:val="14"/>
                                <w:szCs w:val="14"/>
                              </w:rPr>
                              <w:t>Estimación total de las contribuciones</w:t>
                            </w:r>
                          </w:p>
                          <w:p w14:paraId="57DE8073" w14:textId="77777777" w:rsidR="00CF38BD" w:rsidRPr="00FF371C" w:rsidRDefault="00CF38BD" w:rsidP="000D09B2">
                            <w:pPr>
                              <w:spacing w:before="480"/>
                              <w:rPr>
                                <w:sz w:val="14"/>
                                <w:szCs w:val="14"/>
                              </w:rPr>
                            </w:pPr>
                            <w:r w:rsidRPr="00FF371C">
                              <w:rPr>
                                <w:sz w:val="14"/>
                                <w:szCs w:val="14"/>
                              </w:rPr>
                              <w:t>M</w:t>
                            </w:r>
                            <w:r>
                              <w:rPr>
                                <w:sz w:val="14"/>
                                <w:szCs w:val="14"/>
                              </w:rPr>
                              <w:t>i</w:t>
                            </w:r>
                            <w:r w:rsidRPr="00FF371C">
                              <w:rPr>
                                <w:sz w:val="14"/>
                                <w:szCs w:val="14"/>
                              </w:rPr>
                              <w:t>embr</w:t>
                            </w:r>
                            <w:r>
                              <w:rPr>
                                <w:sz w:val="14"/>
                                <w:szCs w:val="14"/>
                              </w:rPr>
                              <w:t>o</w:t>
                            </w:r>
                            <w:r w:rsidRPr="00FF371C">
                              <w:rPr>
                                <w:sz w:val="14"/>
                                <w:szCs w:val="14"/>
                              </w:rPr>
                              <w:t>s del</w:t>
                            </w:r>
                            <w:r>
                              <w:rPr>
                                <w:sz w:val="14"/>
                                <w:szCs w:val="14"/>
                              </w:rPr>
                              <w:t xml:space="preserve"> </w:t>
                            </w:r>
                            <w:r w:rsidRPr="00FF371C">
                              <w:rPr>
                                <w:sz w:val="14"/>
                                <w:szCs w:val="14"/>
                              </w:rPr>
                              <w:t>UIT-R</w:t>
                            </w:r>
                          </w:p>
                          <w:p w14:paraId="0DF2B2B1" w14:textId="77777777" w:rsidR="00CF38BD" w:rsidRPr="00FF371C" w:rsidRDefault="00CF38BD" w:rsidP="009A11D1">
                            <w:pPr>
                              <w:spacing w:before="400"/>
                              <w:rPr>
                                <w:sz w:val="14"/>
                                <w:szCs w:val="14"/>
                              </w:rPr>
                            </w:pPr>
                            <w:r w:rsidRPr="00FF371C">
                              <w:rPr>
                                <w:sz w:val="14"/>
                                <w:szCs w:val="14"/>
                              </w:rPr>
                              <w:t>M</w:t>
                            </w:r>
                            <w:r>
                              <w:rPr>
                                <w:sz w:val="14"/>
                                <w:szCs w:val="14"/>
                              </w:rPr>
                              <w:t>i</w:t>
                            </w:r>
                            <w:r w:rsidRPr="00FF371C">
                              <w:rPr>
                                <w:sz w:val="14"/>
                                <w:szCs w:val="14"/>
                              </w:rPr>
                              <w:t>embr</w:t>
                            </w:r>
                            <w:r>
                              <w:rPr>
                                <w:sz w:val="14"/>
                                <w:szCs w:val="14"/>
                              </w:rPr>
                              <w:t>o</w:t>
                            </w:r>
                            <w:r w:rsidRPr="00FF371C">
                              <w:rPr>
                                <w:sz w:val="14"/>
                                <w:szCs w:val="14"/>
                              </w:rPr>
                              <w:t>s del</w:t>
                            </w:r>
                            <w:r>
                              <w:rPr>
                                <w:sz w:val="14"/>
                                <w:szCs w:val="14"/>
                              </w:rPr>
                              <w:t xml:space="preserve"> </w:t>
                            </w:r>
                            <w:r w:rsidRPr="00FF371C">
                              <w:rPr>
                                <w:sz w:val="14"/>
                                <w:szCs w:val="14"/>
                              </w:rPr>
                              <w:t>UIT-T</w:t>
                            </w:r>
                          </w:p>
                          <w:p w14:paraId="32BDEDE5" w14:textId="77777777" w:rsidR="00CF38BD" w:rsidRPr="00FF371C" w:rsidRDefault="00CF38BD" w:rsidP="009A11D1">
                            <w:pPr>
                              <w:spacing w:before="360"/>
                              <w:rPr>
                                <w:sz w:val="14"/>
                                <w:szCs w:val="14"/>
                                <w:lang w:val="en-GB"/>
                              </w:rPr>
                            </w:pPr>
                            <w:r w:rsidRPr="00FF371C">
                              <w:rPr>
                                <w:sz w:val="14"/>
                                <w:szCs w:val="14"/>
                              </w:rPr>
                              <w:t>M</w:t>
                            </w:r>
                            <w:r>
                              <w:rPr>
                                <w:sz w:val="14"/>
                                <w:szCs w:val="14"/>
                              </w:rPr>
                              <w:t>i</w:t>
                            </w:r>
                            <w:r w:rsidRPr="00FF371C">
                              <w:rPr>
                                <w:sz w:val="14"/>
                                <w:szCs w:val="14"/>
                              </w:rPr>
                              <w:t>embr</w:t>
                            </w:r>
                            <w:r>
                              <w:rPr>
                                <w:sz w:val="14"/>
                                <w:szCs w:val="14"/>
                              </w:rPr>
                              <w:t>o</w:t>
                            </w:r>
                            <w:r w:rsidRPr="00FF371C">
                              <w:rPr>
                                <w:sz w:val="14"/>
                                <w:szCs w:val="14"/>
                              </w:rPr>
                              <w:t>s del</w:t>
                            </w:r>
                            <w:r>
                              <w:rPr>
                                <w:sz w:val="14"/>
                                <w:szCs w:val="14"/>
                              </w:rPr>
                              <w:t xml:space="preserve"> </w:t>
                            </w:r>
                            <w:r w:rsidRPr="00FF371C">
                              <w:rPr>
                                <w:sz w:val="14"/>
                                <w:szCs w:val="14"/>
                                <w:lang w:val="en-GB"/>
                              </w:rPr>
                              <w:t>UIT-D</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56F50" id="Text Box 30" o:spid="_x0000_s1041" type="#_x0000_t202" style="position:absolute;left:0;text-align:left;margin-left:242.7pt;margin-top:153.95pt;width:114.6pt;height:142.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UAPAIAAGwEAAAOAAAAZHJzL2Uyb0RvYy54bWysVMFuGjEQvVfqP1i+l2VJSSPEElEiqkoo&#10;iQRVzsZrs5Zsj2sbdunXd+xlSZreql7M7Mz4eea9Geb3ndHkJHxQYCtajsaUCMuhVvZQ0R+79ac7&#10;SkJktmYarKjoWQR6v/j4Yd66mZhAA7oWniCIDbPWVbSJ0c2KIvBGGBZG4ITFoARvWMRPfyhqz1pE&#10;N7qYjMe3RQu+dh64CAG9D32QLjK+lILHJymDiERXFGuL+fT53KezWMzZ7OCZaxS/lMH+oQrDlMVH&#10;r1APLDJy9OovKKO4hwAyjjiYAqRUXOQesJty/K6bbcOcyL0gOcFdaQr/D5Y/np49UXVFb5Aeywxq&#10;tBNdJF+hI+hCfloXZpi2dZgYO/SjzoM/oDO13Ulv0i82RDCOUOcruwmNp0ufp9MvkyklHGPlXVmW&#10;k0nCKV6vOx/iNwGGJKOiHuXLrLLTJsQ+dUhJrwXQql4rrfNHGhmx0p6cGIqtYy4Swf/I0pa0Fb29&#10;mY4zsIV0vUfWFmtJzfZNJSt2+y6TU06HjvdQn5EID/0oBcfXCovdsBCfmcfZwd5xH+ITHlIDPsa1&#10;cpQ04H+996U8lBIjlLQ4gxUNP4/MC0r0d4siI1QcDD8Y+8GwR7MC7LTEDXM8m3jBRz2Y0oN5wfVY&#10;plcwxCzHtyoaB3MV+03A9eJiucxJOJaOxY3dOp6gE7OJ8l33wry76BJR0kcYppPN3snT56abFpbH&#10;CFJl7RKhPXsXnnGks/qX9Us78/Y7Z73+SSx+AwAA//8DAFBLAwQUAAYACAAAACEAq+nAWuQAAAAL&#10;AQAADwAAAGRycy9kb3ducmV2LnhtbEyPwU7DMBBE70j8g7VIXFDrhKZJGuJUgMQBqQi1oJ63iYlD&#10;7XWI3Tbl6zEnOK7maeZtuRyNZkc5uM6SgHgaAZNU26ajVsD729MkB+Y8UoPakhRwlg6W1eVFiUVj&#10;T7SWx41vWSghV6AA5X1fcO5qJQ26qe0lhezDDgZ9OIeWNwOeQrnR/DaKUm6wo7CgsJePStb7zcEI&#10;yM/Jy802zbaf+vX5QX23X7TaoxDXV+P9HTAvR/8Hw69+UIcqOO3sgRrHtIAknycBFTCLsgWwQGRx&#10;kgLbCZgvZjHwquT/f6h+AAAA//8DAFBLAQItABQABgAIAAAAIQC2gziS/gAAAOEBAAATAAAAAAAA&#10;AAAAAAAAAAAAAABbQ29udGVudF9UeXBlc10ueG1sUEsBAi0AFAAGAAgAAAAhADj9If/WAAAAlAEA&#10;AAsAAAAAAAAAAAAAAAAALwEAAF9yZWxzLy5yZWxzUEsBAi0AFAAGAAgAAAAhAOAtxQA8AgAAbAQA&#10;AA4AAAAAAAAAAAAAAAAALgIAAGRycy9lMm9Eb2MueG1sUEsBAi0AFAAGAAgAAAAhAKvpwFrkAAAA&#10;CwEAAA8AAAAAAAAAAAAAAAAAlgQAAGRycy9kb3ducmV2LnhtbFBLBQYAAAAABAAEAPMAAACnBQAA&#10;AAA=&#10;" fillcolor="white [3201]" stroked="f" strokeweight=".5pt">
                <v:textbox inset="0,0,0,0">
                  <w:txbxContent>
                    <w:p w14:paraId="6056B245" w14:textId="77777777" w:rsidR="00CF38BD" w:rsidRPr="00FF371C" w:rsidRDefault="00CF38BD" w:rsidP="000D09B2">
                      <w:pPr>
                        <w:spacing w:before="40"/>
                        <w:rPr>
                          <w:sz w:val="14"/>
                          <w:szCs w:val="14"/>
                        </w:rPr>
                      </w:pPr>
                      <w:r>
                        <w:rPr>
                          <w:sz w:val="14"/>
                          <w:szCs w:val="14"/>
                        </w:rPr>
                        <w:t>Miembros de los tres sectores</w:t>
                      </w:r>
                    </w:p>
                    <w:p w14:paraId="7901DF40" w14:textId="77777777" w:rsidR="00CF38BD" w:rsidRPr="00FF371C" w:rsidRDefault="00CF38BD" w:rsidP="009A11D1">
                      <w:pPr>
                        <w:spacing w:before="480"/>
                        <w:rPr>
                          <w:sz w:val="14"/>
                          <w:szCs w:val="14"/>
                        </w:rPr>
                      </w:pPr>
                      <w:r>
                        <w:rPr>
                          <w:sz w:val="14"/>
                          <w:szCs w:val="14"/>
                        </w:rPr>
                        <w:t>Estimación total de las contribuciones</w:t>
                      </w:r>
                    </w:p>
                    <w:p w14:paraId="57DE8073" w14:textId="77777777" w:rsidR="00CF38BD" w:rsidRPr="00FF371C" w:rsidRDefault="00CF38BD" w:rsidP="000D09B2">
                      <w:pPr>
                        <w:spacing w:before="480"/>
                        <w:rPr>
                          <w:sz w:val="14"/>
                          <w:szCs w:val="14"/>
                        </w:rPr>
                      </w:pPr>
                      <w:r w:rsidRPr="00FF371C">
                        <w:rPr>
                          <w:sz w:val="14"/>
                          <w:szCs w:val="14"/>
                        </w:rPr>
                        <w:t>M</w:t>
                      </w:r>
                      <w:r>
                        <w:rPr>
                          <w:sz w:val="14"/>
                          <w:szCs w:val="14"/>
                        </w:rPr>
                        <w:t>i</w:t>
                      </w:r>
                      <w:r w:rsidRPr="00FF371C">
                        <w:rPr>
                          <w:sz w:val="14"/>
                          <w:szCs w:val="14"/>
                        </w:rPr>
                        <w:t>embr</w:t>
                      </w:r>
                      <w:r>
                        <w:rPr>
                          <w:sz w:val="14"/>
                          <w:szCs w:val="14"/>
                        </w:rPr>
                        <w:t>o</w:t>
                      </w:r>
                      <w:r w:rsidRPr="00FF371C">
                        <w:rPr>
                          <w:sz w:val="14"/>
                          <w:szCs w:val="14"/>
                        </w:rPr>
                        <w:t>s del</w:t>
                      </w:r>
                      <w:r>
                        <w:rPr>
                          <w:sz w:val="14"/>
                          <w:szCs w:val="14"/>
                        </w:rPr>
                        <w:t xml:space="preserve"> </w:t>
                      </w:r>
                      <w:r w:rsidRPr="00FF371C">
                        <w:rPr>
                          <w:sz w:val="14"/>
                          <w:szCs w:val="14"/>
                        </w:rPr>
                        <w:t>UIT-R</w:t>
                      </w:r>
                    </w:p>
                    <w:p w14:paraId="0DF2B2B1" w14:textId="77777777" w:rsidR="00CF38BD" w:rsidRPr="00FF371C" w:rsidRDefault="00CF38BD" w:rsidP="009A11D1">
                      <w:pPr>
                        <w:spacing w:before="400"/>
                        <w:rPr>
                          <w:sz w:val="14"/>
                          <w:szCs w:val="14"/>
                        </w:rPr>
                      </w:pPr>
                      <w:r w:rsidRPr="00FF371C">
                        <w:rPr>
                          <w:sz w:val="14"/>
                          <w:szCs w:val="14"/>
                        </w:rPr>
                        <w:t>M</w:t>
                      </w:r>
                      <w:r>
                        <w:rPr>
                          <w:sz w:val="14"/>
                          <w:szCs w:val="14"/>
                        </w:rPr>
                        <w:t>i</w:t>
                      </w:r>
                      <w:r w:rsidRPr="00FF371C">
                        <w:rPr>
                          <w:sz w:val="14"/>
                          <w:szCs w:val="14"/>
                        </w:rPr>
                        <w:t>embr</w:t>
                      </w:r>
                      <w:r>
                        <w:rPr>
                          <w:sz w:val="14"/>
                          <w:szCs w:val="14"/>
                        </w:rPr>
                        <w:t>o</w:t>
                      </w:r>
                      <w:r w:rsidRPr="00FF371C">
                        <w:rPr>
                          <w:sz w:val="14"/>
                          <w:szCs w:val="14"/>
                        </w:rPr>
                        <w:t>s del</w:t>
                      </w:r>
                      <w:r>
                        <w:rPr>
                          <w:sz w:val="14"/>
                          <w:szCs w:val="14"/>
                        </w:rPr>
                        <w:t xml:space="preserve"> </w:t>
                      </w:r>
                      <w:r w:rsidRPr="00FF371C">
                        <w:rPr>
                          <w:sz w:val="14"/>
                          <w:szCs w:val="14"/>
                        </w:rPr>
                        <w:t>UIT-T</w:t>
                      </w:r>
                    </w:p>
                    <w:p w14:paraId="32BDEDE5" w14:textId="77777777" w:rsidR="00CF38BD" w:rsidRPr="00FF371C" w:rsidRDefault="00CF38BD" w:rsidP="009A11D1">
                      <w:pPr>
                        <w:spacing w:before="360"/>
                        <w:rPr>
                          <w:sz w:val="14"/>
                          <w:szCs w:val="14"/>
                          <w:lang w:val="en-GB"/>
                        </w:rPr>
                      </w:pPr>
                      <w:r w:rsidRPr="00FF371C">
                        <w:rPr>
                          <w:sz w:val="14"/>
                          <w:szCs w:val="14"/>
                        </w:rPr>
                        <w:t>M</w:t>
                      </w:r>
                      <w:r>
                        <w:rPr>
                          <w:sz w:val="14"/>
                          <w:szCs w:val="14"/>
                        </w:rPr>
                        <w:t>i</w:t>
                      </w:r>
                      <w:r w:rsidRPr="00FF371C">
                        <w:rPr>
                          <w:sz w:val="14"/>
                          <w:szCs w:val="14"/>
                        </w:rPr>
                        <w:t>embr</w:t>
                      </w:r>
                      <w:r>
                        <w:rPr>
                          <w:sz w:val="14"/>
                          <w:szCs w:val="14"/>
                        </w:rPr>
                        <w:t>o</w:t>
                      </w:r>
                      <w:r w:rsidRPr="00FF371C">
                        <w:rPr>
                          <w:sz w:val="14"/>
                          <w:szCs w:val="14"/>
                        </w:rPr>
                        <w:t>s del</w:t>
                      </w:r>
                      <w:r>
                        <w:rPr>
                          <w:sz w:val="14"/>
                          <w:szCs w:val="14"/>
                        </w:rPr>
                        <w:t xml:space="preserve"> </w:t>
                      </w:r>
                      <w:r w:rsidRPr="00FF371C">
                        <w:rPr>
                          <w:sz w:val="14"/>
                          <w:szCs w:val="14"/>
                          <w:lang w:val="en-GB"/>
                        </w:rPr>
                        <w:t>UIT-D</w:t>
                      </w:r>
                    </w:p>
                  </w:txbxContent>
                </v:textbox>
                <w10:wrap anchorx="margin"/>
              </v:shape>
            </w:pict>
          </mc:Fallback>
        </mc:AlternateContent>
      </w:r>
      <w:r w:rsidR="000D09B2" w:rsidRPr="00C317D5">
        <w:rPr>
          <w:noProof/>
          <w:lang w:eastAsia="es-ES"/>
        </w:rPr>
        <mc:AlternateContent>
          <mc:Choice Requires="wps">
            <w:drawing>
              <wp:anchor distT="0" distB="0" distL="114300" distR="114300" simplePos="0" relativeHeight="251678720" behindDoc="0" locked="0" layoutInCell="1" allowOverlap="1" wp14:anchorId="5198BE4A" wp14:editId="6BC8F871">
                <wp:simplePos x="0" y="0"/>
                <wp:positionH relativeFrom="margin">
                  <wp:posOffset>466725</wp:posOffset>
                </wp:positionH>
                <wp:positionV relativeFrom="paragraph">
                  <wp:posOffset>1252296</wp:posOffset>
                </wp:positionV>
                <wp:extent cx="3100191" cy="200416"/>
                <wp:effectExtent l="0" t="0" r="5080" b="9525"/>
                <wp:wrapNone/>
                <wp:docPr id="26" name="Text Box 26"/>
                <wp:cNvGraphicFramePr/>
                <a:graphic xmlns:a="http://schemas.openxmlformats.org/drawingml/2006/main">
                  <a:graphicData uri="http://schemas.microsoft.com/office/word/2010/wordprocessingShape">
                    <wps:wsp>
                      <wps:cNvSpPr txBox="1"/>
                      <wps:spPr>
                        <a:xfrm>
                          <a:off x="0" y="0"/>
                          <a:ext cx="3100191" cy="200416"/>
                        </a:xfrm>
                        <a:prstGeom prst="rect">
                          <a:avLst/>
                        </a:prstGeom>
                        <a:solidFill>
                          <a:schemeClr val="lt1"/>
                        </a:solidFill>
                        <a:ln w="6350">
                          <a:noFill/>
                        </a:ln>
                      </wps:spPr>
                      <wps:txbx>
                        <w:txbxContent>
                          <w:p w14:paraId="59B1265C" w14:textId="0BD5152B" w:rsidR="00CF38BD" w:rsidRPr="005E197D" w:rsidRDefault="00CF38BD" w:rsidP="000D09B2">
                            <w:pPr>
                              <w:spacing w:before="0"/>
                              <w:rPr>
                                <w:sz w:val="10"/>
                                <w:szCs w:val="10"/>
                              </w:rPr>
                            </w:pPr>
                            <w:r w:rsidRPr="005E197D">
                              <w:rPr>
                                <w:sz w:val="10"/>
                                <w:szCs w:val="10"/>
                              </w:rPr>
                              <w:t>* Not</w:t>
                            </w:r>
                            <w:r>
                              <w:rPr>
                                <w:sz w:val="10"/>
                                <w:szCs w:val="10"/>
                              </w:rPr>
                              <w:t>a</w:t>
                            </w:r>
                            <w:r w:rsidRPr="005E197D">
                              <w:rPr>
                                <w:sz w:val="10"/>
                                <w:szCs w:val="10"/>
                              </w:rPr>
                              <w:t xml:space="preserve">: </w:t>
                            </w:r>
                            <w:r>
                              <w:rPr>
                                <w:sz w:val="10"/>
                                <w:szCs w:val="10"/>
                              </w:rPr>
                              <w:t xml:space="preserve">Las Instituciones Académicas son </w:t>
                            </w:r>
                            <w:r w:rsidRPr="00123D41">
                              <w:rPr>
                                <w:sz w:val="10"/>
                                <w:szCs w:val="10"/>
                              </w:rPr>
                              <w:t>automáticamente</w:t>
                            </w:r>
                            <w:r>
                              <w:rPr>
                                <w:sz w:val="10"/>
                                <w:szCs w:val="10"/>
                              </w:rPr>
                              <w:t xml:space="preserve"> miembros de los tres Sectores</w:t>
                            </w:r>
                            <w:r w:rsidRPr="005E197D">
                              <w:rPr>
                                <w:sz w:val="10"/>
                                <w:szCs w:val="10"/>
                              </w:rPr>
                              <w:t>.</w:t>
                            </w:r>
                          </w:p>
                          <w:p w14:paraId="7C1971DB" w14:textId="77777777" w:rsidR="00CF38BD" w:rsidRPr="005E197D" w:rsidRDefault="00CF38BD" w:rsidP="000D09B2">
                            <w:pPr>
                              <w:spacing w:before="0"/>
                              <w:rPr>
                                <w:sz w:val="9"/>
                                <w:szCs w:val="9"/>
                              </w:rPr>
                            </w:pPr>
                            <w:r w:rsidRPr="005E197D">
                              <w:rPr>
                                <w:sz w:val="10"/>
                                <w:szCs w:val="10"/>
                              </w:rPr>
                              <w:t xml:space="preserve">** </w:t>
                            </w:r>
                            <w:r>
                              <w:rPr>
                                <w:sz w:val="10"/>
                                <w:szCs w:val="10"/>
                              </w:rPr>
                              <w:t>Se presentan cantidades teóricas en el supuesto de que todos los miembros pagan sus cuotas de afiliación</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8BE4A" id="Text Box 26" o:spid="_x0000_s1042" type="#_x0000_t202" style="position:absolute;left:0;text-align:left;margin-left:36.75pt;margin-top:98.6pt;width:244.1pt;height:15.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nz5OQIAAGsEAAAOAAAAZHJzL2Uyb0RvYy54bWysVE1v2zAMvQ/YfxB0X+2kW7AGdYosRYcB&#10;RVugHXpWZDkRIIuapMTOfv2e5Djdstuwi0yRFD/eI31907eG7ZUPmmzFJxclZ8pKqrXdVPz7y92H&#10;z5yFKGwtDFlV8YMK/Gbx/t115+ZqSlsytfIMQWyYd67i2xjdvCiC3KpWhAtyysLYkG9FxNVvitqL&#10;DtFbU0zLclZ05GvnSaoQoL0djHyR4zeNkvGxaYKKzFQctcV8+nyu01ksrsV844XbanksQ/xDFa3Q&#10;FklPoW5FFGzn9V+hWi09BWrihaS2oKbRUuUe0M2kPOvmeSucyr0AnOBOMIX/F1Y+7J8803XFpzPO&#10;rGjB0YvqI/tCPYMK+HQuzOH27OAYe+jB86gPUKa2+8a36YuGGOxA+nBCN0WTUF5OynJyNeFMwgbu&#10;Pk5y+OLttfMhflXUsiRU3IO9DKrY34eISuA6uqRkgYyu77Qx+ZImRq2MZ3sBrk3MNeLFH17Gsq7i&#10;s8tPZQ5sKT0fIhuLBKnXoackxX7dZ2yGSpNqTfUBOHgaJik4eadR7L0I8Ul4jA5axzrERxyNISST&#10;RjvOtuR/nuuSH5iEhbMOI1jx8GMnvOLMfLPgOM3rKPhRWI+C3bUrQqcAFFVkEQ98NKPYeGpfsR3L&#10;lAUmYSVyVTyO4ioOi4Dtkmq5zE6YSifivX12MoVOyCbIX/pX4d2RlwhGH2gcTjE/o2fwTS8tLXeR&#10;Gp25e0PviDMmOlN63L60Mr/fs9fbP2LxCwAA//8DAFBLAwQUAAYACAAAACEAov8Mt+IAAAAKAQAA&#10;DwAAAGRycy9kb3ducmV2LnhtbEyPwU7DMAyG70i8Q2QkLmhLV1hbStMJkDggDaENtLPXhKYscUqT&#10;bR1PTzjB0fan399fLUZr2EENvnMkYDZNgClqnOyoFfD+9jQpgPmAJNE4UgJOysOiPj+rsJTuSCt1&#10;WIeWxRDyJQrQIfQl577RyqKful5RvH24wWKI49ByOeAxhlvD0yTJuMWO4geNvXrUqtmt91ZAcbp5&#10;udpk+ebTvD4/6O/2i5Y7FOLyYry/AxbUGP5g+NWP6lBHp63bk/TMCMiv55GM+9s8BRaBeTbLgW0F&#10;pGlRAK8r/r9C/QMAAP//AwBQSwECLQAUAAYACAAAACEAtoM4kv4AAADhAQAAEwAAAAAAAAAAAAAA&#10;AAAAAAAAW0NvbnRlbnRfVHlwZXNdLnhtbFBLAQItABQABgAIAAAAIQA4/SH/1gAAAJQBAAALAAAA&#10;AAAAAAAAAAAAAC8BAABfcmVscy8ucmVsc1BLAQItABQABgAIAAAAIQCaanz5OQIAAGsEAAAOAAAA&#10;AAAAAAAAAAAAAC4CAABkcnMvZTJvRG9jLnhtbFBLAQItABQABgAIAAAAIQCi/wy34gAAAAoBAAAP&#10;AAAAAAAAAAAAAAAAAJMEAABkcnMvZG93bnJldi54bWxQSwUGAAAAAAQABADzAAAAogUAAAAA&#10;" fillcolor="white [3201]" stroked="f" strokeweight=".5pt">
                <v:textbox inset="0,0,0,0">
                  <w:txbxContent>
                    <w:p w14:paraId="59B1265C" w14:textId="0BD5152B" w:rsidR="00CF38BD" w:rsidRPr="005E197D" w:rsidRDefault="00CF38BD" w:rsidP="000D09B2">
                      <w:pPr>
                        <w:spacing w:before="0"/>
                        <w:rPr>
                          <w:sz w:val="10"/>
                          <w:szCs w:val="10"/>
                        </w:rPr>
                      </w:pPr>
                      <w:r w:rsidRPr="005E197D">
                        <w:rPr>
                          <w:sz w:val="10"/>
                          <w:szCs w:val="10"/>
                        </w:rPr>
                        <w:t>* Not</w:t>
                      </w:r>
                      <w:r>
                        <w:rPr>
                          <w:sz w:val="10"/>
                          <w:szCs w:val="10"/>
                        </w:rPr>
                        <w:t>a</w:t>
                      </w:r>
                      <w:r w:rsidRPr="005E197D">
                        <w:rPr>
                          <w:sz w:val="10"/>
                          <w:szCs w:val="10"/>
                        </w:rPr>
                        <w:t xml:space="preserve">: </w:t>
                      </w:r>
                      <w:r>
                        <w:rPr>
                          <w:sz w:val="10"/>
                          <w:szCs w:val="10"/>
                        </w:rPr>
                        <w:t xml:space="preserve">Las Instituciones Académicas son </w:t>
                      </w:r>
                      <w:r w:rsidRPr="00123D41">
                        <w:rPr>
                          <w:sz w:val="10"/>
                          <w:szCs w:val="10"/>
                        </w:rPr>
                        <w:t>automáticamente</w:t>
                      </w:r>
                      <w:r>
                        <w:rPr>
                          <w:sz w:val="10"/>
                          <w:szCs w:val="10"/>
                        </w:rPr>
                        <w:t xml:space="preserve"> miembros de los tres Sectores</w:t>
                      </w:r>
                      <w:r w:rsidRPr="005E197D">
                        <w:rPr>
                          <w:sz w:val="10"/>
                          <w:szCs w:val="10"/>
                        </w:rPr>
                        <w:t>.</w:t>
                      </w:r>
                    </w:p>
                    <w:p w14:paraId="7C1971DB" w14:textId="77777777" w:rsidR="00CF38BD" w:rsidRPr="005E197D" w:rsidRDefault="00CF38BD" w:rsidP="000D09B2">
                      <w:pPr>
                        <w:spacing w:before="0"/>
                        <w:rPr>
                          <w:sz w:val="9"/>
                          <w:szCs w:val="9"/>
                        </w:rPr>
                      </w:pPr>
                      <w:r w:rsidRPr="005E197D">
                        <w:rPr>
                          <w:sz w:val="10"/>
                          <w:szCs w:val="10"/>
                        </w:rPr>
                        <w:t xml:space="preserve">** </w:t>
                      </w:r>
                      <w:r>
                        <w:rPr>
                          <w:sz w:val="10"/>
                          <w:szCs w:val="10"/>
                        </w:rPr>
                        <w:t>Se presentan cantidades teóricas en el supuesto de que todos los miembros pagan sus cuotas de afiliación</w:t>
                      </w:r>
                    </w:p>
                  </w:txbxContent>
                </v:textbox>
                <w10:wrap anchorx="margin"/>
              </v:shape>
            </w:pict>
          </mc:Fallback>
        </mc:AlternateContent>
      </w:r>
      <w:r w:rsidR="000D09B2" w:rsidRPr="00C317D5">
        <w:rPr>
          <w:noProof/>
          <w:lang w:eastAsia="es-ES"/>
        </w:rPr>
        <mc:AlternateContent>
          <mc:Choice Requires="wps">
            <w:drawing>
              <wp:anchor distT="0" distB="0" distL="114300" distR="114300" simplePos="0" relativeHeight="251670528" behindDoc="0" locked="0" layoutInCell="1" allowOverlap="1" wp14:anchorId="17F005E8" wp14:editId="6E1F5CAF">
                <wp:simplePos x="0" y="0"/>
                <wp:positionH relativeFrom="margin">
                  <wp:posOffset>1108710</wp:posOffset>
                </wp:positionH>
                <wp:positionV relativeFrom="paragraph">
                  <wp:posOffset>172161</wp:posOffset>
                </wp:positionV>
                <wp:extent cx="892785" cy="234315"/>
                <wp:effectExtent l="0" t="0" r="3175" b="0"/>
                <wp:wrapNone/>
                <wp:docPr id="9" name="Text Box 9"/>
                <wp:cNvGraphicFramePr/>
                <a:graphic xmlns:a="http://schemas.openxmlformats.org/drawingml/2006/main">
                  <a:graphicData uri="http://schemas.microsoft.com/office/word/2010/wordprocessingShape">
                    <wps:wsp>
                      <wps:cNvSpPr txBox="1"/>
                      <wps:spPr>
                        <a:xfrm>
                          <a:off x="0" y="0"/>
                          <a:ext cx="892785" cy="234315"/>
                        </a:xfrm>
                        <a:prstGeom prst="rect">
                          <a:avLst/>
                        </a:prstGeom>
                        <a:solidFill>
                          <a:schemeClr val="lt1"/>
                        </a:solidFill>
                        <a:ln w="6350">
                          <a:noFill/>
                        </a:ln>
                      </wps:spPr>
                      <wps:txbx>
                        <w:txbxContent>
                          <w:p w14:paraId="509D40C1" w14:textId="782C2C3F" w:rsidR="00CF38BD" w:rsidRDefault="00CF38BD" w:rsidP="000D09B2">
                            <w:pPr>
                              <w:spacing w:before="0"/>
                              <w:rPr>
                                <w:sz w:val="13"/>
                                <w:szCs w:val="13"/>
                                <w:lang w:val="fr-CH"/>
                              </w:rPr>
                            </w:pPr>
                            <w:r>
                              <w:rPr>
                                <w:b/>
                                <w:bCs/>
                                <w:color w:val="4F81BD" w:themeColor="accent1"/>
                                <w:sz w:val="14"/>
                                <w:szCs w:val="14"/>
                              </w:rPr>
                              <w:t>964</w:t>
                            </w:r>
                            <w:r>
                              <w:rPr>
                                <w:sz w:val="14"/>
                                <w:szCs w:val="14"/>
                              </w:rPr>
                              <w:t xml:space="preserve"> Entidades miembros </w:t>
                            </w:r>
                            <w:r>
                              <w:rPr>
                                <w:sz w:val="14"/>
                                <w:szCs w:val="14"/>
                              </w:rPr>
                              <w:br/>
                            </w:r>
                            <w:r>
                              <w:rPr>
                                <w:b/>
                                <w:bCs/>
                                <w:color w:val="4F81BD" w:themeColor="accent1"/>
                                <w:sz w:val="14"/>
                                <w:szCs w:val="14"/>
                              </w:rPr>
                              <w:t>1 295</w:t>
                            </w:r>
                            <w:r>
                              <w:rPr>
                                <w:sz w:val="13"/>
                                <w:szCs w:val="13"/>
                              </w:rPr>
                              <w:t xml:space="preserve"> Miembros</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005E8" id="Text Box 9" o:spid="_x0000_s1043" type="#_x0000_t202" style="position:absolute;left:0;text-align:left;margin-left:87.3pt;margin-top:13.55pt;width:70.3pt;height:18.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43IPAIAAGgEAAAOAAAAZHJzL2Uyb0RvYy54bWysVE2P2jAQvVfqf7B8L+Gj7EJEWFFWVJXQ&#10;7kpQ7dk4DrFke1zbkNBf37FD2HZ7q3oxk5nx87w3MyweWq3IWTgvwRR0NBhSIgyHUppjQb/vN59m&#10;lPjATMkUGFHQi/D0Yfnxw6KxuRhDDaoUjiCI8XljC1qHYPMs87wWmvkBWGEwWIHTLOCnO2alYw2i&#10;a5WNh8O7rAFXWgdceI/exy5Ilwm/qgQPz1XlRSCqoFhbSKdL5yGe2XLB8qNjtpb8Wgb7hyo0kwYf&#10;vUE9ssDIycm/oLTkDjxUYcBBZ1BVkovEAdmMhu/Y7GpmReKC4nh7k8n/P1j+dH5xRJYFnVNimMYW&#10;7UUbyBdoyTyq01ifY9LOYlpo0Y1d7v0enZF0Wzkdf5EOwTjqfLlpG8E4Omfz8f1sSgnH0HjyeTKa&#10;RpTs7bJ1PnwVoEk0CuqwdUlRdt760KX2KfEtD0qWG6lU+ojjItbKkTPDRquQSkTwP7KUIU1B7ybT&#10;YQI2EK93yMpgLZFqRylaoT20SZjRfc/3AOUFZXDQjZG3fCOx2C3z4YU5nBtkjrsQnvGoFOBjXElL&#10;SQ3u53tfzMM2YoSSBuevoP7HiTlBifpmsMFxWHvD9cahN8xJrwGZjnC7LE8mXnBB9WblQL/iaqzi&#10;KxhihuNbBQ29uQ7dFuBqcbFapSQcScvC1uwsj9BR2Sj5vn1lzl77ErChT9BPJsvftafLjTcNrE4B&#10;Kpl6FwXt1LvqjOOcun9dvbgvv3+nrLc/iOUvAAAA//8DAFBLAwQUAAYACAAAACEA5QCeqOEAAAAJ&#10;AQAADwAAAGRycy9kb3ducmV2LnhtbEyPwU7DMBBE70j8g7VIXBB1EkJShTgVIHFAAiHaqmc3XuJQ&#10;ex1it035eswJjqN9mnlbLyZr2AFH3zsSkM4SYEitUz11Atarp+s5MB8kKWkcoYATelg052e1rJQ7&#10;0jselqFjsYR8JQXoEIaKc99qtNLP3IAUbx9utDLEOHZcjfIYy63hWZIU3Mqe4oKWAz5qbHfLvRUw&#10;P+WvV5ui3Hyat+cH/d190ctOCnF5Md3fAQs4hT8YfvWjOjTRaev2pDwzMZd5EVEBWZkCi8BNepsB&#10;2woo8gR4U/P/HzQ/AAAA//8DAFBLAQItABQABgAIAAAAIQC2gziS/gAAAOEBAAATAAAAAAAAAAAA&#10;AAAAAAAAAABbQ29udGVudF9UeXBlc10ueG1sUEsBAi0AFAAGAAgAAAAhADj9If/WAAAAlAEAAAsA&#10;AAAAAAAAAAAAAAAALwEAAF9yZWxzLy5yZWxzUEsBAi0AFAAGAAgAAAAhAKJjjcg8AgAAaAQAAA4A&#10;AAAAAAAAAAAAAAAALgIAAGRycy9lMm9Eb2MueG1sUEsBAi0AFAAGAAgAAAAhAOUAnqjhAAAACQEA&#10;AA8AAAAAAAAAAAAAAAAAlgQAAGRycy9kb3ducmV2LnhtbFBLBQYAAAAABAAEAPMAAACkBQAAAAA=&#10;" fillcolor="white [3201]" stroked="f" strokeweight=".5pt">
                <v:textbox inset="0,0,0,0">
                  <w:txbxContent>
                    <w:p w14:paraId="509D40C1" w14:textId="782C2C3F" w:rsidR="00CF38BD" w:rsidRDefault="00CF38BD" w:rsidP="000D09B2">
                      <w:pPr>
                        <w:spacing w:before="0"/>
                        <w:rPr>
                          <w:sz w:val="13"/>
                          <w:szCs w:val="13"/>
                          <w:lang w:val="fr-CH"/>
                        </w:rPr>
                      </w:pPr>
                      <w:r>
                        <w:rPr>
                          <w:b/>
                          <w:bCs/>
                          <w:color w:val="4F81BD" w:themeColor="accent1"/>
                          <w:sz w:val="14"/>
                          <w:szCs w:val="14"/>
                        </w:rPr>
                        <w:t>964</w:t>
                      </w:r>
                      <w:r>
                        <w:rPr>
                          <w:sz w:val="14"/>
                          <w:szCs w:val="14"/>
                        </w:rPr>
                        <w:t xml:space="preserve"> Entidades miembros </w:t>
                      </w:r>
                      <w:r>
                        <w:rPr>
                          <w:sz w:val="14"/>
                          <w:szCs w:val="14"/>
                        </w:rPr>
                        <w:br/>
                      </w:r>
                      <w:r>
                        <w:rPr>
                          <w:b/>
                          <w:bCs/>
                          <w:color w:val="4F81BD" w:themeColor="accent1"/>
                          <w:sz w:val="14"/>
                          <w:szCs w:val="14"/>
                        </w:rPr>
                        <w:t>1 295</w:t>
                      </w:r>
                      <w:r>
                        <w:rPr>
                          <w:sz w:val="13"/>
                          <w:szCs w:val="13"/>
                        </w:rPr>
                        <w:t xml:space="preserve"> Miembros</w:t>
                      </w:r>
                    </w:p>
                  </w:txbxContent>
                </v:textbox>
                <w10:wrap anchorx="margin"/>
              </v:shape>
            </w:pict>
          </mc:Fallback>
        </mc:AlternateContent>
      </w:r>
      <w:r w:rsidR="000D09B2" w:rsidRPr="00C317D5">
        <w:rPr>
          <w:noProof/>
          <w:lang w:eastAsia="es-ES"/>
        </w:rPr>
        <mc:AlternateContent>
          <mc:Choice Requires="wps">
            <w:drawing>
              <wp:anchor distT="0" distB="0" distL="114300" distR="114300" simplePos="0" relativeHeight="251672576" behindDoc="0" locked="0" layoutInCell="1" allowOverlap="1" wp14:anchorId="4433A9BF" wp14:editId="0D03EE1D">
                <wp:simplePos x="0" y="0"/>
                <wp:positionH relativeFrom="margin">
                  <wp:posOffset>4826695</wp:posOffset>
                </wp:positionH>
                <wp:positionV relativeFrom="paragraph">
                  <wp:posOffset>504381</wp:posOffset>
                </wp:positionV>
                <wp:extent cx="724535" cy="185791"/>
                <wp:effectExtent l="0" t="0" r="0" b="5080"/>
                <wp:wrapNone/>
                <wp:docPr id="25" name="Text Box 25"/>
                <wp:cNvGraphicFramePr/>
                <a:graphic xmlns:a="http://schemas.openxmlformats.org/drawingml/2006/main">
                  <a:graphicData uri="http://schemas.microsoft.com/office/word/2010/wordprocessingShape">
                    <wps:wsp>
                      <wps:cNvSpPr txBox="1"/>
                      <wps:spPr>
                        <a:xfrm>
                          <a:off x="0" y="0"/>
                          <a:ext cx="724535" cy="185791"/>
                        </a:xfrm>
                        <a:prstGeom prst="rect">
                          <a:avLst/>
                        </a:prstGeom>
                        <a:solidFill>
                          <a:schemeClr val="lt1"/>
                        </a:solidFill>
                        <a:ln w="6350">
                          <a:noFill/>
                        </a:ln>
                      </wps:spPr>
                      <wps:txbx>
                        <w:txbxContent>
                          <w:p w14:paraId="51222A00" w14:textId="77777777" w:rsidR="00CF38BD" w:rsidRDefault="00CF38BD" w:rsidP="000D09B2">
                            <w:pPr>
                              <w:spacing w:before="0"/>
                              <w:jc w:val="center"/>
                              <w:rPr>
                                <w:sz w:val="13"/>
                                <w:szCs w:val="13"/>
                                <w:lang w:val="fr-CH"/>
                              </w:rPr>
                            </w:pPr>
                            <w:r>
                              <w:rPr>
                                <w:b/>
                                <w:bCs/>
                                <w:color w:val="548DD4" w:themeColor="text2" w:themeTint="99"/>
                                <w:sz w:val="13"/>
                                <w:szCs w:val="13"/>
                                <w:lang w:val="fr-CH"/>
                              </w:rPr>
                              <w:t>Total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3A9BF" id="Text Box 25" o:spid="_x0000_s1044" type="#_x0000_t202" style="position:absolute;left:0;text-align:left;margin-left:380.05pt;margin-top:39.7pt;width:57.05pt;height:14.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qlARAIAAHoEAAAOAAAAZHJzL2Uyb0RvYy54bWysVMFOGzEQvVfqP1i+l01CAiHKBqUgqkoI&#10;kKDi7Hi9iSWvx7Wd7NKv77M3C5Teql689sz4jee9mV1edo1hB+WDJlvy8cmIM2UlVdpuS/7j6ebL&#10;nLMQha2EIatK/qICv1x9/rRs3UJNaEemUp4BxIZF60q+i9EtiiLInWpEOCGnLJw1+UZEHP22qLxo&#10;gd6YYjIanRUt+cp5kioEWK97J19l/LpWMt7XdVCRmZLjbTGvPq+btBarpVhsvXA7LY/PEP/wikZo&#10;i6SvUNciCrb3+i+oRktPgep4IqkpqK61VLkGVDMefajmcSecyrWAnOBeaQr/D1beHR4801XJJzPO&#10;rGig0ZPqIvtKHYMJ/LQuLBD26BAYO9ih82APMKayu9o36YuCGPxg+uWV3YQmYTyfTGenSCLhGs9n&#10;5xcZpXi77HyI3xQ1LG1K7iFe5lQcbkPEQxA6hKRcgYyubrQx+ZAaRl0Zzw4CUps4gP8RZSxrS352&#10;OhtlYEvpeo9sLBKkUvuS0i52my5TM54P9W6oegENnvpGCk7eaDz2VoT4IDw6B5VjGuI9ltoQkkmj&#10;HWc78r8+2lIchISHsxYdWPLwcy+84sx8t5D4YjydppbNh+nsfIKDf+/ZvPfYfXNFqHyMeXMyb1N8&#10;NMO29tQ8Y1jWKStcwkrkLnkctlexnwsMm1TrdQ5CkzoRb+2jkwk6MZ0keOqehXdHnSIEvqOhV8Xi&#10;g1x9bLppab2PVOusZSK4Z/PIOxo8S3wcxjRB78856u2XsfoNAAD//wMAUEsDBBQABgAIAAAAIQDq&#10;TWYq4QAAAAoBAAAPAAAAZHJzL2Rvd25yZXYueG1sTI9NT8MwDIbvSPyHyEhc0Jbug7WUphNCwCRu&#10;rAPELWtMW9E4VZO15d9jTnCz5UevnzfbTrYVA/a+caRgMY9AIJXONFQpOBSPswSED5qMbh2hgm/0&#10;sM3PzzKdGjfSCw77UAkOIZ9qBXUIXSqlL2u02s9dh8S3T9dbHXjtK2l6PXK4beUyijbS6ob4Q607&#10;vK+x/NqfrIKPq+r92U9Pr+PqetU97IYifjOFUpcX090tiIBT+IPhV5/VIWenozuR8aJVEG+iBaM8&#10;3KxBMJDE6yWII5NREoPMM/m/Qv4DAAD//wMAUEsBAi0AFAAGAAgAAAAhALaDOJL+AAAA4QEAABMA&#10;AAAAAAAAAAAAAAAAAAAAAFtDb250ZW50X1R5cGVzXS54bWxQSwECLQAUAAYACAAAACEAOP0h/9YA&#10;AACUAQAACwAAAAAAAAAAAAAAAAAvAQAAX3JlbHMvLnJlbHNQSwECLQAUAAYACAAAACEAvCapQEQC&#10;AAB6BAAADgAAAAAAAAAAAAAAAAAuAgAAZHJzL2Uyb0RvYy54bWxQSwECLQAUAAYACAAAACEA6k1m&#10;KuEAAAAKAQAADwAAAAAAAAAAAAAAAACeBAAAZHJzL2Rvd25yZXYueG1sUEsFBgAAAAAEAAQA8wAA&#10;AKwFAAAAAA==&#10;" fillcolor="white [3201]" stroked="f" strokeweight=".5pt">
                <v:textbox>
                  <w:txbxContent>
                    <w:p w14:paraId="51222A00" w14:textId="77777777" w:rsidR="00CF38BD" w:rsidRDefault="00CF38BD" w:rsidP="000D09B2">
                      <w:pPr>
                        <w:spacing w:before="0"/>
                        <w:jc w:val="center"/>
                        <w:rPr>
                          <w:sz w:val="13"/>
                          <w:szCs w:val="13"/>
                          <w:lang w:val="fr-CH"/>
                        </w:rPr>
                      </w:pPr>
                      <w:r>
                        <w:rPr>
                          <w:b/>
                          <w:bCs/>
                          <w:color w:val="548DD4" w:themeColor="text2" w:themeTint="99"/>
                          <w:sz w:val="13"/>
                          <w:szCs w:val="13"/>
                          <w:lang w:val="fr-CH"/>
                        </w:rPr>
                        <w:t>Total</w:t>
                      </w:r>
                    </w:p>
                  </w:txbxContent>
                </v:textbox>
                <w10:wrap anchorx="margin"/>
              </v:shape>
            </w:pict>
          </mc:Fallback>
        </mc:AlternateContent>
      </w:r>
      <w:r w:rsidR="000D09B2" w:rsidRPr="00C317D5">
        <w:rPr>
          <w:noProof/>
          <w:lang w:eastAsia="es-ES"/>
        </w:rPr>
        <mc:AlternateContent>
          <mc:Choice Requires="wps">
            <w:drawing>
              <wp:anchor distT="0" distB="0" distL="114300" distR="114300" simplePos="0" relativeHeight="251674624" behindDoc="0" locked="0" layoutInCell="1" allowOverlap="1" wp14:anchorId="6AD28D53" wp14:editId="2A848B3C">
                <wp:simplePos x="0" y="0"/>
                <wp:positionH relativeFrom="margin">
                  <wp:posOffset>3058280</wp:posOffset>
                </wp:positionH>
                <wp:positionV relativeFrom="paragraph">
                  <wp:posOffset>504382</wp:posOffset>
                </wp:positionV>
                <wp:extent cx="724535" cy="185791"/>
                <wp:effectExtent l="0" t="0" r="0" b="5080"/>
                <wp:wrapNone/>
                <wp:docPr id="23" name="Text Box 23"/>
                <wp:cNvGraphicFramePr/>
                <a:graphic xmlns:a="http://schemas.openxmlformats.org/drawingml/2006/main">
                  <a:graphicData uri="http://schemas.microsoft.com/office/word/2010/wordprocessingShape">
                    <wps:wsp>
                      <wps:cNvSpPr txBox="1"/>
                      <wps:spPr>
                        <a:xfrm>
                          <a:off x="0" y="0"/>
                          <a:ext cx="724535" cy="185791"/>
                        </a:xfrm>
                        <a:prstGeom prst="rect">
                          <a:avLst/>
                        </a:prstGeom>
                        <a:solidFill>
                          <a:schemeClr val="lt1"/>
                        </a:solidFill>
                        <a:ln w="6350">
                          <a:noFill/>
                        </a:ln>
                      </wps:spPr>
                      <wps:txbx>
                        <w:txbxContent>
                          <w:p w14:paraId="1B5887F8" w14:textId="77777777" w:rsidR="00CF38BD" w:rsidRDefault="00CF38BD" w:rsidP="000D09B2">
                            <w:pPr>
                              <w:spacing w:before="0"/>
                              <w:jc w:val="center"/>
                              <w:rPr>
                                <w:sz w:val="13"/>
                                <w:szCs w:val="13"/>
                                <w:lang w:val="fr-CH"/>
                              </w:rPr>
                            </w:pPr>
                            <w:r>
                              <w:rPr>
                                <w:b/>
                                <w:bCs/>
                                <w:color w:val="548DD4" w:themeColor="text2" w:themeTint="99"/>
                                <w:sz w:val="14"/>
                                <w:szCs w:val="14"/>
                                <w:lang w:val="fr-CH"/>
                              </w:rPr>
                              <w:t>UIT-D</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28D53" id="Text Box 23" o:spid="_x0000_s1045" type="#_x0000_t202" style="position:absolute;left:0;text-align:left;margin-left:240.8pt;margin-top:39.7pt;width:57.05pt;height:14.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PCRQIAAHoEAAAOAAAAZHJzL2Uyb0RvYy54bWysVE2P2jAQvVfqf7B8LyF8LAsirCgrqkpo&#10;dyWo9mwch1hyPK5tSOiv79ghLKW3qhfHnhm/8bw3k/lTUylyEtZJ0BlNe31KhOaQS33I6I/d+ssj&#10;Jc4znTMFWmT0LBx9Wnz+NK/NTAygBJULSxBEu1ltMlp6b2ZJ4ngpKuZ6YIRGZwG2Yh6P9pDkltWI&#10;Xqlk0O8/JDXY3Fjgwjm0PrdOuoj4RSG4fy0KJzxRGcW3+bjauO7DmizmbHawzJSSX57B/uEVFZMa&#10;k16hnpln5GjlX1CV5BYcFL7HoUqgKCQXsQasJu3fVbMtmRGxFiTHmStN7v/B8pfTmyUyz+hgSIlm&#10;FWq0E40nX6EhaEJ+auNmGLY1GOgbtKPOnd2hMZTdFLYKXyyIoB+ZPl/ZDWgcjZPBaDwcU8LRlT6O&#10;J9OIknxcNtb5bwIqEjYZtShe5JSdNs7jQzC0Cwm5HCiZr6VS8RAaRqyUJSeGUivfgf8RpTSpM/ow&#10;HPcjsIZwvUVWGhOEUtuSws43+yZSk067eveQn5EGC20jOcPXEh+7Yc6/MYudg5XjNPhXXAoFmIwr&#10;aSgpwf66t4U4FBI9lNTYgRl1P4/MCkrUd40ST9PRKLRsPIzGkwEe7K1nf+vRx2oFWHmK82Z43IZ4&#10;r7ptYaF6x2FZhqzoYppj7oz6brvy7VzgsHGxXMYgbFLD/EZvDQ/Qgekgwa55Z9ZcdPIo8At0vcpm&#10;d3K1seGmhuXRQyGjloHgls0L79jgUeLLMIYJuj3HqI9fxuI3AAAA//8DAFBLAwQUAAYACAAAACEA&#10;r9UmCeIAAAAKAQAADwAAAGRycy9kb3ducmV2LnhtbEyPy07DMBBF90j8gzVIbBB1SpsmDXEqhHhI&#10;7Gh4iJ0bD0lEPI5iNwl/z7CC5ege3Xsm3822EyMOvnWkYLmIQCBVzrRUK3gp7y9TED5oMrpzhAq+&#10;0cOuOD3JdWbcRM847kMtuIR8phU0IfSZlL5q0Gq/cD0SZ59usDrwOdTSDHrictvJqyjaSKtb4oVG&#10;93jbYPW1P1oFHxf1+5OfH16nVbzq7x7HMnkzpVLnZ/PNNYiAc/iD4Vef1aFgp4M7kvGiU7BOlxtG&#10;FSTbNQgG4m2cgDgwGaUJyCKX/18ofgAAAP//AwBQSwECLQAUAAYACAAAACEAtoM4kv4AAADhAQAA&#10;EwAAAAAAAAAAAAAAAAAAAAAAW0NvbnRlbnRfVHlwZXNdLnhtbFBLAQItABQABgAIAAAAIQA4/SH/&#10;1gAAAJQBAAALAAAAAAAAAAAAAAAAAC8BAABfcmVscy8ucmVsc1BLAQItABQABgAIAAAAIQCjlbPC&#10;RQIAAHoEAAAOAAAAAAAAAAAAAAAAAC4CAABkcnMvZTJvRG9jLnhtbFBLAQItABQABgAIAAAAIQCv&#10;1SYJ4gAAAAoBAAAPAAAAAAAAAAAAAAAAAJ8EAABkcnMvZG93bnJldi54bWxQSwUGAAAAAAQABADz&#10;AAAArgUAAAAA&#10;" fillcolor="white [3201]" stroked="f" strokeweight=".5pt">
                <v:textbox>
                  <w:txbxContent>
                    <w:p w14:paraId="1B5887F8" w14:textId="77777777" w:rsidR="00CF38BD" w:rsidRDefault="00CF38BD" w:rsidP="000D09B2">
                      <w:pPr>
                        <w:spacing w:before="0"/>
                        <w:jc w:val="center"/>
                        <w:rPr>
                          <w:sz w:val="13"/>
                          <w:szCs w:val="13"/>
                          <w:lang w:val="fr-CH"/>
                        </w:rPr>
                      </w:pPr>
                      <w:r>
                        <w:rPr>
                          <w:b/>
                          <w:bCs/>
                          <w:color w:val="548DD4" w:themeColor="text2" w:themeTint="99"/>
                          <w:sz w:val="14"/>
                          <w:szCs w:val="14"/>
                          <w:lang w:val="fr-CH"/>
                        </w:rPr>
                        <w:t>UIT-D</w:t>
                      </w:r>
                    </w:p>
                  </w:txbxContent>
                </v:textbox>
                <w10:wrap anchorx="margin"/>
              </v:shape>
            </w:pict>
          </mc:Fallback>
        </mc:AlternateContent>
      </w:r>
      <w:r w:rsidR="000D09B2" w:rsidRPr="00C317D5">
        <w:rPr>
          <w:noProof/>
          <w:lang w:eastAsia="es-ES"/>
        </w:rPr>
        <mc:AlternateContent>
          <mc:Choice Requires="wps">
            <w:drawing>
              <wp:anchor distT="0" distB="0" distL="114300" distR="114300" simplePos="0" relativeHeight="251680768" behindDoc="0" locked="0" layoutInCell="1" allowOverlap="1" wp14:anchorId="39DE4DCC" wp14:editId="205B4C26">
                <wp:simplePos x="0" y="0"/>
                <wp:positionH relativeFrom="margin">
                  <wp:posOffset>484531</wp:posOffset>
                </wp:positionH>
                <wp:positionV relativeFrom="paragraph">
                  <wp:posOffset>1872441</wp:posOffset>
                </wp:positionV>
                <wp:extent cx="1243330" cy="2094865"/>
                <wp:effectExtent l="0" t="0" r="0" b="635"/>
                <wp:wrapNone/>
                <wp:docPr id="29" name="Text Box 29"/>
                <wp:cNvGraphicFramePr/>
                <a:graphic xmlns:a="http://schemas.openxmlformats.org/drawingml/2006/main">
                  <a:graphicData uri="http://schemas.microsoft.com/office/word/2010/wordprocessingShape">
                    <wps:wsp>
                      <wps:cNvSpPr txBox="1"/>
                      <wps:spPr>
                        <a:xfrm>
                          <a:off x="0" y="0"/>
                          <a:ext cx="1243330" cy="2094865"/>
                        </a:xfrm>
                        <a:prstGeom prst="rect">
                          <a:avLst/>
                        </a:prstGeom>
                        <a:solidFill>
                          <a:schemeClr val="lt1"/>
                        </a:solidFill>
                        <a:ln w="6350">
                          <a:noFill/>
                        </a:ln>
                      </wps:spPr>
                      <wps:txbx>
                        <w:txbxContent>
                          <w:p w14:paraId="705D7928" w14:textId="77777777" w:rsidR="00CF38BD" w:rsidRDefault="00CF38BD" w:rsidP="000D09B2">
                            <w:pPr>
                              <w:spacing w:before="40"/>
                              <w:rPr>
                                <w:sz w:val="14"/>
                                <w:szCs w:val="14"/>
                              </w:rPr>
                            </w:pPr>
                            <w:r>
                              <w:rPr>
                                <w:sz w:val="14"/>
                                <w:szCs w:val="14"/>
                              </w:rPr>
                              <w:t>Entidades miembros</w:t>
                            </w:r>
                          </w:p>
                          <w:p w14:paraId="4CFDE832" w14:textId="77777777" w:rsidR="00CF38BD" w:rsidRDefault="00CF38BD" w:rsidP="009A11D1">
                            <w:pPr>
                              <w:spacing w:before="600"/>
                              <w:rPr>
                                <w:sz w:val="14"/>
                                <w:szCs w:val="14"/>
                              </w:rPr>
                            </w:pPr>
                            <w:r>
                              <w:rPr>
                                <w:sz w:val="14"/>
                                <w:szCs w:val="14"/>
                              </w:rPr>
                              <w:t>Total de miembros</w:t>
                            </w:r>
                          </w:p>
                          <w:p w14:paraId="43C198F6" w14:textId="77777777" w:rsidR="00CF38BD" w:rsidRDefault="00CF38BD" w:rsidP="000D09B2">
                            <w:pPr>
                              <w:spacing w:before="480"/>
                              <w:rPr>
                                <w:sz w:val="13"/>
                                <w:szCs w:val="13"/>
                              </w:rPr>
                            </w:pPr>
                            <w:r>
                              <w:rPr>
                                <w:sz w:val="13"/>
                                <w:szCs w:val="13"/>
                              </w:rPr>
                              <w:t>Miembros del Sector</w:t>
                            </w:r>
                          </w:p>
                          <w:p w14:paraId="7515E430" w14:textId="77777777" w:rsidR="00CF38BD" w:rsidRPr="00FF371C" w:rsidRDefault="00CF38BD" w:rsidP="000D09B2">
                            <w:pPr>
                              <w:spacing w:before="480"/>
                              <w:rPr>
                                <w:sz w:val="14"/>
                                <w:szCs w:val="14"/>
                              </w:rPr>
                            </w:pPr>
                            <w:r w:rsidRPr="00FF371C">
                              <w:rPr>
                                <w:sz w:val="14"/>
                                <w:szCs w:val="14"/>
                              </w:rPr>
                              <w:t>As</w:t>
                            </w:r>
                            <w:r>
                              <w:rPr>
                                <w:sz w:val="14"/>
                                <w:szCs w:val="14"/>
                              </w:rPr>
                              <w:t>ociados</w:t>
                            </w:r>
                          </w:p>
                          <w:p w14:paraId="63E008EF" w14:textId="77777777" w:rsidR="00CF38BD" w:rsidRDefault="00CF38BD" w:rsidP="009A11D1">
                            <w:pPr>
                              <w:spacing w:before="360"/>
                              <w:rPr>
                                <w:sz w:val="14"/>
                                <w:szCs w:val="14"/>
                              </w:rPr>
                            </w:pPr>
                            <w:r>
                              <w:rPr>
                                <w:sz w:val="14"/>
                                <w:szCs w:val="14"/>
                              </w:rPr>
                              <w:t>Instituciones Académicas</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E4DCC" id="Text Box 29" o:spid="_x0000_s1046" type="#_x0000_t202" style="position:absolute;left:0;text-align:left;margin-left:38.15pt;margin-top:147.45pt;width:97.9pt;height:164.9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Pm0OwIAAGwEAAAOAAAAZHJzL2Uyb0RvYy54bWysVFFv2jAQfp+0/2D5fSRAi9qIUDEqpkmo&#10;rQRTn41jgyXH59mGhP36nR0CHXub9mIud+fPd993x/SprTU5CucVmJIOBzklwnColNmV9Mdm+eWB&#10;Eh+YqZgGI0p6Ep4+zT5/mja2ECPYg66EIwhifNHYku5DsEWWeb4XNfMDsMJgUIKrWcBPt8sqxxpE&#10;r3U2yvNJ1oCrrAMuvEfvcxeks4QvpeDhVUovAtElxdpCOl06t/HMZlNW7Byze8XPZbB/qKJmyuCj&#10;F6hnFhg5OPUXVK24Aw8yDDjUGUipuEg9YDfD/Kab9Z5ZkXpBcry90OT/Hyx/Ob45oqqSjh4pMaxG&#10;jTaiDeQrtARdyE9jfYFpa4uJoUU/6tz7PTpj2610dfzFhgjGkenThd2IxuOl0d14PMYQx9gof7x7&#10;mNxHnOx63TofvgmoSTRK6lC+xCo7rnzoUvuU+JoHraql0jp9xJERC+3IkaHYOqQiEfyPLG1IU9LJ&#10;+D5PwAbi9Q5ZG6wlNts1Fa3QbtuOnDQp0bWF6oREOOhGyVu+VFjsivnwxhzODjaI+xBe8ZAa8DGu&#10;laVkD+7XrS/moZQYoaTBGSyp/3lgTlCivxsUGaFCb7je2PaGOdQLwE6HuGGWJxMvuKB7Uzqo33E9&#10;5vEVDDHD8a2Sht5chG4TcL24mM9TEo6lZWFl1pZH6MhspHzTvjNnz7oElPQF+ulkxY08XW68aWB+&#10;CCBV0u7K3plnHOmk/nn94s58/E5Z1z+J2W8AAAD//wMAUEsDBBQABgAIAAAAIQA+EEOh4gAAAAoB&#10;AAAPAAAAZHJzL2Rvd25yZXYueG1sTI/BTsMwEETvSPyDtUhcEHUaoiQN2VSAxAGJClFQz25s4lB7&#10;HWK3Tfl6zAmOq3maeVsvJ2vYQY2+d4QwnyXAFLVO9tQhvL89XpfAfBAkhXGkEE7Kw7I5P6tFJd2R&#10;XtVhHToWS8hXAkGHMFSc+1YrK/zMDYpi9uFGK0I8x47LURxjuTU8TZKcW9FTXNBiUA9atbv13iKU&#10;p2x1tcmLzad5ebrX390XPe8E4uXFdHcLLKgp/MHwqx/VoYlOW7cn6ZlBKPKbSCKki2wBLAJpkc6B&#10;bRHyNCuBNzX//0LzAwAA//8DAFBLAQItABQABgAIAAAAIQC2gziS/gAAAOEBAAATAAAAAAAAAAAA&#10;AAAAAAAAAABbQ29udGVudF9UeXBlc10ueG1sUEsBAi0AFAAGAAgAAAAhADj9If/WAAAAlAEAAAsA&#10;AAAAAAAAAAAAAAAALwEAAF9yZWxzLy5yZWxzUEsBAi0AFAAGAAgAAAAhAK9A+bQ7AgAAbAQAAA4A&#10;AAAAAAAAAAAAAAAALgIAAGRycy9lMm9Eb2MueG1sUEsBAi0AFAAGAAgAAAAhAD4QQ6HiAAAACgEA&#10;AA8AAAAAAAAAAAAAAAAAlQQAAGRycy9kb3ducmV2LnhtbFBLBQYAAAAABAAEAPMAAACkBQAAAAA=&#10;" fillcolor="white [3201]" stroked="f" strokeweight=".5pt">
                <v:textbox inset="0,0,0,0">
                  <w:txbxContent>
                    <w:p w14:paraId="705D7928" w14:textId="77777777" w:rsidR="00CF38BD" w:rsidRDefault="00CF38BD" w:rsidP="000D09B2">
                      <w:pPr>
                        <w:spacing w:before="40"/>
                        <w:rPr>
                          <w:sz w:val="14"/>
                          <w:szCs w:val="14"/>
                        </w:rPr>
                      </w:pPr>
                      <w:r>
                        <w:rPr>
                          <w:sz w:val="14"/>
                          <w:szCs w:val="14"/>
                        </w:rPr>
                        <w:t>Entidades miembros</w:t>
                      </w:r>
                    </w:p>
                    <w:p w14:paraId="4CFDE832" w14:textId="77777777" w:rsidR="00CF38BD" w:rsidRDefault="00CF38BD" w:rsidP="009A11D1">
                      <w:pPr>
                        <w:spacing w:before="600"/>
                        <w:rPr>
                          <w:sz w:val="14"/>
                          <w:szCs w:val="14"/>
                        </w:rPr>
                      </w:pPr>
                      <w:r>
                        <w:rPr>
                          <w:sz w:val="14"/>
                          <w:szCs w:val="14"/>
                        </w:rPr>
                        <w:t>Total de miembros</w:t>
                      </w:r>
                    </w:p>
                    <w:p w14:paraId="43C198F6" w14:textId="77777777" w:rsidR="00CF38BD" w:rsidRDefault="00CF38BD" w:rsidP="000D09B2">
                      <w:pPr>
                        <w:spacing w:before="480"/>
                        <w:rPr>
                          <w:sz w:val="13"/>
                          <w:szCs w:val="13"/>
                        </w:rPr>
                      </w:pPr>
                      <w:r>
                        <w:rPr>
                          <w:sz w:val="13"/>
                          <w:szCs w:val="13"/>
                        </w:rPr>
                        <w:t>Miembros del Sector</w:t>
                      </w:r>
                    </w:p>
                    <w:p w14:paraId="7515E430" w14:textId="77777777" w:rsidR="00CF38BD" w:rsidRPr="00FF371C" w:rsidRDefault="00CF38BD" w:rsidP="000D09B2">
                      <w:pPr>
                        <w:spacing w:before="480"/>
                        <w:rPr>
                          <w:sz w:val="14"/>
                          <w:szCs w:val="14"/>
                        </w:rPr>
                      </w:pPr>
                      <w:r w:rsidRPr="00FF371C">
                        <w:rPr>
                          <w:sz w:val="14"/>
                          <w:szCs w:val="14"/>
                        </w:rPr>
                        <w:t>As</w:t>
                      </w:r>
                      <w:r>
                        <w:rPr>
                          <w:sz w:val="14"/>
                          <w:szCs w:val="14"/>
                        </w:rPr>
                        <w:t>ociados</w:t>
                      </w:r>
                    </w:p>
                    <w:p w14:paraId="63E008EF" w14:textId="77777777" w:rsidR="00CF38BD" w:rsidRDefault="00CF38BD" w:rsidP="009A11D1">
                      <w:pPr>
                        <w:spacing w:before="360"/>
                        <w:rPr>
                          <w:sz w:val="14"/>
                          <w:szCs w:val="14"/>
                        </w:rPr>
                      </w:pPr>
                      <w:r>
                        <w:rPr>
                          <w:sz w:val="14"/>
                          <w:szCs w:val="14"/>
                        </w:rPr>
                        <w:t>Instituciones Académicas</w:t>
                      </w:r>
                    </w:p>
                  </w:txbxContent>
                </v:textbox>
                <w10:wrap anchorx="margin"/>
              </v:shape>
            </w:pict>
          </mc:Fallback>
        </mc:AlternateContent>
      </w:r>
      <w:r w:rsidR="000D09B2" w:rsidRPr="00C317D5">
        <w:rPr>
          <w:noProof/>
          <w:lang w:eastAsia="es-ES"/>
        </w:rPr>
        <mc:AlternateContent>
          <mc:Choice Requires="wps">
            <w:drawing>
              <wp:anchor distT="0" distB="0" distL="114300" distR="114300" simplePos="0" relativeHeight="251679744" behindDoc="0" locked="0" layoutInCell="1" allowOverlap="1" wp14:anchorId="69851AC1" wp14:editId="32604CDC">
                <wp:simplePos x="0" y="0"/>
                <wp:positionH relativeFrom="margin">
                  <wp:posOffset>1058301</wp:posOffset>
                </wp:positionH>
                <wp:positionV relativeFrom="paragraph">
                  <wp:posOffset>1590805</wp:posOffset>
                </wp:positionV>
                <wp:extent cx="3986530" cy="23431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986530" cy="234315"/>
                        </a:xfrm>
                        <a:prstGeom prst="rect">
                          <a:avLst/>
                        </a:prstGeom>
                        <a:solidFill>
                          <a:schemeClr val="lt1"/>
                        </a:solidFill>
                        <a:ln w="6350">
                          <a:noFill/>
                        </a:ln>
                      </wps:spPr>
                      <wps:txbx>
                        <w:txbxContent>
                          <w:p w14:paraId="025C21B4" w14:textId="77777777" w:rsidR="00CF38BD" w:rsidRDefault="00CF38BD" w:rsidP="000D09B2">
                            <w:pPr>
                              <w:spacing w:before="0"/>
                              <w:jc w:val="center"/>
                              <w:rPr>
                                <w:sz w:val="13"/>
                                <w:szCs w:val="13"/>
                                <w:lang w:val="fr-CH"/>
                              </w:rPr>
                            </w:pPr>
                            <w:r>
                              <w:rPr>
                                <w:b/>
                                <w:bCs/>
                                <w:sz w:val="14"/>
                                <w:szCs w:val="14"/>
                              </w:rPr>
                              <w:t>Indicadores fundamentales de rendimiento respecto a los miembros (frente a 2021)</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51AC1" id="Text Box 27" o:spid="_x0000_s1047" type="#_x0000_t202" style="position:absolute;left:0;text-align:left;margin-left:83.35pt;margin-top:125.25pt;width:313.9pt;height:18.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4QYOwIAAGsEAAAOAAAAZHJzL2Uyb0RvYy54bWysVE1v2zAMvQ/YfxB0X52PNeuCOkXWIsOA&#10;oi2QDj0rstwIkEVNUmJnv35Pcpxu2W3YRaFJ6ol8j8z1TdcYtlc+aLIlH1+MOFNWUqXta8m/P68+&#10;XHEWorCVMGRVyQ8q8JvF+3fXrZurCW3JVMozgNgwb13JtzG6eVEEuVWNCBfklEWwJt+IiE//WlRe&#10;tEBvTDEZjWZFS75ynqQKAd67PsgXGb+ulYyPdR1UZKbkqC3m0+dzk85icS3mr164rZbHMsQ/VNEI&#10;bfHoCepORMF2Xv8F1WjpKVAdLyQ1BdW1lir3gG7Go7Nu1lvhVO4F5AR3oin8P1j5sH/yTFcln3zi&#10;zIoGGj2rLrIv1DG4wE/rwhxpa4fE2MEPnQd/gDO13dW+Sb9oiCEOpg8ndhOahHP6+Wp2OUVIIjaZ&#10;fpyOLxNM8Xbb+RC/KmpYMkruoV4mVezvQ+xTh5T0WCCjq5U2Jn+kiVG3xrO9gNYm5hoB/keWsawt&#10;+Wx6OcrAltL1HtlY1JJ67XtKVuw2Xc/NqeENVQfw4KmfpODkSqPYexHik/AYHfSHdYiPOGpDeEwa&#10;7Tjbkv957kt5UBIRzlqMYMnDj53wijPzzUJjQMXB8IOxGQy7a24JnY6xYE5mExd8NINZe2pesB3L&#10;9ApCwkq8VfI4mLexXwRsl1TLZU7CVDoR7+3ayQSdmE2UP3cvwrujLhGKPtAwnGJ+Jk+fm25aWu4i&#10;1Tprlwjt2TvyjInO6h+3L63M79856+0/YvELAAD//wMAUEsDBBQABgAIAAAAIQC5vhkR4gAAAAsB&#10;AAAPAAAAZHJzL2Rvd25yZXYueG1sTI9BT8MwDIXvSPyHyEhcEEuZuraUphMgcUACIQbaOWtMU9Y4&#10;pcm2jl+POcHNz356/l61nFwv9jiGzpOCq1kCAqnxpqNWwfvbw2UBIkRNRveeUMERAyzr05NKl8Yf&#10;6BX3q9gKDqFQagU2xqGUMjQWnQ4zPyDx7cOPTkeWYyvNqA8c7no5T5JMOt0Rf7B6wHuLzXa1cwqK&#10;Y/p8sc7y9Wf/8nhnv9svetpqpc7PptsbEBGn+GeGX3xGh5qZNn5HJoiedZblbFUwXyQLEOzIr1Me&#10;Nrwp8hRkXcn/HeofAAAA//8DAFBLAQItABQABgAIAAAAIQC2gziS/gAAAOEBAAATAAAAAAAAAAAA&#10;AAAAAAAAAABbQ29udGVudF9UeXBlc10ueG1sUEsBAi0AFAAGAAgAAAAhADj9If/WAAAAlAEAAAsA&#10;AAAAAAAAAAAAAAAALwEAAF9yZWxzLy5yZWxzUEsBAi0AFAAGAAgAAAAhAI6XhBg7AgAAawQAAA4A&#10;AAAAAAAAAAAAAAAALgIAAGRycy9lMm9Eb2MueG1sUEsBAi0AFAAGAAgAAAAhALm+GRHiAAAACwEA&#10;AA8AAAAAAAAAAAAAAAAAlQQAAGRycy9kb3ducmV2LnhtbFBLBQYAAAAABAAEAPMAAACkBQAAAAA=&#10;" fillcolor="white [3201]" stroked="f" strokeweight=".5pt">
                <v:textbox inset="0,0,0,0">
                  <w:txbxContent>
                    <w:p w14:paraId="025C21B4" w14:textId="77777777" w:rsidR="00CF38BD" w:rsidRDefault="00CF38BD" w:rsidP="000D09B2">
                      <w:pPr>
                        <w:spacing w:before="0"/>
                        <w:jc w:val="center"/>
                        <w:rPr>
                          <w:sz w:val="13"/>
                          <w:szCs w:val="13"/>
                          <w:lang w:val="fr-CH"/>
                        </w:rPr>
                      </w:pPr>
                      <w:r>
                        <w:rPr>
                          <w:b/>
                          <w:bCs/>
                          <w:sz w:val="14"/>
                          <w:szCs w:val="14"/>
                        </w:rPr>
                        <w:t>Indicadores fundamentales de rendimiento respecto a los miembros (frente a 2021)</w:t>
                      </w:r>
                    </w:p>
                  </w:txbxContent>
                </v:textbox>
                <w10:wrap anchorx="margin"/>
              </v:shape>
            </w:pict>
          </mc:Fallback>
        </mc:AlternateContent>
      </w:r>
      <w:r w:rsidR="000D09B2" w:rsidRPr="00C317D5">
        <w:rPr>
          <w:noProof/>
          <w:lang w:eastAsia="es-ES"/>
        </w:rPr>
        <mc:AlternateContent>
          <mc:Choice Requires="wps">
            <w:drawing>
              <wp:anchor distT="0" distB="0" distL="114300" distR="114300" simplePos="0" relativeHeight="251677696" behindDoc="0" locked="0" layoutInCell="1" allowOverlap="1" wp14:anchorId="3371593B" wp14:editId="1E7906F3">
                <wp:simplePos x="0" y="0"/>
                <wp:positionH relativeFrom="margin">
                  <wp:posOffset>-158560</wp:posOffset>
                </wp:positionH>
                <wp:positionV relativeFrom="paragraph">
                  <wp:posOffset>596240</wp:posOffset>
                </wp:positionV>
                <wp:extent cx="1353600" cy="61404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353600" cy="614045"/>
                        </a:xfrm>
                        <a:prstGeom prst="rect">
                          <a:avLst/>
                        </a:prstGeom>
                        <a:solidFill>
                          <a:schemeClr val="lt1"/>
                        </a:solidFill>
                        <a:ln w="6350">
                          <a:noFill/>
                        </a:ln>
                      </wps:spPr>
                      <wps:txbx>
                        <w:txbxContent>
                          <w:p w14:paraId="59EF3A07" w14:textId="77777777" w:rsidR="00CF38BD" w:rsidRDefault="00CF38BD" w:rsidP="000D09B2">
                            <w:pPr>
                              <w:tabs>
                                <w:tab w:val="clear" w:pos="1588"/>
                              </w:tabs>
                              <w:spacing w:before="0"/>
                              <w:jc w:val="right"/>
                              <w:rPr>
                                <w:sz w:val="13"/>
                                <w:szCs w:val="13"/>
                                <w:lang w:val="fr-CH"/>
                              </w:rPr>
                            </w:pPr>
                            <w:r>
                              <w:rPr>
                                <w:sz w:val="13"/>
                                <w:szCs w:val="13"/>
                                <w:lang w:val="fr-CH"/>
                              </w:rPr>
                              <w:t>Miembros del Sector</w:t>
                            </w:r>
                          </w:p>
                          <w:p w14:paraId="49920C16" w14:textId="77777777" w:rsidR="00CF38BD" w:rsidRDefault="00CF38BD" w:rsidP="000D09B2">
                            <w:pPr>
                              <w:tabs>
                                <w:tab w:val="clear" w:pos="1588"/>
                              </w:tabs>
                              <w:spacing w:before="0" w:after="40"/>
                              <w:jc w:val="right"/>
                              <w:rPr>
                                <w:sz w:val="13"/>
                                <w:szCs w:val="13"/>
                                <w:lang w:val="fr-CH"/>
                              </w:rPr>
                            </w:pPr>
                            <w:r>
                              <w:rPr>
                                <w:sz w:val="13"/>
                                <w:szCs w:val="13"/>
                                <w:lang w:val="fr-CH"/>
                              </w:rPr>
                              <w:t>Asociados</w:t>
                            </w:r>
                          </w:p>
                          <w:p w14:paraId="02E69744" w14:textId="77777777" w:rsidR="00CF38BD" w:rsidRDefault="00CF38BD" w:rsidP="000D09B2">
                            <w:pPr>
                              <w:tabs>
                                <w:tab w:val="clear" w:pos="1588"/>
                              </w:tabs>
                              <w:spacing w:before="0" w:after="120"/>
                              <w:jc w:val="right"/>
                              <w:rPr>
                                <w:sz w:val="13"/>
                                <w:szCs w:val="13"/>
                                <w:lang w:val="fr-CH"/>
                              </w:rPr>
                            </w:pPr>
                            <w:r>
                              <w:rPr>
                                <w:sz w:val="13"/>
                                <w:szCs w:val="13"/>
                                <w:lang w:val="fr-CH"/>
                              </w:rPr>
                              <w:t>Instituciones Académicas*</w:t>
                            </w:r>
                          </w:p>
                          <w:p w14:paraId="6345B510" w14:textId="77777777" w:rsidR="00CF38BD" w:rsidRDefault="00CF38BD" w:rsidP="000D09B2">
                            <w:pPr>
                              <w:tabs>
                                <w:tab w:val="clear" w:pos="1588"/>
                              </w:tabs>
                              <w:spacing w:before="0"/>
                              <w:jc w:val="right"/>
                              <w:rPr>
                                <w:sz w:val="13"/>
                                <w:szCs w:val="13"/>
                                <w:lang w:val="fr-CH"/>
                              </w:rPr>
                            </w:pPr>
                            <w:r>
                              <w:rPr>
                                <w:sz w:val="13"/>
                                <w:szCs w:val="13"/>
                                <w:lang w:val="fr-CH"/>
                              </w:rPr>
                              <w:t>Total de las contribuciones**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1593B" id="Text Box 10" o:spid="_x0000_s1048" type="#_x0000_t202" style="position:absolute;left:0;text-align:left;margin-left:-12.5pt;margin-top:46.95pt;width:106.6pt;height:48.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vjzQwIAAHsEAAAOAAAAZHJzL2Uyb0RvYy54bWysVE1v2zAMvQ/YfxB0X+ykSdYFdYqsRYYB&#10;RVugHXpWZLkRIIuapMTOfv2e5KTtutuwiyx+6JF8JH1x2beG7ZUPmmzFx6OSM2Ul1do+V/zH4/rT&#10;OWchClsLQ1ZV/KACv1x+/HDRuYWa0JZMrTwDiA2LzlV8G6NbFEWQW9WKMCKnLIwN+VZEiP65qL3o&#10;gN6aYlKW86IjXztPUoUA7fVg5MuM3zRKxrumCSoyU3HkFvPp87lJZ7G8EItnL9xWy2Ma4h+yaIW2&#10;CPoCdS2iYDuv/4JqtfQUqIkjSW1BTaOlyjWgmnH5rpqHrXAq1wJygnuhKfw/WHm7v/dM1+gd6LGi&#10;RY8eVR/ZV+oZVOCnc2EBtwcHx9hDD9+TPkCZyu4b36YvCmKwA+rwwm5Ck+nR2exsXsIkYZuPp+V0&#10;lmCK19fOh/hNUcvSpeIe3cukiv1NiIPrySUFC2R0vdbGZCFNjLoynu0Fem1izhHgf3gZyzoEP5uV&#10;GdhSej4gG4tcUq1DTekW+02fuZlMTgVvqD6AB0/DJAUn1xrJ3ogQ74XH6KA+rEO8w9EYQjBptONs&#10;S/7Xe13yQydh4azDCFY8/NwJrzgz3y16/GU8nQIuZmE6+zyB4N9aNm8tdtdeESofY+GczNfkH83p&#10;2nhqn7AtqxQVJmElYlc8nq5XcVgMbJtUq1V2wpQ6EW/sg5MJOjGdWvDYPwnvjn2K6PAtnYZVLN61&#10;a/BNLy2tdpEanXuZCB7YPPKOCc/TcNzGtEJv5ez1+s9Y/gYAAP//AwBQSwMEFAAGAAgAAAAhAFYk&#10;LVHiAAAACgEAAA8AAABkcnMvZG93bnJldi54bWxMj81ugzAQhO+V+g7WRuqlSkxBSYFioqrqj5Rb&#10;QtKqNwdvABWvEXaAvn2dU3qb1Yxmv8nWk27ZgL1tDAl4WATAkEqjGqoE7Iu3eQzMOklKtoZQwC9a&#10;WOe3N5lMlRlpi8POVcyXkE2lgNq5LuXcljVqaRemQ/LeyfRaOn/2FVe9HH25bnkYBCuuZUP+Qy07&#10;fKmx/NmdtYDv++prY6f3wxgto+71YygeP1UhxN1sen4C5nBy1zBc8D065J7paM6kLGsFzMOl3+IE&#10;JFEC7BKI4xDY0YskWAHPM/5/Qv4HAAD//wMAUEsBAi0AFAAGAAgAAAAhALaDOJL+AAAA4QEAABMA&#10;AAAAAAAAAAAAAAAAAAAAAFtDb250ZW50X1R5cGVzXS54bWxQSwECLQAUAAYACAAAACEAOP0h/9YA&#10;AACUAQAACwAAAAAAAAAAAAAAAAAvAQAAX3JlbHMvLnJlbHNQSwECLQAUAAYACAAAACEATsr480MC&#10;AAB7BAAADgAAAAAAAAAAAAAAAAAuAgAAZHJzL2Uyb0RvYy54bWxQSwECLQAUAAYACAAAACEAViQt&#10;UeIAAAAKAQAADwAAAAAAAAAAAAAAAACdBAAAZHJzL2Rvd25yZXYueG1sUEsFBgAAAAAEAAQA8wAA&#10;AKwFAAAAAA==&#10;" fillcolor="white [3201]" stroked="f" strokeweight=".5pt">
                <v:textbox>
                  <w:txbxContent>
                    <w:p w14:paraId="59EF3A07" w14:textId="77777777" w:rsidR="00CF38BD" w:rsidRDefault="00CF38BD" w:rsidP="000D09B2">
                      <w:pPr>
                        <w:tabs>
                          <w:tab w:val="clear" w:pos="1588"/>
                        </w:tabs>
                        <w:spacing w:before="0"/>
                        <w:jc w:val="right"/>
                        <w:rPr>
                          <w:sz w:val="13"/>
                          <w:szCs w:val="13"/>
                          <w:lang w:val="fr-CH"/>
                        </w:rPr>
                      </w:pPr>
                      <w:r>
                        <w:rPr>
                          <w:sz w:val="13"/>
                          <w:szCs w:val="13"/>
                          <w:lang w:val="fr-CH"/>
                        </w:rPr>
                        <w:t>Miembros del Sector</w:t>
                      </w:r>
                    </w:p>
                    <w:p w14:paraId="49920C16" w14:textId="77777777" w:rsidR="00CF38BD" w:rsidRDefault="00CF38BD" w:rsidP="000D09B2">
                      <w:pPr>
                        <w:tabs>
                          <w:tab w:val="clear" w:pos="1588"/>
                        </w:tabs>
                        <w:spacing w:before="0" w:after="40"/>
                        <w:jc w:val="right"/>
                        <w:rPr>
                          <w:sz w:val="13"/>
                          <w:szCs w:val="13"/>
                          <w:lang w:val="fr-CH"/>
                        </w:rPr>
                      </w:pPr>
                      <w:r>
                        <w:rPr>
                          <w:sz w:val="13"/>
                          <w:szCs w:val="13"/>
                          <w:lang w:val="fr-CH"/>
                        </w:rPr>
                        <w:t>Asociados</w:t>
                      </w:r>
                    </w:p>
                    <w:p w14:paraId="02E69744" w14:textId="77777777" w:rsidR="00CF38BD" w:rsidRDefault="00CF38BD" w:rsidP="000D09B2">
                      <w:pPr>
                        <w:tabs>
                          <w:tab w:val="clear" w:pos="1588"/>
                        </w:tabs>
                        <w:spacing w:before="0" w:after="120"/>
                        <w:jc w:val="right"/>
                        <w:rPr>
                          <w:sz w:val="13"/>
                          <w:szCs w:val="13"/>
                          <w:lang w:val="fr-CH"/>
                        </w:rPr>
                      </w:pPr>
                      <w:r>
                        <w:rPr>
                          <w:sz w:val="13"/>
                          <w:szCs w:val="13"/>
                          <w:lang w:val="fr-CH"/>
                        </w:rPr>
                        <w:t>Instituciones Académicas*</w:t>
                      </w:r>
                    </w:p>
                    <w:p w14:paraId="6345B510" w14:textId="77777777" w:rsidR="00CF38BD" w:rsidRDefault="00CF38BD" w:rsidP="000D09B2">
                      <w:pPr>
                        <w:tabs>
                          <w:tab w:val="clear" w:pos="1588"/>
                        </w:tabs>
                        <w:spacing w:before="0"/>
                        <w:jc w:val="right"/>
                        <w:rPr>
                          <w:sz w:val="13"/>
                          <w:szCs w:val="13"/>
                          <w:lang w:val="fr-CH"/>
                        </w:rPr>
                      </w:pPr>
                      <w:r>
                        <w:rPr>
                          <w:sz w:val="13"/>
                          <w:szCs w:val="13"/>
                          <w:lang w:val="fr-CH"/>
                        </w:rPr>
                        <w:t>Total de las contribuciones**</w:t>
                      </w:r>
                    </w:p>
                  </w:txbxContent>
                </v:textbox>
                <w10:wrap anchorx="margin"/>
              </v:shape>
            </w:pict>
          </mc:Fallback>
        </mc:AlternateContent>
      </w:r>
      <w:r w:rsidR="000D09B2" w:rsidRPr="00C317D5">
        <w:rPr>
          <w:noProof/>
          <w:lang w:eastAsia="es-ES"/>
        </w:rPr>
        <mc:AlternateContent>
          <mc:Choice Requires="wps">
            <w:drawing>
              <wp:anchor distT="0" distB="0" distL="114300" distR="114300" simplePos="0" relativeHeight="251676672" behindDoc="0" locked="0" layoutInCell="1" allowOverlap="1" wp14:anchorId="240C5BF1" wp14:editId="092FE0DB">
                <wp:simplePos x="0" y="0"/>
                <wp:positionH relativeFrom="margin">
                  <wp:posOffset>1280390</wp:posOffset>
                </wp:positionH>
                <wp:positionV relativeFrom="paragraph">
                  <wp:posOffset>510565</wp:posOffset>
                </wp:positionV>
                <wp:extent cx="724535" cy="17716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724535" cy="177165"/>
                        </a:xfrm>
                        <a:prstGeom prst="rect">
                          <a:avLst/>
                        </a:prstGeom>
                        <a:solidFill>
                          <a:schemeClr val="lt1"/>
                        </a:solidFill>
                        <a:ln w="6350">
                          <a:noFill/>
                        </a:ln>
                      </wps:spPr>
                      <wps:txbx>
                        <w:txbxContent>
                          <w:p w14:paraId="27ECDDC2" w14:textId="77777777" w:rsidR="00CF38BD" w:rsidRDefault="00CF38BD" w:rsidP="000D09B2">
                            <w:pPr>
                              <w:spacing w:before="0"/>
                              <w:jc w:val="center"/>
                              <w:rPr>
                                <w:sz w:val="13"/>
                                <w:szCs w:val="13"/>
                                <w:lang w:val="fr-CH"/>
                              </w:rPr>
                            </w:pPr>
                            <w:r>
                              <w:rPr>
                                <w:b/>
                                <w:bCs/>
                                <w:color w:val="548DD4" w:themeColor="text2" w:themeTint="99"/>
                                <w:sz w:val="14"/>
                                <w:szCs w:val="14"/>
                                <w:lang w:val="fr-CH"/>
                              </w:rPr>
                              <w:t>UIT-R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C5BF1" id="Text Box 19" o:spid="_x0000_s1049" type="#_x0000_t202" style="position:absolute;left:0;text-align:left;margin-left:100.8pt;margin-top:40.2pt;width:57.05pt;height:13.9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nWMRQIAAHoEAAAOAAAAZHJzL2Uyb0RvYy54bWysVE2P2jAQvVfqf7B8LyF87iLCirKiqoR2&#10;V4Jqz8ZxiCXH49qGhP76jh3CUnqrenHsmfHzvDczmT81lSInYZ0EndG016dEaA651IeM/titvzxQ&#10;4jzTOVOgRUbPwtGnxedP89rMxABKULmwBEG0m9Umo6X3ZpYkjpeiYq4HRmh0FmAr5vFoD0luWY3o&#10;lUoG/f4kqcHmxgIXzqH1uXXSRcQvCsH9a1E44YnKKObm42rjug9rspiz2cEyU0p+SYP9QxYVkxof&#10;vUI9M8/I0cq/oCrJLTgofI9DlUBRSC4iB2ST9u/YbEtmROSC4jhzlcn9P1j+cnqzROZYu0dKNKuw&#10;RjvRePIVGoIm1Kc2boZhW4OBvkE7xnZ2h8ZAuylsFb5IiKAflT5f1Q1oHI3TwWg8HFPC0ZVOp+lk&#10;HFCSj8vGOv9NQEXCJqMWixc1ZaeN821oFxLecqBkvpZKxUNoGLFSlpwYllr5mCKC/xGlNKkzOhmO&#10;+xFYQ7jeIiuNuQSqLaWw882+idIMhh3fPeRnlMFC20jO8LXEZDfM+TdmsXOQOU6Df8WlUICPcSUN&#10;JSXYX/e2EIeFRA8lNXZgRt3PI7OCEvVdY4kf09EotGw8jMbTAR7srWd/69HHagXIPMV5MzxuQ7xX&#10;3bawUL3jsCzDq+himuPbGfXdduXbucBh42K5jEHYpIb5jd4aHqCD0qEEu+adWXOpk8cCv0DXq2x2&#10;V642NtzUsDx6KGSsZRC4VfOiOzZ47IbLMIYJuj3HqI9fxuI3AAAA//8DAFBLAwQUAAYACAAAACEA&#10;Ke0an+EAAAAKAQAADwAAAGRycy9kb3ducmV2LnhtbEyPy07DMBBF90j8gzVIbBC109A2CnEqhHhI&#10;7Gh4iJ0bD0lEPI5iNw1/z7CC5ege3Xum2M6uFxOOofOkIVkoEEi1tx01Gl6q+8sMRIiGrOk9oYZv&#10;DLAtT08Kk1t/pGecdrERXEIhNxraGIdcylC36ExY+AGJs08/OhP5HBtpR3PkctfLpVJr6UxHvNCa&#10;AW9brL92B6fh46J5fwrzw+sxXaXD3eNUbd5spfX52XxzDSLiHP9g+NVndSjZae8PZIPoNSxVsmZU&#10;Q6auQDCQJqsNiD2TKktBloX8/0L5AwAA//8DAFBLAQItABQABgAIAAAAIQC2gziS/gAAAOEBAAAT&#10;AAAAAAAAAAAAAAAAAAAAAABbQ29udGVudF9UeXBlc10ueG1sUEsBAi0AFAAGAAgAAAAhADj9If/W&#10;AAAAlAEAAAsAAAAAAAAAAAAAAAAALwEAAF9yZWxzLy5yZWxzUEsBAi0AFAAGAAgAAAAhAApqdYxF&#10;AgAAegQAAA4AAAAAAAAAAAAAAAAALgIAAGRycy9lMm9Eb2MueG1sUEsBAi0AFAAGAAgAAAAhACnt&#10;Gp/hAAAACgEAAA8AAAAAAAAAAAAAAAAAnwQAAGRycy9kb3ducmV2LnhtbFBLBQYAAAAABAAEAPMA&#10;AACtBQAAAAA=&#10;" fillcolor="white [3201]" stroked="f" strokeweight=".5pt">
                <v:textbox>
                  <w:txbxContent>
                    <w:p w14:paraId="27ECDDC2" w14:textId="77777777" w:rsidR="00CF38BD" w:rsidRDefault="00CF38BD" w:rsidP="000D09B2">
                      <w:pPr>
                        <w:spacing w:before="0"/>
                        <w:jc w:val="center"/>
                        <w:rPr>
                          <w:sz w:val="13"/>
                          <w:szCs w:val="13"/>
                          <w:lang w:val="fr-CH"/>
                        </w:rPr>
                      </w:pPr>
                      <w:r>
                        <w:rPr>
                          <w:b/>
                          <w:bCs/>
                          <w:color w:val="548DD4" w:themeColor="text2" w:themeTint="99"/>
                          <w:sz w:val="14"/>
                          <w:szCs w:val="14"/>
                          <w:lang w:val="fr-CH"/>
                        </w:rPr>
                        <w:t>UIT-R</w:t>
                      </w:r>
                    </w:p>
                  </w:txbxContent>
                </v:textbox>
                <w10:wrap anchorx="margin"/>
              </v:shape>
            </w:pict>
          </mc:Fallback>
        </mc:AlternateContent>
      </w:r>
      <w:r w:rsidR="000D09B2" w:rsidRPr="00C317D5">
        <w:rPr>
          <w:noProof/>
          <w:lang w:eastAsia="es-ES"/>
        </w:rPr>
        <mc:AlternateContent>
          <mc:Choice Requires="wps">
            <w:drawing>
              <wp:anchor distT="0" distB="0" distL="114300" distR="114300" simplePos="0" relativeHeight="251675648" behindDoc="0" locked="0" layoutInCell="1" allowOverlap="1" wp14:anchorId="0CD1DCCC" wp14:editId="28B76F1C">
                <wp:simplePos x="0" y="0"/>
                <wp:positionH relativeFrom="margin">
                  <wp:posOffset>2189430</wp:posOffset>
                </wp:positionH>
                <wp:positionV relativeFrom="paragraph">
                  <wp:posOffset>511320</wp:posOffset>
                </wp:positionV>
                <wp:extent cx="724535" cy="17716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724535" cy="177165"/>
                        </a:xfrm>
                        <a:prstGeom prst="rect">
                          <a:avLst/>
                        </a:prstGeom>
                        <a:solidFill>
                          <a:schemeClr val="lt1"/>
                        </a:solidFill>
                        <a:ln w="6350">
                          <a:noFill/>
                        </a:ln>
                      </wps:spPr>
                      <wps:txbx>
                        <w:txbxContent>
                          <w:p w14:paraId="48904EDF" w14:textId="77777777" w:rsidR="00CF38BD" w:rsidRDefault="00CF38BD" w:rsidP="000D09B2">
                            <w:pPr>
                              <w:spacing w:before="0"/>
                              <w:jc w:val="center"/>
                              <w:rPr>
                                <w:sz w:val="13"/>
                                <w:szCs w:val="13"/>
                                <w:lang w:val="fr-CH"/>
                              </w:rPr>
                            </w:pPr>
                            <w:r>
                              <w:rPr>
                                <w:b/>
                                <w:bCs/>
                                <w:color w:val="548DD4" w:themeColor="text2" w:themeTint="99"/>
                                <w:sz w:val="14"/>
                                <w:szCs w:val="14"/>
                                <w:lang w:val="fr-CH"/>
                              </w:rPr>
                              <w:t>UIT-T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1DCCC" id="Text Box 22" o:spid="_x0000_s1050" type="#_x0000_t202" style="position:absolute;left:0;text-align:left;margin-left:172.4pt;margin-top:40.25pt;width:57.05pt;height:13.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9qFRQIAAHoEAAAOAAAAZHJzL2Uyb0RvYy54bWysVE2P2jAQvVfqf7B8LyFZPtqIsKKsqCqh&#10;3ZWg2rNxHGLJ8bi2IaG/vmMHWEpvVS+OPTN+nvdmJrPHrlHkKKyToAuaDoaUCM2hlHpf0B/b1afP&#10;lDjPdMkUaFHQk3D0cf7xw6w1ucigBlUKSxBEu7w1Ba29N3mSOF6LhrkBGKHRWYFtmMej3SelZS2i&#10;NyrJhsNJ0oItjQUunEPrU++k84hfVYL7l6pywhNVUMzNx9XGdRfWZD5j+d4yU0t+ToP9QxYNkxof&#10;vUI9Mc/Iwcq/oBrJLTio/IBDk0BVSS4iB2STDu/YbGpmROSC4jhzlcn9P1j+fHy1RJYFzTJKNGuw&#10;RlvRefIVOoIm1Kc1LsewjcFA36Ed63yxOzQG2l1lm/BFQgT9qPTpqm5A42icZqPxw5gSjq50Ok0n&#10;44CSvF821vlvAhoSNgW1WLyoKTuune9DLyHhLQdKliupVDyEhhFLZcmRYamVjyki+B9RSpO2oJOH&#10;8TACawjXe2SlMZdAtacUdr7bdb00owvfHZQnlMFC30jO8JXEZNfM+VdmsXOQOU6Df8GlUoCPcSUN&#10;JTXYX/e2EIeFRA8lLXZgQd3PA7OCEvVdY4m/pKNRaNl4GI2nGR7srWd369GHZgnIPMV5MzxuQ7xX&#10;l21loXnDYVmEV9HFNMe3C+ov26Xv5wKHjYvFIgZhkxrm13pjeIAOSocSbLs3Zs25Th4L/AyXXmX5&#10;Xbn62HBTw+LgoZKxlkHgXs2z7tjgsRvOwxgm6PYco95/GfPfAAAA//8DAFBLAwQUAAYACAAAACEA&#10;gWeMZeEAAAAKAQAADwAAAGRycy9kb3ducmV2LnhtbEyPTU+EMBCG7yb+h2ZMvBi3KOAiUjbG+JF4&#10;c1k13rp0BCKdEtoF/PeOJz1O3ifv+0yxWWwvJhx950jBxSoCgVQ701GjYFc9nGcgfNBkdO8IFXyj&#10;h015fFTo3LiZXnDahkZwCflcK2hDGHIpfd2i1X7lBiTOPt1odeBzbKQZ9czltpeXUXQlre6IF1o9&#10;4F2L9df2YBV8nDXvz355fJ3jNB7un6Zq/WYqpU5PltsbEAGX8AfDrz6rQ8lOe3cg40WvIE4SVg8K&#10;sigFwUCSZtcg9kxGWQKyLOT/F8ofAAAA//8DAFBLAQItABQABgAIAAAAIQC2gziS/gAAAOEBAAAT&#10;AAAAAAAAAAAAAAAAAAAAAABbQ29udGVudF9UeXBlc10ueG1sUEsBAi0AFAAGAAgAAAAhADj9If/W&#10;AAAAlAEAAAsAAAAAAAAAAAAAAAAALwEAAF9yZWxzLy5yZWxzUEsBAi0AFAAGAAgAAAAhANFL2oVF&#10;AgAAegQAAA4AAAAAAAAAAAAAAAAALgIAAGRycy9lMm9Eb2MueG1sUEsBAi0AFAAGAAgAAAAhAIFn&#10;jGXhAAAACgEAAA8AAAAAAAAAAAAAAAAAnwQAAGRycy9kb3ducmV2LnhtbFBLBQYAAAAABAAEAPMA&#10;AACtBQAAAAA=&#10;" fillcolor="white [3201]" stroked="f" strokeweight=".5pt">
                <v:textbox>
                  <w:txbxContent>
                    <w:p w14:paraId="48904EDF" w14:textId="77777777" w:rsidR="00CF38BD" w:rsidRDefault="00CF38BD" w:rsidP="000D09B2">
                      <w:pPr>
                        <w:spacing w:before="0"/>
                        <w:jc w:val="center"/>
                        <w:rPr>
                          <w:sz w:val="13"/>
                          <w:szCs w:val="13"/>
                          <w:lang w:val="fr-CH"/>
                        </w:rPr>
                      </w:pPr>
                      <w:r>
                        <w:rPr>
                          <w:b/>
                          <w:bCs/>
                          <w:color w:val="548DD4" w:themeColor="text2" w:themeTint="99"/>
                          <w:sz w:val="14"/>
                          <w:szCs w:val="14"/>
                          <w:lang w:val="fr-CH"/>
                        </w:rPr>
                        <w:t>UIT-T</w:t>
                      </w:r>
                    </w:p>
                  </w:txbxContent>
                </v:textbox>
                <w10:wrap anchorx="margin"/>
              </v:shape>
            </w:pict>
          </mc:Fallback>
        </mc:AlternateContent>
      </w:r>
      <w:r w:rsidR="000D09B2" w:rsidRPr="00C317D5">
        <w:rPr>
          <w:noProof/>
          <w:lang w:eastAsia="es-ES"/>
        </w:rPr>
        <w:drawing>
          <wp:inline distT="0" distB="0" distL="0" distR="0" wp14:anchorId="3D2C2522" wp14:editId="6199709A">
            <wp:extent cx="5314390" cy="3764359"/>
            <wp:effectExtent l="0" t="0" r="0" b="0"/>
            <wp:docPr id="1668433361" name="Picture 166843336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433361" name="Picture 1668433361" descr="Table&#10;&#10;Description automatically generated with medium confidence"/>
                    <pic:cNvPicPr/>
                  </pic:nvPicPr>
                  <pic:blipFill>
                    <a:blip r:embed="rId34">
                      <a:extLst>
                        <a:ext uri="{28A0092B-C50C-407E-A947-70E740481C1C}">
                          <a14:useLocalDpi xmlns:a14="http://schemas.microsoft.com/office/drawing/2010/main" val="0"/>
                        </a:ext>
                      </a:extLst>
                    </a:blip>
                    <a:stretch>
                      <a:fillRect/>
                    </a:stretch>
                  </pic:blipFill>
                  <pic:spPr>
                    <a:xfrm>
                      <a:off x="0" y="0"/>
                      <a:ext cx="5314390" cy="3764359"/>
                    </a:xfrm>
                    <a:prstGeom prst="rect">
                      <a:avLst/>
                    </a:prstGeom>
                  </pic:spPr>
                </pic:pic>
              </a:graphicData>
            </a:graphic>
          </wp:inline>
        </w:drawing>
      </w:r>
    </w:p>
    <w:p w14:paraId="220720B8" w14:textId="45630406" w:rsidR="001A4C30" w:rsidRPr="00C317D5" w:rsidRDefault="001A4C30" w:rsidP="001A4C30"/>
    <w:p w14:paraId="029E4269" w14:textId="742D42D3" w:rsidR="00C317D5" w:rsidRPr="00C317D5" w:rsidRDefault="00C317D5" w:rsidP="001A4C30">
      <w:r w:rsidRPr="00C317D5">
        <w:br w:type="page"/>
      </w:r>
    </w:p>
    <w:bookmarkStart w:id="103" w:name="_Toc19090142"/>
    <w:bookmarkStart w:id="104" w:name="_Toc20478069"/>
    <w:p w14:paraId="5598AE32" w14:textId="6D813FF6" w:rsidR="00231B75" w:rsidRPr="00C317D5" w:rsidRDefault="0070402E" w:rsidP="00231B75">
      <w:pPr>
        <w:pStyle w:val="TableNoBR"/>
        <w:keepNext w:val="0"/>
      </w:pPr>
      <w:r w:rsidRPr="00C317D5">
        <w:rPr>
          <w:noProof/>
          <w:lang w:eastAsia="es-ES"/>
        </w:rPr>
        <w:lastRenderedPageBreak/>
        <mc:AlternateContent>
          <mc:Choice Requires="wps">
            <w:drawing>
              <wp:anchor distT="0" distB="0" distL="114300" distR="114300" simplePos="0" relativeHeight="251694080" behindDoc="0" locked="0" layoutInCell="1" allowOverlap="1" wp14:anchorId="15D04E7D" wp14:editId="37FD0982">
                <wp:simplePos x="0" y="0"/>
                <wp:positionH relativeFrom="margin">
                  <wp:posOffset>64770</wp:posOffset>
                </wp:positionH>
                <wp:positionV relativeFrom="paragraph">
                  <wp:posOffset>131074</wp:posOffset>
                </wp:positionV>
                <wp:extent cx="1345721" cy="260578"/>
                <wp:effectExtent l="0" t="0" r="6985" b="6350"/>
                <wp:wrapNone/>
                <wp:docPr id="31" name="Text Box 31"/>
                <wp:cNvGraphicFramePr/>
                <a:graphic xmlns:a="http://schemas.openxmlformats.org/drawingml/2006/main">
                  <a:graphicData uri="http://schemas.microsoft.com/office/word/2010/wordprocessingShape">
                    <wps:wsp>
                      <wps:cNvSpPr txBox="1"/>
                      <wps:spPr>
                        <a:xfrm>
                          <a:off x="0" y="0"/>
                          <a:ext cx="1345721" cy="260578"/>
                        </a:xfrm>
                        <a:prstGeom prst="rect">
                          <a:avLst/>
                        </a:prstGeom>
                        <a:solidFill>
                          <a:schemeClr val="lt1"/>
                        </a:solidFill>
                        <a:ln w="6350">
                          <a:noFill/>
                        </a:ln>
                      </wps:spPr>
                      <wps:txbx>
                        <w:txbxContent>
                          <w:p w14:paraId="156FF8B1" w14:textId="34724673" w:rsidR="00CF38BD" w:rsidRDefault="00CF38BD" w:rsidP="00231B75">
                            <w:pPr>
                              <w:spacing w:before="0"/>
                              <w:rPr>
                                <w:sz w:val="13"/>
                                <w:szCs w:val="13"/>
                                <w:lang w:val="fr-CH"/>
                              </w:rPr>
                            </w:pPr>
                            <w:r w:rsidRPr="00DF12FB">
                              <w:rPr>
                                <w:b/>
                                <w:bCs/>
                                <w:sz w:val="14"/>
                                <w:szCs w:val="14"/>
                              </w:rPr>
                              <w:t>N</w:t>
                            </w:r>
                            <w:r>
                              <w:rPr>
                                <w:b/>
                                <w:bCs/>
                                <w:sz w:val="14"/>
                                <w:szCs w:val="14"/>
                              </w:rPr>
                              <w:t>úmero neto de miembros</w:t>
                            </w:r>
                            <w:r w:rsidR="00EC15E9">
                              <w:rPr>
                                <w:b/>
                                <w:bCs/>
                                <w:sz w:val="14"/>
                                <w:szCs w:val="14"/>
                              </w:rPr>
                              <w:br/>
                            </w:r>
                            <w:r>
                              <w:rPr>
                                <w:b/>
                                <w:bCs/>
                                <w:sz w:val="14"/>
                                <w:szCs w:val="14"/>
                              </w:rPr>
                              <w:t>por Sector y tipo</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04E7D" id="Text Box 31" o:spid="_x0000_s1051" type="#_x0000_t202" style="position:absolute;left:0;text-align:left;margin-left:5.1pt;margin-top:10.3pt;width:105.95pt;height:20.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2gEOwIAAGsEAAAOAAAAZHJzL2Uyb0RvYy54bWysVFGP2jAMfp+0/xDlfbTA4E4V5cQ4MU06&#10;3Z0E0z2HNKWRkjhLAi379XNSym3sbdpL6tjOZ/uz3cVDpxU5CeclmJKORzklwnCopDmU9Ptu8+me&#10;Eh+YqZgCI0p6Fp4+LD9+WLS2EBNoQFXCEQQxvmhtSZsQbJFlnjdCMz8CKwwaa3CaBby6Q1Y51iK6&#10;Vtkkz+dZC66yDrjwHrWPvZEuE35dCx5e6tqLQFRJMbeQTpfOfTyz5YIVB8dsI/klDfYPWWgmDQa9&#10;Qj2ywMjRyb+gtOQOPNRhxEFnUNeSi1QDVjPOb6rZNsyKVAuS4+2VJv//YPnz6dURWZV0OqbEMI09&#10;2okukC/QEVQhP631BbptLTqGDvXY50HvURnL7mqn4xcLImhHps9XdiMaj4+mn2d3E4zC0TaZ57O7&#10;+wiTvb+2zoevAjSJQkkddi+Ryk5PPvSug0sM5kHJaiOVSpc4MWKtHDkx7LUKKUcE/8NLGdKWdD6d&#10;5QnYQHzeIyuDucRa+5qiFLp9l7iZzIaC91CdkQcH/SR5yzcSk31iPrwyh6ODpeM6hBc8agUYjCtp&#10;KWnA/bzVRT/sJFooaXEES+p/HJkTlKhvBnsc53UQ3CDsB8Ec9RqwUiQUs0giPnBBDWLtQL/hdqxi&#10;FDQxwzFWScMgrkO/CLhdXKxWyQmn0rLwZLaWR+jIbKR8170xZy99CdjRZxiGkxU37el940sDq2OA&#10;WqbeRUJ79i4840Sn7l+2L67M7/fk9f6PWP4CAAD//wMAUEsDBBQABgAIAAAAIQBevL5i3gAAAAgB&#10;AAAPAAAAZHJzL2Rvd25yZXYueG1sTI9BSwMxFITvgv8hPMGL2GSDxLLdbFHBg6CIVXpON6+btZuX&#10;dZO2W3+98aTHYYaZb6rl5Ht2wDF2gTQUMwEMqQm2o1bDx/vj9RxYTIas6QOhhhNGWNbnZ5UpbTjS&#10;Gx5WqWW5hGJpNLiUhpLz2Dj0Js7CgJS9bRi9SVmOLbejOeZy33MphOLedJQXnBnwwWGzW+29hvnp&#10;5uVqrW7Xn/3r0737br/oeWe0vryY7hbAEk7pLwy/+Bkd6sy0CXuykfVZC5mTGqRQwLIvpSyAbTSo&#10;QgGvK/7/QP0DAAD//wMAUEsBAi0AFAAGAAgAAAAhALaDOJL+AAAA4QEAABMAAAAAAAAAAAAAAAAA&#10;AAAAAFtDb250ZW50X1R5cGVzXS54bWxQSwECLQAUAAYACAAAACEAOP0h/9YAAACUAQAACwAAAAAA&#10;AAAAAAAAAAAvAQAAX3JlbHMvLnJlbHNQSwECLQAUAAYACAAAACEAPbNoBDsCAABrBAAADgAAAAAA&#10;AAAAAAAAAAAuAgAAZHJzL2Uyb0RvYy54bWxQSwECLQAUAAYACAAAACEAXry+Yt4AAAAIAQAADwAA&#10;AAAAAAAAAAAAAACVBAAAZHJzL2Rvd25yZXYueG1sUEsFBgAAAAAEAAQA8wAAAKAFAAAAAA==&#10;" fillcolor="white [3201]" stroked="f" strokeweight=".5pt">
                <v:textbox inset="0,0,0,0">
                  <w:txbxContent>
                    <w:p w14:paraId="156FF8B1" w14:textId="34724673" w:rsidR="00CF38BD" w:rsidRDefault="00CF38BD" w:rsidP="00231B75">
                      <w:pPr>
                        <w:spacing w:before="0"/>
                        <w:rPr>
                          <w:sz w:val="13"/>
                          <w:szCs w:val="13"/>
                          <w:lang w:val="fr-CH"/>
                        </w:rPr>
                      </w:pPr>
                      <w:r w:rsidRPr="00DF12FB">
                        <w:rPr>
                          <w:b/>
                          <w:bCs/>
                          <w:sz w:val="14"/>
                          <w:szCs w:val="14"/>
                        </w:rPr>
                        <w:t>N</w:t>
                      </w:r>
                      <w:r>
                        <w:rPr>
                          <w:b/>
                          <w:bCs/>
                          <w:sz w:val="14"/>
                          <w:szCs w:val="14"/>
                        </w:rPr>
                        <w:t>úmero neto de miembros</w:t>
                      </w:r>
                      <w:r w:rsidR="00EC15E9">
                        <w:rPr>
                          <w:b/>
                          <w:bCs/>
                          <w:sz w:val="14"/>
                          <w:szCs w:val="14"/>
                        </w:rPr>
                        <w:br/>
                      </w:r>
                      <w:r>
                        <w:rPr>
                          <w:b/>
                          <w:bCs/>
                          <w:sz w:val="14"/>
                          <w:szCs w:val="14"/>
                        </w:rPr>
                        <w:t>por Sector y tipo</w:t>
                      </w:r>
                    </w:p>
                  </w:txbxContent>
                </v:textbox>
                <w10:wrap anchorx="margin"/>
              </v:shape>
            </w:pict>
          </mc:Fallback>
        </mc:AlternateContent>
      </w:r>
      <w:r w:rsidR="009D3A3D" w:rsidRPr="00C317D5">
        <w:t>CUADRO</w:t>
      </w:r>
      <w:r w:rsidR="00231B75" w:rsidRPr="00C317D5">
        <w:t xml:space="preserve"> 8.5.1-3</w:t>
      </w:r>
    </w:p>
    <w:p w14:paraId="5D5F8B61" w14:textId="72CE1F7F" w:rsidR="00231B75" w:rsidRPr="00C317D5" w:rsidRDefault="00EC15E9" w:rsidP="00231B75">
      <w:pPr>
        <w:pStyle w:val="TabletitleBR"/>
        <w:keepNext w:val="0"/>
        <w:keepLines w:val="0"/>
        <w:spacing w:after="480"/>
      </w:pPr>
      <w:r w:rsidRPr="00C317D5">
        <w:rPr>
          <w:noProof/>
          <w:lang w:eastAsia="es-ES"/>
        </w:rPr>
        <mc:AlternateContent>
          <mc:Choice Requires="wps">
            <w:drawing>
              <wp:anchor distT="0" distB="0" distL="114300" distR="114300" simplePos="0" relativeHeight="251701248" behindDoc="0" locked="0" layoutInCell="1" allowOverlap="1" wp14:anchorId="6F998020" wp14:editId="0E3FED22">
                <wp:simplePos x="0" y="0"/>
                <wp:positionH relativeFrom="margin">
                  <wp:posOffset>-32385</wp:posOffset>
                </wp:positionH>
                <wp:positionV relativeFrom="paragraph">
                  <wp:posOffset>1108339</wp:posOffset>
                </wp:positionV>
                <wp:extent cx="438785" cy="184150"/>
                <wp:effectExtent l="0" t="0" r="0" b="6350"/>
                <wp:wrapNone/>
                <wp:docPr id="34" name="Text Box 34"/>
                <wp:cNvGraphicFramePr/>
                <a:graphic xmlns:a="http://schemas.openxmlformats.org/drawingml/2006/main">
                  <a:graphicData uri="http://schemas.microsoft.com/office/word/2010/wordprocessingShape">
                    <wps:wsp>
                      <wps:cNvSpPr txBox="1"/>
                      <wps:spPr>
                        <a:xfrm>
                          <a:off x="0" y="0"/>
                          <a:ext cx="438785" cy="184150"/>
                        </a:xfrm>
                        <a:prstGeom prst="rect">
                          <a:avLst/>
                        </a:prstGeom>
                        <a:solidFill>
                          <a:schemeClr val="lt1"/>
                        </a:solidFill>
                        <a:ln w="6350">
                          <a:noFill/>
                        </a:ln>
                      </wps:spPr>
                      <wps:txbx>
                        <w:txbxContent>
                          <w:p w14:paraId="2C508331" w14:textId="77777777" w:rsidR="00CF38BD" w:rsidRPr="00DF12FB" w:rsidRDefault="00CF38BD" w:rsidP="00231B75">
                            <w:pPr>
                              <w:tabs>
                                <w:tab w:val="left" w:pos="426"/>
                              </w:tabs>
                              <w:spacing w:before="0"/>
                              <w:rPr>
                                <w:sz w:val="2"/>
                                <w:szCs w:val="2"/>
                                <w:lang w:val="fr-CH"/>
                              </w:rPr>
                            </w:pPr>
                            <w:r>
                              <w:rPr>
                                <w:bCs/>
                                <w:sz w:val="12"/>
                                <w:szCs w:val="12"/>
                              </w:rPr>
                              <w:t>Instituciones</w:t>
                            </w:r>
                            <w:r>
                              <w:rPr>
                                <w:bCs/>
                                <w:sz w:val="12"/>
                                <w:szCs w:val="12"/>
                              </w:rPr>
                              <w:br/>
                              <w:t>Académicas</w:t>
                            </w:r>
                            <w:r>
                              <w:rPr>
                                <w:bCs/>
                                <w:sz w:val="12"/>
                                <w:szCs w:val="12"/>
                              </w:rPr>
                              <w:br/>
                            </w:r>
                            <w:r>
                              <w:rPr>
                                <w:sz w:val="2"/>
                                <w:szCs w:val="2"/>
                                <w:lang w:val="fr-CH"/>
                              </w:rPr>
                              <w:t>Académicas</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98020" id="Text Box 34" o:spid="_x0000_s1052" type="#_x0000_t202" style="position:absolute;left:0;text-align:left;margin-left:-2.55pt;margin-top:87.25pt;width:34.55pt;height:14.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5KPAIAAGoEAAAOAAAAZHJzL2Uyb0RvYy54bWysVE1v2zAMvQ/YfxB0X5yPtguCOkXWosOA&#10;oi2QDj0rspwIkEVNUmJnv35Pcpxu3W3YRaZIiuR7JH190zWGHZQPmmzJJ6MxZ8pKqrTdlvz7y/2n&#10;OWchClsJQ1aV/KgCv1l+/HDduoWa0o5MpTxDEBsWrSv5Lka3KIogd6oRYUROWRhr8o2IuPptUXnR&#10;Inpjiul4fFW05CvnSaoQoL3rjXyZ49e1kvGproOKzJQctcV8+nxu0lksr8Vi64XbaXkqQ/xDFY3Q&#10;FknPoe5EFGzv9V+hGi09BarjSFJTUF1rqTIGoJmM36FZ74RTGQvICe5MU/h/YeXj4dkzXZV8dsGZ&#10;FQ169KK6yL5Qx6ACP60LC7itHRxjBz36POgDlAl2V/smfQGIwQ6mj2d2UzQJ5cVs/nl+yZmEaTK/&#10;mFxm9ou3x86H+FVRw5JQco/mZU7F4SFEFALXwSXlCmR0da+NyZc0MOrWeHYQaLWJuUS8+MPLWNaW&#10;/GqG1OmRpfS8j2wsEiSoPaQkxW7TZWqm8wHvhqojaPDUD1Jw8l6j2AcR4rPwmBwgxzbEJxy1ISST&#10;RjvOduR/vtclPzQSFs5aTGDJw4+98Ioz882ixWlcB8EPwmYQ7L65JSCdYL+czCIe+GgGsfbUvGI5&#10;VikLTMJK5Cp5HMTb2O8Blkuq1So7YSidiA927WQKnUhKlL90r8K7U18iGvpIw2yKxbv29L49vat9&#10;pFrn3iVCe/ZOPGOgc0tPy5c25vd79nr7RSx/AQAA//8DAFBLAwQUAAYACAAAACEATkzZbOEAAAAJ&#10;AQAADwAAAGRycy9kb3ducmV2LnhtbEyPwU7DMAyG70i8Q2QkLmhLN9puKk0nQOKABEIMtHPWmLYs&#10;cUqTbR1PjznB0fan399frkZnxQGH0HlSMJsmIJBqbzpqFLy/PUyWIELUZLT1hApOGGBVnZ+VujD+&#10;SK94WMdGcAiFQitoY+wLKUPdotNh6nskvn34wenI49BIM+gjhzsr50mSS6c74g+t7vG+xXq33jsF&#10;y1P6fLXJF5tP+/J41343X/S000pdXoy3NyAijvEPhl99VoeKnbZ+TyYIq2CSzZjk/SLNQDCQp9xt&#10;q2CeXGcgq1L+b1D9AAAA//8DAFBLAQItABQABgAIAAAAIQC2gziS/gAAAOEBAAATAAAAAAAAAAAA&#10;AAAAAAAAAABbQ29udGVudF9UeXBlc10ueG1sUEsBAi0AFAAGAAgAAAAhADj9If/WAAAAlAEAAAsA&#10;AAAAAAAAAAAAAAAALwEAAF9yZWxzLy5yZWxzUEsBAi0AFAAGAAgAAAAhAG4Y3ko8AgAAagQAAA4A&#10;AAAAAAAAAAAAAAAALgIAAGRycy9lMm9Eb2MueG1sUEsBAi0AFAAGAAgAAAAhAE5M2WzhAAAACQEA&#10;AA8AAAAAAAAAAAAAAAAAlgQAAGRycy9kb3ducmV2LnhtbFBLBQYAAAAABAAEAPMAAACkBQAAAAA=&#10;" fillcolor="white [3201]" stroked="f" strokeweight=".5pt">
                <v:textbox inset="0,0,0,0">
                  <w:txbxContent>
                    <w:p w14:paraId="2C508331" w14:textId="77777777" w:rsidR="00CF38BD" w:rsidRPr="00DF12FB" w:rsidRDefault="00CF38BD" w:rsidP="00231B75">
                      <w:pPr>
                        <w:tabs>
                          <w:tab w:val="left" w:pos="426"/>
                        </w:tabs>
                        <w:spacing w:before="0"/>
                        <w:rPr>
                          <w:sz w:val="2"/>
                          <w:szCs w:val="2"/>
                          <w:lang w:val="fr-CH"/>
                        </w:rPr>
                      </w:pPr>
                      <w:r>
                        <w:rPr>
                          <w:bCs/>
                          <w:sz w:val="12"/>
                          <w:szCs w:val="12"/>
                        </w:rPr>
                        <w:t>Instituciones</w:t>
                      </w:r>
                      <w:r>
                        <w:rPr>
                          <w:bCs/>
                          <w:sz w:val="12"/>
                          <w:szCs w:val="12"/>
                        </w:rPr>
                        <w:br/>
                        <w:t>Académicas</w:t>
                      </w:r>
                      <w:r>
                        <w:rPr>
                          <w:bCs/>
                          <w:sz w:val="12"/>
                          <w:szCs w:val="12"/>
                        </w:rPr>
                        <w:br/>
                      </w:r>
                      <w:r>
                        <w:rPr>
                          <w:sz w:val="2"/>
                          <w:szCs w:val="2"/>
                          <w:lang w:val="fr-CH"/>
                        </w:rPr>
                        <w:t>Académicas</w:t>
                      </w:r>
                    </w:p>
                  </w:txbxContent>
                </v:textbox>
                <w10:wrap anchorx="margin"/>
              </v:shape>
            </w:pict>
          </mc:Fallback>
        </mc:AlternateContent>
      </w:r>
      <w:r w:rsidRPr="00C317D5">
        <w:rPr>
          <w:noProof/>
          <w:lang w:eastAsia="es-ES"/>
        </w:rPr>
        <mc:AlternateContent>
          <mc:Choice Requires="wps">
            <w:drawing>
              <wp:anchor distT="0" distB="0" distL="114300" distR="114300" simplePos="0" relativeHeight="251700224" behindDoc="0" locked="0" layoutInCell="1" allowOverlap="1" wp14:anchorId="32E9688D" wp14:editId="2D4946A4">
                <wp:simplePos x="0" y="0"/>
                <wp:positionH relativeFrom="margin">
                  <wp:posOffset>436509</wp:posOffset>
                </wp:positionH>
                <wp:positionV relativeFrom="paragraph">
                  <wp:posOffset>1125855</wp:posOffset>
                </wp:positionV>
                <wp:extent cx="538480" cy="184150"/>
                <wp:effectExtent l="0" t="0" r="0" b="6350"/>
                <wp:wrapNone/>
                <wp:docPr id="32" name="Text Box 32"/>
                <wp:cNvGraphicFramePr/>
                <a:graphic xmlns:a="http://schemas.openxmlformats.org/drawingml/2006/main">
                  <a:graphicData uri="http://schemas.microsoft.com/office/word/2010/wordprocessingShape">
                    <wps:wsp>
                      <wps:cNvSpPr txBox="1"/>
                      <wps:spPr>
                        <a:xfrm>
                          <a:off x="0" y="0"/>
                          <a:ext cx="538480" cy="184150"/>
                        </a:xfrm>
                        <a:prstGeom prst="rect">
                          <a:avLst/>
                        </a:prstGeom>
                        <a:solidFill>
                          <a:schemeClr val="lt1"/>
                        </a:solidFill>
                        <a:ln w="6350">
                          <a:noFill/>
                        </a:ln>
                      </wps:spPr>
                      <wps:txbx>
                        <w:txbxContent>
                          <w:p w14:paraId="76EBCBD6" w14:textId="77777777" w:rsidR="00CF38BD" w:rsidRPr="002071CF" w:rsidRDefault="00CF38BD" w:rsidP="003A12D0">
                            <w:pPr>
                              <w:tabs>
                                <w:tab w:val="left" w:pos="426"/>
                              </w:tabs>
                              <w:spacing w:before="0"/>
                              <w:jc w:val="right"/>
                              <w:rPr>
                                <w:bCs/>
                                <w:sz w:val="12"/>
                                <w:szCs w:val="12"/>
                              </w:rPr>
                            </w:pPr>
                            <w:r>
                              <w:rPr>
                                <w:bCs/>
                                <w:sz w:val="12"/>
                                <w:szCs w:val="12"/>
                              </w:rPr>
                              <w:t>Instituciones</w:t>
                            </w:r>
                            <w:r>
                              <w:rPr>
                                <w:bCs/>
                                <w:sz w:val="12"/>
                                <w:szCs w:val="12"/>
                              </w:rPr>
                              <w:br/>
                              <w:t>Académicas</w:t>
                            </w:r>
                          </w:p>
                          <w:p w14:paraId="4EF7DAE9" w14:textId="77777777" w:rsidR="00CF38BD" w:rsidRPr="002071CF" w:rsidRDefault="00CF38BD" w:rsidP="00231B75">
                            <w:pPr>
                              <w:spacing w:before="0"/>
                              <w:rPr>
                                <w:sz w:val="2"/>
                                <w:szCs w:val="2"/>
                                <w:lang w:val="fr-CH"/>
                              </w:rPr>
                            </w:pP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9688D" id="Text Box 32" o:spid="_x0000_s1053" type="#_x0000_t202" style="position:absolute;left:0;text-align:left;margin-left:34.35pt;margin-top:88.65pt;width:42.4pt;height:14.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cyEOQIAAGoEAAAOAAAAZHJzL2Uyb0RvYy54bWysVE1v2zAMvQ/YfxB0X500bREEdYosRYcB&#10;QVugHXpWZDkRIIuapMTOfv2e5Djtstuwi0yRFD/eI3171zWG7ZUPmmzJxxcjzpSVVGm7KfmP14cv&#10;U85CFLYShqwq+UEFfjf//Om2dTN1SVsylfIMQWyYta7k2xjdrCiC3KpGhAtyysJYk29ExNVvisqL&#10;FtEbU1yORjdFS75ynqQKAdr73sjnOX5dKxmf6jqoyEzJUVvMp8/nOp3F/FbMNl64rZbHMsQ/VNEI&#10;bZH0FOpeRMF2Xv8VqtHSU6A6XkhqCqprLVXuAd2MR2fdvGyFU7kXgBPcCabw/8LKx/2zZ7oq+eSS&#10;MysacPSqusi+UsegAj6tCzO4vTg4xg568DzoA5Sp7a72TfqiIQY7kD6c0E3RJJTXk+nVFBYJ03h6&#10;Nb7O6Bfvj50P8ZuihiWh5B7kZUzFfhUiCoHr4JJyBTK6etDG5EsaGLU0nu0FqDYxl4gXf3gZy9qS&#10;30yQOj2ylJ73kY1FgtRq31KSYrfuemhO/a6pOgAGT/0gBScfNIpdiRCfhcfkoD9sQ3zCURtCMmm0&#10;42xL/te5LvmBSFg4azGBJQ8/d8Irzsx3C4oRKg6CH4T1INhdsyR0OsZ+OZlFPPDRDGLtqXnDcixS&#10;FpiElchV8jiIy9jvAZZLqsUiO2EonYgr++JkCp1ASpC/dm/CuyMvEYQ+0jCbYnZGT+/bw7vYRap1&#10;5i4B2qN3xBkDnSk9Ll/amI/37PX+i5j/BgAA//8DAFBLAwQUAAYACAAAACEAZg5yO+IAAAAKAQAA&#10;DwAAAGRycy9kb3ducmV2LnhtbEyPwU7DMAyG70i8Q2QkLoilrKytStMJkDggMSG2aWevCU1Z4pQm&#10;2zqenuwER9uffn9/NR+tYQc1+M6RgLtJAkxR42RHrYD16uW2AOYDkkTjSAk4KQ/z+vKiwlK6I32o&#10;wzK0LIaQL1GADqEvOfeNVhb9xPWK4u3TDRZDHIeWywGPMdwaPk2SjFvsKH7Q2KtnrZrdcm8FFKf7&#10;xc0myzdf5v31Sf+03/S2QyGur8bHB2BBjeEPhrN+VIc6Om3dnqRnRkBW5JGM+zxPgZ2BWToDthUw&#10;TbIUeF3x/xXqXwAAAP//AwBQSwECLQAUAAYACAAAACEAtoM4kv4AAADhAQAAEwAAAAAAAAAAAAAA&#10;AAAAAAAAW0NvbnRlbnRfVHlwZXNdLnhtbFBLAQItABQABgAIAAAAIQA4/SH/1gAAAJQBAAALAAAA&#10;AAAAAAAAAAAAAC8BAABfcmVscy8ucmVsc1BLAQItABQABgAIAAAAIQAntcyEOQIAAGoEAAAOAAAA&#10;AAAAAAAAAAAAAC4CAABkcnMvZTJvRG9jLnhtbFBLAQItABQABgAIAAAAIQBmDnI74gAAAAoBAAAP&#10;AAAAAAAAAAAAAAAAAJMEAABkcnMvZG93bnJldi54bWxQSwUGAAAAAAQABADzAAAAogUAAAAA&#10;" fillcolor="white [3201]" stroked="f" strokeweight=".5pt">
                <v:textbox inset="0,0,0,0">
                  <w:txbxContent>
                    <w:p w14:paraId="76EBCBD6" w14:textId="77777777" w:rsidR="00CF38BD" w:rsidRPr="002071CF" w:rsidRDefault="00CF38BD" w:rsidP="003A12D0">
                      <w:pPr>
                        <w:tabs>
                          <w:tab w:val="left" w:pos="426"/>
                        </w:tabs>
                        <w:spacing w:before="0"/>
                        <w:jc w:val="right"/>
                        <w:rPr>
                          <w:bCs/>
                          <w:sz w:val="12"/>
                          <w:szCs w:val="12"/>
                        </w:rPr>
                      </w:pPr>
                      <w:r>
                        <w:rPr>
                          <w:bCs/>
                          <w:sz w:val="12"/>
                          <w:szCs w:val="12"/>
                        </w:rPr>
                        <w:t>Instituciones</w:t>
                      </w:r>
                      <w:r>
                        <w:rPr>
                          <w:bCs/>
                          <w:sz w:val="12"/>
                          <w:szCs w:val="12"/>
                        </w:rPr>
                        <w:br/>
                        <w:t>Académicas</w:t>
                      </w:r>
                    </w:p>
                    <w:p w14:paraId="4EF7DAE9" w14:textId="77777777" w:rsidR="00CF38BD" w:rsidRPr="002071CF" w:rsidRDefault="00CF38BD" w:rsidP="00231B75">
                      <w:pPr>
                        <w:spacing w:before="0"/>
                        <w:rPr>
                          <w:sz w:val="2"/>
                          <w:szCs w:val="2"/>
                          <w:lang w:val="fr-CH"/>
                        </w:rPr>
                      </w:pPr>
                    </w:p>
                  </w:txbxContent>
                </v:textbox>
                <w10:wrap anchorx="margin"/>
              </v:shape>
            </w:pict>
          </mc:Fallback>
        </mc:AlternateContent>
      </w:r>
      <w:r w:rsidR="00231B75" w:rsidRPr="00C317D5">
        <w:rPr>
          <w:noProof/>
          <w:lang w:eastAsia="es-ES"/>
        </w:rPr>
        <mc:AlternateContent>
          <mc:Choice Requires="wps">
            <w:drawing>
              <wp:anchor distT="0" distB="0" distL="114300" distR="114300" simplePos="0" relativeHeight="251703296" behindDoc="0" locked="0" layoutInCell="1" allowOverlap="1" wp14:anchorId="3E1C329A" wp14:editId="10441271">
                <wp:simplePos x="0" y="0"/>
                <wp:positionH relativeFrom="margin">
                  <wp:posOffset>3193415</wp:posOffset>
                </wp:positionH>
                <wp:positionV relativeFrom="paragraph">
                  <wp:posOffset>1387475</wp:posOffset>
                </wp:positionV>
                <wp:extent cx="2868295" cy="422694"/>
                <wp:effectExtent l="0" t="0" r="8255" b="0"/>
                <wp:wrapNone/>
                <wp:docPr id="35" name="Text Box 35"/>
                <wp:cNvGraphicFramePr/>
                <a:graphic xmlns:a="http://schemas.openxmlformats.org/drawingml/2006/main">
                  <a:graphicData uri="http://schemas.microsoft.com/office/word/2010/wordprocessingShape">
                    <wps:wsp>
                      <wps:cNvSpPr txBox="1"/>
                      <wps:spPr>
                        <a:xfrm>
                          <a:off x="0" y="0"/>
                          <a:ext cx="2868295" cy="422694"/>
                        </a:xfrm>
                        <a:prstGeom prst="rect">
                          <a:avLst/>
                        </a:prstGeom>
                        <a:solidFill>
                          <a:schemeClr val="lt1"/>
                        </a:solidFill>
                        <a:ln w="6350">
                          <a:noFill/>
                        </a:ln>
                      </wps:spPr>
                      <wps:txbx>
                        <w:txbxContent>
                          <w:p w14:paraId="510A7AAA" w14:textId="77777777" w:rsidR="00CF38BD" w:rsidRPr="00436E97" w:rsidRDefault="00CF38BD" w:rsidP="00231B75">
                            <w:pPr>
                              <w:tabs>
                                <w:tab w:val="left" w:pos="142"/>
                              </w:tabs>
                              <w:spacing w:before="80"/>
                              <w:ind w:left="142" w:hanging="142"/>
                              <w:rPr>
                                <w:bCs/>
                                <w:sz w:val="12"/>
                                <w:szCs w:val="12"/>
                              </w:rPr>
                            </w:pPr>
                            <w:r w:rsidRPr="00436E97">
                              <w:rPr>
                                <w:b/>
                                <w:bCs/>
                                <w:sz w:val="12"/>
                                <w:szCs w:val="12"/>
                              </w:rPr>
                              <w:t>–</w:t>
                            </w:r>
                            <w:r w:rsidRPr="00436E97">
                              <w:rPr>
                                <w:bCs/>
                                <w:sz w:val="12"/>
                                <w:szCs w:val="12"/>
                              </w:rPr>
                              <w:tab/>
                            </w:r>
                            <w:r>
                              <w:rPr>
                                <w:bCs/>
                                <w:sz w:val="12"/>
                                <w:szCs w:val="12"/>
                              </w:rPr>
                              <w:t>Las casillas rojas representan un movimiento neto negativo durante el año (es decir, nuevos miembros &lt;</w:t>
                            </w:r>
                            <w:r w:rsidRPr="00436E97">
                              <w:rPr>
                                <w:bCs/>
                                <w:sz w:val="12"/>
                                <w:szCs w:val="12"/>
                              </w:rPr>
                              <w:t> </w:t>
                            </w:r>
                            <w:r>
                              <w:rPr>
                                <w:bCs/>
                                <w:sz w:val="12"/>
                                <w:szCs w:val="12"/>
                              </w:rPr>
                              <w:t>denuncias</w:t>
                            </w:r>
                            <w:r w:rsidRPr="00436E97">
                              <w:rPr>
                                <w:bCs/>
                                <w:sz w:val="12"/>
                                <w:szCs w:val="12"/>
                              </w:rPr>
                              <w:t xml:space="preserve"> + exclus</w:t>
                            </w:r>
                            <w:r>
                              <w:rPr>
                                <w:bCs/>
                                <w:sz w:val="12"/>
                                <w:szCs w:val="12"/>
                              </w:rPr>
                              <w:t>iones</w:t>
                            </w:r>
                            <w:r w:rsidRPr="00436E97">
                              <w:rPr>
                                <w:bCs/>
                                <w:sz w:val="12"/>
                                <w:szCs w:val="12"/>
                              </w:rPr>
                              <w:t>)</w:t>
                            </w:r>
                          </w:p>
                          <w:p w14:paraId="1A10A753" w14:textId="65295015" w:rsidR="00CF38BD" w:rsidRPr="002071CF" w:rsidRDefault="00CF38BD" w:rsidP="00231B75">
                            <w:pPr>
                              <w:tabs>
                                <w:tab w:val="left" w:pos="142"/>
                              </w:tabs>
                              <w:spacing w:before="0"/>
                              <w:ind w:left="142" w:hanging="142"/>
                              <w:rPr>
                                <w:sz w:val="2"/>
                                <w:szCs w:val="2"/>
                                <w:lang w:val="fr-CH"/>
                              </w:rPr>
                            </w:pPr>
                            <w:r w:rsidRPr="00436E97">
                              <w:rPr>
                                <w:bCs/>
                                <w:sz w:val="12"/>
                                <w:szCs w:val="12"/>
                              </w:rPr>
                              <w:t>–</w:t>
                            </w:r>
                            <w:r w:rsidRPr="00436E97">
                              <w:rPr>
                                <w:bCs/>
                                <w:sz w:val="12"/>
                                <w:szCs w:val="12"/>
                              </w:rPr>
                              <w:tab/>
                            </w:r>
                            <w:r>
                              <w:rPr>
                                <w:bCs/>
                                <w:sz w:val="12"/>
                                <w:szCs w:val="12"/>
                              </w:rPr>
                              <w:t>Los colores más oscuros representan los números más elevados</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C329A" id="Text Box 35" o:spid="_x0000_s1054" type="#_x0000_t202" style="position:absolute;left:0;text-align:left;margin-left:251.45pt;margin-top:109.25pt;width:225.85pt;height:33.3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i9cPQIAAGsEAAAOAAAAZHJzL2Uyb0RvYy54bWysVMFu2zAMvQ/YPwi6L07cNkiNOEWWIsOA&#10;oC2QDD0rshwLkERNUmJnXz9Kjtsuuw27yBRJPZKPpOcPnVbkJJyXYEo6GY0pEYZDJc2hpD926y8z&#10;SnxgpmIKjCjpWXj6sPj8ad7aQuTQgKqEIwhifNHakjYh2CLLPG+EZn4EVhg01uA0C3h1h6xyrEV0&#10;rbJ8PJ5mLbjKOuDCe9Q+9ka6SPh1LXh4rmsvAlElxdxCOl069/HMFnNWHByzjeSXNNg/ZKGZNBj0&#10;DeqRBUaOTv4FpSV34KEOIw46g7qWXKQasJrJ+KqabcOsSLUgOd6+0eT/Hyx/Or04IquS3txRYpjG&#10;Hu1EF8hX6AiqkJ/W+gLdthYdQ4d67POg96iMZXe10/GLBRG0I9PnN3YjGkdlPpvO8nuMwtF2m+fT&#10;+9sIk72/ts6HbwI0iUJJHXYvkcpOGx9618ElBvOgZLWWSqVLnBixUo6cGPZahZQjgv/hpQxpSzq9&#10;uRsnYAPxeY+sDOYSa+1rilLo9l3iJp8OBe+hOiMPDvpJ8pavJSa7YT68MIejg6XjOoRnPGoFGIwr&#10;aSlpwP261kU/7CRaKGlxBEvqfx6ZE5So7wZ7HOd1ENwg7AfBHPUKsNIJLpjlScQHLqhBrB3oV9yO&#10;ZYyCJmY4xippGMRV6BcBt4uL5TI54VRaFjZma3mEjsxGynfdK3P20peAHX2CYThZcdWe3je+NLA8&#10;Bqhl6l0ktGfvwjNOdOr+Zfviyny8J6/3f8TiNwAAAP//AwBQSwMEFAAGAAgAAAAhADdOhRnjAAAA&#10;CwEAAA8AAABkcnMvZG93bnJldi54bWxMj8FOwzAMhu9IvENkJC6Ipa3W0pWmEyBxQGJCDLRz1pim&#10;LHFKk20dT084wdH2p9/fXy8na9gBR987EpDOEmBIrVM9dQLe3x6vS2A+SFLSOEIBJ/SwbM7Palkp&#10;d6RXPKxDx2II+UoK0CEMFee+1Wiln7kBKd4+3GhliOPYcTXKYwy3hmdJUnAre4oftBzwQWO7W++t&#10;gPI0X11tipvNp3l5utff3Rc976QQlxfT3S2wgFP4g+FXP6pDE522bk/KMyMgT7JFRAVkaZkDi8Qi&#10;nxfAtnFT5inwpub/OzQ/AAAA//8DAFBLAQItABQABgAIAAAAIQC2gziS/gAAAOEBAAATAAAAAAAA&#10;AAAAAAAAAAAAAABbQ29udGVudF9UeXBlc10ueG1sUEsBAi0AFAAGAAgAAAAhADj9If/WAAAAlAEA&#10;AAsAAAAAAAAAAAAAAAAALwEAAF9yZWxzLy5yZWxzUEsBAi0AFAAGAAgAAAAhAGdeL1w9AgAAawQA&#10;AA4AAAAAAAAAAAAAAAAALgIAAGRycy9lMm9Eb2MueG1sUEsBAi0AFAAGAAgAAAAhADdOhRnjAAAA&#10;CwEAAA8AAAAAAAAAAAAAAAAAlwQAAGRycy9kb3ducmV2LnhtbFBLBQYAAAAABAAEAPMAAACnBQAA&#10;AAA=&#10;" fillcolor="white [3201]" stroked="f" strokeweight=".5pt">
                <v:textbox inset="0,0,0,0">
                  <w:txbxContent>
                    <w:p w14:paraId="510A7AAA" w14:textId="77777777" w:rsidR="00CF38BD" w:rsidRPr="00436E97" w:rsidRDefault="00CF38BD" w:rsidP="00231B75">
                      <w:pPr>
                        <w:tabs>
                          <w:tab w:val="left" w:pos="142"/>
                        </w:tabs>
                        <w:spacing w:before="80"/>
                        <w:ind w:left="142" w:hanging="142"/>
                        <w:rPr>
                          <w:bCs/>
                          <w:sz w:val="12"/>
                          <w:szCs w:val="12"/>
                        </w:rPr>
                      </w:pPr>
                      <w:r w:rsidRPr="00436E97">
                        <w:rPr>
                          <w:b/>
                          <w:bCs/>
                          <w:sz w:val="12"/>
                          <w:szCs w:val="12"/>
                        </w:rPr>
                        <w:t>–</w:t>
                      </w:r>
                      <w:r w:rsidRPr="00436E97">
                        <w:rPr>
                          <w:bCs/>
                          <w:sz w:val="12"/>
                          <w:szCs w:val="12"/>
                        </w:rPr>
                        <w:tab/>
                      </w:r>
                      <w:r>
                        <w:rPr>
                          <w:bCs/>
                          <w:sz w:val="12"/>
                          <w:szCs w:val="12"/>
                        </w:rPr>
                        <w:t>Las casillas rojas representan un movimiento neto negativo durante el año (es decir, nuevos miembros &lt;</w:t>
                      </w:r>
                      <w:r w:rsidRPr="00436E97">
                        <w:rPr>
                          <w:bCs/>
                          <w:sz w:val="12"/>
                          <w:szCs w:val="12"/>
                        </w:rPr>
                        <w:t> </w:t>
                      </w:r>
                      <w:r>
                        <w:rPr>
                          <w:bCs/>
                          <w:sz w:val="12"/>
                          <w:szCs w:val="12"/>
                        </w:rPr>
                        <w:t>denuncias</w:t>
                      </w:r>
                      <w:r w:rsidRPr="00436E97">
                        <w:rPr>
                          <w:bCs/>
                          <w:sz w:val="12"/>
                          <w:szCs w:val="12"/>
                        </w:rPr>
                        <w:t xml:space="preserve"> + exclus</w:t>
                      </w:r>
                      <w:r>
                        <w:rPr>
                          <w:bCs/>
                          <w:sz w:val="12"/>
                          <w:szCs w:val="12"/>
                        </w:rPr>
                        <w:t>iones</w:t>
                      </w:r>
                      <w:r w:rsidRPr="00436E97">
                        <w:rPr>
                          <w:bCs/>
                          <w:sz w:val="12"/>
                          <w:szCs w:val="12"/>
                        </w:rPr>
                        <w:t>)</w:t>
                      </w:r>
                    </w:p>
                    <w:p w14:paraId="1A10A753" w14:textId="65295015" w:rsidR="00CF38BD" w:rsidRPr="002071CF" w:rsidRDefault="00CF38BD" w:rsidP="00231B75">
                      <w:pPr>
                        <w:tabs>
                          <w:tab w:val="left" w:pos="142"/>
                        </w:tabs>
                        <w:spacing w:before="0"/>
                        <w:ind w:left="142" w:hanging="142"/>
                        <w:rPr>
                          <w:sz w:val="2"/>
                          <w:szCs w:val="2"/>
                          <w:lang w:val="fr-CH"/>
                        </w:rPr>
                      </w:pPr>
                      <w:r w:rsidRPr="00436E97">
                        <w:rPr>
                          <w:bCs/>
                          <w:sz w:val="12"/>
                          <w:szCs w:val="12"/>
                        </w:rPr>
                        <w:t>–</w:t>
                      </w:r>
                      <w:r w:rsidRPr="00436E97">
                        <w:rPr>
                          <w:bCs/>
                          <w:sz w:val="12"/>
                          <w:szCs w:val="12"/>
                        </w:rPr>
                        <w:tab/>
                      </w:r>
                      <w:r>
                        <w:rPr>
                          <w:bCs/>
                          <w:sz w:val="12"/>
                          <w:szCs w:val="12"/>
                        </w:rPr>
                        <w:t>Los colores más oscuros representan los números más elevados</w:t>
                      </w:r>
                    </w:p>
                  </w:txbxContent>
                </v:textbox>
                <w10:wrap anchorx="margin"/>
              </v:shape>
            </w:pict>
          </mc:Fallback>
        </mc:AlternateContent>
      </w:r>
      <w:r w:rsidR="00231B75" w:rsidRPr="00C317D5">
        <w:rPr>
          <w:noProof/>
          <w:lang w:eastAsia="es-ES"/>
        </w:rPr>
        <mc:AlternateContent>
          <mc:Choice Requires="wps">
            <w:drawing>
              <wp:anchor distT="0" distB="0" distL="114300" distR="114300" simplePos="0" relativeHeight="251702272" behindDoc="0" locked="0" layoutInCell="1" allowOverlap="1" wp14:anchorId="2C3770F0" wp14:editId="689B4AAA">
                <wp:simplePos x="0" y="0"/>
                <wp:positionH relativeFrom="margin">
                  <wp:posOffset>-3200</wp:posOffset>
                </wp:positionH>
                <wp:positionV relativeFrom="paragraph">
                  <wp:posOffset>1353058</wp:posOffset>
                </wp:positionV>
                <wp:extent cx="3196742" cy="560705"/>
                <wp:effectExtent l="0" t="0" r="3810" b="0"/>
                <wp:wrapNone/>
                <wp:docPr id="33" name="Text Box 33"/>
                <wp:cNvGraphicFramePr/>
                <a:graphic xmlns:a="http://schemas.openxmlformats.org/drawingml/2006/main">
                  <a:graphicData uri="http://schemas.microsoft.com/office/word/2010/wordprocessingShape">
                    <wps:wsp>
                      <wps:cNvSpPr txBox="1"/>
                      <wps:spPr>
                        <a:xfrm>
                          <a:off x="0" y="0"/>
                          <a:ext cx="3196742" cy="560705"/>
                        </a:xfrm>
                        <a:prstGeom prst="rect">
                          <a:avLst/>
                        </a:prstGeom>
                        <a:solidFill>
                          <a:schemeClr val="lt1"/>
                        </a:solidFill>
                        <a:ln w="6350">
                          <a:noFill/>
                        </a:ln>
                      </wps:spPr>
                      <wps:txbx>
                        <w:txbxContent>
                          <w:p w14:paraId="09A30A7E" w14:textId="77777777" w:rsidR="00CF38BD" w:rsidRPr="00436E97" w:rsidRDefault="00CF38BD" w:rsidP="00231B75">
                            <w:pPr>
                              <w:spacing w:before="0"/>
                              <w:rPr>
                                <w:b/>
                                <w:bCs/>
                                <w:sz w:val="12"/>
                                <w:szCs w:val="12"/>
                              </w:rPr>
                            </w:pPr>
                            <w:r w:rsidRPr="00436E97">
                              <w:rPr>
                                <w:b/>
                                <w:bCs/>
                                <w:sz w:val="12"/>
                                <w:szCs w:val="12"/>
                              </w:rPr>
                              <w:t>Explica</w:t>
                            </w:r>
                            <w:r>
                              <w:rPr>
                                <w:b/>
                                <w:bCs/>
                                <w:sz w:val="12"/>
                                <w:szCs w:val="12"/>
                              </w:rPr>
                              <w:t>ción</w:t>
                            </w:r>
                          </w:p>
                          <w:p w14:paraId="4ED63440" w14:textId="04C98E19" w:rsidR="00CF38BD" w:rsidRPr="00436E97" w:rsidRDefault="00CF38BD" w:rsidP="00231B75">
                            <w:pPr>
                              <w:tabs>
                                <w:tab w:val="left" w:pos="142"/>
                              </w:tabs>
                              <w:spacing w:before="0"/>
                              <w:rPr>
                                <w:bCs/>
                                <w:sz w:val="12"/>
                                <w:szCs w:val="12"/>
                              </w:rPr>
                            </w:pPr>
                            <w:r w:rsidRPr="00436E97">
                              <w:rPr>
                                <w:b/>
                                <w:bCs/>
                                <w:sz w:val="12"/>
                                <w:szCs w:val="12"/>
                              </w:rPr>
                              <w:t>–</w:t>
                            </w:r>
                            <w:r w:rsidRPr="00436E97">
                              <w:rPr>
                                <w:bCs/>
                                <w:sz w:val="12"/>
                                <w:szCs w:val="12"/>
                              </w:rPr>
                              <w:tab/>
                            </w:r>
                            <w:r>
                              <w:rPr>
                                <w:bCs/>
                                <w:sz w:val="12"/>
                                <w:szCs w:val="12"/>
                              </w:rPr>
                              <w:t>Las casillas vacías representan un año sin movimiento alguno</w:t>
                            </w:r>
                          </w:p>
                          <w:p w14:paraId="0A9F6919" w14:textId="12027EDD" w:rsidR="00CF38BD" w:rsidRPr="00436E97" w:rsidRDefault="00CF38BD" w:rsidP="00231B75">
                            <w:pPr>
                              <w:tabs>
                                <w:tab w:val="left" w:pos="142"/>
                              </w:tabs>
                              <w:spacing w:before="0"/>
                              <w:ind w:left="142" w:hanging="142"/>
                              <w:rPr>
                                <w:bCs/>
                                <w:sz w:val="12"/>
                                <w:szCs w:val="12"/>
                              </w:rPr>
                            </w:pPr>
                            <w:r w:rsidRPr="00436E97">
                              <w:rPr>
                                <w:bCs/>
                                <w:sz w:val="12"/>
                                <w:szCs w:val="12"/>
                              </w:rPr>
                              <w:t>–</w:t>
                            </w:r>
                            <w:r w:rsidRPr="00436E97">
                              <w:rPr>
                                <w:bCs/>
                                <w:sz w:val="12"/>
                                <w:szCs w:val="12"/>
                              </w:rPr>
                              <w:tab/>
                            </w:r>
                            <w:r>
                              <w:rPr>
                                <w:bCs/>
                                <w:sz w:val="12"/>
                                <w:szCs w:val="12"/>
                              </w:rPr>
                              <w:t>Las casillas beis representan un movimiento neto de cero (es decir, nuevo = denuncia + exclusión)</w:t>
                            </w:r>
                          </w:p>
                          <w:p w14:paraId="208FA280" w14:textId="435D1632" w:rsidR="00CF38BD" w:rsidRPr="002071CF" w:rsidRDefault="00CF38BD" w:rsidP="00231B75">
                            <w:pPr>
                              <w:tabs>
                                <w:tab w:val="left" w:pos="142"/>
                              </w:tabs>
                              <w:spacing w:before="0"/>
                              <w:ind w:left="142" w:hanging="142"/>
                              <w:rPr>
                                <w:sz w:val="2"/>
                                <w:szCs w:val="2"/>
                                <w:lang w:val="fr-CH"/>
                              </w:rPr>
                            </w:pPr>
                            <w:r w:rsidRPr="00436E97">
                              <w:rPr>
                                <w:bCs/>
                                <w:sz w:val="12"/>
                                <w:szCs w:val="12"/>
                              </w:rPr>
                              <w:t>–</w:t>
                            </w:r>
                            <w:r w:rsidRPr="00436E97">
                              <w:rPr>
                                <w:bCs/>
                                <w:sz w:val="12"/>
                                <w:szCs w:val="12"/>
                              </w:rPr>
                              <w:tab/>
                            </w:r>
                            <w:r>
                              <w:rPr>
                                <w:bCs/>
                                <w:sz w:val="12"/>
                                <w:szCs w:val="12"/>
                              </w:rPr>
                              <w:t xml:space="preserve">Las casillas verdes representan un movimiento neto positivo durante el año (es decir, nuevos miembros </w:t>
                            </w:r>
                            <w:r w:rsidRPr="00436E97">
                              <w:rPr>
                                <w:bCs/>
                                <w:sz w:val="12"/>
                                <w:szCs w:val="12"/>
                              </w:rPr>
                              <w:t>&gt; </w:t>
                            </w:r>
                            <w:r>
                              <w:rPr>
                                <w:bCs/>
                                <w:sz w:val="12"/>
                                <w:szCs w:val="12"/>
                              </w:rPr>
                              <w:t>denuncias</w:t>
                            </w:r>
                            <w:r w:rsidRPr="00436E97">
                              <w:rPr>
                                <w:bCs/>
                                <w:sz w:val="12"/>
                                <w:szCs w:val="12"/>
                              </w:rPr>
                              <w:t xml:space="preserve"> + exclus</w:t>
                            </w:r>
                            <w:r>
                              <w:rPr>
                                <w:bCs/>
                                <w:sz w:val="12"/>
                                <w:szCs w:val="12"/>
                              </w:rPr>
                              <w:t>iones</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770F0" id="Text Box 33" o:spid="_x0000_s1055" type="#_x0000_t202" style="position:absolute;left:0;text-align:left;margin-left:-.25pt;margin-top:106.55pt;width:251.7pt;height:44.1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KPqPAIAAGsEAAAOAAAAZHJzL2Uyb0RvYy54bWysVMGO2jAQvVfqP1i+lwQo0CLCirKiqoR2&#10;V4Jqz8ZxiCXb49qGhH59xw5hW3qrejGTmfHzvDczLB5archZOC/BFHQ4yCkRhkMpzbGg3/ebD58o&#10;8YGZkikwoqAX4enD8v27RWPnYgQ1qFI4giDGzxtb0DoEO88yz2uhmR+AFQaDFTjNAn66Y1Y61iC6&#10;Vtkoz6dZA660DrjwHr2PXZAuE35VCR6eq8qLQFRBsbaQTpfOQzyz5YLNj47ZWvJrGewfqtBMGnz0&#10;BvXIAiMnJ/+C0pI78FCFAQedQVVJLhIHZDPM79jsamZF4oLieHuTyf8/WP50fnFElgUdjykxTGOP&#10;9qIN5Au0BF2oT2P9HNN2FhNDi37sc+/36Iy028rp+IuECMZR6ctN3YjG0Tkefp7OPo4o4RibTPNZ&#10;Pokw2dtt63z4KkCTaBTUYfeSqOy89aFL7VPiYx6ULDdSqfQRJ0aslSNnhr1WIdWI4H9kKUOagk7H&#10;kzwBG4jXO2RlsJbIteMUrdAe2qTNaNYTPkB5QR0cdJPkLd9ILHbLfHhhDkcHqeM6hGc8KgX4GFfS&#10;UlKD+3nvi3nYSYxQ0uAIFtT/ODEnKFHfDPY4zmtvuN449IY56TUg0yEumOXJxAsuqN6sHOhX3I5V&#10;fAVDzHB8q6ChN9ehWwTcLi5Wq5SEU2lZ2Jqd5RE6Khsl37evzNlrXwJ29An64WTzu/Z0ufGmgdUp&#10;QCVT76KgnXpXnXGiU/ev2xdX5vfvlPX2H7H8BQAA//8DAFBLAwQUAAYACAAAACEAP9WgEeIAAAAJ&#10;AQAADwAAAGRycy9kb3ducmV2LnhtbEyPzU7DMBCE70i8g7VIXFBrJ/2hhGwqQOKAVIQoqGc3NnGo&#10;vQ6x26Y8PeYEx9GMZr4pl4Oz7KD70HpCyMYCmKbaq5YahPe3x9ECWIiSlLSeNMJJB1hW52elLJQ/&#10;0qs+rGPDUgmFQiKYGLuC81Ab7WQY+05T8j5872RMsm+46uUxlTvLcyHm3MmW0oKRnX4wut6t9w5h&#10;cZo+X23m15tP+/J0b76bL1rtJOLlxXB3CyzqIf6F4Rc/oUOVmLZ+TyowizCapSBCnk0yYMmfifwG&#10;2BZhIrIp8Krk/x9UPwAAAP//AwBQSwECLQAUAAYACAAAACEAtoM4kv4AAADhAQAAEwAAAAAAAAAA&#10;AAAAAAAAAAAAW0NvbnRlbnRfVHlwZXNdLnhtbFBLAQItABQABgAIAAAAIQA4/SH/1gAAAJQBAAAL&#10;AAAAAAAAAAAAAAAAAC8BAABfcmVscy8ucmVsc1BLAQItABQABgAIAAAAIQDjvKPqPAIAAGsEAAAO&#10;AAAAAAAAAAAAAAAAAC4CAABkcnMvZTJvRG9jLnhtbFBLAQItABQABgAIAAAAIQA/1aAR4gAAAAkB&#10;AAAPAAAAAAAAAAAAAAAAAJYEAABkcnMvZG93bnJldi54bWxQSwUGAAAAAAQABADzAAAApQUAAAAA&#10;" fillcolor="white [3201]" stroked="f" strokeweight=".5pt">
                <v:textbox inset="0,0,0,0">
                  <w:txbxContent>
                    <w:p w14:paraId="09A30A7E" w14:textId="77777777" w:rsidR="00CF38BD" w:rsidRPr="00436E97" w:rsidRDefault="00CF38BD" w:rsidP="00231B75">
                      <w:pPr>
                        <w:spacing w:before="0"/>
                        <w:rPr>
                          <w:b/>
                          <w:bCs/>
                          <w:sz w:val="12"/>
                          <w:szCs w:val="12"/>
                        </w:rPr>
                      </w:pPr>
                      <w:r w:rsidRPr="00436E97">
                        <w:rPr>
                          <w:b/>
                          <w:bCs/>
                          <w:sz w:val="12"/>
                          <w:szCs w:val="12"/>
                        </w:rPr>
                        <w:t>Explica</w:t>
                      </w:r>
                      <w:r>
                        <w:rPr>
                          <w:b/>
                          <w:bCs/>
                          <w:sz w:val="12"/>
                          <w:szCs w:val="12"/>
                        </w:rPr>
                        <w:t>ción</w:t>
                      </w:r>
                    </w:p>
                    <w:p w14:paraId="4ED63440" w14:textId="04C98E19" w:rsidR="00CF38BD" w:rsidRPr="00436E97" w:rsidRDefault="00CF38BD" w:rsidP="00231B75">
                      <w:pPr>
                        <w:tabs>
                          <w:tab w:val="left" w:pos="142"/>
                        </w:tabs>
                        <w:spacing w:before="0"/>
                        <w:rPr>
                          <w:bCs/>
                          <w:sz w:val="12"/>
                          <w:szCs w:val="12"/>
                        </w:rPr>
                      </w:pPr>
                      <w:r w:rsidRPr="00436E97">
                        <w:rPr>
                          <w:b/>
                          <w:bCs/>
                          <w:sz w:val="12"/>
                          <w:szCs w:val="12"/>
                        </w:rPr>
                        <w:t>–</w:t>
                      </w:r>
                      <w:r w:rsidRPr="00436E97">
                        <w:rPr>
                          <w:bCs/>
                          <w:sz w:val="12"/>
                          <w:szCs w:val="12"/>
                        </w:rPr>
                        <w:tab/>
                      </w:r>
                      <w:r>
                        <w:rPr>
                          <w:bCs/>
                          <w:sz w:val="12"/>
                          <w:szCs w:val="12"/>
                        </w:rPr>
                        <w:t>Las casillas vacías representan un año sin movimiento alguno</w:t>
                      </w:r>
                    </w:p>
                    <w:p w14:paraId="0A9F6919" w14:textId="12027EDD" w:rsidR="00CF38BD" w:rsidRPr="00436E97" w:rsidRDefault="00CF38BD" w:rsidP="00231B75">
                      <w:pPr>
                        <w:tabs>
                          <w:tab w:val="left" w:pos="142"/>
                        </w:tabs>
                        <w:spacing w:before="0"/>
                        <w:ind w:left="142" w:hanging="142"/>
                        <w:rPr>
                          <w:bCs/>
                          <w:sz w:val="12"/>
                          <w:szCs w:val="12"/>
                        </w:rPr>
                      </w:pPr>
                      <w:r w:rsidRPr="00436E97">
                        <w:rPr>
                          <w:bCs/>
                          <w:sz w:val="12"/>
                          <w:szCs w:val="12"/>
                        </w:rPr>
                        <w:t>–</w:t>
                      </w:r>
                      <w:r w:rsidRPr="00436E97">
                        <w:rPr>
                          <w:bCs/>
                          <w:sz w:val="12"/>
                          <w:szCs w:val="12"/>
                        </w:rPr>
                        <w:tab/>
                      </w:r>
                      <w:r>
                        <w:rPr>
                          <w:bCs/>
                          <w:sz w:val="12"/>
                          <w:szCs w:val="12"/>
                        </w:rPr>
                        <w:t>Las casillas beis representan un movimiento neto de cero (es decir, nuevo = denuncia + exclusión)</w:t>
                      </w:r>
                    </w:p>
                    <w:p w14:paraId="208FA280" w14:textId="435D1632" w:rsidR="00CF38BD" w:rsidRPr="002071CF" w:rsidRDefault="00CF38BD" w:rsidP="00231B75">
                      <w:pPr>
                        <w:tabs>
                          <w:tab w:val="left" w:pos="142"/>
                        </w:tabs>
                        <w:spacing w:before="0"/>
                        <w:ind w:left="142" w:hanging="142"/>
                        <w:rPr>
                          <w:sz w:val="2"/>
                          <w:szCs w:val="2"/>
                          <w:lang w:val="fr-CH"/>
                        </w:rPr>
                      </w:pPr>
                      <w:r w:rsidRPr="00436E97">
                        <w:rPr>
                          <w:bCs/>
                          <w:sz w:val="12"/>
                          <w:szCs w:val="12"/>
                        </w:rPr>
                        <w:t>–</w:t>
                      </w:r>
                      <w:r w:rsidRPr="00436E97">
                        <w:rPr>
                          <w:bCs/>
                          <w:sz w:val="12"/>
                          <w:szCs w:val="12"/>
                        </w:rPr>
                        <w:tab/>
                      </w:r>
                      <w:r>
                        <w:rPr>
                          <w:bCs/>
                          <w:sz w:val="12"/>
                          <w:szCs w:val="12"/>
                        </w:rPr>
                        <w:t xml:space="preserve">Las casillas verdes representan un movimiento neto positivo durante el año (es decir, nuevos miembros </w:t>
                      </w:r>
                      <w:r w:rsidRPr="00436E97">
                        <w:rPr>
                          <w:bCs/>
                          <w:sz w:val="12"/>
                          <w:szCs w:val="12"/>
                        </w:rPr>
                        <w:t>&gt; </w:t>
                      </w:r>
                      <w:r>
                        <w:rPr>
                          <w:bCs/>
                          <w:sz w:val="12"/>
                          <w:szCs w:val="12"/>
                        </w:rPr>
                        <w:t>denuncias</w:t>
                      </w:r>
                      <w:r w:rsidRPr="00436E97">
                        <w:rPr>
                          <w:bCs/>
                          <w:sz w:val="12"/>
                          <w:szCs w:val="12"/>
                        </w:rPr>
                        <w:t xml:space="preserve"> + exclus</w:t>
                      </w:r>
                      <w:r>
                        <w:rPr>
                          <w:bCs/>
                          <w:sz w:val="12"/>
                          <w:szCs w:val="12"/>
                        </w:rPr>
                        <w:t>iones</w:t>
                      </w:r>
                    </w:p>
                  </w:txbxContent>
                </v:textbox>
                <w10:wrap anchorx="margin"/>
              </v:shape>
            </w:pict>
          </mc:Fallback>
        </mc:AlternateContent>
      </w:r>
      <w:r w:rsidR="00231B75" w:rsidRPr="00C317D5">
        <w:rPr>
          <w:noProof/>
          <w:lang w:eastAsia="es-ES"/>
        </w:rPr>
        <mc:AlternateContent>
          <mc:Choice Requires="wps">
            <w:drawing>
              <wp:anchor distT="0" distB="0" distL="114300" distR="114300" simplePos="0" relativeHeight="251695104" behindDoc="0" locked="0" layoutInCell="1" allowOverlap="1" wp14:anchorId="0832511C" wp14:editId="0D5E5E57">
                <wp:simplePos x="0" y="0"/>
                <wp:positionH relativeFrom="margin">
                  <wp:posOffset>27635</wp:posOffset>
                </wp:positionH>
                <wp:positionV relativeFrom="paragraph">
                  <wp:posOffset>137160</wp:posOffset>
                </wp:positionV>
                <wp:extent cx="348018" cy="122830"/>
                <wp:effectExtent l="0" t="0" r="0" b="0"/>
                <wp:wrapNone/>
                <wp:docPr id="1668433344" name="Text Box 1668433344"/>
                <wp:cNvGraphicFramePr/>
                <a:graphic xmlns:a="http://schemas.openxmlformats.org/drawingml/2006/main">
                  <a:graphicData uri="http://schemas.microsoft.com/office/word/2010/wordprocessingShape">
                    <wps:wsp>
                      <wps:cNvSpPr txBox="1"/>
                      <wps:spPr>
                        <a:xfrm>
                          <a:off x="0" y="0"/>
                          <a:ext cx="348018" cy="122830"/>
                        </a:xfrm>
                        <a:prstGeom prst="rect">
                          <a:avLst/>
                        </a:prstGeom>
                        <a:solidFill>
                          <a:schemeClr val="lt1"/>
                        </a:solidFill>
                        <a:ln w="6350">
                          <a:noFill/>
                        </a:ln>
                      </wps:spPr>
                      <wps:txbx>
                        <w:txbxContent>
                          <w:p w14:paraId="64A46751" w14:textId="77EE6465" w:rsidR="00CF38BD" w:rsidRPr="00DF12FB" w:rsidRDefault="00CF38BD" w:rsidP="00231B75">
                            <w:pPr>
                              <w:spacing w:before="0"/>
                              <w:jc w:val="center"/>
                              <w:rPr>
                                <w:sz w:val="2"/>
                                <w:szCs w:val="2"/>
                                <w:lang w:val="fr-CH"/>
                              </w:rPr>
                            </w:pPr>
                            <w:r w:rsidRPr="00DF12FB">
                              <w:rPr>
                                <w:b/>
                                <w:bCs/>
                                <w:sz w:val="12"/>
                                <w:szCs w:val="12"/>
                              </w:rPr>
                              <w:t>Sect</w:t>
                            </w:r>
                            <w:r>
                              <w:rPr>
                                <w:b/>
                                <w:bCs/>
                                <w:sz w:val="12"/>
                                <w:szCs w:val="12"/>
                              </w:rPr>
                              <w:t>or  </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2511C" id="Text Box 1668433344" o:spid="_x0000_s1055" type="#_x0000_t202" style="position:absolute;left:0;text-align:left;margin-left:2.2pt;margin-top:10.8pt;width:27.4pt;height:9.6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qcQgIAAHoEAAAOAAAAZHJzL2Uyb0RvYy54bWysVMtu2zAQvBfoPxC8N5IfNVwjcuAmSFEg&#10;SALYRc40RcUEKC5L0pbSr++QtuI0vRW9UEvue2ZXl1d9a9hB+aDJVnx0UXKmrKRa2+eK/9jcfppz&#10;FqKwtTBkVcVfVOBXy48fLju3UGPakamVZwhiw6JzFd/F6BZFEeROtSJckFMWyoZ8KyKu/rmovegQ&#10;vTXFuCxnRUe+dp6kCgGvN0clX+b4TaNkfGiaoCIzFUdtMZ8+n9t0FstLsXj2wu20PJUh/qGKVmiL&#10;pK+hbkQUbO/1X6FaLT0FauKFpLagptFS5R7Qzah81816J5zKvQCc4F5hCv8vrLw/PHqma3A3m82n&#10;k8lkOuXMihZcbVQf2Vfq2RsV8OpcWMBt7eAYe+jhm3BM7wGPCYa+8W36okEGPZB/eUU7RZV4nEzn&#10;5QjjIaEajcfzSWajODs7H+I3RS1LQsU9yMwYi8NdiEgI08Ek5QpkdH2rjcmXNEDq2nh2EKDexFwi&#10;PP6wMpZ1FZ9NPpc5sKXkfoxsLBKcW0pS7Ld9hmr8Zeh3S/ULYPB0HKzg5K1GsXcixEfhMUnoHNsR&#10;H3A0hpBMGu0425H/9f4t2YFYaDjrMJEVDz/3wivOzHcLytP4DoIfhO0g2H17Teh0hH1zMotw8NEM&#10;YuOpfcKyrFIWqISVyFXxOIjX8bgXWDapVqtshCF1It7ZtZMpdEI2Qb7pn4R3J14iCL2nYVbF4h09&#10;R9vkaWm1j9TozF0C9IjeCWcMeKb0tIxpg97es9X5l7H8DQAA//8DAFBLAwQUAAYACAAAACEAtA+C&#10;/94AAAAGAQAADwAAAGRycy9kb3ducmV2LnhtbEyOzU7DMBCE70i8g7VIXBB1GoXQhjgVIHFAAiHa&#10;qudtbOLQeB1it015epYTHOdHM1+5GF0nDmYIrScF00kCwlDtdUuNgvXq6XoGIkQkjZ0no+BkAiyq&#10;87MSC+2P9G4Oy9gIHqFQoAIbY19IGWprHIaJ7w1x9uEHh5Hl0Eg94JHHXSfTJMmlw5b4wWJvHq2p&#10;d8u9UzA7Za9Xm/x289m9PT/Y7+aLXnao1OXFeH8HIpox/pXhF5/RoWKmrd+TDqJTkGVcVJBOcxAc&#10;38xTEFu2kznIqpT/8asfAAAA//8DAFBLAQItABQABgAIAAAAIQC2gziS/gAAAOEBAAATAAAAAAAA&#10;AAAAAAAAAAAAAABbQ29udGVudF9UeXBlc10ueG1sUEsBAi0AFAAGAAgAAAAhADj9If/WAAAAlAEA&#10;AAsAAAAAAAAAAAAAAAAALwEAAF9yZWxzLy5yZWxzUEsBAi0AFAAGAAgAAAAhAPMiWpxCAgAAegQA&#10;AA4AAAAAAAAAAAAAAAAALgIAAGRycy9lMm9Eb2MueG1sUEsBAi0AFAAGAAgAAAAhALQPgv/eAAAA&#10;BgEAAA8AAAAAAAAAAAAAAAAAnAQAAGRycy9kb3ducmV2LnhtbFBLBQYAAAAABAAEAPMAAACnBQAA&#10;AAA=&#10;" fillcolor="white [3201]" stroked="f" strokeweight=".5pt">
                <v:textbox inset="0,0,0,0">
                  <w:txbxContent>
                    <w:p w14:paraId="64A46751" w14:textId="77EE6465" w:rsidR="00CF38BD" w:rsidRPr="00DF12FB" w:rsidRDefault="00CF38BD" w:rsidP="00231B75">
                      <w:pPr>
                        <w:spacing w:before="0"/>
                        <w:jc w:val="center"/>
                        <w:rPr>
                          <w:sz w:val="2"/>
                          <w:szCs w:val="2"/>
                          <w:lang w:val="fr-CH"/>
                        </w:rPr>
                      </w:pPr>
                      <w:r w:rsidRPr="00DF12FB">
                        <w:rPr>
                          <w:b/>
                          <w:bCs/>
                          <w:sz w:val="12"/>
                          <w:szCs w:val="12"/>
                        </w:rPr>
                        <w:t>Sect</w:t>
                      </w:r>
                      <w:r>
                        <w:rPr>
                          <w:b/>
                          <w:bCs/>
                          <w:sz w:val="12"/>
                          <w:szCs w:val="12"/>
                        </w:rPr>
                        <w:t>or  </w:t>
                      </w:r>
                    </w:p>
                  </w:txbxContent>
                </v:textbox>
                <w10:wrap anchorx="margin"/>
              </v:shape>
            </w:pict>
          </mc:Fallback>
        </mc:AlternateContent>
      </w:r>
      <w:r w:rsidR="00231B75" w:rsidRPr="00C317D5">
        <w:rPr>
          <w:noProof/>
          <w:lang w:eastAsia="es-ES"/>
        </w:rPr>
        <mc:AlternateContent>
          <mc:Choice Requires="wps">
            <w:drawing>
              <wp:anchor distT="0" distB="0" distL="114300" distR="114300" simplePos="0" relativeHeight="251696128" behindDoc="0" locked="0" layoutInCell="1" allowOverlap="1" wp14:anchorId="7855E7CC" wp14:editId="1DE1DE3D">
                <wp:simplePos x="0" y="0"/>
                <wp:positionH relativeFrom="margin">
                  <wp:posOffset>286943</wp:posOffset>
                </wp:positionH>
                <wp:positionV relativeFrom="paragraph">
                  <wp:posOffset>138989</wp:posOffset>
                </wp:positionV>
                <wp:extent cx="709295" cy="122555"/>
                <wp:effectExtent l="0" t="0" r="0" b="0"/>
                <wp:wrapNone/>
                <wp:docPr id="1668433345" name="Text Box 1668433345"/>
                <wp:cNvGraphicFramePr/>
                <a:graphic xmlns:a="http://schemas.openxmlformats.org/drawingml/2006/main">
                  <a:graphicData uri="http://schemas.microsoft.com/office/word/2010/wordprocessingShape">
                    <wps:wsp>
                      <wps:cNvSpPr txBox="1"/>
                      <wps:spPr>
                        <a:xfrm>
                          <a:off x="0" y="0"/>
                          <a:ext cx="709295" cy="122555"/>
                        </a:xfrm>
                        <a:prstGeom prst="rect">
                          <a:avLst/>
                        </a:prstGeom>
                        <a:solidFill>
                          <a:schemeClr val="lt1"/>
                        </a:solidFill>
                        <a:ln w="6350">
                          <a:noFill/>
                        </a:ln>
                      </wps:spPr>
                      <wps:txbx>
                        <w:txbxContent>
                          <w:p w14:paraId="681D9BC2" w14:textId="77777777" w:rsidR="00CF38BD" w:rsidRPr="00DE6B86" w:rsidRDefault="00CF38BD" w:rsidP="001A4C30">
                            <w:pPr>
                              <w:spacing w:before="0"/>
                              <w:ind w:left="57"/>
                              <w:jc w:val="center"/>
                              <w:rPr>
                                <w:sz w:val="2"/>
                                <w:szCs w:val="2"/>
                                <w:lang w:val="es-ES"/>
                              </w:rPr>
                            </w:pPr>
                            <w:r>
                              <w:rPr>
                                <w:b/>
                                <w:bCs/>
                                <w:sz w:val="12"/>
                                <w:szCs w:val="12"/>
                                <w:lang w:val="es-ES"/>
                              </w:rPr>
                              <w:t>Tipo de miembro</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5E7CC" id="Text Box 1668433345" o:spid="_x0000_s1057" type="#_x0000_t202" style="position:absolute;left:0;text-align:left;margin-left:22.6pt;margin-top:10.95pt;width:55.85pt;height:9.6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WdeQgIAAHoEAAAOAAAAZHJzL2Uyb0RvYy54bWysVN9v2jAQfp+0/8Hy+0iAwtqIUDEqpkmo&#10;rQRVn43jEEuOz7MNCfvrd3YIdOxt2ou53I/v7r67Y/bY1oochXUSdE6Hg5QSoTkUUu9z+rZdfbmn&#10;xHmmC6ZAi5yehKOP88+fZo3JxAgqUIWwBEG0yxqT08p7kyWJ45WomRuAERqNJdiaefy0+6SwrEH0&#10;WiWjNJ0mDdjCWODCOdQ+dUY6j/hlKbh/KUsnPFE5xdp8fG18d+FN5jOW7S0zleTnMtg/VFEzqTHp&#10;BeqJeUYOVv4FVUtuwUHpBxzqBMpSchF7wG6G6U03m4oZEXtBcpy50OT+Hyx/Pr5aIguc3XR6fzce&#10;j+8mlGhW46y2ovXkG7Tkgwn5aozLMGxjMNC3aMfYwGPQO1QGGtrS1uEXGyRoR+ZPF7YDKkfl1/Rh&#10;9IDJOJqGo9FkMgkoyTXYWOe/C6hJEHJqcZiRY3ZcO9+59i4hlwMli5VUKn6EBRJLZcmR4eiVjyUi&#10;+B9eSpMmp9PxJI3AGkJ4h6w01nJtKUi+3bWRqnHcm6DaQXFCGix0i+UMX0ksds2cf2UWNwk7x+vw&#10;L/iUCjAZV9JQUoH9dasLfjhYtFDS4Ebm1P08MCsoUT80jjysby/YXtj1gj7US8BOh3hvhkcRA6xX&#10;vVhaqN/xWBYhC5qY5pgrp74Xl767Czw2LhaL6IRLaphf643hATowGyjftu/MmvNcPA70GfpdZdnN&#10;eDrfEKlhcfBQyji7K3tnnnHB4/TPxxgu6ON39Lr+Zcx/AwAA//8DAFBLAwQUAAYACAAAACEA40uj&#10;qt8AAAAIAQAADwAAAGRycy9kb3ducmV2LnhtbEyPwU7DMAyG70i8Q2QkLoilrbYyStMJkDggMSEG&#10;2tlrQluWOKXJto6nxzvBzdb36/fncjE6K/ZmCJ0nBekkAWGo9rqjRsHH+9P1HESISBqtJ6PgaAIs&#10;qvOzEgvtD/Rm9qvYCC6hUKCCNsa+kDLUrXEYJr43xOzTDw4jr0Mj9YAHLndWZkmSS4cd8YUWe/PY&#10;mnq72jkF8+N0ebXOb9Zf9vX5of1pvulli0pdXoz3dyCiGeNfGE76rA4VO238jnQQVsF0lnFSQZbe&#10;gjjxWc7DhkGagaxK+f+B6hcAAP//AwBQSwECLQAUAAYACAAAACEAtoM4kv4AAADhAQAAEwAAAAAA&#10;AAAAAAAAAAAAAAAAW0NvbnRlbnRfVHlwZXNdLnhtbFBLAQItABQABgAIAAAAIQA4/SH/1gAAAJQB&#10;AAALAAAAAAAAAAAAAAAAAC8BAABfcmVscy8ucmVsc1BLAQItABQABgAIAAAAIQAXeWdeQgIAAHoE&#10;AAAOAAAAAAAAAAAAAAAAAC4CAABkcnMvZTJvRG9jLnhtbFBLAQItABQABgAIAAAAIQDjS6Oq3wAA&#10;AAgBAAAPAAAAAAAAAAAAAAAAAJwEAABkcnMvZG93bnJldi54bWxQSwUGAAAAAAQABADzAAAAqAUA&#10;AAAA&#10;" fillcolor="white [3201]" stroked="f" strokeweight=".5pt">
                <v:textbox inset="0,0,0,0">
                  <w:txbxContent>
                    <w:p w14:paraId="681D9BC2" w14:textId="77777777" w:rsidR="00CF38BD" w:rsidRPr="00DE6B86" w:rsidRDefault="00CF38BD" w:rsidP="001A4C30">
                      <w:pPr>
                        <w:spacing w:before="0"/>
                        <w:ind w:left="57"/>
                        <w:jc w:val="center"/>
                        <w:rPr>
                          <w:sz w:val="2"/>
                          <w:szCs w:val="2"/>
                          <w:lang w:val="es-ES"/>
                        </w:rPr>
                      </w:pPr>
                      <w:r>
                        <w:rPr>
                          <w:b/>
                          <w:bCs/>
                          <w:sz w:val="12"/>
                          <w:szCs w:val="12"/>
                          <w:lang w:val="es-ES"/>
                        </w:rPr>
                        <w:t>Tipo de miembro</w:t>
                      </w:r>
                    </w:p>
                  </w:txbxContent>
                </v:textbox>
                <w10:wrap anchorx="margin"/>
              </v:shape>
            </w:pict>
          </mc:Fallback>
        </mc:AlternateContent>
      </w:r>
      <w:r w:rsidR="00231B75" w:rsidRPr="00C317D5">
        <w:rPr>
          <w:noProof/>
          <w:lang w:eastAsia="es-ES"/>
        </w:rPr>
        <mc:AlternateContent>
          <mc:Choice Requires="wps">
            <w:drawing>
              <wp:anchor distT="0" distB="0" distL="114300" distR="114300" simplePos="0" relativeHeight="251699200" behindDoc="0" locked="0" layoutInCell="1" allowOverlap="1" wp14:anchorId="61CB8FFA" wp14:editId="595F62C1">
                <wp:simplePos x="0" y="0"/>
                <wp:positionH relativeFrom="margin">
                  <wp:posOffset>81419</wp:posOffset>
                </wp:positionH>
                <wp:positionV relativeFrom="paragraph">
                  <wp:posOffset>864296</wp:posOffset>
                </wp:positionV>
                <wp:extent cx="893929" cy="238836"/>
                <wp:effectExtent l="0" t="0" r="1905" b="8890"/>
                <wp:wrapNone/>
                <wp:docPr id="1668433346" name="Text Box 1668433346"/>
                <wp:cNvGraphicFramePr/>
                <a:graphic xmlns:a="http://schemas.openxmlformats.org/drawingml/2006/main">
                  <a:graphicData uri="http://schemas.microsoft.com/office/word/2010/wordprocessingShape">
                    <wps:wsp>
                      <wps:cNvSpPr txBox="1"/>
                      <wps:spPr>
                        <a:xfrm>
                          <a:off x="0" y="0"/>
                          <a:ext cx="893929" cy="238836"/>
                        </a:xfrm>
                        <a:prstGeom prst="rect">
                          <a:avLst/>
                        </a:prstGeom>
                        <a:solidFill>
                          <a:schemeClr val="lt1"/>
                        </a:solidFill>
                        <a:ln w="6350">
                          <a:noFill/>
                        </a:ln>
                      </wps:spPr>
                      <wps:txbx>
                        <w:txbxContent>
                          <w:p w14:paraId="34CD4857" w14:textId="77777777" w:rsidR="00CF38BD" w:rsidRPr="002071CF" w:rsidRDefault="00CF38BD" w:rsidP="00231B75">
                            <w:pPr>
                              <w:tabs>
                                <w:tab w:val="left" w:pos="426"/>
                              </w:tabs>
                              <w:spacing w:before="0"/>
                              <w:ind w:left="426" w:hanging="426"/>
                              <w:rPr>
                                <w:bCs/>
                                <w:sz w:val="12"/>
                                <w:szCs w:val="12"/>
                              </w:rPr>
                            </w:pPr>
                            <w:r w:rsidRPr="002071CF">
                              <w:rPr>
                                <w:bCs/>
                                <w:sz w:val="12"/>
                                <w:szCs w:val="12"/>
                              </w:rPr>
                              <w:t>UIT-D</w:t>
                            </w:r>
                            <w:r>
                              <w:rPr>
                                <w:b/>
                                <w:bCs/>
                                <w:sz w:val="12"/>
                                <w:szCs w:val="12"/>
                              </w:rPr>
                              <w:t xml:space="preserve">    </w:t>
                            </w:r>
                            <w:r w:rsidRPr="002071CF">
                              <w:rPr>
                                <w:bCs/>
                                <w:sz w:val="12"/>
                                <w:szCs w:val="12"/>
                              </w:rPr>
                              <w:t>M</w:t>
                            </w:r>
                            <w:r>
                              <w:rPr>
                                <w:bCs/>
                                <w:sz w:val="12"/>
                                <w:szCs w:val="12"/>
                              </w:rPr>
                              <w:t>iembro de Sector</w:t>
                            </w:r>
                            <w:r w:rsidRPr="002071CF">
                              <w:rPr>
                                <w:bCs/>
                                <w:sz w:val="12"/>
                                <w:szCs w:val="12"/>
                              </w:rPr>
                              <w:t xml:space="preserve"> </w:t>
                            </w:r>
                          </w:p>
                          <w:p w14:paraId="425D0B4B" w14:textId="77777777" w:rsidR="00CF38BD" w:rsidRPr="002071CF" w:rsidRDefault="00CF38BD" w:rsidP="003A12D0">
                            <w:pPr>
                              <w:tabs>
                                <w:tab w:val="left" w:pos="426"/>
                              </w:tabs>
                              <w:spacing w:before="80"/>
                              <w:jc w:val="right"/>
                              <w:rPr>
                                <w:bCs/>
                                <w:sz w:val="12"/>
                                <w:szCs w:val="12"/>
                              </w:rPr>
                            </w:pPr>
                            <w:r>
                              <w:rPr>
                                <w:bCs/>
                                <w:sz w:val="12"/>
                                <w:szCs w:val="12"/>
                              </w:rPr>
                              <w:tab/>
                            </w:r>
                            <w:r w:rsidRPr="002071CF">
                              <w:rPr>
                                <w:bCs/>
                                <w:sz w:val="12"/>
                                <w:szCs w:val="12"/>
                              </w:rPr>
                              <w:t>Asoci</w:t>
                            </w:r>
                            <w:r>
                              <w:rPr>
                                <w:bCs/>
                                <w:sz w:val="12"/>
                                <w:szCs w:val="12"/>
                              </w:rPr>
                              <w:t>ado</w:t>
                            </w:r>
                          </w:p>
                          <w:p w14:paraId="06872659" w14:textId="77777777" w:rsidR="00CF38BD" w:rsidRPr="00DF12FB" w:rsidRDefault="00CF38BD" w:rsidP="00231B75">
                            <w:pPr>
                              <w:spacing w:before="0"/>
                              <w:rPr>
                                <w:sz w:val="2"/>
                                <w:szCs w:val="2"/>
                                <w:lang w:val="fr-CH"/>
                              </w:rPr>
                            </w:pP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B8FFA" id="Text Box 1668433346" o:spid="_x0000_s1058" type="#_x0000_t202" style="position:absolute;left:0;text-align:left;margin-left:6.4pt;margin-top:68.05pt;width:70.4pt;height:18.8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TCNQwIAAHoEAAAOAAAAZHJzL2Uyb0RvYy54bWysVMGO2jAQvVfqP1i+lwDZIogIK8qKqhLa&#10;XQmqPRvHIZYcj2sbEvr1HTsEdumt6sVMPDPPM+/NMH9sa0VOwjoJOqejwZASoTkUUh9y+nO3/jKl&#10;xHmmC6ZAi5yehaOPi8+f5o3JxBgqUIWwBEG0yxqT08p7kyWJ45WomRuAERqdJdiaefy0h6SwrEH0&#10;WiXj4XCSNGALY4EL5/D2qXPSRcQvS8H9S1k64YnKKdbm42njuQ9nspiz7GCZqSS/lMH+oYqaSY2P&#10;XqGemGfkaOVfULXkFhyUfsChTqAsJRexB+xmNLzrZlsxI2IvSI4zV5rc/4Plz6dXS2SB2k0m04c0&#10;TR8mlGhWo1Y70XryDVryzoV8NcZlmLY1mOhb9GNu4DHcO7wMNLSlrcMvNkjQj8yfr2wHVI6X01k6&#10;G88o4egap9NpOgkoyS3ZWOe/C6hJMHJqUczIMTttnO9C+5DwlgMli7VUKn6EARIrZcmJofTKxxIR&#10;/EOU0qTJ6ST9OozAGkJ6h6w01nJrKVi+3beRqnTc97uH4ow0WOgGyxm+lljshjn/yixOEnaO2+Ff&#10;8CgV4GNcSUNJBfb3/V2IQ2HRQ0mDE5lT9+vIrKBE/dAoeRjf3rC9se8NfaxXgJ2OcN8MjyYmWK96&#10;s7RQv+GyLMMr6GKa41s59b258t1e4LJxsVzGIBxSw/xGbw0P0IHZQPmufWPWXHTxKOgz9LPKsjt5&#10;utiQqWF59FDKqF0gtGPvwjMOeFT/soxhg95/x6jbX8biDwAAAP//AwBQSwMEFAAGAAgAAAAhAArR&#10;827hAAAACgEAAA8AAABkcnMvZG93bnJldi54bWxMj0FPwzAMhe9I/IfISFwQS7dCO5WmEyBxQGJC&#10;DLSz14SmrHFKk20dvx7vBCf76T09fy4Xo+vE3gyh9aRgOklAGKq9bqlR8PH+dD0HESKSxs6TUXA0&#10;ARbV+VmJhfYHejP7VWwEl1AoUIGNsS+kDLU1DsPE94bY+/SDw8hyaKQe8MDlrpOzJMmkw5b4gsXe&#10;PFpTb1c7p2B+vFlerbN8/dW9Pj/Yn+abXrao1OXFeH8HIpox/oXhhM/oUDHTxu9IB9GxnjF55Jlm&#10;UxCnwG2agdjwkqc5yKqU/1+ofgEAAP//AwBQSwECLQAUAAYACAAAACEAtoM4kv4AAADhAQAAEwAA&#10;AAAAAAAAAAAAAAAAAAAAW0NvbnRlbnRfVHlwZXNdLnhtbFBLAQItABQABgAIAAAAIQA4/SH/1gAA&#10;AJQBAAALAAAAAAAAAAAAAAAAAC8BAABfcmVscy8ucmVsc1BLAQItABQABgAIAAAAIQDV0TCNQwIA&#10;AHoEAAAOAAAAAAAAAAAAAAAAAC4CAABkcnMvZTJvRG9jLnhtbFBLAQItABQABgAIAAAAIQAK0fNu&#10;4QAAAAoBAAAPAAAAAAAAAAAAAAAAAJ0EAABkcnMvZG93bnJldi54bWxQSwUGAAAAAAQABADzAAAA&#10;qwUAAAAA&#10;" fillcolor="white [3201]" stroked="f" strokeweight=".5pt">
                <v:textbox inset="0,0,0,0">
                  <w:txbxContent>
                    <w:p w14:paraId="34CD4857" w14:textId="77777777" w:rsidR="00CF38BD" w:rsidRPr="002071CF" w:rsidRDefault="00CF38BD" w:rsidP="00231B75">
                      <w:pPr>
                        <w:tabs>
                          <w:tab w:val="left" w:pos="426"/>
                        </w:tabs>
                        <w:spacing w:before="0"/>
                        <w:ind w:left="426" w:hanging="426"/>
                        <w:rPr>
                          <w:bCs/>
                          <w:sz w:val="12"/>
                          <w:szCs w:val="12"/>
                        </w:rPr>
                      </w:pPr>
                      <w:r w:rsidRPr="002071CF">
                        <w:rPr>
                          <w:bCs/>
                          <w:sz w:val="12"/>
                          <w:szCs w:val="12"/>
                        </w:rPr>
                        <w:t>UIT-D</w:t>
                      </w:r>
                      <w:r>
                        <w:rPr>
                          <w:b/>
                          <w:bCs/>
                          <w:sz w:val="12"/>
                          <w:szCs w:val="12"/>
                        </w:rPr>
                        <w:t xml:space="preserve">    </w:t>
                      </w:r>
                      <w:r w:rsidRPr="002071CF">
                        <w:rPr>
                          <w:bCs/>
                          <w:sz w:val="12"/>
                          <w:szCs w:val="12"/>
                        </w:rPr>
                        <w:t>M</w:t>
                      </w:r>
                      <w:r>
                        <w:rPr>
                          <w:bCs/>
                          <w:sz w:val="12"/>
                          <w:szCs w:val="12"/>
                        </w:rPr>
                        <w:t>iembro de Sector</w:t>
                      </w:r>
                      <w:r w:rsidRPr="002071CF">
                        <w:rPr>
                          <w:bCs/>
                          <w:sz w:val="12"/>
                          <w:szCs w:val="12"/>
                        </w:rPr>
                        <w:t xml:space="preserve"> </w:t>
                      </w:r>
                    </w:p>
                    <w:p w14:paraId="425D0B4B" w14:textId="77777777" w:rsidR="00CF38BD" w:rsidRPr="002071CF" w:rsidRDefault="00CF38BD" w:rsidP="003A12D0">
                      <w:pPr>
                        <w:tabs>
                          <w:tab w:val="left" w:pos="426"/>
                        </w:tabs>
                        <w:spacing w:before="80"/>
                        <w:jc w:val="right"/>
                        <w:rPr>
                          <w:bCs/>
                          <w:sz w:val="12"/>
                          <w:szCs w:val="12"/>
                        </w:rPr>
                      </w:pPr>
                      <w:r>
                        <w:rPr>
                          <w:bCs/>
                          <w:sz w:val="12"/>
                          <w:szCs w:val="12"/>
                        </w:rPr>
                        <w:tab/>
                      </w:r>
                      <w:r w:rsidRPr="002071CF">
                        <w:rPr>
                          <w:bCs/>
                          <w:sz w:val="12"/>
                          <w:szCs w:val="12"/>
                        </w:rPr>
                        <w:t>Asoci</w:t>
                      </w:r>
                      <w:r>
                        <w:rPr>
                          <w:bCs/>
                          <w:sz w:val="12"/>
                          <w:szCs w:val="12"/>
                        </w:rPr>
                        <w:t>ado</w:t>
                      </w:r>
                    </w:p>
                    <w:p w14:paraId="06872659" w14:textId="77777777" w:rsidR="00CF38BD" w:rsidRPr="00DF12FB" w:rsidRDefault="00CF38BD" w:rsidP="00231B75">
                      <w:pPr>
                        <w:spacing w:before="0"/>
                        <w:rPr>
                          <w:sz w:val="2"/>
                          <w:szCs w:val="2"/>
                          <w:lang w:val="fr-CH"/>
                        </w:rPr>
                      </w:pPr>
                    </w:p>
                  </w:txbxContent>
                </v:textbox>
                <w10:wrap anchorx="margin"/>
              </v:shape>
            </w:pict>
          </mc:Fallback>
        </mc:AlternateContent>
      </w:r>
      <w:r w:rsidR="00231B75" w:rsidRPr="00C317D5">
        <w:rPr>
          <w:noProof/>
          <w:lang w:eastAsia="es-ES"/>
        </w:rPr>
        <mc:AlternateContent>
          <mc:Choice Requires="wps">
            <w:drawing>
              <wp:anchor distT="0" distB="0" distL="114300" distR="114300" simplePos="0" relativeHeight="251698176" behindDoc="0" locked="0" layoutInCell="1" allowOverlap="1" wp14:anchorId="3B5C6666" wp14:editId="62D11A30">
                <wp:simplePos x="0" y="0"/>
                <wp:positionH relativeFrom="margin">
                  <wp:posOffset>81419</wp:posOffset>
                </wp:positionH>
                <wp:positionV relativeFrom="paragraph">
                  <wp:posOffset>551145</wp:posOffset>
                </wp:positionV>
                <wp:extent cx="893929" cy="238836"/>
                <wp:effectExtent l="0" t="0" r="1905" b="8890"/>
                <wp:wrapNone/>
                <wp:docPr id="1668433347" name="Text Box 1668433347"/>
                <wp:cNvGraphicFramePr/>
                <a:graphic xmlns:a="http://schemas.openxmlformats.org/drawingml/2006/main">
                  <a:graphicData uri="http://schemas.microsoft.com/office/word/2010/wordprocessingShape">
                    <wps:wsp>
                      <wps:cNvSpPr txBox="1"/>
                      <wps:spPr>
                        <a:xfrm>
                          <a:off x="0" y="0"/>
                          <a:ext cx="893929" cy="238836"/>
                        </a:xfrm>
                        <a:prstGeom prst="rect">
                          <a:avLst/>
                        </a:prstGeom>
                        <a:solidFill>
                          <a:schemeClr val="lt1"/>
                        </a:solidFill>
                        <a:ln w="6350">
                          <a:noFill/>
                        </a:ln>
                      </wps:spPr>
                      <wps:txbx>
                        <w:txbxContent>
                          <w:p w14:paraId="134CE46D" w14:textId="77777777" w:rsidR="00CF38BD" w:rsidRPr="002071CF" w:rsidRDefault="00CF38BD" w:rsidP="00231B75">
                            <w:pPr>
                              <w:tabs>
                                <w:tab w:val="left" w:pos="426"/>
                              </w:tabs>
                              <w:spacing w:before="0"/>
                              <w:ind w:left="426" w:hanging="426"/>
                              <w:rPr>
                                <w:bCs/>
                                <w:sz w:val="12"/>
                                <w:szCs w:val="12"/>
                              </w:rPr>
                            </w:pPr>
                            <w:r w:rsidRPr="002071CF">
                              <w:rPr>
                                <w:bCs/>
                                <w:sz w:val="12"/>
                                <w:szCs w:val="12"/>
                              </w:rPr>
                              <w:t>UIT-T</w:t>
                            </w:r>
                            <w:r>
                              <w:rPr>
                                <w:b/>
                                <w:bCs/>
                                <w:sz w:val="12"/>
                                <w:szCs w:val="12"/>
                              </w:rPr>
                              <w:t xml:space="preserve">    </w:t>
                            </w:r>
                            <w:r w:rsidRPr="002071CF">
                              <w:rPr>
                                <w:bCs/>
                                <w:sz w:val="12"/>
                                <w:szCs w:val="12"/>
                              </w:rPr>
                              <w:t>M</w:t>
                            </w:r>
                            <w:r>
                              <w:rPr>
                                <w:bCs/>
                                <w:sz w:val="12"/>
                                <w:szCs w:val="12"/>
                              </w:rPr>
                              <w:t>iembro de Sector</w:t>
                            </w:r>
                          </w:p>
                          <w:p w14:paraId="07E3D609" w14:textId="77777777" w:rsidR="00CF38BD" w:rsidRPr="002071CF" w:rsidRDefault="00CF38BD" w:rsidP="003A12D0">
                            <w:pPr>
                              <w:tabs>
                                <w:tab w:val="left" w:pos="426"/>
                              </w:tabs>
                              <w:spacing w:before="80"/>
                              <w:jc w:val="right"/>
                              <w:rPr>
                                <w:bCs/>
                                <w:sz w:val="12"/>
                                <w:szCs w:val="12"/>
                              </w:rPr>
                            </w:pPr>
                            <w:r>
                              <w:rPr>
                                <w:bCs/>
                                <w:sz w:val="12"/>
                                <w:szCs w:val="12"/>
                              </w:rPr>
                              <w:tab/>
                            </w:r>
                            <w:r w:rsidRPr="002071CF">
                              <w:rPr>
                                <w:bCs/>
                                <w:sz w:val="12"/>
                                <w:szCs w:val="12"/>
                              </w:rPr>
                              <w:t>Asoci</w:t>
                            </w:r>
                            <w:r>
                              <w:rPr>
                                <w:bCs/>
                                <w:sz w:val="12"/>
                                <w:szCs w:val="12"/>
                              </w:rPr>
                              <w:t>ado</w:t>
                            </w:r>
                          </w:p>
                          <w:p w14:paraId="4A96BFBB" w14:textId="77777777" w:rsidR="00CF38BD" w:rsidRPr="00DF12FB" w:rsidRDefault="00CF38BD" w:rsidP="00231B75">
                            <w:pPr>
                              <w:spacing w:before="0"/>
                              <w:rPr>
                                <w:sz w:val="2"/>
                                <w:szCs w:val="2"/>
                                <w:lang w:val="fr-CH"/>
                              </w:rPr>
                            </w:pP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C6666" id="Text Box 1668433347" o:spid="_x0000_s1059" type="#_x0000_t202" style="position:absolute;left:0;text-align:left;margin-left:6.4pt;margin-top:43.4pt;width:70.4pt;height:18.8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MtQwIAAHoEAAAOAAAAZHJzL2Uyb0RvYy54bWysVMGO2jAQvVfqP1i+lwDZUogIK8qKqhLa&#10;XQmqPRvHIZYcj2sbEvr1HTsEtvRW9WImnpnnmfdmmD+2tSInYZ0EndPRYEiJ0BwKqQ85/bFbf5pS&#10;4jzTBVOgRU7PwtHHxccP88ZkYgwVqEJYgiDaZY3JaeW9yZLE8UrUzA3ACI3OEmzNPH7aQ1JY1iB6&#10;rZLxcDhJGrCFscCFc3j71DnpIuKXpeD+pSyd8ETlFGvz8bTx3IczWcxZdrDMVJJfymD/UEXNpMZH&#10;r1BPzDNytPIvqFpyCw5KP+BQJ1CWkovYA3YzGt51s62YEbEXJMeZK03u/8Hy59OrJbJA7SaT6UOa&#10;pg9fKNGsRq12ovXkK7TknQv5aozLMG1rMNG36MfcwGO4d3gZaGhLW4dfbJCgH5k/X9kOqBwvp7N0&#10;Np5RwtE1TqfTdBJQkluysc5/E1CTYOTUopiRY3baON+F9iHhLQdKFmupVPwIAyRWypITQ+mVjyUi&#10;+B9RSpMmp5P08zACawjpHbLSWMutpWD5dt9GqtK073cPxRlpsNANljN8LbHYDXP+lVmcJOwct8O/&#10;4FEqwMe4koaSCuyv+7sQh8Kih5IGJzKn7ueRWUGJ+q5R8jC+vWF7Y98b+livADsd4b4ZHk1MsF71&#10;ZmmhfsNlWYZX0MU0x7dy6ntz5bu9wGXjYrmMQTikhvmN3hoeoAOzgfJd+8asuejiUdBn6GeVZXfy&#10;dLEhU8Py6KGUUbtAaMfehWcc8Kj+ZRnDBr3/jlG3v4zFbwAAAP//AwBQSwMEFAAGAAgAAAAhAM3u&#10;3mDfAAAACQEAAA8AAABkcnMvZG93bnJldi54bWxMj8FOwzAMhu9IvENkJC5oSxmlTKXpBEgckJgQ&#10;G9o5a0xbljilybaOp8c9wcn69VufPxeLwVlxwD60nhRcTxMQSJU3LdUKPtbPkzmIEDUZbT2hghMG&#10;WJTnZ4XOjT/SOx5WsRYMoZBrBU2MXS5lqBp0Okx9h8Tdp++djhz7WppeHxnurJwlSSadbokvNLrD&#10;pwar3WrvFMxP6fJqk91tvuzby2PzU3/T604rdXkxPNyDiDjEv2UY9VkdSnba+j2ZICznGZtHZmU8&#10;x/72JgOxHYs0BVkW8v8H5S8AAAD//wMAUEsBAi0AFAAGAAgAAAAhALaDOJL+AAAA4QEAABMAAAAA&#10;AAAAAAAAAAAAAAAAAFtDb250ZW50X1R5cGVzXS54bWxQSwECLQAUAAYACAAAACEAOP0h/9YAAACU&#10;AQAACwAAAAAAAAAAAAAAAAAvAQAAX3JlbHMvLnJlbHNQSwECLQAUAAYACAAAACEAjU2DLUMCAAB6&#10;BAAADgAAAAAAAAAAAAAAAAAuAgAAZHJzL2Uyb0RvYy54bWxQSwECLQAUAAYACAAAACEAze7eYN8A&#10;AAAJAQAADwAAAAAAAAAAAAAAAACdBAAAZHJzL2Rvd25yZXYueG1sUEsFBgAAAAAEAAQA8wAAAKkF&#10;AAAAAA==&#10;" fillcolor="white [3201]" stroked="f" strokeweight=".5pt">
                <v:textbox inset="0,0,0,0">
                  <w:txbxContent>
                    <w:p w14:paraId="134CE46D" w14:textId="77777777" w:rsidR="00CF38BD" w:rsidRPr="002071CF" w:rsidRDefault="00CF38BD" w:rsidP="00231B75">
                      <w:pPr>
                        <w:tabs>
                          <w:tab w:val="left" w:pos="426"/>
                        </w:tabs>
                        <w:spacing w:before="0"/>
                        <w:ind w:left="426" w:hanging="426"/>
                        <w:rPr>
                          <w:bCs/>
                          <w:sz w:val="12"/>
                          <w:szCs w:val="12"/>
                        </w:rPr>
                      </w:pPr>
                      <w:r w:rsidRPr="002071CF">
                        <w:rPr>
                          <w:bCs/>
                          <w:sz w:val="12"/>
                          <w:szCs w:val="12"/>
                        </w:rPr>
                        <w:t>UIT-T</w:t>
                      </w:r>
                      <w:r>
                        <w:rPr>
                          <w:b/>
                          <w:bCs/>
                          <w:sz w:val="12"/>
                          <w:szCs w:val="12"/>
                        </w:rPr>
                        <w:t xml:space="preserve">    </w:t>
                      </w:r>
                      <w:r w:rsidRPr="002071CF">
                        <w:rPr>
                          <w:bCs/>
                          <w:sz w:val="12"/>
                          <w:szCs w:val="12"/>
                        </w:rPr>
                        <w:t>M</w:t>
                      </w:r>
                      <w:r>
                        <w:rPr>
                          <w:bCs/>
                          <w:sz w:val="12"/>
                          <w:szCs w:val="12"/>
                        </w:rPr>
                        <w:t>iembro de Sector</w:t>
                      </w:r>
                    </w:p>
                    <w:p w14:paraId="07E3D609" w14:textId="77777777" w:rsidR="00CF38BD" w:rsidRPr="002071CF" w:rsidRDefault="00CF38BD" w:rsidP="003A12D0">
                      <w:pPr>
                        <w:tabs>
                          <w:tab w:val="left" w:pos="426"/>
                        </w:tabs>
                        <w:spacing w:before="80"/>
                        <w:jc w:val="right"/>
                        <w:rPr>
                          <w:bCs/>
                          <w:sz w:val="12"/>
                          <w:szCs w:val="12"/>
                        </w:rPr>
                      </w:pPr>
                      <w:r>
                        <w:rPr>
                          <w:bCs/>
                          <w:sz w:val="12"/>
                          <w:szCs w:val="12"/>
                        </w:rPr>
                        <w:tab/>
                      </w:r>
                      <w:r w:rsidRPr="002071CF">
                        <w:rPr>
                          <w:bCs/>
                          <w:sz w:val="12"/>
                          <w:szCs w:val="12"/>
                        </w:rPr>
                        <w:t>Asoci</w:t>
                      </w:r>
                      <w:r>
                        <w:rPr>
                          <w:bCs/>
                          <w:sz w:val="12"/>
                          <w:szCs w:val="12"/>
                        </w:rPr>
                        <w:t>ado</w:t>
                      </w:r>
                    </w:p>
                    <w:p w14:paraId="4A96BFBB" w14:textId="77777777" w:rsidR="00CF38BD" w:rsidRPr="00DF12FB" w:rsidRDefault="00CF38BD" w:rsidP="00231B75">
                      <w:pPr>
                        <w:spacing w:before="0"/>
                        <w:rPr>
                          <w:sz w:val="2"/>
                          <w:szCs w:val="2"/>
                          <w:lang w:val="fr-CH"/>
                        </w:rPr>
                      </w:pPr>
                    </w:p>
                  </w:txbxContent>
                </v:textbox>
                <w10:wrap anchorx="margin"/>
              </v:shape>
            </w:pict>
          </mc:Fallback>
        </mc:AlternateContent>
      </w:r>
      <w:r w:rsidR="00231B75" w:rsidRPr="00C317D5">
        <w:rPr>
          <w:noProof/>
          <w:lang w:eastAsia="es-ES"/>
        </w:rPr>
        <mc:AlternateContent>
          <mc:Choice Requires="wps">
            <w:drawing>
              <wp:anchor distT="0" distB="0" distL="114300" distR="114300" simplePos="0" relativeHeight="251697152" behindDoc="0" locked="0" layoutInCell="1" allowOverlap="1" wp14:anchorId="0AE69A0D" wp14:editId="4BB0ACCE">
                <wp:simplePos x="0" y="0"/>
                <wp:positionH relativeFrom="margin">
                  <wp:posOffset>81419</wp:posOffset>
                </wp:positionH>
                <wp:positionV relativeFrom="paragraph">
                  <wp:posOffset>261107</wp:posOffset>
                </wp:positionV>
                <wp:extent cx="893929" cy="238836"/>
                <wp:effectExtent l="0" t="0" r="1905" b="8890"/>
                <wp:wrapNone/>
                <wp:docPr id="1668433348" name="Text Box 1668433348"/>
                <wp:cNvGraphicFramePr/>
                <a:graphic xmlns:a="http://schemas.openxmlformats.org/drawingml/2006/main">
                  <a:graphicData uri="http://schemas.microsoft.com/office/word/2010/wordprocessingShape">
                    <wps:wsp>
                      <wps:cNvSpPr txBox="1"/>
                      <wps:spPr>
                        <a:xfrm>
                          <a:off x="0" y="0"/>
                          <a:ext cx="893929" cy="238836"/>
                        </a:xfrm>
                        <a:prstGeom prst="rect">
                          <a:avLst/>
                        </a:prstGeom>
                        <a:solidFill>
                          <a:schemeClr val="lt1"/>
                        </a:solidFill>
                        <a:ln w="6350">
                          <a:noFill/>
                        </a:ln>
                      </wps:spPr>
                      <wps:txbx>
                        <w:txbxContent>
                          <w:p w14:paraId="66FAF1E9" w14:textId="77777777" w:rsidR="00CF38BD" w:rsidRPr="002071CF" w:rsidRDefault="00CF38BD" w:rsidP="00231B75">
                            <w:pPr>
                              <w:tabs>
                                <w:tab w:val="left" w:pos="426"/>
                              </w:tabs>
                              <w:spacing w:before="0"/>
                              <w:ind w:left="426" w:hanging="426"/>
                              <w:rPr>
                                <w:bCs/>
                                <w:sz w:val="12"/>
                                <w:szCs w:val="12"/>
                              </w:rPr>
                            </w:pPr>
                            <w:r w:rsidRPr="002071CF">
                              <w:rPr>
                                <w:bCs/>
                                <w:sz w:val="12"/>
                                <w:szCs w:val="12"/>
                              </w:rPr>
                              <w:t>UIT-R</w:t>
                            </w:r>
                            <w:r>
                              <w:rPr>
                                <w:b/>
                                <w:bCs/>
                                <w:sz w:val="12"/>
                                <w:szCs w:val="12"/>
                              </w:rPr>
                              <w:t xml:space="preserve">    </w:t>
                            </w:r>
                            <w:r w:rsidRPr="002071CF">
                              <w:rPr>
                                <w:bCs/>
                                <w:sz w:val="12"/>
                                <w:szCs w:val="12"/>
                              </w:rPr>
                              <w:t>M</w:t>
                            </w:r>
                            <w:r>
                              <w:rPr>
                                <w:bCs/>
                                <w:sz w:val="12"/>
                                <w:szCs w:val="12"/>
                              </w:rPr>
                              <w:t>iembro de Sector</w:t>
                            </w:r>
                          </w:p>
                          <w:p w14:paraId="441F5B86" w14:textId="77777777" w:rsidR="00CF38BD" w:rsidRPr="002071CF" w:rsidRDefault="00CF38BD" w:rsidP="003A12D0">
                            <w:pPr>
                              <w:tabs>
                                <w:tab w:val="left" w:pos="426"/>
                              </w:tabs>
                              <w:spacing w:before="80"/>
                              <w:jc w:val="right"/>
                              <w:rPr>
                                <w:bCs/>
                                <w:sz w:val="12"/>
                                <w:szCs w:val="12"/>
                              </w:rPr>
                            </w:pPr>
                            <w:r>
                              <w:rPr>
                                <w:bCs/>
                                <w:sz w:val="12"/>
                                <w:szCs w:val="12"/>
                              </w:rPr>
                              <w:tab/>
                            </w:r>
                            <w:r w:rsidRPr="002071CF">
                              <w:rPr>
                                <w:bCs/>
                                <w:sz w:val="12"/>
                                <w:szCs w:val="12"/>
                              </w:rPr>
                              <w:t>Asoci</w:t>
                            </w:r>
                            <w:r>
                              <w:rPr>
                                <w:bCs/>
                                <w:sz w:val="12"/>
                                <w:szCs w:val="12"/>
                              </w:rPr>
                              <w:t>ado</w:t>
                            </w:r>
                          </w:p>
                          <w:p w14:paraId="02070265" w14:textId="77777777" w:rsidR="00CF38BD" w:rsidRPr="00DF12FB" w:rsidRDefault="00CF38BD" w:rsidP="00231B75">
                            <w:pPr>
                              <w:spacing w:before="0"/>
                              <w:rPr>
                                <w:sz w:val="2"/>
                                <w:szCs w:val="2"/>
                                <w:lang w:val="fr-CH"/>
                              </w:rPr>
                            </w:pP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69A0D" id="Text Box 1668433348" o:spid="_x0000_s1060" type="#_x0000_t202" style="position:absolute;left:0;text-align:left;margin-left:6.4pt;margin-top:20.55pt;width:70.4pt;height:18.8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KWTQgIAAHoEAAAOAAAAZHJzL2Uyb0RvYy54bWysVMGO2jAQvVfqP1i+lwChCCLCirKiqoR2&#10;V4Jqz8ZxiCXH49qGhH59xw5Zdumt6sVMPDPPM+/NsHhoa0XOwjoJOqejwZASoTkUUh9z+nO/+TKj&#10;xHmmC6ZAi5xehKMPy8+fFo3JxBgqUIWwBEG0yxqT08p7kyWJ45WomRuAERqdJdiaefy0x6SwrEH0&#10;WiXj4XCaNGALY4EL5/D2sXPSZcQvS8H9c1k64YnKKdbm42njeQhnslyw7GiZqSS/lsH+oYqaSY2P&#10;vkE9Ms/Iycq/oGrJLTgo/YBDnUBZSi5iD9jNaHjXza5iRsRekBxn3mhy/w+WP51fLJEFajedziZp&#10;mk5QMc1q1GovWk++QUveuZCvxrgM03YGE32LfswNPIZ7h5eBhra0dfjFBgn6kfnLG9sBlePlbJ7O&#10;x3NKOLrG6WyWTgNKcks21vnvAmoSjJxaFDNyzM5b57vQPiS85UDJYiOVih9hgMRaWXJmKL3ysUQE&#10;/xClNGlyOk2/DiOwhpDeISuNtdxaCpZvD22kKp30/R6guCANFrrBcoZvJBa7Zc6/MIuThJ3jdvhn&#10;PEoF+BhX0lBSgf19fxfiUFj0UNLgRObU/ToxKyhRPzRKHsa3N2xvHHpDn+o1YKcj3DfDo4kJ1qve&#10;LC3Ur7gsq/AKupjm+FZOfW+ufbcXuGxcrFYxCIfUML/VO8MDdGA2UL5vX5k1V108CvoE/ayy7E6e&#10;LjZkalidPJQyahcI7di78owDHtW/LmPYoPffMer2l7H8AwAA//8DAFBLAwQUAAYACAAAACEAphIw&#10;suAAAAAIAQAADwAAAGRycy9kb3ducmV2LnhtbEyPwU7DMBBE70j8g7VIXFDrpJQkCnEqQOKARIVo&#10;Uc/b2MSh9jrEbpvy9bgnOI5mNPOmWozWsIMafOdIQDpNgClqnOyoFfCxfp4UwHxAkmgcKQEn5WFR&#10;X15UWEp3pHd1WIWWxRLyJQrQIfQl577RyqKful5R9D7dYDFEObRcDniM5dbwWZJk3GJHcUFjr560&#10;anarvRVQnObLm02Wb77M28uj/mm/6XWHQlxfjQ/3wIIaw18YzvgRHerItHV7kp6ZqGeRPAiYpymw&#10;s393mwHbCsiLHHhd8f8H6l8AAAD//wMAUEsBAi0AFAAGAAgAAAAhALaDOJL+AAAA4QEAABMAAAAA&#10;AAAAAAAAAAAAAAAAAFtDb250ZW50X1R5cGVzXS54bWxQSwECLQAUAAYACAAAACEAOP0h/9YAAACU&#10;AQAACwAAAAAAAAAAAAAAAAAvAQAAX3JlbHMvLnJlbHNQSwECLQAUAAYACAAAACEAHzClk0ICAAB6&#10;BAAADgAAAAAAAAAAAAAAAAAuAgAAZHJzL2Uyb0RvYy54bWxQSwECLQAUAAYACAAAACEAphIwsuAA&#10;AAAIAQAADwAAAAAAAAAAAAAAAACcBAAAZHJzL2Rvd25yZXYueG1sUEsFBgAAAAAEAAQA8wAAAKkF&#10;AAAAAA==&#10;" fillcolor="white [3201]" stroked="f" strokeweight=".5pt">
                <v:textbox inset="0,0,0,0">
                  <w:txbxContent>
                    <w:p w14:paraId="66FAF1E9" w14:textId="77777777" w:rsidR="00CF38BD" w:rsidRPr="002071CF" w:rsidRDefault="00CF38BD" w:rsidP="00231B75">
                      <w:pPr>
                        <w:tabs>
                          <w:tab w:val="left" w:pos="426"/>
                        </w:tabs>
                        <w:spacing w:before="0"/>
                        <w:ind w:left="426" w:hanging="426"/>
                        <w:rPr>
                          <w:bCs/>
                          <w:sz w:val="12"/>
                          <w:szCs w:val="12"/>
                        </w:rPr>
                      </w:pPr>
                      <w:r w:rsidRPr="002071CF">
                        <w:rPr>
                          <w:bCs/>
                          <w:sz w:val="12"/>
                          <w:szCs w:val="12"/>
                        </w:rPr>
                        <w:t>UIT-R</w:t>
                      </w:r>
                      <w:r>
                        <w:rPr>
                          <w:b/>
                          <w:bCs/>
                          <w:sz w:val="12"/>
                          <w:szCs w:val="12"/>
                        </w:rPr>
                        <w:t xml:space="preserve">    </w:t>
                      </w:r>
                      <w:r w:rsidRPr="002071CF">
                        <w:rPr>
                          <w:bCs/>
                          <w:sz w:val="12"/>
                          <w:szCs w:val="12"/>
                        </w:rPr>
                        <w:t>M</w:t>
                      </w:r>
                      <w:r>
                        <w:rPr>
                          <w:bCs/>
                          <w:sz w:val="12"/>
                          <w:szCs w:val="12"/>
                        </w:rPr>
                        <w:t>iembro de Sector</w:t>
                      </w:r>
                    </w:p>
                    <w:p w14:paraId="441F5B86" w14:textId="77777777" w:rsidR="00CF38BD" w:rsidRPr="002071CF" w:rsidRDefault="00CF38BD" w:rsidP="003A12D0">
                      <w:pPr>
                        <w:tabs>
                          <w:tab w:val="left" w:pos="426"/>
                        </w:tabs>
                        <w:spacing w:before="80"/>
                        <w:jc w:val="right"/>
                        <w:rPr>
                          <w:bCs/>
                          <w:sz w:val="12"/>
                          <w:szCs w:val="12"/>
                        </w:rPr>
                      </w:pPr>
                      <w:r>
                        <w:rPr>
                          <w:bCs/>
                          <w:sz w:val="12"/>
                          <w:szCs w:val="12"/>
                        </w:rPr>
                        <w:tab/>
                      </w:r>
                      <w:r w:rsidRPr="002071CF">
                        <w:rPr>
                          <w:bCs/>
                          <w:sz w:val="12"/>
                          <w:szCs w:val="12"/>
                        </w:rPr>
                        <w:t>Asoci</w:t>
                      </w:r>
                      <w:r>
                        <w:rPr>
                          <w:bCs/>
                          <w:sz w:val="12"/>
                          <w:szCs w:val="12"/>
                        </w:rPr>
                        <w:t>ado</w:t>
                      </w:r>
                    </w:p>
                    <w:p w14:paraId="02070265" w14:textId="77777777" w:rsidR="00CF38BD" w:rsidRPr="00DF12FB" w:rsidRDefault="00CF38BD" w:rsidP="00231B75">
                      <w:pPr>
                        <w:spacing w:before="0"/>
                        <w:rPr>
                          <w:sz w:val="2"/>
                          <w:szCs w:val="2"/>
                          <w:lang w:val="fr-CH"/>
                        </w:rPr>
                      </w:pPr>
                    </w:p>
                  </w:txbxContent>
                </v:textbox>
                <w10:wrap anchorx="margin"/>
              </v:shape>
            </w:pict>
          </mc:Fallback>
        </mc:AlternateContent>
      </w:r>
      <w:r w:rsidR="00231B75" w:rsidRPr="00C317D5">
        <w:rPr>
          <w:noProof/>
          <w:lang w:eastAsia="es-ES"/>
        </w:rPr>
        <w:drawing>
          <wp:inline distT="0" distB="0" distL="0" distR="0" wp14:anchorId="53E22AA2" wp14:editId="268A73DA">
            <wp:extent cx="6120765" cy="1721465"/>
            <wp:effectExtent l="0" t="0" r="0" b="0"/>
            <wp:docPr id="1954842713" name="Picture 195484271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842713" name="Picture 1954842713" descr="Chart&#10;&#10;Description automatically generated with medium confidenc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120765" cy="1721465"/>
                    </a:xfrm>
                    <a:prstGeom prst="rect">
                      <a:avLst/>
                    </a:prstGeom>
                  </pic:spPr>
                </pic:pic>
              </a:graphicData>
            </a:graphic>
          </wp:inline>
        </w:drawing>
      </w:r>
    </w:p>
    <w:p w14:paraId="5F07C1BE" w14:textId="77777777" w:rsidR="00B27BCB" w:rsidRPr="00C317D5" w:rsidRDefault="00B27BCB" w:rsidP="00B27BCB">
      <w:pPr>
        <w:pStyle w:val="Heading3"/>
      </w:pPr>
      <w:r w:rsidRPr="00C317D5">
        <w:t>8.5.2</w:t>
      </w:r>
      <w:r w:rsidRPr="00C317D5">
        <w:tab/>
      </w:r>
      <w:bookmarkEnd w:id="103"/>
      <w:r w:rsidRPr="00C317D5">
        <w:t>Miembros</w:t>
      </w:r>
      <w:bookmarkEnd w:id="104"/>
      <w:r w:rsidRPr="00C317D5">
        <w:t xml:space="preserve"> del UIT-R</w:t>
      </w:r>
    </w:p>
    <w:p w14:paraId="47A08152" w14:textId="33EBB6C4" w:rsidR="00B27BCB" w:rsidRPr="00C317D5" w:rsidRDefault="00B27BCB" w:rsidP="00B27BCB">
      <w:pPr>
        <w:textAlignment w:val="auto"/>
      </w:pPr>
      <w:r w:rsidRPr="00C317D5">
        <w:t>En el Cuadro 8.5.2 se muestra la evolución del número de Miembros de Sector, Asociados e Instituciones Académicas del UIT-R durante el periodo comprendido entre 201</w:t>
      </w:r>
      <w:r w:rsidR="007F6CB8" w:rsidRPr="00C317D5">
        <w:t>8</w:t>
      </w:r>
      <w:r w:rsidRPr="00C317D5">
        <w:t xml:space="preserve"> y 202</w:t>
      </w:r>
      <w:r w:rsidR="007F6CB8" w:rsidRPr="00C317D5">
        <w:t>2</w:t>
      </w:r>
      <w:r w:rsidRPr="00C317D5">
        <w:t>.</w:t>
      </w:r>
    </w:p>
    <w:p w14:paraId="738E04D2" w14:textId="77777777" w:rsidR="00B27BCB" w:rsidRPr="00C317D5" w:rsidRDefault="00B27BCB" w:rsidP="00B27BCB">
      <w:pPr>
        <w:pStyle w:val="TableNoBR"/>
        <w:rPr>
          <w:caps w:val="0"/>
        </w:rPr>
      </w:pPr>
      <w:bookmarkStart w:id="105" w:name="lt_pId1398"/>
      <w:r w:rsidRPr="00C317D5">
        <w:t>CUADRO 8.5.2</w:t>
      </w:r>
      <w:bookmarkEnd w:id="105"/>
    </w:p>
    <w:p w14:paraId="2A5BEAEB" w14:textId="4D42F98A" w:rsidR="00B27BCB" w:rsidRPr="00C317D5" w:rsidRDefault="00B27BCB" w:rsidP="00B27BCB">
      <w:pPr>
        <w:pStyle w:val="TabletitleBR"/>
        <w:rPr>
          <w:b w:val="0"/>
        </w:rPr>
      </w:pPr>
      <w:r w:rsidRPr="00C317D5">
        <w:t>Evolución de los Miembros del UIT-R desde 201</w:t>
      </w:r>
      <w:r w:rsidR="00E02676" w:rsidRPr="00C317D5">
        <w:t>8</w:t>
      </w:r>
    </w:p>
    <w:tbl>
      <w:tblPr>
        <w:tblStyle w:val="GridTable5Dark-Accent111"/>
        <w:tblW w:w="9664" w:type="dxa"/>
        <w:jc w:val="center"/>
        <w:tblInd w:w="0" w:type="dxa"/>
        <w:tblLayout w:type="fixed"/>
        <w:tblLook w:val="04A0" w:firstRow="1" w:lastRow="0" w:firstColumn="1" w:lastColumn="0" w:noHBand="0" w:noVBand="1"/>
      </w:tblPr>
      <w:tblGrid>
        <w:gridCol w:w="1640"/>
        <w:gridCol w:w="992"/>
        <w:gridCol w:w="992"/>
        <w:gridCol w:w="992"/>
        <w:gridCol w:w="992"/>
        <w:gridCol w:w="992"/>
        <w:gridCol w:w="1417"/>
        <w:gridCol w:w="1647"/>
      </w:tblGrid>
      <w:tr w:rsidR="00B27BCB" w:rsidRPr="00C317D5" w14:paraId="239477BF" w14:textId="77777777" w:rsidTr="009C5E9D">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640" w:type="dxa"/>
            <w:tcBorders>
              <w:bottom w:val="single" w:sz="4" w:space="0" w:color="FFFFFF" w:themeColor="background1"/>
            </w:tcBorders>
            <w:noWrap/>
            <w:hideMark/>
          </w:tcPr>
          <w:p w14:paraId="23501250" w14:textId="77777777" w:rsidR="00B27BCB" w:rsidRPr="00C317D5" w:rsidRDefault="00B27BCB" w:rsidP="009D3A3D">
            <w:pPr>
              <w:pStyle w:val="Tablehead"/>
              <w:keepLines/>
              <w:rPr>
                <w:b/>
                <w:bCs w:val="0"/>
              </w:rPr>
            </w:pPr>
          </w:p>
        </w:tc>
        <w:tc>
          <w:tcPr>
            <w:tcW w:w="992" w:type="dxa"/>
            <w:tcBorders>
              <w:bottom w:val="single" w:sz="4" w:space="0" w:color="FFFFFF" w:themeColor="background1"/>
            </w:tcBorders>
            <w:noWrap/>
            <w:hideMark/>
          </w:tcPr>
          <w:p w14:paraId="51DB51D7" w14:textId="37CB192D" w:rsidR="00B27BCB" w:rsidRPr="00C317D5" w:rsidRDefault="00E02676" w:rsidP="009D3A3D">
            <w:pPr>
              <w:pStyle w:val="Tablehead"/>
              <w:keepLines/>
              <w:cnfStyle w:val="100000000000" w:firstRow="1" w:lastRow="0" w:firstColumn="0" w:lastColumn="0" w:oddVBand="0" w:evenVBand="0" w:oddHBand="0" w:evenHBand="0" w:firstRowFirstColumn="0" w:firstRowLastColumn="0" w:lastRowFirstColumn="0" w:lastRowLastColumn="0"/>
              <w:rPr>
                <w:b/>
                <w:bCs w:val="0"/>
                <w:sz w:val="20"/>
              </w:rPr>
            </w:pPr>
            <w:r w:rsidRPr="00C317D5">
              <w:rPr>
                <w:b/>
                <w:bCs w:val="0"/>
              </w:rPr>
              <w:t>2018</w:t>
            </w:r>
          </w:p>
        </w:tc>
        <w:tc>
          <w:tcPr>
            <w:tcW w:w="992" w:type="dxa"/>
            <w:tcBorders>
              <w:bottom w:val="single" w:sz="4" w:space="0" w:color="FFFFFF" w:themeColor="background1"/>
            </w:tcBorders>
            <w:noWrap/>
            <w:hideMark/>
          </w:tcPr>
          <w:p w14:paraId="65DF8995" w14:textId="3906230C" w:rsidR="00B27BCB" w:rsidRPr="00C317D5" w:rsidRDefault="00E02676" w:rsidP="009D3A3D">
            <w:pPr>
              <w:pStyle w:val="Tablehead"/>
              <w:keepLines/>
              <w:cnfStyle w:val="100000000000" w:firstRow="1" w:lastRow="0" w:firstColumn="0" w:lastColumn="0" w:oddVBand="0" w:evenVBand="0" w:oddHBand="0" w:evenHBand="0" w:firstRowFirstColumn="0" w:firstRowLastColumn="0" w:lastRowFirstColumn="0" w:lastRowLastColumn="0"/>
              <w:rPr>
                <w:b/>
                <w:bCs w:val="0"/>
                <w:sz w:val="20"/>
              </w:rPr>
            </w:pPr>
            <w:r w:rsidRPr="00C317D5">
              <w:rPr>
                <w:b/>
                <w:bCs w:val="0"/>
              </w:rPr>
              <w:t>2019</w:t>
            </w:r>
          </w:p>
        </w:tc>
        <w:tc>
          <w:tcPr>
            <w:tcW w:w="992" w:type="dxa"/>
            <w:tcBorders>
              <w:bottom w:val="single" w:sz="4" w:space="0" w:color="FFFFFF" w:themeColor="background1"/>
            </w:tcBorders>
            <w:noWrap/>
            <w:hideMark/>
          </w:tcPr>
          <w:p w14:paraId="4BAE0939" w14:textId="72BA4EF3" w:rsidR="00B27BCB" w:rsidRPr="00C317D5" w:rsidRDefault="00E02676" w:rsidP="009D3A3D">
            <w:pPr>
              <w:pStyle w:val="Tablehead"/>
              <w:keepLines/>
              <w:cnfStyle w:val="100000000000" w:firstRow="1" w:lastRow="0" w:firstColumn="0" w:lastColumn="0" w:oddVBand="0" w:evenVBand="0" w:oddHBand="0" w:evenHBand="0" w:firstRowFirstColumn="0" w:firstRowLastColumn="0" w:lastRowFirstColumn="0" w:lastRowLastColumn="0"/>
              <w:rPr>
                <w:b/>
                <w:bCs w:val="0"/>
                <w:sz w:val="20"/>
              </w:rPr>
            </w:pPr>
            <w:r w:rsidRPr="00C317D5">
              <w:rPr>
                <w:b/>
                <w:bCs w:val="0"/>
              </w:rPr>
              <w:t>2020</w:t>
            </w:r>
          </w:p>
        </w:tc>
        <w:tc>
          <w:tcPr>
            <w:tcW w:w="992" w:type="dxa"/>
            <w:tcBorders>
              <w:bottom w:val="single" w:sz="4" w:space="0" w:color="FFFFFF" w:themeColor="background1"/>
            </w:tcBorders>
            <w:hideMark/>
          </w:tcPr>
          <w:p w14:paraId="6EA49F5A" w14:textId="313F3EB9" w:rsidR="00B27BCB" w:rsidRPr="00C317D5" w:rsidRDefault="00E02676" w:rsidP="009D3A3D">
            <w:pPr>
              <w:pStyle w:val="Tablehead"/>
              <w:keepLines/>
              <w:cnfStyle w:val="100000000000" w:firstRow="1" w:lastRow="0" w:firstColumn="0" w:lastColumn="0" w:oddVBand="0" w:evenVBand="0" w:oddHBand="0" w:evenHBand="0" w:firstRowFirstColumn="0" w:firstRowLastColumn="0" w:lastRowFirstColumn="0" w:lastRowLastColumn="0"/>
              <w:rPr>
                <w:b/>
                <w:bCs w:val="0"/>
                <w:sz w:val="20"/>
              </w:rPr>
            </w:pPr>
            <w:r w:rsidRPr="00C317D5">
              <w:rPr>
                <w:b/>
                <w:bCs w:val="0"/>
              </w:rPr>
              <w:t>2021</w:t>
            </w:r>
          </w:p>
        </w:tc>
        <w:tc>
          <w:tcPr>
            <w:tcW w:w="992" w:type="dxa"/>
            <w:tcBorders>
              <w:bottom w:val="single" w:sz="4" w:space="0" w:color="FFFFFF" w:themeColor="background1"/>
            </w:tcBorders>
            <w:noWrap/>
            <w:hideMark/>
          </w:tcPr>
          <w:p w14:paraId="3C82431F" w14:textId="391A7799" w:rsidR="00B27BCB" w:rsidRPr="00C317D5" w:rsidRDefault="00E02676" w:rsidP="009D3A3D">
            <w:pPr>
              <w:pStyle w:val="Tablehead"/>
              <w:keepLines/>
              <w:cnfStyle w:val="100000000000" w:firstRow="1" w:lastRow="0" w:firstColumn="0" w:lastColumn="0" w:oddVBand="0" w:evenVBand="0" w:oddHBand="0" w:evenHBand="0" w:firstRowFirstColumn="0" w:firstRowLastColumn="0" w:lastRowFirstColumn="0" w:lastRowLastColumn="0"/>
              <w:rPr>
                <w:b/>
                <w:bCs w:val="0"/>
                <w:sz w:val="20"/>
              </w:rPr>
            </w:pPr>
            <w:r w:rsidRPr="00C317D5">
              <w:rPr>
                <w:b/>
                <w:bCs w:val="0"/>
              </w:rPr>
              <w:t>2022</w:t>
            </w:r>
          </w:p>
        </w:tc>
        <w:tc>
          <w:tcPr>
            <w:tcW w:w="1417" w:type="dxa"/>
            <w:tcBorders>
              <w:bottom w:val="single" w:sz="4" w:space="0" w:color="FFFFFF" w:themeColor="background1"/>
            </w:tcBorders>
          </w:tcPr>
          <w:p w14:paraId="6C55C6D0" w14:textId="45DD9E0D" w:rsidR="00B27BCB" w:rsidRPr="00C317D5" w:rsidRDefault="00B27BCB" w:rsidP="009D3A3D">
            <w:pPr>
              <w:pStyle w:val="Tablehead"/>
              <w:keepLines/>
              <w:cnfStyle w:val="100000000000" w:firstRow="1" w:lastRow="0" w:firstColumn="0" w:lastColumn="0" w:oddVBand="0" w:evenVBand="0" w:oddHBand="0" w:evenHBand="0" w:firstRowFirstColumn="0" w:firstRowLastColumn="0" w:lastRowFirstColumn="0" w:lastRowLastColumn="0"/>
              <w:rPr>
                <w:b/>
                <w:bCs w:val="0"/>
              </w:rPr>
            </w:pPr>
            <w:r w:rsidRPr="00C317D5">
              <w:rPr>
                <w:b/>
                <w:bCs w:val="0"/>
              </w:rPr>
              <w:t>202</w:t>
            </w:r>
            <w:r w:rsidR="00E02676" w:rsidRPr="00C317D5">
              <w:rPr>
                <w:b/>
                <w:bCs w:val="0"/>
              </w:rPr>
              <w:t>2</w:t>
            </w:r>
            <w:r w:rsidRPr="00C317D5">
              <w:rPr>
                <w:b/>
                <w:bCs w:val="0"/>
              </w:rPr>
              <w:t xml:space="preserve"> vs 201</w:t>
            </w:r>
            <w:r w:rsidR="00E02676" w:rsidRPr="00C317D5">
              <w:rPr>
                <w:b/>
                <w:bCs w:val="0"/>
              </w:rPr>
              <w:t>8</w:t>
            </w:r>
          </w:p>
        </w:tc>
        <w:tc>
          <w:tcPr>
            <w:tcW w:w="1647" w:type="dxa"/>
            <w:tcBorders>
              <w:bottom w:val="single" w:sz="4" w:space="0" w:color="FFFFFF" w:themeColor="background1"/>
            </w:tcBorders>
            <w:noWrap/>
            <w:hideMark/>
          </w:tcPr>
          <w:p w14:paraId="31B90F80" w14:textId="77777777" w:rsidR="00B27BCB" w:rsidRPr="00C317D5" w:rsidRDefault="00B27BCB" w:rsidP="009D3A3D">
            <w:pPr>
              <w:pStyle w:val="Tablehead"/>
              <w:keepLines/>
              <w:cnfStyle w:val="100000000000" w:firstRow="1" w:lastRow="0" w:firstColumn="0" w:lastColumn="0" w:oddVBand="0" w:evenVBand="0" w:oddHBand="0" w:evenHBand="0" w:firstRowFirstColumn="0" w:firstRowLastColumn="0" w:lastRowFirstColumn="0" w:lastRowLastColumn="0"/>
              <w:rPr>
                <w:b/>
                <w:bCs w:val="0"/>
                <w:sz w:val="20"/>
              </w:rPr>
            </w:pPr>
            <w:r w:rsidRPr="00C317D5">
              <w:rPr>
                <w:b/>
                <w:bCs w:val="0"/>
              </w:rPr>
              <w:t>% de aumento</w:t>
            </w:r>
          </w:p>
        </w:tc>
      </w:tr>
      <w:tr w:rsidR="00E02676" w:rsidRPr="00C317D5" w14:paraId="2AA0DF57" w14:textId="77777777" w:rsidTr="005F5A3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40" w:type="dxa"/>
            <w:tcBorders>
              <w:top w:val="single" w:sz="4" w:space="0" w:color="FFFFFF" w:themeColor="background1"/>
              <w:bottom w:val="single" w:sz="4" w:space="0" w:color="FFFFFF" w:themeColor="background1"/>
              <w:right w:val="single" w:sz="4" w:space="0" w:color="FFFFFF" w:themeColor="background1"/>
            </w:tcBorders>
            <w:noWrap/>
            <w:hideMark/>
          </w:tcPr>
          <w:p w14:paraId="11C2907D" w14:textId="77777777" w:rsidR="00E02676" w:rsidRPr="00C317D5" w:rsidRDefault="00E02676" w:rsidP="009D3A3D">
            <w:pPr>
              <w:pStyle w:val="Tabletext"/>
              <w:keepNext/>
              <w:keepLines/>
              <w:rPr>
                <w:sz w:val="20"/>
              </w:rPr>
            </w:pPr>
            <w:r w:rsidRPr="00C317D5">
              <w:t>Miembros</w:t>
            </w:r>
            <w:r w:rsidRPr="00C317D5">
              <w:br/>
              <w:t>de Sector</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02DC46E" w14:textId="248540C6" w:rsidR="00E02676" w:rsidRPr="00C317D5" w:rsidRDefault="00E02676" w:rsidP="009D3A3D">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C317D5">
              <w:rPr>
                <w:color w:val="000000"/>
              </w:rPr>
              <w:t>264</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6D59292" w14:textId="1123C2D3" w:rsidR="00E02676" w:rsidRPr="00C317D5" w:rsidRDefault="00E02676" w:rsidP="009D3A3D">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C317D5">
              <w:rPr>
                <w:color w:val="000000"/>
              </w:rPr>
              <w:t>272</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A64A003" w14:textId="2B621499" w:rsidR="00E02676" w:rsidRPr="00C317D5" w:rsidRDefault="00E02676" w:rsidP="009D3A3D">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C317D5">
              <w:rPr>
                <w:color w:val="000000"/>
              </w:rPr>
              <w:t>275</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15B7D0A" w14:textId="26EB53C5" w:rsidR="00E02676" w:rsidRPr="00C317D5" w:rsidRDefault="00E02676" w:rsidP="009D3A3D">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C317D5">
              <w:rPr>
                <w:color w:val="000000"/>
              </w:rPr>
              <w:t>278</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DD8BC55" w14:textId="76481345" w:rsidR="00E02676" w:rsidRPr="00C317D5" w:rsidRDefault="00E02676" w:rsidP="009D3A3D">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C317D5">
              <w:rPr>
                <w:color w:val="000000" w:themeColor="text1"/>
              </w:rPr>
              <w:t>278</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BDB83C" w14:textId="27485AC9" w:rsidR="00E02676" w:rsidRPr="00C317D5" w:rsidRDefault="00E02676" w:rsidP="009D3A3D">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C317D5">
              <w:rPr>
                <w:color w:val="000000" w:themeColor="text1"/>
              </w:rPr>
              <w:t>14</w:t>
            </w:r>
          </w:p>
        </w:tc>
        <w:tc>
          <w:tcPr>
            <w:tcW w:w="16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F51A7D7" w14:textId="4EA42378" w:rsidR="00E02676" w:rsidRPr="00C317D5" w:rsidRDefault="00E02676" w:rsidP="009D3A3D">
            <w:pPr>
              <w:pStyle w:val="Tabletext"/>
              <w:keepNext/>
              <w:keepLines/>
              <w:jc w:val="center"/>
              <w:cnfStyle w:val="000000100000" w:firstRow="0" w:lastRow="0" w:firstColumn="0" w:lastColumn="0" w:oddVBand="0" w:evenVBand="0" w:oddHBand="1" w:evenHBand="0" w:firstRowFirstColumn="0" w:firstRowLastColumn="0" w:lastRowFirstColumn="0" w:lastRowLastColumn="0"/>
            </w:pPr>
            <w:r w:rsidRPr="00C317D5">
              <w:rPr>
                <w:color w:val="000000" w:themeColor="text1"/>
              </w:rPr>
              <w:t>5,3%</w:t>
            </w:r>
          </w:p>
        </w:tc>
      </w:tr>
      <w:tr w:rsidR="00E02676" w:rsidRPr="00C317D5" w14:paraId="16AB30F6" w14:textId="77777777" w:rsidTr="005F5A34">
        <w:trPr>
          <w:trHeight w:val="300"/>
          <w:jc w:val="center"/>
        </w:trPr>
        <w:tc>
          <w:tcPr>
            <w:cnfStyle w:val="001000000000" w:firstRow="0" w:lastRow="0" w:firstColumn="1" w:lastColumn="0" w:oddVBand="0" w:evenVBand="0" w:oddHBand="0" w:evenHBand="0" w:firstRowFirstColumn="0" w:firstRowLastColumn="0" w:lastRowFirstColumn="0" w:lastRowLastColumn="0"/>
            <w:tcW w:w="1640" w:type="dxa"/>
            <w:tcBorders>
              <w:top w:val="single" w:sz="4" w:space="0" w:color="FFFFFF" w:themeColor="background1"/>
              <w:bottom w:val="single" w:sz="4" w:space="0" w:color="FFFFFF" w:themeColor="background1"/>
              <w:right w:val="single" w:sz="4" w:space="0" w:color="FFFFFF" w:themeColor="background1"/>
            </w:tcBorders>
            <w:noWrap/>
            <w:hideMark/>
          </w:tcPr>
          <w:p w14:paraId="78A4C65F" w14:textId="77777777" w:rsidR="00E02676" w:rsidRPr="00C317D5" w:rsidRDefault="00E02676" w:rsidP="00E02676">
            <w:pPr>
              <w:pStyle w:val="Tabletext"/>
              <w:rPr>
                <w:sz w:val="20"/>
              </w:rPr>
            </w:pPr>
            <w:r w:rsidRPr="00C317D5">
              <w:t>Asociados</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45B2C6F" w14:textId="463E4210" w:rsidR="00E02676" w:rsidRPr="00C317D5" w:rsidRDefault="00E02676" w:rsidP="00E02676">
            <w:pPr>
              <w:pStyle w:val="Tabletext"/>
              <w:jc w:val="center"/>
              <w:cnfStyle w:val="000000000000" w:firstRow="0" w:lastRow="0" w:firstColumn="0" w:lastColumn="0" w:oddVBand="0" w:evenVBand="0" w:oddHBand="0" w:evenHBand="0" w:firstRowFirstColumn="0" w:firstRowLastColumn="0" w:lastRowFirstColumn="0" w:lastRowLastColumn="0"/>
            </w:pPr>
            <w:r w:rsidRPr="00C317D5">
              <w:rPr>
                <w:color w:val="000000"/>
              </w:rPr>
              <w:t>20</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8C49D55" w14:textId="0EE7AA5E" w:rsidR="00E02676" w:rsidRPr="00C317D5" w:rsidRDefault="00E02676" w:rsidP="00E02676">
            <w:pPr>
              <w:pStyle w:val="Tabletext"/>
              <w:jc w:val="center"/>
              <w:cnfStyle w:val="000000000000" w:firstRow="0" w:lastRow="0" w:firstColumn="0" w:lastColumn="0" w:oddVBand="0" w:evenVBand="0" w:oddHBand="0" w:evenHBand="0" w:firstRowFirstColumn="0" w:firstRowLastColumn="0" w:lastRowFirstColumn="0" w:lastRowLastColumn="0"/>
            </w:pPr>
            <w:r w:rsidRPr="00C317D5">
              <w:rPr>
                <w:color w:val="000000"/>
              </w:rPr>
              <w:t>21</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49D474C9" w14:textId="03160888" w:rsidR="00E02676" w:rsidRPr="00C317D5" w:rsidRDefault="00E02676" w:rsidP="00E02676">
            <w:pPr>
              <w:pStyle w:val="Tabletext"/>
              <w:jc w:val="center"/>
              <w:cnfStyle w:val="000000000000" w:firstRow="0" w:lastRow="0" w:firstColumn="0" w:lastColumn="0" w:oddVBand="0" w:evenVBand="0" w:oddHBand="0" w:evenHBand="0" w:firstRowFirstColumn="0" w:firstRowLastColumn="0" w:lastRowFirstColumn="0" w:lastRowLastColumn="0"/>
            </w:pPr>
            <w:r w:rsidRPr="00C317D5">
              <w:rPr>
                <w:color w:val="000000"/>
              </w:rPr>
              <w:t>22</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691119E" w14:textId="049EFB77" w:rsidR="00E02676" w:rsidRPr="00C317D5" w:rsidRDefault="00E02676" w:rsidP="00E02676">
            <w:pPr>
              <w:pStyle w:val="Tabletext"/>
              <w:jc w:val="center"/>
              <w:cnfStyle w:val="000000000000" w:firstRow="0" w:lastRow="0" w:firstColumn="0" w:lastColumn="0" w:oddVBand="0" w:evenVBand="0" w:oddHBand="0" w:evenHBand="0" w:firstRowFirstColumn="0" w:firstRowLastColumn="0" w:lastRowFirstColumn="0" w:lastRowLastColumn="0"/>
            </w:pPr>
            <w:r w:rsidRPr="00C317D5">
              <w:rPr>
                <w:color w:val="000000"/>
              </w:rPr>
              <w:t>28</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65DC8FE" w14:textId="01AE7931" w:rsidR="00E02676" w:rsidRPr="00C317D5" w:rsidRDefault="00E02676" w:rsidP="00E02676">
            <w:pPr>
              <w:pStyle w:val="Tabletext"/>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C317D5">
              <w:rPr>
                <w:color w:val="000000" w:themeColor="text1"/>
              </w:rPr>
              <w:t>38</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F49602" w14:textId="603B3067" w:rsidR="00E02676" w:rsidRPr="00C317D5" w:rsidRDefault="00E02676" w:rsidP="00E02676">
            <w:pPr>
              <w:pStyle w:val="Tabletext"/>
              <w:jc w:val="center"/>
              <w:cnfStyle w:val="000000000000" w:firstRow="0" w:lastRow="0" w:firstColumn="0" w:lastColumn="0" w:oddVBand="0" w:evenVBand="0" w:oddHBand="0" w:evenHBand="0" w:firstRowFirstColumn="0" w:firstRowLastColumn="0" w:lastRowFirstColumn="0" w:lastRowLastColumn="0"/>
            </w:pPr>
            <w:r w:rsidRPr="00C317D5">
              <w:rPr>
                <w:color w:val="000000" w:themeColor="text1"/>
              </w:rPr>
              <w:t>18</w:t>
            </w:r>
          </w:p>
        </w:tc>
        <w:tc>
          <w:tcPr>
            <w:tcW w:w="16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02BAD7C" w14:textId="38556810" w:rsidR="00E02676" w:rsidRPr="00C317D5" w:rsidRDefault="00E02676" w:rsidP="00E02676">
            <w:pPr>
              <w:pStyle w:val="Tabletext"/>
              <w:jc w:val="center"/>
              <w:cnfStyle w:val="000000000000" w:firstRow="0" w:lastRow="0" w:firstColumn="0" w:lastColumn="0" w:oddVBand="0" w:evenVBand="0" w:oddHBand="0" w:evenHBand="0" w:firstRowFirstColumn="0" w:firstRowLastColumn="0" w:lastRowFirstColumn="0" w:lastRowLastColumn="0"/>
            </w:pPr>
            <w:r w:rsidRPr="00C317D5">
              <w:rPr>
                <w:color w:val="000000" w:themeColor="text1"/>
              </w:rPr>
              <w:t>90%</w:t>
            </w:r>
          </w:p>
        </w:tc>
      </w:tr>
      <w:tr w:rsidR="00E02676" w:rsidRPr="00C317D5" w14:paraId="21B5CD0B" w14:textId="77777777" w:rsidTr="005F5A3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640" w:type="dxa"/>
            <w:tcBorders>
              <w:top w:val="single" w:sz="4" w:space="0" w:color="FFFFFF" w:themeColor="background1"/>
              <w:right w:val="single" w:sz="4" w:space="0" w:color="FFFFFF" w:themeColor="background1"/>
            </w:tcBorders>
            <w:noWrap/>
            <w:hideMark/>
          </w:tcPr>
          <w:p w14:paraId="408208B6" w14:textId="77777777" w:rsidR="00E02676" w:rsidRPr="00C317D5" w:rsidRDefault="00E02676" w:rsidP="00E02676">
            <w:pPr>
              <w:pStyle w:val="Tabletext"/>
              <w:rPr>
                <w:sz w:val="20"/>
              </w:rPr>
            </w:pPr>
            <w:bookmarkStart w:id="106" w:name="lt_pId1420"/>
            <w:r w:rsidRPr="00C317D5">
              <w:t>Instituciones Académicas*</w:t>
            </w:r>
            <w:bookmarkEnd w:id="106"/>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795028F" w14:textId="12F4ADF3" w:rsidR="00E02676" w:rsidRPr="00C317D5" w:rsidRDefault="00E02676" w:rsidP="00E02676">
            <w:pPr>
              <w:pStyle w:val="Tabletext"/>
              <w:jc w:val="center"/>
              <w:cnfStyle w:val="000000100000" w:firstRow="0" w:lastRow="0" w:firstColumn="0" w:lastColumn="0" w:oddVBand="0" w:evenVBand="0" w:oddHBand="1" w:evenHBand="0" w:firstRowFirstColumn="0" w:firstRowLastColumn="0" w:lastRowFirstColumn="0" w:lastRowLastColumn="0"/>
            </w:pPr>
            <w:r w:rsidRPr="00C317D5">
              <w:rPr>
                <w:color w:val="000000"/>
              </w:rPr>
              <w:t>147</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A901CFE" w14:textId="5DF9293C" w:rsidR="00E02676" w:rsidRPr="00C317D5" w:rsidRDefault="00E02676" w:rsidP="00E02676">
            <w:pPr>
              <w:pStyle w:val="Tabletext"/>
              <w:jc w:val="center"/>
              <w:cnfStyle w:val="000000100000" w:firstRow="0" w:lastRow="0" w:firstColumn="0" w:lastColumn="0" w:oddVBand="0" w:evenVBand="0" w:oddHBand="1" w:evenHBand="0" w:firstRowFirstColumn="0" w:firstRowLastColumn="0" w:lastRowFirstColumn="0" w:lastRowLastColumn="0"/>
            </w:pPr>
            <w:r w:rsidRPr="00C317D5">
              <w:rPr>
                <w:color w:val="000000"/>
              </w:rPr>
              <w:t>156</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5B4E51C" w14:textId="03D04049" w:rsidR="00E02676" w:rsidRPr="00C317D5" w:rsidRDefault="00E02676" w:rsidP="00E02676">
            <w:pPr>
              <w:pStyle w:val="Tabletext"/>
              <w:jc w:val="center"/>
              <w:cnfStyle w:val="000000100000" w:firstRow="0" w:lastRow="0" w:firstColumn="0" w:lastColumn="0" w:oddVBand="0" w:evenVBand="0" w:oddHBand="1" w:evenHBand="0" w:firstRowFirstColumn="0" w:firstRowLastColumn="0" w:lastRowFirstColumn="0" w:lastRowLastColumn="0"/>
            </w:pPr>
            <w:r w:rsidRPr="00C317D5">
              <w:rPr>
                <w:color w:val="000000"/>
              </w:rPr>
              <w:t>161</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7C63CCA" w14:textId="73C5F368" w:rsidR="00E02676" w:rsidRPr="00C317D5" w:rsidRDefault="00E02676" w:rsidP="00E02676">
            <w:pPr>
              <w:pStyle w:val="Tabletext"/>
              <w:jc w:val="center"/>
              <w:cnfStyle w:val="000000100000" w:firstRow="0" w:lastRow="0" w:firstColumn="0" w:lastColumn="0" w:oddVBand="0" w:evenVBand="0" w:oddHBand="1" w:evenHBand="0" w:firstRowFirstColumn="0" w:firstRowLastColumn="0" w:lastRowFirstColumn="0" w:lastRowLastColumn="0"/>
            </w:pPr>
            <w:r w:rsidRPr="00C317D5">
              <w:rPr>
                <w:color w:val="000000"/>
              </w:rPr>
              <w:t>161</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B16CE27" w14:textId="1D6BFBA2" w:rsidR="00E02676" w:rsidRPr="00C317D5" w:rsidRDefault="00E02676" w:rsidP="00E02676">
            <w:pPr>
              <w:pStyle w:val="Tabletext"/>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C317D5">
              <w:rPr>
                <w:color w:val="000000" w:themeColor="text1"/>
              </w:rPr>
              <w:t>171</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EF6D8F" w14:textId="4B5CC15D" w:rsidR="00E02676" w:rsidRPr="00C317D5" w:rsidRDefault="00E02676" w:rsidP="00E02676">
            <w:pPr>
              <w:pStyle w:val="Tabletext"/>
              <w:jc w:val="center"/>
              <w:cnfStyle w:val="000000100000" w:firstRow="0" w:lastRow="0" w:firstColumn="0" w:lastColumn="0" w:oddVBand="0" w:evenVBand="0" w:oddHBand="1" w:evenHBand="0" w:firstRowFirstColumn="0" w:firstRowLastColumn="0" w:lastRowFirstColumn="0" w:lastRowLastColumn="0"/>
            </w:pPr>
            <w:r w:rsidRPr="00C317D5">
              <w:rPr>
                <w:color w:val="000000" w:themeColor="text1"/>
              </w:rPr>
              <w:t>24</w:t>
            </w:r>
          </w:p>
        </w:tc>
        <w:tc>
          <w:tcPr>
            <w:tcW w:w="16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04AD40E" w14:textId="12BF2ED6" w:rsidR="00E02676" w:rsidRPr="00C317D5" w:rsidRDefault="00E02676" w:rsidP="00E02676">
            <w:pPr>
              <w:pStyle w:val="Tabletext"/>
              <w:jc w:val="center"/>
              <w:cnfStyle w:val="000000100000" w:firstRow="0" w:lastRow="0" w:firstColumn="0" w:lastColumn="0" w:oddVBand="0" w:evenVBand="0" w:oddHBand="1" w:evenHBand="0" w:firstRowFirstColumn="0" w:firstRowLastColumn="0" w:lastRowFirstColumn="0" w:lastRowLastColumn="0"/>
            </w:pPr>
            <w:r w:rsidRPr="00C317D5">
              <w:rPr>
                <w:color w:val="000000" w:themeColor="text1"/>
              </w:rPr>
              <w:t>16,33%</w:t>
            </w:r>
          </w:p>
        </w:tc>
      </w:tr>
    </w:tbl>
    <w:p w14:paraId="5687DC10" w14:textId="77777777" w:rsidR="00B27BCB" w:rsidRPr="00C317D5" w:rsidRDefault="00B27BCB" w:rsidP="009C5E9D">
      <w:pPr>
        <w:pStyle w:val="Tablelegend"/>
        <w:ind w:left="284" w:hanging="284"/>
      </w:pPr>
      <w:bookmarkStart w:id="107" w:name="lt_pId1427"/>
      <w:r w:rsidRPr="00C317D5">
        <w:t>*</w:t>
      </w:r>
      <w:r w:rsidRPr="00C317D5">
        <w:tab/>
      </w:r>
      <w:r w:rsidRPr="00C317D5">
        <w:rPr>
          <w:i/>
          <w:iCs/>
        </w:rPr>
        <w:t>De acuerdo con la decisión de la PP-14, las Instituciones Académicas son miembros de los tres Sectores de la UIT</w:t>
      </w:r>
      <w:r w:rsidRPr="00C317D5">
        <w:t>.</w:t>
      </w:r>
      <w:bookmarkEnd w:id="107"/>
    </w:p>
    <w:p w14:paraId="35122D13" w14:textId="77777777" w:rsidR="00B27BCB" w:rsidRPr="00C317D5" w:rsidRDefault="00B27BCB" w:rsidP="00B27BCB">
      <w:pPr>
        <w:pStyle w:val="Heading2"/>
      </w:pPr>
      <w:bookmarkStart w:id="108" w:name="_Toc19090143"/>
      <w:bookmarkStart w:id="109" w:name="_Toc20478070"/>
      <w:r w:rsidRPr="00C317D5">
        <w:t>8.6</w:t>
      </w:r>
      <w:r w:rsidRPr="00C317D5">
        <w:tab/>
      </w:r>
      <w:bookmarkEnd w:id="108"/>
      <w:r w:rsidRPr="00C317D5">
        <w:t>Comunicación y promoción</w:t>
      </w:r>
      <w:bookmarkEnd w:id="109"/>
    </w:p>
    <w:p w14:paraId="155814E3" w14:textId="045BFFC1" w:rsidR="00B27BCB" w:rsidRPr="00C317D5" w:rsidRDefault="00B27BCB" w:rsidP="00B27BCB">
      <w:pPr>
        <w:pStyle w:val="Heading3"/>
        <w:rPr>
          <w:i/>
          <w:iCs/>
        </w:rPr>
      </w:pPr>
      <w:r w:rsidRPr="00C317D5">
        <w:t>8.6.1</w:t>
      </w:r>
      <w:r w:rsidRPr="00C317D5">
        <w:tab/>
      </w:r>
      <w:bookmarkStart w:id="110" w:name="lt_pId1431"/>
      <w:r w:rsidRPr="00C317D5">
        <w:t>Sitio</w:t>
      </w:r>
      <w:r w:rsidR="00E02676" w:rsidRPr="00C317D5">
        <w:t>s</w:t>
      </w:r>
      <w:r w:rsidRPr="00C317D5">
        <w:t xml:space="preserve"> web</w:t>
      </w:r>
      <w:bookmarkEnd w:id="110"/>
      <w:r w:rsidR="00E02676" w:rsidRPr="00C317D5">
        <w:t xml:space="preserve"> y bases de datos</w:t>
      </w:r>
    </w:p>
    <w:p w14:paraId="1EF181B7" w14:textId="56EDE3A6" w:rsidR="00B27BCB" w:rsidRPr="00C317D5" w:rsidRDefault="00E02676" w:rsidP="00C317D5">
      <w:bookmarkStart w:id="111" w:name="lt_pId1432"/>
      <w:r w:rsidRPr="00C317D5">
        <w:t>El Equipo Web de la</w:t>
      </w:r>
      <w:r w:rsidR="00B27BCB" w:rsidRPr="00C317D5">
        <w:t xml:space="preserve"> BR </w:t>
      </w:r>
      <w:r w:rsidRPr="00C317D5">
        <w:t>(BRWeb) se ocupa de mantener y garantizar constantemente la actividad de los sitios web del UIT-R, incluidas las bases de datos y demás sistemas de gestión de la información conexos</w:t>
      </w:r>
      <w:bookmarkStart w:id="112" w:name="lt_pId1434"/>
      <w:bookmarkEnd w:id="111"/>
      <w:r w:rsidR="00B27BCB" w:rsidRPr="00C317D5">
        <w:t>.</w:t>
      </w:r>
      <w:bookmarkStart w:id="113" w:name="lt_pId1436"/>
      <w:bookmarkEnd w:id="112"/>
    </w:p>
    <w:p w14:paraId="7F434C0A" w14:textId="4B989E4D" w:rsidR="00E02676" w:rsidRPr="00C317D5" w:rsidRDefault="00E02676" w:rsidP="00C317D5">
      <w:r w:rsidRPr="00C317D5">
        <w:t>Desde el tercer trimestre de 2022 el centro de la atención lo ocupan el sitio web de la CMR-23 y las actividades y novedades conexas.</w:t>
      </w:r>
    </w:p>
    <w:p w14:paraId="38FDDF18" w14:textId="7FBB596E" w:rsidR="00E02676" w:rsidRPr="00C317D5" w:rsidRDefault="00E02676" w:rsidP="00B27BCB">
      <w:pPr>
        <w:textAlignment w:val="auto"/>
      </w:pPr>
      <w:r w:rsidRPr="00C317D5">
        <w:rPr>
          <w:b/>
          <w:bCs/>
        </w:rPr>
        <w:t>8.6.1.1</w:t>
      </w:r>
      <w:r w:rsidRPr="00C317D5">
        <w:rPr>
          <w:b/>
          <w:bCs/>
        </w:rPr>
        <w:tab/>
        <w:t>Nuevo sistema de gestión de contenidos (CMS) → WordPress</w:t>
      </w:r>
    </w:p>
    <w:p w14:paraId="0C504128" w14:textId="5184A154" w:rsidR="00E02676" w:rsidRPr="00C317D5" w:rsidRDefault="00E02676" w:rsidP="00E02676">
      <w:r w:rsidRPr="00C317D5">
        <w:t>Durante el cuarto trimestre de 2022 se publicaron en los seis idiomas oficiales de la Unión los siguientes sitios web en WordPress CMS:</w:t>
      </w:r>
    </w:p>
    <w:p w14:paraId="0EC0A168" w14:textId="27AFFF5B" w:rsidR="008C4900" w:rsidRPr="00C317D5" w:rsidRDefault="008C4900" w:rsidP="008C4900">
      <w:pPr>
        <w:pStyle w:val="enumlev1"/>
      </w:pPr>
      <w:r w:rsidRPr="00C317D5">
        <w:t>–</w:t>
      </w:r>
      <w:r w:rsidRPr="00C317D5">
        <w:tab/>
      </w:r>
      <w:hyperlink r:id="rId36" w:history="1">
        <w:r w:rsidRPr="00C317D5">
          <w:rPr>
            <w:rStyle w:val="Hyperlink"/>
          </w:rPr>
          <w:t>Sitio web de la CMR-23</w:t>
        </w:r>
      </w:hyperlink>
    </w:p>
    <w:p w14:paraId="07E27944" w14:textId="50ADDA77" w:rsidR="008C4900" w:rsidRPr="00C317D5" w:rsidRDefault="008C4900" w:rsidP="008C4900">
      <w:pPr>
        <w:pStyle w:val="enumlev1"/>
      </w:pPr>
      <w:r w:rsidRPr="00C317D5">
        <w:t>–</w:t>
      </w:r>
      <w:r w:rsidRPr="00C317D5">
        <w:tab/>
      </w:r>
      <w:hyperlink r:id="rId37" w:history="1">
        <w:r w:rsidRPr="00C317D5">
          <w:rPr>
            <w:rStyle w:val="Hyperlink"/>
          </w:rPr>
          <w:t>Sitio web de la AR-23</w:t>
        </w:r>
      </w:hyperlink>
    </w:p>
    <w:p w14:paraId="4573BA8A" w14:textId="201201FD" w:rsidR="00E02676" w:rsidRPr="00C317D5" w:rsidRDefault="008C4900" w:rsidP="008C4900">
      <w:pPr>
        <w:pStyle w:val="enumlev1"/>
      </w:pPr>
      <w:r w:rsidRPr="00C317D5">
        <w:t>–</w:t>
      </w:r>
      <w:r w:rsidRPr="00C317D5">
        <w:tab/>
      </w:r>
      <w:hyperlink r:id="rId38" w:history="1">
        <w:r w:rsidR="00E02676" w:rsidRPr="00C317D5">
          <w:rPr>
            <w:rStyle w:val="Hyperlink"/>
          </w:rPr>
          <w:t>SMR</w:t>
        </w:r>
      </w:hyperlink>
    </w:p>
    <w:p w14:paraId="03C8224B" w14:textId="37397ED0" w:rsidR="00E02676" w:rsidRPr="00C317D5" w:rsidRDefault="008C4900" w:rsidP="008C4900">
      <w:pPr>
        <w:pStyle w:val="enumlev1"/>
      </w:pPr>
      <w:r w:rsidRPr="00C317D5">
        <w:t>–</w:t>
      </w:r>
      <w:r w:rsidRPr="00C317D5">
        <w:tab/>
      </w:r>
      <w:hyperlink r:id="rId39" w:history="1">
        <w:r w:rsidR="00E02676" w:rsidRPr="00C317D5">
          <w:rPr>
            <w:rStyle w:val="Hyperlink"/>
          </w:rPr>
          <w:t>Red de Mujeres para la CMR-23 (NOW4WRC23)</w:t>
        </w:r>
      </w:hyperlink>
    </w:p>
    <w:p w14:paraId="2FD848C6" w14:textId="03EE7433" w:rsidR="00E02676" w:rsidRPr="00C317D5" w:rsidRDefault="00E02676" w:rsidP="00E02676">
      <w:r w:rsidRPr="00C317D5">
        <w:t>Estos sitios web se actualizan con el material y las informaciones pertinentes más recientes.</w:t>
      </w:r>
    </w:p>
    <w:bookmarkEnd w:id="113"/>
    <w:p w14:paraId="7F75335B" w14:textId="3023D6DA" w:rsidR="00E02676" w:rsidRPr="00C317D5" w:rsidRDefault="00E02676" w:rsidP="00E02676">
      <w:pPr>
        <w:pStyle w:val="Heading4"/>
      </w:pPr>
      <w:r w:rsidRPr="00C317D5">
        <w:lastRenderedPageBreak/>
        <w:t>8.6.1.2</w:t>
      </w:r>
      <w:r w:rsidRPr="00C317D5">
        <w:tab/>
        <w:t>Traducción</w:t>
      </w:r>
    </w:p>
    <w:p w14:paraId="4E402F95" w14:textId="53B1F36E" w:rsidR="00E02676" w:rsidRPr="00C317D5" w:rsidDel="0009410A" w:rsidRDefault="00DF76F1" w:rsidP="00E02676">
      <w:pPr>
        <w:spacing w:line="259" w:lineRule="auto"/>
        <w:rPr>
          <w:rFonts w:ascii="Calibri" w:eastAsia="Calibri" w:hAnsi="Calibri" w:cs="Calibri"/>
          <w:sz w:val="22"/>
          <w:szCs w:val="22"/>
        </w:rPr>
      </w:pPr>
      <w:r w:rsidRPr="00C317D5">
        <w:rPr>
          <w:szCs w:val="24"/>
        </w:rPr>
        <w:t>La disponibilidad en los seis idiomas oficiales de la UIT se refiere a las páginas principales de los distintos departamentos y temas (nivel 0) y de las páginas accesibles con un solo clic (nivel 1)</w:t>
      </w:r>
      <w:r w:rsidR="00E02676" w:rsidRPr="00C317D5">
        <w:rPr>
          <w:szCs w:val="24"/>
        </w:rPr>
        <w:t>.</w:t>
      </w:r>
    </w:p>
    <w:p w14:paraId="0F6E34FC" w14:textId="08843F77" w:rsidR="00E02676" w:rsidRPr="00C317D5" w:rsidDel="0009410A" w:rsidRDefault="00DF76F1" w:rsidP="00E02676">
      <w:pPr>
        <w:spacing w:line="259" w:lineRule="auto"/>
        <w:rPr>
          <w:rFonts w:ascii="Calibri" w:eastAsia="Calibri" w:hAnsi="Calibri" w:cs="Calibri"/>
          <w:sz w:val="22"/>
          <w:szCs w:val="22"/>
        </w:rPr>
      </w:pPr>
      <w:r w:rsidRPr="00C317D5">
        <w:t>Esta disponibilidad se acerca al</w:t>
      </w:r>
      <w:r w:rsidR="00E02676" w:rsidRPr="00C317D5">
        <w:t xml:space="preserve"> 70%, </w:t>
      </w:r>
      <w:r w:rsidRPr="00C317D5">
        <w:t>habida cuenta de que la mayor parte del 30% restante la conforman las páginas web de algunos eventos (por ejemplo, actividades/sesiones de la SG, talleres y eventos regionales, como el SRR), así como las páginas web de SSD (antiguamente sólo disponibles en inglés, francés y español, como las páginas de Publicaciones de la UIT en</w:t>
      </w:r>
      <w:r w:rsidR="00E02676" w:rsidRPr="00C317D5">
        <w:t xml:space="preserve"> DMS), </w:t>
      </w:r>
      <w:r w:rsidRPr="00C317D5">
        <w:t>que aún no se han traducido a los seis idiomas oficiales</w:t>
      </w:r>
      <w:r w:rsidR="00E02676" w:rsidRPr="00C317D5">
        <w:t>.</w:t>
      </w:r>
    </w:p>
    <w:p w14:paraId="770B0547" w14:textId="77777777" w:rsidR="00B27BCB" w:rsidRPr="00C317D5" w:rsidRDefault="00B27BCB" w:rsidP="00B27BCB">
      <w:pPr>
        <w:pStyle w:val="Heading3"/>
      </w:pPr>
      <w:r w:rsidRPr="00C317D5">
        <w:t>8.6.2</w:t>
      </w:r>
      <w:r w:rsidRPr="00C317D5">
        <w:tab/>
        <w:t>Promoción y relaciones con los medios</w:t>
      </w:r>
    </w:p>
    <w:p w14:paraId="7CD662EF" w14:textId="527148C9" w:rsidR="00B27BCB" w:rsidRPr="00C317D5" w:rsidRDefault="00B27BCB" w:rsidP="00B27BCB">
      <w:r w:rsidRPr="00C317D5">
        <w:t>Durante 202</w:t>
      </w:r>
      <w:r w:rsidR="00DF76F1" w:rsidRPr="00C317D5">
        <w:t>2</w:t>
      </w:r>
      <w:r w:rsidRPr="00C317D5">
        <w:t>, el objetivo principal de las comunicaciones de la BR ha estado centrado en las reuniones virtuales y los seminarios web de la BR y en la promoción de los trabajos de la Oficina en línea y a través de las redes sociales.</w:t>
      </w:r>
    </w:p>
    <w:p w14:paraId="75A9EF5D" w14:textId="0FA97EAD" w:rsidR="00B27BCB" w:rsidRPr="00C317D5" w:rsidRDefault="00DF76F1" w:rsidP="00B27BCB">
      <w:r w:rsidRPr="00C317D5">
        <w:rPr>
          <w:b/>
          <w:bCs/>
        </w:rPr>
        <w:t>Conferencia Mundial de Radiocomunicaciones de 2023</w:t>
      </w:r>
      <w:r w:rsidRPr="00C317D5">
        <w:t>:</w:t>
      </w:r>
      <w:r w:rsidR="001D0A3A" w:rsidRPr="00C317D5">
        <w:t xml:space="preserve"> </w:t>
      </w:r>
      <w:r w:rsidRPr="00C317D5">
        <w:t xml:space="preserve">La promoción de la Conferencia Mundial de Radiocomunicaciones (CMR-23) se inició en el tercer trimestre de 2022 con la presentación del logotipo y la imagen oficiales, diseñados en colaboración con el país anfitrión, Emiratos Árabes Unidos. Como complemento del lanzamiento se creó la plataforma WordPress </w:t>
      </w:r>
      <w:hyperlink r:id="rId40" w:history="1">
        <w:r w:rsidRPr="00C317D5">
          <w:rPr>
            <w:rStyle w:val="Hyperlink"/>
          </w:rPr>
          <w:t>Sala de Prensa de la CMR-23</w:t>
        </w:r>
      </w:hyperlink>
      <w:r w:rsidRPr="00C317D5">
        <w:t>, donde pueden encontrarse los últimos comunicados de prensa, artículos y ediciones especiales de Actualidades de la UIT sobre la CMR 2023, además de otros materiales e informaciones en los seis idiomas oficiales de las Naciones Unidas. Durante</w:t>
      </w:r>
      <w:r w:rsidRPr="00C317D5">
        <w:rPr>
          <w:szCs w:val="24"/>
        </w:rPr>
        <w:t xml:space="preserve"> 2022 la Oficina de Radiocomunicaciones publicó nueve</w:t>
      </w:r>
      <w:r w:rsidR="00B27BCB" w:rsidRPr="00C317D5">
        <w:t xml:space="preserve"> comunicados de prensa y comunicados </w:t>
      </w:r>
      <w:r w:rsidRPr="00C317D5">
        <w:t>a</w:t>
      </w:r>
      <w:r w:rsidR="00B27BCB" w:rsidRPr="00C317D5">
        <w:t xml:space="preserve"> los Miembros</w:t>
      </w:r>
      <w:r w:rsidRPr="00C317D5">
        <w:t>, entre los que se cuentan los siguientes:</w:t>
      </w:r>
    </w:p>
    <w:p w14:paraId="0F325AE4" w14:textId="38FD9839" w:rsidR="00DF76F1" w:rsidRPr="00C317D5" w:rsidRDefault="00DF76F1" w:rsidP="00DF76F1">
      <w:pPr>
        <w:spacing w:line="257" w:lineRule="auto"/>
        <w:rPr>
          <w:rFonts w:eastAsia="Calibri"/>
          <w:b/>
          <w:bCs/>
          <w:szCs w:val="24"/>
        </w:rPr>
      </w:pPr>
      <w:r w:rsidRPr="00C317D5">
        <w:rPr>
          <w:rFonts w:eastAsia="Calibri"/>
          <w:b/>
          <w:bCs/>
          <w:szCs w:val="24"/>
        </w:rPr>
        <w:t xml:space="preserve">Comunicados a los </w:t>
      </w:r>
      <w:r w:rsidR="00C317D5" w:rsidRPr="00C317D5">
        <w:rPr>
          <w:rFonts w:eastAsia="Calibri"/>
          <w:b/>
          <w:bCs/>
          <w:szCs w:val="24"/>
        </w:rPr>
        <w:t>miembros</w:t>
      </w:r>
    </w:p>
    <w:p w14:paraId="19D59D0B" w14:textId="11BD6CB7" w:rsidR="00DF76F1" w:rsidRPr="00C317D5" w:rsidRDefault="00AB5146" w:rsidP="00AB5146">
      <w:pPr>
        <w:pStyle w:val="enumlev1"/>
        <w:rPr>
          <w:rFonts w:eastAsia="Calibri"/>
        </w:rPr>
      </w:pPr>
      <w:r w:rsidRPr="00C317D5">
        <w:rPr>
          <w:rFonts w:eastAsia="Calibri"/>
          <w:color w:val="000000" w:themeColor="text1"/>
        </w:rPr>
        <w:t>•</w:t>
      </w:r>
      <w:r w:rsidRPr="00C317D5">
        <w:rPr>
          <w:rFonts w:eastAsia="Calibri"/>
          <w:color w:val="000000" w:themeColor="text1"/>
        </w:rPr>
        <w:tab/>
      </w:r>
      <w:r w:rsidR="0044336F" w:rsidRPr="00C317D5">
        <w:rPr>
          <w:rFonts w:eastAsia="Calibri"/>
          <w:color w:val="000000" w:themeColor="text1"/>
        </w:rPr>
        <w:t xml:space="preserve">Proyecto de optimización del Plan </w:t>
      </w:r>
      <w:r w:rsidR="00DF76F1" w:rsidRPr="00C317D5">
        <w:rPr>
          <w:rFonts w:eastAsia="Calibri"/>
          <w:color w:val="000000" w:themeColor="text1"/>
        </w:rPr>
        <w:t xml:space="preserve">GE84 </w:t>
      </w:r>
      <w:r w:rsidR="0044336F" w:rsidRPr="00C317D5">
        <w:rPr>
          <w:rFonts w:eastAsia="Calibri"/>
          <w:color w:val="000000" w:themeColor="text1"/>
        </w:rPr>
        <w:t>para África</w:t>
      </w:r>
      <w:r w:rsidR="00DF76F1" w:rsidRPr="00C317D5">
        <w:rPr>
          <w:rFonts w:eastAsia="Calibri"/>
          <w:color w:val="000000" w:themeColor="text1"/>
        </w:rPr>
        <w:t>:</w:t>
      </w:r>
      <w:r w:rsidR="00DF76F1" w:rsidRPr="00C317D5">
        <w:rPr>
          <w:rFonts w:eastAsia="Calibri"/>
        </w:rPr>
        <w:t xml:space="preserve"> </w:t>
      </w:r>
      <w:hyperlink r:id="rId41" w:history="1">
        <w:r w:rsidR="00DF76F1" w:rsidRPr="00C317D5">
          <w:rPr>
            <w:rStyle w:val="Hyperlink"/>
            <w:rFonts w:eastAsia="Calibri"/>
            <w:szCs w:val="24"/>
          </w:rPr>
          <w:t>N</w:t>
        </w:r>
        <w:r w:rsidR="0044336F" w:rsidRPr="00C317D5">
          <w:rPr>
            <w:rStyle w:val="Hyperlink"/>
            <w:rFonts w:eastAsia="Calibri"/>
            <w:szCs w:val="24"/>
          </w:rPr>
          <w:t>uevas frecuencias en</w:t>
        </w:r>
        <w:r w:rsidR="00DF76F1" w:rsidRPr="00C317D5">
          <w:rPr>
            <w:rStyle w:val="Hyperlink"/>
            <w:rFonts w:eastAsia="Calibri"/>
            <w:szCs w:val="24"/>
          </w:rPr>
          <w:t xml:space="preserve"> FM </w:t>
        </w:r>
        <w:r w:rsidR="0044336F" w:rsidRPr="00C317D5">
          <w:rPr>
            <w:rStyle w:val="Hyperlink"/>
            <w:rFonts w:eastAsia="Calibri"/>
            <w:szCs w:val="24"/>
          </w:rPr>
          <w:t>para expandir el alcance de la radio en Á</w:t>
        </w:r>
        <w:r w:rsidR="00DF76F1" w:rsidRPr="00C317D5">
          <w:rPr>
            <w:rStyle w:val="Hyperlink"/>
            <w:rFonts w:eastAsia="Calibri"/>
            <w:szCs w:val="24"/>
          </w:rPr>
          <w:t>frica</w:t>
        </w:r>
      </w:hyperlink>
    </w:p>
    <w:p w14:paraId="32F67C06" w14:textId="3B135C66" w:rsidR="00DF76F1" w:rsidRPr="00C317D5" w:rsidRDefault="00AB5146" w:rsidP="00AB5146">
      <w:pPr>
        <w:pStyle w:val="enumlev1"/>
        <w:rPr>
          <w:rFonts w:eastAsia="Calibri"/>
        </w:rPr>
      </w:pPr>
      <w:r w:rsidRPr="00C317D5">
        <w:rPr>
          <w:rFonts w:eastAsia="Calibri"/>
          <w:color w:val="000000" w:themeColor="text1"/>
        </w:rPr>
        <w:t>•</w:t>
      </w:r>
      <w:r w:rsidRPr="00C317D5">
        <w:rPr>
          <w:rFonts w:eastAsia="Calibri"/>
          <w:color w:val="000000" w:themeColor="text1"/>
        </w:rPr>
        <w:tab/>
      </w:r>
      <w:r w:rsidR="0044336F" w:rsidRPr="00C317D5">
        <w:rPr>
          <w:rFonts w:eastAsia="Calibri"/>
          <w:color w:val="000000" w:themeColor="text1"/>
          <w:szCs w:val="24"/>
        </w:rPr>
        <w:t>SRR Estados Árabes</w:t>
      </w:r>
      <w:r w:rsidR="00DF76F1" w:rsidRPr="00C317D5">
        <w:rPr>
          <w:rFonts w:eastAsia="Calibri"/>
          <w:color w:val="000000" w:themeColor="text1"/>
          <w:szCs w:val="24"/>
        </w:rPr>
        <w:t xml:space="preserve">: </w:t>
      </w:r>
      <w:hyperlink r:id="rId42" w:history="1">
        <w:r w:rsidR="0044336F" w:rsidRPr="00C317D5">
          <w:rPr>
            <w:rStyle w:val="Hyperlink"/>
            <w:rFonts w:eastAsia="Calibri"/>
            <w:szCs w:val="24"/>
          </w:rPr>
          <w:t>Los Estados Árabes ponen en práctica los resultados de la CMR-19</w:t>
        </w:r>
      </w:hyperlink>
    </w:p>
    <w:p w14:paraId="3500C188" w14:textId="70CC85E6" w:rsidR="00DF76F1" w:rsidRPr="00C317D5" w:rsidRDefault="00AB5146" w:rsidP="00AB5146">
      <w:pPr>
        <w:pStyle w:val="enumlev1"/>
        <w:rPr>
          <w:rFonts w:eastAsia="Calibri"/>
        </w:rPr>
      </w:pPr>
      <w:r w:rsidRPr="00C317D5">
        <w:rPr>
          <w:rFonts w:eastAsia="Calibri"/>
          <w:color w:val="000000" w:themeColor="text1"/>
        </w:rPr>
        <w:t>•</w:t>
      </w:r>
      <w:r w:rsidRPr="00C317D5">
        <w:rPr>
          <w:rFonts w:eastAsia="Calibri"/>
          <w:color w:val="000000" w:themeColor="text1"/>
        </w:rPr>
        <w:tab/>
      </w:r>
      <w:r w:rsidR="0044336F" w:rsidRPr="00C317D5">
        <w:rPr>
          <w:rFonts w:eastAsia="Calibri"/>
          <w:color w:val="000000" w:themeColor="text1"/>
          <w:szCs w:val="24"/>
        </w:rPr>
        <w:t>SRR</w:t>
      </w:r>
      <w:r w:rsidR="00DF76F1" w:rsidRPr="00C317D5">
        <w:rPr>
          <w:rFonts w:eastAsia="Calibri"/>
          <w:color w:val="000000" w:themeColor="text1"/>
          <w:szCs w:val="24"/>
        </w:rPr>
        <w:t xml:space="preserve"> Europ</w:t>
      </w:r>
      <w:r w:rsidR="0044336F" w:rsidRPr="00C317D5">
        <w:rPr>
          <w:rFonts w:eastAsia="Calibri"/>
          <w:color w:val="000000" w:themeColor="text1"/>
          <w:szCs w:val="24"/>
        </w:rPr>
        <w:t>a</w:t>
      </w:r>
      <w:r w:rsidR="00DF76F1" w:rsidRPr="00C317D5">
        <w:rPr>
          <w:rFonts w:eastAsia="Calibri"/>
          <w:color w:val="000000" w:themeColor="text1"/>
          <w:szCs w:val="24"/>
        </w:rPr>
        <w:t xml:space="preserve">: </w:t>
      </w:r>
      <w:hyperlink r:id="rId43" w:history="1">
        <w:r w:rsidR="00DF76F1" w:rsidRPr="00C317D5">
          <w:rPr>
            <w:rStyle w:val="Hyperlink"/>
            <w:rFonts w:eastAsia="Calibri"/>
            <w:szCs w:val="24"/>
          </w:rPr>
          <w:t>Europ</w:t>
        </w:r>
        <w:r w:rsidR="0044336F" w:rsidRPr="00C317D5">
          <w:rPr>
            <w:rStyle w:val="Hyperlink"/>
            <w:rFonts w:eastAsia="Calibri"/>
            <w:szCs w:val="24"/>
          </w:rPr>
          <w:t>a tiene por objeto aplicar eficazmente el espectro</w:t>
        </w:r>
      </w:hyperlink>
    </w:p>
    <w:p w14:paraId="790D3F97" w14:textId="7139C861" w:rsidR="00DF76F1" w:rsidRPr="00C317D5" w:rsidRDefault="00AB5146" w:rsidP="00AB5146">
      <w:pPr>
        <w:pStyle w:val="enumlev1"/>
        <w:rPr>
          <w:rFonts w:eastAsia="Calibri"/>
        </w:rPr>
      </w:pPr>
      <w:r w:rsidRPr="00C317D5">
        <w:rPr>
          <w:rFonts w:eastAsia="Calibri"/>
          <w:color w:val="000000" w:themeColor="text1"/>
        </w:rPr>
        <w:t>•</w:t>
      </w:r>
      <w:r w:rsidRPr="00C317D5">
        <w:rPr>
          <w:rFonts w:eastAsia="Calibri"/>
          <w:color w:val="000000" w:themeColor="text1"/>
        </w:rPr>
        <w:tab/>
      </w:r>
      <w:r w:rsidR="0044336F" w:rsidRPr="00C317D5">
        <w:rPr>
          <w:rFonts w:eastAsia="Calibri"/>
          <w:color w:val="000000" w:themeColor="text1"/>
          <w:szCs w:val="24"/>
        </w:rPr>
        <w:t>SMR</w:t>
      </w:r>
      <w:r w:rsidR="00DF76F1" w:rsidRPr="00C317D5">
        <w:rPr>
          <w:rFonts w:eastAsia="Calibri"/>
          <w:color w:val="000000" w:themeColor="text1"/>
          <w:szCs w:val="24"/>
        </w:rPr>
        <w:t xml:space="preserve">2022: </w:t>
      </w:r>
      <w:hyperlink r:id="rId44" w:history="1">
        <w:r w:rsidR="0044336F" w:rsidRPr="00C317D5">
          <w:rPr>
            <w:rStyle w:val="Hyperlink"/>
            <w:rFonts w:eastAsia="Calibri"/>
            <w:szCs w:val="24"/>
          </w:rPr>
          <w:t>El Seminario Mundial de Radiocomunicaciones pone de manifiesto la manera en que el Reglamento de Radiocomunicaciones de la UIT impulsa las comunicaciones mundiales</w:t>
        </w:r>
      </w:hyperlink>
    </w:p>
    <w:p w14:paraId="0C4D851C" w14:textId="2503C3EE" w:rsidR="00DF76F1" w:rsidRPr="00C317D5" w:rsidRDefault="00AB5146" w:rsidP="00AB5146">
      <w:pPr>
        <w:pStyle w:val="enumlev1"/>
        <w:rPr>
          <w:rFonts w:eastAsia="Calibri"/>
        </w:rPr>
      </w:pPr>
      <w:r w:rsidRPr="00C317D5">
        <w:rPr>
          <w:rFonts w:eastAsia="Calibri"/>
          <w:color w:val="000000" w:themeColor="text1"/>
        </w:rPr>
        <w:t>•</w:t>
      </w:r>
      <w:r w:rsidRPr="00C317D5">
        <w:rPr>
          <w:rFonts w:eastAsia="Calibri"/>
          <w:color w:val="000000" w:themeColor="text1"/>
        </w:rPr>
        <w:tab/>
      </w:r>
      <w:r w:rsidR="00DF76F1" w:rsidRPr="00C317D5">
        <w:rPr>
          <w:rFonts w:eastAsia="Calibri"/>
          <w:color w:val="000000" w:themeColor="text1"/>
          <w:szCs w:val="24"/>
        </w:rPr>
        <w:t>Con</w:t>
      </w:r>
      <w:r w:rsidR="0044336F" w:rsidRPr="00C317D5">
        <w:rPr>
          <w:rFonts w:eastAsia="Calibri"/>
          <w:color w:val="000000" w:themeColor="text1"/>
          <w:szCs w:val="24"/>
        </w:rPr>
        <w:t>ectar el mundo desde los cielos</w:t>
      </w:r>
      <w:r w:rsidR="00DF76F1" w:rsidRPr="00C317D5">
        <w:rPr>
          <w:rFonts w:eastAsia="Calibri"/>
          <w:color w:val="000000" w:themeColor="text1"/>
          <w:szCs w:val="24"/>
        </w:rPr>
        <w:t xml:space="preserve">: </w:t>
      </w:r>
      <w:hyperlink r:id="rId45" w:history="1">
        <w:r w:rsidR="0044336F" w:rsidRPr="00C317D5">
          <w:rPr>
            <w:rStyle w:val="Hyperlink"/>
            <w:rFonts w:eastAsia="Calibri"/>
            <w:szCs w:val="24"/>
          </w:rPr>
          <w:t>Las redes espaciales y aéreas son clave para llegar a los 2</w:t>
        </w:r>
        <w:r w:rsidR="001D0A3A" w:rsidRPr="00C317D5">
          <w:rPr>
            <w:rStyle w:val="Hyperlink"/>
            <w:rFonts w:eastAsia="Calibri"/>
            <w:szCs w:val="24"/>
          </w:rPr>
          <w:t> </w:t>
        </w:r>
        <w:r w:rsidR="0044336F" w:rsidRPr="00C317D5">
          <w:rPr>
            <w:rStyle w:val="Hyperlink"/>
            <w:rFonts w:eastAsia="Calibri"/>
            <w:szCs w:val="24"/>
          </w:rPr>
          <w:t>700 millones de personas que aún no están conectadas en todo el mundo</w:t>
        </w:r>
      </w:hyperlink>
    </w:p>
    <w:p w14:paraId="14F84363" w14:textId="50CE158E" w:rsidR="00DF76F1" w:rsidRPr="00C317D5" w:rsidRDefault="00AB5146" w:rsidP="00AB5146">
      <w:pPr>
        <w:pStyle w:val="enumlev1"/>
        <w:rPr>
          <w:rFonts w:eastAsia="Calibri"/>
          <w:b/>
          <w:bCs/>
          <w:color w:val="444444"/>
          <w:szCs w:val="24"/>
        </w:rPr>
      </w:pPr>
      <w:r w:rsidRPr="00C317D5">
        <w:rPr>
          <w:rFonts w:eastAsia="Calibri"/>
          <w:color w:val="000000" w:themeColor="text1"/>
        </w:rPr>
        <w:t>•</w:t>
      </w:r>
      <w:r w:rsidRPr="00C317D5">
        <w:rPr>
          <w:rFonts w:eastAsia="Calibri"/>
          <w:color w:val="000000" w:themeColor="text1"/>
        </w:rPr>
        <w:tab/>
      </w:r>
      <w:hyperlink r:id="rId46" w:history="1">
        <w:r w:rsidR="0044336F" w:rsidRPr="00C317D5">
          <w:rPr>
            <w:rStyle w:val="Hyperlink"/>
            <w:rFonts w:eastAsia="Calibri"/>
            <w:szCs w:val="24"/>
          </w:rPr>
          <w:t>Atribuciones de frecuencias y compartición del espectro en lo alto del orden del día de la Conferencia Mundial de Radiocomunicaciones de 2023</w:t>
        </w:r>
      </w:hyperlink>
    </w:p>
    <w:p w14:paraId="133DF9FF" w14:textId="5DB307AA" w:rsidR="00DF76F1" w:rsidRPr="00C317D5" w:rsidRDefault="0044336F" w:rsidP="00DF76F1">
      <w:pPr>
        <w:spacing w:line="257" w:lineRule="auto"/>
        <w:rPr>
          <w:rFonts w:eastAsia="Calibri"/>
          <w:b/>
          <w:bCs/>
          <w:color w:val="444444"/>
          <w:szCs w:val="24"/>
        </w:rPr>
      </w:pPr>
      <w:r w:rsidRPr="00C317D5">
        <w:rPr>
          <w:rFonts w:eastAsia="Calibri"/>
          <w:b/>
          <w:bCs/>
          <w:color w:val="444444"/>
          <w:szCs w:val="24"/>
        </w:rPr>
        <w:t>Comunicados de prensa</w:t>
      </w:r>
    </w:p>
    <w:p w14:paraId="4BAC549F" w14:textId="0D1DDA08" w:rsidR="00DF76F1" w:rsidRPr="00C317D5" w:rsidRDefault="00AB5146" w:rsidP="00AB5146">
      <w:pPr>
        <w:pStyle w:val="enumlev1"/>
        <w:rPr>
          <w:rFonts w:eastAsia="Calibri"/>
        </w:rPr>
      </w:pPr>
      <w:r w:rsidRPr="00C317D5">
        <w:rPr>
          <w:rFonts w:eastAsia="Calibri"/>
          <w:color w:val="000000" w:themeColor="text1"/>
        </w:rPr>
        <w:t>•</w:t>
      </w:r>
      <w:r w:rsidRPr="00C317D5">
        <w:rPr>
          <w:rFonts w:eastAsia="Calibri"/>
          <w:color w:val="000000" w:themeColor="text1"/>
        </w:rPr>
        <w:tab/>
      </w:r>
      <w:hyperlink r:id="rId47" w:history="1">
        <w:r w:rsidR="0044336F" w:rsidRPr="00C317D5">
          <w:rPr>
            <w:rStyle w:val="Hyperlink"/>
            <w:rFonts w:eastAsia="Calibri"/>
            <w:szCs w:val="24"/>
          </w:rPr>
          <w:t>Adición de una cuarta tecnología de interfaz radioeléctrica a las normas 5G</w:t>
        </w:r>
      </w:hyperlink>
    </w:p>
    <w:p w14:paraId="2D373F50" w14:textId="4D421888" w:rsidR="00DF76F1" w:rsidRPr="00C317D5" w:rsidRDefault="00AB5146" w:rsidP="00AB5146">
      <w:pPr>
        <w:pStyle w:val="enumlev1"/>
        <w:rPr>
          <w:rFonts w:eastAsia="Calibri"/>
        </w:rPr>
      </w:pPr>
      <w:r w:rsidRPr="00C317D5">
        <w:rPr>
          <w:rFonts w:eastAsia="Calibri"/>
          <w:color w:val="000000" w:themeColor="text1"/>
        </w:rPr>
        <w:t>•</w:t>
      </w:r>
      <w:r w:rsidRPr="00C317D5">
        <w:rPr>
          <w:rFonts w:eastAsia="Calibri"/>
          <w:color w:val="000000" w:themeColor="text1"/>
        </w:rPr>
        <w:tab/>
      </w:r>
      <w:hyperlink r:id="rId48" w:history="1">
        <w:r w:rsidR="0044336F" w:rsidRPr="00C317D5">
          <w:rPr>
            <w:rStyle w:val="Hyperlink"/>
            <w:rFonts w:eastAsia="Calibri"/>
            <w:szCs w:val="24"/>
          </w:rPr>
          <w:t>Los Emiratos Árabes Unidos celebrarán la Conferencia Mundial de Radiocomunicaciones del próximo año en Dubái</w:t>
        </w:r>
      </w:hyperlink>
    </w:p>
    <w:p w14:paraId="3B84BAF3" w14:textId="7BB3F903" w:rsidR="00DF76F1" w:rsidRPr="00C317D5" w:rsidRDefault="00AB5146" w:rsidP="00AB5146">
      <w:pPr>
        <w:pStyle w:val="enumlev1"/>
        <w:rPr>
          <w:rFonts w:eastAsia="Calibri"/>
        </w:rPr>
      </w:pPr>
      <w:r w:rsidRPr="00C317D5">
        <w:rPr>
          <w:rFonts w:eastAsia="Calibri"/>
          <w:color w:val="000000" w:themeColor="text1"/>
        </w:rPr>
        <w:t>•</w:t>
      </w:r>
      <w:r w:rsidRPr="00C317D5">
        <w:rPr>
          <w:rFonts w:eastAsia="Calibri"/>
          <w:color w:val="000000" w:themeColor="text1"/>
        </w:rPr>
        <w:tab/>
      </w:r>
      <w:hyperlink r:id="rId49" w:history="1">
        <w:r w:rsidR="0044336F" w:rsidRPr="00C317D5">
          <w:rPr>
            <w:rStyle w:val="Hyperlink"/>
            <w:rFonts w:eastAsia="Calibri"/>
            <w:szCs w:val="24"/>
          </w:rPr>
          <w:t>La UIT y los Emiratos Árabes Unidos firman un acuerdo de país anfitrión para la celebración de la Conferencia Mundial de Radiocomunicaciones de 2023 en Dubái</w:t>
        </w:r>
      </w:hyperlink>
    </w:p>
    <w:p w14:paraId="1A6C8BA5" w14:textId="5DF5E6AE" w:rsidR="00B27BCB" w:rsidRPr="00C317D5" w:rsidRDefault="00B27BCB" w:rsidP="00B27BCB">
      <w:r w:rsidRPr="00C317D5">
        <w:t xml:space="preserve">La Oficina también participó activamente en varios Días Internacionales de las Naciones Unidas que están directamente relacionados con la labor de la BR. Entre ellos figuran el Día Mundial de la Radio, el Día Internacional de las Mujeres y las Niñas en la Ciencia, el Día Meteorológico Mundial, el Día Internacional de los Vuelos Espaciales Tripulados, el Día Mundial de las </w:t>
      </w:r>
      <w:r w:rsidRPr="00C317D5">
        <w:lastRenderedPageBreak/>
        <w:t xml:space="preserve">Telecomunicaciones y la Sociedad de la Información, el Día Mundial de los Océanos, el Día Marítimo Mundial, </w:t>
      </w:r>
      <w:r w:rsidR="0044336F" w:rsidRPr="00C317D5">
        <w:t xml:space="preserve">el Día Internacional de la Luna, </w:t>
      </w:r>
      <w:r w:rsidRPr="00C317D5">
        <w:t xml:space="preserve">la Semana Mundial del Espacio, el Día Mundial de la Televisión, el Día Mundial de la Normalización y el Día de la Aviación Civil Internacional. El equipo de comunicación de la BR, en estrecha colaboración con los coordinadores, redactó artículos y blogs que fueron publicados en </w:t>
      </w:r>
      <w:r w:rsidRPr="00C317D5">
        <w:rPr>
          <w:i/>
          <w:iCs/>
        </w:rPr>
        <w:t>Actualidades de la UIT</w:t>
      </w:r>
      <w:r w:rsidRPr="00C317D5">
        <w:t xml:space="preserve"> y en Noticias ONU.</w:t>
      </w:r>
    </w:p>
    <w:p w14:paraId="5135FCFA" w14:textId="77777777" w:rsidR="00B27BCB" w:rsidRPr="00C317D5" w:rsidRDefault="00B27BCB" w:rsidP="00B27BCB">
      <w:pPr>
        <w:pStyle w:val="Heading4"/>
      </w:pPr>
      <w:bookmarkStart w:id="114" w:name="_Toc19090145"/>
      <w:bookmarkStart w:id="115" w:name="_Toc20478072"/>
      <w:r w:rsidRPr="00C317D5">
        <w:t>8.6.2.1</w:t>
      </w:r>
      <w:r w:rsidRPr="00C317D5">
        <w:tab/>
      </w:r>
      <w:bookmarkStart w:id="116" w:name="_Hlk34136563"/>
      <w:r w:rsidRPr="00C317D5">
        <w:t>Preguntas más frecuentes</w:t>
      </w:r>
      <w:bookmarkEnd w:id="116"/>
      <w:r w:rsidRPr="00C317D5">
        <w:t>,</w:t>
      </w:r>
      <w:bookmarkEnd w:id="114"/>
      <w:r w:rsidRPr="00C317D5">
        <w:t xml:space="preserve"> documentos de antecedentes</w:t>
      </w:r>
      <w:bookmarkEnd w:id="115"/>
      <w:r w:rsidRPr="00C317D5">
        <w:t xml:space="preserve"> y revista </w:t>
      </w:r>
      <w:r w:rsidRPr="00C317D5">
        <w:rPr>
          <w:i/>
          <w:iCs/>
        </w:rPr>
        <w:t>Actualidades de la UIT</w:t>
      </w:r>
    </w:p>
    <w:p w14:paraId="1F36D9F7" w14:textId="2C207DCC" w:rsidR="00B27BCB" w:rsidRPr="00C317D5" w:rsidRDefault="00B27BCB" w:rsidP="00B27BCB">
      <w:pPr>
        <w:textAlignment w:val="auto"/>
      </w:pPr>
      <w:bookmarkStart w:id="117" w:name="lt_pId1505"/>
      <w:r w:rsidRPr="00C317D5">
        <w:t>Durante 202</w:t>
      </w:r>
      <w:r w:rsidR="0044336F" w:rsidRPr="00C317D5">
        <w:t>2</w:t>
      </w:r>
      <w:r w:rsidRPr="00C317D5">
        <w:t xml:space="preserve"> se siguieron elaborando y manteniendo conjuntos de preguntas más frecuentes (FAQ), documentos de antecedentes para los medios, artículos, la revista </w:t>
      </w:r>
      <w:r w:rsidRPr="00C317D5">
        <w:rPr>
          <w:i/>
          <w:iCs/>
        </w:rPr>
        <w:t>Actualidades de la UIT</w:t>
      </w:r>
      <w:r w:rsidRPr="00C317D5">
        <w:t xml:space="preserve"> y otros recursos </w:t>
      </w:r>
      <w:bookmarkEnd w:id="117"/>
      <w:r w:rsidRPr="00C317D5">
        <w:t>que se indican a continuación:</w:t>
      </w:r>
    </w:p>
    <w:p w14:paraId="165495BA" w14:textId="77777777" w:rsidR="00B27BCB" w:rsidRPr="00C317D5" w:rsidRDefault="00B27BCB" w:rsidP="00B27BCB">
      <w:pPr>
        <w:textAlignment w:val="auto"/>
      </w:pPr>
      <w:bookmarkStart w:id="118" w:name="lt_pId1506"/>
      <w:r w:rsidRPr="00C317D5">
        <w:t>Preguntas más frecuentes:</w:t>
      </w:r>
      <w:bookmarkEnd w:id="118"/>
    </w:p>
    <w:p w14:paraId="4600AE80" w14:textId="2D94FC68" w:rsidR="00B27BCB" w:rsidRPr="00C317D5" w:rsidRDefault="00B27BCB" w:rsidP="00B27BCB">
      <w:pPr>
        <w:pStyle w:val="enumlev1"/>
      </w:pPr>
      <w:r w:rsidRPr="00C317D5">
        <w:t>–</w:t>
      </w:r>
      <w:r w:rsidRPr="00C317D5">
        <w:tab/>
      </w:r>
      <w:hyperlink r:id="rId50" w:history="1">
        <w:bookmarkStart w:id="119" w:name="_Hlk34647004"/>
        <w:r w:rsidRPr="00C317D5">
          <w:rPr>
            <w:color w:val="0000FF" w:themeColor="hyperlink"/>
            <w:u w:val="single"/>
          </w:rPr>
          <w:t>FAQ del UIT-R</w:t>
        </w:r>
        <w:bookmarkEnd w:id="119"/>
        <w:r w:rsidRPr="00C317D5">
          <w:rPr>
            <w:color w:val="0000FF" w:themeColor="hyperlink"/>
            <w:u w:val="single"/>
          </w:rPr>
          <w:t xml:space="preserve"> sobre escala de tiempo universal (UTC) – </w:t>
        </w:r>
        <w:r w:rsidR="00635B94" w:rsidRPr="00C317D5">
          <w:rPr>
            <w:color w:val="0000FF" w:themeColor="hyperlink"/>
            <w:u w:val="single"/>
          </w:rPr>
          <w:t xml:space="preserve">Segundo </w:t>
        </w:r>
        <w:r w:rsidRPr="00C317D5">
          <w:rPr>
            <w:color w:val="0000FF" w:themeColor="hyperlink"/>
            <w:u w:val="single"/>
          </w:rPr>
          <w:t>intercalar</w:t>
        </w:r>
      </w:hyperlink>
    </w:p>
    <w:p w14:paraId="23334B9A" w14:textId="77777777" w:rsidR="00B27BCB" w:rsidRPr="00C317D5" w:rsidRDefault="00B27BCB" w:rsidP="00B27BCB">
      <w:pPr>
        <w:pStyle w:val="enumlev1"/>
      </w:pPr>
      <w:bookmarkStart w:id="120" w:name="lt_pId1508"/>
      <w:r w:rsidRPr="00C317D5">
        <w:t>–</w:t>
      </w:r>
      <w:r w:rsidRPr="00C317D5">
        <w:tab/>
      </w:r>
      <w:hyperlink r:id="rId51" w:tgtFrame="_blank" w:history="1">
        <w:r w:rsidRPr="00C317D5">
          <w:rPr>
            <w:color w:val="0000FF" w:themeColor="hyperlink"/>
            <w:u w:val="single"/>
          </w:rPr>
          <w:t>FAQ del UIT-R sobre telecomunicaciones móviles internacionales (IMT)</w:t>
        </w:r>
      </w:hyperlink>
      <w:bookmarkEnd w:id="120"/>
    </w:p>
    <w:p w14:paraId="01E82A64" w14:textId="77777777" w:rsidR="00B27BCB" w:rsidRPr="00C317D5" w:rsidRDefault="00B27BCB" w:rsidP="00B27BCB">
      <w:pPr>
        <w:pStyle w:val="enumlev1"/>
      </w:pPr>
      <w:r w:rsidRPr="00C317D5">
        <w:t>–</w:t>
      </w:r>
      <w:r w:rsidRPr="00C317D5">
        <w:tab/>
      </w:r>
      <w:hyperlink r:id="rId52" w:tgtFrame="_blank" w:history="1">
        <w:bookmarkStart w:id="121" w:name="lt_pId1509"/>
        <w:r w:rsidRPr="00C317D5">
          <w:rPr>
            <w:color w:val="0000FF" w:themeColor="hyperlink"/>
            <w:u w:val="single"/>
          </w:rPr>
          <w:t xml:space="preserve">FAQ del UIT-R sobre el </w:t>
        </w:r>
        <w:bookmarkEnd w:id="121"/>
        <w:r w:rsidRPr="00C317D5">
          <w:rPr>
            <w:color w:val="0000FF" w:themeColor="hyperlink"/>
            <w:u w:val="single"/>
          </w:rPr>
          <w:t>dividendo digital y la transición a los sistemas digitales (DSO)</w:t>
        </w:r>
      </w:hyperlink>
    </w:p>
    <w:p w14:paraId="42AEF0D4" w14:textId="77777777" w:rsidR="00B27BCB" w:rsidRPr="00C317D5" w:rsidRDefault="00B27BCB" w:rsidP="00B27BCB">
      <w:pPr>
        <w:pStyle w:val="enumlev1"/>
      </w:pPr>
      <w:r w:rsidRPr="00C317D5">
        <w:t>–</w:t>
      </w:r>
      <w:r w:rsidRPr="00C317D5">
        <w:tab/>
      </w:r>
      <w:hyperlink r:id="rId53" w:tgtFrame="_blank" w:history="1">
        <w:r w:rsidRPr="00C317D5">
          <w:rPr>
            <w:color w:val="0000FF" w:themeColor="hyperlink"/>
            <w:u w:val="single"/>
          </w:rPr>
          <w:t>FAQ del UIT-R sobre el Reglamento de Radiocomunicaciones</w:t>
        </w:r>
      </w:hyperlink>
    </w:p>
    <w:p w14:paraId="4C59DF31" w14:textId="77777777" w:rsidR="00B27BCB" w:rsidRPr="00C317D5" w:rsidRDefault="00B27BCB" w:rsidP="00B27BCB">
      <w:pPr>
        <w:textAlignment w:val="auto"/>
      </w:pPr>
      <w:r w:rsidRPr="00C317D5">
        <w:t>Documentos de antecedentes para los medios y el público en general:</w:t>
      </w:r>
    </w:p>
    <w:p w14:paraId="2ED4340B" w14:textId="77777777" w:rsidR="00B27BCB" w:rsidRPr="00C317D5" w:rsidRDefault="00B27BCB" w:rsidP="00B27BCB">
      <w:pPr>
        <w:pStyle w:val="enumlev1"/>
        <w:rPr>
          <w:u w:val="single"/>
        </w:rPr>
      </w:pPr>
      <w:r w:rsidRPr="00C317D5">
        <w:t>–</w:t>
      </w:r>
      <w:r w:rsidRPr="00C317D5">
        <w:tab/>
        <w:t>Cuestiones terrenales:</w:t>
      </w:r>
    </w:p>
    <w:p w14:paraId="1DDD4A49" w14:textId="77777777" w:rsidR="00B27BCB" w:rsidRPr="00C317D5" w:rsidRDefault="00B27BCB" w:rsidP="00B27BCB">
      <w:pPr>
        <w:pStyle w:val="enumlev2"/>
      </w:pPr>
      <w:r w:rsidRPr="00C317D5">
        <w:t>•</w:t>
      </w:r>
      <w:r w:rsidRPr="00C317D5">
        <w:tab/>
      </w:r>
      <w:hyperlink r:id="rId54" w:history="1">
        <w:r w:rsidRPr="00C317D5">
          <w:rPr>
            <w:color w:val="0000FF" w:themeColor="hyperlink"/>
            <w:u w:val="single"/>
          </w:rPr>
          <w:t>5G. Quinta generación de tecnologías móviles (IMT-2020 y posteriores)</w:t>
        </w:r>
      </w:hyperlink>
    </w:p>
    <w:p w14:paraId="4D77A683" w14:textId="77777777" w:rsidR="00B27BCB" w:rsidRPr="00C317D5" w:rsidRDefault="00B27BCB" w:rsidP="00B27BCB">
      <w:pPr>
        <w:pStyle w:val="enumlev2"/>
        <w:rPr>
          <w:u w:val="single"/>
        </w:rPr>
      </w:pPr>
      <w:r w:rsidRPr="00C317D5">
        <w:t>•</w:t>
      </w:r>
      <w:r w:rsidRPr="00C317D5">
        <w:tab/>
      </w:r>
      <w:hyperlink r:id="rId55" w:history="1">
        <w:r w:rsidRPr="00C317D5">
          <w:rPr>
            <w:color w:val="0000FF" w:themeColor="hyperlink"/>
            <w:u w:val="single"/>
          </w:rPr>
          <w:t>5G. Exposición humana a los campos electromagnéticos (CEM) y salud</w:t>
        </w:r>
      </w:hyperlink>
    </w:p>
    <w:p w14:paraId="023BE12F" w14:textId="77777777" w:rsidR="00B27BCB" w:rsidRPr="00C317D5" w:rsidRDefault="00B27BCB" w:rsidP="00B27BCB">
      <w:pPr>
        <w:pStyle w:val="enumlev2"/>
      </w:pPr>
      <w:r w:rsidRPr="00C317D5">
        <w:t>•</w:t>
      </w:r>
      <w:r w:rsidRPr="00C317D5">
        <w:tab/>
      </w:r>
      <w:hyperlink r:id="rId56" w:history="1">
        <w:r w:rsidRPr="00C317D5">
          <w:rPr>
            <w:color w:val="0000FF" w:themeColor="hyperlink"/>
            <w:u w:val="single"/>
          </w:rPr>
          <w:t>Sistemas de estaciones en plataformas a gran altitud (HAPS)</w:t>
        </w:r>
      </w:hyperlink>
    </w:p>
    <w:p w14:paraId="4E3A89A3" w14:textId="77777777" w:rsidR="00B27BCB" w:rsidRPr="00C317D5" w:rsidRDefault="00B27BCB" w:rsidP="00B27BCB">
      <w:pPr>
        <w:pStyle w:val="enumlev2"/>
        <w:rPr>
          <w:u w:val="single"/>
        </w:rPr>
      </w:pPr>
      <w:r w:rsidRPr="00C317D5">
        <w:t>•</w:t>
      </w:r>
      <w:r w:rsidRPr="00C317D5">
        <w:tab/>
      </w:r>
      <w:hyperlink r:id="rId57" w:history="1">
        <w:r w:rsidRPr="00C317D5">
          <w:rPr>
            <w:color w:val="0000FF" w:themeColor="hyperlink"/>
            <w:u w:val="single"/>
          </w:rPr>
          <w:t>Radiocomunicaciones para la seguridad de los barcos y de las personas en el mar</w:t>
        </w:r>
      </w:hyperlink>
    </w:p>
    <w:p w14:paraId="36BF0996" w14:textId="77777777" w:rsidR="00B27BCB" w:rsidRPr="00C317D5" w:rsidRDefault="00B27BCB" w:rsidP="00B27BCB">
      <w:pPr>
        <w:pStyle w:val="enumlev1"/>
      </w:pPr>
      <w:r w:rsidRPr="00C317D5">
        <w:t>–</w:t>
      </w:r>
      <w:r w:rsidRPr="00C317D5">
        <w:tab/>
      </w:r>
      <w:hyperlink r:id="rId58" w:history="1">
        <w:r w:rsidRPr="00C317D5">
          <w:rPr>
            <w:color w:val="0000FF" w:themeColor="hyperlink"/>
            <w:u w:val="single"/>
          </w:rPr>
          <w:t>Comisiones de Estudio de la UIT</w:t>
        </w:r>
      </w:hyperlink>
    </w:p>
    <w:p w14:paraId="59DF8207" w14:textId="77777777" w:rsidR="00B27BCB" w:rsidRPr="00C317D5" w:rsidRDefault="00B27BCB" w:rsidP="00B27BCB">
      <w:pPr>
        <w:pStyle w:val="enumlev1"/>
      </w:pPr>
      <w:r w:rsidRPr="00C317D5">
        <w:t>–</w:t>
      </w:r>
      <w:r w:rsidRPr="00C317D5">
        <w:tab/>
      </w:r>
      <w:hyperlink r:id="rId59" w:history="1">
        <w:r w:rsidRPr="00C317D5">
          <w:rPr>
            <w:color w:val="0000FF" w:themeColor="hyperlink"/>
            <w:u w:val="single"/>
          </w:rPr>
          <w:t>UIT-R: Gestión mundial del espectro de frecuencias</w:t>
        </w:r>
      </w:hyperlink>
    </w:p>
    <w:p w14:paraId="6E8C2BC5" w14:textId="77777777" w:rsidR="00B27BCB" w:rsidRPr="00C317D5" w:rsidRDefault="00B27BCB" w:rsidP="00B27BCB">
      <w:pPr>
        <w:pStyle w:val="enumlev1"/>
        <w:rPr>
          <w:u w:val="single"/>
        </w:rPr>
      </w:pPr>
      <w:r w:rsidRPr="00C317D5">
        <w:t>–</w:t>
      </w:r>
      <w:r w:rsidRPr="00C317D5">
        <w:tab/>
        <w:t>Cuestiones relacionadas con los satélites:</w:t>
      </w:r>
    </w:p>
    <w:p w14:paraId="12780D9E" w14:textId="77777777" w:rsidR="00B27BCB" w:rsidRPr="00C317D5" w:rsidRDefault="00B27BCB" w:rsidP="00B27BCB">
      <w:pPr>
        <w:pStyle w:val="enumlev2"/>
      </w:pPr>
      <w:r w:rsidRPr="00C317D5">
        <w:t>•</w:t>
      </w:r>
      <w:r w:rsidRPr="00C317D5">
        <w:tab/>
      </w:r>
      <w:hyperlink r:id="rId60" w:history="1">
        <w:r w:rsidRPr="00C317D5">
          <w:rPr>
            <w:color w:val="0000FF" w:themeColor="hyperlink"/>
            <w:u w:val="single"/>
          </w:rPr>
          <w:t>Estaciones terrenas en movimiento (ETEM)</w:t>
        </w:r>
      </w:hyperlink>
    </w:p>
    <w:p w14:paraId="22AF335A" w14:textId="77777777" w:rsidR="00B27BCB" w:rsidRPr="00C317D5" w:rsidRDefault="00B27BCB" w:rsidP="00B27BCB">
      <w:pPr>
        <w:pStyle w:val="enumlev2"/>
      </w:pPr>
      <w:r w:rsidRPr="00C317D5">
        <w:t>•</w:t>
      </w:r>
      <w:r w:rsidRPr="00C317D5">
        <w:tab/>
      </w:r>
      <w:hyperlink r:id="rId61" w:history="1">
        <w:r w:rsidRPr="00C317D5">
          <w:rPr>
            <w:color w:val="0000FF" w:themeColor="hyperlink"/>
            <w:u w:val="single"/>
          </w:rPr>
          <w:t>Sistemas de satélites no geoestacionarios</w:t>
        </w:r>
      </w:hyperlink>
    </w:p>
    <w:p w14:paraId="3651CC14" w14:textId="3372CF58" w:rsidR="00B27BCB" w:rsidRPr="00C317D5" w:rsidRDefault="00B27BCB" w:rsidP="00B27BCB">
      <w:pPr>
        <w:pStyle w:val="enumlev2"/>
      </w:pPr>
      <w:r w:rsidRPr="00C317D5">
        <w:t>•</w:t>
      </w:r>
      <w:r w:rsidRPr="00C317D5">
        <w:tab/>
      </w:r>
      <w:hyperlink r:id="rId62" w:history="1">
        <w:r w:rsidRPr="00C317D5">
          <w:rPr>
            <w:color w:val="0000FF" w:themeColor="hyperlink"/>
            <w:u w:val="single"/>
          </w:rPr>
          <w:t>Sistemas de satélites no geoestacionarios con misiones de corta duración</w:t>
        </w:r>
      </w:hyperlink>
    </w:p>
    <w:p w14:paraId="5D02F08D" w14:textId="0C206FF5" w:rsidR="002B1112" w:rsidRPr="00C317D5" w:rsidRDefault="002B1112" w:rsidP="00B27BCB">
      <w:pPr>
        <w:pStyle w:val="enumlev2"/>
      </w:pPr>
      <w:r w:rsidRPr="00C317D5">
        <w:t>•</w:t>
      </w:r>
      <w:r w:rsidRPr="00C317D5">
        <w:tab/>
      </w:r>
      <w:hyperlink r:id="rId63" w:history="1">
        <w:r w:rsidRPr="00C317D5">
          <w:rPr>
            <w:rStyle w:val="Hyperlink"/>
          </w:rPr>
          <w:t>Cuestiones de satélites: Small SATS: Nano y Pico – misiones de corta duración</w:t>
        </w:r>
      </w:hyperlink>
    </w:p>
    <w:p w14:paraId="56892761" w14:textId="3B12D85B" w:rsidR="009D6122" w:rsidRPr="00C317D5" w:rsidRDefault="009D6122" w:rsidP="00B27BCB">
      <w:pPr>
        <w:pStyle w:val="enumlev2"/>
      </w:pPr>
      <w:r w:rsidRPr="00C317D5">
        <w:t>•</w:t>
      </w:r>
      <w:r w:rsidRPr="00C317D5">
        <w:tab/>
      </w:r>
      <w:r w:rsidRPr="00C317D5">
        <w:rPr>
          <w:color w:val="0000FF" w:themeColor="hyperlink"/>
          <w:u w:val="single"/>
        </w:rPr>
        <w:t>Reglamentación de sistemas de satélites (nuevo documento de antecedentes)</w:t>
      </w:r>
    </w:p>
    <w:p w14:paraId="3A750050" w14:textId="1739509B" w:rsidR="00F03503" w:rsidRPr="00C317D5" w:rsidRDefault="00F03503" w:rsidP="00F03503">
      <w:pPr>
        <w:rPr>
          <w:rFonts w:eastAsia="SimSun"/>
        </w:rPr>
      </w:pPr>
      <w:r w:rsidRPr="00C317D5">
        <w:rPr>
          <w:rFonts w:eastAsia="SimSun"/>
        </w:rPr>
        <w:t>En 2022 la Oficina de Radiocomunicaciones recibió 68 preguntas de revistas técnicas especializadas y varios medios de comunicación se interesaron por su trabajo. A todas las preguntas se respondió con prontitud, facilitando la información solicitada y manteniendo una buena relación los medios de comunicaciones.</w:t>
      </w:r>
    </w:p>
    <w:p w14:paraId="6815C1C3" w14:textId="32B84A7A" w:rsidR="00F03503" w:rsidRPr="00C317D5" w:rsidRDefault="00F03503" w:rsidP="00F03503">
      <w:pPr>
        <w:rPr>
          <w:rFonts w:eastAsia="Calibri"/>
        </w:rPr>
      </w:pPr>
      <w:r w:rsidRPr="00C317D5">
        <w:rPr>
          <w:rFonts w:eastAsia="SimSun"/>
        </w:rPr>
        <w:t>Polo de Actualidades de la UIT:</w:t>
      </w:r>
    </w:p>
    <w:p w14:paraId="2C0A7731" w14:textId="77777777" w:rsidR="001D0A3A" w:rsidRPr="00C317D5" w:rsidRDefault="00F03503" w:rsidP="00F03503">
      <w:r w:rsidRPr="00C317D5">
        <w:t>Se añadieron al Polo de Actualidades de la UIT los siguientes contenidos:</w:t>
      </w:r>
    </w:p>
    <w:p w14:paraId="25B74C4E" w14:textId="7E1CA59D" w:rsidR="00F03503" w:rsidRPr="00C317D5" w:rsidRDefault="00F03503" w:rsidP="00F03503">
      <w:pPr>
        <w:rPr>
          <w:rFonts w:eastAsia="Calibri"/>
        </w:rPr>
      </w:pPr>
      <w:r w:rsidRPr="00C317D5">
        <w:rPr>
          <w:rFonts w:eastAsia="Calibri"/>
        </w:rPr>
        <w:t xml:space="preserve">En 2022 la Oficina de Radiocomunicaciones aportó los siguientes artículos a la Edición especial de Actualidades de la UIT </w:t>
      </w:r>
      <w:r w:rsidR="001E4E41" w:rsidRPr="00C317D5">
        <w:rPr>
          <w:rFonts w:eastAsia="Calibri"/>
        </w:rPr>
        <w:t>«</w:t>
      </w:r>
      <w:hyperlink r:id="rId64">
        <w:r w:rsidRPr="00C317D5">
          <w:rPr>
            <w:rStyle w:val="Hyperlink"/>
            <w:rFonts w:eastAsia="Calibri"/>
          </w:rPr>
          <w:t>Tech serving people and the planet</w:t>
        </w:r>
      </w:hyperlink>
      <w:r w:rsidRPr="00C317D5">
        <w:rPr>
          <w:rFonts w:eastAsia="Calibri"/>
        </w:rPr>
        <w:t xml:space="preserve"> (</w:t>
      </w:r>
      <w:r w:rsidRPr="00C317D5">
        <w:rPr>
          <w:rFonts w:eastAsia="Calibri"/>
          <w:i/>
          <w:iCs/>
        </w:rPr>
        <w:t>digital solutions for all 17 Sustainable Development Goals</w:t>
      </w:r>
      <w:r w:rsidRPr="00C317D5">
        <w:rPr>
          <w:rFonts w:eastAsia="Calibri"/>
        </w:rPr>
        <w:t>)</w:t>
      </w:r>
      <w:r w:rsidR="001E4E41" w:rsidRPr="00C317D5">
        <w:rPr>
          <w:rFonts w:eastAsia="Calibri"/>
        </w:rPr>
        <w:t>»</w:t>
      </w:r>
      <w:r w:rsidRPr="00C317D5">
        <w:rPr>
          <w:rFonts w:eastAsia="Calibri"/>
        </w:rPr>
        <w:t>, a saber:</w:t>
      </w:r>
    </w:p>
    <w:p w14:paraId="03F7067C" w14:textId="7FF2DB60" w:rsidR="00F03503" w:rsidRPr="00C317D5" w:rsidRDefault="009D6122" w:rsidP="009D6122">
      <w:pPr>
        <w:pStyle w:val="enumlev1"/>
        <w:rPr>
          <w:szCs w:val="24"/>
        </w:rPr>
      </w:pPr>
      <w:r w:rsidRPr="00C317D5">
        <w:t>•</w:t>
      </w:r>
      <w:r w:rsidRPr="00C317D5">
        <w:tab/>
      </w:r>
      <w:r w:rsidR="00F03503" w:rsidRPr="00C317D5">
        <w:rPr>
          <w:i/>
          <w:iCs/>
        </w:rPr>
        <w:t>Celebrating radio’s trust and accessibility</w:t>
      </w:r>
      <w:r w:rsidR="00F03503" w:rsidRPr="00C317D5">
        <w:t xml:space="preserve"> por Mario Maniewicz, Director de la Oficina de Radiocomunicaciones de la UIT</w:t>
      </w:r>
    </w:p>
    <w:p w14:paraId="36C074BA" w14:textId="683328DA" w:rsidR="00F03503" w:rsidRPr="00C317D5" w:rsidRDefault="009D6122" w:rsidP="009D6122">
      <w:pPr>
        <w:pStyle w:val="enumlev1"/>
        <w:rPr>
          <w:szCs w:val="24"/>
        </w:rPr>
      </w:pPr>
      <w:r w:rsidRPr="00C317D5">
        <w:t>•</w:t>
      </w:r>
      <w:r w:rsidRPr="00C317D5">
        <w:tab/>
      </w:r>
      <w:r w:rsidR="00F03503" w:rsidRPr="00C317D5">
        <w:rPr>
          <w:szCs w:val="24"/>
        </w:rPr>
        <w:t>Preparación de la próxima Conferencia Mundial de Radiocomunicaciones</w:t>
      </w:r>
    </w:p>
    <w:p w14:paraId="104AC775" w14:textId="0DB31B6D" w:rsidR="00F03503" w:rsidRPr="00C317D5" w:rsidRDefault="009D6122" w:rsidP="009D6122">
      <w:pPr>
        <w:pStyle w:val="enumlev1"/>
        <w:rPr>
          <w:szCs w:val="24"/>
        </w:rPr>
      </w:pPr>
      <w:r w:rsidRPr="00C317D5">
        <w:lastRenderedPageBreak/>
        <w:t>•</w:t>
      </w:r>
      <w:r w:rsidRPr="00C317D5">
        <w:tab/>
      </w:r>
      <w:r w:rsidR="00271E68" w:rsidRPr="00C317D5">
        <w:rPr>
          <w:szCs w:val="24"/>
        </w:rPr>
        <w:t>Nuevas frecuencias FM para ampliar el alcance de las radiocomunicaciones en África</w:t>
      </w:r>
    </w:p>
    <w:p w14:paraId="1FD29CB6" w14:textId="2B2FCB1D" w:rsidR="00F03503" w:rsidRPr="00C317D5" w:rsidRDefault="009D6122" w:rsidP="009D6122">
      <w:pPr>
        <w:pStyle w:val="enumlev1"/>
        <w:rPr>
          <w:rFonts w:eastAsia="Calibri"/>
          <w:szCs w:val="24"/>
        </w:rPr>
      </w:pPr>
      <w:r w:rsidRPr="00C317D5">
        <w:t>•</w:t>
      </w:r>
      <w:r w:rsidRPr="00C317D5">
        <w:tab/>
      </w:r>
      <w:r w:rsidR="00271E68" w:rsidRPr="00C317D5">
        <w:rPr>
          <w:rFonts w:eastAsia="Calibri"/>
          <w:szCs w:val="24"/>
        </w:rPr>
        <w:t>En esta y en las ediciones posteriores de promocionaron el sitio web y el Folleto de la CMR-23</w:t>
      </w:r>
      <w:r w:rsidR="00F03503" w:rsidRPr="00C317D5">
        <w:rPr>
          <w:rFonts w:eastAsia="Calibri"/>
          <w:szCs w:val="24"/>
        </w:rPr>
        <w:t>.</w:t>
      </w:r>
    </w:p>
    <w:p w14:paraId="3CE1C3A3" w14:textId="29032B51" w:rsidR="00B27BCB" w:rsidRDefault="00B27BCB" w:rsidP="00B27BCB">
      <w:pPr>
        <w:textAlignment w:val="auto"/>
      </w:pPr>
      <w:r w:rsidRPr="00C317D5">
        <w:t xml:space="preserve">El Director de la Oficina de Radiocomunicaciones ha contribuido de manera regular mediante artículos en </w:t>
      </w:r>
      <w:r w:rsidRPr="00C317D5">
        <w:rPr>
          <w:i/>
          <w:iCs/>
        </w:rPr>
        <w:t>Actualidades de la UIT</w:t>
      </w:r>
      <w:r w:rsidRPr="00C317D5">
        <w:t xml:space="preserve">, blogs y </w:t>
      </w:r>
      <w:r w:rsidRPr="00C317D5">
        <w:rPr>
          <w:i/>
          <w:iCs/>
        </w:rPr>
        <w:t>podcasts</w:t>
      </w:r>
      <w:r w:rsidRPr="00C317D5">
        <w:t xml:space="preserve">. Los siguientes </w:t>
      </w:r>
      <w:r w:rsidR="00271E68" w:rsidRPr="00C317D5">
        <w:t>nuevos blogs se publicaron en</w:t>
      </w:r>
      <w:r w:rsidR="009D6122" w:rsidRPr="00C317D5">
        <w:t> </w:t>
      </w:r>
      <w:r w:rsidR="00271E68" w:rsidRPr="00C317D5">
        <w:t>2022</w:t>
      </w:r>
      <w:r w:rsidRPr="00C317D5">
        <w:t>:</w:t>
      </w:r>
    </w:p>
    <w:p w14:paraId="5F60FF3D" w14:textId="3E23BBC8" w:rsidR="00271E68" w:rsidRPr="00C317D5" w:rsidRDefault="009D6122" w:rsidP="009D6122">
      <w:pPr>
        <w:pStyle w:val="enumlev1"/>
        <w:rPr>
          <w:rFonts w:eastAsia="Calibri"/>
        </w:rPr>
      </w:pPr>
      <w:r w:rsidRPr="00C317D5">
        <w:t>•</w:t>
      </w:r>
      <w:r w:rsidRPr="00C317D5">
        <w:tab/>
      </w:r>
      <w:hyperlink r:id="rId65" w:history="1">
        <w:r w:rsidR="00271E68" w:rsidRPr="00C317D5">
          <w:rPr>
            <w:rStyle w:val="Hyperlink"/>
            <w:rFonts w:eastAsia="Calibri"/>
            <w:szCs w:val="24"/>
          </w:rPr>
          <w:t>Un paso más hacia la expansión de la radio FM en África</w:t>
        </w:r>
      </w:hyperlink>
    </w:p>
    <w:p w14:paraId="272CA652" w14:textId="7BE7B774" w:rsidR="00271E68" w:rsidRPr="00C317D5" w:rsidRDefault="009D6122" w:rsidP="009D6122">
      <w:pPr>
        <w:pStyle w:val="enumlev1"/>
        <w:rPr>
          <w:rFonts w:eastAsia="Calibri"/>
        </w:rPr>
      </w:pPr>
      <w:r w:rsidRPr="00C317D5">
        <w:t>•</w:t>
      </w:r>
      <w:r w:rsidRPr="00C317D5">
        <w:tab/>
      </w:r>
      <w:hyperlink r:id="rId66" w:history="1">
        <w:r w:rsidR="00271E68" w:rsidRPr="00C317D5">
          <w:rPr>
            <w:rStyle w:val="Hyperlink"/>
            <w:rFonts w:eastAsia="Calibri"/>
            <w:szCs w:val="24"/>
          </w:rPr>
          <w:t>En la radio confiamos: el papel de las normas técnicas</w:t>
        </w:r>
      </w:hyperlink>
    </w:p>
    <w:p w14:paraId="76F5657D" w14:textId="0375C824" w:rsidR="00271E68" w:rsidRPr="00C317D5" w:rsidRDefault="009D6122" w:rsidP="009D6122">
      <w:pPr>
        <w:pStyle w:val="enumlev1"/>
        <w:rPr>
          <w:rFonts w:eastAsia="Calibri"/>
        </w:rPr>
      </w:pPr>
      <w:r w:rsidRPr="00C317D5">
        <w:t>•</w:t>
      </w:r>
      <w:r w:rsidRPr="00C317D5">
        <w:tab/>
      </w:r>
      <w:hyperlink r:id="rId67" w:history="1">
        <w:r w:rsidR="00271E68" w:rsidRPr="00C317D5">
          <w:rPr>
            <w:rStyle w:val="Hyperlink"/>
            <w:rFonts w:eastAsia="Calibri"/>
            <w:szCs w:val="24"/>
          </w:rPr>
          <w:t>Cómo las tecnologías espaciales mejoran nuestra comprensión de los sistemas hídricos</w:t>
        </w:r>
      </w:hyperlink>
    </w:p>
    <w:p w14:paraId="3F43541C" w14:textId="288E78C8" w:rsidR="00271E68" w:rsidRPr="00C317D5" w:rsidRDefault="009D6122" w:rsidP="009D6122">
      <w:pPr>
        <w:pStyle w:val="enumlev1"/>
        <w:rPr>
          <w:rFonts w:eastAsia="Calibri"/>
          <w:szCs w:val="24"/>
        </w:rPr>
      </w:pPr>
      <w:r w:rsidRPr="00C317D5">
        <w:t>•</w:t>
      </w:r>
      <w:r w:rsidRPr="00C317D5">
        <w:tab/>
      </w:r>
      <w:hyperlink r:id="rId68" w:history="1">
        <w:r w:rsidR="00271E68" w:rsidRPr="00C317D5">
          <w:rPr>
            <w:rStyle w:val="Hyperlink"/>
            <w:rFonts w:eastAsia="Calibri"/>
            <w:szCs w:val="24"/>
          </w:rPr>
          <w:t>Día Mundial de la Radio: Celebración de la confianza y la accesibilidad</w:t>
        </w:r>
      </w:hyperlink>
    </w:p>
    <w:p w14:paraId="14FE9F00" w14:textId="069A3FEA" w:rsidR="00271E68" w:rsidRPr="00C317D5" w:rsidRDefault="009D6122" w:rsidP="009D6122">
      <w:pPr>
        <w:pStyle w:val="enumlev1"/>
        <w:rPr>
          <w:rFonts w:eastAsia="Calibri"/>
        </w:rPr>
      </w:pPr>
      <w:r w:rsidRPr="00C317D5">
        <w:t>•</w:t>
      </w:r>
      <w:r w:rsidRPr="00C317D5">
        <w:tab/>
      </w:r>
      <w:hyperlink r:id="rId69" w:history="1">
        <w:r w:rsidR="00271E68" w:rsidRPr="00C317D5">
          <w:rPr>
            <w:rStyle w:val="Hyperlink"/>
            <w:rFonts w:eastAsia="Calibri"/>
            <w:szCs w:val="24"/>
          </w:rPr>
          <w:t>World Radio Day 2022 Podcast con el Director de la BR, Mario Maniewicz</w:t>
        </w:r>
      </w:hyperlink>
    </w:p>
    <w:p w14:paraId="07267AE6" w14:textId="6692A4EF" w:rsidR="00271E68" w:rsidRPr="00C317D5" w:rsidRDefault="009D6122" w:rsidP="009D6122">
      <w:pPr>
        <w:pStyle w:val="enumlev1"/>
        <w:rPr>
          <w:rFonts w:eastAsia="Calibri"/>
        </w:rPr>
      </w:pPr>
      <w:r w:rsidRPr="00C317D5">
        <w:t>•</w:t>
      </w:r>
      <w:r w:rsidRPr="00C317D5">
        <w:tab/>
      </w:r>
      <w:hyperlink r:id="rId70" w:history="1">
        <w:r w:rsidR="00271E68" w:rsidRPr="00C317D5">
          <w:rPr>
            <w:rStyle w:val="Hyperlink"/>
            <w:rFonts w:eastAsia="Calibri"/>
            <w:szCs w:val="24"/>
          </w:rPr>
          <w:t>Radio: The universal medium that leaves no one behind</w:t>
        </w:r>
      </w:hyperlink>
    </w:p>
    <w:p w14:paraId="6A45905C" w14:textId="22CE561E" w:rsidR="00271E68" w:rsidRPr="00C317D5" w:rsidRDefault="009D6122" w:rsidP="009D6122">
      <w:pPr>
        <w:pStyle w:val="enumlev1"/>
        <w:rPr>
          <w:rFonts w:eastAsia="Calibri"/>
        </w:rPr>
      </w:pPr>
      <w:r w:rsidRPr="00C317D5">
        <w:t>•</w:t>
      </w:r>
      <w:r w:rsidRPr="00C317D5">
        <w:tab/>
      </w:r>
      <w:hyperlink r:id="rId71" w:history="1">
        <w:r w:rsidR="00271E68" w:rsidRPr="00C317D5">
          <w:rPr>
            <w:rStyle w:val="Hyperlink"/>
            <w:rFonts w:eastAsia="Calibri"/>
            <w:szCs w:val="24"/>
          </w:rPr>
          <w:t>La UIT y el espacio: órbitas de satélite sin interferencias en LEO y más allá</w:t>
        </w:r>
      </w:hyperlink>
    </w:p>
    <w:p w14:paraId="09C00C37" w14:textId="60CA88F3" w:rsidR="00271E68" w:rsidRPr="00C317D5" w:rsidRDefault="009D6122" w:rsidP="009D6122">
      <w:pPr>
        <w:pStyle w:val="enumlev1"/>
        <w:rPr>
          <w:rFonts w:eastAsia="Calibri"/>
        </w:rPr>
      </w:pPr>
      <w:r w:rsidRPr="00C317D5">
        <w:t>•</w:t>
      </w:r>
      <w:r w:rsidRPr="00C317D5">
        <w:tab/>
      </w:r>
      <w:hyperlink r:id="rId72" w:history="1">
        <w:r w:rsidR="00271E68" w:rsidRPr="00C317D5">
          <w:rPr>
            <w:rStyle w:val="Hyperlink"/>
            <w:rFonts w:eastAsia="Calibri"/>
            <w:szCs w:val="24"/>
          </w:rPr>
          <w:t>Una mirada al desarrollo de las normas de banda ancha móvil</w:t>
        </w:r>
      </w:hyperlink>
    </w:p>
    <w:p w14:paraId="27A157F3" w14:textId="54F4BA21" w:rsidR="00271E68" w:rsidRPr="00C317D5" w:rsidRDefault="009D6122" w:rsidP="009D6122">
      <w:pPr>
        <w:pStyle w:val="enumlev1"/>
        <w:rPr>
          <w:rFonts w:eastAsia="Calibri"/>
        </w:rPr>
      </w:pPr>
      <w:r w:rsidRPr="00C317D5">
        <w:t>•</w:t>
      </w:r>
      <w:r w:rsidRPr="00C317D5">
        <w:tab/>
      </w:r>
      <w:hyperlink r:id="rId73" w:history="1">
        <w:r w:rsidR="00271E68" w:rsidRPr="00C317D5">
          <w:rPr>
            <w:rStyle w:val="Hyperlink"/>
            <w:rFonts w:eastAsia="Calibri"/>
            <w:szCs w:val="24"/>
          </w:rPr>
          <w:t>Por qué la ciencia espacial y el espectro son clave para los sistemas de alerta temprana y la reducción del riesgo de catástrofes</w:t>
        </w:r>
      </w:hyperlink>
    </w:p>
    <w:p w14:paraId="73B7C111" w14:textId="4B955463" w:rsidR="00271E68" w:rsidRPr="00C317D5" w:rsidRDefault="009D6122" w:rsidP="009D6122">
      <w:pPr>
        <w:pStyle w:val="enumlev1"/>
        <w:rPr>
          <w:rFonts w:eastAsia="Calibri"/>
        </w:rPr>
      </w:pPr>
      <w:r w:rsidRPr="00C317D5">
        <w:t>•</w:t>
      </w:r>
      <w:r w:rsidRPr="00C317D5">
        <w:tab/>
      </w:r>
      <w:r w:rsidR="00176E58" w:rsidRPr="00C317D5">
        <w:rPr>
          <w:rFonts w:eastAsia="Calibri"/>
          <w:szCs w:val="24"/>
        </w:rPr>
        <w:t>Día Mundial del Radioaficionado</w:t>
      </w:r>
      <w:r w:rsidR="00271E68" w:rsidRPr="00C317D5">
        <w:rPr>
          <w:rFonts w:eastAsia="Calibri"/>
          <w:szCs w:val="24"/>
        </w:rPr>
        <w:t xml:space="preserve">: </w:t>
      </w:r>
      <w:hyperlink r:id="rId74" w:history="1">
        <w:r w:rsidR="00176E58" w:rsidRPr="00C317D5">
          <w:rPr>
            <w:rStyle w:val="Hyperlink"/>
            <w:rFonts w:eastAsia="Calibri"/>
            <w:szCs w:val="24"/>
          </w:rPr>
          <w:t>Los jóvenes radioaficionados iluminan el aire: entrevista con Philipp Springer</w:t>
        </w:r>
      </w:hyperlink>
    </w:p>
    <w:p w14:paraId="6B76A76D" w14:textId="3AD32FFC" w:rsidR="00271E68" w:rsidRPr="00C317D5" w:rsidRDefault="009D6122" w:rsidP="009D6122">
      <w:pPr>
        <w:pStyle w:val="enumlev1"/>
        <w:rPr>
          <w:rFonts w:eastAsia="Calibri"/>
        </w:rPr>
      </w:pPr>
      <w:r w:rsidRPr="00C317D5">
        <w:t>•</w:t>
      </w:r>
      <w:r w:rsidRPr="00C317D5">
        <w:tab/>
      </w:r>
      <w:r w:rsidR="00176E58" w:rsidRPr="00C317D5">
        <w:rPr>
          <w:rFonts w:eastAsia="Calibri"/>
          <w:szCs w:val="24"/>
        </w:rPr>
        <w:t>Día Mundial del Radioaficionado</w:t>
      </w:r>
      <w:r w:rsidR="00271E68" w:rsidRPr="00C317D5">
        <w:rPr>
          <w:rFonts w:eastAsia="Calibri"/>
          <w:szCs w:val="24"/>
        </w:rPr>
        <w:t xml:space="preserve">: </w:t>
      </w:r>
      <w:hyperlink r:id="rId75" w:history="1">
        <w:r w:rsidR="00176E58" w:rsidRPr="00C317D5">
          <w:rPr>
            <w:rStyle w:val="Hyperlink"/>
            <w:rFonts w:eastAsia="Calibri"/>
            <w:szCs w:val="24"/>
          </w:rPr>
          <w:t>Cómo convertirse en radioaficionado en la era digital</w:t>
        </w:r>
      </w:hyperlink>
    </w:p>
    <w:p w14:paraId="42020359" w14:textId="52E49E1A" w:rsidR="00271E68" w:rsidRPr="00C317D5" w:rsidRDefault="009D6122" w:rsidP="009D6122">
      <w:pPr>
        <w:pStyle w:val="enumlev1"/>
        <w:rPr>
          <w:rFonts w:eastAsia="Calibri"/>
        </w:rPr>
      </w:pPr>
      <w:r w:rsidRPr="00C317D5">
        <w:t>•</w:t>
      </w:r>
      <w:r w:rsidRPr="00C317D5">
        <w:tab/>
      </w:r>
      <w:hyperlink r:id="rId76" w:history="1">
        <w:r w:rsidR="00176E58" w:rsidRPr="00C317D5">
          <w:rPr>
            <w:rStyle w:val="Hyperlink"/>
            <w:rFonts w:eastAsia="Calibri"/>
            <w:szCs w:val="24"/>
          </w:rPr>
          <w:t>Protección de la radioastronomía en la Luna</w:t>
        </w:r>
      </w:hyperlink>
    </w:p>
    <w:p w14:paraId="624745D2" w14:textId="27923732" w:rsidR="00271E68" w:rsidRPr="00C317D5" w:rsidRDefault="009D6122" w:rsidP="009D6122">
      <w:pPr>
        <w:pStyle w:val="enumlev1"/>
        <w:rPr>
          <w:rFonts w:eastAsia="Calibri"/>
        </w:rPr>
      </w:pPr>
      <w:r w:rsidRPr="00C317D5">
        <w:t>•</w:t>
      </w:r>
      <w:r w:rsidRPr="00C317D5">
        <w:tab/>
      </w:r>
      <w:hyperlink r:id="rId77" w:history="1">
        <w:r w:rsidR="00176E58" w:rsidRPr="00C317D5">
          <w:rPr>
            <w:rStyle w:val="Hyperlink"/>
            <w:rFonts w:eastAsia="Calibri"/>
            <w:szCs w:val="24"/>
          </w:rPr>
          <w:t>La estación de radioaficionados de la UIT celebra 60 años en antena</w:t>
        </w:r>
      </w:hyperlink>
    </w:p>
    <w:p w14:paraId="634E76FB" w14:textId="2F5C3449" w:rsidR="00271E68" w:rsidRPr="00C317D5" w:rsidRDefault="009D6122" w:rsidP="009D6122">
      <w:pPr>
        <w:pStyle w:val="enumlev1"/>
        <w:rPr>
          <w:rFonts w:eastAsia="Calibri"/>
        </w:rPr>
      </w:pPr>
      <w:r w:rsidRPr="00C317D5">
        <w:t>•</w:t>
      </w:r>
      <w:r w:rsidRPr="00C317D5">
        <w:tab/>
      </w:r>
      <w:hyperlink r:id="rId78" w:history="1">
        <w:r w:rsidR="00176E58" w:rsidRPr="00C317D5">
          <w:rPr>
            <w:rStyle w:val="Hyperlink"/>
            <w:rFonts w:eastAsia="Calibri"/>
            <w:szCs w:val="24"/>
          </w:rPr>
          <w:t>La travesía marítima de la UIT: antes y ahora</w:t>
        </w:r>
      </w:hyperlink>
    </w:p>
    <w:p w14:paraId="54377863" w14:textId="7F4E940E" w:rsidR="00271E68" w:rsidRPr="00C317D5" w:rsidRDefault="009D6122" w:rsidP="009D6122">
      <w:pPr>
        <w:pStyle w:val="enumlev1"/>
        <w:rPr>
          <w:rFonts w:eastAsia="Calibri"/>
        </w:rPr>
      </w:pPr>
      <w:r w:rsidRPr="00C317D5">
        <w:t>•</w:t>
      </w:r>
      <w:r w:rsidRPr="00C317D5">
        <w:tab/>
      </w:r>
      <w:hyperlink r:id="rId79" w:history="1">
        <w:r w:rsidR="00176E58" w:rsidRPr="00C317D5">
          <w:rPr>
            <w:rStyle w:val="Hyperlink"/>
            <w:rFonts w:eastAsia="Calibri"/>
            <w:szCs w:val="24"/>
          </w:rPr>
          <w:t>La vigilancia espacial, núcleo de las actividades de Radiocomunicaciones de la UIT</w:t>
        </w:r>
      </w:hyperlink>
    </w:p>
    <w:p w14:paraId="6F125BCF" w14:textId="0492DE7E" w:rsidR="00271E68" w:rsidRPr="00C317D5" w:rsidRDefault="009D6122" w:rsidP="009D6122">
      <w:pPr>
        <w:pStyle w:val="enumlev1"/>
        <w:rPr>
          <w:rFonts w:eastAsia="Calibri"/>
        </w:rPr>
      </w:pPr>
      <w:r w:rsidRPr="00C317D5">
        <w:t>•</w:t>
      </w:r>
      <w:r w:rsidRPr="00C317D5">
        <w:tab/>
      </w:r>
      <w:hyperlink r:id="rId80" w:history="1">
        <w:r w:rsidR="00176E58" w:rsidRPr="00C317D5">
          <w:rPr>
            <w:rStyle w:val="Hyperlink"/>
            <w:rFonts w:eastAsia="Calibri"/>
            <w:szCs w:val="24"/>
          </w:rPr>
          <w:t>La UIT advierte de las interferencias con el servicio de radionavegación por satélite</w:t>
        </w:r>
      </w:hyperlink>
    </w:p>
    <w:p w14:paraId="2E58F8FB" w14:textId="116E2F90" w:rsidR="00271E68" w:rsidRPr="00C317D5" w:rsidRDefault="009D6122" w:rsidP="009D6122">
      <w:pPr>
        <w:pStyle w:val="enumlev1"/>
        <w:rPr>
          <w:rFonts w:eastAsia="Calibri"/>
        </w:rPr>
      </w:pPr>
      <w:r w:rsidRPr="00C317D5">
        <w:t>•</w:t>
      </w:r>
      <w:r w:rsidRPr="00C317D5">
        <w:tab/>
      </w:r>
      <w:hyperlink r:id="rId81" w:history="1">
        <w:r w:rsidR="00176E58" w:rsidRPr="00C317D5">
          <w:rPr>
            <w:rStyle w:val="Hyperlink"/>
            <w:rFonts w:eastAsia="Calibri"/>
            <w:szCs w:val="24"/>
          </w:rPr>
          <w:t>SpaceExplorer de la UIT: los datos de frecuencia de los satélites a su alcance</w:t>
        </w:r>
      </w:hyperlink>
    </w:p>
    <w:p w14:paraId="26547480" w14:textId="4B236C19" w:rsidR="00271E68" w:rsidRPr="00C317D5" w:rsidRDefault="009D6122" w:rsidP="009D6122">
      <w:pPr>
        <w:pStyle w:val="enumlev1"/>
        <w:rPr>
          <w:rFonts w:eastAsia="Calibri"/>
        </w:rPr>
      </w:pPr>
      <w:r w:rsidRPr="00C317D5">
        <w:t>•</w:t>
      </w:r>
      <w:r w:rsidRPr="00C317D5">
        <w:tab/>
      </w:r>
      <w:hyperlink r:id="rId82" w:history="1">
        <w:r w:rsidR="00176E58" w:rsidRPr="00C317D5">
          <w:rPr>
            <w:rStyle w:val="Hyperlink"/>
            <w:rFonts w:eastAsia="Calibri"/>
            <w:szCs w:val="24"/>
          </w:rPr>
          <w:t>Día Marítimo Mundial 2022: aprovechar las tecnologías y la normativa para un transporte marítimo más ecológico</w:t>
        </w:r>
      </w:hyperlink>
    </w:p>
    <w:p w14:paraId="110618A3" w14:textId="28F6CB2F" w:rsidR="00271E68" w:rsidRPr="00C317D5" w:rsidRDefault="009D6122" w:rsidP="009D6122">
      <w:pPr>
        <w:pStyle w:val="enumlev1"/>
        <w:rPr>
          <w:rFonts w:eastAsia="Calibri"/>
        </w:rPr>
      </w:pPr>
      <w:r w:rsidRPr="00C317D5">
        <w:t>•</w:t>
      </w:r>
      <w:r w:rsidRPr="00C317D5">
        <w:tab/>
      </w:r>
      <w:r w:rsidR="00176E58" w:rsidRPr="00C317D5">
        <w:rPr>
          <w:rFonts w:eastAsia="Calibri"/>
          <w:szCs w:val="24"/>
        </w:rPr>
        <w:t>Semana Mundial del Espacio</w:t>
      </w:r>
      <w:r w:rsidR="00271E68" w:rsidRPr="00C317D5">
        <w:rPr>
          <w:rFonts w:eastAsia="Calibri"/>
          <w:szCs w:val="24"/>
        </w:rPr>
        <w:t xml:space="preserve">: </w:t>
      </w:r>
      <w:hyperlink r:id="rId83" w:history="1">
        <w:r w:rsidR="00176E58" w:rsidRPr="00C317D5">
          <w:rPr>
            <w:rStyle w:val="Hyperlink"/>
            <w:rFonts w:eastAsia="Calibri"/>
            <w:szCs w:val="24"/>
          </w:rPr>
          <w:t>Los datos geoespaciales revelan una Tierra cambiante</w:t>
        </w:r>
      </w:hyperlink>
    </w:p>
    <w:p w14:paraId="31EBD94B" w14:textId="35CF7E57" w:rsidR="00271E68" w:rsidRPr="00C317D5" w:rsidRDefault="009D6122" w:rsidP="009D6122">
      <w:pPr>
        <w:pStyle w:val="enumlev1"/>
        <w:rPr>
          <w:rFonts w:eastAsia="Calibri"/>
        </w:rPr>
      </w:pPr>
      <w:r w:rsidRPr="00C317D5">
        <w:t>•</w:t>
      </w:r>
      <w:r w:rsidRPr="00C317D5">
        <w:tab/>
      </w:r>
      <w:hyperlink r:id="rId84" w:history="1">
        <w:r w:rsidR="00176E58" w:rsidRPr="00C317D5">
          <w:rPr>
            <w:rStyle w:val="Hyperlink"/>
            <w:rFonts w:eastAsia="Calibri"/>
            <w:szCs w:val="24"/>
          </w:rPr>
          <w:t>Sinergias para la sostenibilidad del especio ultraterrestre: lecciones de las experiencias de la</w:t>
        </w:r>
        <w:r w:rsidR="001E4E41" w:rsidRPr="00C317D5">
          <w:rPr>
            <w:rStyle w:val="Hyperlink"/>
            <w:rFonts w:eastAsia="Calibri"/>
            <w:szCs w:val="24"/>
          </w:rPr>
          <w:t> </w:t>
        </w:r>
        <w:r w:rsidR="00176E58" w:rsidRPr="00C317D5">
          <w:rPr>
            <w:rStyle w:val="Hyperlink"/>
            <w:rFonts w:eastAsia="Calibri"/>
            <w:szCs w:val="24"/>
          </w:rPr>
          <w:t>UIT</w:t>
        </w:r>
      </w:hyperlink>
    </w:p>
    <w:p w14:paraId="3FFBCEF0" w14:textId="33263063" w:rsidR="00271E68" w:rsidRPr="00C317D5" w:rsidRDefault="009D6122" w:rsidP="009D6122">
      <w:pPr>
        <w:pStyle w:val="enumlev1"/>
        <w:rPr>
          <w:rFonts w:eastAsia="Calibri"/>
        </w:rPr>
      </w:pPr>
      <w:r w:rsidRPr="00C317D5">
        <w:t>•</w:t>
      </w:r>
      <w:r w:rsidRPr="00C317D5">
        <w:tab/>
      </w:r>
      <w:r w:rsidR="00176E58" w:rsidRPr="00C317D5">
        <w:rPr>
          <w:rFonts w:eastAsia="Calibri"/>
          <w:szCs w:val="24"/>
        </w:rPr>
        <w:t>Día Mundial de la Televisión</w:t>
      </w:r>
      <w:r w:rsidR="00271E68" w:rsidRPr="00C317D5">
        <w:rPr>
          <w:rFonts w:eastAsia="Calibri"/>
          <w:szCs w:val="24"/>
        </w:rPr>
        <w:t xml:space="preserve"> 2022: </w:t>
      </w:r>
      <w:hyperlink r:id="rId85" w:history="1">
        <w:r w:rsidR="0075093B" w:rsidRPr="00C317D5">
          <w:rPr>
            <w:rStyle w:val="Hyperlink"/>
            <w:rFonts w:eastAsia="Calibri"/>
            <w:szCs w:val="24"/>
          </w:rPr>
          <w:t>Por qué la televisión terrestre es crucial en tiempos de crisis</w:t>
        </w:r>
      </w:hyperlink>
    </w:p>
    <w:p w14:paraId="115840AF" w14:textId="082D2EF7" w:rsidR="00271E68" w:rsidRPr="00C317D5" w:rsidRDefault="0075093B" w:rsidP="00271E68">
      <w:pPr>
        <w:spacing w:line="257" w:lineRule="auto"/>
        <w:rPr>
          <w:rFonts w:eastAsia="Calibri"/>
          <w:szCs w:val="24"/>
        </w:rPr>
      </w:pPr>
      <w:r w:rsidRPr="00C317D5">
        <w:rPr>
          <w:rFonts w:eastAsia="Calibri"/>
          <w:szCs w:val="24"/>
        </w:rPr>
        <w:t>Como parte de la promoción del Seminario Mundial de Radiocomunicaciones (SMR-22) se publicaron los siguientes nuevos blogs</w:t>
      </w:r>
      <w:r w:rsidR="00271E68" w:rsidRPr="00C317D5">
        <w:rPr>
          <w:rFonts w:eastAsia="Calibri"/>
          <w:szCs w:val="24"/>
        </w:rPr>
        <w:t>.</w:t>
      </w:r>
    </w:p>
    <w:p w14:paraId="01B62928" w14:textId="5B1B09D9" w:rsidR="00271E68" w:rsidRPr="00C317D5" w:rsidRDefault="009D6122" w:rsidP="009D6122">
      <w:pPr>
        <w:pStyle w:val="enumlev1"/>
      </w:pPr>
      <w:r w:rsidRPr="00C317D5">
        <w:t>•</w:t>
      </w:r>
      <w:r w:rsidRPr="00C317D5">
        <w:tab/>
      </w:r>
      <w:hyperlink r:id="rId86" w:history="1">
        <w:r w:rsidR="0075093B" w:rsidRPr="00C317D5">
          <w:rPr>
            <w:rStyle w:val="Hyperlink"/>
            <w:szCs w:val="24"/>
          </w:rPr>
          <w:t>La armonización mundial allana el camino hacia la CMR-23</w:t>
        </w:r>
      </w:hyperlink>
    </w:p>
    <w:p w14:paraId="4455A41F" w14:textId="3755B967" w:rsidR="00271E68" w:rsidRPr="00C317D5" w:rsidRDefault="009D6122" w:rsidP="009D6122">
      <w:pPr>
        <w:pStyle w:val="enumlev1"/>
      </w:pPr>
      <w:r w:rsidRPr="00C317D5">
        <w:t>•</w:t>
      </w:r>
      <w:r w:rsidRPr="00C317D5">
        <w:tab/>
      </w:r>
      <w:hyperlink r:id="rId87" w:history="1">
        <w:r w:rsidR="0075093B" w:rsidRPr="00C317D5">
          <w:rPr>
            <w:rStyle w:val="Hyperlink"/>
            <w:szCs w:val="24"/>
          </w:rPr>
          <w:t>La búsqueda de un futuro de las radiocomunicaciones equilibrado entre hombres y mujeres</w:t>
        </w:r>
      </w:hyperlink>
    </w:p>
    <w:p w14:paraId="248602C5" w14:textId="6EB669A6" w:rsidR="00271E68" w:rsidRPr="00C317D5" w:rsidRDefault="009D6122" w:rsidP="009D6122">
      <w:pPr>
        <w:pStyle w:val="enumlev1"/>
      </w:pPr>
      <w:r w:rsidRPr="00C317D5">
        <w:t>•</w:t>
      </w:r>
      <w:r w:rsidRPr="00C317D5">
        <w:tab/>
      </w:r>
      <w:hyperlink r:id="rId88" w:history="1">
        <w:r w:rsidR="0075093B" w:rsidRPr="00C317D5">
          <w:rPr>
            <w:rStyle w:val="Hyperlink"/>
            <w:szCs w:val="24"/>
          </w:rPr>
          <w:t>Regulación de los satélites en órbita terrestre</w:t>
        </w:r>
      </w:hyperlink>
    </w:p>
    <w:p w14:paraId="44251150" w14:textId="66FFFF36" w:rsidR="00271E68" w:rsidRPr="00C317D5" w:rsidRDefault="009D6122" w:rsidP="009D6122">
      <w:pPr>
        <w:pStyle w:val="enumlev1"/>
      </w:pPr>
      <w:r w:rsidRPr="00C317D5">
        <w:t>•</w:t>
      </w:r>
      <w:r w:rsidRPr="00C317D5">
        <w:tab/>
      </w:r>
      <w:hyperlink r:id="rId89" w:history="1">
        <w:r w:rsidR="0075093B" w:rsidRPr="00C317D5">
          <w:rPr>
            <w:rStyle w:val="Hyperlink"/>
            <w:szCs w:val="24"/>
          </w:rPr>
          <w:t>Funcionamiento de las Comisiones de Estudio del UIT-R</w:t>
        </w:r>
      </w:hyperlink>
    </w:p>
    <w:p w14:paraId="5D160A6B" w14:textId="05EEA8D7" w:rsidR="00271E68" w:rsidRPr="00C317D5" w:rsidRDefault="009D6122" w:rsidP="009D6122">
      <w:pPr>
        <w:pStyle w:val="enumlev1"/>
      </w:pPr>
      <w:r w:rsidRPr="00C317D5">
        <w:t>•</w:t>
      </w:r>
      <w:r w:rsidRPr="00C317D5">
        <w:tab/>
      </w:r>
      <w:hyperlink r:id="rId90" w:history="1">
        <w:r w:rsidR="0075093B" w:rsidRPr="00C317D5">
          <w:rPr>
            <w:rStyle w:val="Hyperlink"/>
            <w:szCs w:val="24"/>
          </w:rPr>
          <w:t>Balance de los servicios terrestres</w:t>
        </w:r>
      </w:hyperlink>
    </w:p>
    <w:p w14:paraId="319A9B57" w14:textId="2FCFFB00" w:rsidR="00271E68" w:rsidRPr="00C317D5" w:rsidRDefault="009D6122" w:rsidP="009D6122">
      <w:pPr>
        <w:pStyle w:val="enumlev1"/>
      </w:pPr>
      <w:r w:rsidRPr="00C317D5">
        <w:t>•</w:t>
      </w:r>
      <w:r w:rsidRPr="00C317D5">
        <w:tab/>
      </w:r>
      <w:hyperlink r:id="rId91" w:history="1">
        <w:r w:rsidR="0075093B" w:rsidRPr="00C317D5">
          <w:rPr>
            <w:rStyle w:val="Hyperlink"/>
            <w:szCs w:val="24"/>
          </w:rPr>
          <w:t>Tendencias de la banda ancha móvil de 3G a 6G</w:t>
        </w:r>
      </w:hyperlink>
    </w:p>
    <w:p w14:paraId="134624BC" w14:textId="58DCFFFF" w:rsidR="00271E68" w:rsidRPr="00C317D5" w:rsidRDefault="009D6122" w:rsidP="009D6122">
      <w:pPr>
        <w:pStyle w:val="enumlev1"/>
      </w:pPr>
      <w:r w:rsidRPr="00C317D5">
        <w:t>•</w:t>
      </w:r>
      <w:r w:rsidRPr="00C317D5">
        <w:tab/>
      </w:r>
      <w:hyperlink r:id="rId92" w:history="1">
        <w:r w:rsidR="0075093B" w:rsidRPr="00C317D5">
          <w:rPr>
            <w:rStyle w:val="Hyperlink"/>
            <w:szCs w:val="24"/>
          </w:rPr>
          <w:t>Tendencias en las comunicaciones marítimas</w:t>
        </w:r>
      </w:hyperlink>
    </w:p>
    <w:p w14:paraId="04FC08C2" w14:textId="3155C10A" w:rsidR="00271E68" w:rsidRPr="00C317D5" w:rsidRDefault="009D6122" w:rsidP="009D6122">
      <w:pPr>
        <w:pStyle w:val="enumlev1"/>
      </w:pPr>
      <w:r w:rsidRPr="00C317D5">
        <w:lastRenderedPageBreak/>
        <w:t>•</w:t>
      </w:r>
      <w:r w:rsidRPr="00C317D5">
        <w:tab/>
      </w:r>
      <w:hyperlink r:id="rId93" w:history="1">
        <w:r w:rsidR="0075093B" w:rsidRPr="00C317D5">
          <w:rPr>
            <w:rStyle w:val="Hyperlink"/>
            <w:szCs w:val="24"/>
          </w:rPr>
          <w:t>Seguimiento de las últimas tendencias en radiodifusión</w:t>
        </w:r>
      </w:hyperlink>
    </w:p>
    <w:p w14:paraId="53E8A064" w14:textId="41DB6996" w:rsidR="00271E68" w:rsidRPr="00C317D5" w:rsidRDefault="009D6122" w:rsidP="009D6122">
      <w:pPr>
        <w:pStyle w:val="enumlev1"/>
        <w:rPr>
          <w:rFonts w:eastAsia="SimSun" w:cs="Arial"/>
        </w:rPr>
      </w:pPr>
      <w:r w:rsidRPr="00C317D5">
        <w:t>•</w:t>
      </w:r>
      <w:r w:rsidRPr="00C317D5">
        <w:tab/>
      </w:r>
      <w:hyperlink r:id="rId94" w:history="1">
        <w:r w:rsidR="0075093B" w:rsidRPr="00C317D5">
          <w:rPr>
            <w:rStyle w:val="Hyperlink"/>
            <w:szCs w:val="24"/>
          </w:rPr>
          <w:t>Nuevas herramientas para navegar y aplicar el Reglamento de Radiocomunicaciones</w:t>
        </w:r>
      </w:hyperlink>
    </w:p>
    <w:p w14:paraId="7F70989D" w14:textId="77777777" w:rsidR="00B27BCB" w:rsidRPr="00C317D5" w:rsidRDefault="00B27BCB" w:rsidP="00BF3C52">
      <w:pPr>
        <w:pStyle w:val="Heading4"/>
      </w:pPr>
      <w:r w:rsidRPr="00C317D5">
        <w:t>8.6.2.2</w:t>
      </w:r>
      <w:r w:rsidRPr="00C317D5">
        <w:tab/>
        <w:t xml:space="preserve">Comunicaciones de marca, ventas y </w:t>
      </w:r>
      <w:r w:rsidRPr="00C317D5">
        <w:rPr>
          <w:i/>
          <w:iCs/>
        </w:rPr>
        <w:t>marketing</w:t>
      </w:r>
    </w:p>
    <w:p w14:paraId="1D9BCA8E" w14:textId="363DDB0D" w:rsidR="00B27BCB" w:rsidRPr="00C317D5" w:rsidRDefault="00B27BCB" w:rsidP="00057F51">
      <w:pPr>
        <w:rPr>
          <w:u w:val="single"/>
        </w:rPr>
      </w:pPr>
      <w:r w:rsidRPr="00C317D5">
        <w:t>Las actividades de marca y comunicación realizadas a lo largo del año 202</w:t>
      </w:r>
      <w:r w:rsidR="0075093B" w:rsidRPr="00C317D5">
        <w:t>2</w:t>
      </w:r>
      <w:r w:rsidRPr="00C317D5">
        <w:t xml:space="preserve"> se centraron en la utilización de la nueva plataforma</w:t>
      </w:r>
      <w:r w:rsidR="00057F51" w:rsidRPr="00C317D5">
        <w:t xml:space="preserve"> </w:t>
      </w:r>
      <w:hyperlink r:id="rId95" w:history="1">
        <w:r w:rsidR="00057F51" w:rsidRPr="00C317D5">
          <w:rPr>
            <w:rStyle w:val="Hyperlink"/>
            <w:rFonts w:eastAsia="SimSun"/>
          </w:rPr>
          <w:t>Polo de Actualidades</w:t>
        </w:r>
      </w:hyperlink>
      <w:r w:rsidRPr="00C317D5">
        <w:t xml:space="preserve"> </w:t>
      </w:r>
      <w:r w:rsidR="0075093B" w:rsidRPr="00C317D5">
        <w:t>de la UIT</w:t>
      </w:r>
      <w:r w:rsidRPr="00C317D5">
        <w:t xml:space="preserve"> en colaboración con ventas y </w:t>
      </w:r>
      <w:r w:rsidRPr="00C317D5">
        <w:rPr>
          <w:i/>
          <w:iCs/>
        </w:rPr>
        <w:t>marketing</w:t>
      </w:r>
      <w:r w:rsidRPr="00C317D5">
        <w:t xml:space="preserve"> para promover las siguientes publicaciones</w:t>
      </w:r>
      <w:r w:rsidR="0075093B" w:rsidRPr="00C317D5">
        <w:t xml:space="preserve">, bases de datos y </w:t>
      </w:r>
      <w:r w:rsidR="0075093B" w:rsidRPr="00C317D5">
        <w:rPr>
          <w:i/>
          <w:iCs/>
        </w:rPr>
        <w:t>software</w:t>
      </w:r>
      <w:r w:rsidRPr="00C317D5">
        <w:t xml:space="preserve"> del UIT-R:</w:t>
      </w:r>
    </w:p>
    <w:p w14:paraId="528E5178" w14:textId="196E67E0" w:rsidR="0075093B" w:rsidRPr="00C317D5" w:rsidRDefault="009D6122" w:rsidP="009D6122">
      <w:pPr>
        <w:pStyle w:val="enumlev1"/>
      </w:pPr>
      <w:r w:rsidRPr="00C317D5">
        <w:t>•</w:t>
      </w:r>
      <w:r w:rsidRPr="00C317D5">
        <w:tab/>
      </w:r>
      <w:hyperlink r:id="rId96" w:history="1">
        <w:r w:rsidR="0075093B" w:rsidRPr="00C317D5">
          <w:rPr>
            <w:rStyle w:val="Hyperlink"/>
            <w:color w:val="0000FF"/>
          </w:rPr>
          <w:t>Space</w:t>
        </w:r>
        <w:r w:rsidR="0075093B" w:rsidRPr="00C317D5">
          <w:rPr>
            <w:rStyle w:val="Hyperlink"/>
          </w:rPr>
          <w:t xml:space="preserve"> Explorer</w:t>
        </w:r>
      </w:hyperlink>
    </w:p>
    <w:p w14:paraId="38D8492D" w14:textId="3B93C1AF" w:rsidR="0075093B" w:rsidRPr="00C317D5" w:rsidRDefault="009D6122" w:rsidP="009D6122">
      <w:pPr>
        <w:pStyle w:val="enumlev1"/>
      </w:pPr>
      <w:r w:rsidRPr="00C317D5">
        <w:t>•</w:t>
      </w:r>
      <w:r w:rsidRPr="00C317D5">
        <w:tab/>
      </w:r>
      <w:hyperlink r:id="rId97" w:history="1">
        <w:r w:rsidR="0075093B" w:rsidRPr="00C317D5">
          <w:rPr>
            <w:rStyle w:val="Hyperlink"/>
          </w:rPr>
          <w:t>Folleto de la CMR-23</w:t>
        </w:r>
      </w:hyperlink>
    </w:p>
    <w:p w14:paraId="5C7C225B" w14:textId="2E7A3117" w:rsidR="0075093B" w:rsidRPr="00C317D5" w:rsidRDefault="009D6122" w:rsidP="009D6122">
      <w:pPr>
        <w:pStyle w:val="enumlev1"/>
      </w:pPr>
      <w:r w:rsidRPr="00C317D5">
        <w:t>•</w:t>
      </w:r>
      <w:r w:rsidRPr="00C317D5">
        <w:tab/>
      </w:r>
      <w:hyperlink r:id="rId98" w:history="1">
        <w:r w:rsidR="0075093B" w:rsidRPr="00C317D5">
          <w:rPr>
            <w:rStyle w:val="Hyperlink"/>
          </w:rPr>
          <w:t>Lista V – Nomenclátor de las estaciones de barco y asignaciones de identidades del servicio móvil marítimo 2022</w:t>
        </w:r>
      </w:hyperlink>
    </w:p>
    <w:p w14:paraId="213EE330" w14:textId="20BA0305" w:rsidR="0075093B" w:rsidRPr="00C317D5" w:rsidRDefault="009D6122" w:rsidP="009D6122">
      <w:pPr>
        <w:pStyle w:val="enumlev1"/>
      </w:pPr>
      <w:r w:rsidRPr="00C317D5">
        <w:t>•</w:t>
      </w:r>
      <w:r w:rsidRPr="00C317D5">
        <w:tab/>
      </w:r>
      <w:hyperlink r:id="rId99" w:history="1">
        <w:r w:rsidR="0075093B" w:rsidRPr="00C317D5">
          <w:rPr>
            <w:rStyle w:val="Hyperlink"/>
          </w:rPr>
          <w:t>Herramientas de navegación del Reglamento de Radiocomunicaciones</w:t>
        </w:r>
      </w:hyperlink>
    </w:p>
    <w:p w14:paraId="6D05180E" w14:textId="77777777" w:rsidR="00B27BCB" w:rsidRPr="00C317D5" w:rsidRDefault="00B27BCB" w:rsidP="00B27BCB">
      <w:pPr>
        <w:pStyle w:val="Heading4"/>
      </w:pPr>
      <w:r w:rsidRPr="00C317D5">
        <w:t>8.6.2.3</w:t>
      </w:r>
      <w:r w:rsidRPr="00C317D5">
        <w:tab/>
        <w:t>Exposiciones y demostraciones</w:t>
      </w:r>
    </w:p>
    <w:p w14:paraId="05004EC2" w14:textId="77DA132F" w:rsidR="00CF16E6" w:rsidRPr="00C317D5" w:rsidRDefault="0075093B" w:rsidP="00B27BCB">
      <w:pPr>
        <w:textAlignment w:val="auto"/>
      </w:pPr>
      <w:r w:rsidRPr="00C317D5">
        <w:t>N</w:t>
      </w:r>
      <w:r w:rsidR="00B27BCB" w:rsidRPr="00C317D5">
        <w:t>o se han realizado exposiciones y demostraciones durante este periodo.</w:t>
      </w:r>
    </w:p>
    <w:p w14:paraId="71860FAE" w14:textId="77777777" w:rsidR="00B27BCB" w:rsidRPr="00C317D5" w:rsidRDefault="00B27BCB" w:rsidP="00B27BCB">
      <w:pPr>
        <w:pStyle w:val="Heading2"/>
      </w:pPr>
      <w:r w:rsidRPr="00C317D5">
        <w:t>8.7</w:t>
      </w:r>
      <w:r w:rsidRPr="00C317D5">
        <w:tab/>
        <w:t>Igualdad de género</w:t>
      </w:r>
    </w:p>
    <w:p w14:paraId="3F1468E4" w14:textId="1DA5B002" w:rsidR="00B27BCB" w:rsidRPr="00C317D5" w:rsidRDefault="00B27BCB" w:rsidP="009C5E9D">
      <w:r w:rsidRPr="00C317D5">
        <w:t>La promoción de la igualdad de género en todas las esferas de la actual sociedad digital nunca ha sido tan esencial como ahora, cuando el mundo se embarca en el Decenio de Acción para lograr la Agenda</w:t>
      </w:r>
      <w:r w:rsidR="00E451E0" w:rsidRPr="00C317D5">
        <w:t> </w:t>
      </w:r>
      <w:r w:rsidRPr="00C317D5">
        <w:t>2030 para el Desarrollo Sostenible. Las tecnologías digitales son esenciales para alcanzar los 17</w:t>
      </w:r>
      <w:r w:rsidR="001E3169" w:rsidRPr="00C317D5">
        <w:t> </w:t>
      </w:r>
      <w:r w:rsidRPr="00C317D5">
        <w:t xml:space="preserve">Objetivos de Desarrollo Sostenible y aumentar la proporción de mujeres que disponen de acceso a las tecnologías digitales y las utilizan para mejorar sus vidas y, por extensión, la mejora de las vidas de sus familias y sociedad es un desafío de desarrollo que nos interesa a todos. </w:t>
      </w:r>
    </w:p>
    <w:p w14:paraId="0D08D536" w14:textId="7734486F" w:rsidR="00B27BCB" w:rsidRPr="00C317D5" w:rsidRDefault="00B27BCB" w:rsidP="00B27BCB">
      <w:pPr>
        <w:textAlignment w:val="auto"/>
      </w:pPr>
      <w:r w:rsidRPr="00C317D5">
        <w:rPr>
          <w:bCs/>
        </w:rPr>
        <w:t>En 202</w:t>
      </w:r>
      <w:r w:rsidR="000A5280" w:rsidRPr="00C317D5">
        <w:rPr>
          <w:bCs/>
        </w:rPr>
        <w:t>2</w:t>
      </w:r>
      <w:r w:rsidRPr="00C317D5">
        <w:rPr>
          <w:bCs/>
        </w:rPr>
        <w:t>, se lograron avances en las siguientes actividades:</w:t>
      </w:r>
    </w:p>
    <w:p w14:paraId="26E83F0D" w14:textId="77777777" w:rsidR="00B27BCB" w:rsidRPr="00C317D5" w:rsidRDefault="00B27BCB" w:rsidP="00B27BCB">
      <w:pPr>
        <w:pStyle w:val="Heading3"/>
      </w:pPr>
      <w:r w:rsidRPr="00C317D5">
        <w:t>8.7.1</w:t>
      </w:r>
      <w:r w:rsidRPr="00C317D5">
        <w:tab/>
        <w:t>Grupo por Correspondencia del GAR sobre Cuestiones de Género</w:t>
      </w:r>
    </w:p>
    <w:p w14:paraId="36C7A5AC" w14:textId="175B4AA4" w:rsidR="00B27BCB" w:rsidRPr="00C317D5" w:rsidRDefault="00B27BCB" w:rsidP="00B27BCB">
      <w:r w:rsidRPr="00C317D5">
        <w:t xml:space="preserve">Los trabajos del Grupo por Correspondencia sobre Cuestiones de Género del GAR </w:t>
      </w:r>
      <w:r w:rsidR="000A5280" w:rsidRPr="00C317D5">
        <w:t xml:space="preserve">desde la última reunión del GAR </w:t>
      </w:r>
      <w:r w:rsidRPr="00C317D5">
        <w:t xml:space="preserve">se describen en </w:t>
      </w:r>
      <w:r w:rsidR="000A5280" w:rsidRPr="00C317D5">
        <w:t>un</w:t>
      </w:r>
      <w:r w:rsidRPr="00C317D5">
        <w:t xml:space="preserve"> informe independiente</w:t>
      </w:r>
      <w:r w:rsidR="000A5280" w:rsidRPr="00C317D5">
        <w:t xml:space="preserve"> (Documento</w:t>
      </w:r>
      <w:r w:rsidR="00777DAB" w:rsidRPr="00C317D5">
        <w:t xml:space="preserve"> </w:t>
      </w:r>
      <w:hyperlink r:id="rId100" w:history="1">
        <w:r w:rsidR="000A5280" w:rsidRPr="00C317D5">
          <w:rPr>
            <w:rStyle w:val="Hyperlink"/>
            <w:bCs/>
            <w:szCs w:val="24"/>
          </w:rPr>
          <w:t>RAG/60-</w:t>
        </w:r>
        <w:r w:rsidR="00AB6628" w:rsidRPr="00C317D5">
          <w:rPr>
            <w:rStyle w:val="Hyperlink"/>
            <w:bCs/>
            <w:szCs w:val="24"/>
          </w:rPr>
          <w:t>S</w:t>
        </w:r>
      </w:hyperlink>
      <w:r w:rsidR="000A5280" w:rsidRPr="00C317D5">
        <w:rPr>
          <w:rFonts w:eastAsia="Calibri"/>
          <w:szCs w:val="24"/>
        </w:rPr>
        <w:t>)</w:t>
      </w:r>
      <w:r w:rsidRPr="00C317D5">
        <w:t xml:space="preserve"> a </w:t>
      </w:r>
      <w:r w:rsidR="000A5280" w:rsidRPr="00C317D5">
        <w:t>esta</w:t>
      </w:r>
      <w:r w:rsidRPr="00C317D5">
        <w:t xml:space="preserve"> reunión.</w:t>
      </w:r>
    </w:p>
    <w:p w14:paraId="242B8A0F" w14:textId="77777777" w:rsidR="00B27BCB" w:rsidRPr="00C317D5" w:rsidRDefault="00B27BCB" w:rsidP="00B27BCB">
      <w:pPr>
        <w:pStyle w:val="Heading3"/>
      </w:pPr>
      <w:r w:rsidRPr="00C317D5">
        <w:t>8.7.2</w:t>
      </w:r>
      <w:r w:rsidRPr="00C317D5">
        <w:tab/>
        <w:t>Red de mujeres para la CMR-23 (#NOW4WRC23)</w:t>
      </w:r>
    </w:p>
    <w:p w14:paraId="2992CEA6" w14:textId="2C888AC6" w:rsidR="000A5280" w:rsidRPr="00C317D5" w:rsidRDefault="00B27BCB" w:rsidP="008479E7">
      <w:r w:rsidRPr="00C317D5">
        <w:t xml:space="preserve">A nivel mundial, NOW4WRC23 </w:t>
      </w:r>
      <w:r w:rsidR="000A5280" w:rsidRPr="00C317D5">
        <w:t>incluye</w:t>
      </w:r>
      <w:r w:rsidRPr="00C317D5">
        <w:t xml:space="preserve"> un programa de tutoría que pone en contacto a mentoras y alumnas que participan en los trabajos del UIT-R y que tienen áreas de interés comunes. A nivel regional, la iniciativa NOW4WRC23 está dirigida por las copresidentas regionales de NOW4WRC23, que llevan a cabo programas y talleres regionales de tutoría junto con las reuniones de sus organizaciones regionales de telecomunicaciones asociadas. </w:t>
      </w:r>
    </w:p>
    <w:p w14:paraId="0ADC43D0" w14:textId="4DA844BB" w:rsidR="000A5280" w:rsidRPr="00C317D5" w:rsidRDefault="000A5280" w:rsidP="00B27BCB">
      <w:r w:rsidRPr="00C317D5">
        <w:t>Se celebró una sesión</w:t>
      </w:r>
      <w:r w:rsidR="00B27BCB" w:rsidRPr="00C317D5">
        <w:t xml:space="preserve"> NOW4WRC23 </w:t>
      </w:r>
      <w:r w:rsidRPr="00C317D5">
        <w:t>durante el 2º Taller Interregional</w:t>
      </w:r>
      <w:r w:rsidR="00B27BCB" w:rsidRPr="00C317D5">
        <w:t xml:space="preserve"> para la preparación de la CMR-23, </w:t>
      </w:r>
      <w:r w:rsidRPr="00C317D5">
        <w:t>que recibió una buena acogida y en la que se presentaron actividades regionales de cada una de las regiones.</w:t>
      </w:r>
    </w:p>
    <w:p w14:paraId="71353BB8" w14:textId="77777777" w:rsidR="000A5280" w:rsidRPr="00C317D5" w:rsidRDefault="000A5280" w:rsidP="00B27BCB">
      <w:pPr>
        <w:rPr>
          <w:b/>
          <w:bCs/>
        </w:rPr>
      </w:pPr>
      <w:r w:rsidRPr="00C317D5">
        <w:rPr>
          <w:b/>
          <w:bCs/>
        </w:rPr>
        <w:t>Programa de tutoría NOW4WRC23</w:t>
      </w:r>
    </w:p>
    <w:p w14:paraId="2F771CFE" w14:textId="38933B5A" w:rsidR="000A5280" w:rsidRPr="00C317D5" w:rsidRDefault="000A5280" w:rsidP="000A5280">
      <w:r w:rsidRPr="00C317D5">
        <w:t xml:space="preserve">Las coordinadoras de </w:t>
      </w:r>
      <w:r w:rsidR="00B27BCB" w:rsidRPr="00C317D5">
        <w:t xml:space="preserve">NOW4WRC23 </w:t>
      </w:r>
      <w:r w:rsidRPr="00C317D5">
        <w:t>dieron cuenta de las numerosas actividades que se realizan en las Regiones. Por su parte, la UIT llevó a cabo dos presentaciones en el SMR-22 que contaron con una asistencia notable.</w:t>
      </w:r>
    </w:p>
    <w:p w14:paraId="3D234412" w14:textId="24016556" w:rsidR="00B27BCB" w:rsidRPr="00C317D5" w:rsidRDefault="000A5280" w:rsidP="00B27BCB">
      <w:r w:rsidRPr="00C317D5">
        <w:t xml:space="preserve">En cuanto al programa de tutoría, el número de mentoras del programa no ha aumentado notablemente. Por el momento lo mejor parece seguir trabajando durante los eventos y recibir información de las participantes. Algunas parejas tienen bastante éxito, otras son menos dinámicas. Podría ayudarse a las participantes a resolver los eventuales problemas que encuentren y determinar </w:t>
      </w:r>
      <w:r w:rsidRPr="00C317D5">
        <w:lastRenderedPageBreak/>
        <w:t>cómo mejorar la relación mentora/alumna. Se ha creado una hoja Excel para la gestión de las parejas.</w:t>
      </w:r>
    </w:p>
    <w:p w14:paraId="649959D9" w14:textId="7BBCB21C" w:rsidR="000A5280" w:rsidRPr="00C317D5" w:rsidRDefault="000A5280" w:rsidP="00B27BCB">
      <w:r w:rsidRPr="00C317D5">
        <w:t>Se realizó una encuesta a las alumnas preguntándoles sobre su experiencia en otros organismos en cuanto a la representación de las mujeres se refiere.</w:t>
      </w:r>
    </w:p>
    <w:p w14:paraId="0CF72F26" w14:textId="77777777" w:rsidR="00B27BCB" w:rsidRPr="00C317D5" w:rsidRDefault="00B27BCB" w:rsidP="00B27BCB">
      <w:pPr>
        <w:pStyle w:val="Heading1"/>
      </w:pPr>
      <w:r w:rsidRPr="00C317D5">
        <w:t>9</w:t>
      </w:r>
      <w:r w:rsidRPr="00C317D5">
        <w:tab/>
        <w:t>Resto de acciones de seguimiento solicitadas por el GAR en su reunión de 2021</w:t>
      </w:r>
    </w:p>
    <w:p w14:paraId="0882B765" w14:textId="2A2482CC" w:rsidR="00BF3C52" w:rsidRPr="00C317D5" w:rsidRDefault="00453F0C" w:rsidP="002E6301">
      <w:r w:rsidRPr="00C317D5">
        <w:t xml:space="preserve">El Departamento de Comisiones de Estudio de la BR dio </w:t>
      </w:r>
      <w:r w:rsidR="00B27BCB" w:rsidRPr="00C317D5">
        <w:t>respuesta a las solicitudes del GAR en su reunión de 202</w:t>
      </w:r>
      <w:r w:rsidR="000A5280" w:rsidRPr="00C317D5">
        <w:t>2</w:t>
      </w:r>
      <w:r w:rsidR="00B27BCB" w:rsidRPr="00C317D5">
        <w:t>, contenidas en el resumen de conclusiones (Circular Administrativa</w:t>
      </w:r>
      <w:r w:rsidR="00824922" w:rsidRPr="00C317D5">
        <w:t> </w:t>
      </w:r>
      <w:hyperlink r:id="rId101" w:history="1">
        <w:r w:rsidR="000A5280" w:rsidRPr="00C317D5">
          <w:rPr>
            <w:rStyle w:val="Hyperlink"/>
          </w:rPr>
          <w:t>CA/260</w:t>
        </w:r>
      </w:hyperlink>
      <w:r w:rsidR="00B27BCB" w:rsidRPr="00C317D5">
        <w:t xml:space="preserve">), </w:t>
      </w:r>
      <w:r w:rsidRPr="00C317D5">
        <w:t xml:space="preserve">como se presenta en la </w:t>
      </w:r>
      <w:r w:rsidR="0027511E" w:rsidRPr="00C317D5">
        <w:t xml:space="preserve">sección </w:t>
      </w:r>
      <w:r w:rsidRPr="00C317D5">
        <w:t>9 del Addéndum</w:t>
      </w:r>
      <w:r w:rsidR="00B27BCB" w:rsidRPr="00C317D5">
        <w:t xml:space="preserve"> 1 al presente documento.</w:t>
      </w:r>
    </w:p>
    <w:p w14:paraId="6F04A37F" w14:textId="5685D674" w:rsidR="002E6301" w:rsidRPr="00C317D5" w:rsidRDefault="002E6301" w:rsidP="00777DAB"/>
    <w:p w14:paraId="678104C4" w14:textId="77777777" w:rsidR="00ED0A4D" w:rsidRPr="00C317D5" w:rsidRDefault="00ED0A4D" w:rsidP="00330891">
      <w:pPr>
        <w:spacing w:before="0"/>
      </w:pPr>
    </w:p>
    <w:p w14:paraId="20013E24" w14:textId="3124BBD4" w:rsidR="002E6301" w:rsidRDefault="002E6301">
      <w:pPr>
        <w:jc w:val="center"/>
        <w:rPr>
          <w:lang w:val="es-ES"/>
        </w:rPr>
      </w:pPr>
      <w:r w:rsidRPr="008F54BE">
        <w:rPr>
          <w:lang w:val="es-ES"/>
        </w:rPr>
        <w:t>______________</w:t>
      </w:r>
    </w:p>
    <w:sectPr w:rsidR="002E6301" w:rsidSect="00145E50">
      <w:headerReference w:type="default" r:id="rId102"/>
      <w:footerReference w:type="default" r:id="rId103"/>
      <w:footerReference w:type="first" r:id="rId104"/>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7AFE4" w14:textId="77777777" w:rsidR="00CF38BD" w:rsidRDefault="00CF38BD">
      <w:r>
        <w:separator/>
      </w:r>
    </w:p>
  </w:endnote>
  <w:endnote w:type="continuationSeparator" w:id="0">
    <w:p w14:paraId="091DA6CF" w14:textId="77777777" w:rsidR="00CF38BD" w:rsidRDefault="00CF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78F55" w14:textId="552FC111" w:rsidR="00CF38BD" w:rsidRPr="00453F0C" w:rsidRDefault="00CF38BD" w:rsidP="0027511E">
    <w:pPr>
      <w:pStyle w:val="Footer"/>
    </w:pPr>
    <w:r>
      <w:fldChar w:fldCharType="begin"/>
    </w:r>
    <w:r w:rsidRPr="00453F0C">
      <w:rPr>
        <w:lang w:val="en-US"/>
      </w:rPr>
      <w:instrText xml:space="preserve"> FILENAME \p \* MERGEFORMAT </w:instrText>
    </w:r>
    <w:r>
      <w:fldChar w:fldCharType="separate"/>
    </w:r>
    <w:r>
      <w:rPr>
        <w:lang w:val="en-US"/>
      </w:rPr>
      <w:t>P:\ESP\ITU-R\AG\RAG\RAG23\000\058REV1S.docx</w:t>
    </w:r>
    <w:r>
      <w:fldChar w:fldCharType="end"/>
    </w:r>
    <w:r>
      <w:t xml:space="preserve"> </w:t>
    </w:r>
    <w:r w:rsidRPr="00453F0C">
      <w:rPr>
        <w:lang w:val="en-US"/>
      </w:rPr>
      <w:t>(518935)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014C4" w14:textId="36127928" w:rsidR="00CF38BD" w:rsidRPr="00453F0C" w:rsidRDefault="00CF38BD" w:rsidP="0027511E">
    <w:pPr>
      <w:pStyle w:val="Footer"/>
    </w:pPr>
    <w:r>
      <w:fldChar w:fldCharType="begin"/>
    </w:r>
    <w:r w:rsidRPr="00453F0C">
      <w:rPr>
        <w:lang w:val="en-US"/>
      </w:rPr>
      <w:instrText xml:space="preserve"> FILENAME \p \* MERGEFORMAT </w:instrText>
    </w:r>
    <w:r>
      <w:fldChar w:fldCharType="separate"/>
    </w:r>
    <w:r>
      <w:rPr>
        <w:lang w:val="en-US"/>
      </w:rPr>
      <w:t>P:\ESP\ITU-R\AG\RAG\RAG23\000\058REV1S.docx</w:t>
    </w:r>
    <w:r>
      <w:fldChar w:fldCharType="end"/>
    </w:r>
    <w:r>
      <w:t xml:space="preserve"> </w:t>
    </w:r>
    <w:r w:rsidRPr="00453F0C">
      <w:rPr>
        <w:lang w:val="en-US"/>
      </w:rPr>
      <w:t>(518935)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22" w:name="_Hlk130994758"/>
  <w:bookmarkStart w:id="123" w:name="_Hlk130994759"/>
  <w:p w14:paraId="1C8FE1DD" w14:textId="4227D7ED" w:rsidR="00CF38BD" w:rsidRPr="00453F0C" w:rsidRDefault="00CF38BD" w:rsidP="005E5BF8">
    <w:pPr>
      <w:pStyle w:val="Footer"/>
    </w:pPr>
    <w:r>
      <w:fldChar w:fldCharType="begin"/>
    </w:r>
    <w:r w:rsidRPr="00453F0C">
      <w:rPr>
        <w:lang w:val="en-US"/>
      </w:rPr>
      <w:instrText xml:space="preserve"> FILENAME \p \* MERGEFORMAT </w:instrText>
    </w:r>
    <w:r>
      <w:fldChar w:fldCharType="separate"/>
    </w:r>
    <w:r>
      <w:rPr>
        <w:lang w:val="en-US"/>
      </w:rPr>
      <w:t>P:\ESP\ITU-R\AG\RAG\RAG23\000\058REV1S.docx</w:t>
    </w:r>
    <w:r>
      <w:fldChar w:fldCharType="end"/>
    </w:r>
    <w:bookmarkEnd w:id="122"/>
    <w:bookmarkEnd w:id="123"/>
    <w:r>
      <w:t xml:space="preserve"> </w:t>
    </w:r>
    <w:r w:rsidRPr="00453F0C">
      <w:rPr>
        <w:lang w:val="en-US"/>
      </w:rPr>
      <w:t>(518935)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A438C" w14:textId="09562004" w:rsidR="00CF38BD" w:rsidRPr="00453F0C" w:rsidRDefault="00CF38BD" w:rsidP="0027511E">
    <w:pPr>
      <w:pStyle w:val="Footer"/>
    </w:pPr>
    <w:r>
      <w:fldChar w:fldCharType="begin"/>
    </w:r>
    <w:r w:rsidRPr="00453F0C">
      <w:rPr>
        <w:lang w:val="en-US"/>
      </w:rPr>
      <w:instrText xml:space="preserve"> FILENAME \p \* MERGEFORMAT </w:instrText>
    </w:r>
    <w:r>
      <w:fldChar w:fldCharType="separate"/>
    </w:r>
    <w:r>
      <w:rPr>
        <w:lang w:val="en-US"/>
      </w:rPr>
      <w:t>P:\ESP\ITU-R\AG\RAG\RAG23\000\058S.docx</w:t>
    </w:r>
    <w:r>
      <w:fldChar w:fldCharType="end"/>
    </w:r>
    <w:r>
      <w:t xml:space="preserve"> </w:t>
    </w:r>
    <w:r w:rsidRPr="00453F0C">
      <w:rPr>
        <w:lang w:val="en-US"/>
      </w:rPr>
      <w:t>(518935)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1BB10" w14:textId="77777777" w:rsidR="00CF38BD" w:rsidRDefault="00CF38BD">
      <w:r>
        <w:t>____________________</w:t>
      </w:r>
    </w:p>
  </w:footnote>
  <w:footnote w:type="continuationSeparator" w:id="0">
    <w:p w14:paraId="37922F1A" w14:textId="77777777" w:rsidR="00CF38BD" w:rsidRDefault="00CF3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622358"/>
      <w:docPartObj>
        <w:docPartGallery w:val="Page Numbers (Top of Page)"/>
        <w:docPartUnique/>
      </w:docPartObj>
    </w:sdtPr>
    <w:sdtEndPr>
      <w:rPr>
        <w:noProof/>
      </w:rPr>
    </w:sdtEndPr>
    <w:sdtContent>
      <w:sdt>
        <w:sdtPr>
          <w:id w:val="-534198450"/>
          <w:docPartObj>
            <w:docPartGallery w:val="Page Numbers (Top of Page)"/>
            <w:docPartUnique/>
          </w:docPartObj>
        </w:sdtPr>
        <w:sdtEndPr>
          <w:rPr>
            <w:noProof/>
          </w:rPr>
        </w:sdtEndPr>
        <w:sdtContent>
          <w:p w14:paraId="79A0060F" w14:textId="1723DC0B" w:rsidR="00CF38BD" w:rsidRDefault="00CF38BD" w:rsidP="005F5A34">
            <w:pPr>
              <w:pStyle w:val="Header"/>
            </w:pPr>
            <w:r>
              <w:fldChar w:fldCharType="begin"/>
            </w:r>
            <w:r>
              <w:instrText xml:space="preserve"> PAGE   \* MERGEFORMAT </w:instrText>
            </w:r>
            <w:r>
              <w:fldChar w:fldCharType="separate"/>
            </w:r>
            <w:r>
              <w:rPr>
                <w:noProof/>
              </w:rPr>
              <w:t>16</w:t>
            </w:r>
            <w:r>
              <w:rPr>
                <w:noProof/>
              </w:rPr>
              <w:fldChar w:fldCharType="end"/>
            </w:r>
          </w:p>
          <w:p w14:paraId="51898111" w14:textId="0B7350C0" w:rsidR="00CF38BD" w:rsidRDefault="00CF38BD">
            <w:pPr>
              <w:pStyle w:val="Header"/>
              <w:rPr>
                <w:noProof/>
              </w:rPr>
            </w:pPr>
            <w:r>
              <w:rPr>
                <w:lang w:val="es-ES"/>
              </w:rPr>
              <w:t>RAG/58(Rev.1)-S</w:t>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8FEA6" w14:textId="77777777" w:rsidR="00CF38BD" w:rsidRPr="00067105" w:rsidRDefault="00CF38BD" w:rsidP="00067105">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1550623"/>
      <w:docPartObj>
        <w:docPartGallery w:val="Page Numbers (Top of Page)"/>
        <w:docPartUnique/>
      </w:docPartObj>
    </w:sdtPr>
    <w:sdtEndPr>
      <w:rPr>
        <w:noProof/>
      </w:rPr>
    </w:sdtEndPr>
    <w:sdtContent>
      <w:p w14:paraId="5E70B4D0" w14:textId="7AC36B96" w:rsidR="00CF38BD" w:rsidRDefault="00CF38BD" w:rsidP="008C4900">
        <w:pPr>
          <w:pStyle w:val="Header"/>
        </w:pPr>
        <w:r>
          <w:fldChar w:fldCharType="begin"/>
        </w:r>
        <w:r>
          <w:instrText xml:space="preserve"> PAGE   \* MERGEFORMAT </w:instrText>
        </w:r>
        <w:r>
          <w:fldChar w:fldCharType="separate"/>
        </w:r>
        <w:r>
          <w:rPr>
            <w:noProof/>
          </w:rPr>
          <w:t>23</w:t>
        </w:r>
        <w:r>
          <w:rPr>
            <w:noProof/>
          </w:rPr>
          <w:fldChar w:fldCharType="end"/>
        </w:r>
      </w:p>
      <w:p w14:paraId="47DD665F" w14:textId="5AF05D8E" w:rsidR="00CF38BD" w:rsidRPr="008C4900" w:rsidRDefault="00CF38BD" w:rsidP="008C4900">
        <w:pPr>
          <w:pStyle w:val="Header"/>
          <w:rPr>
            <w:noProof/>
          </w:rPr>
        </w:pPr>
        <w:r>
          <w:rPr>
            <w:lang w:val="es-ES"/>
          </w:rPr>
          <w:t>RAG/58(Rev.1)-S</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3708015"/>
      <w:docPartObj>
        <w:docPartGallery w:val="Page Numbers (Top of Page)"/>
        <w:docPartUnique/>
      </w:docPartObj>
    </w:sdtPr>
    <w:sdtEndPr>
      <w:rPr>
        <w:noProof/>
      </w:rPr>
    </w:sdtEndPr>
    <w:sdtContent>
      <w:p w14:paraId="2D9CBCD3" w14:textId="36DA52C3" w:rsidR="00CF38BD" w:rsidRDefault="00CF38BD" w:rsidP="008C4900">
        <w:pPr>
          <w:pStyle w:val="Header"/>
        </w:pPr>
        <w:r>
          <w:fldChar w:fldCharType="begin"/>
        </w:r>
        <w:r>
          <w:instrText xml:space="preserve"> PAGE   \* MERGEFORMAT </w:instrText>
        </w:r>
        <w:r>
          <w:fldChar w:fldCharType="separate"/>
        </w:r>
        <w:r>
          <w:rPr>
            <w:noProof/>
          </w:rPr>
          <w:t>24</w:t>
        </w:r>
        <w:r>
          <w:rPr>
            <w:noProof/>
          </w:rPr>
          <w:fldChar w:fldCharType="end"/>
        </w:r>
      </w:p>
      <w:p w14:paraId="5ACAD6DF" w14:textId="45DF928F" w:rsidR="00CF38BD" w:rsidRPr="008C4900" w:rsidRDefault="00CF38BD" w:rsidP="008C4900">
        <w:pPr>
          <w:pStyle w:val="Header"/>
          <w:rPr>
            <w:noProof/>
          </w:rPr>
        </w:pPr>
        <w:r>
          <w:rPr>
            <w:lang w:val="es-ES"/>
          </w:rPr>
          <w:t>RAG/58(Rev.1)-S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AC07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42210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DF882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25C6E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7A27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82A5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58B01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94D8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76BB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C21B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15B43"/>
    <w:multiLevelType w:val="hybridMultilevel"/>
    <w:tmpl w:val="C882BD72"/>
    <w:lvl w:ilvl="0" w:tplc="DCB80F6C">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001EBF"/>
    <w:multiLevelType w:val="hybridMultilevel"/>
    <w:tmpl w:val="FFE6C6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D30C48"/>
    <w:multiLevelType w:val="hybridMultilevel"/>
    <w:tmpl w:val="A1C0E046"/>
    <w:lvl w:ilvl="0" w:tplc="71E875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324FCC"/>
    <w:multiLevelType w:val="hybridMultilevel"/>
    <w:tmpl w:val="08AE71CE"/>
    <w:lvl w:ilvl="0" w:tplc="8152BCD8">
      <w:start w:val="1"/>
      <w:numFmt w:val="bullet"/>
      <w:lvlText w:val=""/>
      <w:lvlJc w:val="left"/>
      <w:pPr>
        <w:ind w:left="720" w:hanging="360"/>
      </w:pPr>
      <w:rPr>
        <w:rFonts w:ascii="Symbol" w:hAnsi="Symbol" w:hint="default"/>
      </w:rPr>
    </w:lvl>
    <w:lvl w:ilvl="1" w:tplc="1C38D770">
      <w:start w:val="1"/>
      <w:numFmt w:val="bullet"/>
      <w:lvlText w:val="o"/>
      <w:lvlJc w:val="left"/>
      <w:pPr>
        <w:ind w:left="1440" w:hanging="360"/>
      </w:pPr>
      <w:rPr>
        <w:rFonts w:ascii="Courier New" w:hAnsi="Courier New" w:hint="default"/>
      </w:rPr>
    </w:lvl>
    <w:lvl w:ilvl="2" w:tplc="66FC6496">
      <w:start w:val="1"/>
      <w:numFmt w:val="bullet"/>
      <w:lvlText w:val=""/>
      <w:lvlJc w:val="left"/>
      <w:pPr>
        <w:ind w:left="2160" w:hanging="360"/>
      </w:pPr>
      <w:rPr>
        <w:rFonts w:ascii="Wingdings" w:hAnsi="Wingdings" w:hint="default"/>
      </w:rPr>
    </w:lvl>
    <w:lvl w:ilvl="3" w:tplc="28187382">
      <w:start w:val="1"/>
      <w:numFmt w:val="bullet"/>
      <w:lvlText w:val=""/>
      <w:lvlJc w:val="left"/>
      <w:pPr>
        <w:ind w:left="2880" w:hanging="360"/>
      </w:pPr>
      <w:rPr>
        <w:rFonts w:ascii="Symbol" w:hAnsi="Symbol" w:hint="default"/>
      </w:rPr>
    </w:lvl>
    <w:lvl w:ilvl="4" w:tplc="ABB4B63A">
      <w:start w:val="1"/>
      <w:numFmt w:val="bullet"/>
      <w:lvlText w:val="o"/>
      <w:lvlJc w:val="left"/>
      <w:pPr>
        <w:ind w:left="3600" w:hanging="360"/>
      </w:pPr>
      <w:rPr>
        <w:rFonts w:ascii="Courier New" w:hAnsi="Courier New" w:hint="default"/>
      </w:rPr>
    </w:lvl>
    <w:lvl w:ilvl="5" w:tplc="78F0FE44">
      <w:start w:val="1"/>
      <w:numFmt w:val="bullet"/>
      <w:lvlText w:val=""/>
      <w:lvlJc w:val="left"/>
      <w:pPr>
        <w:ind w:left="4320" w:hanging="360"/>
      </w:pPr>
      <w:rPr>
        <w:rFonts w:ascii="Wingdings" w:hAnsi="Wingdings" w:hint="default"/>
      </w:rPr>
    </w:lvl>
    <w:lvl w:ilvl="6" w:tplc="2BF6CAE6">
      <w:start w:val="1"/>
      <w:numFmt w:val="bullet"/>
      <w:lvlText w:val=""/>
      <w:lvlJc w:val="left"/>
      <w:pPr>
        <w:ind w:left="5040" w:hanging="360"/>
      </w:pPr>
      <w:rPr>
        <w:rFonts w:ascii="Symbol" w:hAnsi="Symbol" w:hint="default"/>
      </w:rPr>
    </w:lvl>
    <w:lvl w:ilvl="7" w:tplc="8D5A19AA">
      <w:start w:val="1"/>
      <w:numFmt w:val="bullet"/>
      <w:lvlText w:val="o"/>
      <w:lvlJc w:val="left"/>
      <w:pPr>
        <w:ind w:left="5760" w:hanging="360"/>
      </w:pPr>
      <w:rPr>
        <w:rFonts w:ascii="Courier New" w:hAnsi="Courier New" w:hint="default"/>
      </w:rPr>
    </w:lvl>
    <w:lvl w:ilvl="8" w:tplc="F80CABAA">
      <w:start w:val="1"/>
      <w:numFmt w:val="bullet"/>
      <w:lvlText w:val=""/>
      <w:lvlJc w:val="left"/>
      <w:pPr>
        <w:ind w:left="6480" w:hanging="360"/>
      </w:pPr>
      <w:rPr>
        <w:rFonts w:ascii="Wingdings" w:hAnsi="Wingdings" w:hint="default"/>
      </w:rPr>
    </w:lvl>
  </w:abstractNum>
  <w:abstractNum w:abstractNumId="14" w15:restartNumberingAfterBreak="0">
    <w:nsid w:val="0B9E5F0C"/>
    <w:multiLevelType w:val="hybridMultilevel"/>
    <w:tmpl w:val="416420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0D40026F"/>
    <w:multiLevelType w:val="hybridMultilevel"/>
    <w:tmpl w:val="259E7D7C"/>
    <w:lvl w:ilvl="0" w:tplc="FFFFFFFF">
      <w:start w:val="1"/>
      <w:numFmt w:val="bullet"/>
      <w:lvlText w:val="-"/>
      <w:lvlJc w:val="left"/>
      <w:pPr>
        <w:ind w:left="1080" w:hanging="360"/>
      </w:pPr>
      <w:rPr>
        <w:rFonts w:ascii="Times New Roman" w:hAnsi="Times New Roman" w:hint="default"/>
      </w:rPr>
    </w:lvl>
    <w:lvl w:ilvl="1" w:tplc="214CADB0">
      <w:start w:val="9"/>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34C7DD3"/>
    <w:multiLevelType w:val="hybridMultilevel"/>
    <w:tmpl w:val="CEAC4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861933"/>
    <w:multiLevelType w:val="hybridMultilevel"/>
    <w:tmpl w:val="C966F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3437D59"/>
    <w:multiLevelType w:val="hybridMultilevel"/>
    <w:tmpl w:val="F1560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190494"/>
    <w:multiLevelType w:val="hybridMultilevel"/>
    <w:tmpl w:val="BC746404"/>
    <w:lvl w:ilvl="0" w:tplc="FFFFFFFF">
      <w:start w:val="1"/>
      <w:numFmt w:val="bullet"/>
      <w:lvlText w:val="–"/>
      <w:lvlJc w:val="left"/>
      <w:pPr>
        <w:ind w:left="720" w:hanging="360"/>
      </w:pPr>
      <w:rPr>
        <w:rFonts w:ascii="Times New Roman" w:hAnsi="Times New Roman" w:hint="default"/>
      </w:rPr>
    </w:lvl>
    <w:lvl w:ilvl="1" w:tplc="2E4A2518">
      <w:start w:val="1"/>
      <w:numFmt w:val="bullet"/>
      <w:lvlText w:val="o"/>
      <w:lvlJc w:val="left"/>
      <w:pPr>
        <w:ind w:left="1440" w:hanging="360"/>
      </w:pPr>
      <w:rPr>
        <w:rFonts w:ascii="&quot;Courier New&quot;" w:hAnsi="&quot;Courier New&quot;" w:hint="default"/>
      </w:rPr>
    </w:lvl>
    <w:lvl w:ilvl="2" w:tplc="672C6B7C">
      <w:start w:val="1"/>
      <w:numFmt w:val="bullet"/>
      <w:lvlText w:val=""/>
      <w:lvlJc w:val="left"/>
      <w:pPr>
        <w:ind w:left="2160" w:hanging="360"/>
      </w:pPr>
      <w:rPr>
        <w:rFonts w:ascii="Wingdings" w:hAnsi="Wingdings" w:hint="default"/>
      </w:rPr>
    </w:lvl>
    <w:lvl w:ilvl="3" w:tplc="14D69A92">
      <w:start w:val="1"/>
      <w:numFmt w:val="bullet"/>
      <w:lvlText w:val=""/>
      <w:lvlJc w:val="left"/>
      <w:pPr>
        <w:ind w:left="2880" w:hanging="360"/>
      </w:pPr>
      <w:rPr>
        <w:rFonts w:ascii="Symbol" w:hAnsi="Symbol" w:hint="default"/>
      </w:rPr>
    </w:lvl>
    <w:lvl w:ilvl="4" w:tplc="8312F23A">
      <w:start w:val="1"/>
      <w:numFmt w:val="bullet"/>
      <w:lvlText w:val="o"/>
      <w:lvlJc w:val="left"/>
      <w:pPr>
        <w:ind w:left="3600" w:hanging="360"/>
      </w:pPr>
      <w:rPr>
        <w:rFonts w:ascii="Courier New" w:hAnsi="Courier New" w:hint="default"/>
      </w:rPr>
    </w:lvl>
    <w:lvl w:ilvl="5" w:tplc="51C422A8">
      <w:start w:val="1"/>
      <w:numFmt w:val="bullet"/>
      <w:lvlText w:val=""/>
      <w:lvlJc w:val="left"/>
      <w:pPr>
        <w:ind w:left="4320" w:hanging="360"/>
      </w:pPr>
      <w:rPr>
        <w:rFonts w:ascii="Wingdings" w:hAnsi="Wingdings" w:hint="default"/>
      </w:rPr>
    </w:lvl>
    <w:lvl w:ilvl="6" w:tplc="0A085A82">
      <w:start w:val="1"/>
      <w:numFmt w:val="bullet"/>
      <w:lvlText w:val=""/>
      <w:lvlJc w:val="left"/>
      <w:pPr>
        <w:ind w:left="5040" w:hanging="360"/>
      </w:pPr>
      <w:rPr>
        <w:rFonts w:ascii="Symbol" w:hAnsi="Symbol" w:hint="default"/>
      </w:rPr>
    </w:lvl>
    <w:lvl w:ilvl="7" w:tplc="AE50D838">
      <w:start w:val="1"/>
      <w:numFmt w:val="bullet"/>
      <w:lvlText w:val="o"/>
      <w:lvlJc w:val="left"/>
      <w:pPr>
        <w:ind w:left="5760" w:hanging="360"/>
      </w:pPr>
      <w:rPr>
        <w:rFonts w:ascii="Courier New" w:hAnsi="Courier New" w:hint="default"/>
      </w:rPr>
    </w:lvl>
    <w:lvl w:ilvl="8" w:tplc="56742786">
      <w:start w:val="1"/>
      <w:numFmt w:val="bullet"/>
      <w:lvlText w:val=""/>
      <w:lvlJc w:val="left"/>
      <w:pPr>
        <w:ind w:left="6480" w:hanging="360"/>
      </w:pPr>
      <w:rPr>
        <w:rFonts w:ascii="Wingdings" w:hAnsi="Wingdings" w:hint="default"/>
      </w:rPr>
    </w:lvl>
  </w:abstractNum>
  <w:abstractNum w:abstractNumId="20" w15:restartNumberingAfterBreak="0">
    <w:nsid w:val="26A4256C"/>
    <w:multiLevelType w:val="hybridMultilevel"/>
    <w:tmpl w:val="917EF220"/>
    <w:lvl w:ilvl="0" w:tplc="3CF4E23A">
      <w:numFmt w:val="bullet"/>
      <w:lvlText w:val="•"/>
      <w:lvlJc w:val="left"/>
      <w:pPr>
        <w:ind w:left="1157" w:hanging="797"/>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01383B"/>
    <w:multiLevelType w:val="hybridMultilevel"/>
    <w:tmpl w:val="47504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6DB2629"/>
    <w:multiLevelType w:val="hybridMultilevel"/>
    <w:tmpl w:val="487E8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1013A4"/>
    <w:multiLevelType w:val="hybridMultilevel"/>
    <w:tmpl w:val="50100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484695"/>
    <w:multiLevelType w:val="hybridMultilevel"/>
    <w:tmpl w:val="1F1241EC"/>
    <w:lvl w:ilvl="0" w:tplc="88F2293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006256"/>
    <w:multiLevelType w:val="hybridMultilevel"/>
    <w:tmpl w:val="A5565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0A4F49"/>
    <w:multiLevelType w:val="hybridMultilevel"/>
    <w:tmpl w:val="B810D336"/>
    <w:lvl w:ilvl="0" w:tplc="E2128958">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3294F4E"/>
    <w:multiLevelType w:val="hybridMultilevel"/>
    <w:tmpl w:val="3926F0D8"/>
    <w:lvl w:ilvl="0" w:tplc="7E42355C">
      <w:numFmt w:val="bullet"/>
      <w:lvlText w:val="-"/>
      <w:lvlJc w:val="left"/>
      <w:pPr>
        <w:ind w:left="720" w:hanging="360"/>
      </w:pPr>
      <w:rPr>
        <w:rFonts w:ascii="Verdana" w:eastAsia="SimSu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16C9FAE"/>
    <w:multiLevelType w:val="hybridMultilevel"/>
    <w:tmpl w:val="FFFFFFFF"/>
    <w:lvl w:ilvl="0" w:tplc="FFFFFFFF">
      <w:start w:val="1"/>
      <w:numFmt w:val="bullet"/>
      <w:lvlText w:val="-"/>
      <w:lvlJc w:val="left"/>
      <w:pPr>
        <w:ind w:left="720" w:hanging="360"/>
      </w:pPr>
      <w:rPr>
        <w:rFonts w:ascii="Calibri" w:hAnsi="Calibri" w:hint="default"/>
      </w:rPr>
    </w:lvl>
    <w:lvl w:ilvl="1" w:tplc="95C674FE">
      <w:start w:val="1"/>
      <w:numFmt w:val="bullet"/>
      <w:lvlText w:val="o"/>
      <w:lvlJc w:val="left"/>
      <w:pPr>
        <w:ind w:left="1440" w:hanging="360"/>
      </w:pPr>
      <w:rPr>
        <w:rFonts w:ascii="Courier New" w:hAnsi="Courier New" w:hint="default"/>
      </w:rPr>
    </w:lvl>
    <w:lvl w:ilvl="2" w:tplc="B95690EC">
      <w:start w:val="1"/>
      <w:numFmt w:val="bullet"/>
      <w:lvlText w:val=""/>
      <w:lvlJc w:val="left"/>
      <w:pPr>
        <w:ind w:left="2160" w:hanging="360"/>
      </w:pPr>
      <w:rPr>
        <w:rFonts w:ascii="Wingdings" w:hAnsi="Wingdings" w:hint="default"/>
      </w:rPr>
    </w:lvl>
    <w:lvl w:ilvl="3" w:tplc="1BE0AD1C">
      <w:start w:val="1"/>
      <w:numFmt w:val="bullet"/>
      <w:lvlText w:val=""/>
      <w:lvlJc w:val="left"/>
      <w:pPr>
        <w:ind w:left="2880" w:hanging="360"/>
      </w:pPr>
      <w:rPr>
        <w:rFonts w:ascii="Symbol" w:hAnsi="Symbol" w:hint="default"/>
      </w:rPr>
    </w:lvl>
    <w:lvl w:ilvl="4" w:tplc="B75A9722">
      <w:start w:val="1"/>
      <w:numFmt w:val="bullet"/>
      <w:lvlText w:val="o"/>
      <w:lvlJc w:val="left"/>
      <w:pPr>
        <w:ind w:left="3600" w:hanging="360"/>
      </w:pPr>
      <w:rPr>
        <w:rFonts w:ascii="Courier New" w:hAnsi="Courier New" w:hint="default"/>
      </w:rPr>
    </w:lvl>
    <w:lvl w:ilvl="5" w:tplc="8D2EAC00">
      <w:start w:val="1"/>
      <w:numFmt w:val="bullet"/>
      <w:lvlText w:val=""/>
      <w:lvlJc w:val="left"/>
      <w:pPr>
        <w:ind w:left="4320" w:hanging="360"/>
      </w:pPr>
      <w:rPr>
        <w:rFonts w:ascii="Wingdings" w:hAnsi="Wingdings" w:hint="default"/>
      </w:rPr>
    </w:lvl>
    <w:lvl w:ilvl="6" w:tplc="EF60D190">
      <w:start w:val="1"/>
      <w:numFmt w:val="bullet"/>
      <w:lvlText w:val=""/>
      <w:lvlJc w:val="left"/>
      <w:pPr>
        <w:ind w:left="5040" w:hanging="360"/>
      </w:pPr>
      <w:rPr>
        <w:rFonts w:ascii="Symbol" w:hAnsi="Symbol" w:hint="default"/>
      </w:rPr>
    </w:lvl>
    <w:lvl w:ilvl="7" w:tplc="31E0C3B8">
      <w:start w:val="1"/>
      <w:numFmt w:val="bullet"/>
      <w:lvlText w:val="o"/>
      <w:lvlJc w:val="left"/>
      <w:pPr>
        <w:ind w:left="5760" w:hanging="360"/>
      </w:pPr>
      <w:rPr>
        <w:rFonts w:ascii="Courier New" w:hAnsi="Courier New" w:hint="default"/>
      </w:rPr>
    </w:lvl>
    <w:lvl w:ilvl="8" w:tplc="18A83C06">
      <w:start w:val="1"/>
      <w:numFmt w:val="bullet"/>
      <w:lvlText w:val=""/>
      <w:lvlJc w:val="left"/>
      <w:pPr>
        <w:ind w:left="6480" w:hanging="360"/>
      </w:pPr>
      <w:rPr>
        <w:rFonts w:ascii="Wingdings" w:hAnsi="Wingdings" w:hint="default"/>
      </w:rPr>
    </w:lvl>
  </w:abstractNum>
  <w:abstractNum w:abstractNumId="29" w15:restartNumberingAfterBreak="0">
    <w:nsid w:val="523F0118"/>
    <w:multiLevelType w:val="hybridMultilevel"/>
    <w:tmpl w:val="35906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D214DD"/>
    <w:multiLevelType w:val="hybridMultilevel"/>
    <w:tmpl w:val="52448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1EE29B9"/>
    <w:multiLevelType w:val="hybridMultilevel"/>
    <w:tmpl w:val="5F84D320"/>
    <w:lvl w:ilvl="0" w:tplc="0C0A0001">
      <w:start w:val="2"/>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AA93635"/>
    <w:multiLevelType w:val="hybridMultilevel"/>
    <w:tmpl w:val="9AA06462"/>
    <w:lvl w:ilvl="0" w:tplc="97D68AF4">
      <w:start w:val="1"/>
      <w:numFmt w:val="bullet"/>
      <w:lvlText w:val=""/>
      <w:lvlJc w:val="left"/>
      <w:pPr>
        <w:ind w:left="643"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B023DF"/>
    <w:multiLevelType w:val="hybridMultilevel"/>
    <w:tmpl w:val="0AC8D6D4"/>
    <w:lvl w:ilvl="0" w:tplc="19BA3770">
      <w:start w:val="3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557598F"/>
    <w:multiLevelType w:val="hybridMultilevel"/>
    <w:tmpl w:val="6B3654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8012B1"/>
    <w:multiLevelType w:val="hybridMultilevel"/>
    <w:tmpl w:val="73F0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B12E70"/>
    <w:multiLevelType w:val="hybridMultilevel"/>
    <w:tmpl w:val="856E319C"/>
    <w:lvl w:ilvl="0" w:tplc="FFFFFFFF">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15"/>
  </w:num>
  <w:num w:numId="4">
    <w:abstractNumId w:val="36"/>
  </w:num>
  <w:num w:numId="5">
    <w:abstractNumId w:val="19"/>
  </w:num>
  <w:num w:numId="6">
    <w:abstractNumId w:val="18"/>
  </w:num>
  <w:num w:numId="7">
    <w:abstractNumId w:val="17"/>
  </w:num>
  <w:num w:numId="8">
    <w:abstractNumId w:val="21"/>
  </w:num>
  <w:num w:numId="9">
    <w:abstractNumId w:val="30"/>
  </w:num>
  <w:num w:numId="10">
    <w:abstractNumId w:val="16"/>
  </w:num>
  <w:num w:numId="11">
    <w:abstractNumId w:val="23"/>
  </w:num>
  <w:num w:numId="12">
    <w:abstractNumId w:val="20"/>
  </w:num>
  <w:num w:numId="13">
    <w:abstractNumId w:val="3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5"/>
  </w:num>
  <w:num w:numId="25">
    <w:abstractNumId w:val="22"/>
  </w:num>
  <w:num w:numId="26">
    <w:abstractNumId w:val="11"/>
  </w:num>
  <w:num w:numId="27">
    <w:abstractNumId w:val="35"/>
  </w:num>
  <w:num w:numId="28">
    <w:abstractNumId w:val="14"/>
  </w:num>
  <w:num w:numId="29">
    <w:abstractNumId w:val="31"/>
  </w:num>
  <w:num w:numId="30">
    <w:abstractNumId w:val="33"/>
  </w:num>
  <w:num w:numId="31">
    <w:abstractNumId w:val="28"/>
  </w:num>
  <w:num w:numId="32">
    <w:abstractNumId w:val="12"/>
  </w:num>
  <w:num w:numId="33">
    <w:abstractNumId w:val="10"/>
  </w:num>
  <w:num w:numId="34">
    <w:abstractNumId w:val="26"/>
  </w:num>
  <w:num w:numId="35">
    <w:abstractNumId w:val="24"/>
  </w:num>
  <w:num w:numId="36">
    <w:abstractNumId w:val="32"/>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BCB"/>
    <w:rsid w:val="00001E32"/>
    <w:rsid w:val="0000257A"/>
    <w:rsid w:val="000216B8"/>
    <w:rsid w:val="00023D85"/>
    <w:rsid w:val="00040841"/>
    <w:rsid w:val="00045047"/>
    <w:rsid w:val="00047194"/>
    <w:rsid w:val="00057F51"/>
    <w:rsid w:val="00061839"/>
    <w:rsid w:val="00067105"/>
    <w:rsid w:val="00077187"/>
    <w:rsid w:val="000935A1"/>
    <w:rsid w:val="00096C12"/>
    <w:rsid w:val="000A5280"/>
    <w:rsid w:val="000C62BA"/>
    <w:rsid w:val="000D09B2"/>
    <w:rsid w:val="000D756D"/>
    <w:rsid w:val="000E3864"/>
    <w:rsid w:val="000F6614"/>
    <w:rsid w:val="00123D41"/>
    <w:rsid w:val="0012592F"/>
    <w:rsid w:val="00132252"/>
    <w:rsid w:val="0013255C"/>
    <w:rsid w:val="00142950"/>
    <w:rsid w:val="00145E50"/>
    <w:rsid w:val="001565E0"/>
    <w:rsid w:val="00157452"/>
    <w:rsid w:val="00162175"/>
    <w:rsid w:val="001744DF"/>
    <w:rsid w:val="00176E58"/>
    <w:rsid w:val="001835D7"/>
    <w:rsid w:val="001A4C30"/>
    <w:rsid w:val="001B30E3"/>
    <w:rsid w:val="001B583A"/>
    <w:rsid w:val="001C253D"/>
    <w:rsid w:val="001D0A3A"/>
    <w:rsid w:val="001E209B"/>
    <w:rsid w:val="001E3169"/>
    <w:rsid w:val="001E4E41"/>
    <w:rsid w:val="001F2F50"/>
    <w:rsid w:val="00200E02"/>
    <w:rsid w:val="0020238F"/>
    <w:rsid w:val="0022237C"/>
    <w:rsid w:val="00225B5E"/>
    <w:rsid w:val="00231B75"/>
    <w:rsid w:val="00245121"/>
    <w:rsid w:val="0024772D"/>
    <w:rsid w:val="00271E68"/>
    <w:rsid w:val="0027511E"/>
    <w:rsid w:val="00281DEC"/>
    <w:rsid w:val="00294A2E"/>
    <w:rsid w:val="002B1112"/>
    <w:rsid w:val="002E6301"/>
    <w:rsid w:val="002F1418"/>
    <w:rsid w:val="00302139"/>
    <w:rsid w:val="0031432E"/>
    <w:rsid w:val="00314C86"/>
    <w:rsid w:val="00317244"/>
    <w:rsid w:val="00330891"/>
    <w:rsid w:val="00334CC9"/>
    <w:rsid w:val="0034043B"/>
    <w:rsid w:val="003559D4"/>
    <w:rsid w:val="00366C2A"/>
    <w:rsid w:val="003900BF"/>
    <w:rsid w:val="003A12D0"/>
    <w:rsid w:val="003B67C3"/>
    <w:rsid w:val="003D2C41"/>
    <w:rsid w:val="003D2F5F"/>
    <w:rsid w:val="003E2028"/>
    <w:rsid w:val="00414D8B"/>
    <w:rsid w:val="0044336F"/>
    <w:rsid w:val="0044766E"/>
    <w:rsid w:val="00453F0C"/>
    <w:rsid w:val="004575BF"/>
    <w:rsid w:val="00471EFF"/>
    <w:rsid w:val="00471FE5"/>
    <w:rsid w:val="00482905"/>
    <w:rsid w:val="00494752"/>
    <w:rsid w:val="00497E84"/>
    <w:rsid w:val="004D6C09"/>
    <w:rsid w:val="004E320C"/>
    <w:rsid w:val="004E4608"/>
    <w:rsid w:val="004F629B"/>
    <w:rsid w:val="00506DFC"/>
    <w:rsid w:val="00515771"/>
    <w:rsid w:val="005411CE"/>
    <w:rsid w:val="005675F9"/>
    <w:rsid w:val="0057336B"/>
    <w:rsid w:val="00577CE5"/>
    <w:rsid w:val="005830A0"/>
    <w:rsid w:val="005A2195"/>
    <w:rsid w:val="005B2A32"/>
    <w:rsid w:val="005D1CC6"/>
    <w:rsid w:val="005D2F27"/>
    <w:rsid w:val="005D3E02"/>
    <w:rsid w:val="005E41AC"/>
    <w:rsid w:val="005E5BF8"/>
    <w:rsid w:val="005F5A34"/>
    <w:rsid w:val="0060268B"/>
    <w:rsid w:val="00610642"/>
    <w:rsid w:val="006132A0"/>
    <w:rsid w:val="00616014"/>
    <w:rsid w:val="00616601"/>
    <w:rsid w:val="00635B94"/>
    <w:rsid w:val="006372EA"/>
    <w:rsid w:val="00646EEF"/>
    <w:rsid w:val="00653673"/>
    <w:rsid w:val="00663829"/>
    <w:rsid w:val="00664995"/>
    <w:rsid w:val="006A42AB"/>
    <w:rsid w:val="006A4BA7"/>
    <w:rsid w:val="006B5313"/>
    <w:rsid w:val="006C1A8F"/>
    <w:rsid w:val="006C4333"/>
    <w:rsid w:val="006D60C4"/>
    <w:rsid w:val="006E291F"/>
    <w:rsid w:val="006E6DED"/>
    <w:rsid w:val="006F1BE0"/>
    <w:rsid w:val="0070402E"/>
    <w:rsid w:val="007245C4"/>
    <w:rsid w:val="00732527"/>
    <w:rsid w:val="00734369"/>
    <w:rsid w:val="00743D37"/>
    <w:rsid w:val="00745773"/>
    <w:rsid w:val="0075093B"/>
    <w:rsid w:val="0075154F"/>
    <w:rsid w:val="00777DAB"/>
    <w:rsid w:val="0078532A"/>
    <w:rsid w:val="007858E9"/>
    <w:rsid w:val="007903AC"/>
    <w:rsid w:val="00792311"/>
    <w:rsid w:val="007A2DF3"/>
    <w:rsid w:val="007C0D6B"/>
    <w:rsid w:val="007C7B87"/>
    <w:rsid w:val="007D2A28"/>
    <w:rsid w:val="007D5F0C"/>
    <w:rsid w:val="007E2027"/>
    <w:rsid w:val="007F30AC"/>
    <w:rsid w:val="007F6CB8"/>
    <w:rsid w:val="00805BCF"/>
    <w:rsid w:val="00813873"/>
    <w:rsid w:val="008169C1"/>
    <w:rsid w:val="00823E9D"/>
    <w:rsid w:val="00824922"/>
    <w:rsid w:val="00840C69"/>
    <w:rsid w:val="0084190F"/>
    <w:rsid w:val="008428BF"/>
    <w:rsid w:val="008479E7"/>
    <w:rsid w:val="008506C9"/>
    <w:rsid w:val="00852D8F"/>
    <w:rsid w:val="0086178E"/>
    <w:rsid w:val="008742D2"/>
    <w:rsid w:val="00874F33"/>
    <w:rsid w:val="0089457A"/>
    <w:rsid w:val="008B0D3A"/>
    <w:rsid w:val="008B28B5"/>
    <w:rsid w:val="008B3B54"/>
    <w:rsid w:val="008C4900"/>
    <w:rsid w:val="008C76AE"/>
    <w:rsid w:val="008D2ACA"/>
    <w:rsid w:val="008F0106"/>
    <w:rsid w:val="008F54BE"/>
    <w:rsid w:val="00916842"/>
    <w:rsid w:val="00920C3D"/>
    <w:rsid w:val="00924B63"/>
    <w:rsid w:val="00976452"/>
    <w:rsid w:val="00982618"/>
    <w:rsid w:val="00985024"/>
    <w:rsid w:val="009851F0"/>
    <w:rsid w:val="009A11D1"/>
    <w:rsid w:val="009A540E"/>
    <w:rsid w:val="009C205E"/>
    <w:rsid w:val="009C5E9D"/>
    <w:rsid w:val="009C7A3A"/>
    <w:rsid w:val="009D1B69"/>
    <w:rsid w:val="009D3A3D"/>
    <w:rsid w:val="009D6122"/>
    <w:rsid w:val="009E3CC8"/>
    <w:rsid w:val="00A020E0"/>
    <w:rsid w:val="00A0579C"/>
    <w:rsid w:val="00A40825"/>
    <w:rsid w:val="00A61A6C"/>
    <w:rsid w:val="00A70F9B"/>
    <w:rsid w:val="00A7663C"/>
    <w:rsid w:val="00A77573"/>
    <w:rsid w:val="00A928FF"/>
    <w:rsid w:val="00AA3D23"/>
    <w:rsid w:val="00AB4BAD"/>
    <w:rsid w:val="00AB5146"/>
    <w:rsid w:val="00AB6628"/>
    <w:rsid w:val="00AF6240"/>
    <w:rsid w:val="00B171FC"/>
    <w:rsid w:val="00B27BCB"/>
    <w:rsid w:val="00B32E51"/>
    <w:rsid w:val="00B41DCC"/>
    <w:rsid w:val="00B47A2A"/>
    <w:rsid w:val="00B516A7"/>
    <w:rsid w:val="00B57783"/>
    <w:rsid w:val="00B64ECC"/>
    <w:rsid w:val="00B7422E"/>
    <w:rsid w:val="00B95D2E"/>
    <w:rsid w:val="00BB3BDE"/>
    <w:rsid w:val="00BC5D9D"/>
    <w:rsid w:val="00BD0E07"/>
    <w:rsid w:val="00BD18FD"/>
    <w:rsid w:val="00BF06AE"/>
    <w:rsid w:val="00BF2EC0"/>
    <w:rsid w:val="00BF3C52"/>
    <w:rsid w:val="00C010AD"/>
    <w:rsid w:val="00C317D5"/>
    <w:rsid w:val="00C45586"/>
    <w:rsid w:val="00C578E2"/>
    <w:rsid w:val="00C77ABA"/>
    <w:rsid w:val="00C837F0"/>
    <w:rsid w:val="00CA1391"/>
    <w:rsid w:val="00CA7154"/>
    <w:rsid w:val="00CA7FF0"/>
    <w:rsid w:val="00CB7A43"/>
    <w:rsid w:val="00CF16E6"/>
    <w:rsid w:val="00CF38BD"/>
    <w:rsid w:val="00CF4CAC"/>
    <w:rsid w:val="00CF5394"/>
    <w:rsid w:val="00D05607"/>
    <w:rsid w:val="00D13B84"/>
    <w:rsid w:val="00D14C2D"/>
    <w:rsid w:val="00D27E52"/>
    <w:rsid w:val="00D51E1E"/>
    <w:rsid w:val="00DA40F4"/>
    <w:rsid w:val="00DB2723"/>
    <w:rsid w:val="00DB3790"/>
    <w:rsid w:val="00DC6934"/>
    <w:rsid w:val="00DD77C5"/>
    <w:rsid w:val="00DE5307"/>
    <w:rsid w:val="00DE77E6"/>
    <w:rsid w:val="00DF2C38"/>
    <w:rsid w:val="00DF76F1"/>
    <w:rsid w:val="00E02676"/>
    <w:rsid w:val="00E31093"/>
    <w:rsid w:val="00E33F6C"/>
    <w:rsid w:val="00E451E0"/>
    <w:rsid w:val="00E54A53"/>
    <w:rsid w:val="00E72EA7"/>
    <w:rsid w:val="00E856BE"/>
    <w:rsid w:val="00E87C86"/>
    <w:rsid w:val="00EA4101"/>
    <w:rsid w:val="00EA5116"/>
    <w:rsid w:val="00EB2CA3"/>
    <w:rsid w:val="00EC15E9"/>
    <w:rsid w:val="00ED0A4D"/>
    <w:rsid w:val="00EE7A9E"/>
    <w:rsid w:val="00F03503"/>
    <w:rsid w:val="00F07AB4"/>
    <w:rsid w:val="00F14D68"/>
    <w:rsid w:val="00F20CD1"/>
    <w:rsid w:val="00F23715"/>
    <w:rsid w:val="00F40098"/>
    <w:rsid w:val="00F44CE8"/>
    <w:rsid w:val="00F612CE"/>
    <w:rsid w:val="00F77D5F"/>
    <w:rsid w:val="00FB4E76"/>
    <w:rsid w:val="00FC04E7"/>
    <w:rsid w:val="00FC0782"/>
    <w:rsid w:val="00FE47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4B4F055"/>
  <w15:docId w15:val="{1B09EA93-54C6-4296-A1D2-52CC1715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link w:val="Heading2Char"/>
    <w:qFormat/>
    <w:rsid w:val="004D6C09"/>
    <w:pPr>
      <w:spacing w:before="240"/>
      <w:outlineLvl w:val="1"/>
    </w:pPr>
  </w:style>
  <w:style w:type="paragraph" w:styleId="Heading3">
    <w:name w:val="heading 3"/>
    <w:basedOn w:val="Heading1"/>
    <w:next w:val="Normal"/>
    <w:link w:val="Heading3Char"/>
    <w:qFormat/>
    <w:rsid w:val="004D6C09"/>
    <w:pPr>
      <w:spacing w:before="160"/>
      <w:outlineLvl w:val="2"/>
    </w:pPr>
  </w:style>
  <w:style w:type="paragraph" w:styleId="Heading4">
    <w:name w:val="heading 4"/>
    <w:basedOn w:val="Heading3"/>
    <w:next w:val="Normal"/>
    <w:link w:val="Heading4Char"/>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link w:val="TableheadChar"/>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link w:val="enumlev1Char"/>
    <w:uiPriority w:val="99"/>
    <w:qFormat/>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aliases w:val="encabezado,he"/>
    <w:basedOn w:val="Normal"/>
    <w:link w:val="HeaderChar"/>
    <w:uiPriority w:val="99"/>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styleId="Hyperlink">
    <w:name w:val="Hyperlink"/>
    <w:aliases w:val="CEO_Hyperlink,超级链接"/>
    <w:basedOn w:val="DefaultParagraphFont"/>
    <w:uiPriority w:val="99"/>
    <w:unhideWhenUsed/>
    <w:rsid w:val="00B27BCB"/>
    <w:rPr>
      <w:color w:val="0000FF" w:themeColor="hyperlink"/>
      <w:u w:val="single"/>
    </w:rPr>
  </w:style>
  <w:style w:type="character" w:customStyle="1" w:styleId="Heading1Char">
    <w:name w:val="Heading 1 Char"/>
    <w:basedOn w:val="DefaultParagraphFont"/>
    <w:link w:val="Heading1"/>
    <w:rsid w:val="00B27BCB"/>
    <w:rPr>
      <w:rFonts w:ascii="Times New Roman" w:hAnsi="Times New Roman"/>
      <w:b/>
      <w:sz w:val="24"/>
      <w:lang w:val="es-ES_tradnl" w:eastAsia="en-US"/>
    </w:rPr>
  </w:style>
  <w:style w:type="character" w:customStyle="1" w:styleId="Heading2Char">
    <w:name w:val="Heading 2 Char"/>
    <w:basedOn w:val="DefaultParagraphFont"/>
    <w:link w:val="Heading2"/>
    <w:rsid w:val="00B27BCB"/>
    <w:rPr>
      <w:rFonts w:ascii="Times New Roman" w:hAnsi="Times New Roman"/>
      <w:b/>
      <w:sz w:val="24"/>
      <w:lang w:val="es-ES_tradnl" w:eastAsia="en-US"/>
    </w:rPr>
  </w:style>
  <w:style w:type="character" w:styleId="FollowedHyperlink">
    <w:name w:val="FollowedHyperlink"/>
    <w:basedOn w:val="DefaultParagraphFont"/>
    <w:semiHidden/>
    <w:unhideWhenUsed/>
    <w:rsid w:val="00B27BCB"/>
    <w:rPr>
      <w:color w:val="800080" w:themeColor="followedHyperlink"/>
      <w:u w:val="single"/>
    </w:rPr>
  </w:style>
  <w:style w:type="character" w:customStyle="1" w:styleId="UnresolvedMention1">
    <w:name w:val="Unresolved Mention1"/>
    <w:basedOn w:val="DefaultParagraphFont"/>
    <w:uiPriority w:val="99"/>
    <w:semiHidden/>
    <w:unhideWhenUsed/>
    <w:rsid w:val="00B27BCB"/>
    <w:rPr>
      <w:color w:val="605E5C"/>
      <w:shd w:val="clear" w:color="auto" w:fill="E1DFDD"/>
    </w:rPr>
  </w:style>
  <w:style w:type="character" w:customStyle="1" w:styleId="Heading3Char">
    <w:name w:val="Heading 3 Char"/>
    <w:basedOn w:val="DefaultParagraphFont"/>
    <w:link w:val="Heading3"/>
    <w:rsid w:val="00B27BCB"/>
    <w:rPr>
      <w:rFonts w:ascii="Times New Roman" w:hAnsi="Times New Roman"/>
      <w:b/>
      <w:sz w:val="24"/>
      <w:lang w:val="es-ES_tradnl" w:eastAsia="en-US"/>
    </w:rPr>
  </w:style>
  <w:style w:type="character" w:customStyle="1" w:styleId="Heading4Char">
    <w:name w:val="Heading 4 Char"/>
    <w:basedOn w:val="DefaultParagraphFont"/>
    <w:link w:val="Heading4"/>
    <w:rsid w:val="00B27BCB"/>
    <w:rPr>
      <w:rFonts w:ascii="Times New Roman" w:hAnsi="Times New Roman"/>
      <w:b/>
      <w:sz w:val="24"/>
      <w:lang w:val="es-ES_tradnl" w:eastAsia="en-US"/>
    </w:rPr>
  </w:style>
  <w:style w:type="paragraph" w:styleId="ListParagraph">
    <w:name w:val="List Paragraph"/>
    <w:basedOn w:val="Normal"/>
    <w:link w:val="ListParagraphChar"/>
    <w:uiPriority w:val="34"/>
    <w:qFormat/>
    <w:rsid w:val="00B27BCB"/>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eastAsiaTheme="minorEastAsia" w:cstheme="minorBidi"/>
      <w:szCs w:val="22"/>
      <w:lang w:val="en-US" w:eastAsia="zh-CN"/>
    </w:rPr>
  </w:style>
  <w:style w:type="character" w:customStyle="1" w:styleId="TabletextChar">
    <w:name w:val="Table_text Char"/>
    <w:basedOn w:val="DefaultParagraphFont"/>
    <w:link w:val="Tabletext"/>
    <w:qFormat/>
    <w:locked/>
    <w:rsid w:val="00B27BCB"/>
    <w:rPr>
      <w:rFonts w:ascii="Times New Roman" w:hAnsi="Times New Roman"/>
      <w:sz w:val="22"/>
      <w:lang w:val="es-ES_tradnl" w:eastAsia="en-US"/>
    </w:rPr>
  </w:style>
  <w:style w:type="character" w:customStyle="1" w:styleId="TableheadChar">
    <w:name w:val="Table_head Char"/>
    <w:basedOn w:val="DefaultParagraphFont"/>
    <w:link w:val="Tablehead"/>
    <w:rsid w:val="00B27BCB"/>
    <w:rPr>
      <w:rFonts w:ascii="Times New Roman" w:hAnsi="Times New Roman"/>
      <w:b/>
      <w:sz w:val="22"/>
      <w:lang w:val="es-ES_tradnl" w:eastAsia="en-US"/>
    </w:rPr>
  </w:style>
  <w:style w:type="table" w:customStyle="1" w:styleId="GridTable5Dark-Accent11">
    <w:name w:val="Grid Table 5 Dark - Accent 11"/>
    <w:basedOn w:val="TableNormal"/>
    <w:next w:val="GridTable5Dark-Accent1"/>
    <w:uiPriority w:val="50"/>
    <w:rsid w:val="00B27B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1">
    <w:name w:val="Grid Table 5 Dark Accent 1"/>
    <w:basedOn w:val="TableNormal"/>
    <w:uiPriority w:val="50"/>
    <w:rsid w:val="00B27B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2">
    <w:name w:val="Grid Table 5 Dark - Accent 12"/>
    <w:basedOn w:val="TableNormal"/>
    <w:next w:val="GridTable5Dark-Accent1"/>
    <w:uiPriority w:val="50"/>
    <w:rsid w:val="00B27B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3">
    <w:name w:val="Grid Table 5 Dark - Accent 13"/>
    <w:basedOn w:val="TableNormal"/>
    <w:next w:val="GridTable5Dark-Accent1"/>
    <w:uiPriority w:val="50"/>
    <w:rsid w:val="00B27B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Grid">
    <w:name w:val="Table Grid"/>
    <w:basedOn w:val="TableNormal"/>
    <w:rsid w:val="00B27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1">
    <w:name w:val="Grid Table 5 Dark - Accent 111"/>
    <w:basedOn w:val="TableNormal"/>
    <w:uiPriority w:val="50"/>
    <w:rsid w:val="00B27BCB"/>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4">
    <w:name w:val="Grid Table 5 Dark - Accent 14"/>
    <w:basedOn w:val="TableNormal"/>
    <w:next w:val="GridTable5Dark-Accent1"/>
    <w:uiPriority w:val="50"/>
    <w:rsid w:val="00B27BCB"/>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rmalWeb">
    <w:name w:val="Normal (Web)"/>
    <w:basedOn w:val="Normal"/>
    <w:uiPriority w:val="99"/>
    <w:semiHidden/>
    <w:unhideWhenUsed/>
    <w:rsid w:val="00B27BCB"/>
    <w:pPr>
      <w:tabs>
        <w:tab w:val="clear" w:pos="794"/>
        <w:tab w:val="clear" w:pos="1191"/>
        <w:tab w:val="clear" w:pos="1588"/>
        <w:tab w:val="clear" w:pos="1985"/>
      </w:tabs>
      <w:overflowPunct/>
      <w:autoSpaceDE/>
      <w:autoSpaceDN/>
      <w:adjustRightInd/>
      <w:spacing w:before="0"/>
      <w:textAlignment w:val="auto"/>
    </w:pPr>
    <w:rPr>
      <w:szCs w:val="24"/>
      <w:lang w:val="en-GB"/>
    </w:rPr>
  </w:style>
  <w:style w:type="character" w:styleId="CommentReference">
    <w:name w:val="annotation reference"/>
    <w:basedOn w:val="DefaultParagraphFont"/>
    <w:semiHidden/>
    <w:unhideWhenUsed/>
    <w:rsid w:val="00B27BCB"/>
    <w:rPr>
      <w:sz w:val="16"/>
      <w:szCs w:val="16"/>
    </w:rPr>
  </w:style>
  <w:style w:type="paragraph" w:styleId="CommentText">
    <w:name w:val="annotation text"/>
    <w:basedOn w:val="Normal"/>
    <w:link w:val="CommentTextChar"/>
    <w:semiHidden/>
    <w:unhideWhenUsed/>
    <w:rsid w:val="00B27BCB"/>
    <w:rPr>
      <w:sz w:val="20"/>
    </w:rPr>
  </w:style>
  <w:style w:type="character" w:customStyle="1" w:styleId="CommentTextChar">
    <w:name w:val="Comment Text Char"/>
    <w:basedOn w:val="DefaultParagraphFont"/>
    <w:link w:val="CommentText"/>
    <w:semiHidden/>
    <w:rsid w:val="00B27BCB"/>
    <w:rPr>
      <w:rFonts w:ascii="Times New Roman" w:hAnsi="Times New Roman"/>
      <w:lang w:val="es-ES_tradnl" w:eastAsia="en-US"/>
    </w:rPr>
  </w:style>
  <w:style w:type="paragraph" w:styleId="CommentSubject">
    <w:name w:val="annotation subject"/>
    <w:basedOn w:val="CommentText"/>
    <w:next w:val="CommentText"/>
    <w:link w:val="CommentSubjectChar"/>
    <w:semiHidden/>
    <w:unhideWhenUsed/>
    <w:rsid w:val="00B27BCB"/>
    <w:rPr>
      <w:b/>
      <w:bCs/>
    </w:rPr>
  </w:style>
  <w:style w:type="character" w:customStyle="1" w:styleId="CommentSubjectChar">
    <w:name w:val="Comment Subject Char"/>
    <w:basedOn w:val="CommentTextChar"/>
    <w:link w:val="CommentSubject"/>
    <w:semiHidden/>
    <w:rsid w:val="00B27BCB"/>
    <w:rPr>
      <w:rFonts w:ascii="Times New Roman" w:hAnsi="Times New Roman"/>
      <w:b/>
      <w:bCs/>
      <w:lang w:val="es-ES_tradnl" w:eastAsia="en-US"/>
    </w:rPr>
  </w:style>
  <w:style w:type="paragraph" w:customStyle="1" w:styleId="Reasons">
    <w:name w:val="Reasons"/>
    <w:basedOn w:val="Normal"/>
    <w:qFormat/>
    <w:rsid w:val="00B27BCB"/>
    <w:pPr>
      <w:tabs>
        <w:tab w:val="clear" w:pos="794"/>
        <w:tab w:val="clear" w:pos="1191"/>
        <w:tab w:val="clear" w:pos="1588"/>
        <w:tab w:val="clear" w:pos="1985"/>
      </w:tabs>
      <w:overflowPunct/>
      <w:autoSpaceDE/>
      <w:autoSpaceDN/>
      <w:adjustRightInd/>
      <w:spacing w:before="0"/>
      <w:textAlignment w:val="auto"/>
    </w:pPr>
    <w:rPr>
      <w:lang w:val="en-US"/>
    </w:rPr>
  </w:style>
  <w:style w:type="paragraph" w:styleId="Revision">
    <w:name w:val="Revision"/>
    <w:hidden/>
    <w:uiPriority w:val="99"/>
    <w:semiHidden/>
    <w:rsid w:val="00B27BCB"/>
    <w:rPr>
      <w:rFonts w:ascii="Times New Roman" w:hAnsi="Times New Roman"/>
      <w:sz w:val="24"/>
      <w:lang w:val="es-ES_tradnl" w:eastAsia="en-US"/>
    </w:rPr>
  </w:style>
  <w:style w:type="character" w:customStyle="1" w:styleId="UnresolvedMention2">
    <w:name w:val="Unresolved Mention2"/>
    <w:basedOn w:val="DefaultParagraphFont"/>
    <w:uiPriority w:val="99"/>
    <w:semiHidden/>
    <w:unhideWhenUsed/>
    <w:rsid w:val="00EA5116"/>
    <w:rPr>
      <w:color w:val="605E5C"/>
      <w:shd w:val="clear" w:color="auto" w:fill="E1DFDD"/>
    </w:rPr>
  </w:style>
  <w:style w:type="character" w:customStyle="1" w:styleId="HeadingbChar">
    <w:name w:val="Heading_b Char"/>
    <w:link w:val="Headingb"/>
    <w:locked/>
    <w:rsid w:val="00515771"/>
    <w:rPr>
      <w:rFonts w:ascii="Times New Roman" w:hAnsi="Times New Roman"/>
      <w:b/>
      <w:sz w:val="24"/>
      <w:lang w:val="es-ES_tradnl" w:eastAsia="en-US"/>
    </w:rPr>
  </w:style>
  <w:style w:type="character" w:customStyle="1" w:styleId="HeaderChar">
    <w:name w:val="Header Char"/>
    <w:aliases w:val="encabezado Char,he Char"/>
    <w:basedOn w:val="DefaultParagraphFont"/>
    <w:link w:val="Header"/>
    <w:uiPriority w:val="99"/>
    <w:rsid w:val="000E3864"/>
    <w:rPr>
      <w:rFonts w:ascii="Times New Roman" w:hAnsi="Times New Roman"/>
      <w:sz w:val="18"/>
      <w:lang w:val="es-ES_tradnl" w:eastAsia="en-US"/>
    </w:rPr>
  </w:style>
  <w:style w:type="character" w:customStyle="1" w:styleId="enumlev1Char">
    <w:name w:val="enumlev1 Char"/>
    <w:basedOn w:val="DefaultParagraphFont"/>
    <w:link w:val="enumlev1"/>
    <w:uiPriority w:val="99"/>
    <w:locked/>
    <w:rsid w:val="000E3864"/>
    <w:rPr>
      <w:rFonts w:ascii="Times New Roman" w:hAnsi="Times New Roman"/>
      <w:sz w:val="24"/>
      <w:lang w:val="es-ES_tradnl" w:eastAsia="en-US"/>
    </w:rPr>
  </w:style>
  <w:style w:type="character" w:customStyle="1" w:styleId="ListParagraphChar">
    <w:name w:val="List Paragraph Char"/>
    <w:basedOn w:val="DefaultParagraphFont"/>
    <w:link w:val="ListParagraph"/>
    <w:uiPriority w:val="34"/>
    <w:locked/>
    <w:rsid w:val="00E02676"/>
    <w:rPr>
      <w:rFonts w:ascii="Times New Roman" w:eastAsiaTheme="minorEastAsia" w:hAnsi="Times New Roman" w:cstheme="minorBidi"/>
      <w:sz w:val="24"/>
      <w:szCs w:val="22"/>
    </w:rPr>
  </w:style>
  <w:style w:type="paragraph" w:styleId="BalloonText">
    <w:name w:val="Balloon Text"/>
    <w:basedOn w:val="Normal"/>
    <w:link w:val="BalloonTextChar"/>
    <w:semiHidden/>
    <w:unhideWhenUsed/>
    <w:rsid w:val="0006183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61839"/>
    <w:rPr>
      <w:rFonts w:ascii="Segoe UI" w:hAnsi="Segoe UI" w:cs="Segoe UI"/>
      <w:sz w:val="18"/>
      <w:szCs w:val="18"/>
      <w:lang w:val="es-ES_tradnl" w:eastAsia="en-US"/>
    </w:rPr>
  </w:style>
  <w:style w:type="character" w:styleId="UnresolvedMention">
    <w:name w:val="Unresolved Mention"/>
    <w:basedOn w:val="DefaultParagraphFont"/>
    <w:uiPriority w:val="99"/>
    <w:semiHidden/>
    <w:unhideWhenUsed/>
    <w:rsid w:val="00CA7154"/>
    <w:rPr>
      <w:color w:val="605E5C"/>
      <w:shd w:val="clear" w:color="auto" w:fill="E1DFDD"/>
    </w:rPr>
  </w:style>
  <w:style w:type="character" w:customStyle="1" w:styleId="y2iqfc">
    <w:name w:val="y2iqfc"/>
    <w:basedOn w:val="DefaultParagraphFont"/>
    <w:rsid w:val="00FB4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9956">
      <w:bodyDiv w:val="1"/>
      <w:marLeft w:val="0"/>
      <w:marRight w:val="0"/>
      <w:marTop w:val="0"/>
      <w:marBottom w:val="0"/>
      <w:divBdr>
        <w:top w:val="none" w:sz="0" w:space="0" w:color="auto"/>
        <w:left w:val="none" w:sz="0" w:space="0" w:color="auto"/>
        <w:bottom w:val="none" w:sz="0" w:space="0" w:color="auto"/>
        <w:right w:val="none" w:sz="0" w:space="0" w:color="auto"/>
      </w:divBdr>
    </w:div>
    <w:div w:id="80631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21" Type="http://schemas.openxmlformats.org/officeDocument/2006/relationships/hyperlink" Target="https://www.itu.int/md/R00-CA-CIR-0265/en" TargetMode="External"/><Relationship Id="rId42" Type="http://schemas.openxmlformats.org/officeDocument/2006/relationships/hyperlink" Target="https://www.itu.int/en/mediacentre/Pages/MC-2022-04-04-Arab-States-WRC-19-outcomes-.aspx" TargetMode="External"/><Relationship Id="rId47" Type="http://schemas.openxmlformats.org/officeDocument/2006/relationships/hyperlink" Target="https://www.itu.int/en/mediacentre/Pages/PR-2022-02-24-5G-Standards.aspx" TargetMode="External"/><Relationship Id="rId63" Type="http://schemas.openxmlformats.org/officeDocument/2006/relationships/hyperlink" Target="https://www.itu.int/en/mediacentre/backgrounders/Pages/non-GSO-satellite-systems-with-short-duration-missions.aspx" TargetMode="External"/><Relationship Id="rId68" Type="http://schemas.openxmlformats.org/officeDocument/2006/relationships/hyperlink" Target="https://www.itu.int/hub/2022/02/world-radio-day-trust-accessibility/" TargetMode="External"/><Relationship Id="rId84" Type="http://schemas.openxmlformats.org/officeDocument/2006/relationships/hyperlink" Target="https://www.itu.int/hub/2022/10/space-sustainability-synergies/" TargetMode="External"/><Relationship Id="rId89" Type="http://schemas.openxmlformats.org/officeDocument/2006/relationships/hyperlink" Target="https://www.itu.int/hub/2022/12/wrs-22-how-itu-r-study-groups-work/" TargetMode="External"/><Relationship Id="rId7" Type="http://schemas.openxmlformats.org/officeDocument/2006/relationships/image" Target="media/image1.jpeg"/><Relationship Id="rId71" Type="http://schemas.openxmlformats.org/officeDocument/2006/relationships/hyperlink" Target="https://www.itu.int/hub/2022/02/itu-space-interference-free-satellite-orbits-leo/" TargetMode="External"/><Relationship Id="rId92" Type="http://schemas.openxmlformats.org/officeDocument/2006/relationships/hyperlink" Target="https://www.itu.int/hub/2022/12/wrs-22-trends-in-maritime-communications/" TargetMode="External"/><Relationship Id="rId2" Type="http://schemas.openxmlformats.org/officeDocument/2006/relationships/styles" Target="styles.xml"/><Relationship Id="rId16" Type="http://schemas.openxmlformats.org/officeDocument/2006/relationships/hyperlink" Target="http://www.itu.int/go/wrc-23-regional" TargetMode="External"/><Relationship Id="rId29" Type="http://schemas.openxmlformats.org/officeDocument/2006/relationships/hyperlink" Target="http://www.fiji.gov.fj/" TargetMode="External"/><Relationship Id="rId11" Type="http://schemas.openxmlformats.org/officeDocument/2006/relationships/hyperlink" Target="https://www.itu.int/es/council/2021/Pages/default.aspx" TargetMode="External"/><Relationship Id="rId24" Type="http://schemas.openxmlformats.org/officeDocument/2006/relationships/hyperlink" Target="https://www.itu.int/hub/publication/r-reg-rr-2020/" TargetMode="External"/><Relationship Id="rId32" Type="http://schemas.openxmlformats.org/officeDocument/2006/relationships/header" Target="header3.xml"/><Relationship Id="rId37" Type="http://schemas.openxmlformats.org/officeDocument/2006/relationships/hyperlink" Target="https://www.itu.int/ra-23/" TargetMode="External"/><Relationship Id="rId40" Type="http://schemas.openxmlformats.org/officeDocument/2006/relationships/hyperlink" Target="https://www.itu.int/wrc-23/newsroom/wrc-news/" TargetMode="External"/><Relationship Id="rId45" Type="http://schemas.openxmlformats.org/officeDocument/2006/relationships/hyperlink" Target="https://www.itu.int/en/mediacentre/Pages/MC-2022-11-16-Space-air-based-networks-to-reach-unconnected-people.aspx" TargetMode="External"/><Relationship Id="rId53" Type="http://schemas.openxmlformats.org/officeDocument/2006/relationships/hyperlink" Target="https://www.itu.int/en/ITU-R/terrestrial/Pages/by-categories-faq.aspx?maincategorizedby=1" TargetMode="External"/><Relationship Id="rId58" Type="http://schemas.openxmlformats.org/officeDocument/2006/relationships/hyperlink" Target="https://www.itu.int/es/mediacentre/backgrounders/Pages/itu-study-groups.aspx" TargetMode="External"/><Relationship Id="rId66" Type="http://schemas.openxmlformats.org/officeDocument/2006/relationships/hyperlink" Target="https://www.itu.int/hub/2022/02/radio-broadcast-technical-standards-itu-r/" TargetMode="External"/><Relationship Id="rId74" Type="http://schemas.openxmlformats.org/officeDocument/2006/relationships/hyperlink" Target="https://www.itu.int/hub/2022/04/young-radio-amateurs-philipp-springer-yota/" TargetMode="External"/><Relationship Id="rId79" Type="http://schemas.openxmlformats.org/officeDocument/2006/relationships/hyperlink" Target="https://www.itu.int/hub/2022/07/space-monitoring-facilities-oman-radiocommunication/" TargetMode="External"/><Relationship Id="rId87" Type="http://schemas.openxmlformats.org/officeDocument/2006/relationships/hyperlink" Target="https://www.itu.int/hub/2023/01/wrs-22-the-quest-for-a-gender-balanced-radiocommunication-future/" TargetMode="External"/><Relationship Id="rId102" Type="http://schemas.openxmlformats.org/officeDocument/2006/relationships/header" Target="header4.xml"/><Relationship Id="rId5" Type="http://schemas.openxmlformats.org/officeDocument/2006/relationships/footnotes" Target="footnotes.xml"/><Relationship Id="rId61" Type="http://schemas.openxmlformats.org/officeDocument/2006/relationships/hyperlink" Target="https://www.itu.int/es/mediacentre/backgrounders/Pages/Non-geostationary-satellite-systems.aspx" TargetMode="External"/><Relationship Id="rId82" Type="http://schemas.openxmlformats.org/officeDocument/2006/relationships/hyperlink" Target="https://www.itu.int/hub/2022/09/world-maritime-day-greener-shipping-regulations-technology/" TargetMode="External"/><Relationship Id="rId90" Type="http://schemas.openxmlformats.org/officeDocument/2006/relationships/hyperlink" Target="https://www.itu.int/hub/2022/12/taking-stock-of-terrestrial-services/" TargetMode="External"/><Relationship Id="rId95" Type="http://schemas.openxmlformats.org/officeDocument/2006/relationships/hyperlink" Target="https://www.itu.int/hub/" TargetMode="External"/><Relationship Id="rId19" Type="http://schemas.openxmlformats.org/officeDocument/2006/relationships/hyperlink" Target="https://www.itu.int/wrc23/newsroom/wrc-news/" TargetMode="External"/><Relationship Id="rId14" Type="http://schemas.openxmlformats.org/officeDocument/2006/relationships/image" Target="media/image2.png"/><Relationship Id="rId22" Type="http://schemas.openxmlformats.org/officeDocument/2006/relationships/hyperlink" Target="https://www.itu.int/en/ITU-R/space/support/Pages/GuideforNotificationwithSpacecap.aspx" TargetMode="External"/><Relationship Id="rId27" Type="http://schemas.openxmlformats.org/officeDocument/2006/relationships/header" Target="header2.xml"/><Relationship Id="rId30" Type="http://schemas.openxmlformats.org/officeDocument/2006/relationships/hyperlink" Target="https://www.pita.org.fj/" TargetMode="External"/><Relationship Id="rId35" Type="http://schemas.openxmlformats.org/officeDocument/2006/relationships/image" Target="media/image5.png"/><Relationship Id="rId43" Type="http://schemas.openxmlformats.org/officeDocument/2006/relationships/hyperlink" Target="https://www.itu.int/en/mediacentre/Pages/MC-2022-09-12-Europe-efficient-spectrum.aspx" TargetMode="External"/><Relationship Id="rId48" Type="http://schemas.openxmlformats.org/officeDocument/2006/relationships/hyperlink" Target="https://www.itu.int/en/mediacentre/Pages/2022-06-29-WRC23-Host-City.aspx" TargetMode="External"/><Relationship Id="rId56" Type="http://schemas.openxmlformats.org/officeDocument/2006/relationships/hyperlink" Target="https://www.itu.int/es/mediacentre/backgrounders/Pages/High-altitude-platform-systems.aspx" TargetMode="External"/><Relationship Id="rId64" Type="http://schemas.openxmlformats.org/officeDocument/2006/relationships/hyperlink" Target="https://www.itu.int/hub/publication/s-gen-news-2022-1/" TargetMode="External"/><Relationship Id="rId69" Type="http://schemas.openxmlformats.org/officeDocument/2006/relationships/hyperlink" Target="https://soundcloud.com/ituproduction/itu-technologized-interview-with-mario-maniewicz-director-itu-radiocommunication-bureau-1" TargetMode="External"/><Relationship Id="rId77" Type="http://schemas.openxmlformats.org/officeDocument/2006/relationships/hyperlink" Target="https://www.itu.int/hub/2022/06/4u1itu-ham-radio-amateur-station-60-years/" TargetMode="External"/><Relationship Id="rId100" Type="http://schemas.openxmlformats.org/officeDocument/2006/relationships/hyperlink" Target="https://www.itu.int/md/R20-RAG-C-0060/en" TargetMode="External"/><Relationship Id="rId105" Type="http://schemas.openxmlformats.org/officeDocument/2006/relationships/fontTable" Target="fontTable.xml"/><Relationship Id="rId8" Type="http://schemas.openxmlformats.org/officeDocument/2006/relationships/hyperlink" Target="https://www.itu.int/md/R00-CA-CIR-0264/en" TargetMode="External"/><Relationship Id="rId51" Type="http://schemas.openxmlformats.org/officeDocument/2006/relationships/hyperlink" Target="https://www.itu.int/en/ITU-R/Documents/ITU-R-FAQ-IMT.pdf" TargetMode="External"/><Relationship Id="rId72" Type="http://schemas.openxmlformats.org/officeDocument/2006/relationships/hyperlink" Target="https://www.itu.int/hub/2022/02/mobile-broadband-standards-imt-5g/" TargetMode="External"/><Relationship Id="rId80" Type="http://schemas.openxmlformats.org/officeDocument/2006/relationships/hyperlink" Target="https://www.itu.int/hub/2022/08/warning-harmful-interference-rnss/" TargetMode="External"/><Relationship Id="rId85" Type="http://schemas.openxmlformats.org/officeDocument/2006/relationships/hyperlink" Target="https://www.itu.int/hub/2022/11/world-tv-day-television-emergency-broadcasting/" TargetMode="External"/><Relationship Id="rId93" Type="http://schemas.openxmlformats.org/officeDocument/2006/relationships/hyperlink" Target="https://www.itu.int/hub/2022/11/broadcasting-trends-tv-radio-wrs/" TargetMode="External"/><Relationship Id="rId98" Type="http://schemas.openxmlformats.org/officeDocument/2006/relationships/hyperlink" Target="https://www.itu.int/hub/publication/r-sp-lm-v-2022/" TargetMode="External"/><Relationship Id="rId3" Type="http://schemas.openxmlformats.org/officeDocument/2006/relationships/settings" Target="settings.xml"/><Relationship Id="rId12" Type="http://schemas.openxmlformats.org/officeDocument/2006/relationships/hyperlink" Target="https://www.itu.int/es/council/2020/Pages/default.aspx" TargetMode="External"/><Relationship Id="rId17" Type="http://schemas.openxmlformats.org/officeDocument/2006/relationships/hyperlink" Target="http://www.itu.int/wrc-23" TargetMode="External"/><Relationship Id="rId25" Type="http://schemas.openxmlformats.org/officeDocument/2006/relationships/header" Target="header1.xml"/><Relationship Id="rId33" Type="http://schemas.openxmlformats.org/officeDocument/2006/relationships/image" Target="media/image3.png"/><Relationship Id="rId38" Type="http://schemas.openxmlformats.org/officeDocument/2006/relationships/hyperlink" Target="https://www.itu.int/bestofwrs/" TargetMode="External"/><Relationship Id="rId46" Type="http://schemas.openxmlformats.org/officeDocument/2006/relationships/hyperlink" Target="https://www.itu.int/en/mediacentre/Pages/MC-2022-12-7-sharing-spectrum-agenda-ahead-of-WRC-2023.aspx" TargetMode="External"/><Relationship Id="rId59" Type="http://schemas.openxmlformats.org/officeDocument/2006/relationships/hyperlink" Target="https://www.itu.int/es/mediacentre/backgrounders/Pages/itu-r-managing-the-radio-frequency-spectrum-for-the-world.aspx" TargetMode="External"/><Relationship Id="rId67" Type="http://schemas.openxmlformats.org/officeDocument/2006/relationships/hyperlink" Target="https://www.itu.int/hub/2022/02/space-technologies-water-systems/" TargetMode="External"/><Relationship Id="rId103" Type="http://schemas.openxmlformats.org/officeDocument/2006/relationships/footer" Target="footer3.xml"/><Relationship Id="rId20" Type="http://schemas.openxmlformats.org/officeDocument/2006/relationships/hyperlink" Target="https://www.itu.int/md/R00-CACE-CIR-1050/en" TargetMode="External"/><Relationship Id="rId41" Type="http://schemas.openxmlformats.org/officeDocument/2006/relationships/hyperlink" Target="https://www.itu.int/en/mediacentre/Pages/MC-2022-01-31-FM-Frequencies-Africa.aspx" TargetMode="External"/><Relationship Id="rId54" Type="http://schemas.openxmlformats.org/officeDocument/2006/relationships/hyperlink" Target="https://www.itu.int/es/mediacentre/backgrounders/Pages/5G-fifth-generation-of-mobile-technologies.aspx" TargetMode="External"/><Relationship Id="rId62" Type="http://schemas.openxmlformats.org/officeDocument/2006/relationships/hyperlink" Target="https://www.itu.int/en/mediacentre/backgrounders/Pages/non-GSO-satellite-systems-with-short-duration-missions.aspx" TargetMode="External"/><Relationship Id="rId70" Type="http://schemas.openxmlformats.org/officeDocument/2006/relationships/hyperlink" Target="https://news.un.org/en/story/2022/02/1111882" TargetMode="External"/><Relationship Id="rId75" Type="http://schemas.openxmlformats.org/officeDocument/2006/relationships/hyperlink" Target="https://www.itu.int/hub/2022/04/how-to-become-a-radio-ham-in-the-digital-era/" TargetMode="External"/><Relationship Id="rId83" Type="http://schemas.openxmlformats.org/officeDocument/2006/relationships/hyperlink" Target="https://www.itu.int/hub/2022/10/geospatial-data-reveal-a-changing-earth/" TargetMode="External"/><Relationship Id="rId88" Type="http://schemas.openxmlformats.org/officeDocument/2006/relationships/hyperlink" Target="https://www.itu.int/hub/2023/01/satellite-regulation-leo-geo-wrs/" TargetMode="External"/><Relationship Id="rId91" Type="http://schemas.openxmlformats.org/officeDocument/2006/relationships/hyperlink" Target="https://www.itu.int/hub/2022/12/wrs-22-mobile-broadband-trends-from-3g-to-6g/" TargetMode="External"/><Relationship Id="rId96" Type="http://schemas.openxmlformats.org/officeDocument/2006/relationships/hyperlink" Target="https://www.itu.int/itu-r/space/apps/public/spaceexplorer/networks-explore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tu.int/go/ITU-R/CPM" TargetMode="External"/><Relationship Id="rId23" Type="http://schemas.openxmlformats.org/officeDocument/2006/relationships/hyperlink" Target="https://www.itu.int/en/publications/ITU-R/pages/publications.aspx?parent=R-REG-RR-2020&amp;media=electronic" TargetMode="External"/><Relationship Id="rId28" Type="http://schemas.openxmlformats.org/officeDocument/2006/relationships/footer" Target="footer2.xml"/><Relationship Id="rId36" Type="http://schemas.openxmlformats.org/officeDocument/2006/relationships/hyperlink" Target="https://www.itu.int/wrc-23/" TargetMode="External"/><Relationship Id="rId49" Type="http://schemas.openxmlformats.org/officeDocument/2006/relationships/hyperlink" Target="https://www.itu.int/en/mediacentre/Pages/PR-2022-09-30-ITU-WRC-2023.aspx" TargetMode="External"/><Relationship Id="rId57" Type="http://schemas.openxmlformats.org/officeDocument/2006/relationships/hyperlink" Target="https://www.itu.int/es/mediacentre/backgrounders/Pages/Radiocommunications-for-keeping-ships-and-people-safe-at-sea.aspx" TargetMode="External"/><Relationship Id="rId106" Type="http://schemas.openxmlformats.org/officeDocument/2006/relationships/theme" Target="theme/theme1.xml"/><Relationship Id="rId10" Type="http://schemas.openxmlformats.org/officeDocument/2006/relationships/hyperlink" Target="https://www.itu.int/es/ITU-R/conferences/RRB/Pages/default.aspx" TargetMode="External"/><Relationship Id="rId31" Type="http://schemas.openxmlformats.org/officeDocument/2006/relationships/hyperlink" Target="https://www.infrastructure.gov.au/" TargetMode="External"/><Relationship Id="rId44" Type="http://schemas.openxmlformats.org/officeDocument/2006/relationships/hyperlink" Target="https://www.itu.int/en/mediacentre/Pages/MC-2022-10-31-WRS.aspx" TargetMode="External"/><Relationship Id="rId52" Type="http://schemas.openxmlformats.org/officeDocument/2006/relationships/hyperlink" Target="https://www.itu.int/en/ITU-R/Documents/ITU-R-FAQ-DD-DSO.pdf" TargetMode="External"/><Relationship Id="rId60" Type="http://schemas.openxmlformats.org/officeDocument/2006/relationships/hyperlink" Target="https://www.itu.int/es/mediacentre/backgrounders/Pages/Earth-stations-in-motion-satellite-issues.aspx" TargetMode="External"/><Relationship Id="rId65" Type="http://schemas.openxmlformats.org/officeDocument/2006/relationships/hyperlink" Target="https://www.itu.int/hub/2022/02/fm-radio-expansion-africa-ge84-plan/" TargetMode="External"/><Relationship Id="rId73" Type="http://schemas.openxmlformats.org/officeDocument/2006/relationships/hyperlink" Target="https://www.itu.int/hub/2022/03/spectrum-key-for-early-warning-systems/" TargetMode="External"/><Relationship Id="rId78" Type="http://schemas.openxmlformats.org/officeDocument/2006/relationships/hyperlink" Target="https://www.itu.int/hub/2022/06/seafarer-day-itu-maritime-publications/" TargetMode="External"/><Relationship Id="rId81" Type="http://schemas.openxmlformats.org/officeDocument/2006/relationships/hyperlink" Target="https://www.itu.int/hub/2022/09/itu-space-explorer-satellite-data-dashboards/" TargetMode="External"/><Relationship Id="rId86" Type="http://schemas.openxmlformats.org/officeDocument/2006/relationships/hyperlink" Target="https://www.itu.int/hub/2023/01/global-spectrum-harmonization-wrc-process/" TargetMode="External"/><Relationship Id="rId94" Type="http://schemas.openxmlformats.org/officeDocument/2006/relationships/hyperlink" Target="https://www.itu.int/hub/2022/11/wrs-radio-regulations-software-tools/" TargetMode="External"/><Relationship Id="rId99" Type="http://schemas.openxmlformats.org/officeDocument/2006/relationships/hyperlink" Target="https://www.itu.int/hub/2022/11/wrs-radio-regulations-software-tools/" TargetMode="External"/><Relationship Id="rId101" Type="http://schemas.openxmlformats.org/officeDocument/2006/relationships/hyperlink" Target="https://www.itu.int/md/R00-CA-CIR-0260/en" TargetMode="External"/><Relationship Id="rId4" Type="http://schemas.openxmlformats.org/officeDocument/2006/relationships/webSettings" Target="webSettings.xml"/><Relationship Id="rId9" Type="http://schemas.openxmlformats.org/officeDocument/2006/relationships/hyperlink" Target="https://www.itu.int/es/council/Pages/overview.aspx" TargetMode="External"/><Relationship Id="rId13" Type="http://schemas.openxmlformats.org/officeDocument/2006/relationships/hyperlink" Target="https://www.itu.int/md/S21-CL-C-0016/es" TargetMode="External"/><Relationship Id="rId18" Type="http://schemas.openxmlformats.org/officeDocument/2006/relationships/hyperlink" Target="http://www.itu.int/wrc-23/booklet-wrc-23" TargetMode="External"/><Relationship Id="rId39" Type="http://schemas.openxmlformats.org/officeDocument/2006/relationships/hyperlink" Target="https://www.itu.int/now4wrc23/" TargetMode="External"/><Relationship Id="rId34" Type="http://schemas.openxmlformats.org/officeDocument/2006/relationships/image" Target="media/image4.png"/><Relationship Id="rId50" Type="http://schemas.openxmlformats.org/officeDocument/2006/relationships/hyperlink" Target="https://www.itu.int/en/ITU-R/Documents/ITU-R-FAQ-UTC.pdf" TargetMode="External"/><Relationship Id="rId55" Type="http://schemas.openxmlformats.org/officeDocument/2006/relationships/hyperlink" Target="https://www.itu.int/es/mediacentre/backgrounders/Pages/5G-EMF-health.aspx" TargetMode="External"/><Relationship Id="rId76" Type="http://schemas.openxmlformats.org/officeDocument/2006/relationships/hyperlink" Target="https://www.itu.int/hub/2022/05/moon-based-radio-astronomy-spectrum/" TargetMode="External"/><Relationship Id="rId97" Type="http://schemas.openxmlformats.org/officeDocument/2006/relationships/hyperlink" Target="https://www.itu.int/wrc-23/booklet-wrc-23/" TargetMode="External"/><Relationship Id="rId10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32</Pages>
  <Words>13891</Words>
  <Characters>80662</Characters>
  <Application>Microsoft Office Word</Application>
  <DocSecurity>0</DocSecurity>
  <Lines>672</Lines>
  <Paragraphs>188</Paragraphs>
  <ScaleCrop>false</ScaleCrop>
  <HeadingPairs>
    <vt:vector size="2" baseType="variant">
      <vt:variant>
        <vt:lpstr>Title</vt:lpstr>
      </vt:variant>
      <vt:variant>
        <vt:i4>1</vt:i4>
      </vt:variant>
    </vt:vector>
  </HeadingPairs>
  <TitlesOfParts>
    <vt:vector size="1" baseType="lpstr">
      <vt:lpstr>INFORME A LA VIGÉSIMA NOVENA REUNIÓN DEL GRUPO ASESOR DE RADIOCOMUNICACIONES</vt:lpstr>
    </vt:vector>
  </TitlesOfParts>
  <Manager>General Secretariat - Pool</Manager>
  <Company>International Telecommunication Union (ITU)</Company>
  <LinksUpToDate>false</LinksUpToDate>
  <CharactersWithSpaces>94365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 LA VIGÉSIMA NOVENA REUNIÓN DEL GRUPO ASESOR DE RADIOCOMUNICACIONES</dc:title>
  <dc:subject>GRUPO ASESOR DE RADIOCOMUNICACIONES</dc:subject>
  <dc:creator>Director de la Oficina de Radiocomunicaciones</dc:creator>
  <cp:keywords>RAG03-1</cp:keywords>
  <dc:description>Revisión 1 al Documento RAG/44-S  For: _x000d_Document date: 22 de marzo de 2022_x000d_Saved by ITU51013816 at 19:22:24 on 30/03/2022</dc:description>
  <cp:lastModifiedBy>Spanish</cp:lastModifiedBy>
  <cp:revision>36</cp:revision>
  <cp:lastPrinted>1993-02-18T11:12:00Z</cp:lastPrinted>
  <dcterms:created xsi:type="dcterms:W3CDTF">2023-04-26T08:34:00Z</dcterms:created>
  <dcterms:modified xsi:type="dcterms:W3CDTF">2023-04-28T06:03:00Z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Revisión 1 al Documento RAG/44-S</vt:lpwstr>
  </property>
  <property fmtid="{D5CDD505-2E9C-101B-9397-08002B2CF9AE}" pid="3" name="Docdate">
    <vt:lpwstr>22 de marzo de 2022</vt:lpwstr>
  </property>
  <property fmtid="{D5CDD505-2E9C-101B-9397-08002B2CF9AE}" pid="4" name="Docorlang">
    <vt:lpwstr>Original: inglés</vt:lpwstr>
  </property>
  <property fmtid="{D5CDD505-2E9C-101B-9397-08002B2CF9AE}" pid="5" name="Docauthor">
    <vt:lpwstr>Director de la Oficina de Radiocomunicaciones</vt:lpwstr>
  </property>
</Properties>
</file>