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B91EE1" w14:paraId="25425E2F" w14:textId="77777777" w:rsidTr="00443261">
        <w:trPr>
          <w:cantSplit/>
        </w:trPr>
        <w:tc>
          <w:tcPr>
            <w:tcW w:w="6771" w:type="dxa"/>
            <w:vAlign w:val="center"/>
          </w:tcPr>
          <w:p w14:paraId="2F46868C" w14:textId="77777777" w:rsidR="00443261" w:rsidRPr="00B91EE1" w:rsidRDefault="00443261" w:rsidP="004522B1">
            <w:pPr>
              <w:shd w:val="solid" w:color="FFFFFF" w:fill="FFFFFF"/>
              <w:spacing w:before="360" w:after="240"/>
              <w:rPr>
                <w:rFonts w:ascii="Verdana" w:hAnsi="Verdana"/>
                <w:b/>
                <w:bCs/>
              </w:rPr>
            </w:pPr>
            <w:r w:rsidRPr="00B91EE1">
              <w:rPr>
                <w:rFonts w:ascii="Verdana" w:hAnsi="Verdana" w:cs="Times New Roman Bold"/>
                <w:b/>
                <w:sz w:val="25"/>
                <w:szCs w:val="25"/>
              </w:rPr>
              <w:t>Groupe Consultatif des Radiocommunications</w:t>
            </w:r>
            <w:r w:rsidRPr="00B91EE1">
              <w:rPr>
                <w:rFonts w:ascii="Verdana" w:hAnsi="Verdana"/>
                <w:b/>
                <w:sz w:val="25"/>
                <w:szCs w:val="25"/>
              </w:rPr>
              <w:br/>
            </w:r>
          </w:p>
        </w:tc>
        <w:tc>
          <w:tcPr>
            <w:tcW w:w="3118" w:type="dxa"/>
          </w:tcPr>
          <w:p w14:paraId="3FA48300" w14:textId="77777777" w:rsidR="00443261" w:rsidRPr="00B91EE1" w:rsidRDefault="007711EA" w:rsidP="004522B1">
            <w:pPr>
              <w:shd w:val="solid" w:color="FFFFFF" w:fill="FFFFFF"/>
              <w:spacing w:before="0"/>
            </w:pPr>
            <w:r w:rsidRPr="00B91EE1">
              <w:rPr>
                <w:noProof/>
                <w:lang w:eastAsia="fr-CH"/>
              </w:rPr>
              <w:drawing>
                <wp:inline distT="0" distB="0" distL="0" distR="0" wp14:anchorId="36177997" wp14:editId="3DA06FB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B91EE1" w14:paraId="589C654F" w14:textId="77777777">
        <w:trPr>
          <w:cantSplit/>
        </w:trPr>
        <w:tc>
          <w:tcPr>
            <w:tcW w:w="6771" w:type="dxa"/>
            <w:tcBorders>
              <w:bottom w:val="single" w:sz="12" w:space="0" w:color="auto"/>
            </w:tcBorders>
          </w:tcPr>
          <w:p w14:paraId="7E23F9FA" w14:textId="77777777" w:rsidR="002D238A" w:rsidRPr="00B91EE1" w:rsidRDefault="002D238A" w:rsidP="004522B1">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4539E1E8" w14:textId="77777777" w:rsidR="002D238A" w:rsidRPr="00B91EE1" w:rsidRDefault="002D238A" w:rsidP="004522B1">
            <w:pPr>
              <w:shd w:val="solid" w:color="FFFFFF" w:fill="FFFFFF"/>
              <w:spacing w:before="0" w:after="48"/>
              <w:rPr>
                <w:sz w:val="22"/>
                <w:szCs w:val="22"/>
              </w:rPr>
            </w:pPr>
          </w:p>
        </w:tc>
      </w:tr>
      <w:tr w:rsidR="002D238A" w:rsidRPr="00B91EE1" w14:paraId="0782D6CA" w14:textId="77777777">
        <w:trPr>
          <w:cantSplit/>
        </w:trPr>
        <w:tc>
          <w:tcPr>
            <w:tcW w:w="6771" w:type="dxa"/>
            <w:tcBorders>
              <w:top w:val="single" w:sz="12" w:space="0" w:color="auto"/>
            </w:tcBorders>
          </w:tcPr>
          <w:p w14:paraId="02E77459" w14:textId="77777777" w:rsidR="002D238A" w:rsidRPr="00B91EE1" w:rsidRDefault="002D238A" w:rsidP="004522B1">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04673C59" w14:textId="44193BAA" w:rsidR="002D238A" w:rsidRPr="00B91EE1" w:rsidRDefault="002D238A" w:rsidP="004522B1">
            <w:pPr>
              <w:shd w:val="solid" w:color="FFFFFF" w:fill="FFFFFF"/>
              <w:spacing w:before="0" w:after="48"/>
              <w:rPr>
                <w:rFonts w:ascii="Verdana" w:hAnsi="Verdana"/>
                <w:sz w:val="22"/>
                <w:szCs w:val="22"/>
              </w:rPr>
            </w:pPr>
          </w:p>
        </w:tc>
      </w:tr>
      <w:tr w:rsidR="002D238A" w:rsidRPr="00B91EE1" w14:paraId="7BEA627B" w14:textId="77777777">
        <w:trPr>
          <w:cantSplit/>
        </w:trPr>
        <w:tc>
          <w:tcPr>
            <w:tcW w:w="6771" w:type="dxa"/>
            <w:vMerge w:val="restart"/>
          </w:tcPr>
          <w:p w14:paraId="4176AD2F" w14:textId="77777777" w:rsidR="002D238A" w:rsidRPr="00B91EE1" w:rsidRDefault="002D238A" w:rsidP="004522B1">
            <w:pPr>
              <w:shd w:val="solid" w:color="FFFFFF" w:fill="FFFFFF"/>
              <w:spacing w:before="0"/>
              <w:rPr>
                <w:rFonts w:ascii="Verdana" w:hAnsi="Verdana"/>
                <w:sz w:val="20"/>
              </w:rPr>
            </w:pPr>
            <w:bookmarkStart w:id="0" w:name="dnum" w:colFirst="1" w:colLast="1"/>
          </w:p>
        </w:tc>
        <w:tc>
          <w:tcPr>
            <w:tcW w:w="3118" w:type="dxa"/>
          </w:tcPr>
          <w:p w14:paraId="00DEBC4C" w14:textId="0DBC498B" w:rsidR="002D238A" w:rsidRPr="00B91EE1" w:rsidRDefault="00FF7330" w:rsidP="004522B1">
            <w:pPr>
              <w:shd w:val="solid" w:color="FFFFFF" w:fill="FFFFFF"/>
              <w:spacing w:before="0"/>
              <w:rPr>
                <w:rFonts w:ascii="Verdana" w:hAnsi="Verdana"/>
                <w:b/>
                <w:bCs/>
                <w:sz w:val="20"/>
              </w:rPr>
            </w:pPr>
            <w:r w:rsidRPr="00B91EE1">
              <w:rPr>
                <w:rFonts w:ascii="Verdana" w:hAnsi="Verdana"/>
                <w:b/>
                <w:bCs/>
                <w:sz w:val="20"/>
              </w:rPr>
              <w:t>Révision 1 du</w:t>
            </w:r>
            <w:r w:rsidRPr="00B91EE1">
              <w:rPr>
                <w:rFonts w:ascii="Verdana" w:hAnsi="Verdana"/>
                <w:b/>
                <w:bCs/>
                <w:sz w:val="20"/>
              </w:rPr>
              <w:br/>
            </w:r>
            <w:r w:rsidR="005624E2" w:rsidRPr="00B91EE1">
              <w:rPr>
                <w:rFonts w:ascii="Verdana" w:hAnsi="Verdana"/>
                <w:b/>
                <w:bCs/>
                <w:sz w:val="20"/>
              </w:rPr>
              <w:t>Document RAG/58-F</w:t>
            </w:r>
          </w:p>
        </w:tc>
      </w:tr>
      <w:tr w:rsidR="002D238A" w:rsidRPr="00B91EE1" w14:paraId="79A4857D" w14:textId="77777777">
        <w:trPr>
          <w:cantSplit/>
        </w:trPr>
        <w:tc>
          <w:tcPr>
            <w:tcW w:w="6771" w:type="dxa"/>
            <w:vMerge/>
          </w:tcPr>
          <w:p w14:paraId="69D115B3" w14:textId="77777777" w:rsidR="002D238A" w:rsidRPr="00B91EE1" w:rsidRDefault="002D238A" w:rsidP="004522B1">
            <w:pPr>
              <w:spacing w:before="60"/>
              <w:jc w:val="center"/>
              <w:rPr>
                <w:b/>
                <w:smallCaps/>
                <w:sz w:val="32"/>
              </w:rPr>
            </w:pPr>
            <w:bookmarkStart w:id="1" w:name="ddate" w:colFirst="1" w:colLast="1"/>
            <w:bookmarkEnd w:id="0"/>
          </w:p>
        </w:tc>
        <w:tc>
          <w:tcPr>
            <w:tcW w:w="3118" w:type="dxa"/>
          </w:tcPr>
          <w:p w14:paraId="153A5390" w14:textId="25562949" w:rsidR="002D238A" w:rsidRPr="00B91EE1" w:rsidRDefault="00FF7330" w:rsidP="004522B1">
            <w:pPr>
              <w:shd w:val="solid" w:color="FFFFFF" w:fill="FFFFFF"/>
              <w:spacing w:before="0"/>
              <w:rPr>
                <w:rFonts w:ascii="Verdana" w:hAnsi="Verdana"/>
                <w:b/>
                <w:bCs/>
                <w:sz w:val="20"/>
              </w:rPr>
            </w:pPr>
            <w:r w:rsidRPr="00B91EE1">
              <w:rPr>
                <w:rFonts w:ascii="Verdana" w:hAnsi="Verdana"/>
                <w:b/>
                <w:bCs/>
                <w:sz w:val="20"/>
              </w:rPr>
              <w:t>24 avril</w:t>
            </w:r>
            <w:r w:rsidR="005624E2" w:rsidRPr="00B91EE1">
              <w:rPr>
                <w:rFonts w:ascii="Verdana" w:hAnsi="Verdana"/>
                <w:b/>
                <w:bCs/>
                <w:sz w:val="20"/>
              </w:rPr>
              <w:t xml:space="preserve"> 2023</w:t>
            </w:r>
          </w:p>
        </w:tc>
      </w:tr>
      <w:tr w:rsidR="002D238A" w:rsidRPr="00B91EE1" w14:paraId="5CC502DA" w14:textId="77777777">
        <w:trPr>
          <w:cantSplit/>
        </w:trPr>
        <w:tc>
          <w:tcPr>
            <w:tcW w:w="6771" w:type="dxa"/>
            <w:vMerge/>
          </w:tcPr>
          <w:p w14:paraId="37A205DF" w14:textId="77777777" w:rsidR="002D238A" w:rsidRPr="00B91EE1" w:rsidRDefault="002D238A" w:rsidP="004522B1">
            <w:pPr>
              <w:spacing w:before="60"/>
              <w:jc w:val="center"/>
              <w:rPr>
                <w:b/>
                <w:smallCaps/>
                <w:sz w:val="32"/>
              </w:rPr>
            </w:pPr>
            <w:bookmarkStart w:id="2" w:name="dorlang" w:colFirst="1" w:colLast="1"/>
            <w:bookmarkEnd w:id="1"/>
          </w:p>
        </w:tc>
        <w:tc>
          <w:tcPr>
            <w:tcW w:w="3118" w:type="dxa"/>
          </w:tcPr>
          <w:p w14:paraId="5DC8006B" w14:textId="0DA80335" w:rsidR="002D238A" w:rsidRPr="00B91EE1" w:rsidRDefault="005624E2" w:rsidP="004522B1">
            <w:pPr>
              <w:shd w:val="solid" w:color="FFFFFF" w:fill="FFFFFF"/>
              <w:spacing w:before="0" w:after="120"/>
              <w:rPr>
                <w:rFonts w:ascii="Verdana" w:hAnsi="Verdana"/>
                <w:b/>
                <w:bCs/>
                <w:sz w:val="20"/>
              </w:rPr>
            </w:pPr>
            <w:r w:rsidRPr="00B91EE1">
              <w:rPr>
                <w:rFonts w:ascii="Verdana" w:hAnsi="Verdana"/>
                <w:b/>
                <w:bCs/>
                <w:sz w:val="20"/>
              </w:rPr>
              <w:t>Original</w:t>
            </w:r>
            <w:r w:rsidR="0010283E" w:rsidRPr="00B91EE1">
              <w:rPr>
                <w:rFonts w:ascii="Verdana" w:hAnsi="Verdana"/>
                <w:b/>
                <w:bCs/>
                <w:sz w:val="20"/>
              </w:rPr>
              <w:t xml:space="preserve">: </w:t>
            </w:r>
            <w:r w:rsidRPr="00B91EE1">
              <w:rPr>
                <w:rFonts w:ascii="Verdana" w:hAnsi="Verdana"/>
                <w:b/>
                <w:bCs/>
                <w:sz w:val="20"/>
              </w:rPr>
              <w:t>anglais</w:t>
            </w:r>
          </w:p>
        </w:tc>
      </w:tr>
      <w:tr w:rsidR="002D238A" w:rsidRPr="00B91EE1" w14:paraId="07945EDF" w14:textId="77777777">
        <w:trPr>
          <w:cantSplit/>
        </w:trPr>
        <w:tc>
          <w:tcPr>
            <w:tcW w:w="9889" w:type="dxa"/>
            <w:gridSpan w:val="2"/>
          </w:tcPr>
          <w:p w14:paraId="0D0B5A50" w14:textId="31FD573C" w:rsidR="002D238A" w:rsidRPr="00B91EE1" w:rsidRDefault="005624E2" w:rsidP="004522B1">
            <w:pPr>
              <w:pStyle w:val="Source"/>
              <w:rPr>
                <w:b w:val="0"/>
                <w:bCs/>
              </w:rPr>
            </w:pPr>
            <w:bookmarkStart w:id="3" w:name="dsource" w:colFirst="0" w:colLast="0"/>
            <w:bookmarkEnd w:id="2"/>
            <w:r w:rsidRPr="00B91EE1">
              <w:t>Directeur du Bureau des radiocommunications</w:t>
            </w:r>
          </w:p>
        </w:tc>
      </w:tr>
      <w:tr w:rsidR="002D238A" w:rsidRPr="00B91EE1" w14:paraId="71918895" w14:textId="77777777">
        <w:trPr>
          <w:cantSplit/>
        </w:trPr>
        <w:tc>
          <w:tcPr>
            <w:tcW w:w="9889" w:type="dxa"/>
            <w:gridSpan w:val="2"/>
          </w:tcPr>
          <w:p w14:paraId="62084024" w14:textId="10F3F51A" w:rsidR="002D238A" w:rsidRPr="00B91EE1" w:rsidRDefault="005624E2" w:rsidP="004522B1">
            <w:pPr>
              <w:pStyle w:val="Title1"/>
            </w:pPr>
            <w:bookmarkStart w:id="4" w:name="dtitle1" w:colFirst="0" w:colLast="0"/>
            <w:bookmarkEnd w:id="3"/>
            <w:r w:rsidRPr="00B91EE1">
              <w:t>RAPPORT À LA TRENTIÈME RÉUNION DU GROUPE</w:t>
            </w:r>
            <w:r w:rsidRPr="00B91EE1">
              <w:br/>
              <w:t>CONSULTATIF DES RADIOCOMMUNICATIONS</w:t>
            </w:r>
          </w:p>
        </w:tc>
      </w:tr>
    </w:tbl>
    <w:bookmarkEnd w:id="4"/>
    <w:p w14:paraId="77319E5B" w14:textId="0439B53B" w:rsidR="00AF2EDC" w:rsidRPr="00B91EE1" w:rsidRDefault="006C33D7" w:rsidP="004522B1">
      <w:pPr>
        <w:pStyle w:val="Heading1"/>
      </w:pPr>
      <w:r w:rsidRPr="00B91EE1">
        <w:t>1</w:t>
      </w:r>
      <w:r w:rsidRPr="00B91EE1">
        <w:tab/>
        <w:t>Introduction</w:t>
      </w:r>
    </w:p>
    <w:p w14:paraId="5A7904CC" w14:textId="26604C75" w:rsidR="006C33D7" w:rsidRPr="00B91EE1" w:rsidRDefault="006C33D7" w:rsidP="004522B1">
      <w:bookmarkStart w:id="5" w:name="lt_pId011"/>
      <w:r w:rsidRPr="00B91EE1">
        <w:t xml:space="preserve">Le présent document vise à faire le point et à donner des informations sur certaines questions inscrites </w:t>
      </w:r>
      <w:r w:rsidR="00AA7EF4" w:rsidRPr="00B91EE1">
        <w:t>dans le projet</w:t>
      </w:r>
      <w:r w:rsidRPr="00B91EE1">
        <w:t xml:space="preserve"> </w:t>
      </w:r>
      <w:r w:rsidR="00AA7EF4" w:rsidRPr="00B91EE1">
        <w:t>d</w:t>
      </w:r>
      <w:r w:rsidR="00392F9A" w:rsidRPr="00B91EE1">
        <w:t>'</w:t>
      </w:r>
      <w:r w:rsidR="00AA7EF4" w:rsidRPr="00B91EE1">
        <w:t xml:space="preserve">ordre </w:t>
      </w:r>
      <w:r w:rsidRPr="00B91EE1">
        <w:t xml:space="preserve">du jour de la </w:t>
      </w:r>
      <w:r w:rsidR="0010283E" w:rsidRPr="00B91EE1">
        <w:t xml:space="preserve">30ème </w:t>
      </w:r>
      <w:r w:rsidRPr="00B91EE1">
        <w:t>réunion du GCR (voir la Circulaire administrative </w:t>
      </w:r>
      <w:hyperlink r:id="rId9">
        <w:r w:rsidRPr="00B91EE1">
          <w:rPr>
            <w:rStyle w:val="Hyperlink"/>
          </w:rPr>
          <w:t>CA/264</w:t>
        </w:r>
      </w:hyperlink>
      <w:r w:rsidRPr="00B91EE1">
        <w:t>)</w:t>
      </w:r>
      <w:bookmarkEnd w:id="5"/>
      <w:r w:rsidRPr="00B91EE1">
        <w:t>, afin d</w:t>
      </w:r>
      <w:r w:rsidR="00392F9A" w:rsidRPr="00B91EE1">
        <w:t>'</w:t>
      </w:r>
      <w:r w:rsidRPr="00B91EE1">
        <w:t>aider les participants lorsqu</w:t>
      </w:r>
      <w:r w:rsidR="00392F9A" w:rsidRPr="00B91EE1">
        <w:t>'</w:t>
      </w:r>
      <w:r w:rsidRPr="00B91EE1">
        <w:t>ils examineront les points correspondants de l</w:t>
      </w:r>
      <w:r w:rsidR="00392F9A" w:rsidRPr="00B91EE1">
        <w:t>'</w:t>
      </w:r>
      <w:r w:rsidRPr="00B91EE1">
        <w:t>ordre du jour.</w:t>
      </w:r>
    </w:p>
    <w:p w14:paraId="6FB9FA2C" w14:textId="1A1A2176" w:rsidR="006C33D7" w:rsidRPr="00B91EE1" w:rsidRDefault="006C33D7" w:rsidP="004522B1">
      <w:bookmarkStart w:id="6" w:name="lt_pId013"/>
      <w:r w:rsidRPr="00B91EE1">
        <w:t>Des rapports distincts seront soumis pour certains des points de l</w:t>
      </w:r>
      <w:r w:rsidR="00392F9A" w:rsidRPr="00B91EE1">
        <w:t>'</w:t>
      </w:r>
      <w:r w:rsidRPr="00B91EE1">
        <w:t>ordre du jour.</w:t>
      </w:r>
      <w:bookmarkEnd w:id="6"/>
    </w:p>
    <w:p w14:paraId="3BD974FA" w14:textId="5FE10105" w:rsidR="00FF7330" w:rsidRPr="00B91EE1" w:rsidRDefault="00FF7330" w:rsidP="004522B1">
      <w:pPr>
        <w:pStyle w:val="Heading1"/>
      </w:pPr>
      <w:r w:rsidRPr="00B91EE1">
        <w:t>2</w:t>
      </w:r>
      <w:r w:rsidRPr="00B91EE1">
        <w:tab/>
      </w:r>
      <w:r w:rsidR="00AF5C8C" w:rsidRPr="00B91EE1">
        <w:t>Gouvernance de l</w:t>
      </w:r>
      <w:r w:rsidR="00392F9A" w:rsidRPr="00B91EE1">
        <w:t>'</w:t>
      </w:r>
      <w:r w:rsidR="00AF5C8C" w:rsidRPr="00B91EE1">
        <w:t>UIT-R</w:t>
      </w:r>
    </w:p>
    <w:p w14:paraId="20697616" w14:textId="181C5DBE" w:rsidR="00FF7330" w:rsidRPr="00B91EE1" w:rsidRDefault="00FF7330" w:rsidP="004522B1">
      <w:pPr>
        <w:pStyle w:val="Heading2"/>
      </w:pPr>
      <w:r w:rsidRPr="00B91EE1">
        <w:t>2.1</w:t>
      </w:r>
      <w:r w:rsidRPr="00B91EE1">
        <w:tab/>
      </w:r>
      <w:r w:rsidR="00425799" w:rsidRPr="00B91EE1">
        <w:t>Résultats de la Conférence de plénipotentiaires de l</w:t>
      </w:r>
      <w:r w:rsidR="00392F9A" w:rsidRPr="00B91EE1">
        <w:t>'</w:t>
      </w:r>
      <w:r w:rsidR="00425799" w:rsidRPr="00B91EE1">
        <w:t xml:space="preserve">UIT de </w:t>
      </w:r>
      <w:r w:rsidRPr="00B91EE1">
        <w:t>2022 (PP-22)</w:t>
      </w:r>
    </w:p>
    <w:p w14:paraId="42990054" w14:textId="5C92D0EB" w:rsidR="00FF7330" w:rsidRPr="00B91EE1" w:rsidRDefault="00FF7330" w:rsidP="004522B1">
      <w:r w:rsidRPr="00B91EE1">
        <w:t xml:space="preserve">La PP-22 a </w:t>
      </w:r>
      <w:r w:rsidR="0061421B" w:rsidRPr="00B91EE1">
        <w:t>élu les</w:t>
      </w:r>
      <w:r w:rsidR="00D609A4" w:rsidRPr="00B91EE1">
        <w:t xml:space="preserve"> membres de</w:t>
      </w:r>
      <w:r w:rsidRPr="00B91EE1">
        <w:t xml:space="preserve"> l</w:t>
      </w:r>
      <w:r w:rsidR="00392F9A" w:rsidRPr="00B91EE1">
        <w:t>'</w:t>
      </w:r>
      <w:r w:rsidRPr="00B91EE1">
        <w:t>équipe de direction de l</w:t>
      </w:r>
      <w:r w:rsidR="00392F9A" w:rsidRPr="00B91EE1">
        <w:t>'</w:t>
      </w:r>
      <w:r w:rsidRPr="00B91EE1">
        <w:t xml:space="preserve">organisation, </w:t>
      </w:r>
      <w:r w:rsidR="0061421B" w:rsidRPr="00B91EE1">
        <w:t>l</w:t>
      </w:r>
      <w:r w:rsidRPr="00B91EE1">
        <w:t xml:space="preserve">es États Membres du </w:t>
      </w:r>
      <w:hyperlink r:id="rId10" w:history="1">
        <w:r w:rsidRPr="00B91EE1">
          <w:rPr>
            <w:rStyle w:val="Hyperlink"/>
          </w:rPr>
          <w:t>Conseil</w:t>
        </w:r>
      </w:hyperlink>
      <w:r w:rsidRPr="00B91EE1">
        <w:t xml:space="preserve"> et </w:t>
      </w:r>
      <w:r w:rsidR="0061421B" w:rsidRPr="00B91EE1">
        <w:t>l</w:t>
      </w:r>
      <w:r w:rsidRPr="00B91EE1">
        <w:t xml:space="preserve">es douze membres du </w:t>
      </w:r>
      <w:hyperlink r:id="rId11" w:history="1">
        <w:r w:rsidRPr="00B91EE1">
          <w:rPr>
            <w:rStyle w:val="Hyperlink"/>
          </w:rPr>
          <w:t>Comité du Règlement des radiocommunications</w:t>
        </w:r>
      </w:hyperlink>
      <w:r w:rsidRPr="00B91EE1">
        <w:t>.</w:t>
      </w:r>
    </w:p>
    <w:p w14:paraId="02AE663E" w14:textId="0C732B34" w:rsidR="00FF7330" w:rsidRPr="00B91EE1" w:rsidRDefault="00FF7330" w:rsidP="004522B1">
      <w:r w:rsidRPr="00B91EE1">
        <w:t>La Conférence a en outre défini les politiques de l</w:t>
      </w:r>
      <w:r w:rsidR="00392F9A" w:rsidRPr="00B91EE1">
        <w:t>'</w:t>
      </w:r>
      <w:r w:rsidRPr="00B91EE1">
        <w:t>UIT dans différents domaines, notamment les plans stratégique et financier de l</w:t>
      </w:r>
      <w:r w:rsidR="00392F9A" w:rsidRPr="00B91EE1">
        <w:t>'</w:t>
      </w:r>
      <w:r w:rsidRPr="00B91EE1">
        <w:t xml:space="preserve">Union, </w:t>
      </w:r>
      <w:r w:rsidR="00AA7EF4" w:rsidRPr="00B91EE1">
        <w:t>en adoptant de nouvelles</w:t>
      </w:r>
      <w:r w:rsidRPr="00B91EE1">
        <w:t xml:space="preserve"> Résolutions et</w:t>
      </w:r>
      <w:r w:rsidR="00AA7EF4" w:rsidRPr="00B91EE1">
        <w:t xml:space="preserve"> </w:t>
      </w:r>
      <w:r w:rsidRPr="00B91EE1">
        <w:t xml:space="preserve">Décisions et </w:t>
      </w:r>
      <w:r w:rsidR="00AA7EF4" w:rsidRPr="00B91EE1">
        <w:t xml:space="preserve">en révisant des </w:t>
      </w:r>
      <w:r w:rsidRPr="00B91EE1">
        <w:t xml:space="preserve">Résolutions et </w:t>
      </w:r>
      <w:r w:rsidR="00AA7EF4" w:rsidRPr="00B91EE1">
        <w:t xml:space="preserve">des </w:t>
      </w:r>
      <w:r w:rsidRPr="00B91EE1">
        <w:t>Décisions existantes.</w:t>
      </w:r>
    </w:p>
    <w:p w14:paraId="2D557EC1" w14:textId="3487626A" w:rsidR="00FF7330" w:rsidRPr="00B91EE1" w:rsidRDefault="00FF7330" w:rsidP="004522B1">
      <w:r w:rsidRPr="00B91EE1">
        <w:t xml:space="preserve">La Conférence de plénipotentiaires a approuvé de nouvelles Résolutions et révisé plusieurs Résolutions existantes </w:t>
      </w:r>
      <w:r w:rsidR="00212DE0" w:rsidRPr="00B91EE1">
        <w:t>ayant trait</w:t>
      </w:r>
      <w:r w:rsidRPr="00B91EE1">
        <w:t xml:space="preserve"> au Secteur des radiocommunications</w:t>
      </w:r>
      <w:r w:rsidR="00AA7EF4" w:rsidRPr="00B91EE1">
        <w:t>, à savoir</w:t>
      </w:r>
      <w:r w:rsidRPr="00B91EE1">
        <w:t>:</w:t>
      </w:r>
    </w:p>
    <w:p w14:paraId="43EC87AE" w14:textId="5F862425"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25</w:t>
      </w:r>
      <w:r w:rsidR="0061421B" w:rsidRPr="00B91EE1">
        <w:rPr>
          <w:rFonts w:eastAsiaTheme="minorEastAsia"/>
        </w:rPr>
        <w:t xml:space="preserve"> –</w:t>
      </w:r>
      <w:bookmarkStart w:id="7" w:name="_Toc407016188"/>
      <w:r w:rsidR="00475E7D" w:rsidRPr="00B91EE1">
        <w:rPr>
          <w:rFonts w:eastAsiaTheme="minorEastAsia"/>
        </w:rPr>
        <w:t xml:space="preserve"> </w:t>
      </w:r>
      <w:r w:rsidRPr="00B91EE1">
        <w:rPr>
          <w:rFonts w:eastAsiaTheme="minorEastAsia"/>
        </w:rPr>
        <w:t>Renforcement de la présence régionale</w:t>
      </w:r>
      <w:bookmarkEnd w:id="7"/>
      <w:r w:rsidRPr="00B91EE1">
        <w:rPr>
          <w:rFonts w:eastAsiaTheme="minorEastAsia"/>
        </w:rPr>
        <w:t xml:space="preserve"> de l</w:t>
      </w:r>
      <w:r w:rsidR="00392F9A" w:rsidRPr="00B91EE1">
        <w:rPr>
          <w:rFonts w:eastAsiaTheme="minorEastAsia"/>
        </w:rPr>
        <w:t>'</w:t>
      </w:r>
      <w:r w:rsidRPr="00B91EE1">
        <w:rPr>
          <w:rFonts w:eastAsiaTheme="minorEastAsia"/>
        </w:rPr>
        <w:t>UIT.</w:t>
      </w:r>
    </w:p>
    <w:p w14:paraId="641E08AF" w14:textId="1350F24F"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71</w:t>
      </w:r>
      <w:r w:rsidR="00475E7D" w:rsidRPr="00B91EE1">
        <w:rPr>
          <w:rFonts w:eastAsiaTheme="minorEastAsia"/>
        </w:rPr>
        <w:t xml:space="preserve"> –</w:t>
      </w:r>
      <w:r w:rsidRPr="00B91EE1">
        <w:rPr>
          <w:rFonts w:eastAsiaTheme="minorEastAsia"/>
        </w:rPr>
        <w:t xml:space="preserve"> Plan stratégique de l</w:t>
      </w:r>
      <w:r w:rsidR="00392F9A" w:rsidRPr="00B91EE1">
        <w:rPr>
          <w:rFonts w:eastAsiaTheme="minorEastAsia"/>
        </w:rPr>
        <w:t>'</w:t>
      </w:r>
      <w:r w:rsidRPr="00B91EE1">
        <w:rPr>
          <w:rFonts w:eastAsiaTheme="minorEastAsia"/>
        </w:rPr>
        <w:t>Union pour la période 2024-2027.</w:t>
      </w:r>
    </w:p>
    <w:p w14:paraId="6F3FFFAE" w14:textId="5253CA95"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119</w:t>
      </w:r>
      <w:r w:rsidR="00475E7D" w:rsidRPr="00B91EE1">
        <w:rPr>
          <w:rFonts w:eastAsiaTheme="minorEastAsia"/>
        </w:rPr>
        <w:t xml:space="preserve"> –</w:t>
      </w:r>
      <w:r w:rsidRPr="00B91EE1">
        <w:rPr>
          <w:rFonts w:eastAsiaTheme="minorEastAsia"/>
        </w:rPr>
        <w:t xml:space="preserve"> </w:t>
      </w:r>
      <w:bookmarkStart w:id="8" w:name="_Toc165351490"/>
      <w:r w:rsidRPr="00B91EE1">
        <w:rPr>
          <w:rFonts w:eastAsiaTheme="minorEastAsia"/>
        </w:rPr>
        <w:t>Méthodes visant à accroître l</w:t>
      </w:r>
      <w:r w:rsidR="00392F9A" w:rsidRPr="00B91EE1">
        <w:rPr>
          <w:rFonts w:eastAsiaTheme="minorEastAsia"/>
        </w:rPr>
        <w:t>'</w:t>
      </w:r>
      <w:r w:rsidRPr="00B91EE1">
        <w:rPr>
          <w:rFonts w:eastAsiaTheme="minorEastAsia"/>
        </w:rPr>
        <w:t>efficacité et l</w:t>
      </w:r>
      <w:r w:rsidR="00392F9A" w:rsidRPr="00B91EE1">
        <w:rPr>
          <w:rFonts w:eastAsiaTheme="minorEastAsia"/>
        </w:rPr>
        <w:t>'</w:t>
      </w:r>
      <w:r w:rsidRPr="00B91EE1">
        <w:rPr>
          <w:rFonts w:eastAsiaTheme="minorEastAsia"/>
        </w:rPr>
        <w:t>efficience du Comité du Règlement des radiocommunications</w:t>
      </w:r>
      <w:bookmarkEnd w:id="8"/>
      <w:r w:rsidRPr="00B91EE1">
        <w:rPr>
          <w:rFonts w:eastAsiaTheme="minorEastAsia"/>
        </w:rPr>
        <w:t>.</w:t>
      </w:r>
    </w:p>
    <w:p w14:paraId="0540BBD0" w14:textId="37911175"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136</w:t>
      </w:r>
      <w:r w:rsidR="00475E7D" w:rsidRPr="00B91EE1">
        <w:rPr>
          <w:rFonts w:eastAsiaTheme="minorEastAsia"/>
        </w:rPr>
        <w:t xml:space="preserve"> –</w:t>
      </w:r>
      <w:r w:rsidRPr="00B91EE1">
        <w:rPr>
          <w:rFonts w:eastAsiaTheme="minorEastAsia"/>
        </w:rPr>
        <w:t xml:space="preserve"> Utilisation des télécommunications/technologies de l</w:t>
      </w:r>
      <w:r w:rsidR="00392F9A" w:rsidRPr="00B91EE1">
        <w:rPr>
          <w:rFonts w:eastAsiaTheme="minorEastAsia"/>
        </w:rPr>
        <w:t>'</w:t>
      </w:r>
      <w:r w:rsidRPr="00B91EE1">
        <w:rPr>
          <w:rFonts w:eastAsiaTheme="minorEastAsia"/>
        </w:rPr>
        <w:t>information et de la communication pour l</w:t>
      </w:r>
      <w:r w:rsidR="00392F9A" w:rsidRPr="00B91EE1">
        <w:rPr>
          <w:rFonts w:eastAsiaTheme="minorEastAsia"/>
        </w:rPr>
        <w:t>'</w:t>
      </w:r>
      <w:r w:rsidRPr="00B91EE1">
        <w:rPr>
          <w:rFonts w:eastAsiaTheme="minorEastAsia"/>
        </w:rPr>
        <w:t>aide humanitaire, pour le contrôle et la gestion des situations d</w:t>
      </w:r>
      <w:r w:rsidR="00392F9A" w:rsidRPr="00B91EE1">
        <w:rPr>
          <w:rFonts w:eastAsiaTheme="minorEastAsia"/>
        </w:rPr>
        <w:t>'</w:t>
      </w:r>
      <w:r w:rsidRPr="00B91EE1">
        <w:rPr>
          <w:rFonts w:eastAsiaTheme="minorEastAsia"/>
        </w:rPr>
        <w:t>urgence et de catastrophe, y compris des urgences sanitaires, et pour l</w:t>
      </w:r>
      <w:r w:rsidR="00392F9A" w:rsidRPr="00B91EE1">
        <w:rPr>
          <w:rFonts w:eastAsiaTheme="minorEastAsia"/>
        </w:rPr>
        <w:t>'</w:t>
      </w:r>
      <w:r w:rsidRPr="00B91EE1">
        <w:rPr>
          <w:rFonts w:eastAsiaTheme="minorEastAsia"/>
        </w:rPr>
        <w:t>alerte avancée, la prévention, l</w:t>
      </w:r>
      <w:r w:rsidR="00392F9A" w:rsidRPr="00B91EE1">
        <w:rPr>
          <w:rFonts w:eastAsiaTheme="minorEastAsia"/>
        </w:rPr>
        <w:t>'</w:t>
      </w:r>
      <w:r w:rsidRPr="00B91EE1">
        <w:rPr>
          <w:rFonts w:eastAsiaTheme="minorEastAsia"/>
        </w:rPr>
        <w:t>atténuation des effets des catastrophes et les opérations de secours.</w:t>
      </w:r>
    </w:p>
    <w:p w14:paraId="1F71C8F2" w14:textId="0539F9ED"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137</w:t>
      </w:r>
      <w:r w:rsidR="00475E7D" w:rsidRPr="00B91EE1">
        <w:rPr>
          <w:rFonts w:eastAsiaTheme="minorEastAsia"/>
        </w:rPr>
        <w:t xml:space="preserve"> – </w:t>
      </w:r>
      <w:r w:rsidRPr="00B91EE1">
        <w:rPr>
          <w:rFonts w:eastAsiaTheme="minorEastAsia"/>
        </w:rPr>
        <w:t>Déploiement de réseaux futurs dans les pays en développement.</w:t>
      </w:r>
    </w:p>
    <w:p w14:paraId="6B36B019" w14:textId="3D5EA176" w:rsidR="00FF7330" w:rsidRPr="00B91EE1" w:rsidRDefault="00FF7330" w:rsidP="004522B1">
      <w:pPr>
        <w:pStyle w:val="enumlev1"/>
        <w:rPr>
          <w:rFonts w:eastAsiaTheme="minorEastAsia"/>
        </w:rPr>
      </w:pPr>
      <w:r w:rsidRPr="00B91EE1">
        <w:rPr>
          <w:rFonts w:eastAsiaTheme="minorEastAsia"/>
        </w:rPr>
        <w:lastRenderedPageBreak/>
        <w:t>–</w:t>
      </w:r>
      <w:r w:rsidRPr="00B91EE1">
        <w:rPr>
          <w:rFonts w:eastAsiaTheme="minorEastAsia"/>
        </w:rPr>
        <w:tab/>
        <w:t>Résolution 139</w:t>
      </w:r>
      <w:r w:rsidR="00475E7D" w:rsidRPr="00B91EE1">
        <w:rPr>
          <w:rFonts w:eastAsiaTheme="minorEastAsia"/>
        </w:rPr>
        <w:t xml:space="preserve"> –</w:t>
      </w:r>
      <w:r w:rsidRPr="00B91EE1">
        <w:rPr>
          <w:rFonts w:eastAsiaTheme="minorEastAsia"/>
        </w:rPr>
        <w:t xml:space="preserve"> </w:t>
      </w:r>
      <w:bookmarkStart w:id="9" w:name="_Toc407016237"/>
      <w:r w:rsidRPr="00B91EE1">
        <w:rPr>
          <w:rFonts w:eastAsiaTheme="minorEastAsia"/>
        </w:rPr>
        <w:t>Utilisation des télécommunications et des technologies de l</w:t>
      </w:r>
      <w:r w:rsidR="00392F9A" w:rsidRPr="00B91EE1">
        <w:rPr>
          <w:rFonts w:eastAsiaTheme="minorEastAsia"/>
        </w:rPr>
        <w:t>'</w:t>
      </w:r>
      <w:r w:rsidRPr="00B91EE1">
        <w:rPr>
          <w:rFonts w:eastAsiaTheme="minorEastAsia"/>
        </w:rPr>
        <w:t>information et de la communication pour réduire la fracture numérique et édifier une société de l</w:t>
      </w:r>
      <w:r w:rsidR="00392F9A" w:rsidRPr="00B91EE1">
        <w:rPr>
          <w:rFonts w:eastAsiaTheme="minorEastAsia"/>
        </w:rPr>
        <w:t>'</w:t>
      </w:r>
      <w:r w:rsidRPr="00B91EE1">
        <w:rPr>
          <w:rFonts w:eastAsiaTheme="minorEastAsia"/>
        </w:rPr>
        <w:t>information inclusive</w:t>
      </w:r>
      <w:bookmarkEnd w:id="9"/>
      <w:r w:rsidRPr="00B91EE1">
        <w:rPr>
          <w:rFonts w:eastAsiaTheme="minorEastAsia"/>
        </w:rPr>
        <w:t>.</w:t>
      </w:r>
    </w:p>
    <w:p w14:paraId="2C0E9429" w14:textId="54F899D4"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154</w:t>
      </w:r>
      <w:r w:rsidR="00475E7D" w:rsidRPr="00B91EE1">
        <w:rPr>
          <w:rFonts w:eastAsiaTheme="minorEastAsia"/>
        </w:rPr>
        <w:t xml:space="preserve"> –</w:t>
      </w:r>
      <w:r w:rsidRPr="00B91EE1">
        <w:rPr>
          <w:rFonts w:eastAsiaTheme="minorEastAsia"/>
        </w:rPr>
        <w:t xml:space="preserve"> </w:t>
      </w:r>
      <w:bookmarkStart w:id="10" w:name="_Toc407016251"/>
      <w:r w:rsidRPr="00B91EE1">
        <w:rPr>
          <w:rFonts w:eastAsiaTheme="minorEastAsia"/>
        </w:rPr>
        <w:t>Utilisation des six langues officielles de l</w:t>
      </w:r>
      <w:r w:rsidR="00392F9A" w:rsidRPr="00B91EE1">
        <w:rPr>
          <w:rFonts w:eastAsiaTheme="minorEastAsia"/>
        </w:rPr>
        <w:t>'</w:t>
      </w:r>
      <w:r w:rsidRPr="00B91EE1">
        <w:rPr>
          <w:rFonts w:eastAsiaTheme="minorEastAsia"/>
        </w:rPr>
        <w:t>Union sur un pied d</w:t>
      </w:r>
      <w:r w:rsidR="00392F9A" w:rsidRPr="00B91EE1">
        <w:rPr>
          <w:rFonts w:eastAsiaTheme="minorEastAsia"/>
        </w:rPr>
        <w:t>'</w:t>
      </w:r>
      <w:r w:rsidRPr="00B91EE1">
        <w:rPr>
          <w:rFonts w:eastAsiaTheme="minorEastAsia"/>
        </w:rPr>
        <w:t>égalité</w:t>
      </w:r>
      <w:bookmarkEnd w:id="10"/>
      <w:r w:rsidRPr="00B91EE1">
        <w:rPr>
          <w:rFonts w:eastAsiaTheme="minorEastAsia"/>
        </w:rPr>
        <w:t>.</w:t>
      </w:r>
    </w:p>
    <w:p w14:paraId="4656C415" w14:textId="04D33E01"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170</w:t>
      </w:r>
      <w:r w:rsidR="00475E7D" w:rsidRPr="00B91EE1">
        <w:rPr>
          <w:rFonts w:eastAsiaTheme="minorEastAsia"/>
        </w:rPr>
        <w:t xml:space="preserve"> –</w:t>
      </w:r>
      <w:r w:rsidRPr="00B91EE1">
        <w:rPr>
          <w:rFonts w:eastAsiaTheme="minorEastAsia"/>
        </w:rPr>
        <w:t xml:space="preserve"> </w:t>
      </w:r>
      <w:bookmarkStart w:id="11" w:name="_Toc407016267"/>
      <w:r w:rsidRPr="00B91EE1">
        <w:rPr>
          <w:rFonts w:eastAsiaTheme="minorEastAsia"/>
        </w:rPr>
        <w:t>Admission de Membres de Secteur des pays en développement à participer aux travaux du Secteur de la normalisation des télécommunications et du Secteur des radiocommunications de l</w:t>
      </w:r>
      <w:r w:rsidR="00392F9A" w:rsidRPr="00B91EE1">
        <w:rPr>
          <w:rFonts w:eastAsiaTheme="minorEastAsia"/>
        </w:rPr>
        <w:t>'</w:t>
      </w:r>
      <w:r w:rsidRPr="00B91EE1">
        <w:rPr>
          <w:rFonts w:eastAsiaTheme="minorEastAsia"/>
        </w:rPr>
        <w:t>UIT</w:t>
      </w:r>
      <w:bookmarkEnd w:id="11"/>
      <w:r w:rsidRPr="00B91EE1">
        <w:rPr>
          <w:rFonts w:eastAsiaTheme="minorEastAsia"/>
        </w:rPr>
        <w:t>.</w:t>
      </w:r>
    </w:p>
    <w:p w14:paraId="09AD35A5" w14:textId="6052DF73"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176</w:t>
      </w:r>
      <w:bookmarkStart w:id="12" w:name="_Toc407016273"/>
      <w:bookmarkStart w:id="13" w:name="_Toc536017994"/>
      <w:r w:rsidR="004522B1" w:rsidRPr="00B91EE1">
        <w:rPr>
          <w:rFonts w:eastAsiaTheme="minorEastAsia"/>
        </w:rPr>
        <w:t xml:space="preserve"> – </w:t>
      </w:r>
      <w:bookmarkEnd w:id="12"/>
      <w:bookmarkEnd w:id="13"/>
      <w:r w:rsidR="008F3DFB" w:rsidRPr="008F3DFB">
        <w:rPr>
          <w:rFonts w:eastAsiaTheme="minorEastAsia"/>
        </w:rPr>
        <w:t>Problèmes de mesure et d'évaluation liés à l'exposition des personnes aux champs électromagnétiques</w:t>
      </w:r>
      <w:r w:rsidRPr="008F3DFB">
        <w:rPr>
          <w:rFonts w:eastAsiaTheme="minorEastAsia"/>
        </w:rPr>
        <w:t>.</w:t>
      </w:r>
    </w:p>
    <w:p w14:paraId="54EFB084" w14:textId="03800713"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182</w:t>
      </w:r>
      <w:r w:rsidR="00475E7D" w:rsidRPr="00B91EE1">
        <w:rPr>
          <w:rFonts w:eastAsiaTheme="minorEastAsia"/>
        </w:rPr>
        <w:t xml:space="preserve"> – </w:t>
      </w:r>
      <w:r w:rsidRPr="00B91EE1">
        <w:rPr>
          <w:rFonts w:eastAsiaTheme="minorEastAsia"/>
        </w:rPr>
        <w:t>Rôle des télécommunications/technologies de l</w:t>
      </w:r>
      <w:r w:rsidR="00392F9A" w:rsidRPr="00B91EE1">
        <w:rPr>
          <w:rFonts w:eastAsiaTheme="minorEastAsia"/>
        </w:rPr>
        <w:t>'</w:t>
      </w:r>
      <w:r w:rsidRPr="00B91EE1">
        <w:rPr>
          <w:rFonts w:eastAsiaTheme="minorEastAsia"/>
        </w:rPr>
        <w:t>information et de la communication en ce qui concerne les changements climatiques et la protection de l</w:t>
      </w:r>
      <w:r w:rsidR="00392F9A" w:rsidRPr="00B91EE1">
        <w:rPr>
          <w:rFonts w:eastAsiaTheme="minorEastAsia"/>
        </w:rPr>
        <w:t>'</w:t>
      </w:r>
      <w:r w:rsidRPr="00B91EE1">
        <w:rPr>
          <w:rFonts w:eastAsiaTheme="minorEastAsia"/>
        </w:rPr>
        <w:t>environnement.</w:t>
      </w:r>
    </w:p>
    <w:p w14:paraId="0A538CED" w14:textId="3EB7D933"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186</w:t>
      </w:r>
      <w:r w:rsidR="00475E7D" w:rsidRPr="00B91EE1">
        <w:rPr>
          <w:rFonts w:eastAsiaTheme="minorEastAsia"/>
        </w:rPr>
        <w:t xml:space="preserve"> –</w:t>
      </w:r>
      <w:r w:rsidRPr="00B91EE1">
        <w:rPr>
          <w:rFonts w:eastAsiaTheme="minorEastAsia"/>
        </w:rPr>
        <w:t xml:space="preserve"> </w:t>
      </w:r>
      <w:bookmarkStart w:id="14" w:name="_Toc407016287"/>
      <w:r w:rsidRPr="00B91EE1">
        <w:rPr>
          <w:rFonts w:eastAsiaTheme="minorEastAsia"/>
        </w:rPr>
        <w:t>Renforcement du rôle de l</w:t>
      </w:r>
      <w:r w:rsidR="00392F9A" w:rsidRPr="00B91EE1">
        <w:rPr>
          <w:rFonts w:eastAsiaTheme="minorEastAsia"/>
        </w:rPr>
        <w:t>'</w:t>
      </w:r>
      <w:r w:rsidRPr="00B91EE1">
        <w:rPr>
          <w:rFonts w:eastAsiaTheme="minorEastAsia"/>
        </w:rPr>
        <w:t>UIT en ce qui concerne les mesures de transparence et de confiance relatives aux activités spatiales</w:t>
      </w:r>
      <w:bookmarkEnd w:id="14"/>
      <w:r w:rsidRPr="00B91EE1">
        <w:rPr>
          <w:rFonts w:eastAsiaTheme="minorEastAsia"/>
        </w:rPr>
        <w:t>.</w:t>
      </w:r>
    </w:p>
    <w:p w14:paraId="425212D3" w14:textId="5D9E0582"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191</w:t>
      </w:r>
      <w:r w:rsidR="00475E7D" w:rsidRPr="00B91EE1">
        <w:rPr>
          <w:rFonts w:eastAsiaTheme="minorEastAsia"/>
        </w:rPr>
        <w:t xml:space="preserve"> –</w:t>
      </w:r>
      <w:r w:rsidRPr="00B91EE1">
        <w:rPr>
          <w:rFonts w:eastAsiaTheme="minorEastAsia"/>
        </w:rPr>
        <w:t xml:space="preserve"> </w:t>
      </w:r>
      <w:bookmarkStart w:id="15" w:name="_Toc407016296"/>
      <w:r w:rsidRPr="00B91EE1">
        <w:rPr>
          <w:rFonts w:eastAsiaTheme="minorEastAsia"/>
        </w:rPr>
        <w:t>Stratégie de coordination des efforts entre les trois Secteurs de l</w:t>
      </w:r>
      <w:r w:rsidR="00392F9A" w:rsidRPr="00B91EE1">
        <w:rPr>
          <w:rFonts w:eastAsiaTheme="minorEastAsia"/>
        </w:rPr>
        <w:t>'</w:t>
      </w:r>
      <w:r w:rsidRPr="00B91EE1">
        <w:rPr>
          <w:rFonts w:eastAsiaTheme="minorEastAsia"/>
        </w:rPr>
        <w:t>Union</w:t>
      </w:r>
      <w:bookmarkEnd w:id="15"/>
      <w:r w:rsidRPr="00B91EE1">
        <w:rPr>
          <w:rFonts w:eastAsiaTheme="minorEastAsia"/>
        </w:rPr>
        <w:t>.</w:t>
      </w:r>
    </w:p>
    <w:p w14:paraId="61A9015E" w14:textId="580CFC4A"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197</w:t>
      </w:r>
      <w:bookmarkStart w:id="16" w:name="_Toc407016308"/>
      <w:bookmarkStart w:id="17" w:name="_Toc536018012"/>
      <w:r w:rsidR="00475E7D" w:rsidRPr="00B91EE1">
        <w:rPr>
          <w:rFonts w:eastAsiaTheme="minorEastAsia"/>
        </w:rPr>
        <w:t xml:space="preserve"> –</w:t>
      </w:r>
      <w:r w:rsidRPr="00B91EE1">
        <w:rPr>
          <w:rFonts w:ascii="Calibri" w:eastAsiaTheme="minorEastAsia" w:hAnsi="Calibri"/>
        </w:rPr>
        <w:t xml:space="preserve"> </w:t>
      </w:r>
      <w:r w:rsidRPr="00B91EE1">
        <w:rPr>
          <w:rFonts w:eastAsiaTheme="minorEastAsia"/>
        </w:rPr>
        <w:t>Faciliter l</w:t>
      </w:r>
      <w:r w:rsidR="00392F9A" w:rsidRPr="00B91EE1">
        <w:rPr>
          <w:rFonts w:eastAsiaTheme="minorEastAsia"/>
        </w:rPr>
        <w:t>'</w:t>
      </w:r>
      <w:r w:rsidRPr="00B91EE1">
        <w:rPr>
          <w:rFonts w:eastAsiaTheme="minorEastAsia"/>
        </w:rPr>
        <w:t>avènement de l</w:t>
      </w:r>
      <w:r w:rsidR="00392F9A" w:rsidRPr="00B91EE1">
        <w:rPr>
          <w:rFonts w:eastAsiaTheme="minorEastAsia"/>
        </w:rPr>
        <w:t>'</w:t>
      </w:r>
      <w:r w:rsidRPr="00B91EE1">
        <w:rPr>
          <w:rFonts w:eastAsiaTheme="minorEastAsia"/>
        </w:rPr>
        <w:t xml:space="preserve">Internet des objets </w:t>
      </w:r>
      <w:bookmarkEnd w:id="16"/>
      <w:r w:rsidRPr="00B91EE1">
        <w:rPr>
          <w:rFonts w:eastAsiaTheme="minorEastAsia"/>
        </w:rPr>
        <w:t>et des villes et communautés intelligentes et durables</w:t>
      </w:r>
      <w:bookmarkEnd w:id="17"/>
      <w:r w:rsidRPr="00B91EE1">
        <w:rPr>
          <w:rFonts w:eastAsiaTheme="minorEastAsia"/>
        </w:rPr>
        <w:t>.</w:t>
      </w:r>
    </w:p>
    <w:p w14:paraId="2BA64F63" w14:textId="37C99A9B"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203</w:t>
      </w:r>
      <w:r w:rsidR="00475E7D" w:rsidRPr="00B91EE1">
        <w:rPr>
          <w:rFonts w:eastAsiaTheme="minorEastAsia"/>
        </w:rPr>
        <w:t xml:space="preserve"> –</w:t>
      </w:r>
      <w:r w:rsidRPr="00B91EE1">
        <w:rPr>
          <w:rFonts w:eastAsiaTheme="minorEastAsia"/>
        </w:rPr>
        <w:t xml:space="preserve"> </w:t>
      </w:r>
      <w:bookmarkStart w:id="18" w:name="_Toc407016319"/>
      <w:r w:rsidRPr="00B91EE1">
        <w:rPr>
          <w:rFonts w:eastAsiaTheme="minorEastAsia"/>
        </w:rPr>
        <w:t>Connectivité aux réseaux large bande</w:t>
      </w:r>
      <w:bookmarkEnd w:id="18"/>
      <w:r w:rsidRPr="00B91EE1">
        <w:rPr>
          <w:rFonts w:eastAsiaTheme="minorEastAsia"/>
        </w:rPr>
        <w:t>.</w:t>
      </w:r>
    </w:p>
    <w:p w14:paraId="26405372" w14:textId="40BDA895"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Résolution 208</w:t>
      </w:r>
      <w:r w:rsidR="00475E7D" w:rsidRPr="00B91EE1">
        <w:rPr>
          <w:rFonts w:eastAsiaTheme="minorEastAsia"/>
        </w:rPr>
        <w:t xml:space="preserve"> –</w:t>
      </w:r>
      <w:r w:rsidRPr="00B91EE1">
        <w:rPr>
          <w:rFonts w:eastAsiaTheme="minorEastAsia"/>
        </w:rPr>
        <w:t xml:space="preserve"> </w:t>
      </w:r>
      <w:bookmarkStart w:id="19" w:name="_Toc536018030"/>
      <w:r w:rsidRPr="00B91EE1">
        <w:rPr>
          <w:rFonts w:eastAsiaTheme="minorEastAsia"/>
        </w:rPr>
        <w:t>Nomination et durée maximale du mandat des présidents et des vice</w:t>
      </w:r>
      <w:r w:rsidRPr="00B91EE1">
        <w:rPr>
          <w:rFonts w:eastAsiaTheme="minorEastAsia"/>
        </w:rPr>
        <w:noBreakHyphen/>
        <w:t>présidents des groupes consultatifs, des commissions d</w:t>
      </w:r>
      <w:r w:rsidR="00392F9A" w:rsidRPr="00B91EE1">
        <w:rPr>
          <w:rFonts w:eastAsiaTheme="minorEastAsia"/>
        </w:rPr>
        <w:t>'</w:t>
      </w:r>
      <w:r w:rsidRPr="00B91EE1">
        <w:rPr>
          <w:rFonts w:eastAsiaTheme="minorEastAsia"/>
        </w:rPr>
        <w:t>études et des autres groupes des Secteurs</w:t>
      </w:r>
      <w:bookmarkEnd w:id="19"/>
      <w:r w:rsidRPr="00B91EE1">
        <w:rPr>
          <w:rFonts w:eastAsiaTheme="minorEastAsia"/>
        </w:rPr>
        <w:t>.</w:t>
      </w:r>
    </w:p>
    <w:p w14:paraId="0CCE0506" w14:textId="0F5A3F92"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N</w:t>
      </w:r>
      <w:r w:rsidR="00E6420E" w:rsidRPr="00B91EE1">
        <w:rPr>
          <w:rFonts w:eastAsiaTheme="minorEastAsia"/>
        </w:rPr>
        <w:t>ouvelle</w:t>
      </w:r>
      <w:r w:rsidRPr="00B91EE1">
        <w:rPr>
          <w:rFonts w:eastAsiaTheme="minorEastAsia"/>
        </w:rPr>
        <w:t xml:space="preserve"> Résolution 216</w:t>
      </w:r>
      <w:r w:rsidR="00475E7D" w:rsidRPr="00B91EE1">
        <w:rPr>
          <w:rFonts w:eastAsiaTheme="minorEastAsia"/>
        </w:rPr>
        <w:t xml:space="preserve"> –</w:t>
      </w:r>
      <w:r w:rsidRPr="00B91EE1">
        <w:rPr>
          <w:rFonts w:eastAsiaTheme="minorEastAsia"/>
        </w:rPr>
        <w:t xml:space="preserve"> </w:t>
      </w:r>
      <w:r w:rsidR="002A3133" w:rsidRPr="00B91EE1">
        <w:rPr>
          <w:rFonts w:eastAsiaTheme="minorEastAsia"/>
        </w:rPr>
        <w:t>Utilisation des assignations de fréquence par les installations radioélectriques militaires pour les services de défense nationale.</w:t>
      </w:r>
    </w:p>
    <w:p w14:paraId="56A36B07" w14:textId="5C665220" w:rsidR="00FF7330" w:rsidRPr="00B91EE1" w:rsidRDefault="00FF7330" w:rsidP="004522B1">
      <w:pPr>
        <w:pStyle w:val="enumlev1"/>
        <w:rPr>
          <w:rFonts w:eastAsiaTheme="minorEastAsia"/>
        </w:rPr>
      </w:pPr>
      <w:r w:rsidRPr="00B91EE1">
        <w:rPr>
          <w:rFonts w:eastAsiaTheme="minorEastAsia"/>
        </w:rPr>
        <w:t>–</w:t>
      </w:r>
      <w:r w:rsidRPr="00B91EE1">
        <w:rPr>
          <w:rFonts w:eastAsiaTheme="minorEastAsia"/>
        </w:rPr>
        <w:tab/>
        <w:t>N</w:t>
      </w:r>
      <w:r w:rsidR="00E6420E" w:rsidRPr="00B91EE1">
        <w:rPr>
          <w:rFonts w:eastAsiaTheme="minorEastAsia"/>
        </w:rPr>
        <w:t>ouvelle</w:t>
      </w:r>
      <w:r w:rsidRPr="00B91EE1">
        <w:rPr>
          <w:rFonts w:eastAsiaTheme="minorEastAsia"/>
        </w:rPr>
        <w:t xml:space="preserve"> Résolution 218</w:t>
      </w:r>
      <w:r w:rsidR="00475E7D" w:rsidRPr="00B91EE1">
        <w:rPr>
          <w:rFonts w:eastAsiaTheme="minorEastAsia"/>
        </w:rPr>
        <w:t xml:space="preserve"> –</w:t>
      </w:r>
      <w:r w:rsidRPr="00B91EE1">
        <w:rPr>
          <w:rFonts w:eastAsiaTheme="minorEastAsia"/>
        </w:rPr>
        <w:t xml:space="preserve"> </w:t>
      </w:r>
      <w:r w:rsidR="002A3133" w:rsidRPr="00B91EE1">
        <w:rPr>
          <w:rFonts w:eastAsiaTheme="minorEastAsia"/>
        </w:rPr>
        <w:t>Rôle de l</w:t>
      </w:r>
      <w:r w:rsidR="00392F9A" w:rsidRPr="00B91EE1">
        <w:rPr>
          <w:rFonts w:eastAsiaTheme="minorEastAsia"/>
        </w:rPr>
        <w:t>'</w:t>
      </w:r>
      <w:r w:rsidR="002A3133" w:rsidRPr="00B91EE1">
        <w:rPr>
          <w:rFonts w:eastAsiaTheme="minorEastAsia"/>
        </w:rPr>
        <w:t xml:space="preserve">UIT dans la mise en œuvre du programme </w:t>
      </w:r>
      <w:r w:rsidR="004522B1" w:rsidRPr="00B91EE1">
        <w:rPr>
          <w:rFonts w:eastAsiaTheme="minorEastAsia"/>
        </w:rPr>
        <w:t>«</w:t>
      </w:r>
      <w:r w:rsidR="002A3133" w:rsidRPr="00B91EE1">
        <w:rPr>
          <w:rFonts w:eastAsiaTheme="minorEastAsia"/>
        </w:rPr>
        <w:t>Espace2030</w:t>
      </w:r>
      <w:r w:rsidR="004522B1" w:rsidRPr="00B91EE1">
        <w:rPr>
          <w:rFonts w:eastAsiaTheme="minorEastAsia"/>
          <w:sz w:val="22"/>
          <w:szCs w:val="18"/>
        </w:rPr>
        <w:t>»</w:t>
      </w:r>
      <w:r w:rsidR="002A3133" w:rsidRPr="00B91EE1">
        <w:rPr>
          <w:rFonts w:eastAsiaTheme="minorEastAsia"/>
        </w:rPr>
        <w:t>: l</w:t>
      </w:r>
      <w:r w:rsidR="00392F9A" w:rsidRPr="00B91EE1">
        <w:rPr>
          <w:rFonts w:eastAsiaTheme="minorEastAsia"/>
        </w:rPr>
        <w:t>'</w:t>
      </w:r>
      <w:r w:rsidR="002A3133" w:rsidRPr="00B91EE1">
        <w:rPr>
          <w:rFonts w:eastAsiaTheme="minorEastAsia"/>
        </w:rPr>
        <w:t>espace comme moteur de développement durable</w:t>
      </w:r>
      <w:r w:rsidR="008C4C3E" w:rsidRPr="00B91EE1">
        <w:rPr>
          <w:rFonts w:eastAsiaTheme="minorEastAsia"/>
        </w:rPr>
        <w:t xml:space="preserve">, </w:t>
      </w:r>
      <w:r w:rsidR="002A3133" w:rsidRPr="00B91EE1">
        <w:rPr>
          <w:rFonts w:eastAsiaTheme="minorEastAsia"/>
        </w:rPr>
        <w:t>et dans le processus de suivi et d</w:t>
      </w:r>
      <w:r w:rsidR="00392F9A" w:rsidRPr="00B91EE1">
        <w:rPr>
          <w:rFonts w:eastAsiaTheme="minorEastAsia"/>
        </w:rPr>
        <w:t>'</w:t>
      </w:r>
      <w:r w:rsidR="002A3133" w:rsidRPr="00B91EE1">
        <w:rPr>
          <w:rFonts w:eastAsiaTheme="minorEastAsia"/>
        </w:rPr>
        <w:t>examen de ce programme.</w:t>
      </w:r>
    </w:p>
    <w:p w14:paraId="797BE995" w14:textId="00310965" w:rsidR="00FF7330" w:rsidRPr="00B91EE1" w:rsidRDefault="00FF7330" w:rsidP="004522B1">
      <w:pPr>
        <w:pStyle w:val="enumlev1"/>
      </w:pPr>
      <w:r w:rsidRPr="00B91EE1">
        <w:rPr>
          <w:rFonts w:eastAsiaTheme="minorEastAsia"/>
        </w:rPr>
        <w:t>–</w:t>
      </w:r>
      <w:r w:rsidRPr="00B91EE1">
        <w:rPr>
          <w:rFonts w:eastAsiaTheme="minorEastAsia"/>
        </w:rPr>
        <w:tab/>
        <w:t>N</w:t>
      </w:r>
      <w:r w:rsidR="00E6420E" w:rsidRPr="00B91EE1">
        <w:rPr>
          <w:rFonts w:eastAsiaTheme="minorEastAsia"/>
        </w:rPr>
        <w:t>ouvelle</w:t>
      </w:r>
      <w:r w:rsidRPr="00B91EE1">
        <w:rPr>
          <w:rFonts w:eastAsiaTheme="minorEastAsia"/>
        </w:rPr>
        <w:t xml:space="preserve"> Résolution 219</w:t>
      </w:r>
      <w:r w:rsidR="00475E7D" w:rsidRPr="00B91EE1">
        <w:rPr>
          <w:rFonts w:eastAsiaTheme="minorEastAsia"/>
        </w:rPr>
        <w:t xml:space="preserve"> –</w:t>
      </w:r>
      <w:r w:rsidRPr="00B91EE1">
        <w:rPr>
          <w:rFonts w:eastAsiaTheme="minorEastAsia"/>
        </w:rPr>
        <w:t xml:space="preserve"> </w:t>
      </w:r>
      <w:r w:rsidR="002A3133" w:rsidRPr="00B91EE1">
        <w:rPr>
          <w:rFonts w:eastAsiaTheme="minorEastAsia"/>
        </w:rPr>
        <w:t>Viabilité des ressources que constituent le spectre des fréquences radioélectriques et les orbites de satellites associées utilisées par les services spatiaux</w:t>
      </w:r>
      <w:r w:rsidRPr="00B91EE1">
        <w:rPr>
          <w:rFonts w:eastAsiaTheme="minorEastAsia"/>
        </w:rPr>
        <w:t>.</w:t>
      </w:r>
    </w:p>
    <w:p w14:paraId="4CBF51AF" w14:textId="3520E3E9" w:rsidR="006C33D7" w:rsidRPr="00B91EE1" w:rsidRDefault="006C33D7" w:rsidP="004522B1">
      <w:pPr>
        <w:pStyle w:val="Heading2"/>
      </w:pPr>
      <w:bookmarkStart w:id="20" w:name="_Toc446060752"/>
      <w:r w:rsidRPr="00B91EE1">
        <w:t>2</w:t>
      </w:r>
      <w:r w:rsidR="002A3133" w:rsidRPr="00B91EE1">
        <w:t>.2</w:t>
      </w:r>
      <w:r w:rsidRPr="00B91EE1">
        <w:tab/>
      </w:r>
      <w:bookmarkStart w:id="21" w:name="lt_pId015"/>
      <w:bookmarkEnd w:id="20"/>
      <w:r w:rsidRPr="00B91EE1">
        <w:t>Questions relatives au Conseil</w:t>
      </w:r>
      <w:bookmarkEnd w:id="21"/>
    </w:p>
    <w:p w14:paraId="37631A51" w14:textId="0D85FCED" w:rsidR="006C33D7" w:rsidRPr="00B91EE1" w:rsidRDefault="002F1CFE" w:rsidP="004522B1">
      <w:r w:rsidRPr="00B91EE1">
        <w:t xml:space="preserve">Le présent paragraphe </w:t>
      </w:r>
      <w:r w:rsidR="005378F4" w:rsidRPr="00B91EE1">
        <w:t>porte sur les questions traitées par le Conseil à sa session de 2022</w:t>
      </w:r>
      <w:r w:rsidR="006C33D7" w:rsidRPr="00B91EE1">
        <w:t xml:space="preserve"> (voir </w:t>
      </w:r>
      <w:r w:rsidR="005378F4" w:rsidRPr="00B91EE1">
        <w:t xml:space="preserve">le lien suivant: </w:t>
      </w:r>
      <w:hyperlink r:id="rId12" w:history="1">
        <w:r w:rsidR="00D72DB8" w:rsidRPr="00B91EE1">
          <w:rPr>
            <w:rStyle w:val="Hyperlink"/>
          </w:rPr>
          <w:t>https://ww</w:t>
        </w:r>
        <w:r w:rsidR="00D72DB8" w:rsidRPr="00B91EE1">
          <w:rPr>
            <w:rStyle w:val="Hyperlink"/>
          </w:rPr>
          <w:t>w</w:t>
        </w:r>
        <w:r w:rsidR="00D72DB8" w:rsidRPr="00B91EE1">
          <w:rPr>
            <w:rStyle w:val="Hyperlink"/>
          </w:rPr>
          <w:t>.itu.int/en/council/2021/Pages/default.aspx</w:t>
        </w:r>
      </w:hyperlink>
      <w:r w:rsidR="006C33D7" w:rsidRPr="00B91EE1">
        <w:t>).</w:t>
      </w:r>
    </w:p>
    <w:p w14:paraId="60ACBF07" w14:textId="579D6F18" w:rsidR="006C33D7" w:rsidRPr="00B91EE1" w:rsidRDefault="002A3133" w:rsidP="008F3DFB">
      <w:pPr>
        <w:pStyle w:val="Heading3"/>
        <w:keepNext w:val="0"/>
        <w:keepLines w:val="0"/>
      </w:pPr>
      <w:r w:rsidRPr="00B91EE1">
        <w:t>2.</w:t>
      </w:r>
      <w:r w:rsidR="006C33D7" w:rsidRPr="00B91EE1">
        <w:t>2.1</w:t>
      </w:r>
      <w:r w:rsidR="006C33D7" w:rsidRPr="00B91EE1">
        <w:tab/>
      </w:r>
      <w:bookmarkStart w:id="22" w:name="lt_pId018"/>
      <w:r w:rsidR="006C33D7" w:rsidRPr="00B91EE1">
        <w:t>Accès en ligne gratuit aux publications de l</w:t>
      </w:r>
      <w:r w:rsidR="00392F9A" w:rsidRPr="00B91EE1">
        <w:t>'</w:t>
      </w:r>
      <w:r w:rsidR="006C33D7" w:rsidRPr="00B91EE1">
        <w:t>UIT-R</w:t>
      </w:r>
      <w:bookmarkEnd w:id="22"/>
    </w:p>
    <w:p w14:paraId="69E664E6" w14:textId="77777777" w:rsidR="008F3DFB" w:rsidRDefault="006C33D7" w:rsidP="008F3DFB">
      <w:bookmarkStart w:id="23" w:name="lt_pId019"/>
      <w:r w:rsidRPr="00B91EE1">
        <w:t>L</w:t>
      </w:r>
      <w:r w:rsidR="00392F9A" w:rsidRPr="00B91EE1">
        <w:t>'</w:t>
      </w:r>
      <w:r w:rsidRPr="00B91EE1">
        <w:t>UIT continue de publier des publications phares et plusieurs autres publications, en version imprimée et en version numérique/électronique.</w:t>
      </w:r>
      <w:bookmarkEnd w:id="23"/>
      <w:r w:rsidRPr="00B91EE1">
        <w:t xml:space="preserve"> </w:t>
      </w:r>
      <w:bookmarkStart w:id="24" w:name="lt_pId020"/>
      <w:r w:rsidRPr="00B91EE1">
        <w:t>Par sa Décision 12 (Guadalajara, 2010), la PP</w:t>
      </w:r>
      <w:r w:rsidR="00130174" w:rsidRPr="00B91EE1">
        <w:noBreakHyphen/>
      </w:r>
      <w:r w:rsidRPr="00B91EE1">
        <w:t>10 a adopté une politique d</w:t>
      </w:r>
      <w:r w:rsidR="00392F9A" w:rsidRPr="00B91EE1">
        <w:t>'</w:t>
      </w:r>
      <w:r w:rsidRPr="00B91EE1">
        <w:t>accès en ligne gratuit, applicable notamment aux Recommandations et aux Rapports de l</w:t>
      </w:r>
      <w:r w:rsidR="00392F9A" w:rsidRPr="00B91EE1">
        <w:t>'</w:t>
      </w:r>
      <w:r w:rsidRPr="00B91EE1">
        <w:t>UIT-R.</w:t>
      </w:r>
      <w:bookmarkEnd w:id="24"/>
      <w:r w:rsidRPr="00B91EE1">
        <w:t xml:space="preserve"> </w:t>
      </w:r>
      <w:bookmarkStart w:id="25" w:name="lt_pId021"/>
      <w:r w:rsidRPr="00B91EE1">
        <w:t>Le Conseil à sa session de 2012 a élargi le cadre de cette politique en vertu de sa Décision 571, qui a été modifiée par le Conseil à ses sessions de 2013 et 2014 et confirmée par la</w:t>
      </w:r>
      <w:r w:rsidR="00130174" w:rsidRPr="00B91EE1">
        <w:t> </w:t>
      </w:r>
      <w:r w:rsidRPr="00B91EE1">
        <w:t>PP</w:t>
      </w:r>
      <w:r w:rsidR="00130174" w:rsidRPr="00B91EE1">
        <w:noBreakHyphen/>
      </w:r>
      <w:r w:rsidRPr="00B91EE1">
        <w:t>14 en vertu de la Décision 12 révisée, par laquelle il a été décidé de fournir au grand public un accès en ligne gratuit, à titre permanent.</w:t>
      </w:r>
      <w:bookmarkEnd w:id="25"/>
      <w:r w:rsidRPr="00B91EE1">
        <w:t xml:space="preserve"> </w:t>
      </w:r>
      <w:bookmarkStart w:id="26" w:name="lt_pId022"/>
      <w:r w:rsidRPr="00B91EE1">
        <w:t>De nombreuses publications sont désormais accessibles en ligne gratuitement de façon à diffuser des informations et à toucher un plus large public.</w:t>
      </w:r>
      <w:bookmarkEnd w:id="26"/>
      <w:r w:rsidRPr="00B91EE1">
        <w:t xml:space="preserve"> </w:t>
      </w:r>
      <w:bookmarkStart w:id="27" w:name="lt_pId023"/>
      <w:r w:rsidRPr="00B91EE1">
        <w:t>On citera par exemple les publications de référence de l</w:t>
      </w:r>
      <w:r w:rsidR="00392F9A" w:rsidRPr="00B91EE1">
        <w:t>'</w:t>
      </w:r>
      <w:r w:rsidRPr="00B91EE1">
        <w:t xml:space="preserve">UIT telles que le Règlement des </w:t>
      </w:r>
      <w:r w:rsidR="008F3DFB">
        <w:br w:type="page"/>
      </w:r>
    </w:p>
    <w:p w14:paraId="5E295239" w14:textId="3200F5E7" w:rsidR="006C33D7" w:rsidRPr="00B91EE1" w:rsidRDefault="006C33D7" w:rsidP="008F3DFB">
      <w:r w:rsidRPr="00B91EE1">
        <w:lastRenderedPageBreak/>
        <w:t>radiocommunications, les Règles de procédure, les Recommandations, les textes fondamentaux de l</w:t>
      </w:r>
      <w:r w:rsidR="00392F9A" w:rsidRPr="00B91EE1">
        <w:t>'</w:t>
      </w:r>
      <w:r w:rsidRPr="00B91EE1">
        <w:t>Union, les Actes finals de la CMTI, les Résolutions et Décisions du Conseil et les Manuels de l</w:t>
      </w:r>
      <w:r w:rsidR="00392F9A" w:rsidRPr="00B91EE1">
        <w:t>'</w:t>
      </w:r>
      <w:r w:rsidRPr="00B91EE1">
        <w:t>UIT. De fait, seules les publications relatives au service maritime et quelques autres ouvrages sont encore payants.</w:t>
      </w:r>
      <w:bookmarkEnd w:id="27"/>
    </w:p>
    <w:p w14:paraId="72443703" w14:textId="182A3215" w:rsidR="006C33D7" w:rsidRPr="00B91EE1" w:rsidRDefault="006C33D7" w:rsidP="004522B1">
      <w:r w:rsidRPr="00B91EE1">
        <w:t>En outre, en réponse aux demandes d</w:t>
      </w:r>
      <w:r w:rsidR="00392F9A" w:rsidRPr="00B91EE1">
        <w:t>'</w:t>
      </w:r>
      <w:r w:rsidRPr="00B91EE1">
        <w:t>États Membres, en particulier de pays en développement, la politique d</w:t>
      </w:r>
      <w:r w:rsidR="00392F9A" w:rsidRPr="00B91EE1">
        <w:t>'</w:t>
      </w:r>
      <w:r w:rsidRPr="00B91EE1">
        <w:t>accès gratuit a été élargie par le Directeur du BR en janvier 2017 pour inclure tous les Manuels de l</w:t>
      </w:r>
      <w:r w:rsidR="00392F9A" w:rsidRPr="00B91EE1">
        <w:t>'</w:t>
      </w:r>
      <w:r w:rsidRPr="00B91EE1">
        <w:t>UIT-R.</w:t>
      </w:r>
    </w:p>
    <w:p w14:paraId="3DFF53EB" w14:textId="77777777" w:rsidR="006C33D7" w:rsidRPr="00B91EE1" w:rsidRDefault="006C33D7" w:rsidP="004522B1">
      <w:bookmarkStart w:id="28" w:name="lt_pId025"/>
      <w:r w:rsidRPr="00B91EE1">
        <w:t>Les incidences de ces Décisions transparaissent clairement dans le nombre important de publications téléchargées</w:t>
      </w:r>
      <w:bookmarkEnd w:id="28"/>
      <w:r w:rsidRPr="00B91EE1">
        <w:t>, comme indiqué au § 8.1.4.</w:t>
      </w:r>
    </w:p>
    <w:p w14:paraId="5EA71EE5" w14:textId="5DF5D3AB" w:rsidR="006C33D7" w:rsidRPr="00B91EE1" w:rsidRDefault="00CD3536" w:rsidP="004522B1">
      <w:pPr>
        <w:pStyle w:val="Heading3"/>
      </w:pPr>
      <w:bookmarkStart w:id="29" w:name="_Toc446060754"/>
      <w:r w:rsidRPr="00B91EE1">
        <w:t>2.</w:t>
      </w:r>
      <w:r w:rsidR="006C33D7" w:rsidRPr="00B91EE1">
        <w:t>2.2</w:t>
      </w:r>
      <w:r w:rsidR="006C33D7" w:rsidRPr="00B91EE1">
        <w:tab/>
      </w:r>
      <w:bookmarkStart w:id="30" w:name="lt_pId027"/>
      <w:bookmarkEnd w:id="29"/>
      <w:r w:rsidR="006C33D7" w:rsidRPr="00B91EE1">
        <w:t>Recouvrement des coûts pour le traitement des fiches de notification des réseaux à satellite</w:t>
      </w:r>
      <w:bookmarkEnd w:id="30"/>
    </w:p>
    <w:p w14:paraId="61EF44E2" w14:textId="48A2BCBE" w:rsidR="009B6029" w:rsidRPr="00B91EE1" w:rsidRDefault="0010283E" w:rsidP="004522B1">
      <w:r w:rsidRPr="00B91EE1">
        <w:t>À sa session de 2022</w:t>
      </w:r>
      <w:r w:rsidR="00AD6ED6" w:rsidRPr="00B91EE1">
        <w:t>,</w:t>
      </w:r>
      <w:r w:rsidRPr="00B91EE1">
        <w:t xml:space="preserve"> tenue du 21 au 31 mars 2022, le Conseil a pris note du </w:t>
      </w:r>
      <w:r w:rsidR="006C33D7" w:rsidRPr="00B91EE1">
        <w:t xml:space="preserve">rapport annuel sur la mise en œuvre de la Décision 482 (voir le </w:t>
      </w:r>
      <w:hyperlink r:id="rId13" w:history="1">
        <w:r w:rsidR="008F3DFB" w:rsidRPr="008F3DFB">
          <w:rPr>
            <w:rStyle w:val="Hyperlink"/>
          </w:rPr>
          <w:t>Document C22</w:t>
        </w:r>
        <w:r w:rsidR="008F3DFB" w:rsidRPr="008F3DFB">
          <w:rPr>
            <w:rStyle w:val="Hyperlink"/>
          </w:rPr>
          <w:t>/</w:t>
        </w:r>
        <w:r w:rsidR="008F3DFB" w:rsidRPr="008F3DFB">
          <w:rPr>
            <w:rStyle w:val="Hyperlink"/>
          </w:rPr>
          <w:t>16</w:t>
        </w:r>
      </w:hyperlink>
      <w:r w:rsidR="006C33D7" w:rsidRPr="00B91EE1">
        <w:t>).</w:t>
      </w:r>
    </w:p>
    <w:p w14:paraId="3E54A8B2" w14:textId="47500931" w:rsidR="0010283E" w:rsidRPr="00B91EE1" w:rsidRDefault="0010283E" w:rsidP="004522B1">
      <w:r w:rsidRPr="00B91EE1">
        <w:t xml:space="preserve">Il a également été indiqué </w:t>
      </w:r>
      <w:r w:rsidR="00AD6ED6" w:rsidRPr="00B91EE1">
        <w:t xml:space="preserve">au Conseil </w:t>
      </w:r>
      <w:r w:rsidRPr="00B91EE1">
        <w:t>que le Bureau procédera</w:t>
      </w:r>
      <w:r w:rsidR="00AD6ED6" w:rsidRPr="00B91EE1">
        <w:t>it</w:t>
      </w:r>
      <w:r w:rsidRPr="00B91EE1">
        <w:t xml:space="preserve"> à une étude et soumettra</w:t>
      </w:r>
      <w:r w:rsidR="00AD6ED6" w:rsidRPr="00B91EE1">
        <w:t>it</w:t>
      </w:r>
      <w:r w:rsidRPr="00B91EE1">
        <w:t xml:space="preserve"> au Conseil, à sa session de 2023, une évaluation visant à déterminer </w:t>
      </w:r>
      <w:r w:rsidR="00AD6ED6" w:rsidRPr="00B91EE1">
        <w:t>s</w:t>
      </w:r>
      <w:r w:rsidR="00392F9A" w:rsidRPr="00B91EE1">
        <w:t>'</w:t>
      </w:r>
      <w:r w:rsidR="00AD6ED6" w:rsidRPr="00B91EE1">
        <w:t>il convenait d</w:t>
      </w:r>
      <w:r w:rsidR="00392F9A" w:rsidRPr="00B91EE1">
        <w:t>'</w:t>
      </w:r>
      <w:r w:rsidR="00AD6ED6" w:rsidRPr="00B91EE1">
        <w:t xml:space="preserve">envisager </w:t>
      </w:r>
      <w:r w:rsidRPr="00B91EE1">
        <w:t>de nouvelles révisions de la Décision 482.</w:t>
      </w:r>
    </w:p>
    <w:p w14:paraId="02B081CD" w14:textId="2775AA64" w:rsidR="0010283E" w:rsidRPr="00B91EE1" w:rsidRDefault="0010283E" w:rsidP="004522B1">
      <w:r w:rsidRPr="00B91EE1">
        <w:t xml:space="preserve">À sa </w:t>
      </w:r>
      <w:r w:rsidR="00AD6ED6" w:rsidRPr="00B91EE1">
        <w:t xml:space="preserve">session </w:t>
      </w:r>
      <w:r w:rsidRPr="00B91EE1">
        <w:t>d</w:t>
      </w:r>
      <w:r w:rsidR="00392F9A" w:rsidRPr="00B91EE1">
        <w:t>'</w:t>
      </w:r>
      <w:r w:rsidRPr="00B91EE1">
        <w:t xml:space="preserve">avril 2022, le </w:t>
      </w:r>
      <w:r w:rsidR="00AD6ED6" w:rsidRPr="00B91EE1">
        <w:t>Groupe consultatif des radiocommunications (</w:t>
      </w:r>
      <w:r w:rsidRPr="00B91EE1">
        <w:t>GCR</w:t>
      </w:r>
      <w:r w:rsidR="00AD6ED6" w:rsidRPr="00B91EE1">
        <w:t>)</w:t>
      </w:r>
      <w:r w:rsidRPr="00B91EE1">
        <w:t xml:space="preserve"> </w:t>
      </w:r>
      <w:r w:rsidR="00AD6ED6" w:rsidRPr="00B91EE1">
        <w:t xml:space="preserve">a recommandé au </w:t>
      </w:r>
      <w:r w:rsidRPr="00B91EE1">
        <w:t>Directeur</w:t>
      </w:r>
      <w:r w:rsidR="00AD6ED6" w:rsidRPr="00B91EE1">
        <w:t xml:space="preserve"> de tenir compte</w:t>
      </w:r>
      <w:r w:rsidRPr="00B91EE1">
        <w:t xml:space="preserve">, dans le cadre de cette évaluation, des </w:t>
      </w:r>
      <w:r w:rsidR="00AD6ED6" w:rsidRPr="00B91EE1">
        <w:t>coûts réels afférents à tous les fonctionnaires des différents départements et des différentes divisions du Bureau des radiocommunications, ainsi que des autres coûts (directs ou indirects) afférents aux autres organes de l</w:t>
      </w:r>
      <w:r w:rsidR="00392F9A" w:rsidRPr="00B91EE1">
        <w:t>'</w:t>
      </w:r>
      <w:r w:rsidR="00AD6ED6" w:rsidRPr="00B91EE1">
        <w:t>UIT.</w:t>
      </w:r>
    </w:p>
    <w:p w14:paraId="5A287CE1" w14:textId="0E3E16EA" w:rsidR="00AD6ED6" w:rsidRPr="00B91EE1" w:rsidRDefault="00AD6ED6" w:rsidP="004522B1">
      <w:r w:rsidRPr="00B91EE1">
        <w:t xml:space="preserve">Cette évaluation est en </w:t>
      </w:r>
      <w:r w:rsidR="006C2CD3" w:rsidRPr="00B91EE1">
        <w:t>cours d</w:t>
      </w:r>
      <w:r w:rsidR="00392F9A" w:rsidRPr="00B91EE1">
        <w:t>'</w:t>
      </w:r>
      <w:r w:rsidR="006C2CD3" w:rsidRPr="00B91EE1">
        <w:t>élaboration</w:t>
      </w:r>
      <w:r w:rsidRPr="00B91EE1">
        <w:t xml:space="preserve"> au secrétariat de l</w:t>
      </w:r>
      <w:r w:rsidR="00392F9A" w:rsidRPr="00B91EE1">
        <w:t>'</w:t>
      </w:r>
      <w:r w:rsidRPr="00B91EE1">
        <w:t xml:space="preserve">UIT et sera </w:t>
      </w:r>
      <w:r w:rsidR="006C2CD3" w:rsidRPr="00B91EE1">
        <w:t>présentée</w:t>
      </w:r>
      <w:r w:rsidRPr="00B91EE1">
        <w:t xml:space="preserve"> en temps </w:t>
      </w:r>
      <w:r w:rsidR="006C2CD3" w:rsidRPr="00B91EE1">
        <w:t xml:space="preserve">utile </w:t>
      </w:r>
      <w:r w:rsidRPr="00B91EE1">
        <w:t>à la session de 2023 du Conseil, qui se tiendra du 11 au 21 juillet 2023.</w:t>
      </w:r>
    </w:p>
    <w:p w14:paraId="55E71C66" w14:textId="1522F0FC" w:rsidR="006C33D7" w:rsidRPr="00B91EE1" w:rsidRDefault="00CD3536" w:rsidP="004522B1">
      <w:pPr>
        <w:pStyle w:val="Heading3"/>
      </w:pPr>
      <w:r w:rsidRPr="00B91EE1">
        <w:t>2.</w:t>
      </w:r>
      <w:r w:rsidR="006C33D7" w:rsidRPr="00B91EE1">
        <w:t>2.3</w:t>
      </w:r>
      <w:r w:rsidR="006C33D7" w:rsidRPr="00B91EE1">
        <w:tab/>
        <w:t xml:space="preserve">Budget pour </w:t>
      </w:r>
      <w:r w:rsidR="008C4C3E" w:rsidRPr="00B91EE1">
        <w:t xml:space="preserve">la période </w:t>
      </w:r>
      <w:r w:rsidR="006C33D7" w:rsidRPr="00B91EE1">
        <w:t>202</w:t>
      </w:r>
      <w:r w:rsidRPr="00B91EE1">
        <w:t>2</w:t>
      </w:r>
      <w:r w:rsidR="006C33D7" w:rsidRPr="00B91EE1">
        <w:t>-202</w:t>
      </w:r>
      <w:r w:rsidRPr="00B91EE1">
        <w:t>3</w:t>
      </w:r>
      <w:r w:rsidR="006C33D7" w:rsidRPr="00B91EE1">
        <w:t xml:space="preserve"> et projet de budget pour </w:t>
      </w:r>
      <w:r w:rsidR="008C4C3E" w:rsidRPr="00B91EE1">
        <w:t xml:space="preserve">la période </w:t>
      </w:r>
      <w:r w:rsidR="006C33D7" w:rsidRPr="00B91EE1">
        <w:t>202</w:t>
      </w:r>
      <w:r w:rsidRPr="00B91EE1">
        <w:t>4</w:t>
      </w:r>
      <w:r w:rsidR="006C33D7" w:rsidRPr="00B91EE1">
        <w:t>-202</w:t>
      </w:r>
      <w:r w:rsidRPr="00B91EE1">
        <w:t>5</w:t>
      </w:r>
    </w:p>
    <w:p w14:paraId="1BAAC9CB" w14:textId="00CB6984" w:rsidR="006C33D7" w:rsidRPr="00B91EE1" w:rsidRDefault="00D72DB8" w:rsidP="004522B1">
      <w:r w:rsidRPr="00B91EE1">
        <w:t>Le budget biennal pour</w:t>
      </w:r>
      <w:r w:rsidR="00CD3536" w:rsidRPr="00B91EE1">
        <w:t xml:space="preserve"> </w:t>
      </w:r>
      <w:r w:rsidR="008C4C3E" w:rsidRPr="00B91EE1">
        <w:t xml:space="preserve">la période </w:t>
      </w:r>
      <w:r w:rsidR="00CD3536" w:rsidRPr="00B91EE1">
        <w:t xml:space="preserve">2022-2023, </w:t>
      </w:r>
      <w:r w:rsidR="0035581D" w:rsidRPr="00B91EE1">
        <w:t>tel qu</w:t>
      </w:r>
      <w:r w:rsidR="00392F9A" w:rsidRPr="00B91EE1">
        <w:t>'</w:t>
      </w:r>
      <w:r w:rsidR="0035581D" w:rsidRPr="00B91EE1">
        <w:t>il a été adopté en vertu de la Résolution 1405 du Conseil, est reproduit ci-dessous.</w:t>
      </w:r>
    </w:p>
    <w:p w14:paraId="3E85DE1C" w14:textId="77777777" w:rsidR="00C23E57" w:rsidRPr="00B91EE1" w:rsidRDefault="00C23E57" w:rsidP="008F3DFB">
      <w:pPr>
        <w:pStyle w:val="TableNo"/>
        <w:keepLines/>
        <w:rPr>
          <w:lang w:val="fr-FR"/>
        </w:rPr>
      </w:pPr>
      <w:bookmarkStart w:id="31" w:name="_Toc7183127"/>
      <w:r w:rsidRPr="00B91EE1">
        <w:rPr>
          <w:lang w:val="fr-FR"/>
        </w:rPr>
        <w:lastRenderedPageBreak/>
        <w:t>Tableau 5</w:t>
      </w:r>
      <w:bookmarkEnd w:id="31"/>
    </w:p>
    <w:p w14:paraId="30A6BC34" w14:textId="77777777" w:rsidR="00C23E57" w:rsidRPr="00B91EE1" w:rsidRDefault="00C23E57" w:rsidP="008F3DFB">
      <w:pPr>
        <w:pStyle w:val="Tabletitle"/>
        <w:keepLines/>
        <w:rPr>
          <w:lang w:val="fr-FR"/>
        </w:rPr>
      </w:pPr>
      <w:bookmarkStart w:id="32" w:name="_Toc7183128"/>
      <w:r w:rsidRPr="00B91EE1">
        <w:rPr>
          <w:lang w:val="fr-FR"/>
        </w:rPr>
        <w:t>Secteur des radiocommunications</w:t>
      </w:r>
      <w:bookmarkStart w:id="33" w:name="_Toc7183129"/>
      <w:bookmarkEnd w:id="32"/>
      <w:r w:rsidRPr="00B91EE1">
        <w:rPr>
          <w:lang w:val="fr-FR"/>
        </w:rPr>
        <w:br/>
        <w:t>Charges prévues par chapitre</w:t>
      </w:r>
      <w:bookmarkEnd w:id="33"/>
    </w:p>
    <w:p w14:paraId="078EDD2D" w14:textId="36E03399" w:rsidR="00C23E57" w:rsidRPr="00B91EE1" w:rsidRDefault="00C23E57" w:rsidP="008F3DFB">
      <w:pPr>
        <w:keepNext/>
        <w:keepLines/>
        <w:spacing w:before="0" w:after="120"/>
        <w:ind w:right="283"/>
        <w:jc w:val="right"/>
        <w:rPr>
          <w:rFonts w:cs="Calibri"/>
          <w:i/>
          <w:iCs/>
          <w:sz w:val="14"/>
          <w:szCs w:val="14"/>
        </w:rPr>
      </w:pPr>
      <w:r w:rsidRPr="00B91EE1">
        <w:rPr>
          <w:noProof/>
          <w:sz w:val="14"/>
          <w:szCs w:val="14"/>
          <w:lang w:eastAsia="en-GB"/>
        </w:rPr>
        <mc:AlternateContent>
          <mc:Choice Requires="wps">
            <w:drawing>
              <wp:anchor distT="0" distB="0" distL="114300" distR="114300" simplePos="0" relativeHeight="251701248" behindDoc="0" locked="0" layoutInCell="1" allowOverlap="1" wp14:anchorId="05C8B5DA" wp14:editId="6C86C2B3">
                <wp:simplePos x="0" y="0"/>
                <wp:positionH relativeFrom="margin">
                  <wp:posOffset>6176749</wp:posOffset>
                </wp:positionH>
                <wp:positionV relativeFrom="paragraph">
                  <wp:posOffset>2077186</wp:posOffset>
                </wp:positionV>
                <wp:extent cx="4770755" cy="1026795"/>
                <wp:effectExtent l="5080" t="0" r="15875" b="15875"/>
                <wp:wrapNone/>
                <wp:docPr id="15" name="Flowchart: Terminator 15"/>
                <wp:cNvGraphicFramePr/>
                <a:graphic xmlns:a="http://schemas.openxmlformats.org/drawingml/2006/main">
                  <a:graphicData uri="http://schemas.microsoft.com/office/word/2010/wordprocessingShape">
                    <wps:wsp>
                      <wps:cNvSpPr/>
                      <wps:spPr>
                        <a:xfrm rot="16200000">
                          <a:off x="0" y="0"/>
                          <a:ext cx="4770755" cy="1026795"/>
                        </a:xfrm>
                        <a:prstGeom prst="flowChartTerminator">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8958E" id="_x0000_t116" coordsize="21600,21600" o:spt="116" path="m3475,qx,10800,3475,21600l18125,21600qx21600,10800,18125,xe">
                <v:stroke joinstyle="miter"/>
                <v:path gradientshapeok="t" o:connecttype="rect" textboxrect="1018,3163,20582,18437"/>
              </v:shapetype>
              <v:shape id="Flowchart: Terminator 15" o:spid="_x0000_s1026" type="#_x0000_t116" style="position:absolute;margin-left:486.35pt;margin-top:163.55pt;width:375.65pt;height:80.85pt;rotation:-90;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" filled="f" strokecolor="#0070c0" strokeweight="1pt">
                <w10:wrap anchorx="margin"/>
              </v:shape>
            </w:pict>
          </mc:Fallback>
        </mc:AlternateContent>
      </w:r>
      <w:r w:rsidRPr="00B91EE1">
        <w:rPr>
          <w:rFonts w:cs="Calibri"/>
          <w:i/>
          <w:iCs/>
          <w:sz w:val="14"/>
          <w:szCs w:val="14"/>
        </w:rPr>
        <w:t>En milliers CHF</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077"/>
        <w:gridCol w:w="1077"/>
        <w:gridCol w:w="1078"/>
        <w:gridCol w:w="1077"/>
        <w:gridCol w:w="1078"/>
      </w:tblGrid>
      <w:tr w:rsidR="00C23E57" w:rsidRPr="00B91EE1" w14:paraId="3B052899" w14:textId="77777777" w:rsidTr="00C23E57">
        <w:trPr>
          <w:trHeight w:val="170"/>
        </w:trPr>
        <w:tc>
          <w:tcPr>
            <w:tcW w:w="3969" w:type="dxa"/>
            <w:tcBorders>
              <w:bottom w:val="single" w:sz="4" w:space="0" w:color="auto"/>
              <w:right w:val="single" w:sz="12" w:space="0" w:color="00B0F0"/>
            </w:tcBorders>
          </w:tcPr>
          <w:p w14:paraId="0EC7C95D" w14:textId="77777777" w:rsidR="00C23E57" w:rsidRPr="00B91EE1" w:rsidRDefault="00C23E57" w:rsidP="008F3DFB">
            <w:pPr>
              <w:pStyle w:val="Tabletext"/>
              <w:keepNext/>
              <w:keepLines/>
              <w:rPr>
                <w:sz w:val="14"/>
                <w:szCs w:val="14"/>
              </w:rPr>
            </w:pPr>
          </w:p>
        </w:tc>
        <w:tc>
          <w:tcPr>
            <w:tcW w:w="1077" w:type="dxa"/>
            <w:tcBorders>
              <w:left w:val="single" w:sz="12" w:space="0" w:color="00B0F0"/>
              <w:bottom w:val="single" w:sz="4" w:space="0" w:color="auto"/>
            </w:tcBorders>
          </w:tcPr>
          <w:p w14:paraId="2184A93D" w14:textId="7DDFEC71" w:rsidR="00C23E57" w:rsidRPr="00B91EE1" w:rsidRDefault="00E1047B" w:rsidP="008F3DFB">
            <w:pPr>
              <w:pStyle w:val="Tabletext"/>
              <w:keepNext/>
              <w:keepLines/>
              <w:jc w:val="center"/>
              <w:rPr>
                <w:b/>
                <w:bCs/>
                <w:sz w:val="14"/>
                <w:szCs w:val="14"/>
              </w:rPr>
            </w:pPr>
            <w:r w:rsidRPr="00B91EE1">
              <w:rPr>
                <w:b/>
                <w:bCs/>
                <w:sz w:val="14"/>
                <w:szCs w:val="14"/>
              </w:rPr>
              <w:t>Montants effectifs</w:t>
            </w:r>
            <w:r w:rsidR="00C23E57" w:rsidRPr="00B91EE1">
              <w:rPr>
                <w:b/>
                <w:bCs/>
                <w:sz w:val="14"/>
                <w:szCs w:val="14"/>
              </w:rPr>
              <w:br/>
              <w:t>201</w:t>
            </w:r>
            <w:r w:rsidRPr="00B91EE1">
              <w:rPr>
                <w:b/>
                <w:bCs/>
                <w:sz w:val="14"/>
                <w:szCs w:val="14"/>
              </w:rPr>
              <w:t>8</w:t>
            </w:r>
            <w:r w:rsidR="00C23E57" w:rsidRPr="00B91EE1">
              <w:rPr>
                <w:b/>
                <w:bCs/>
                <w:sz w:val="14"/>
                <w:szCs w:val="14"/>
              </w:rPr>
              <w:t>-201</w:t>
            </w:r>
            <w:r w:rsidRPr="00B91EE1">
              <w:rPr>
                <w:b/>
                <w:bCs/>
                <w:sz w:val="14"/>
                <w:szCs w:val="14"/>
              </w:rPr>
              <w:t>9</w:t>
            </w:r>
          </w:p>
        </w:tc>
        <w:tc>
          <w:tcPr>
            <w:tcW w:w="1077" w:type="dxa"/>
            <w:tcBorders>
              <w:bottom w:val="single" w:sz="4" w:space="0" w:color="auto"/>
            </w:tcBorders>
          </w:tcPr>
          <w:p w14:paraId="795D4254" w14:textId="10858782" w:rsidR="00C23E57" w:rsidRPr="00B91EE1" w:rsidRDefault="00C23E57" w:rsidP="008F3DFB">
            <w:pPr>
              <w:pStyle w:val="Tabletext"/>
              <w:keepNext/>
              <w:keepLines/>
              <w:jc w:val="center"/>
              <w:rPr>
                <w:b/>
                <w:bCs/>
                <w:sz w:val="14"/>
                <w:szCs w:val="14"/>
              </w:rPr>
            </w:pPr>
            <w:r w:rsidRPr="00B91EE1">
              <w:rPr>
                <w:b/>
                <w:bCs/>
                <w:sz w:val="14"/>
                <w:szCs w:val="14"/>
              </w:rPr>
              <w:t>Budget</w:t>
            </w:r>
            <w:r w:rsidRPr="00B91EE1">
              <w:rPr>
                <w:b/>
                <w:bCs/>
                <w:sz w:val="14"/>
                <w:szCs w:val="14"/>
              </w:rPr>
              <w:br/>
              <w:t>20</w:t>
            </w:r>
            <w:r w:rsidR="00E1047B" w:rsidRPr="00B91EE1">
              <w:rPr>
                <w:b/>
                <w:bCs/>
                <w:sz w:val="14"/>
                <w:szCs w:val="14"/>
              </w:rPr>
              <w:t>20</w:t>
            </w:r>
            <w:r w:rsidRPr="00B91EE1">
              <w:rPr>
                <w:b/>
                <w:bCs/>
                <w:sz w:val="14"/>
                <w:szCs w:val="14"/>
              </w:rPr>
              <w:t>-20</w:t>
            </w:r>
            <w:r w:rsidR="00E1047B" w:rsidRPr="00B91EE1">
              <w:rPr>
                <w:b/>
                <w:bCs/>
                <w:sz w:val="14"/>
                <w:szCs w:val="14"/>
              </w:rPr>
              <w:t>21</w:t>
            </w:r>
          </w:p>
        </w:tc>
        <w:tc>
          <w:tcPr>
            <w:tcW w:w="1078" w:type="dxa"/>
            <w:tcBorders>
              <w:bottom w:val="single" w:sz="4" w:space="0" w:color="auto"/>
            </w:tcBorders>
          </w:tcPr>
          <w:p w14:paraId="09C68110" w14:textId="351C7527" w:rsidR="00C23E57" w:rsidRPr="00B91EE1" w:rsidRDefault="00C23E57" w:rsidP="008F3DFB">
            <w:pPr>
              <w:pStyle w:val="Tabletext"/>
              <w:keepNext/>
              <w:keepLines/>
              <w:jc w:val="center"/>
              <w:rPr>
                <w:b/>
                <w:bCs/>
                <w:sz w:val="14"/>
                <w:szCs w:val="14"/>
              </w:rPr>
            </w:pPr>
            <w:r w:rsidRPr="00B91EE1">
              <w:rPr>
                <w:b/>
                <w:bCs/>
                <w:sz w:val="14"/>
                <w:szCs w:val="14"/>
              </w:rPr>
              <w:t>Estimations</w:t>
            </w:r>
            <w:r w:rsidRPr="00B91EE1">
              <w:rPr>
                <w:b/>
                <w:bCs/>
                <w:sz w:val="14"/>
                <w:szCs w:val="14"/>
              </w:rPr>
              <w:br/>
              <w:t>202</w:t>
            </w:r>
            <w:r w:rsidR="00E1047B" w:rsidRPr="00B91EE1">
              <w:rPr>
                <w:b/>
                <w:bCs/>
                <w:sz w:val="14"/>
                <w:szCs w:val="14"/>
              </w:rPr>
              <w:t>2</w:t>
            </w:r>
          </w:p>
        </w:tc>
        <w:tc>
          <w:tcPr>
            <w:tcW w:w="1077" w:type="dxa"/>
            <w:tcBorders>
              <w:bottom w:val="single" w:sz="4" w:space="0" w:color="auto"/>
            </w:tcBorders>
          </w:tcPr>
          <w:p w14:paraId="1F51EFB2" w14:textId="37A94926" w:rsidR="00C23E57" w:rsidRPr="00B91EE1" w:rsidRDefault="00C23E57" w:rsidP="008F3DFB">
            <w:pPr>
              <w:pStyle w:val="Tabletext"/>
              <w:keepNext/>
              <w:keepLines/>
              <w:jc w:val="center"/>
              <w:rPr>
                <w:b/>
                <w:bCs/>
                <w:sz w:val="14"/>
                <w:szCs w:val="14"/>
              </w:rPr>
            </w:pPr>
            <w:r w:rsidRPr="00B91EE1">
              <w:rPr>
                <w:b/>
                <w:bCs/>
                <w:sz w:val="14"/>
                <w:szCs w:val="14"/>
              </w:rPr>
              <w:t>Estimations</w:t>
            </w:r>
            <w:r w:rsidRPr="00B91EE1">
              <w:rPr>
                <w:b/>
                <w:bCs/>
                <w:sz w:val="14"/>
                <w:szCs w:val="14"/>
              </w:rPr>
              <w:br/>
              <w:t>202</w:t>
            </w:r>
            <w:r w:rsidR="00E1047B" w:rsidRPr="00B91EE1">
              <w:rPr>
                <w:b/>
                <w:bCs/>
                <w:sz w:val="14"/>
                <w:szCs w:val="14"/>
              </w:rPr>
              <w:t>3</w:t>
            </w:r>
          </w:p>
        </w:tc>
        <w:tc>
          <w:tcPr>
            <w:tcW w:w="1078" w:type="dxa"/>
            <w:tcBorders>
              <w:bottom w:val="single" w:sz="4" w:space="0" w:color="auto"/>
            </w:tcBorders>
          </w:tcPr>
          <w:p w14:paraId="256551F0" w14:textId="0DFD9D83" w:rsidR="00C23E57" w:rsidRPr="00B91EE1" w:rsidRDefault="00C23E57" w:rsidP="008F3DFB">
            <w:pPr>
              <w:pStyle w:val="Tabletext"/>
              <w:keepNext/>
              <w:keepLines/>
              <w:jc w:val="center"/>
              <w:rPr>
                <w:b/>
                <w:bCs/>
                <w:sz w:val="14"/>
                <w:szCs w:val="14"/>
              </w:rPr>
            </w:pPr>
            <w:r w:rsidRPr="00B91EE1">
              <w:rPr>
                <w:b/>
                <w:bCs/>
                <w:sz w:val="14"/>
                <w:szCs w:val="14"/>
              </w:rPr>
              <w:t>Total</w:t>
            </w:r>
            <w:r w:rsidRPr="00B91EE1">
              <w:rPr>
                <w:b/>
                <w:bCs/>
                <w:sz w:val="14"/>
                <w:szCs w:val="14"/>
              </w:rPr>
              <w:br/>
              <w:t>202</w:t>
            </w:r>
            <w:r w:rsidR="00E1047B" w:rsidRPr="00B91EE1">
              <w:rPr>
                <w:b/>
                <w:bCs/>
                <w:sz w:val="14"/>
                <w:szCs w:val="14"/>
              </w:rPr>
              <w:t>2-2023</w:t>
            </w:r>
          </w:p>
        </w:tc>
      </w:tr>
      <w:tr w:rsidR="00C23E57" w:rsidRPr="00B91EE1" w14:paraId="167F3CFA" w14:textId="77777777" w:rsidTr="00C23E57">
        <w:trPr>
          <w:trHeight w:val="170"/>
        </w:trPr>
        <w:tc>
          <w:tcPr>
            <w:tcW w:w="3969" w:type="dxa"/>
            <w:tcBorders>
              <w:top w:val="single" w:sz="4" w:space="0" w:color="auto"/>
              <w:right w:val="single" w:sz="12" w:space="0" w:color="00B0F0"/>
            </w:tcBorders>
          </w:tcPr>
          <w:p w14:paraId="4FF34934" w14:textId="77777777" w:rsidR="00C23E57" w:rsidRPr="00B91EE1" w:rsidRDefault="00C23E57" w:rsidP="008F3DFB">
            <w:pPr>
              <w:pStyle w:val="Tabletext"/>
              <w:keepNext/>
              <w:keepLines/>
              <w:spacing w:before="20" w:after="20"/>
              <w:rPr>
                <w:sz w:val="14"/>
                <w:szCs w:val="14"/>
              </w:rPr>
            </w:pPr>
          </w:p>
        </w:tc>
        <w:tc>
          <w:tcPr>
            <w:tcW w:w="1077" w:type="dxa"/>
            <w:tcBorders>
              <w:top w:val="single" w:sz="4" w:space="0" w:color="auto"/>
              <w:left w:val="single" w:sz="12" w:space="0" w:color="00B0F0"/>
            </w:tcBorders>
            <w:vAlign w:val="center"/>
          </w:tcPr>
          <w:p w14:paraId="434C1EA4" w14:textId="77777777" w:rsidR="00C23E57" w:rsidRPr="00B91EE1" w:rsidRDefault="00C23E57" w:rsidP="008F3DFB">
            <w:pPr>
              <w:pStyle w:val="Tabletext"/>
              <w:keepNext/>
              <w:keepLines/>
              <w:spacing w:before="20" w:after="20"/>
              <w:jc w:val="right"/>
              <w:rPr>
                <w:sz w:val="14"/>
                <w:szCs w:val="14"/>
              </w:rPr>
            </w:pPr>
          </w:p>
        </w:tc>
        <w:tc>
          <w:tcPr>
            <w:tcW w:w="1077" w:type="dxa"/>
            <w:tcBorders>
              <w:top w:val="single" w:sz="4" w:space="0" w:color="auto"/>
            </w:tcBorders>
          </w:tcPr>
          <w:p w14:paraId="5A404FBF" w14:textId="533788A1" w:rsidR="00C23E57" w:rsidRPr="00B91EE1" w:rsidRDefault="00C23E57" w:rsidP="008F3DFB">
            <w:pPr>
              <w:pStyle w:val="Tabletext"/>
              <w:keepNext/>
              <w:keepLines/>
              <w:spacing w:before="20" w:after="20"/>
              <w:jc w:val="right"/>
              <w:rPr>
                <w:sz w:val="14"/>
                <w:szCs w:val="14"/>
              </w:rPr>
            </w:pPr>
          </w:p>
        </w:tc>
        <w:tc>
          <w:tcPr>
            <w:tcW w:w="1078" w:type="dxa"/>
            <w:tcBorders>
              <w:top w:val="single" w:sz="4" w:space="0" w:color="auto"/>
            </w:tcBorders>
          </w:tcPr>
          <w:p w14:paraId="704027E1" w14:textId="77777777" w:rsidR="00C23E57" w:rsidRPr="00B91EE1" w:rsidRDefault="00C23E57" w:rsidP="008F3DFB">
            <w:pPr>
              <w:pStyle w:val="Tabletext"/>
              <w:keepNext/>
              <w:keepLines/>
              <w:spacing w:before="20" w:after="20"/>
              <w:jc w:val="right"/>
              <w:rPr>
                <w:sz w:val="14"/>
                <w:szCs w:val="14"/>
              </w:rPr>
            </w:pPr>
          </w:p>
        </w:tc>
        <w:tc>
          <w:tcPr>
            <w:tcW w:w="1077" w:type="dxa"/>
            <w:tcBorders>
              <w:top w:val="single" w:sz="4" w:space="0" w:color="auto"/>
            </w:tcBorders>
          </w:tcPr>
          <w:p w14:paraId="6846C63E" w14:textId="77777777" w:rsidR="00C23E57" w:rsidRPr="00B91EE1" w:rsidRDefault="00C23E57" w:rsidP="008F3DFB">
            <w:pPr>
              <w:pStyle w:val="Tabletext"/>
              <w:keepNext/>
              <w:keepLines/>
              <w:spacing w:before="20" w:after="20"/>
              <w:jc w:val="right"/>
              <w:rPr>
                <w:sz w:val="14"/>
                <w:szCs w:val="14"/>
              </w:rPr>
            </w:pPr>
          </w:p>
        </w:tc>
        <w:tc>
          <w:tcPr>
            <w:tcW w:w="1078" w:type="dxa"/>
            <w:tcBorders>
              <w:top w:val="single" w:sz="4" w:space="0" w:color="auto"/>
            </w:tcBorders>
          </w:tcPr>
          <w:p w14:paraId="7E301AC0" w14:textId="47EF9F0E" w:rsidR="00C23E57" w:rsidRPr="00B91EE1" w:rsidRDefault="00C23E57" w:rsidP="008F3DFB">
            <w:pPr>
              <w:pStyle w:val="Tabletext"/>
              <w:keepNext/>
              <w:keepLines/>
              <w:jc w:val="right"/>
              <w:rPr>
                <w:sz w:val="14"/>
                <w:szCs w:val="14"/>
              </w:rPr>
            </w:pPr>
          </w:p>
        </w:tc>
      </w:tr>
      <w:tr w:rsidR="00C23E57" w:rsidRPr="00B91EE1" w14:paraId="1DE7D295" w14:textId="77777777" w:rsidTr="00C23E57">
        <w:trPr>
          <w:trHeight w:val="170"/>
        </w:trPr>
        <w:tc>
          <w:tcPr>
            <w:tcW w:w="3969" w:type="dxa"/>
            <w:tcBorders>
              <w:right w:val="single" w:sz="12" w:space="0" w:color="00B0F0"/>
            </w:tcBorders>
          </w:tcPr>
          <w:p w14:paraId="2A52F4CD" w14:textId="77777777" w:rsidR="00C23E57" w:rsidRPr="00B91EE1" w:rsidRDefault="00C23E57" w:rsidP="008F3DFB">
            <w:pPr>
              <w:pStyle w:val="Tabletext"/>
              <w:keepNext/>
              <w:keepLines/>
              <w:spacing w:before="20" w:after="20"/>
              <w:rPr>
                <w:sz w:val="14"/>
                <w:szCs w:val="14"/>
              </w:rPr>
            </w:pPr>
            <w:r w:rsidRPr="00B91EE1">
              <w:rPr>
                <w:sz w:val="14"/>
                <w:szCs w:val="14"/>
              </w:rPr>
              <w:t>Chapitre 3.1</w:t>
            </w:r>
            <w:r w:rsidRPr="00B91EE1">
              <w:rPr>
                <w:sz w:val="14"/>
                <w:szCs w:val="14"/>
              </w:rPr>
              <w:tab/>
            </w:r>
            <w:r w:rsidRPr="00B91EE1">
              <w:rPr>
                <w:rFonts w:cs="Segoe UI"/>
                <w:sz w:val="14"/>
                <w:szCs w:val="14"/>
              </w:rPr>
              <w:t>Conférences mondiales des radiocommunications</w:t>
            </w:r>
          </w:p>
        </w:tc>
        <w:tc>
          <w:tcPr>
            <w:tcW w:w="1077" w:type="dxa"/>
            <w:tcBorders>
              <w:left w:val="single" w:sz="12" w:space="0" w:color="00B0F0"/>
            </w:tcBorders>
          </w:tcPr>
          <w:p w14:paraId="4B8615DE" w14:textId="54BBDD1F" w:rsidR="00C23E57" w:rsidRPr="00B91EE1" w:rsidRDefault="00E1047B" w:rsidP="008F3DFB">
            <w:pPr>
              <w:pStyle w:val="Tabletext"/>
              <w:keepNext/>
              <w:keepLines/>
              <w:spacing w:before="20" w:after="20"/>
              <w:jc w:val="right"/>
              <w:rPr>
                <w:sz w:val="14"/>
                <w:szCs w:val="14"/>
              </w:rPr>
            </w:pPr>
            <w:r w:rsidRPr="00B91EE1">
              <w:rPr>
                <w:sz w:val="14"/>
                <w:szCs w:val="14"/>
              </w:rPr>
              <w:t>1 506</w:t>
            </w:r>
          </w:p>
        </w:tc>
        <w:tc>
          <w:tcPr>
            <w:tcW w:w="1077" w:type="dxa"/>
          </w:tcPr>
          <w:p w14:paraId="7201C4BB" w14:textId="0ACFB735" w:rsidR="00C23E57" w:rsidRPr="00B91EE1" w:rsidRDefault="00C23E57" w:rsidP="008F3DFB">
            <w:pPr>
              <w:pStyle w:val="Tabletext"/>
              <w:keepNext/>
              <w:keepLines/>
              <w:spacing w:before="20" w:after="20"/>
              <w:jc w:val="right"/>
              <w:rPr>
                <w:sz w:val="14"/>
                <w:szCs w:val="14"/>
              </w:rPr>
            </w:pPr>
          </w:p>
        </w:tc>
        <w:tc>
          <w:tcPr>
            <w:tcW w:w="1078" w:type="dxa"/>
          </w:tcPr>
          <w:p w14:paraId="48E52707" w14:textId="77777777" w:rsidR="00C23E57" w:rsidRPr="00B91EE1" w:rsidRDefault="00C23E57" w:rsidP="008F3DFB">
            <w:pPr>
              <w:pStyle w:val="Tabletext"/>
              <w:keepNext/>
              <w:keepLines/>
              <w:spacing w:before="20" w:after="20"/>
              <w:jc w:val="right"/>
              <w:rPr>
                <w:sz w:val="14"/>
                <w:szCs w:val="14"/>
              </w:rPr>
            </w:pPr>
          </w:p>
        </w:tc>
        <w:tc>
          <w:tcPr>
            <w:tcW w:w="1077" w:type="dxa"/>
          </w:tcPr>
          <w:p w14:paraId="1A17235E" w14:textId="7D2F8117" w:rsidR="00C23E57" w:rsidRPr="00B91EE1" w:rsidRDefault="00E1047B" w:rsidP="008F3DFB">
            <w:pPr>
              <w:pStyle w:val="Tabletext"/>
              <w:keepNext/>
              <w:keepLines/>
              <w:spacing w:before="20" w:after="20"/>
              <w:jc w:val="right"/>
              <w:rPr>
                <w:sz w:val="14"/>
                <w:szCs w:val="14"/>
              </w:rPr>
            </w:pPr>
            <w:r w:rsidRPr="00B91EE1">
              <w:rPr>
                <w:sz w:val="14"/>
                <w:szCs w:val="14"/>
              </w:rPr>
              <w:t>2 449</w:t>
            </w:r>
          </w:p>
        </w:tc>
        <w:tc>
          <w:tcPr>
            <w:tcW w:w="1078" w:type="dxa"/>
          </w:tcPr>
          <w:p w14:paraId="04B48F3D" w14:textId="05128859" w:rsidR="00C23E57" w:rsidRPr="00B91EE1" w:rsidRDefault="00E1047B" w:rsidP="008F3DFB">
            <w:pPr>
              <w:pStyle w:val="Tabletext"/>
              <w:keepNext/>
              <w:keepLines/>
              <w:jc w:val="right"/>
              <w:rPr>
                <w:sz w:val="14"/>
                <w:szCs w:val="14"/>
              </w:rPr>
            </w:pPr>
            <w:r w:rsidRPr="00B91EE1">
              <w:rPr>
                <w:sz w:val="14"/>
                <w:szCs w:val="14"/>
              </w:rPr>
              <w:t>2 449</w:t>
            </w:r>
          </w:p>
        </w:tc>
      </w:tr>
      <w:tr w:rsidR="00C23E57" w:rsidRPr="00B91EE1" w14:paraId="5D1813C5" w14:textId="77777777" w:rsidTr="00C23E57">
        <w:trPr>
          <w:trHeight w:val="170"/>
        </w:trPr>
        <w:tc>
          <w:tcPr>
            <w:tcW w:w="3969" w:type="dxa"/>
            <w:tcBorders>
              <w:right w:val="single" w:sz="12" w:space="0" w:color="00B0F0"/>
            </w:tcBorders>
          </w:tcPr>
          <w:p w14:paraId="6186532D" w14:textId="355EF595" w:rsidR="00C23E57" w:rsidRPr="00B91EE1" w:rsidRDefault="00C23E57" w:rsidP="008F3DFB">
            <w:pPr>
              <w:pStyle w:val="Tabletext"/>
              <w:keepNext/>
              <w:keepLines/>
              <w:spacing w:before="20" w:after="20"/>
              <w:rPr>
                <w:sz w:val="14"/>
                <w:szCs w:val="14"/>
              </w:rPr>
            </w:pPr>
          </w:p>
        </w:tc>
        <w:tc>
          <w:tcPr>
            <w:tcW w:w="1077" w:type="dxa"/>
            <w:tcBorders>
              <w:left w:val="single" w:sz="12" w:space="0" w:color="00B0F0"/>
            </w:tcBorders>
            <w:vAlign w:val="center"/>
          </w:tcPr>
          <w:p w14:paraId="7931D643" w14:textId="5F7D21BD" w:rsidR="00C23E57" w:rsidRPr="00B91EE1" w:rsidRDefault="00C23E57" w:rsidP="008F3DFB">
            <w:pPr>
              <w:pStyle w:val="Tabletext"/>
              <w:keepNext/>
              <w:keepLines/>
              <w:spacing w:before="20" w:after="20"/>
              <w:jc w:val="right"/>
              <w:rPr>
                <w:sz w:val="14"/>
                <w:szCs w:val="14"/>
              </w:rPr>
            </w:pPr>
          </w:p>
        </w:tc>
        <w:tc>
          <w:tcPr>
            <w:tcW w:w="1077" w:type="dxa"/>
          </w:tcPr>
          <w:p w14:paraId="07F5BE48" w14:textId="111FBD48" w:rsidR="00C23E57" w:rsidRPr="00B91EE1" w:rsidRDefault="00C23E57" w:rsidP="008F3DFB">
            <w:pPr>
              <w:pStyle w:val="Tabletext"/>
              <w:keepNext/>
              <w:keepLines/>
              <w:spacing w:before="20" w:after="20"/>
              <w:jc w:val="right"/>
              <w:rPr>
                <w:sz w:val="14"/>
                <w:szCs w:val="14"/>
              </w:rPr>
            </w:pPr>
          </w:p>
        </w:tc>
        <w:tc>
          <w:tcPr>
            <w:tcW w:w="1078" w:type="dxa"/>
          </w:tcPr>
          <w:p w14:paraId="79918008" w14:textId="029ABFEE" w:rsidR="00C23E57" w:rsidRPr="00B91EE1" w:rsidRDefault="00C23E57" w:rsidP="008F3DFB">
            <w:pPr>
              <w:pStyle w:val="Tabletext"/>
              <w:keepNext/>
              <w:keepLines/>
              <w:spacing w:before="20" w:after="20"/>
              <w:jc w:val="right"/>
              <w:rPr>
                <w:sz w:val="14"/>
                <w:szCs w:val="14"/>
              </w:rPr>
            </w:pPr>
          </w:p>
        </w:tc>
        <w:tc>
          <w:tcPr>
            <w:tcW w:w="1077" w:type="dxa"/>
          </w:tcPr>
          <w:p w14:paraId="5DE9B5BB" w14:textId="04DE6DD7" w:rsidR="00C23E57" w:rsidRPr="00B91EE1" w:rsidRDefault="00C23E57" w:rsidP="008F3DFB">
            <w:pPr>
              <w:pStyle w:val="Tabletext"/>
              <w:keepNext/>
              <w:keepLines/>
              <w:spacing w:before="20" w:after="20"/>
              <w:jc w:val="right"/>
              <w:rPr>
                <w:sz w:val="14"/>
                <w:szCs w:val="14"/>
              </w:rPr>
            </w:pPr>
          </w:p>
        </w:tc>
        <w:tc>
          <w:tcPr>
            <w:tcW w:w="1078" w:type="dxa"/>
          </w:tcPr>
          <w:p w14:paraId="69EDA677" w14:textId="77777777" w:rsidR="00C23E57" w:rsidRPr="00B91EE1" w:rsidRDefault="00C23E57" w:rsidP="008F3DFB">
            <w:pPr>
              <w:pStyle w:val="Tabletext"/>
              <w:keepNext/>
              <w:keepLines/>
              <w:jc w:val="right"/>
              <w:rPr>
                <w:sz w:val="14"/>
                <w:szCs w:val="14"/>
              </w:rPr>
            </w:pPr>
          </w:p>
        </w:tc>
      </w:tr>
      <w:tr w:rsidR="00C23E57" w:rsidRPr="00B91EE1" w14:paraId="26910988" w14:textId="77777777" w:rsidTr="00C23E57">
        <w:trPr>
          <w:trHeight w:val="170"/>
        </w:trPr>
        <w:tc>
          <w:tcPr>
            <w:tcW w:w="3969" w:type="dxa"/>
            <w:tcBorders>
              <w:right w:val="single" w:sz="12" w:space="0" w:color="00B0F0"/>
            </w:tcBorders>
          </w:tcPr>
          <w:p w14:paraId="7FBB6606" w14:textId="3FEC3F16" w:rsidR="00C23E57" w:rsidRPr="00B91EE1" w:rsidRDefault="00C23E57" w:rsidP="008F3DFB">
            <w:pPr>
              <w:pStyle w:val="Tabletext"/>
              <w:keepNext/>
              <w:keepLines/>
              <w:spacing w:before="20" w:after="20"/>
              <w:rPr>
                <w:i/>
                <w:iCs/>
                <w:sz w:val="14"/>
                <w:szCs w:val="14"/>
              </w:rPr>
            </w:pPr>
            <w:r w:rsidRPr="00B91EE1">
              <w:rPr>
                <w:sz w:val="14"/>
                <w:szCs w:val="14"/>
              </w:rPr>
              <w:t>Chapitre 3.2</w:t>
            </w:r>
            <w:r w:rsidRPr="00B91EE1">
              <w:rPr>
                <w:sz w:val="14"/>
                <w:szCs w:val="14"/>
              </w:rPr>
              <w:tab/>
              <w:t>Assemblées des radiocommunications</w:t>
            </w:r>
          </w:p>
        </w:tc>
        <w:tc>
          <w:tcPr>
            <w:tcW w:w="1077" w:type="dxa"/>
            <w:tcBorders>
              <w:left w:val="single" w:sz="12" w:space="0" w:color="00B0F0"/>
            </w:tcBorders>
          </w:tcPr>
          <w:p w14:paraId="5345DEE0" w14:textId="2B78BBC9" w:rsidR="00C23E57" w:rsidRPr="00B91EE1" w:rsidRDefault="00E1047B" w:rsidP="008F3DFB">
            <w:pPr>
              <w:pStyle w:val="Tabletext"/>
              <w:keepNext/>
              <w:keepLines/>
              <w:spacing w:before="20" w:after="20"/>
              <w:jc w:val="right"/>
              <w:rPr>
                <w:sz w:val="14"/>
                <w:szCs w:val="14"/>
              </w:rPr>
            </w:pPr>
            <w:r w:rsidRPr="00B91EE1">
              <w:rPr>
                <w:sz w:val="14"/>
                <w:szCs w:val="14"/>
              </w:rPr>
              <w:t>342</w:t>
            </w:r>
          </w:p>
        </w:tc>
        <w:tc>
          <w:tcPr>
            <w:tcW w:w="1077" w:type="dxa"/>
          </w:tcPr>
          <w:p w14:paraId="3A842A64" w14:textId="6798C8C5" w:rsidR="00C23E57" w:rsidRPr="00B91EE1" w:rsidRDefault="00C23E57" w:rsidP="008F3DFB">
            <w:pPr>
              <w:pStyle w:val="Tabletext"/>
              <w:keepNext/>
              <w:keepLines/>
              <w:spacing w:before="20" w:after="20"/>
              <w:jc w:val="right"/>
              <w:rPr>
                <w:sz w:val="14"/>
                <w:szCs w:val="14"/>
              </w:rPr>
            </w:pPr>
          </w:p>
        </w:tc>
        <w:tc>
          <w:tcPr>
            <w:tcW w:w="1078" w:type="dxa"/>
          </w:tcPr>
          <w:p w14:paraId="7B5B1132" w14:textId="21BE8BB7" w:rsidR="00C23E57" w:rsidRPr="00B91EE1" w:rsidRDefault="00C23E57" w:rsidP="008F3DFB">
            <w:pPr>
              <w:pStyle w:val="Tabletext"/>
              <w:keepNext/>
              <w:keepLines/>
              <w:spacing w:before="20" w:after="20"/>
              <w:jc w:val="right"/>
              <w:rPr>
                <w:sz w:val="14"/>
                <w:szCs w:val="14"/>
              </w:rPr>
            </w:pPr>
          </w:p>
        </w:tc>
        <w:tc>
          <w:tcPr>
            <w:tcW w:w="1077" w:type="dxa"/>
          </w:tcPr>
          <w:p w14:paraId="6FAFA751" w14:textId="4555344F" w:rsidR="00C23E57" w:rsidRPr="00B91EE1" w:rsidRDefault="00E1047B" w:rsidP="008F3DFB">
            <w:pPr>
              <w:pStyle w:val="Tabletext"/>
              <w:keepNext/>
              <w:keepLines/>
              <w:spacing w:before="20" w:after="20"/>
              <w:jc w:val="right"/>
              <w:rPr>
                <w:sz w:val="14"/>
                <w:szCs w:val="14"/>
              </w:rPr>
            </w:pPr>
            <w:r w:rsidRPr="00B91EE1">
              <w:rPr>
                <w:sz w:val="14"/>
                <w:szCs w:val="14"/>
              </w:rPr>
              <w:t>402</w:t>
            </w:r>
          </w:p>
        </w:tc>
        <w:tc>
          <w:tcPr>
            <w:tcW w:w="1078" w:type="dxa"/>
          </w:tcPr>
          <w:p w14:paraId="40B2CDE1" w14:textId="2E501D17" w:rsidR="00C23E57" w:rsidRPr="00B91EE1" w:rsidRDefault="00E1047B" w:rsidP="008F3DFB">
            <w:pPr>
              <w:pStyle w:val="Tabletext"/>
              <w:keepNext/>
              <w:keepLines/>
              <w:jc w:val="right"/>
              <w:rPr>
                <w:sz w:val="14"/>
                <w:szCs w:val="14"/>
              </w:rPr>
            </w:pPr>
            <w:r w:rsidRPr="00B91EE1">
              <w:rPr>
                <w:sz w:val="14"/>
                <w:szCs w:val="14"/>
              </w:rPr>
              <w:t>402</w:t>
            </w:r>
          </w:p>
        </w:tc>
      </w:tr>
      <w:tr w:rsidR="00C23E57" w:rsidRPr="00B91EE1" w14:paraId="2FD6E308" w14:textId="77777777" w:rsidTr="00C23E57">
        <w:trPr>
          <w:trHeight w:val="170"/>
        </w:trPr>
        <w:tc>
          <w:tcPr>
            <w:tcW w:w="3969" w:type="dxa"/>
            <w:tcBorders>
              <w:right w:val="single" w:sz="12" w:space="0" w:color="00B0F0"/>
            </w:tcBorders>
          </w:tcPr>
          <w:p w14:paraId="25276340" w14:textId="14294391" w:rsidR="00C23E57" w:rsidRPr="00B91EE1" w:rsidRDefault="00C23E57" w:rsidP="008F3DFB">
            <w:pPr>
              <w:pStyle w:val="Tabletext"/>
              <w:keepNext/>
              <w:keepLines/>
              <w:spacing w:before="20" w:after="20"/>
              <w:rPr>
                <w:i/>
                <w:iCs/>
                <w:sz w:val="14"/>
                <w:szCs w:val="14"/>
              </w:rPr>
            </w:pPr>
          </w:p>
        </w:tc>
        <w:tc>
          <w:tcPr>
            <w:tcW w:w="1077" w:type="dxa"/>
            <w:tcBorders>
              <w:left w:val="single" w:sz="12" w:space="0" w:color="00B0F0"/>
            </w:tcBorders>
          </w:tcPr>
          <w:p w14:paraId="7317549B" w14:textId="77777777" w:rsidR="00C23E57" w:rsidRPr="00B91EE1" w:rsidRDefault="00C23E57" w:rsidP="008F3DFB">
            <w:pPr>
              <w:pStyle w:val="Tabletext"/>
              <w:keepNext/>
              <w:keepLines/>
              <w:spacing w:before="20" w:after="20"/>
              <w:jc w:val="right"/>
              <w:rPr>
                <w:sz w:val="14"/>
                <w:szCs w:val="14"/>
              </w:rPr>
            </w:pPr>
          </w:p>
        </w:tc>
        <w:tc>
          <w:tcPr>
            <w:tcW w:w="1077" w:type="dxa"/>
          </w:tcPr>
          <w:p w14:paraId="6115ADA6" w14:textId="77777777" w:rsidR="00C23E57" w:rsidRPr="00B91EE1" w:rsidRDefault="00C23E57" w:rsidP="008F3DFB">
            <w:pPr>
              <w:pStyle w:val="Tabletext"/>
              <w:keepNext/>
              <w:keepLines/>
              <w:spacing w:before="20" w:after="20"/>
              <w:jc w:val="right"/>
              <w:rPr>
                <w:sz w:val="14"/>
                <w:szCs w:val="14"/>
              </w:rPr>
            </w:pPr>
          </w:p>
        </w:tc>
        <w:tc>
          <w:tcPr>
            <w:tcW w:w="1078" w:type="dxa"/>
          </w:tcPr>
          <w:p w14:paraId="17B3B683" w14:textId="03524891" w:rsidR="00C23E57" w:rsidRPr="00B91EE1" w:rsidRDefault="00C23E57" w:rsidP="008F3DFB">
            <w:pPr>
              <w:pStyle w:val="Tabletext"/>
              <w:keepNext/>
              <w:keepLines/>
              <w:spacing w:before="20" w:after="20"/>
              <w:jc w:val="right"/>
              <w:rPr>
                <w:sz w:val="14"/>
                <w:szCs w:val="14"/>
              </w:rPr>
            </w:pPr>
          </w:p>
        </w:tc>
        <w:tc>
          <w:tcPr>
            <w:tcW w:w="1077" w:type="dxa"/>
          </w:tcPr>
          <w:p w14:paraId="646D8712" w14:textId="77777777" w:rsidR="00C23E57" w:rsidRPr="00B91EE1" w:rsidRDefault="00C23E57" w:rsidP="008F3DFB">
            <w:pPr>
              <w:pStyle w:val="Tabletext"/>
              <w:keepNext/>
              <w:keepLines/>
              <w:spacing w:before="20" w:after="20"/>
              <w:jc w:val="right"/>
              <w:rPr>
                <w:sz w:val="14"/>
                <w:szCs w:val="14"/>
              </w:rPr>
            </w:pPr>
          </w:p>
        </w:tc>
        <w:tc>
          <w:tcPr>
            <w:tcW w:w="1078" w:type="dxa"/>
          </w:tcPr>
          <w:p w14:paraId="58E3A251" w14:textId="43A3E1B0" w:rsidR="00C23E57" w:rsidRPr="00B91EE1" w:rsidRDefault="00C23E57" w:rsidP="008F3DFB">
            <w:pPr>
              <w:pStyle w:val="Tabletext"/>
              <w:keepNext/>
              <w:keepLines/>
              <w:jc w:val="right"/>
              <w:rPr>
                <w:sz w:val="14"/>
                <w:szCs w:val="14"/>
              </w:rPr>
            </w:pPr>
            <w:r w:rsidRPr="00B91EE1">
              <w:rPr>
                <w:noProof/>
                <w:sz w:val="14"/>
                <w:szCs w:val="14"/>
                <w:lang w:eastAsia="en-GB"/>
              </w:rPr>
              <mc:AlternateContent>
                <mc:Choice Requires="wps">
                  <w:drawing>
                    <wp:anchor distT="0" distB="0" distL="114300" distR="114300" simplePos="0" relativeHeight="251703296" behindDoc="0" locked="0" layoutInCell="1" allowOverlap="1" wp14:anchorId="0115FEA6" wp14:editId="43D6D463">
                      <wp:simplePos x="0" y="0"/>
                      <wp:positionH relativeFrom="margin">
                        <wp:posOffset>3175</wp:posOffset>
                      </wp:positionH>
                      <wp:positionV relativeFrom="paragraph">
                        <wp:posOffset>1905</wp:posOffset>
                      </wp:positionV>
                      <wp:extent cx="4375150" cy="614045"/>
                      <wp:effectExtent l="0" t="5398" r="20003" b="20002"/>
                      <wp:wrapNone/>
                      <wp:docPr id="44" name="Flowchart: Terminator 44"/>
                      <wp:cNvGraphicFramePr/>
                      <a:graphic xmlns:a="http://schemas.openxmlformats.org/drawingml/2006/main">
                        <a:graphicData uri="http://schemas.microsoft.com/office/word/2010/wordprocessingShape">
                          <wps:wsp>
                            <wps:cNvSpPr/>
                            <wps:spPr>
                              <a:xfrm rot="16200000">
                                <a:off x="0" y="0"/>
                                <a:ext cx="4375150" cy="614045"/>
                              </a:xfrm>
                              <a:prstGeom prst="flowChartTermina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9BE87" id="Flowchart: Terminator 44" o:spid="_x0000_s1026" type="#_x0000_t116" style="position:absolute;margin-left:.25pt;margin-top:.15pt;width:344.5pt;height:48.35pt;rotation:-90;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" filled="f" strokecolor="black [3213]" strokeweight="1pt">
                      <w10:wrap anchorx="margin"/>
                    </v:shape>
                  </w:pict>
                </mc:Fallback>
              </mc:AlternateContent>
            </w:r>
          </w:p>
        </w:tc>
      </w:tr>
      <w:tr w:rsidR="00C23E57" w:rsidRPr="00B91EE1" w14:paraId="219ADEEA" w14:textId="77777777" w:rsidTr="00C23E57">
        <w:trPr>
          <w:trHeight w:val="170"/>
        </w:trPr>
        <w:tc>
          <w:tcPr>
            <w:tcW w:w="3969" w:type="dxa"/>
            <w:tcBorders>
              <w:right w:val="single" w:sz="12" w:space="0" w:color="00B0F0"/>
            </w:tcBorders>
          </w:tcPr>
          <w:p w14:paraId="61D06912" w14:textId="3E52FC96" w:rsidR="00C23E57" w:rsidRPr="00B91EE1" w:rsidRDefault="00C23E57" w:rsidP="008F3DFB">
            <w:pPr>
              <w:pStyle w:val="Tabletext"/>
              <w:keepNext/>
              <w:keepLines/>
              <w:spacing w:before="20" w:after="20"/>
              <w:rPr>
                <w:i/>
                <w:iCs/>
                <w:sz w:val="14"/>
                <w:szCs w:val="14"/>
              </w:rPr>
            </w:pPr>
            <w:r w:rsidRPr="00B91EE1">
              <w:rPr>
                <w:sz w:val="14"/>
                <w:szCs w:val="14"/>
              </w:rPr>
              <w:t>Chapitre 4.1</w:t>
            </w:r>
            <w:r w:rsidRPr="00B91EE1">
              <w:rPr>
                <w:sz w:val="14"/>
                <w:szCs w:val="14"/>
              </w:rPr>
              <w:tab/>
            </w:r>
            <w:r w:rsidRPr="00B91EE1">
              <w:rPr>
                <w:rFonts w:cs="Segoe UI"/>
                <w:sz w:val="14"/>
                <w:szCs w:val="14"/>
              </w:rPr>
              <w:t>Conférences régionales des radiocommunications</w:t>
            </w:r>
          </w:p>
        </w:tc>
        <w:tc>
          <w:tcPr>
            <w:tcW w:w="1077" w:type="dxa"/>
            <w:tcBorders>
              <w:left w:val="single" w:sz="12" w:space="0" w:color="00B0F0"/>
            </w:tcBorders>
          </w:tcPr>
          <w:p w14:paraId="135BB61A" w14:textId="77777777" w:rsidR="00C23E57" w:rsidRPr="00B91EE1" w:rsidRDefault="00C23E57" w:rsidP="008F3DFB">
            <w:pPr>
              <w:pStyle w:val="Tabletext"/>
              <w:keepNext/>
              <w:keepLines/>
              <w:spacing w:before="20" w:after="20"/>
              <w:jc w:val="right"/>
              <w:rPr>
                <w:sz w:val="14"/>
                <w:szCs w:val="14"/>
              </w:rPr>
            </w:pPr>
          </w:p>
        </w:tc>
        <w:tc>
          <w:tcPr>
            <w:tcW w:w="1077" w:type="dxa"/>
          </w:tcPr>
          <w:p w14:paraId="4065BFC3" w14:textId="77777777" w:rsidR="00C23E57" w:rsidRPr="00B91EE1" w:rsidRDefault="00C23E57" w:rsidP="008F3DFB">
            <w:pPr>
              <w:pStyle w:val="Tabletext"/>
              <w:keepNext/>
              <w:keepLines/>
              <w:spacing w:before="20" w:after="20"/>
              <w:jc w:val="right"/>
              <w:rPr>
                <w:sz w:val="14"/>
                <w:szCs w:val="14"/>
              </w:rPr>
            </w:pPr>
          </w:p>
        </w:tc>
        <w:tc>
          <w:tcPr>
            <w:tcW w:w="1078" w:type="dxa"/>
          </w:tcPr>
          <w:p w14:paraId="1A7A7E26" w14:textId="2E413B8F" w:rsidR="00C23E57" w:rsidRPr="00B91EE1" w:rsidRDefault="00C23E57" w:rsidP="008F3DFB">
            <w:pPr>
              <w:pStyle w:val="Tabletext"/>
              <w:keepNext/>
              <w:keepLines/>
              <w:spacing w:before="20" w:after="20"/>
              <w:jc w:val="right"/>
              <w:rPr>
                <w:sz w:val="14"/>
                <w:szCs w:val="14"/>
              </w:rPr>
            </w:pPr>
          </w:p>
        </w:tc>
        <w:tc>
          <w:tcPr>
            <w:tcW w:w="1077" w:type="dxa"/>
          </w:tcPr>
          <w:p w14:paraId="68463744" w14:textId="77777777" w:rsidR="00C23E57" w:rsidRPr="00B91EE1" w:rsidRDefault="00C23E57" w:rsidP="008F3DFB">
            <w:pPr>
              <w:pStyle w:val="Tabletext"/>
              <w:keepNext/>
              <w:keepLines/>
              <w:spacing w:before="20" w:after="20"/>
              <w:jc w:val="right"/>
              <w:rPr>
                <w:sz w:val="14"/>
                <w:szCs w:val="14"/>
              </w:rPr>
            </w:pPr>
          </w:p>
        </w:tc>
        <w:tc>
          <w:tcPr>
            <w:tcW w:w="1078" w:type="dxa"/>
          </w:tcPr>
          <w:p w14:paraId="68C32622" w14:textId="77777777" w:rsidR="00C23E57" w:rsidRPr="00B91EE1" w:rsidRDefault="00C23E57" w:rsidP="008F3DFB">
            <w:pPr>
              <w:pStyle w:val="Tabletext"/>
              <w:keepNext/>
              <w:keepLines/>
              <w:jc w:val="right"/>
              <w:rPr>
                <w:sz w:val="14"/>
                <w:szCs w:val="14"/>
              </w:rPr>
            </w:pPr>
          </w:p>
        </w:tc>
      </w:tr>
      <w:tr w:rsidR="00C23E57" w:rsidRPr="00B91EE1" w14:paraId="0C24A34F" w14:textId="77777777" w:rsidTr="00C23E57">
        <w:trPr>
          <w:trHeight w:val="170"/>
        </w:trPr>
        <w:tc>
          <w:tcPr>
            <w:tcW w:w="3969" w:type="dxa"/>
            <w:tcBorders>
              <w:right w:val="single" w:sz="12" w:space="0" w:color="00B0F0"/>
            </w:tcBorders>
          </w:tcPr>
          <w:p w14:paraId="4D667473" w14:textId="190936BD" w:rsidR="00C23E57" w:rsidRPr="00B91EE1" w:rsidRDefault="00C23E57" w:rsidP="008F3DFB">
            <w:pPr>
              <w:pStyle w:val="Tabletext"/>
              <w:keepNext/>
              <w:keepLines/>
              <w:spacing w:before="20" w:after="20"/>
              <w:rPr>
                <w:sz w:val="14"/>
                <w:szCs w:val="14"/>
              </w:rPr>
            </w:pPr>
          </w:p>
        </w:tc>
        <w:tc>
          <w:tcPr>
            <w:tcW w:w="1077" w:type="dxa"/>
            <w:tcBorders>
              <w:left w:val="single" w:sz="12" w:space="0" w:color="00B0F0"/>
            </w:tcBorders>
            <w:vAlign w:val="center"/>
          </w:tcPr>
          <w:p w14:paraId="6E8E3784" w14:textId="77777777" w:rsidR="00C23E57" w:rsidRPr="00B91EE1" w:rsidRDefault="00C23E57" w:rsidP="008F3DFB">
            <w:pPr>
              <w:pStyle w:val="Tabletext"/>
              <w:keepNext/>
              <w:keepLines/>
              <w:spacing w:before="20" w:after="20"/>
              <w:jc w:val="right"/>
              <w:rPr>
                <w:rFonts w:cs="Calibri"/>
                <w:sz w:val="14"/>
                <w:szCs w:val="14"/>
                <w:lang w:eastAsia="zh-CN"/>
              </w:rPr>
            </w:pPr>
          </w:p>
        </w:tc>
        <w:tc>
          <w:tcPr>
            <w:tcW w:w="1077" w:type="dxa"/>
            <w:vAlign w:val="center"/>
          </w:tcPr>
          <w:p w14:paraId="60F4B7B1" w14:textId="77777777" w:rsidR="00C23E57" w:rsidRPr="00B91EE1" w:rsidRDefault="00C23E57" w:rsidP="008F3DFB">
            <w:pPr>
              <w:pStyle w:val="Tabletext"/>
              <w:keepNext/>
              <w:keepLines/>
              <w:spacing w:before="20" w:after="20"/>
              <w:jc w:val="right"/>
              <w:rPr>
                <w:rFonts w:cs="Calibri"/>
                <w:sz w:val="14"/>
                <w:szCs w:val="14"/>
              </w:rPr>
            </w:pPr>
          </w:p>
        </w:tc>
        <w:tc>
          <w:tcPr>
            <w:tcW w:w="1078" w:type="dxa"/>
            <w:vAlign w:val="center"/>
          </w:tcPr>
          <w:p w14:paraId="2737DB24" w14:textId="25333E41" w:rsidR="00C23E57" w:rsidRPr="00B91EE1" w:rsidRDefault="00C23E57" w:rsidP="008F3DFB">
            <w:pPr>
              <w:pStyle w:val="Tabletext"/>
              <w:keepNext/>
              <w:keepLines/>
              <w:spacing w:before="20" w:after="20"/>
              <w:jc w:val="right"/>
              <w:rPr>
                <w:rFonts w:cs="Calibri"/>
                <w:sz w:val="14"/>
                <w:szCs w:val="14"/>
              </w:rPr>
            </w:pPr>
          </w:p>
        </w:tc>
        <w:tc>
          <w:tcPr>
            <w:tcW w:w="1077" w:type="dxa"/>
            <w:vAlign w:val="center"/>
          </w:tcPr>
          <w:p w14:paraId="24DEC5C0" w14:textId="77777777" w:rsidR="00C23E57" w:rsidRPr="00B91EE1" w:rsidRDefault="00C23E57" w:rsidP="008F3DFB">
            <w:pPr>
              <w:pStyle w:val="Tabletext"/>
              <w:keepNext/>
              <w:keepLines/>
              <w:spacing w:before="20" w:after="20"/>
              <w:jc w:val="right"/>
              <w:rPr>
                <w:rFonts w:cs="Calibri"/>
                <w:sz w:val="14"/>
                <w:szCs w:val="14"/>
              </w:rPr>
            </w:pPr>
          </w:p>
        </w:tc>
        <w:tc>
          <w:tcPr>
            <w:tcW w:w="1078" w:type="dxa"/>
            <w:vAlign w:val="center"/>
          </w:tcPr>
          <w:p w14:paraId="11553025" w14:textId="77777777" w:rsidR="00C23E57" w:rsidRPr="00B91EE1" w:rsidRDefault="00C23E57" w:rsidP="008F3DFB">
            <w:pPr>
              <w:pStyle w:val="Tabletext"/>
              <w:keepNext/>
              <w:keepLines/>
              <w:jc w:val="right"/>
              <w:rPr>
                <w:rFonts w:cs="Calibri"/>
                <w:sz w:val="14"/>
                <w:szCs w:val="14"/>
              </w:rPr>
            </w:pPr>
          </w:p>
        </w:tc>
      </w:tr>
      <w:tr w:rsidR="00C23E57" w:rsidRPr="00B91EE1" w14:paraId="3ABDDB1F" w14:textId="77777777" w:rsidTr="00C23E57">
        <w:trPr>
          <w:trHeight w:val="170"/>
        </w:trPr>
        <w:tc>
          <w:tcPr>
            <w:tcW w:w="3969" w:type="dxa"/>
            <w:tcBorders>
              <w:right w:val="single" w:sz="12" w:space="0" w:color="00B0F0"/>
            </w:tcBorders>
          </w:tcPr>
          <w:p w14:paraId="7499B316" w14:textId="6DAC3FD8" w:rsidR="00C23E57" w:rsidRPr="00B91EE1" w:rsidRDefault="008645FE" w:rsidP="008F3DFB">
            <w:pPr>
              <w:pStyle w:val="Tabletext"/>
              <w:keepNext/>
              <w:keepLines/>
              <w:spacing w:before="20" w:after="20"/>
              <w:rPr>
                <w:sz w:val="14"/>
                <w:szCs w:val="14"/>
              </w:rPr>
            </w:pPr>
            <w:r w:rsidRPr="00B91EE1">
              <w:rPr>
                <w:noProof/>
                <w:sz w:val="16"/>
                <w:szCs w:val="16"/>
                <w:lang w:eastAsia="en-GB"/>
              </w:rPr>
              <mc:AlternateContent>
                <mc:Choice Requires="wps">
                  <w:drawing>
                    <wp:anchor distT="0" distB="0" distL="114300" distR="114300" simplePos="0" relativeHeight="251700224" behindDoc="0" locked="0" layoutInCell="1" allowOverlap="1" wp14:anchorId="775FF716" wp14:editId="572142C3">
                      <wp:simplePos x="0" y="0"/>
                      <wp:positionH relativeFrom="margin">
                        <wp:posOffset>1565411</wp:posOffset>
                      </wp:positionH>
                      <wp:positionV relativeFrom="paragraph">
                        <wp:posOffset>80070</wp:posOffset>
                      </wp:positionV>
                      <wp:extent cx="3889243" cy="767715"/>
                      <wp:effectExtent l="0" t="20638" r="14923" b="14922"/>
                      <wp:wrapNone/>
                      <wp:docPr id="43" name="Flowchart: Terminator 43"/>
                      <wp:cNvGraphicFramePr/>
                      <a:graphic xmlns:a="http://schemas.openxmlformats.org/drawingml/2006/main">
                        <a:graphicData uri="http://schemas.microsoft.com/office/word/2010/wordprocessingShape">
                          <wps:wsp>
                            <wps:cNvSpPr/>
                            <wps:spPr>
                              <a:xfrm rot="16200000">
                                <a:off x="0" y="0"/>
                                <a:ext cx="3889243" cy="767715"/>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637"/>
                                  <a:gd name="connsiteY0" fmla="*/ 0 h 21600"/>
                                  <a:gd name="connsiteX1" fmla="*/ 19312 w 21637"/>
                                  <a:gd name="connsiteY1" fmla="*/ 0 h 21600"/>
                                  <a:gd name="connsiteX2" fmla="*/ 21600 w 21637"/>
                                  <a:gd name="connsiteY2" fmla="*/ 10800 h 21600"/>
                                  <a:gd name="connsiteX3" fmla="*/ 18125 w 21637"/>
                                  <a:gd name="connsiteY3" fmla="*/ 21600 h 21600"/>
                                  <a:gd name="connsiteX4" fmla="*/ 3475 w 21637"/>
                                  <a:gd name="connsiteY4" fmla="*/ 21600 h 21600"/>
                                  <a:gd name="connsiteX5" fmla="*/ 0 w 21637"/>
                                  <a:gd name="connsiteY5" fmla="*/ 10800 h 21600"/>
                                  <a:gd name="connsiteX6" fmla="*/ 3475 w 21637"/>
                                  <a:gd name="connsiteY6" fmla="*/ 0 h 21600"/>
                                  <a:gd name="connsiteX0" fmla="*/ 3475 w 21600"/>
                                  <a:gd name="connsiteY0" fmla="*/ 0 h 21600"/>
                                  <a:gd name="connsiteX1" fmla="*/ 19312 w 21600"/>
                                  <a:gd name="connsiteY1" fmla="*/ 0 h 21600"/>
                                  <a:gd name="connsiteX2" fmla="*/ 21600 w 21600"/>
                                  <a:gd name="connsiteY2" fmla="*/ 10800 h 21600"/>
                                  <a:gd name="connsiteX3" fmla="*/ 19246 w 21600"/>
                                  <a:gd name="connsiteY3" fmla="*/ 21433 h 21600"/>
                                  <a:gd name="connsiteX4" fmla="*/ 3475 w 21600"/>
                                  <a:gd name="connsiteY4" fmla="*/ 21600 h 21600"/>
                                  <a:gd name="connsiteX5" fmla="*/ 0 w 21600"/>
                                  <a:gd name="connsiteY5" fmla="*/ 10800 h 21600"/>
                                  <a:gd name="connsiteX6" fmla="*/ 3475 w 21600"/>
                                  <a:gd name="connsiteY6" fmla="*/ 0 h 21600"/>
                                  <a:gd name="connsiteX0" fmla="*/ 2570 w 21618"/>
                                  <a:gd name="connsiteY0" fmla="*/ 167 h 21600"/>
                                  <a:gd name="connsiteX1" fmla="*/ 19330 w 21618"/>
                                  <a:gd name="connsiteY1" fmla="*/ 0 h 21600"/>
                                  <a:gd name="connsiteX2" fmla="*/ 21618 w 21618"/>
                                  <a:gd name="connsiteY2" fmla="*/ 10800 h 21600"/>
                                  <a:gd name="connsiteX3" fmla="*/ 19264 w 21618"/>
                                  <a:gd name="connsiteY3" fmla="*/ 21433 h 21600"/>
                                  <a:gd name="connsiteX4" fmla="*/ 3493 w 21618"/>
                                  <a:gd name="connsiteY4" fmla="*/ 21600 h 21600"/>
                                  <a:gd name="connsiteX5" fmla="*/ 18 w 21618"/>
                                  <a:gd name="connsiteY5" fmla="*/ 10800 h 21600"/>
                                  <a:gd name="connsiteX6" fmla="*/ 2570 w 21618"/>
                                  <a:gd name="connsiteY6" fmla="*/ 167 h 21600"/>
                                  <a:gd name="connsiteX0" fmla="*/ 2553 w 21601"/>
                                  <a:gd name="connsiteY0" fmla="*/ 167 h 21600"/>
                                  <a:gd name="connsiteX1" fmla="*/ 19313 w 21601"/>
                                  <a:gd name="connsiteY1" fmla="*/ 0 h 21600"/>
                                  <a:gd name="connsiteX2" fmla="*/ 21601 w 21601"/>
                                  <a:gd name="connsiteY2" fmla="*/ 10800 h 21600"/>
                                  <a:gd name="connsiteX3" fmla="*/ 19247 w 21601"/>
                                  <a:gd name="connsiteY3" fmla="*/ 21433 h 21600"/>
                                  <a:gd name="connsiteX4" fmla="*/ 2454 w 21601"/>
                                  <a:gd name="connsiteY4" fmla="*/ 21600 h 21600"/>
                                  <a:gd name="connsiteX5" fmla="*/ 1 w 21601"/>
                                  <a:gd name="connsiteY5" fmla="*/ 10800 h 21600"/>
                                  <a:gd name="connsiteX6" fmla="*/ 2553 w 21601"/>
                                  <a:gd name="connsiteY6" fmla="*/ 167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601" h="21600">
                                    <a:moveTo>
                                      <a:pt x="2553" y="167"/>
                                    </a:moveTo>
                                    <a:lnTo>
                                      <a:pt x="19313" y="0"/>
                                    </a:lnTo>
                                    <a:cubicBezTo>
                                      <a:pt x="21232" y="0"/>
                                      <a:pt x="21612" y="7228"/>
                                      <a:pt x="21601" y="10800"/>
                                    </a:cubicBezTo>
                                    <a:cubicBezTo>
                                      <a:pt x="21590" y="14372"/>
                                      <a:pt x="21166" y="21433"/>
                                      <a:pt x="19247" y="21433"/>
                                    </a:cubicBezTo>
                                    <a:lnTo>
                                      <a:pt x="2454" y="21600"/>
                                    </a:lnTo>
                                    <a:cubicBezTo>
                                      <a:pt x="535" y="21600"/>
                                      <a:pt x="-15" y="14372"/>
                                      <a:pt x="1" y="10800"/>
                                    </a:cubicBezTo>
                                    <a:cubicBezTo>
                                      <a:pt x="17" y="7228"/>
                                      <a:pt x="634" y="167"/>
                                      <a:pt x="2553" y="167"/>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44255" id="Flowchart: Terminator 43" o:spid="_x0000_s1026" style="position:absolute;margin-left:123.25pt;margin-top:6.3pt;width:306.25pt;height:60.45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0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" path="m2553,167l19313,v1919,,2299,7228,2288,10800c21590,14372,21166,21433,19247,21433l2454,21600c535,21600,-15,14372,1,10800,17,7228,634,167,2553,167xe" filled="f" strokecolor="black [3213]" strokeweight="1pt">
                      <v:path arrowok="t" o:connecttype="custom" o:connectlocs="459666,5936;3477290,0;3889243,383858;3465407,761779;441841,767715;180,383858;459666,5936" o:connectangles="0,0,0,0,0,0,0"/>
                      <w10:wrap anchorx="margin"/>
                    </v:shape>
                  </w:pict>
                </mc:Fallback>
              </mc:AlternateContent>
            </w:r>
            <w:r w:rsidR="00C23E57" w:rsidRPr="00B91EE1">
              <w:rPr>
                <w:sz w:val="14"/>
                <w:szCs w:val="14"/>
              </w:rPr>
              <w:t>Chapitre 5.1</w:t>
            </w:r>
            <w:r w:rsidR="00C23E57" w:rsidRPr="00B91EE1">
              <w:rPr>
                <w:sz w:val="14"/>
                <w:szCs w:val="14"/>
              </w:rPr>
              <w:tab/>
              <w:t>Comité du Règlement des radiocommunications</w:t>
            </w:r>
          </w:p>
        </w:tc>
        <w:tc>
          <w:tcPr>
            <w:tcW w:w="1077" w:type="dxa"/>
            <w:tcBorders>
              <w:left w:val="single" w:sz="12" w:space="0" w:color="00B0F0"/>
            </w:tcBorders>
          </w:tcPr>
          <w:p w14:paraId="47784555" w14:textId="7F7DF1FB" w:rsidR="00C23E57" w:rsidRPr="00B91EE1" w:rsidRDefault="00E1047B" w:rsidP="008F3DFB">
            <w:pPr>
              <w:pStyle w:val="Tabletext"/>
              <w:keepNext/>
              <w:keepLines/>
              <w:spacing w:before="20" w:after="20"/>
              <w:jc w:val="right"/>
              <w:rPr>
                <w:sz w:val="14"/>
                <w:szCs w:val="14"/>
              </w:rPr>
            </w:pPr>
            <w:r w:rsidRPr="00B91EE1">
              <w:rPr>
                <w:sz w:val="14"/>
                <w:szCs w:val="14"/>
              </w:rPr>
              <w:t>720</w:t>
            </w:r>
          </w:p>
        </w:tc>
        <w:tc>
          <w:tcPr>
            <w:tcW w:w="1077" w:type="dxa"/>
          </w:tcPr>
          <w:p w14:paraId="6C08AEE9" w14:textId="5590573F" w:rsidR="00C23E57" w:rsidRPr="00B91EE1" w:rsidRDefault="008645FE" w:rsidP="008F3DFB">
            <w:pPr>
              <w:pStyle w:val="Tabletext"/>
              <w:keepNext/>
              <w:keepLines/>
              <w:spacing w:before="20" w:after="20"/>
              <w:jc w:val="right"/>
              <w:rPr>
                <w:sz w:val="14"/>
                <w:szCs w:val="14"/>
              </w:rPr>
            </w:pPr>
            <w:r w:rsidRPr="00B91EE1">
              <w:rPr>
                <w:noProof/>
                <w:sz w:val="16"/>
                <w:szCs w:val="16"/>
                <w:lang w:eastAsia="en-GB"/>
              </w:rPr>
              <mc:AlternateContent>
                <mc:Choice Requires="wps">
                  <w:drawing>
                    <wp:anchor distT="0" distB="0" distL="114300" distR="114300" simplePos="0" relativeHeight="251707392" behindDoc="0" locked="0" layoutInCell="1" allowOverlap="1" wp14:anchorId="616D9BE3" wp14:editId="54CCB58A">
                      <wp:simplePos x="0" y="0"/>
                      <wp:positionH relativeFrom="margin">
                        <wp:posOffset>413707</wp:posOffset>
                      </wp:positionH>
                      <wp:positionV relativeFrom="paragraph">
                        <wp:posOffset>106193</wp:posOffset>
                      </wp:positionV>
                      <wp:extent cx="3889338" cy="756032"/>
                      <wp:effectExtent l="4445" t="0" r="20955" b="20955"/>
                      <wp:wrapNone/>
                      <wp:docPr id="46" name="Flowchart: Terminator 46"/>
                      <wp:cNvGraphicFramePr/>
                      <a:graphic xmlns:a="http://schemas.openxmlformats.org/drawingml/2006/main">
                        <a:graphicData uri="http://schemas.microsoft.com/office/word/2010/wordprocessingShape">
                          <wps:wsp>
                            <wps:cNvSpPr/>
                            <wps:spPr>
                              <a:xfrm rot="16200000">
                                <a:off x="0" y="0"/>
                                <a:ext cx="3889338" cy="756032"/>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640"/>
                                  <a:gd name="connsiteY0" fmla="*/ 334 h 21934"/>
                                  <a:gd name="connsiteX1" fmla="*/ 19345 w 21640"/>
                                  <a:gd name="connsiteY1" fmla="*/ 0 h 21934"/>
                                  <a:gd name="connsiteX2" fmla="*/ 21600 w 21640"/>
                                  <a:gd name="connsiteY2" fmla="*/ 11134 h 21934"/>
                                  <a:gd name="connsiteX3" fmla="*/ 18125 w 21640"/>
                                  <a:gd name="connsiteY3" fmla="*/ 21934 h 21934"/>
                                  <a:gd name="connsiteX4" fmla="*/ 3475 w 21640"/>
                                  <a:gd name="connsiteY4" fmla="*/ 21934 h 21934"/>
                                  <a:gd name="connsiteX5" fmla="*/ 0 w 21640"/>
                                  <a:gd name="connsiteY5" fmla="*/ 11134 h 21934"/>
                                  <a:gd name="connsiteX6" fmla="*/ 3475 w 21640"/>
                                  <a:gd name="connsiteY6" fmla="*/ 334 h 21934"/>
                                  <a:gd name="connsiteX0" fmla="*/ 3475 w 21600"/>
                                  <a:gd name="connsiteY0" fmla="*/ 334 h 21934"/>
                                  <a:gd name="connsiteX1" fmla="*/ 19345 w 21600"/>
                                  <a:gd name="connsiteY1" fmla="*/ 0 h 21934"/>
                                  <a:gd name="connsiteX2" fmla="*/ 21600 w 21600"/>
                                  <a:gd name="connsiteY2" fmla="*/ 11134 h 21934"/>
                                  <a:gd name="connsiteX3" fmla="*/ 19345 w 21600"/>
                                  <a:gd name="connsiteY3" fmla="*/ 21600 h 21934"/>
                                  <a:gd name="connsiteX4" fmla="*/ 3475 w 21600"/>
                                  <a:gd name="connsiteY4" fmla="*/ 21934 h 21934"/>
                                  <a:gd name="connsiteX5" fmla="*/ 0 w 21600"/>
                                  <a:gd name="connsiteY5" fmla="*/ 11134 h 21934"/>
                                  <a:gd name="connsiteX6" fmla="*/ 3475 w 21600"/>
                                  <a:gd name="connsiteY6" fmla="*/ 334 h 21934"/>
                                  <a:gd name="connsiteX0" fmla="*/ 3475 w 21600"/>
                                  <a:gd name="connsiteY0" fmla="*/ 334 h 21934"/>
                                  <a:gd name="connsiteX1" fmla="*/ 19345 w 21600"/>
                                  <a:gd name="connsiteY1" fmla="*/ 0 h 21934"/>
                                  <a:gd name="connsiteX2" fmla="*/ 21600 w 21600"/>
                                  <a:gd name="connsiteY2" fmla="*/ 11134 h 21934"/>
                                  <a:gd name="connsiteX3" fmla="*/ 19345 w 21600"/>
                                  <a:gd name="connsiteY3" fmla="*/ 21266 h 21934"/>
                                  <a:gd name="connsiteX4" fmla="*/ 3475 w 21600"/>
                                  <a:gd name="connsiteY4" fmla="*/ 21934 h 21934"/>
                                  <a:gd name="connsiteX5" fmla="*/ 0 w 21600"/>
                                  <a:gd name="connsiteY5" fmla="*/ 11134 h 21934"/>
                                  <a:gd name="connsiteX6" fmla="*/ 3475 w 21600"/>
                                  <a:gd name="connsiteY6" fmla="*/ 334 h 21934"/>
                                  <a:gd name="connsiteX0" fmla="*/ 2727 w 21611"/>
                                  <a:gd name="connsiteY0" fmla="*/ 334 h 21934"/>
                                  <a:gd name="connsiteX1" fmla="*/ 19356 w 21611"/>
                                  <a:gd name="connsiteY1" fmla="*/ 0 h 21934"/>
                                  <a:gd name="connsiteX2" fmla="*/ 21611 w 21611"/>
                                  <a:gd name="connsiteY2" fmla="*/ 11134 h 21934"/>
                                  <a:gd name="connsiteX3" fmla="*/ 19356 w 21611"/>
                                  <a:gd name="connsiteY3" fmla="*/ 21266 h 21934"/>
                                  <a:gd name="connsiteX4" fmla="*/ 3486 w 21611"/>
                                  <a:gd name="connsiteY4" fmla="*/ 21934 h 21934"/>
                                  <a:gd name="connsiteX5" fmla="*/ 11 w 21611"/>
                                  <a:gd name="connsiteY5" fmla="*/ 11134 h 21934"/>
                                  <a:gd name="connsiteX6" fmla="*/ 2727 w 21611"/>
                                  <a:gd name="connsiteY6" fmla="*/ 334 h 21934"/>
                                  <a:gd name="connsiteX0" fmla="*/ 2717 w 21601"/>
                                  <a:gd name="connsiteY0" fmla="*/ 334 h 21934"/>
                                  <a:gd name="connsiteX1" fmla="*/ 19346 w 21601"/>
                                  <a:gd name="connsiteY1" fmla="*/ 0 h 21934"/>
                                  <a:gd name="connsiteX2" fmla="*/ 21601 w 21601"/>
                                  <a:gd name="connsiteY2" fmla="*/ 11134 h 21934"/>
                                  <a:gd name="connsiteX3" fmla="*/ 19346 w 21601"/>
                                  <a:gd name="connsiteY3" fmla="*/ 21266 h 21934"/>
                                  <a:gd name="connsiteX4" fmla="*/ 2651 w 21601"/>
                                  <a:gd name="connsiteY4" fmla="*/ 21934 h 21934"/>
                                  <a:gd name="connsiteX5" fmla="*/ 1 w 21601"/>
                                  <a:gd name="connsiteY5" fmla="*/ 11134 h 21934"/>
                                  <a:gd name="connsiteX6" fmla="*/ 2717 w 21601"/>
                                  <a:gd name="connsiteY6" fmla="*/ 334 h 21934"/>
                                  <a:gd name="connsiteX0" fmla="*/ 2717 w 21601"/>
                                  <a:gd name="connsiteY0" fmla="*/ 334 h 21266"/>
                                  <a:gd name="connsiteX1" fmla="*/ 19346 w 21601"/>
                                  <a:gd name="connsiteY1" fmla="*/ 0 h 21266"/>
                                  <a:gd name="connsiteX2" fmla="*/ 21601 w 21601"/>
                                  <a:gd name="connsiteY2" fmla="*/ 11134 h 21266"/>
                                  <a:gd name="connsiteX3" fmla="*/ 19346 w 21601"/>
                                  <a:gd name="connsiteY3" fmla="*/ 21266 h 21266"/>
                                  <a:gd name="connsiteX4" fmla="*/ 2585 w 21601"/>
                                  <a:gd name="connsiteY4" fmla="*/ 21266 h 21266"/>
                                  <a:gd name="connsiteX5" fmla="*/ 1 w 21601"/>
                                  <a:gd name="connsiteY5" fmla="*/ 11134 h 21266"/>
                                  <a:gd name="connsiteX6" fmla="*/ 2717 w 21601"/>
                                  <a:gd name="connsiteY6" fmla="*/ 334 h 21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601" h="21266">
                                    <a:moveTo>
                                      <a:pt x="2717" y="334"/>
                                    </a:moveTo>
                                    <a:cubicBezTo>
                                      <a:pt x="7600" y="334"/>
                                      <a:pt x="14463" y="0"/>
                                      <a:pt x="19346" y="0"/>
                                    </a:cubicBezTo>
                                    <a:cubicBezTo>
                                      <a:pt x="21265" y="0"/>
                                      <a:pt x="21601" y="7590"/>
                                      <a:pt x="21601" y="11134"/>
                                    </a:cubicBezTo>
                                    <a:cubicBezTo>
                                      <a:pt x="21601" y="14678"/>
                                      <a:pt x="21265" y="21266"/>
                                      <a:pt x="19346" y="21266"/>
                                    </a:cubicBezTo>
                                    <a:lnTo>
                                      <a:pt x="2585" y="21266"/>
                                    </a:lnTo>
                                    <a:cubicBezTo>
                                      <a:pt x="666" y="21266"/>
                                      <a:pt x="-21" y="14623"/>
                                      <a:pt x="1" y="11134"/>
                                    </a:cubicBezTo>
                                    <a:cubicBezTo>
                                      <a:pt x="23" y="7645"/>
                                      <a:pt x="798" y="334"/>
                                      <a:pt x="2717" y="334"/>
                                    </a:cubicBezTo>
                                    <a:close/>
                                  </a:path>
                                </a:pathLst>
                              </a:custGeom>
                              <a:noFill/>
                              <a:ln w="127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F9998" id="Flowchart: Terminator 46" o:spid="_x0000_s1026" style="position:absolute;margin-left:32.6pt;margin-top:8.35pt;width:306.25pt;height:59.55pt;rotation:-90;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01,2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" path="m2717,334c7600,334,14463,,19346,v1919,,2255,7590,2255,11134c21601,14678,21265,21266,19346,21266r-16761,c666,21266,-21,14623,1,11134,23,7645,798,334,2717,334xe" filled="f" strokecolor="#00b0f0" strokeweight="1pt">
                      <v:path arrowok="t" o:connecttype="custom" o:connectlocs="489206,11874;3483317,0;3889338,395827;3483317,756032;465439,756032;180,395827;489206,11874" o:connectangles="0,0,0,0,0,0,0"/>
                      <w10:wrap anchorx="margin"/>
                    </v:shape>
                  </w:pict>
                </mc:Fallback>
              </mc:AlternateContent>
            </w:r>
            <w:r w:rsidR="00E1047B" w:rsidRPr="00B91EE1">
              <w:rPr>
                <w:sz w:val="14"/>
                <w:szCs w:val="14"/>
              </w:rPr>
              <w:t>962</w:t>
            </w:r>
          </w:p>
        </w:tc>
        <w:tc>
          <w:tcPr>
            <w:tcW w:w="1078" w:type="dxa"/>
          </w:tcPr>
          <w:p w14:paraId="242B031A" w14:textId="2D984526" w:rsidR="00C23E57" w:rsidRPr="00B91EE1" w:rsidRDefault="00E1047B" w:rsidP="008F3DFB">
            <w:pPr>
              <w:pStyle w:val="Tabletext"/>
              <w:keepNext/>
              <w:keepLines/>
              <w:spacing w:before="20" w:after="20"/>
              <w:jc w:val="right"/>
              <w:rPr>
                <w:sz w:val="14"/>
                <w:szCs w:val="14"/>
              </w:rPr>
            </w:pPr>
            <w:r w:rsidRPr="00B91EE1">
              <w:rPr>
                <w:sz w:val="14"/>
                <w:szCs w:val="14"/>
              </w:rPr>
              <w:t>452</w:t>
            </w:r>
          </w:p>
        </w:tc>
        <w:tc>
          <w:tcPr>
            <w:tcW w:w="1077" w:type="dxa"/>
          </w:tcPr>
          <w:p w14:paraId="2122CA00" w14:textId="0A6A23A9" w:rsidR="00C23E57" w:rsidRPr="00B91EE1" w:rsidRDefault="00E1047B" w:rsidP="008F3DFB">
            <w:pPr>
              <w:pStyle w:val="Tabletext"/>
              <w:keepNext/>
              <w:keepLines/>
              <w:spacing w:before="20" w:after="20"/>
              <w:jc w:val="right"/>
              <w:rPr>
                <w:sz w:val="14"/>
                <w:szCs w:val="14"/>
              </w:rPr>
            </w:pPr>
            <w:r w:rsidRPr="00B91EE1">
              <w:rPr>
                <w:sz w:val="14"/>
                <w:szCs w:val="14"/>
              </w:rPr>
              <w:t>452</w:t>
            </w:r>
          </w:p>
        </w:tc>
        <w:tc>
          <w:tcPr>
            <w:tcW w:w="1078" w:type="dxa"/>
          </w:tcPr>
          <w:p w14:paraId="4EAC1566" w14:textId="4AC04889" w:rsidR="00C23E57" w:rsidRPr="00B91EE1" w:rsidRDefault="00E1047B" w:rsidP="008F3DFB">
            <w:pPr>
              <w:pStyle w:val="Tabletext"/>
              <w:keepNext/>
              <w:keepLines/>
              <w:jc w:val="right"/>
              <w:rPr>
                <w:sz w:val="14"/>
                <w:szCs w:val="14"/>
              </w:rPr>
            </w:pPr>
            <w:r w:rsidRPr="00B91EE1">
              <w:rPr>
                <w:sz w:val="14"/>
                <w:szCs w:val="14"/>
              </w:rPr>
              <w:t>904</w:t>
            </w:r>
          </w:p>
        </w:tc>
      </w:tr>
      <w:tr w:rsidR="00C23E57" w:rsidRPr="00B91EE1" w14:paraId="2DB6BA3F" w14:textId="77777777" w:rsidTr="00C23E57">
        <w:trPr>
          <w:trHeight w:val="170"/>
        </w:trPr>
        <w:tc>
          <w:tcPr>
            <w:tcW w:w="3969" w:type="dxa"/>
            <w:tcBorders>
              <w:right w:val="single" w:sz="12" w:space="0" w:color="00B0F0"/>
            </w:tcBorders>
          </w:tcPr>
          <w:p w14:paraId="208C11C6" w14:textId="186934B0" w:rsidR="00C23E57" w:rsidRPr="00B91EE1" w:rsidRDefault="00C23E57" w:rsidP="008F3DFB">
            <w:pPr>
              <w:pStyle w:val="Tabletext"/>
              <w:keepNext/>
              <w:keepLines/>
              <w:spacing w:before="20" w:after="20"/>
              <w:rPr>
                <w:i/>
                <w:iCs/>
                <w:sz w:val="14"/>
                <w:szCs w:val="14"/>
              </w:rPr>
            </w:pPr>
          </w:p>
        </w:tc>
        <w:tc>
          <w:tcPr>
            <w:tcW w:w="1077" w:type="dxa"/>
            <w:tcBorders>
              <w:left w:val="single" w:sz="12" w:space="0" w:color="00B0F0"/>
            </w:tcBorders>
            <w:vAlign w:val="center"/>
          </w:tcPr>
          <w:p w14:paraId="3892A6C8" w14:textId="5E649C62" w:rsidR="00C23E57" w:rsidRPr="00B91EE1" w:rsidRDefault="00C23E57" w:rsidP="008F3DFB">
            <w:pPr>
              <w:pStyle w:val="Tabletext"/>
              <w:keepNext/>
              <w:keepLines/>
              <w:spacing w:before="20" w:after="20"/>
              <w:jc w:val="right"/>
              <w:rPr>
                <w:rFonts w:cs="Calibri"/>
                <w:sz w:val="14"/>
                <w:szCs w:val="14"/>
                <w:lang w:eastAsia="zh-CN"/>
              </w:rPr>
            </w:pPr>
          </w:p>
        </w:tc>
        <w:tc>
          <w:tcPr>
            <w:tcW w:w="1077" w:type="dxa"/>
            <w:vAlign w:val="center"/>
          </w:tcPr>
          <w:p w14:paraId="6D1515EE" w14:textId="77777777" w:rsidR="00C23E57" w:rsidRPr="00B91EE1" w:rsidRDefault="00C23E57" w:rsidP="008F3DFB">
            <w:pPr>
              <w:pStyle w:val="Tabletext"/>
              <w:keepNext/>
              <w:keepLines/>
              <w:spacing w:before="20" w:after="20"/>
              <w:jc w:val="right"/>
              <w:rPr>
                <w:rFonts w:cs="Calibri"/>
                <w:sz w:val="14"/>
                <w:szCs w:val="14"/>
              </w:rPr>
            </w:pPr>
          </w:p>
        </w:tc>
        <w:tc>
          <w:tcPr>
            <w:tcW w:w="1078" w:type="dxa"/>
            <w:vAlign w:val="center"/>
          </w:tcPr>
          <w:p w14:paraId="5CF72C0B" w14:textId="4B74C302" w:rsidR="00C23E57" w:rsidRPr="00B91EE1" w:rsidRDefault="00C23E57" w:rsidP="008F3DFB">
            <w:pPr>
              <w:pStyle w:val="Tabletext"/>
              <w:keepNext/>
              <w:keepLines/>
              <w:spacing w:before="20" w:after="20"/>
              <w:jc w:val="right"/>
              <w:rPr>
                <w:rFonts w:cs="Calibri"/>
                <w:sz w:val="14"/>
                <w:szCs w:val="14"/>
              </w:rPr>
            </w:pPr>
          </w:p>
        </w:tc>
        <w:tc>
          <w:tcPr>
            <w:tcW w:w="1077" w:type="dxa"/>
            <w:vAlign w:val="center"/>
          </w:tcPr>
          <w:p w14:paraId="11618115" w14:textId="77777777" w:rsidR="00C23E57" w:rsidRPr="00B91EE1" w:rsidRDefault="00C23E57" w:rsidP="008F3DFB">
            <w:pPr>
              <w:pStyle w:val="Tabletext"/>
              <w:keepNext/>
              <w:keepLines/>
              <w:spacing w:before="20" w:after="20"/>
              <w:jc w:val="right"/>
              <w:rPr>
                <w:rFonts w:cs="Calibri"/>
                <w:sz w:val="14"/>
                <w:szCs w:val="14"/>
              </w:rPr>
            </w:pPr>
          </w:p>
        </w:tc>
        <w:tc>
          <w:tcPr>
            <w:tcW w:w="1078" w:type="dxa"/>
            <w:vAlign w:val="center"/>
          </w:tcPr>
          <w:p w14:paraId="64A1C95C" w14:textId="77777777" w:rsidR="00C23E57" w:rsidRPr="00B91EE1" w:rsidRDefault="00C23E57" w:rsidP="008F3DFB">
            <w:pPr>
              <w:pStyle w:val="Tabletext"/>
              <w:keepNext/>
              <w:keepLines/>
              <w:jc w:val="right"/>
              <w:rPr>
                <w:rFonts w:cs="Calibri"/>
                <w:sz w:val="14"/>
                <w:szCs w:val="14"/>
              </w:rPr>
            </w:pPr>
          </w:p>
        </w:tc>
      </w:tr>
      <w:tr w:rsidR="00C23E57" w:rsidRPr="00B91EE1" w14:paraId="330AC573" w14:textId="77777777" w:rsidTr="00C23E57">
        <w:trPr>
          <w:trHeight w:val="170"/>
        </w:trPr>
        <w:tc>
          <w:tcPr>
            <w:tcW w:w="3969" w:type="dxa"/>
            <w:tcBorders>
              <w:right w:val="single" w:sz="12" w:space="0" w:color="00B0F0"/>
            </w:tcBorders>
          </w:tcPr>
          <w:p w14:paraId="5613C4F9" w14:textId="77777777" w:rsidR="00C23E57" w:rsidRPr="00B91EE1" w:rsidRDefault="00C23E57" w:rsidP="008F3DFB">
            <w:pPr>
              <w:pStyle w:val="Tabletext"/>
              <w:keepNext/>
              <w:keepLines/>
              <w:spacing w:before="20" w:after="20"/>
              <w:rPr>
                <w:i/>
                <w:iCs/>
                <w:sz w:val="14"/>
                <w:szCs w:val="14"/>
              </w:rPr>
            </w:pPr>
            <w:r w:rsidRPr="00B91EE1">
              <w:rPr>
                <w:sz w:val="14"/>
                <w:szCs w:val="14"/>
              </w:rPr>
              <w:t>Chapitre 5.2</w:t>
            </w:r>
            <w:r w:rsidRPr="00B91EE1">
              <w:rPr>
                <w:sz w:val="14"/>
                <w:szCs w:val="14"/>
              </w:rPr>
              <w:tab/>
              <w:t>Groupe consultatif des radiocommunications</w:t>
            </w:r>
          </w:p>
        </w:tc>
        <w:tc>
          <w:tcPr>
            <w:tcW w:w="1077" w:type="dxa"/>
            <w:tcBorders>
              <w:left w:val="single" w:sz="12" w:space="0" w:color="00B0F0"/>
            </w:tcBorders>
            <w:vAlign w:val="center"/>
          </w:tcPr>
          <w:p w14:paraId="4F78663D" w14:textId="63374E29" w:rsidR="00C23E57" w:rsidRPr="00B91EE1" w:rsidRDefault="00E1047B" w:rsidP="008F3DFB">
            <w:pPr>
              <w:pStyle w:val="Tabletext"/>
              <w:keepNext/>
              <w:keepLines/>
              <w:spacing w:before="20" w:after="20"/>
              <w:jc w:val="right"/>
              <w:rPr>
                <w:rFonts w:cs="Calibri"/>
                <w:sz w:val="14"/>
                <w:szCs w:val="14"/>
              </w:rPr>
            </w:pPr>
            <w:r w:rsidRPr="00B91EE1">
              <w:rPr>
                <w:rFonts w:cs="Calibri"/>
                <w:sz w:val="14"/>
                <w:szCs w:val="14"/>
              </w:rPr>
              <w:t>67</w:t>
            </w:r>
          </w:p>
        </w:tc>
        <w:tc>
          <w:tcPr>
            <w:tcW w:w="1077" w:type="dxa"/>
            <w:vAlign w:val="center"/>
          </w:tcPr>
          <w:p w14:paraId="58F70D92" w14:textId="56A32EDD" w:rsidR="00C23E57" w:rsidRPr="00B91EE1" w:rsidRDefault="00E1047B" w:rsidP="008F3DFB">
            <w:pPr>
              <w:pStyle w:val="Tabletext"/>
              <w:keepNext/>
              <w:keepLines/>
              <w:spacing w:before="20" w:after="20"/>
              <w:jc w:val="right"/>
              <w:rPr>
                <w:rFonts w:cs="Calibri"/>
                <w:sz w:val="14"/>
                <w:szCs w:val="14"/>
              </w:rPr>
            </w:pPr>
            <w:r w:rsidRPr="00B91EE1">
              <w:rPr>
                <w:rFonts w:cs="Calibri"/>
                <w:sz w:val="14"/>
                <w:szCs w:val="14"/>
              </w:rPr>
              <w:t>106</w:t>
            </w:r>
          </w:p>
        </w:tc>
        <w:tc>
          <w:tcPr>
            <w:tcW w:w="1078" w:type="dxa"/>
            <w:vAlign w:val="center"/>
          </w:tcPr>
          <w:p w14:paraId="18D08AF5" w14:textId="5100C30E" w:rsidR="00C23E57" w:rsidRPr="00B91EE1" w:rsidRDefault="00E1047B" w:rsidP="008F3DFB">
            <w:pPr>
              <w:pStyle w:val="Tabletext"/>
              <w:keepNext/>
              <w:keepLines/>
              <w:spacing w:before="20" w:after="20"/>
              <w:jc w:val="right"/>
              <w:rPr>
                <w:rFonts w:cs="Calibri"/>
                <w:sz w:val="14"/>
                <w:szCs w:val="14"/>
              </w:rPr>
            </w:pPr>
            <w:r w:rsidRPr="00B91EE1">
              <w:rPr>
                <w:rFonts w:cs="Calibri"/>
                <w:sz w:val="14"/>
                <w:szCs w:val="14"/>
              </w:rPr>
              <w:t>63</w:t>
            </w:r>
          </w:p>
        </w:tc>
        <w:tc>
          <w:tcPr>
            <w:tcW w:w="1077" w:type="dxa"/>
            <w:vAlign w:val="center"/>
          </w:tcPr>
          <w:p w14:paraId="136FA895" w14:textId="44A9F331" w:rsidR="00C23E57" w:rsidRPr="00B91EE1" w:rsidRDefault="00E1047B" w:rsidP="008F3DFB">
            <w:pPr>
              <w:pStyle w:val="Tabletext"/>
              <w:keepNext/>
              <w:keepLines/>
              <w:spacing w:before="20" w:after="20"/>
              <w:jc w:val="right"/>
              <w:rPr>
                <w:rFonts w:cs="Calibri"/>
                <w:sz w:val="14"/>
                <w:szCs w:val="14"/>
              </w:rPr>
            </w:pPr>
            <w:r w:rsidRPr="00B91EE1">
              <w:rPr>
                <w:rFonts w:cs="Calibri"/>
                <w:sz w:val="14"/>
                <w:szCs w:val="14"/>
              </w:rPr>
              <w:t>69</w:t>
            </w:r>
          </w:p>
        </w:tc>
        <w:tc>
          <w:tcPr>
            <w:tcW w:w="1078" w:type="dxa"/>
            <w:vAlign w:val="center"/>
          </w:tcPr>
          <w:p w14:paraId="3DA30BDC" w14:textId="29B1FC3B" w:rsidR="00C23E57" w:rsidRPr="00B91EE1" w:rsidRDefault="00E1047B" w:rsidP="008F3DFB">
            <w:pPr>
              <w:pStyle w:val="Tabletext"/>
              <w:keepNext/>
              <w:keepLines/>
              <w:jc w:val="right"/>
              <w:rPr>
                <w:rFonts w:cs="Calibri"/>
                <w:sz w:val="14"/>
                <w:szCs w:val="14"/>
              </w:rPr>
            </w:pPr>
            <w:r w:rsidRPr="00B91EE1">
              <w:rPr>
                <w:rFonts w:cs="Calibri"/>
                <w:sz w:val="14"/>
                <w:szCs w:val="14"/>
              </w:rPr>
              <w:t>132</w:t>
            </w:r>
          </w:p>
        </w:tc>
      </w:tr>
      <w:tr w:rsidR="00C23E57" w:rsidRPr="00B91EE1" w14:paraId="36835AE3" w14:textId="77777777" w:rsidTr="00C23E57">
        <w:trPr>
          <w:trHeight w:val="170"/>
        </w:trPr>
        <w:tc>
          <w:tcPr>
            <w:tcW w:w="3969" w:type="dxa"/>
            <w:tcBorders>
              <w:right w:val="single" w:sz="12" w:space="0" w:color="00B0F0"/>
            </w:tcBorders>
          </w:tcPr>
          <w:p w14:paraId="3F458E0A" w14:textId="77777777" w:rsidR="00C23E57" w:rsidRPr="00B91EE1" w:rsidRDefault="00C23E57" w:rsidP="008F3DFB">
            <w:pPr>
              <w:pStyle w:val="Tabletext"/>
              <w:keepNext/>
              <w:keepLines/>
              <w:spacing w:before="20" w:after="20"/>
              <w:rPr>
                <w:i/>
                <w:iCs/>
                <w:sz w:val="14"/>
                <w:szCs w:val="14"/>
              </w:rPr>
            </w:pPr>
          </w:p>
        </w:tc>
        <w:tc>
          <w:tcPr>
            <w:tcW w:w="1077" w:type="dxa"/>
            <w:tcBorders>
              <w:left w:val="single" w:sz="12" w:space="0" w:color="00B0F0"/>
            </w:tcBorders>
            <w:vAlign w:val="center"/>
          </w:tcPr>
          <w:p w14:paraId="6A66F77D" w14:textId="77777777" w:rsidR="00C23E57" w:rsidRPr="00B91EE1" w:rsidRDefault="00C23E57" w:rsidP="008F3DFB">
            <w:pPr>
              <w:pStyle w:val="Tabletext"/>
              <w:keepNext/>
              <w:keepLines/>
              <w:spacing w:before="20" w:after="20"/>
              <w:jc w:val="right"/>
              <w:rPr>
                <w:rFonts w:cs="Calibri"/>
                <w:sz w:val="14"/>
                <w:szCs w:val="14"/>
              </w:rPr>
            </w:pPr>
          </w:p>
        </w:tc>
        <w:tc>
          <w:tcPr>
            <w:tcW w:w="1077" w:type="dxa"/>
            <w:vAlign w:val="center"/>
          </w:tcPr>
          <w:p w14:paraId="0B3158CB" w14:textId="77777777" w:rsidR="00C23E57" w:rsidRPr="00B91EE1" w:rsidRDefault="00C23E57" w:rsidP="008F3DFB">
            <w:pPr>
              <w:pStyle w:val="Tabletext"/>
              <w:keepNext/>
              <w:keepLines/>
              <w:spacing w:before="20" w:after="20"/>
              <w:jc w:val="right"/>
              <w:rPr>
                <w:rFonts w:cs="Calibri"/>
                <w:sz w:val="14"/>
                <w:szCs w:val="14"/>
              </w:rPr>
            </w:pPr>
          </w:p>
        </w:tc>
        <w:tc>
          <w:tcPr>
            <w:tcW w:w="1078" w:type="dxa"/>
            <w:vAlign w:val="center"/>
          </w:tcPr>
          <w:p w14:paraId="7F282A2D" w14:textId="77777777" w:rsidR="00C23E57" w:rsidRPr="00B91EE1" w:rsidRDefault="00C23E57" w:rsidP="008F3DFB">
            <w:pPr>
              <w:pStyle w:val="Tabletext"/>
              <w:keepNext/>
              <w:keepLines/>
              <w:spacing w:before="20" w:after="20"/>
              <w:jc w:val="right"/>
              <w:rPr>
                <w:rFonts w:cs="Calibri"/>
                <w:sz w:val="14"/>
                <w:szCs w:val="14"/>
              </w:rPr>
            </w:pPr>
          </w:p>
        </w:tc>
        <w:tc>
          <w:tcPr>
            <w:tcW w:w="1077" w:type="dxa"/>
            <w:vAlign w:val="center"/>
          </w:tcPr>
          <w:p w14:paraId="42E6F6A9" w14:textId="77777777" w:rsidR="00C23E57" w:rsidRPr="00B91EE1" w:rsidRDefault="00C23E57" w:rsidP="008F3DFB">
            <w:pPr>
              <w:pStyle w:val="Tabletext"/>
              <w:keepNext/>
              <w:keepLines/>
              <w:spacing w:before="20" w:after="20"/>
              <w:jc w:val="right"/>
              <w:rPr>
                <w:rFonts w:cs="Calibri"/>
                <w:sz w:val="14"/>
                <w:szCs w:val="14"/>
              </w:rPr>
            </w:pPr>
          </w:p>
        </w:tc>
        <w:tc>
          <w:tcPr>
            <w:tcW w:w="1078" w:type="dxa"/>
            <w:vAlign w:val="center"/>
          </w:tcPr>
          <w:p w14:paraId="3191840B" w14:textId="77777777" w:rsidR="00C23E57" w:rsidRPr="00B91EE1" w:rsidRDefault="00C23E57" w:rsidP="008F3DFB">
            <w:pPr>
              <w:pStyle w:val="Tabletext"/>
              <w:keepNext/>
              <w:keepLines/>
              <w:jc w:val="right"/>
              <w:rPr>
                <w:rFonts w:cs="Calibri"/>
                <w:sz w:val="14"/>
                <w:szCs w:val="14"/>
              </w:rPr>
            </w:pPr>
          </w:p>
        </w:tc>
      </w:tr>
      <w:tr w:rsidR="00C23E57" w:rsidRPr="00B91EE1" w14:paraId="7113C890" w14:textId="77777777" w:rsidTr="00C23E57">
        <w:trPr>
          <w:trHeight w:val="170"/>
        </w:trPr>
        <w:tc>
          <w:tcPr>
            <w:tcW w:w="3969" w:type="dxa"/>
            <w:tcBorders>
              <w:right w:val="single" w:sz="12" w:space="0" w:color="00B0F0"/>
            </w:tcBorders>
          </w:tcPr>
          <w:p w14:paraId="6842757A" w14:textId="6D1B59F9" w:rsidR="00C23E57" w:rsidRPr="00B91EE1" w:rsidRDefault="00C23E57" w:rsidP="008F3DFB">
            <w:pPr>
              <w:pStyle w:val="Tabletext"/>
              <w:keepNext/>
              <w:keepLines/>
              <w:spacing w:before="20" w:after="20"/>
              <w:rPr>
                <w:sz w:val="14"/>
                <w:szCs w:val="14"/>
              </w:rPr>
            </w:pPr>
            <w:r w:rsidRPr="00B91EE1">
              <w:rPr>
                <w:sz w:val="14"/>
                <w:szCs w:val="14"/>
              </w:rPr>
              <w:t>Chapitre 6</w:t>
            </w:r>
            <w:r w:rsidRPr="00B91EE1">
              <w:rPr>
                <w:sz w:val="14"/>
                <w:szCs w:val="14"/>
              </w:rPr>
              <w:tab/>
              <w:t xml:space="preserve">Réunions des </w:t>
            </w:r>
            <w:r w:rsidR="00E1047B" w:rsidRPr="00B91EE1">
              <w:rPr>
                <w:sz w:val="14"/>
                <w:szCs w:val="14"/>
              </w:rPr>
              <w:t>C</w:t>
            </w:r>
            <w:r w:rsidRPr="00B91EE1">
              <w:rPr>
                <w:sz w:val="14"/>
                <w:szCs w:val="14"/>
              </w:rPr>
              <w:t>ommissions d</w:t>
            </w:r>
            <w:r w:rsidR="00392F9A" w:rsidRPr="00B91EE1">
              <w:rPr>
                <w:sz w:val="14"/>
                <w:szCs w:val="14"/>
              </w:rPr>
              <w:t>'</w:t>
            </w:r>
            <w:r w:rsidRPr="00B91EE1">
              <w:rPr>
                <w:sz w:val="14"/>
                <w:szCs w:val="14"/>
              </w:rPr>
              <w:t>études</w:t>
            </w:r>
          </w:p>
        </w:tc>
        <w:tc>
          <w:tcPr>
            <w:tcW w:w="1077" w:type="dxa"/>
            <w:tcBorders>
              <w:left w:val="single" w:sz="12" w:space="0" w:color="00B0F0"/>
            </w:tcBorders>
            <w:vAlign w:val="center"/>
          </w:tcPr>
          <w:p w14:paraId="58A1C04E" w14:textId="1CD6E762" w:rsidR="00C23E57" w:rsidRPr="00B91EE1" w:rsidRDefault="00E1047B" w:rsidP="008F3DFB">
            <w:pPr>
              <w:pStyle w:val="Tabletext"/>
              <w:keepNext/>
              <w:keepLines/>
              <w:spacing w:before="20" w:after="20"/>
              <w:jc w:val="right"/>
              <w:rPr>
                <w:sz w:val="14"/>
                <w:szCs w:val="14"/>
                <w:lang w:eastAsia="zh-CN"/>
              </w:rPr>
            </w:pPr>
            <w:r w:rsidRPr="00B91EE1">
              <w:rPr>
                <w:sz w:val="14"/>
                <w:szCs w:val="14"/>
                <w:lang w:eastAsia="zh-CN"/>
              </w:rPr>
              <w:t>1</w:t>
            </w:r>
            <w:r w:rsidR="006A2911" w:rsidRPr="00B91EE1">
              <w:rPr>
                <w:sz w:val="14"/>
                <w:szCs w:val="14"/>
                <w:lang w:eastAsia="zh-CN"/>
              </w:rPr>
              <w:t xml:space="preserve"> </w:t>
            </w:r>
            <w:r w:rsidRPr="00B91EE1">
              <w:rPr>
                <w:sz w:val="14"/>
                <w:szCs w:val="14"/>
                <w:lang w:eastAsia="zh-CN"/>
              </w:rPr>
              <w:t>052</w:t>
            </w:r>
          </w:p>
        </w:tc>
        <w:tc>
          <w:tcPr>
            <w:tcW w:w="1077" w:type="dxa"/>
            <w:vAlign w:val="center"/>
          </w:tcPr>
          <w:p w14:paraId="505B5B42" w14:textId="6FD121BB" w:rsidR="00C23E57" w:rsidRPr="00B91EE1" w:rsidRDefault="00E1047B" w:rsidP="008F3DFB">
            <w:pPr>
              <w:pStyle w:val="Tabletext"/>
              <w:keepNext/>
              <w:keepLines/>
              <w:spacing w:before="20" w:after="20"/>
              <w:jc w:val="right"/>
              <w:rPr>
                <w:sz w:val="14"/>
                <w:szCs w:val="14"/>
              </w:rPr>
            </w:pPr>
            <w:r w:rsidRPr="00B91EE1">
              <w:rPr>
                <w:sz w:val="14"/>
                <w:szCs w:val="14"/>
              </w:rPr>
              <w:t>1 462</w:t>
            </w:r>
          </w:p>
        </w:tc>
        <w:tc>
          <w:tcPr>
            <w:tcW w:w="1078" w:type="dxa"/>
            <w:vAlign w:val="center"/>
          </w:tcPr>
          <w:p w14:paraId="5BC8D488" w14:textId="18E87BF7" w:rsidR="00C23E57" w:rsidRPr="00B91EE1" w:rsidRDefault="00E1047B" w:rsidP="008F3DFB">
            <w:pPr>
              <w:pStyle w:val="Tabletext"/>
              <w:keepNext/>
              <w:keepLines/>
              <w:spacing w:before="20" w:after="20"/>
              <w:jc w:val="right"/>
              <w:rPr>
                <w:sz w:val="14"/>
                <w:szCs w:val="14"/>
              </w:rPr>
            </w:pPr>
            <w:r w:rsidRPr="00B91EE1">
              <w:rPr>
                <w:sz w:val="14"/>
                <w:szCs w:val="14"/>
              </w:rPr>
              <w:t>383</w:t>
            </w:r>
          </w:p>
        </w:tc>
        <w:tc>
          <w:tcPr>
            <w:tcW w:w="1077" w:type="dxa"/>
            <w:vAlign w:val="center"/>
          </w:tcPr>
          <w:p w14:paraId="428E5247" w14:textId="5A13191C" w:rsidR="00C23E57" w:rsidRPr="00B91EE1" w:rsidRDefault="00E1047B" w:rsidP="008F3DFB">
            <w:pPr>
              <w:pStyle w:val="Tabletext"/>
              <w:keepNext/>
              <w:keepLines/>
              <w:spacing w:before="20" w:after="20"/>
              <w:jc w:val="right"/>
              <w:rPr>
                <w:sz w:val="14"/>
                <w:szCs w:val="14"/>
              </w:rPr>
            </w:pPr>
            <w:r w:rsidRPr="00B91EE1">
              <w:rPr>
                <w:sz w:val="14"/>
                <w:szCs w:val="14"/>
              </w:rPr>
              <w:t>1 160</w:t>
            </w:r>
          </w:p>
        </w:tc>
        <w:tc>
          <w:tcPr>
            <w:tcW w:w="1078" w:type="dxa"/>
            <w:vAlign w:val="center"/>
          </w:tcPr>
          <w:p w14:paraId="68F744B5" w14:textId="5610F8BD" w:rsidR="00C23E57" w:rsidRPr="00B91EE1" w:rsidRDefault="00E1047B" w:rsidP="008F3DFB">
            <w:pPr>
              <w:pStyle w:val="Tabletext"/>
              <w:keepNext/>
              <w:keepLines/>
              <w:jc w:val="right"/>
              <w:rPr>
                <w:sz w:val="14"/>
                <w:szCs w:val="14"/>
              </w:rPr>
            </w:pPr>
            <w:r w:rsidRPr="00B91EE1">
              <w:rPr>
                <w:sz w:val="14"/>
                <w:szCs w:val="14"/>
              </w:rPr>
              <w:t>1 543</w:t>
            </w:r>
          </w:p>
        </w:tc>
      </w:tr>
      <w:tr w:rsidR="00C23E57" w:rsidRPr="00B91EE1" w14:paraId="75F70514" w14:textId="77777777" w:rsidTr="00C23E57">
        <w:trPr>
          <w:trHeight w:val="170"/>
        </w:trPr>
        <w:tc>
          <w:tcPr>
            <w:tcW w:w="3969" w:type="dxa"/>
            <w:tcBorders>
              <w:right w:val="single" w:sz="12" w:space="0" w:color="00B0F0"/>
            </w:tcBorders>
          </w:tcPr>
          <w:p w14:paraId="1F024356" w14:textId="77777777" w:rsidR="00C23E57" w:rsidRPr="00B91EE1" w:rsidRDefault="00C23E57" w:rsidP="008F3DFB">
            <w:pPr>
              <w:pStyle w:val="Tabletext"/>
              <w:keepNext/>
              <w:keepLines/>
              <w:tabs>
                <w:tab w:val="left" w:pos="459"/>
              </w:tabs>
              <w:spacing w:before="20" w:after="20"/>
              <w:rPr>
                <w:sz w:val="14"/>
                <w:szCs w:val="14"/>
              </w:rPr>
            </w:pPr>
          </w:p>
        </w:tc>
        <w:tc>
          <w:tcPr>
            <w:tcW w:w="1077" w:type="dxa"/>
            <w:tcBorders>
              <w:left w:val="single" w:sz="12" w:space="0" w:color="00B0F0"/>
            </w:tcBorders>
            <w:vAlign w:val="center"/>
          </w:tcPr>
          <w:p w14:paraId="34DDFA02" w14:textId="77777777" w:rsidR="00C23E57" w:rsidRPr="00B91EE1" w:rsidRDefault="00C23E57" w:rsidP="008F3DFB">
            <w:pPr>
              <w:pStyle w:val="Tabletext"/>
              <w:keepNext/>
              <w:keepLines/>
              <w:spacing w:before="20" w:after="20"/>
              <w:jc w:val="right"/>
              <w:rPr>
                <w:sz w:val="14"/>
                <w:szCs w:val="14"/>
              </w:rPr>
            </w:pPr>
          </w:p>
        </w:tc>
        <w:tc>
          <w:tcPr>
            <w:tcW w:w="1077" w:type="dxa"/>
            <w:vAlign w:val="center"/>
          </w:tcPr>
          <w:p w14:paraId="42CCE84E" w14:textId="77777777" w:rsidR="00C23E57" w:rsidRPr="00B91EE1" w:rsidRDefault="00C23E57" w:rsidP="008F3DFB">
            <w:pPr>
              <w:pStyle w:val="Tabletext"/>
              <w:keepNext/>
              <w:keepLines/>
              <w:spacing w:before="20" w:after="20"/>
              <w:jc w:val="right"/>
              <w:rPr>
                <w:sz w:val="14"/>
                <w:szCs w:val="14"/>
              </w:rPr>
            </w:pPr>
          </w:p>
        </w:tc>
        <w:tc>
          <w:tcPr>
            <w:tcW w:w="1078" w:type="dxa"/>
            <w:vAlign w:val="center"/>
          </w:tcPr>
          <w:p w14:paraId="49F8E069" w14:textId="77777777" w:rsidR="00C23E57" w:rsidRPr="00B91EE1" w:rsidRDefault="00C23E57" w:rsidP="008F3DFB">
            <w:pPr>
              <w:pStyle w:val="Tabletext"/>
              <w:keepNext/>
              <w:keepLines/>
              <w:spacing w:before="20" w:after="20"/>
              <w:jc w:val="right"/>
              <w:rPr>
                <w:sz w:val="14"/>
                <w:szCs w:val="14"/>
              </w:rPr>
            </w:pPr>
          </w:p>
        </w:tc>
        <w:tc>
          <w:tcPr>
            <w:tcW w:w="1077" w:type="dxa"/>
            <w:vAlign w:val="center"/>
          </w:tcPr>
          <w:p w14:paraId="6BC60172" w14:textId="77777777" w:rsidR="00C23E57" w:rsidRPr="00B91EE1" w:rsidRDefault="00C23E57" w:rsidP="008F3DFB">
            <w:pPr>
              <w:pStyle w:val="Tabletext"/>
              <w:keepNext/>
              <w:keepLines/>
              <w:spacing w:before="20" w:after="20"/>
              <w:jc w:val="right"/>
              <w:rPr>
                <w:sz w:val="14"/>
                <w:szCs w:val="14"/>
              </w:rPr>
            </w:pPr>
          </w:p>
        </w:tc>
        <w:tc>
          <w:tcPr>
            <w:tcW w:w="1078" w:type="dxa"/>
            <w:vAlign w:val="center"/>
          </w:tcPr>
          <w:p w14:paraId="2632626F" w14:textId="77777777" w:rsidR="00C23E57" w:rsidRPr="00B91EE1" w:rsidRDefault="00C23E57" w:rsidP="008F3DFB">
            <w:pPr>
              <w:pStyle w:val="Tabletext"/>
              <w:keepNext/>
              <w:keepLines/>
              <w:jc w:val="right"/>
              <w:rPr>
                <w:sz w:val="14"/>
                <w:szCs w:val="14"/>
              </w:rPr>
            </w:pPr>
          </w:p>
        </w:tc>
      </w:tr>
      <w:tr w:rsidR="00C23E57" w:rsidRPr="00B91EE1" w14:paraId="3B28E216" w14:textId="77777777" w:rsidTr="00C23E57">
        <w:trPr>
          <w:trHeight w:val="170"/>
        </w:trPr>
        <w:tc>
          <w:tcPr>
            <w:tcW w:w="3969" w:type="dxa"/>
            <w:tcBorders>
              <w:right w:val="single" w:sz="12" w:space="0" w:color="00B0F0"/>
            </w:tcBorders>
          </w:tcPr>
          <w:p w14:paraId="208AB86B" w14:textId="127FCA27" w:rsidR="00C23E57" w:rsidRPr="00B91EE1" w:rsidRDefault="00C23E57" w:rsidP="008F3DFB">
            <w:pPr>
              <w:pStyle w:val="Tabletext"/>
              <w:keepNext/>
              <w:keepLines/>
              <w:tabs>
                <w:tab w:val="left" w:pos="459"/>
              </w:tabs>
              <w:spacing w:before="20" w:after="20"/>
              <w:rPr>
                <w:sz w:val="14"/>
                <w:szCs w:val="14"/>
              </w:rPr>
            </w:pPr>
            <w:r w:rsidRPr="00B91EE1">
              <w:rPr>
                <w:sz w:val="14"/>
                <w:szCs w:val="14"/>
              </w:rPr>
              <w:t>Chapitre 7</w:t>
            </w:r>
            <w:r w:rsidRPr="00B91EE1">
              <w:rPr>
                <w:sz w:val="14"/>
                <w:szCs w:val="14"/>
              </w:rPr>
              <w:tab/>
              <w:t>Activités et programmes</w:t>
            </w:r>
          </w:p>
        </w:tc>
        <w:tc>
          <w:tcPr>
            <w:tcW w:w="1077" w:type="dxa"/>
            <w:tcBorders>
              <w:left w:val="single" w:sz="12" w:space="0" w:color="00B0F0"/>
            </w:tcBorders>
            <w:vAlign w:val="center"/>
          </w:tcPr>
          <w:p w14:paraId="04D1A6EF" w14:textId="3FF989C3" w:rsidR="00C23E57" w:rsidRPr="00B91EE1" w:rsidRDefault="00E1047B" w:rsidP="008F3DFB">
            <w:pPr>
              <w:pStyle w:val="Tabletext"/>
              <w:keepNext/>
              <w:keepLines/>
              <w:spacing w:before="20" w:after="20"/>
              <w:jc w:val="right"/>
              <w:rPr>
                <w:sz w:val="14"/>
                <w:szCs w:val="14"/>
              </w:rPr>
            </w:pPr>
            <w:r w:rsidRPr="00B91EE1">
              <w:rPr>
                <w:sz w:val="14"/>
                <w:szCs w:val="14"/>
              </w:rPr>
              <w:t>486</w:t>
            </w:r>
          </w:p>
        </w:tc>
        <w:tc>
          <w:tcPr>
            <w:tcW w:w="1077" w:type="dxa"/>
            <w:vAlign w:val="center"/>
          </w:tcPr>
          <w:p w14:paraId="79FDCBEE" w14:textId="5E11AA60" w:rsidR="00C23E57" w:rsidRPr="00B91EE1" w:rsidRDefault="00E1047B" w:rsidP="008F3DFB">
            <w:pPr>
              <w:pStyle w:val="Tabletext"/>
              <w:keepNext/>
              <w:keepLines/>
              <w:spacing w:before="20" w:after="20"/>
              <w:jc w:val="right"/>
              <w:rPr>
                <w:sz w:val="14"/>
                <w:szCs w:val="14"/>
              </w:rPr>
            </w:pPr>
            <w:r w:rsidRPr="00B91EE1">
              <w:rPr>
                <w:sz w:val="14"/>
                <w:szCs w:val="14"/>
              </w:rPr>
              <w:t>1 295</w:t>
            </w:r>
          </w:p>
        </w:tc>
        <w:tc>
          <w:tcPr>
            <w:tcW w:w="1078" w:type="dxa"/>
            <w:vAlign w:val="center"/>
          </w:tcPr>
          <w:p w14:paraId="188550A4" w14:textId="51E41F73" w:rsidR="00C23E57" w:rsidRPr="00B91EE1" w:rsidRDefault="00E1047B" w:rsidP="008F3DFB">
            <w:pPr>
              <w:pStyle w:val="Tabletext"/>
              <w:keepNext/>
              <w:keepLines/>
              <w:spacing w:before="20" w:after="20"/>
              <w:jc w:val="right"/>
              <w:rPr>
                <w:sz w:val="14"/>
                <w:szCs w:val="14"/>
              </w:rPr>
            </w:pPr>
            <w:r w:rsidRPr="00B91EE1">
              <w:rPr>
                <w:sz w:val="14"/>
                <w:szCs w:val="14"/>
              </w:rPr>
              <w:t>350</w:t>
            </w:r>
          </w:p>
        </w:tc>
        <w:tc>
          <w:tcPr>
            <w:tcW w:w="1077" w:type="dxa"/>
            <w:vAlign w:val="center"/>
          </w:tcPr>
          <w:p w14:paraId="4D735BB3" w14:textId="7221AA8B" w:rsidR="00C23E57" w:rsidRPr="00B91EE1" w:rsidRDefault="00E1047B" w:rsidP="008F3DFB">
            <w:pPr>
              <w:pStyle w:val="Tabletext"/>
              <w:keepNext/>
              <w:keepLines/>
              <w:spacing w:before="20" w:after="20"/>
              <w:jc w:val="right"/>
              <w:rPr>
                <w:sz w:val="14"/>
                <w:szCs w:val="14"/>
              </w:rPr>
            </w:pPr>
            <w:r w:rsidRPr="00B91EE1">
              <w:rPr>
                <w:sz w:val="14"/>
                <w:szCs w:val="14"/>
              </w:rPr>
              <w:t>350</w:t>
            </w:r>
          </w:p>
        </w:tc>
        <w:tc>
          <w:tcPr>
            <w:tcW w:w="1078" w:type="dxa"/>
            <w:vAlign w:val="center"/>
          </w:tcPr>
          <w:p w14:paraId="5D91BDBD" w14:textId="3DCCC761" w:rsidR="00C23E57" w:rsidRPr="00B91EE1" w:rsidRDefault="00E1047B" w:rsidP="008F3DFB">
            <w:pPr>
              <w:pStyle w:val="Tabletext"/>
              <w:keepNext/>
              <w:keepLines/>
              <w:jc w:val="right"/>
              <w:rPr>
                <w:sz w:val="14"/>
                <w:szCs w:val="14"/>
              </w:rPr>
            </w:pPr>
            <w:r w:rsidRPr="00B91EE1">
              <w:rPr>
                <w:sz w:val="14"/>
                <w:szCs w:val="14"/>
              </w:rPr>
              <w:t>700</w:t>
            </w:r>
          </w:p>
        </w:tc>
      </w:tr>
      <w:tr w:rsidR="00C23E57" w:rsidRPr="00B91EE1" w14:paraId="5075ABFD" w14:textId="77777777" w:rsidTr="00C23E57">
        <w:trPr>
          <w:trHeight w:val="170"/>
        </w:trPr>
        <w:tc>
          <w:tcPr>
            <w:tcW w:w="3969" w:type="dxa"/>
            <w:tcBorders>
              <w:right w:val="single" w:sz="12" w:space="0" w:color="00B0F0"/>
            </w:tcBorders>
          </w:tcPr>
          <w:p w14:paraId="2A764B72" w14:textId="77777777" w:rsidR="00C23E57" w:rsidRPr="00B91EE1" w:rsidRDefault="00C23E57" w:rsidP="008F3DFB">
            <w:pPr>
              <w:pStyle w:val="Tabletext"/>
              <w:keepNext/>
              <w:keepLines/>
              <w:tabs>
                <w:tab w:val="left" w:pos="459"/>
              </w:tabs>
              <w:spacing w:before="20" w:after="20"/>
              <w:rPr>
                <w:sz w:val="14"/>
                <w:szCs w:val="14"/>
              </w:rPr>
            </w:pPr>
          </w:p>
        </w:tc>
        <w:tc>
          <w:tcPr>
            <w:tcW w:w="1077" w:type="dxa"/>
            <w:tcBorders>
              <w:left w:val="single" w:sz="12" w:space="0" w:color="00B0F0"/>
            </w:tcBorders>
            <w:vAlign w:val="center"/>
          </w:tcPr>
          <w:p w14:paraId="17392C02" w14:textId="77777777" w:rsidR="00C23E57" w:rsidRPr="00B91EE1" w:rsidRDefault="00C23E57" w:rsidP="008F3DFB">
            <w:pPr>
              <w:pStyle w:val="Tabletext"/>
              <w:keepNext/>
              <w:keepLines/>
              <w:spacing w:before="20" w:after="20"/>
              <w:jc w:val="right"/>
              <w:rPr>
                <w:sz w:val="14"/>
                <w:szCs w:val="14"/>
              </w:rPr>
            </w:pPr>
          </w:p>
        </w:tc>
        <w:tc>
          <w:tcPr>
            <w:tcW w:w="1077" w:type="dxa"/>
            <w:vAlign w:val="center"/>
          </w:tcPr>
          <w:p w14:paraId="075A092B" w14:textId="77777777" w:rsidR="00C23E57" w:rsidRPr="00B91EE1" w:rsidRDefault="00C23E57" w:rsidP="008F3DFB">
            <w:pPr>
              <w:pStyle w:val="Tabletext"/>
              <w:keepNext/>
              <w:keepLines/>
              <w:spacing w:before="20" w:after="20"/>
              <w:jc w:val="right"/>
              <w:rPr>
                <w:sz w:val="14"/>
                <w:szCs w:val="14"/>
              </w:rPr>
            </w:pPr>
          </w:p>
        </w:tc>
        <w:tc>
          <w:tcPr>
            <w:tcW w:w="1078" w:type="dxa"/>
            <w:vAlign w:val="center"/>
          </w:tcPr>
          <w:p w14:paraId="241E7231" w14:textId="77777777" w:rsidR="00C23E57" w:rsidRPr="00B91EE1" w:rsidRDefault="00C23E57" w:rsidP="008F3DFB">
            <w:pPr>
              <w:pStyle w:val="Tabletext"/>
              <w:keepNext/>
              <w:keepLines/>
              <w:spacing w:before="20" w:after="20"/>
              <w:jc w:val="right"/>
              <w:rPr>
                <w:sz w:val="14"/>
                <w:szCs w:val="14"/>
              </w:rPr>
            </w:pPr>
          </w:p>
        </w:tc>
        <w:tc>
          <w:tcPr>
            <w:tcW w:w="1077" w:type="dxa"/>
            <w:vAlign w:val="center"/>
          </w:tcPr>
          <w:p w14:paraId="3F0F84C9" w14:textId="77777777" w:rsidR="00C23E57" w:rsidRPr="00B91EE1" w:rsidRDefault="00C23E57" w:rsidP="008F3DFB">
            <w:pPr>
              <w:pStyle w:val="Tabletext"/>
              <w:keepNext/>
              <w:keepLines/>
              <w:spacing w:before="20" w:after="20"/>
              <w:jc w:val="right"/>
              <w:rPr>
                <w:sz w:val="14"/>
                <w:szCs w:val="14"/>
              </w:rPr>
            </w:pPr>
          </w:p>
        </w:tc>
        <w:tc>
          <w:tcPr>
            <w:tcW w:w="1078" w:type="dxa"/>
            <w:vAlign w:val="center"/>
          </w:tcPr>
          <w:p w14:paraId="5165FBB2" w14:textId="77777777" w:rsidR="00C23E57" w:rsidRPr="00B91EE1" w:rsidRDefault="00C23E57" w:rsidP="008F3DFB">
            <w:pPr>
              <w:pStyle w:val="Tabletext"/>
              <w:keepNext/>
              <w:keepLines/>
              <w:jc w:val="right"/>
              <w:rPr>
                <w:sz w:val="14"/>
                <w:szCs w:val="14"/>
              </w:rPr>
            </w:pPr>
          </w:p>
        </w:tc>
      </w:tr>
      <w:tr w:rsidR="00C23E57" w:rsidRPr="00B91EE1" w14:paraId="7356F6B2" w14:textId="77777777" w:rsidTr="00C23E57">
        <w:trPr>
          <w:trHeight w:val="170"/>
        </w:trPr>
        <w:tc>
          <w:tcPr>
            <w:tcW w:w="3969" w:type="dxa"/>
            <w:tcBorders>
              <w:right w:val="single" w:sz="12" w:space="0" w:color="00B0F0"/>
            </w:tcBorders>
          </w:tcPr>
          <w:p w14:paraId="4D53D7F6" w14:textId="3C35C7A2" w:rsidR="00C23E57" w:rsidRPr="00B91EE1" w:rsidRDefault="00C23E57" w:rsidP="008F3DFB">
            <w:pPr>
              <w:pStyle w:val="Tabletext"/>
              <w:keepNext/>
              <w:keepLines/>
              <w:tabs>
                <w:tab w:val="left" w:pos="459"/>
              </w:tabs>
              <w:spacing w:before="20" w:after="20"/>
              <w:rPr>
                <w:sz w:val="14"/>
                <w:szCs w:val="14"/>
              </w:rPr>
            </w:pPr>
            <w:r w:rsidRPr="00B91EE1">
              <w:rPr>
                <w:sz w:val="14"/>
                <w:szCs w:val="14"/>
              </w:rPr>
              <w:t>Chapitre 8</w:t>
            </w:r>
            <w:r w:rsidRPr="00B91EE1">
              <w:rPr>
                <w:sz w:val="14"/>
                <w:szCs w:val="14"/>
              </w:rPr>
              <w:tab/>
              <w:t xml:space="preserve">Séminaires et </w:t>
            </w:r>
            <w:r w:rsidR="00E1047B" w:rsidRPr="00B91EE1">
              <w:rPr>
                <w:sz w:val="14"/>
                <w:szCs w:val="14"/>
              </w:rPr>
              <w:t>a</w:t>
            </w:r>
            <w:r w:rsidRPr="00B91EE1">
              <w:rPr>
                <w:sz w:val="14"/>
                <w:szCs w:val="14"/>
              </w:rPr>
              <w:t>teliers</w:t>
            </w:r>
          </w:p>
        </w:tc>
        <w:tc>
          <w:tcPr>
            <w:tcW w:w="1077" w:type="dxa"/>
            <w:tcBorders>
              <w:left w:val="single" w:sz="12" w:space="0" w:color="00B0F0"/>
            </w:tcBorders>
            <w:vAlign w:val="center"/>
          </w:tcPr>
          <w:p w14:paraId="2490C40C" w14:textId="2F483E8E" w:rsidR="00C23E57" w:rsidRPr="00B91EE1" w:rsidRDefault="00E1047B" w:rsidP="008F3DFB">
            <w:pPr>
              <w:pStyle w:val="Tabletext"/>
              <w:keepNext/>
              <w:keepLines/>
              <w:spacing w:before="20" w:after="20"/>
              <w:jc w:val="right"/>
              <w:rPr>
                <w:sz w:val="14"/>
                <w:szCs w:val="14"/>
              </w:rPr>
            </w:pPr>
            <w:r w:rsidRPr="00B91EE1">
              <w:rPr>
                <w:sz w:val="14"/>
                <w:szCs w:val="14"/>
              </w:rPr>
              <w:t>161</w:t>
            </w:r>
          </w:p>
        </w:tc>
        <w:tc>
          <w:tcPr>
            <w:tcW w:w="1077" w:type="dxa"/>
            <w:vAlign w:val="center"/>
          </w:tcPr>
          <w:p w14:paraId="60BDC55E" w14:textId="57ACC0C9" w:rsidR="00C23E57" w:rsidRPr="00B91EE1" w:rsidRDefault="00E1047B" w:rsidP="008F3DFB">
            <w:pPr>
              <w:pStyle w:val="Tabletext"/>
              <w:keepNext/>
              <w:keepLines/>
              <w:spacing w:before="20" w:after="20"/>
              <w:jc w:val="right"/>
              <w:rPr>
                <w:sz w:val="14"/>
                <w:szCs w:val="14"/>
              </w:rPr>
            </w:pPr>
            <w:r w:rsidRPr="00B91EE1">
              <w:rPr>
                <w:sz w:val="14"/>
                <w:szCs w:val="14"/>
              </w:rPr>
              <w:t>780</w:t>
            </w:r>
          </w:p>
        </w:tc>
        <w:tc>
          <w:tcPr>
            <w:tcW w:w="1078" w:type="dxa"/>
            <w:vAlign w:val="center"/>
          </w:tcPr>
          <w:p w14:paraId="6B498C26" w14:textId="1EA213A9" w:rsidR="00C23E57" w:rsidRPr="00B91EE1" w:rsidRDefault="00E1047B" w:rsidP="008F3DFB">
            <w:pPr>
              <w:pStyle w:val="Tabletext"/>
              <w:keepNext/>
              <w:keepLines/>
              <w:spacing w:before="20" w:after="20"/>
              <w:jc w:val="right"/>
              <w:rPr>
                <w:sz w:val="14"/>
                <w:szCs w:val="14"/>
              </w:rPr>
            </w:pPr>
            <w:r w:rsidRPr="00B91EE1">
              <w:rPr>
                <w:sz w:val="14"/>
                <w:szCs w:val="14"/>
              </w:rPr>
              <w:t>388</w:t>
            </w:r>
          </w:p>
        </w:tc>
        <w:tc>
          <w:tcPr>
            <w:tcW w:w="1077" w:type="dxa"/>
            <w:vAlign w:val="center"/>
          </w:tcPr>
          <w:p w14:paraId="7F92884F" w14:textId="67CD53B0" w:rsidR="00C23E57" w:rsidRPr="00B91EE1" w:rsidRDefault="00E1047B" w:rsidP="008F3DFB">
            <w:pPr>
              <w:pStyle w:val="Tabletext"/>
              <w:keepNext/>
              <w:keepLines/>
              <w:spacing w:before="20" w:after="20"/>
              <w:jc w:val="right"/>
              <w:rPr>
                <w:sz w:val="14"/>
                <w:szCs w:val="14"/>
              </w:rPr>
            </w:pPr>
            <w:r w:rsidRPr="00B91EE1">
              <w:rPr>
                <w:sz w:val="14"/>
                <w:szCs w:val="14"/>
              </w:rPr>
              <w:t>388</w:t>
            </w:r>
          </w:p>
        </w:tc>
        <w:tc>
          <w:tcPr>
            <w:tcW w:w="1078" w:type="dxa"/>
            <w:vAlign w:val="center"/>
          </w:tcPr>
          <w:p w14:paraId="33843E4E" w14:textId="3A71D39B" w:rsidR="00C23E57" w:rsidRPr="00B91EE1" w:rsidRDefault="00E1047B" w:rsidP="008F3DFB">
            <w:pPr>
              <w:pStyle w:val="Tabletext"/>
              <w:keepNext/>
              <w:keepLines/>
              <w:jc w:val="right"/>
              <w:rPr>
                <w:sz w:val="14"/>
                <w:szCs w:val="14"/>
              </w:rPr>
            </w:pPr>
            <w:r w:rsidRPr="00B91EE1">
              <w:rPr>
                <w:sz w:val="14"/>
                <w:szCs w:val="14"/>
              </w:rPr>
              <w:t>776</w:t>
            </w:r>
          </w:p>
        </w:tc>
      </w:tr>
      <w:tr w:rsidR="00C23E57" w:rsidRPr="00B91EE1" w14:paraId="598D400E" w14:textId="77777777" w:rsidTr="00C23E57">
        <w:trPr>
          <w:trHeight w:val="170"/>
        </w:trPr>
        <w:tc>
          <w:tcPr>
            <w:tcW w:w="3969" w:type="dxa"/>
            <w:tcBorders>
              <w:right w:val="single" w:sz="12" w:space="0" w:color="00B0F0"/>
            </w:tcBorders>
          </w:tcPr>
          <w:p w14:paraId="6A430BFD" w14:textId="77777777" w:rsidR="00C23E57" w:rsidRPr="00B91EE1" w:rsidRDefault="00C23E57" w:rsidP="008F3DFB">
            <w:pPr>
              <w:pStyle w:val="Tabletext"/>
              <w:keepNext/>
              <w:keepLines/>
              <w:tabs>
                <w:tab w:val="left" w:pos="459"/>
              </w:tabs>
              <w:spacing w:before="20" w:after="20"/>
              <w:rPr>
                <w:sz w:val="14"/>
                <w:szCs w:val="14"/>
              </w:rPr>
            </w:pPr>
          </w:p>
        </w:tc>
        <w:tc>
          <w:tcPr>
            <w:tcW w:w="1077" w:type="dxa"/>
            <w:tcBorders>
              <w:left w:val="single" w:sz="12" w:space="0" w:color="00B0F0"/>
            </w:tcBorders>
            <w:vAlign w:val="center"/>
          </w:tcPr>
          <w:p w14:paraId="292FD688" w14:textId="77777777" w:rsidR="00C23E57" w:rsidRPr="00B91EE1" w:rsidRDefault="00C23E57" w:rsidP="008F3DFB">
            <w:pPr>
              <w:pStyle w:val="Tabletext"/>
              <w:keepNext/>
              <w:keepLines/>
              <w:spacing w:before="20" w:after="20"/>
              <w:jc w:val="right"/>
              <w:rPr>
                <w:sz w:val="14"/>
                <w:szCs w:val="14"/>
              </w:rPr>
            </w:pPr>
          </w:p>
        </w:tc>
        <w:tc>
          <w:tcPr>
            <w:tcW w:w="1077" w:type="dxa"/>
            <w:vAlign w:val="center"/>
          </w:tcPr>
          <w:p w14:paraId="2B45EF48" w14:textId="77777777" w:rsidR="00C23E57" w:rsidRPr="00B91EE1" w:rsidRDefault="00C23E57" w:rsidP="008F3DFB">
            <w:pPr>
              <w:pStyle w:val="Tabletext"/>
              <w:keepNext/>
              <w:keepLines/>
              <w:spacing w:before="20" w:after="20"/>
              <w:jc w:val="right"/>
              <w:rPr>
                <w:sz w:val="14"/>
                <w:szCs w:val="14"/>
              </w:rPr>
            </w:pPr>
          </w:p>
        </w:tc>
        <w:tc>
          <w:tcPr>
            <w:tcW w:w="1078" w:type="dxa"/>
            <w:vAlign w:val="center"/>
          </w:tcPr>
          <w:p w14:paraId="34F968C3" w14:textId="77777777" w:rsidR="00C23E57" w:rsidRPr="00B91EE1" w:rsidRDefault="00C23E57" w:rsidP="008F3DFB">
            <w:pPr>
              <w:pStyle w:val="Tabletext"/>
              <w:keepNext/>
              <w:keepLines/>
              <w:spacing w:before="20" w:after="20"/>
              <w:jc w:val="right"/>
              <w:rPr>
                <w:sz w:val="14"/>
                <w:szCs w:val="14"/>
              </w:rPr>
            </w:pPr>
          </w:p>
        </w:tc>
        <w:tc>
          <w:tcPr>
            <w:tcW w:w="1077" w:type="dxa"/>
            <w:vAlign w:val="center"/>
          </w:tcPr>
          <w:p w14:paraId="5F34BEE1" w14:textId="77777777" w:rsidR="00C23E57" w:rsidRPr="00B91EE1" w:rsidRDefault="00C23E57" w:rsidP="008F3DFB">
            <w:pPr>
              <w:pStyle w:val="Tabletext"/>
              <w:keepNext/>
              <w:keepLines/>
              <w:spacing w:before="20" w:after="20"/>
              <w:jc w:val="right"/>
              <w:rPr>
                <w:sz w:val="14"/>
                <w:szCs w:val="14"/>
              </w:rPr>
            </w:pPr>
          </w:p>
        </w:tc>
        <w:tc>
          <w:tcPr>
            <w:tcW w:w="1078" w:type="dxa"/>
            <w:vAlign w:val="center"/>
          </w:tcPr>
          <w:p w14:paraId="058BA6DE" w14:textId="77777777" w:rsidR="00C23E57" w:rsidRPr="00B91EE1" w:rsidRDefault="00C23E57" w:rsidP="008F3DFB">
            <w:pPr>
              <w:pStyle w:val="Tabletext"/>
              <w:keepNext/>
              <w:keepLines/>
              <w:jc w:val="right"/>
              <w:rPr>
                <w:sz w:val="14"/>
                <w:szCs w:val="14"/>
              </w:rPr>
            </w:pPr>
          </w:p>
        </w:tc>
      </w:tr>
      <w:tr w:rsidR="00C23E57" w:rsidRPr="00B91EE1" w14:paraId="70048244" w14:textId="77777777" w:rsidTr="00C23E57">
        <w:trPr>
          <w:trHeight w:val="170"/>
        </w:trPr>
        <w:tc>
          <w:tcPr>
            <w:tcW w:w="3969" w:type="dxa"/>
            <w:tcBorders>
              <w:right w:val="single" w:sz="12" w:space="0" w:color="00B0F0"/>
            </w:tcBorders>
          </w:tcPr>
          <w:p w14:paraId="1ADF35C6" w14:textId="392C0C91" w:rsidR="00C23E57" w:rsidRPr="00B91EE1" w:rsidRDefault="00C23E57" w:rsidP="008F3DFB">
            <w:pPr>
              <w:pStyle w:val="Tabletext"/>
              <w:keepNext/>
              <w:keepLines/>
              <w:tabs>
                <w:tab w:val="left" w:pos="459"/>
              </w:tabs>
              <w:spacing w:before="20" w:after="20"/>
              <w:rPr>
                <w:sz w:val="14"/>
                <w:szCs w:val="14"/>
              </w:rPr>
            </w:pPr>
            <w:r w:rsidRPr="00B91EE1">
              <w:rPr>
                <w:sz w:val="14"/>
                <w:szCs w:val="14"/>
              </w:rPr>
              <w:t>Chapitre 9</w:t>
            </w:r>
            <w:r w:rsidRPr="00B91EE1">
              <w:rPr>
                <w:sz w:val="14"/>
                <w:szCs w:val="14"/>
              </w:rPr>
              <w:tab/>
              <w:t>Bureau</w:t>
            </w:r>
          </w:p>
        </w:tc>
        <w:tc>
          <w:tcPr>
            <w:tcW w:w="1077" w:type="dxa"/>
            <w:tcBorders>
              <w:left w:val="single" w:sz="12" w:space="0" w:color="00B0F0"/>
            </w:tcBorders>
            <w:vAlign w:val="center"/>
          </w:tcPr>
          <w:p w14:paraId="001EBADC" w14:textId="7216D2EB" w:rsidR="00C23E57" w:rsidRPr="00B91EE1" w:rsidRDefault="00E1047B" w:rsidP="008F3DFB">
            <w:pPr>
              <w:pStyle w:val="Tabletext"/>
              <w:keepNext/>
              <w:keepLines/>
              <w:spacing w:before="20" w:after="20"/>
              <w:jc w:val="right"/>
              <w:rPr>
                <w:sz w:val="14"/>
                <w:szCs w:val="14"/>
              </w:rPr>
            </w:pPr>
            <w:r w:rsidRPr="00B91EE1">
              <w:rPr>
                <w:sz w:val="14"/>
                <w:szCs w:val="14"/>
              </w:rPr>
              <w:t>48 758</w:t>
            </w:r>
          </w:p>
        </w:tc>
        <w:tc>
          <w:tcPr>
            <w:tcW w:w="1077" w:type="dxa"/>
            <w:vAlign w:val="center"/>
          </w:tcPr>
          <w:p w14:paraId="35F339CD" w14:textId="60CC4611" w:rsidR="00C23E57" w:rsidRPr="00B91EE1" w:rsidRDefault="00E1047B" w:rsidP="008F3DFB">
            <w:pPr>
              <w:pStyle w:val="Tabletext"/>
              <w:keepNext/>
              <w:keepLines/>
              <w:spacing w:before="20" w:after="20"/>
              <w:jc w:val="right"/>
              <w:rPr>
                <w:sz w:val="14"/>
                <w:szCs w:val="14"/>
              </w:rPr>
            </w:pPr>
            <w:r w:rsidRPr="00B91EE1">
              <w:rPr>
                <w:sz w:val="14"/>
                <w:szCs w:val="14"/>
              </w:rPr>
              <w:t>54 922</w:t>
            </w:r>
          </w:p>
        </w:tc>
        <w:tc>
          <w:tcPr>
            <w:tcW w:w="1078" w:type="dxa"/>
            <w:vAlign w:val="center"/>
          </w:tcPr>
          <w:p w14:paraId="4EFD49EF" w14:textId="43280244" w:rsidR="00C23E57" w:rsidRPr="00B91EE1" w:rsidRDefault="00E1047B" w:rsidP="008F3DFB">
            <w:pPr>
              <w:pStyle w:val="Tabletext"/>
              <w:keepNext/>
              <w:keepLines/>
              <w:spacing w:before="20" w:after="20"/>
              <w:jc w:val="right"/>
              <w:rPr>
                <w:sz w:val="14"/>
                <w:szCs w:val="14"/>
              </w:rPr>
            </w:pPr>
            <w:r w:rsidRPr="00B91EE1">
              <w:rPr>
                <w:sz w:val="14"/>
                <w:szCs w:val="14"/>
              </w:rPr>
              <w:t>27 247</w:t>
            </w:r>
          </w:p>
        </w:tc>
        <w:tc>
          <w:tcPr>
            <w:tcW w:w="1077" w:type="dxa"/>
            <w:vAlign w:val="center"/>
          </w:tcPr>
          <w:p w14:paraId="660A4398" w14:textId="4A3E0D4F" w:rsidR="00C23E57" w:rsidRPr="00B91EE1" w:rsidRDefault="00E1047B" w:rsidP="008F3DFB">
            <w:pPr>
              <w:pStyle w:val="Tabletext"/>
              <w:keepNext/>
              <w:keepLines/>
              <w:spacing w:before="20" w:after="20"/>
              <w:jc w:val="right"/>
              <w:rPr>
                <w:sz w:val="14"/>
                <w:szCs w:val="14"/>
              </w:rPr>
            </w:pPr>
            <w:r w:rsidRPr="00B91EE1">
              <w:rPr>
                <w:sz w:val="14"/>
                <w:szCs w:val="14"/>
              </w:rPr>
              <w:t>27 185</w:t>
            </w:r>
          </w:p>
        </w:tc>
        <w:tc>
          <w:tcPr>
            <w:tcW w:w="1078" w:type="dxa"/>
            <w:vAlign w:val="center"/>
          </w:tcPr>
          <w:p w14:paraId="32CFFC08" w14:textId="6D3EA29D" w:rsidR="00C23E57" w:rsidRPr="00B91EE1" w:rsidRDefault="00E1047B" w:rsidP="008F3DFB">
            <w:pPr>
              <w:pStyle w:val="Tabletext"/>
              <w:keepNext/>
              <w:keepLines/>
              <w:jc w:val="right"/>
              <w:rPr>
                <w:sz w:val="14"/>
                <w:szCs w:val="14"/>
              </w:rPr>
            </w:pPr>
            <w:r w:rsidRPr="00B91EE1">
              <w:rPr>
                <w:sz w:val="14"/>
                <w:szCs w:val="14"/>
              </w:rPr>
              <w:t>54 432</w:t>
            </w:r>
          </w:p>
        </w:tc>
      </w:tr>
      <w:tr w:rsidR="00C23E57" w:rsidRPr="00B91EE1" w14:paraId="0D025E54" w14:textId="77777777" w:rsidTr="00C23E57">
        <w:trPr>
          <w:trHeight w:val="170"/>
        </w:trPr>
        <w:tc>
          <w:tcPr>
            <w:tcW w:w="3969" w:type="dxa"/>
            <w:tcBorders>
              <w:right w:val="single" w:sz="12" w:space="0" w:color="00B0F0"/>
            </w:tcBorders>
          </w:tcPr>
          <w:p w14:paraId="78064FDA" w14:textId="77777777" w:rsidR="00C23E57" w:rsidRPr="00B91EE1" w:rsidRDefault="00C23E57" w:rsidP="008F3DFB">
            <w:pPr>
              <w:pStyle w:val="Tabletext"/>
              <w:keepNext/>
              <w:keepLines/>
              <w:tabs>
                <w:tab w:val="clear" w:pos="1134"/>
                <w:tab w:val="clear" w:pos="1276"/>
                <w:tab w:val="clear" w:pos="1418"/>
                <w:tab w:val="left" w:pos="1164"/>
              </w:tabs>
              <w:spacing w:before="20" w:after="20"/>
              <w:ind w:left="881"/>
              <w:rPr>
                <w:i/>
                <w:iCs/>
                <w:sz w:val="14"/>
                <w:szCs w:val="14"/>
              </w:rPr>
            </w:pPr>
            <w:r w:rsidRPr="00B91EE1">
              <w:rPr>
                <w:i/>
                <w:iCs/>
                <w:sz w:val="14"/>
                <w:szCs w:val="14"/>
              </w:rPr>
              <w:t>–</w:t>
            </w:r>
            <w:r w:rsidRPr="00B91EE1">
              <w:rPr>
                <w:i/>
                <w:iCs/>
                <w:sz w:val="14"/>
                <w:szCs w:val="14"/>
              </w:rPr>
              <w:tab/>
              <w:t>Charges communes</w:t>
            </w:r>
          </w:p>
        </w:tc>
        <w:tc>
          <w:tcPr>
            <w:tcW w:w="1077" w:type="dxa"/>
            <w:tcBorders>
              <w:left w:val="single" w:sz="12" w:space="0" w:color="00B0F0"/>
            </w:tcBorders>
            <w:vAlign w:val="center"/>
          </w:tcPr>
          <w:p w14:paraId="253266CB" w14:textId="584F24E1" w:rsidR="00C23E57" w:rsidRPr="00B91EE1" w:rsidRDefault="00E1047B" w:rsidP="008F3DFB">
            <w:pPr>
              <w:pStyle w:val="Tabletext"/>
              <w:keepNext/>
              <w:keepLines/>
              <w:spacing w:before="20" w:after="20"/>
              <w:jc w:val="right"/>
              <w:rPr>
                <w:i/>
                <w:iCs/>
                <w:sz w:val="14"/>
                <w:szCs w:val="14"/>
                <w:lang w:eastAsia="zh-CN"/>
              </w:rPr>
            </w:pPr>
            <w:r w:rsidRPr="00B91EE1">
              <w:rPr>
                <w:i/>
                <w:iCs/>
                <w:sz w:val="14"/>
                <w:szCs w:val="14"/>
                <w:lang w:eastAsia="zh-CN"/>
              </w:rPr>
              <w:t>1 361</w:t>
            </w:r>
          </w:p>
        </w:tc>
        <w:tc>
          <w:tcPr>
            <w:tcW w:w="1077" w:type="dxa"/>
            <w:vAlign w:val="center"/>
          </w:tcPr>
          <w:p w14:paraId="199E3252" w14:textId="3AC6F5FF" w:rsidR="00C23E57" w:rsidRPr="00B91EE1" w:rsidRDefault="00E1047B" w:rsidP="008F3DFB">
            <w:pPr>
              <w:pStyle w:val="Tabletext"/>
              <w:keepNext/>
              <w:keepLines/>
              <w:spacing w:before="20" w:after="20"/>
              <w:jc w:val="right"/>
              <w:rPr>
                <w:i/>
                <w:iCs/>
                <w:sz w:val="14"/>
                <w:szCs w:val="14"/>
              </w:rPr>
            </w:pPr>
            <w:r w:rsidRPr="00B91EE1">
              <w:rPr>
                <w:i/>
                <w:iCs/>
                <w:sz w:val="14"/>
                <w:szCs w:val="14"/>
              </w:rPr>
              <w:t>2 874</w:t>
            </w:r>
          </w:p>
        </w:tc>
        <w:tc>
          <w:tcPr>
            <w:tcW w:w="1078" w:type="dxa"/>
            <w:vAlign w:val="center"/>
          </w:tcPr>
          <w:p w14:paraId="64FD2C95" w14:textId="0497100C" w:rsidR="00C23E57" w:rsidRPr="00B91EE1" w:rsidRDefault="00E1047B" w:rsidP="008F3DFB">
            <w:pPr>
              <w:pStyle w:val="Tabletext"/>
              <w:keepNext/>
              <w:keepLines/>
              <w:spacing w:before="20" w:after="20"/>
              <w:jc w:val="right"/>
              <w:rPr>
                <w:i/>
                <w:iCs/>
                <w:sz w:val="14"/>
                <w:szCs w:val="14"/>
              </w:rPr>
            </w:pPr>
            <w:r w:rsidRPr="00B91EE1">
              <w:rPr>
                <w:i/>
                <w:iCs/>
                <w:sz w:val="14"/>
                <w:szCs w:val="14"/>
              </w:rPr>
              <w:t>1 244</w:t>
            </w:r>
          </w:p>
        </w:tc>
        <w:tc>
          <w:tcPr>
            <w:tcW w:w="1077" w:type="dxa"/>
            <w:vAlign w:val="center"/>
          </w:tcPr>
          <w:p w14:paraId="5FA44431" w14:textId="366563D1" w:rsidR="00C23E57" w:rsidRPr="00B91EE1" w:rsidRDefault="00E1047B" w:rsidP="008F3DFB">
            <w:pPr>
              <w:pStyle w:val="Tabletext"/>
              <w:keepNext/>
              <w:keepLines/>
              <w:spacing w:before="20" w:after="20"/>
              <w:jc w:val="right"/>
              <w:rPr>
                <w:i/>
                <w:iCs/>
                <w:sz w:val="14"/>
                <w:szCs w:val="14"/>
              </w:rPr>
            </w:pPr>
            <w:r w:rsidRPr="00B91EE1">
              <w:rPr>
                <w:i/>
                <w:iCs/>
                <w:sz w:val="14"/>
                <w:szCs w:val="14"/>
              </w:rPr>
              <w:t>1 244</w:t>
            </w:r>
          </w:p>
        </w:tc>
        <w:tc>
          <w:tcPr>
            <w:tcW w:w="1078" w:type="dxa"/>
            <w:vAlign w:val="center"/>
          </w:tcPr>
          <w:p w14:paraId="3BD8F381" w14:textId="3B75C8C9" w:rsidR="00C23E57" w:rsidRPr="00B91EE1" w:rsidRDefault="00E1047B" w:rsidP="008F3DFB">
            <w:pPr>
              <w:pStyle w:val="Tabletext"/>
              <w:keepNext/>
              <w:keepLines/>
              <w:jc w:val="right"/>
              <w:rPr>
                <w:i/>
                <w:iCs/>
                <w:sz w:val="14"/>
                <w:szCs w:val="14"/>
              </w:rPr>
            </w:pPr>
            <w:r w:rsidRPr="00B91EE1">
              <w:rPr>
                <w:i/>
                <w:iCs/>
                <w:sz w:val="14"/>
                <w:szCs w:val="14"/>
              </w:rPr>
              <w:t>2 488</w:t>
            </w:r>
          </w:p>
        </w:tc>
      </w:tr>
      <w:tr w:rsidR="00C23E57" w:rsidRPr="00B91EE1" w14:paraId="4EA20B0E" w14:textId="77777777" w:rsidTr="00C23E57">
        <w:trPr>
          <w:trHeight w:val="170"/>
        </w:trPr>
        <w:tc>
          <w:tcPr>
            <w:tcW w:w="3969" w:type="dxa"/>
            <w:tcBorders>
              <w:right w:val="single" w:sz="12" w:space="0" w:color="00B0F0"/>
            </w:tcBorders>
          </w:tcPr>
          <w:p w14:paraId="2EE9746A" w14:textId="77777777" w:rsidR="00C23E57" w:rsidRPr="00B91EE1" w:rsidRDefault="00C23E57" w:rsidP="004522B1">
            <w:pPr>
              <w:pStyle w:val="Tabletext"/>
              <w:tabs>
                <w:tab w:val="clear" w:pos="1134"/>
                <w:tab w:val="clear" w:pos="1276"/>
                <w:tab w:val="clear" w:pos="1418"/>
                <w:tab w:val="left" w:pos="1164"/>
              </w:tabs>
              <w:spacing w:before="20" w:after="20"/>
              <w:ind w:left="881"/>
              <w:rPr>
                <w:i/>
                <w:iCs/>
                <w:sz w:val="14"/>
                <w:szCs w:val="14"/>
              </w:rPr>
            </w:pPr>
            <w:r w:rsidRPr="00B91EE1">
              <w:rPr>
                <w:i/>
                <w:iCs/>
                <w:sz w:val="14"/>
                <w:szCs w:val="14"/>
              </w:rPr>
              <w:t>–</w:t>
            </w:r>
            <w:r w:rsidRPr="00B91EE1">
              <w:rPr>
                <w:i/>
                <w:iCs/>
                <w:sz w:val="14"/>
                <w:szCs w:val="14"/>
              </w:rPr>
              <w:tab/>
              <w:t>Bureau du Directeur</w:t>
            </w:r>
          </w:p>
        </w:tc>
        <w:tc>
          <w:tcPr>
            <w:tcW w:w="1077" w:type="dxa"/>
            <w:tcBorders>
              <w:left w:val="single" w:sz="12" w:space="0" w:color="00B0F0"/>
            </w:tcBorders>
            <w:vAlign w:val="center"/>
          </w:tcPr>
          <w:p w14:paraId="4D23CD51" w14:textId="0F423D93" w:rsidR="00C23E57" w:rsidRPr="00B91EE1" w:rsidRDefault="00E1047B" w:rsidP="004522B1">
            <w:pPr>
              <w:pStyle w:val="Tabletext"/>
              <w:spacing w:before="20" w:after="20"/>
              <w:jc w:val="right"/>
              <w:rPr>
                <w:i/>
                <w:iCs/>
                <w:sz w:val="14"/>
                <w:szCs w:val="14"/>
              </w:rPr>
            </w:pPr>
            <w:r w:rsidRPr="00B91EE1">
              <w:rPr>
                <w:i/>
                <w:iCs/>
                <w:sz w:val="14"/>
                <w:szCs w:val="14"/>
              </w:rPr>
              <w:t>1 658</w:t>
            </w:r>
          </w:p>
        </w:tc>
        <w:tc>
          <w:tcPr>
            <w:tcW w:w="1077" w:type="dxa"/>
            <w:vAlign w:val="center"/>
          </w:tcPr>
          <w:p w14:paraId="718868DA" w14:textId="55199582" w:rsidR="00C23E57" w:rsidRPr="00B91EE1" w:rsidRDefault="00E1047B" w:rsidP="004522B1">
            <w:pPr>
              <w:pStyle w:val="Tabletext"/>
              <w:spacing w:before="20" w:after="20"/>
              <w:jc w:val="right"/>
              <w:rPr>
                <w:i/>
                <w:iCs/>
                <w:sz w:val="14"/>
                <w:szCs w:val="14"/>
              </w:rPr>
            </w:pPr>
            <w:r w:rsidRPr="00B91EE1">
              <w:rPr>
                <w:i/>
                <w:iCs/>
                <w:sz w:val="14"/>
                <w:szCs w:val="14"/>
              </w:rPr>
              <w:t>1 612</w:t>
            </w:r>
          </w:p>
        </w:tc>
        <w:tc>
          <w:tcPr>
            <w:tcW w:w="1078" w:type="dxa"/>
            <w:vAlign w:val="center"/>
          </w:tcPr>
          <w:p w14:paraId="192B5787" w14:textId="3FE8AE97" w:rsidR="00C23E57" w:rsidRPr="00B91EE1" w:rsidRDefault="00E1047B" w:rsidP="004522B1">
            <w:pPr>
              <w:pStyle w:val="Tabletext"/>
              <w:spacing w:before="20" w:after="20"/>
              <w:jc w:val="right"/>
              <w:rPr>
                <w:i/>
                <w:iCs/>
                <w:sz w:val="14"/>
                <w:szCs w:val="14"/>
              </w:rPr>
            </w:pPr>
            <w:r w:rsidRPr="00B91EE1">
              <w:rPr>
                <w:i/>
                <w:iCs/>
                <w:sz w:val="14"/>
                <w:szCs w:val="14"/>
              </w:rPr>
              <w:t>1 018</w:t>
            </w:r>
          </w:p>
        </w:tc>
        <w:tc>
          <w:tcPr>
            <w:tcW w:w="1077" w:type="dxa"/>
            <w:vAlign w:val="center"/>
          </w:tcPr>
          <w:p w14:paraId="2EC991E9" w14:textId="180B64A4" w:rsidR="00C23E57" w:rsidRPr="00B91EE1" w:rsidRDefault="00E1047B" w:rsidP="004522B1">
            <w:pPr>
              <w:pStyle w:val="Tabletext"/>
              <w:spacing w:before="20" w:after="20"/>
              <w:jc w:val="right"/>
              <w:rPr>
                <w:i/>
                <w:iCs/>
                <w:sz w:val="14"/>
                <w:szCs w:val="14"/>
              </w:rPr>
            </w:pPr>
            <w:r w:rsidRPr="00B91EE1">
              <w:rPr>
                <w:i/>
                <w:iCs/>
                <w:sz w:val="14"/>
                <w:szCs w:val="14"/>
              </w:rPr>
              <w:t>1 018</w:t>
            </w:r>
          </w:p>
        </w:tc>
        <w:tc>
          <w:tcPr>
            <w:tcW w:w="1078" w:type="dxa"/>
            <w:vAlign w:val="center"/>
          </w:tcPr>
          <w:p w14:paraId="05EF7682" w14:textId="71194A74" w:rsidR="00C23E57" w:rsidRPr="00B91EE1" w:rsidRDefault="00E1047B" w:rsidP="004522B1">
            <w:pPr>
              <w:pStyle w:val="Tabletext"/>
              <w:jc w:val="right"/>
              <w:rPr>
                <w:i/>
                <w:iCs/>
                <w:sz w:val="14"/>
                <w:szCs w:val="14"/>
              </w:rPr>
            </w:pPr>
            <w:r w:rsidRPr="00B91EE1">
              <w:rPr>
                <w:i/>
                <w:iCs/>
                <w:sz w:val="14"/>
                <w:szCs w:val="14"/>
              </w:rPr>
              <w:t>2 036</w:t>
            </w:r>
          </w:p>
        </w:tc>
      </w:tr>
      <w:tr w:rsidR="00C23E57" w:rsidRPr="00B91EE1" w14:paraId="09CDE7DE" w14:textId="77777777" w:rsidTr="00C23E57">
        <w:trPr>
          <w:trHeight w:val="170"/>
        </w:trPr>
        <w:tc>
          <w:tcPr>
            <w:tcW w:w="3969" w:type="dxa"/>
            <w:tcBorders>
              <w:bottom w:val="single" w:sz="12" w:space="0" w:color="auto"/>
              <w:right w:val="single" w:sz="12" w:space="0" w:color="00B0F0"/>
            </w:tcBorders>
          </w:tcPr>
          <w:p w14:paraId="398EE9E9" w14:textId="77777777" w:rsidR="00C23E57" w:rsidRPr="00B91EE1" w:rsidRDefault="00C23E57" w:rsidP="004522B1">
            <w:pPr>
              <w:pStyle w:val="Tabletext"/>
              <w:tabs>
                <w:tab w:val="clear" w:pos="1134"/>
                <w:tab w:val="clear" w:pos="1276"/>
                <w:tab w:val="clear" w:pos="1418"/>
                <w:tab w:val="left" w:pos="1164"/>
              </w:tabs>
              <w:spacing w:before="20" w:after="20"/>
              <w:ind w:left="881"/>
              <w:rPr>
                <w:i/>
                <w:iCs/>
                <w:sz w:val="14"/>
                <w:szCs w:val="14"/>
              </w:rPr>
            </w:pPr>
            <w:r w:rsidRPr="00B91EE1">
              <w:rPr>
                <w:i/>
                <w:iCs/>
                <w:sz w:val="14"/>
                <w:szCs w:val="14"/>
              </w:rPr>
              <w:t>–</w:t>
            </w:r>
            <w:r w:rsidRPr="00B91EE1">
              <w:rPr>
                <w:i/>
                <w:iCs/>
                <w:sz w:val="14"/>
                <w:szCs w:val="14"/>
              </w:rPr>
              <w:tab/>
              <w:t>Départements</w:t>
            </w:r>
          </w:p>
        </w:tc>
        <w:tc>
          <w:tcPr>
            <w:tcW w:w="1077" w:type="dxa"/>
            <w:tcBorders>
              <w:left w:val="single" w:sz="12" w:space="0" w:color="00B0F0"/>
              <w:bottom w:val="single" w:sz="12" w:space="0" w:color="auto"/>
            </w:tcBorders>
            <w:vAlign w:val="center"/>
          </w:tcPr>
          <w:p w14:paraId="3AB0509C" w14:textId="03512984" w:rsidR="00C23E57" w:rsidRPr="00B91EE1" w:rsidRDefault="00E1047B" w:rsidP="004522B1">
            <w:pPr>
              <w:pStyle w:val="Tabletext"/>
              <w:spacing w:before="20" w:after="20"/>
              <w:jc w:val="right"/>
              <w:rPr>
                <w:i/>
                <w:iCs/>
                <w:sz w:val="14"/>
                <w:szCs w:val="14"/>
              </w:rPr>
            </w:pPr>
            <w:r w:rsidRPr="00B91EE1">
              <w:rPr>
                <w:i/>
                <w:iCs/>
                <w:sz w:val="14"/>
                <w:szCs w:val="14"/>
              </w:rPr>
              <w:t>45 739</w:t>
            </w:r>
          </w:p>
        </w:tc>
        <w:tc>
          <w:tcPr>
            <w:tcW w:w="1077" w:type="dxa"/>
            <w:tcBorders>
              <w:bottom w:val="single" w:sz="12" w:space="0" w:color="auto"/>
            </w:tcBorders>
            <w:vAlign w:val="center"/>
          </w:tcPr>
          <w:p w14:paraId="191136A8" w14:textId="306B3B8C" w:rsidR="00C23E57" w:rsidRPr="00B91EE1" w:rsidRDefault="00E1047B" w:rsidP="004522B1">
            <w:pPr>
              <w:pStyle w:val="Tabletext"/>
              <w:spacing w:before="20" w:after="20"/>
              <w:jc w:val="right"/>
              <w:rPr>
                <w:i/>
                <w:iCs/>
                <w:sz w:val="14"/>
                <w:szCs w:val="14"/>
              </w:rPr>
            </w:pPr>
            <w:r w:rsidRPr="00B91EE1">
              <w:rPr>
                <w:i/>
                <w:iCs/>
                <w:sz w:val="14"/>
                <w:szCs w:val="14"/>
              </w:rPr>
              <w:t>50 436</w:t>
            </w:r>
          </w:p>
        </w:tc>
        <w:tc>
          <w:tcPr>
            <w:tcW w:w="1078" w:type="dxa"/>
            <w:tcBorders>
              <w:bottom w:val="single" w:sz="12" w:space="0" w:color="auto"/>
            </w:tcBorders>
            <w:vAlign w:val="center"/>
          </w:tcPr>
          <w:p w14:paraId="446A9788" w14:textId="14D668C8" w:rsidR="00C23E57" w:rsidRPr="00B91EE1" w:rsidRDefault="00E1047B" w:rsidP="004522B1">
            <w:pPr>
              <w:pStyle w:val="Tabletext"/>
              <w:spacing w:before="20" w:after="20"/>
              <w:jc w:val="right"/>
              <w:rPr>
                <w:i/>
                <w:iCs/>
                <w:sz w:val="14"/>
                <w:szCs w:val="14"/>
              </w:rPr>
            </w:pPr>
            <w:r w:rsidRPr="00B91EE1">
              <w:rPr>
                <w:i/>
                <w:iCs/>
                <w:sz w:val="14"/>
                <w:szCs w:val="14"/>
              </w:rPr>
              <w:t>24 985</w:t>
            </w:r>
          </w:p>
        </w:tc>
        <w:tc>
          <w:tcPr>
            <w:tcW w:w="1077" w:type="dxa"/>
            <w:tcBorders>
              <w:bottom w:val="single" w:sz="12" w:space="0" w:color="auto"/>
            </w:tcBorders>
            <w:vAlign w:val="center"/>
          </w:tcPr>
          <w:p w14:paraId="484427B4" w14:textId="316137C3" w:rsidR="00C23E57" w:rsidRPr="00B91EE1" w:rsidRDefault="00E1047B" w:rsidP="004522B1">
            <w:pPr>
              <w:pStyle w:val="Tabletext"/>
              <w:spacing w:before="20" w:after="20"/>
              <w:jc w:val="right"/>
              <w:rPr>
                <w:i/>
                <w:iCs/>
                <w:sz w:val="14"/>
                <w:szCs w:val="14"/>
              </w:rPr>
            </w:pPr>
            <w:r w:rsidRPr="00B91EE1">
              <w:rPr>
                <w:i/>
                <w:iCs/>
                <w:sz w:val="14"/>
                <w:szCs w:val="14"/>
              </w:rPr>
              <w:t>24 923</w:t>
            </w:r>
          </w:p>
        </w:tc>
        <w:tc>
          <w:tcPr>
            <w:tcW w:w="1078" w:type="dxa"/>
            <w:tcBorders>
              <w:bottom w:val="single" w:sz="12" w:space="0" w:color="auto"/>
            </w:tcBorders>
            <w:vAlign w:val="center"/>
          </w:tcPr>
          <w:p w14:paraId="79B4026C" w14:textId="625E8B59" w:rsidR="00C23E57" w:rsidRPr="00B91EE1" w:rsidRDefault="00E1047B" w:rsidP="004522B1">
            <w:pPr>
              <w:pStyle w:val="Tabletext"/>
              <w:jc w:val="right"/>
              <w:rPr>
                <w:i/>
                <w:iCs/>
                <w:sz w:val="14"/>
                <w:szCs w:val="14"/>
              </w:rPr>
            </w:pPr>
            <w:r w:rsidRPr="00B91EE1">
              <w:rPr>
                <w:i/>
                <w:iCs/>
                <w:sz w:val="14"/>
                <w:szCs w:val="14"/>
              </w:rPr>
              <w:t>49 908</w:t>
            </w:r>
          </w:p>
        </w:tc>
      </w:tr>
      <w:tr w:rsidR="00C23E57" w:rsidRPr="00B91EE1" w14:paraId="28BE3485" w14:textId="77777777" w:rsidTr="00C23E57">
        <w:trPr>
          <w:trHeight w:val="170"/>
        </w:trPr>
        <w:tc>
          <w:tcPr>
            <w:tcW w:w="3969" w:type="dxa"/>
            <w:tcBorders>
              <w:top w:val="single" w:sz="12" w:space="0" w:color="auto"/>
              <w:right w:val="single" w:sz="12" w:space="0" w:color="00B0F0"/>
            </w:tcBorders>
          </w:tcPr>
          <w:p w14:paraId="3B44E23A" w14:textId="77777777" w:rsidR="00C23E57" w:rsidRPr="00B91EE1" w:rsidRDefault="00C23E57" w:rsidP="004522B1">
            <w:pPr>
              <w:pStyle w:val="Tabletext"/>
              <w:spacing w:before="20" w:after="20"/>
              <w:rPr>
                <w:b/>
                <w:bCs/>
                <w:sz w:val="14"/>
                <w:szCs w:val="14"/>
              </w:rPr>
            </w:pPr>
            <w:r w:rsidRPr="00B91EE1">
              <w:rPr>
                <w:b/>
                <w:bCs/>
                <w:sz w:val="14"/>
                <w:szCs w:val="14"/>
              </w:rPr>
              <w:t>TOTAL</w:t>
            </w:r>
          </w:p>
        </w:tc>
        <w:tc>
          <w:tcPr>
            <w:tcW w:w="1077" w:type="dxa"/>
            <w:tcBorders>
              <w:top w:val="single" w:sz="12" w:space="0" w:color="auto"/>
              <w:left w:val="single" w:sz="12" w:space="0" w:color="00B0F0"/>
            </w:tcBorders>
            <w:vAlign w:val="center"/>
          </w:tcPr>
          <w:p w14:paraId="5CA795D9" w14:textId="3AB8761A" w:rsidR="00C23E57" w:rsidRPr="00B91EE1" w:rsidRDefault="006A2911" w:rsidP="004522B1">
            <w:pPr>
              <w:pStyle w:val="Tabletext"/>
              <w:spacing w:before="20" w:after="20"/>
              <w:jc w:val="right"/>
              <w:rPr>
                <w:rFonts w:cs="Calibri"/>
                <w:b/>
                <w:bCs/>
                <w:sz w:val="14"/>
                <w:szCs w:val="14"/>
                <w:lang w:eastAsia="zh-CN"/>
              </w:rPr>
            </w:pPr>
            <w:r w:rsidRPr="00B91EE1">
              <w:rPr>
                <w:rFonts w:cs="Calibri"/>
                <w:b/>
                <w:bCs/>
                <w:sz w:val="14"/>
                <w:szCs w:val="14"/>
                <w:lang w:eastAsia="zh-CN"/>
              </w:rPr>
              <w:t>53 092</w:t>
            </w:r>
          </w:p>
        </w:tc>
        <w:tc>
          <w:tcPr>
            <w:tcW w:w="1077" w:type="dxa"/>
            <w:tcBorders>
              <w:top w:val="single" w:sz="12" w:space="0" w:color="auto"/>
            </w:tcBorders>
            <w:vAlign w:val="center"/>
          </w:tcPr>
          <w:p w14:paraId="242C8A50" w14:textId="4CE3F664" w:rsidR="00C23E57" w:rsidRPr="00B91EE1" w:rsidRDefault="00E1047B" w:rsidP="004522B1">
            <w:pPr>
              <w:pStyle w:val="Tabletext"/>
              <w:spacing w:before="20" w:after="20"/>
              <w:jc w:val="right"/>
              <w:rPr>
                <w:rFonts w:cs="Calibri"/>
                <w:b/>
                <w:bCs/>
                <w:sz w:val="14"/>
                <w:szCs w:val="14"/>
              </w:rPr>
            </w:pPr>
            <w:r w:rsidRPr="00B91EE1">
              <w:rPr>
                <w:rFonts w:cs="Calibri"/>
                <w:b/>
                <w:bCs/>
                <w:sz w:val="14"/>
                <w:szCs w:val="14"/>
              </w:rPr>
              <w:t>59 527</w:t>
            </w:r>
          </w:p>
        </w:tc>
        <w:tc>
          <w:tcPr>
            <w:tcW w:w="1078" w:type="dxa"/>
            <w:tcBorders>
              <w:top w:val="single" w:sz="12" w:space="0" w:color="auto"/>
            </w:tcBorders>
            <w:vAlign w:val="center"/>
          </w:tcPr>
          <w:p w14:paraId="5BC2E8CA" w14:textId="10107A8E" w:rsidR="00C23E57" w:rsidRPr="00B91EE1" w:rsidRDefault="00E1047B" w:rsidP="004522B1">
            <w:pPr>
              <w:pStyle w:val="Tabletext"/>
              <w:spacing w:before="20" w:after="20"/>
              <w:jc w:val="right"/>
              <w:rPr>
                <w:rFonts w:cs="Calibri"/>
                <w:b/>
                <w:bCs/>
                <w:sz w:val="14"/>
                <w:szCs w:val="14"/>
              </w:rPr>
            </w:pPr>
            <w:r w:rsidRPr="00B91EE1">
              <w:rPr>
                <w:rFonts w:cs="Calibri"/>
                <w:b/>
                <w:bCs/>
                <w:sz w:val="14"/>
                <w:szCs w:val="14"/>
              </w:rPr>
              <w:t>28 833</w:t>
            </w:r>
          </w:p>
        </w:tc>
        <w:tc>
          <w:tcPr>
            <w:tcW w:w="1077" w:type="dxa"/>
            <w:tcBorders>
              <w:top w:val="single" w:sz="12" w:space="0" w:color="auto"/>
            </w:tcBorders>
            <w:vAlign w:val="center"/>
          </w:tcPr>
          <w:p w14:paraId="5F698365" w14:textId="5EFBAAF4" w:rsidR="00C23E57" w:rsidRPr="00B91EE1" w:rsidRDefault="00E1047B" w:rsidP="004522B1">
            <w:pPr>
              <w:pStyle w:val="Tabletext"/>
              <w:spacing w:before="20" w:after="20"/>
              <w:jc w:val="right"/>
              <w:rPr>
                <w:rFonts w:cs="Calibri"/>
                <w:b/>
                <w:bCs/>
                <w:sz w:val="14"/>
                <w:szCs w:val="14"/>
              </w:rPr>
            </w:pPr>
            <w:r w:rsidRPr="00B91EE1">
              <w:rPr>
                <w:rFonts w:cs="Calibri"/>
                <w:b/>
                <w:bCs/>
                <w:sz w:val="14"/>
                <w:szCs w:val="14"/>
              </w:rPr>
              <w:t>32 455</w:t>
            </w:r>
          </w:p>
        </w:tc>
        <w:tc>
          <w:tcPr>
            <w:tcW w:w="1078" w:type="dxa"/>
            <w:tcBorders>
              <w:top w:val="single" w:sz="12" w:space="0" w:color="auto"/>
            </w:tcBorders>
            <w:vAlign w:val="center"/>
          </w:tcPr>
          <w:p w14:paraId="6DE296C0" w14:textId="41CE7C22" w:rsidR="00C23E57" w:rsidRPr="00B91EE1" w:rsidRDefault="00E1047B" w:rsidP="004522B1">
            <w:pPr>
              <w:pStyle w:val="Tabletext"/>
              <w:jc w:val="right"/>
              <w:rPr>
                <w:rFonts w:cs="Calibri"/>
                <w:b/>
                <w:bCs/>
                <w:sz w:val="14"/>
                <w:szCs w:val="14"/>
              </w:rPr>
            </w:pPr>
            <w:r w:rsidRPr="00B91EE1">
              <w:rPr>
                <w:rFonts w:cs="Calibri"/>
                <w:b/>
                <w:bCs/>
                <w:sz w:val="14"/>
                <w:szCs w:val="14"/>
              </w:rPr>
              <w:t>61 338</w:t>
            </w:r>
          </w:p>
        </w:tc>
      </w:tr>
    </w:tbl>
    <w:p w14:paraId="56C04816" w14:textId="60252DE4" w:rsidR="006C33D7" w:rsidRPr="00B91EE1" w:rsidRDefault="006C33D7" w:rsidP="004522B1">
      <w:pPr>
        <w:spacing w:before="240"/>
      </w:pPr>
      <w:r w:rsidRPr="00B91EE1">
        <w:t>Le montant de l</w:t>
      </w:r>
      <w:r w:rsidR="00392F9A" w:rsidRPr="00B91EE1">
        <w:t>'</w:t>
      </w:r>
      <w:r w:rsidRPr="00B91EE1">
        <w:t>unité contributive que doivent verser les États Membres, qui est de 318 000 CHF, a été maintenu</w:t>
      </w:r>
      <w:r w:rsidR="002C44EF" w:rsidRPr="00B91EE1">
        <w:t xml:space="preserve"> par la PP-22</w:t>
      </w:r>
      <w:r w:rsidRPr="00B91EE1">
        <w:t>, ce qui correspond à une croissance nominale zéro depuis 2016. Les charges et les produits sont</w:t>
      </w:r>
      <w:r w:rsidR="00011E8D" w:rsidRPr="00B91EE1">
        <w:t xml:space="preserve"> généralement</w:t>
      </w:r>
      <w:r w:rsidRPr="00B91EE1">
        <w:t xml:space="preserve"> alignés sans qu</w:t>
      </w:r>
      <w:r w:rsidR="00392F9A" w:rsidRPr="00B91EE1">
        <w:t>'</w:t>
      </w:r>
      <w:r w:rsidRPr="00B91EE1">
        <w:t>il ne soit nécessaire de faire un prélèvement sur le Fonds de réserve.</w:t>
      </w:r>
      <w:r w:rsidR="00CD3536" w:rsidRPr="00B91EE1">
        <w:t xml:space="preserve"> </w:t>
      </w:r>
      <w:r w:rsidR="00B52A2E" w:rsidRPr="00B91EE1">
        <w:t>En prévision d</w:t>
      </w:r>
      <w:r w:rsidR="00392F9A" w:rsidRPr="00B91EE1">
        <w:t>'</w:t>
      </w:r>
      <w:r w:rsidR="00B52A2E" w:rsidRPr="00B91EE1">
        <w:t>un déficit dans l</w:t>
      </w:r>
      <w:r w:rsidR="00392F9A" w:rsidRPr="00B91EE1">
        <w:t>'</w:t>
      </w:r>
      <w:r w:rsidR="00B52A2E" w:rsidRPr="00B91EE1">
        <w:t xml:space="preserve">exécution du budget </w:t>
      </w:r>
      <w:r w:rsidR="00226E5F" w:rsidRPr="00B91EE1">
        <w:t xml:space="preserve">pour </w:t>
      </w:r>
      <w:r w:rsidR="008C4C3E" w:rsidRPr="00B91EE1">
        <w:t>l</w:t>
      </w:r>
      <w:r w:rsidR="00392F9A" w:rsidRPr="00B91EE1">
        <w:t>'</w:t>
      </w:r>
      <w:r w:rsidR="008C4C3E" w:rsidRPr="00B91EE1">
        <w:t xml:space="preserve">exercice </w:t>
      </w:r>
      <w:r w:rsidR="00B52A2E" w:rsidRPr="00B91EE1">
        <w:t>2022, le Conseil a adopté, à sa session extraordinaire de 2023, la Résolution 1412</w:t>
      </w:r>
      <w:r w:rsidR="008C4C3E" w:rsidRPr="00B91EE1">
        <w:t xml:space="preserve">, </w:t>
      </w:r>
      <w:r w:rsidR="00B52A2E" w:rsidRPr="00B91EE1">
        <w:t>afin «</w:t>
      </w:r>
      <w:r w:rsidR="00CD3536" w:rsidRPr="00B91EE1">
        <w:rPr>
          <w:i/>
          <w:iCs/>
        </w:rPr>
        <w:t>qu</w:t>
      </w:r>
      <w:r w:rsidR="00392F9A" w:rsidRPr="00B91EE1">
        <w:rPr>
          <w:i/>
          <w:iCs/>
        </w:rPr>
        <w:t>'</w:t>
      </w:r>
      <w:r w:rsidR="00CD3536" w:rsidRPr="00B91EE1">
        <w:rPr>
          <w:i/>
          <w:iCs/>
        </w:rPr>
        <w:t>un montant allant jusqu</w:t>
      </w:r>
      <w:r w:rsidR="00392F9A" w:rsidRPr="00B91EE1">
        <w:rPr>
          <w:i/>
          <w:iCs/>
        </w:rPr>
        <w:t>'</w:t>
      </w:r>
      <w:r w:rsidR="00CD3536" w:rsidRPr="00B91EE1">
        <w:rPr>
          <w:i/>
          <w:iCs/>
        </w:rPr>
        <w:t>à</w:t>
      </w:r>
      <w:r w:rsidR="00CD3536" w:rsidRPr="00B91EE1" w:rsidDel="00FB7E0C">
        <w:rPr>
          <w:i/>
          <w:iCs/>
        </w:rPr>
        <w:t xml:space="preserve"> </w:t>
      </w:r>
      <w:r w:rsidR="00CD3536" w:rsidRPr="00B91EE1">
        <w:rPr>
          <w:i/>
          <w:iCs/>
        </w:rPr>
        <w:t>700 000 CHF</w:t>
      </w:r>
      <w:r w:rsidR="008C4C3E" w:rsidRPr="00B91EE1">
        <w:rPr>
          <w:i/>
          <w:iCs/>
        </w:rPr>
        <w:t xml:space="preserve"> </w:t>
      </w:r>
      <w:r w:rsidR="00B52A2E" w:rsidRPr="00B91EE1">
        <w:rPr>
          <w:i/>
          <w:iCs/>
        </w:rPr>
        <w:t>puisse</w:t>
      </w:r>
      <w:r w:rsidR="008C4C3E" w:rsidRPr="00B91EE1">
        <w:rPr>
          <w:i/>
          <w:iCs/>
        </w:rPr>
        <w:t xml:space="preserve"> </w:t>
      </w:r>
      <w:r w:rsidR="00CD3536" w:rsidRPr="00B91EE1">
        <w:rPr>
          <w:i/>
          <w:iCs/>
        </w:rPr>
        <w:t>être prélevé sur le Fonds de réserve en vue d</w:t>
      </w:r>
      <w:r w:rsidR="00392F9A" w:rsidRPr="00B91EE1">
        <w:rPr>
          <w:i/>
          <w:iCs/>
        </w:rPr>
        <w:t>'</w:t>
      </w:r>
      <w:r w:rsidR="00CD3536" w:rsidRPr="00B91EE1">
        <w:rPr>
          <w:i/>
          <w:iCs/>
        </w:rPr>
        <w:t>être utilisé par le Secrétaire général si, à la fin de l</w:t>
      </w:r>
      <w:r w:rsidR="00392F9A" w:rsidRPr="00B91EE1">
        <w:rPr>
          <w:i/>
          <w:iCs/>
        </w:rPr>
        <w:t>'</w:t>
      </w:r>
      <w:r w:rsidR="00CD3536" w:rsidRPr="00B91EE1">
        <w:rPr>
          <w:i/>
          <w:iCs/>
        </w:rPr>
        <w:t>année, il subsiste un déficit dans l</w:t>
      </w:r>
      <w:r w:rsidR="00392F9A" w:rsidRPr="00B91EE1">
        <w:rPr>
          <w:i/>
          <w:iCs/>
        </w:rPr>
        <w:t>'</w:t>
      </w:r>
      <w:r w:rsidR="00CD3536" w:rsidRPr="00B91EE1">
        <w:rPr>
          <w:i/>
          <w:iCs/>
        </w:rPr>
        <w:t>exécution du budget pour 2022</w:t>
      </w:r>
      <w:r w:rsidR="00B52A2E" w:rsidRPr="00B91EE1">
        <w:t>»</w:t>
      </w:r>
      <w:r w:rsidR="00B91EE1" w:rsidRPr="00B91EE1">
        <w:t>.</w:t>
      </w:r>
    </w:p>
    <w:p w14:paraId="299A6A28" w14:textId="71E12AB0" w:rsidR="006C33D7" w:rsidRPr="00B91EE1" w:rsidRDefault="006C33D7" w:rsidP="004522B1">
      <w:r w:rsidRPr="00B91EE1">
        <w:t>Comme dans les budgets précédents, un taux de vacance d</w:t>
      </w:r>
      <w:r w:rsidR="00392F9A" w:rsidRPr="00B91EE1">
        <w:t>'</w:t>
      </w:r>
      <w:r w:rsidRPr="00B91EE1">
        <w:t>emploi de 5% a été appliqué</w:t>
      </w:r>
      <w:r w:rsidR="001A312A" w:rsidRPr="00B91EE1">
        <w:t xml:space="preserve"> en 2023</w:t>
      </w:r>
      <w:r w:rsidRPr="00B91EE1">
        <w:t xml:space="preserve">, </w:t>
      </w:r>
      <w:r w:rsidR="008C4C3E" w:rsidRPr="00B91EE1">
        <w:t>d</w:t>
      </w:r>
      <w:r w:rsidR="00392F9A" w:rsidRPr="00B91EE1">
        <w:t>'</w:t>
      </w:r>
      <w:r w:rsidR="008C4C3E" w:rsidRPr="00B91EE1">
        <w:t>où</w:t>
      </w:r>
      <w:r w:rsidR="005556F1" w:rsidRPr="00B91EE1">
        <w:t xml:space="preserve"> la nécessité de reporter le recrutement de fonctionnaire</w:t>
      </w:r>
      <w:r w:rsidR="00B47634" w:rsidRPr="00B91EE1">
        <w:t>s</w:t>
      </w:r>
      <w:r w:rsidR="005556F1" w:rsidRPr="00B91EE1">
        <w:t xml:space="preserve"> et de recourir au</w:t>
      </w:r>
      <w:r w:rsidRPr="00B91EE1">
        <w:t xml:space="preserve"> travail à temps partiel </w:t>
      </w:r>
      <w:r w:rsidR="008C4C3E" w:rsidRPr="00B91EE1">
        <w:t>ainsi qu</w:t>
      </w:r>
      <w:r w:rsidR="00392F9A" w:rsidRPr="00B91EE1">
        <w:t>'</w:t>
      </w:r>
      <w:r w:rsidR="005556F1" w:rsidRPr="00B91EE1">
        <w:t>aux</w:t>
      </w:r>
      <w:r w:rsidRPr="00B91EE1">
        <w:t xml:space="preserve"> congés sans solde. </w:t>
      </w:r>
      <w:r w:rsidR="005556F1" w:rsidRPr="00B91EE1">
        <w:t>L</w:t>
      </w:r>
      <w:r w:rsidRPr="00B91EE1">
        <w:t>a mise en œuvre du taux de vacance d</w:t>
      </w:r>
      <w:r w:rsidR="00392F9A" w:rsidRPr="00B91EE1">
        <w:t>'</w:t>
      </w:r>
      <w:r w:rsidRPr="00B91EE1">
        <w:t xml:space="preserve">emploi </w:t>
      </w:r>
      <w:r w:rsidR="005556F1" w:rsidRPr="00B91EE1">
        <w:t xml:space="preserve">de 5% continue de </w:t>
      </w:r>
      <w:r w:rsidRPr="00B91EE1">
        <w:t>pose</w:t>
      </w:r>
      <w:r w:rsidR="00040BDE" w:rsidRPr="00B91EE1">
        <w:t>r</w:t>
      </w:r>
      <w:r w:rsidRPr="00B91EE1">
        <w:t xml:space="preserve"> des </w:t>
      </w:r>
      <w:r w:rsidR="008C4C3E" w:rsidRPr="00B91EE1">
        <w:t xml:space="preserve">problèmes </w:t>
      </w:r>
      <w:r w:rsidRPr="00B91EE1">
        <w:t xml:space="preserve">considérables dans la gestion </w:t>
      </w:r>
      <w:r w:rsidR="005556F1" w:rsidRPr="00B91EE1">
        <w:t xml:space="preserve">des activités du BR, car </w:t>
      </w:r>
      <w:r w:rsidR="00BD2043" w:rsidRPr="00B91EE1">
        <w:t>les</w:t>
      </w:r>
      <w:r w:rsidRPr="00B91EE1">
        <w:t xml:space="preserve"> </w:t>
      </w:r>
      <w:r w:rsidR="003055CD" w:rsidRPr="00B91EE1">
        <w:t xml:space="preserve">nouveaux </w:t>
      </w:r>
      <w:r w:rsidRPr="00B91EE1">
        <w:t xml:space="preserve">postes </w:t>
      </w:r>
      <w:r w:rsidR="00BD2043" w:rsidRPr="00B91EE1">
        <w:t>vacants des fonctionnaires ayant pris leur retraite</w:t>
      </w:r>
      <w:r w:rsidR="008C4C3E" w:rsidRPr="00B91EE1">
        <w:t xml:space="preserve"> récemment </w:t>
      </w:r>
      <w:r w:rsidR="00040BDE" w:rsidRPr="00B91EE1">
        <w:t>ont été gelés</w:t>
      </w:r>
      <w:r w:rsidRPr="00B91EE1">
        <w:t xml:space="preserve"> et le processus de recrutement</w:t>
      </w:r>
      <w:r w:rsidR="00040BDE" w:rsidRPr="00B91EE1">
        <w:t xml:space="preserve"> pour d</w:t>
      </w:r>
      <w:r w:rsidR="00392F9A" w:rsidRPr="00B91EE1">
        <w:t>'</w:t>
      </w:r>
      <w:r w:rsidR="00040BDE" w:rsidRPr="00B91EE1">
        <w:t xml:space="preserve">autres postes vacants a été </w:t>
      </w:r>
      <w:r w:rsidR="008C4C3E" w:rsidRPr="00B91EE1">
        <w:t xml:space="preserve">retardé ou </w:t>
      </w:r>
      <w:r w:rsidR="00040BDE" w:rsidRPr="00B91EE1">
        <w:t>reporté</w:t>
      </w:r>
      <w:r w:rsidRPr="00B91EE1">
        <w:t xml:space="preserve">. Le budget pour </w:t>
      </w:r>
      <w:r w:rsidR="008C4C3E" w:rsidRPr="00B91EE1">
        <w:t>la période</w:t>
      </w:r>
      <w:r w:rsidR="004522B1" w:rsidRPr="00B91EE1">
        <w:t> </w:t>
      </w:r>
      <w:r w:rsidRPr="00B91EE1">
        <w:t>2022</w:t>
      </w:r>
      <w:r w:rsidR="004522B1" w:rsidRPr="00B91EE1">
        <w:noBreakHyphen/>
      </w:r>
      <w:r w:rsidRPr="00B91EE1">
        <w:t xml:space="preserve">2023 a été </w:t>
      </w:r>
      <w:r w:rsidR="008C4C3E" w:rsidRPr="00B91EE1">
        <w:t xml:space="preserve">établi sur la base du </w:t>
      </w:r>
      <w:r w:rsidRPr="00B91EE1">
        <w:t>programme d</w:t>
      </w:r>
      <w:r w:rsidR="00392F9A" w:rsidRPr="00B91EE1">
        <w:t>'</w:t>
      </w:r>
      <w:r w:rsidRPr="00B91EE1">
        <w:t>activités de l</w:t>
      </w:r>
      <w:r w:rsidR="00392F9A" w:rsidRPr="00B91EE1">
        <w:t>'</w:t>
      </w:r>
      <w:r w:rsidRPr="00B91EE1">
        <w:t>Union, qui inclut l</w:t>
      </w:r>
      <w:r w:rsidR="00392F9A" w:rsidRPr="00B91EE1">
        <w:t>'</w:t>
      </w:r>
      <w:r w:rsidRPr="00B91EE1">
        <w:t>organisation de la</w:t>
      </w:r>
      <w:r w:rsidR="004522B1" w:rsidRPr="00B91EE1">
        <w:t xml:space="preserve"> Conférence mondiale des radiocommunications de 2023 </w:t>
      </w:r>
      <w:r w:rsidR="008C4C3E" w:rsidRPr="00B91EE1">
        <w:t>(</w:t>
      </w:r>
      <w:r w:rsidRPr="00B91EE1">
        <w:t>CMR-23</w:t>
      </w:r>
      <w:r w:rsidR="008C4C3E" w:rsidRPr="00B91EE1">
        <w:t>)</w:t>
      </w:r>
      <w:r w:rsidRPr="00B91EE1">
        <w:t>.</w:t>
      </w:r>
    </w:p>
    <w:p w14:paraId="23E7452B" w14:textId="6D790D20" w:rsidR="006C33D7" w:rsidRPr="00B91EE1" w:rsidRDefault="00F029DF" w:rsidP="004522B1">
      <w:pPr>
        <w:snapToGrid w:val="0"/>
      </w:pPr>
      <w:r w:rsidRPr="00B91EE1">
        <w:t xml:space="preserve">Le projet de budget biennal pour </w:t>
      </w:r>
      <w:r w:rsidR="008C4C3E" w:rsidRPr="00B91EE1">
        <w:t xml:space="preserve">la période </w:t>
      </w:r>
      <w:r w:rsidR="00CD3536" w:rsidRPr="00B91EE1">
        <w:t xml:space="preserve">2024-2025 </w:t>
      </w:r>
      <w:r w:rsidRPr="00B91EE1">
        <w:t xml:space="preserve">sera présenté à la session de 2023 du Conseil pour adoption. </w:t>
      </w:r>
      <w:r w:rsidR="00C530E8" w:rsidRPr="00B91EE1">
        <w:t xml:space="preserve">À la date </w:t>
      </w:r>
      <w:r w:rsidR="00051461" w:rsidRPr="00B91EE1">
        <w:t>d</w:t>
      </w:r>
      <w:r w:rsidR="00392F9A" w:rsidRPr="00B91EE1">
        <w:t>'</w:t>
      </w:r>
      <w:r w:rsidR="00051461" w:rsidRPr="00B91EE1">
        <w:t xml:space="preserve">élaboration </w:t>
      </w:r>
      <w:r w:rsidR="00C530E8" w:rsidRPr="00B91EE1">
        <w:t xml:space="preserve">du présent rapport, le projet de budget </w:t>
      </w:r>
      <w:r w:rsidR="00F73C19" w:rsidRPr="00B91EE1">
        <w:t>de l</w:t>
      </w:r>
      <w:r w:rsidR="00392F9A" w:rsidRPr="00B91EE1">
        <w:t>'</w:t>
      </w:r>
      <w:r w:rsidR="00F73C19" w:rsidRPr="00B91EE1">
        <w:t xml:space="preserve">UIT pour la période 2024-2025 qui sera présenté au Conseil ne </w:t>
      </w:r>
      <w:r w:rsidR="003945EF" w:rsidRPr="00B91EE1">
        <w:t xml:space="preserve">permettra pas de </w:t>
      </w:r>
      <w:r w:rsidR="00051461" w:rsidRPr="00B91EE1">
        <w:t xml:space="preserve">répondre pleinement </w:t>
      </w:r>
      <w:r w:rsidR="00F73C19" w:rsidRPr="00B91EE1">
        <w:t>aux besoins financiers du BR.</w:t>
      </w:r>
    </w:p>
    <w:p w14:paraId="6AF84593" w14:textId="20F63884" w:rsidR="006C33D7" w:rsidRPr="00B91EE1" w:rsidRDefault="00CD3536" w:rsidP="004522B1">
      <w:pPr>
        <w:pStyle w:val="Heading3"/>
      </w:pPr>
      <w:r w:rsidRPr="00B91EE1">
        <w:lastRenderedPageBreak/>
        <w:t>2.</w:t>
      </w:r>
      <w:r w:rsidR="00A96654" w:rsidRPr="00B91EE1">
        <w:t>2.4</w:t>
      </w:r>
      <w:r w:rsidR="00A96654" w:rsidRPr="00B91EE1">
        <w:tab/>
        <w:t>Utilisation des six langues officielles de l</w:t>
      </w:r>
      <w:r w:rsidR="00392F9A" w:rsidRPr="00B91EE1">
        <w:t>'</w:t>
      </w:r>
      <w:r w:rsidR="00A96654" w:rsidRPr="00B91EE1">
        <w:t>Union</w:t>
      </w:r>
      <w:r w:rsidR="00A67D43" w:rsidRPr="00B91EE1">
        <w:t xml:space="preserve"> </w:t>
      </w:r>
      <w:r w:rsidR="00A96654" w:rsidRPr="00B91EE1">
        <w:t>sur un pied d</w:t>
      </w:r>
      <w:r w:rsidR="00392F9A" w:rsidRPr="00B91EE1">
        <w:t>'</w:t>
      </w:r>
      <w:r w:rsidR="00A96654" w:rsidRPr="00B91EE1">
        <w:t>égalité</w:t>
      </w:r>
    </w:p>
    <w:p w14:paraId="0C6CDB23" w14:textId="7B1848EB" w:rsidR="00A96654" w:rsidRPr="00B91EE1" w:rsidRDefault="00A67D43" w:rsidP="004522B1">
      <w:pPr>
        <w:keepNext/>
        <w:keepLines/>
      </w:pPr>
      <w:r w:rsidRPr="00B91EE1">
        <w:t xml:space="preserve">La Conférence de plénipotentiaires de </w:t>
      </w:r>
      <w:r w:rsidR="00051461" w:rsidRPr="00B91EE1">
        <w:t>l</w:t>
      </w:r>
      <w:r w:rsidR="00392F9A" w:rsidRPr="00B91EE1">
        <w:t>'</w:t>
      </w:r>
      <w:r w:rsidR="00051461" w:rsidRPr="00B91EE1">
        <w:t xml:space="preserve">UIT tenue en </w:t>
      </w:r>
      <w:r w:rsidRPr="00B91EE1">
        <w:t>2022 (PP-22) a adopté la Résolution 154 (Rév.</w:t>
      </w:r>
      <w:r w:rsidR="00475A49" w:rsidRPr="00B91EE1">
        <w:t> </w:t>
      </w:r>
      <w:r w:rsidRPr="00B91EE1">
        <w:t>Bucarest,</w:t>
      </w:r>
      <w:r w:rsidR="00475A49" w:rsidRPr="00B91EE1">
        <w:t> </w:t>
      </w:r>
      <w:r w:rsidRPr="00B91EE1">
        <w:t>2022) relative à l</w:t>
      </w:r>
      <w:r w:rsidR="00392F9A" w:rsidRPr="00B91EE1">
        <w:t>'</w:t>
      </w:r>
      <w:r w:rsidRPr="00B91EE1">
        <w:t>utilisation des six langues officielles de l</w:t>
      </w:r>
      <w:r w:rsidR="00392F9A" w:rsidRPr="00B91EE1">
        <w:t>'</w:t>
      </w:r>
      <w:r w:rsidRPr="00B91EE1">
        <w:t>Union</w:t>
      </w:r>
      <w:r w:rsidR="00A96654" w:rsidRPr="00B91EE1">
        <w:t xml:space="preserve">. </w:t>
      </w:r>
      <w:r w:rsidRPr="00B91EE1">
        <w:t>L</w:t>
      </w:r>
      <w:r w:rsidR="00392F9A" w:rsidRPr="00B91EE1">
        <w:t>'</w:t>
      </w:r>
      <w:r w:rsidRPr="00B91EE1">
        <w:t xml:space="preserve">UIT est invitée, aux termes de cette Résolution, à </w:t>
      </w:r>
      <w:r w:rsidR="00A96654" w:rsidRPr="00B91EE1">
        <w:t>continuer de prendre toutes les mesures nécessaires pour garantir l</w:t>
      </w:r>
      <w:r w:rsidR="00392F9A" w:rsidRPr="00B91EE1">
        <w:t>'</w:t>
      </w:r>
      <w:r w:rsidR="00A96654" w:rsidRPr="00B91EE1">
        <w:t>utilisation des six langues officielles de l</w:t>
      </w:r>
      <w:r w:rsidR="00392F9A" w:rsidRPr="00B91EE1">
        <w:t>'</w:t>
      </w:r>
      <w:r w:rsidR="00A96654" w:rsidRPr="00B91EE1">
        <w:t>Union sur un pied d</w:t>
      </w:r>
      <w:r w:rsidR="00392F9A" w:rsidRPr="00B91EE1">
        <w:t>'</w:t>
      </w:r>
      <w:r w:rsidR="00A96654" w:rsidRPr="00B91EE1">
        <w:t>égalité, et pour assurer l</w:t>
      </w:r>
      <w:r w:rsidR="00392F9A" w:rsidRPr="00B91EE1">
        <w:t>'</w:t>
      </w:r>
      <w:r w:rsidR="00A96654" w:rsidRPr="00B91EE1">
        <w:t>interprétation et la traduction des documents de l</w:t>
      </w:r>
      <w:r w:rsidR="00392F9A" w:rsidRPr="00B91EE1">
        <w:t>'</w:t>
      </w:r>
      <w:r w:rsidR="00A96654" w:rsidRPr="00B91EE1">
        <w:t>UIT, même s</w:t>
      </w:r>
      <w:r w:rsidR="00392F9A" w:rsidRPr="00B91EE1">
        <w:t>'</w:t>
      </w:r>
      <w:r w:rsidR="00A96654" w:rsidRPr="00B91EE1">
        <w:t>il se pourrait que certains travaux de l</w:t>
      </w:r>
      <w:r w:rsidR="00392F9A" w:rsidRPr="00B91EE1">
        <w:t>'</w:t>
      </w:r>
      <w:r w:rsidR="00A96654" w:rsidRPr="00B91EE1">
        <w:t>UIT (par exemple ceux des groupes de travail et des conférences régionales) ne nécessitent pas l</w:t>
      </w:r>
      <w:r w:rsidR="00392F9A" w:rsidRPr="00B91EE1">
        <w:t>'</w:t>
      </w:r>
      <w:r w:rsidR="00A96654" w:rsidRPr="00B91EE1">
        <w:t>utilisation de toutes les langues officielles.</w:t>
      </w:r>
    </w:p>
    <w:p w14:paraId="15E059B8" w14:textId="064318B7" w:rsidR="00A96654" w:rsidRPr="00B91EE1" w:rsidRDefault="00A67D43" w:rsidP="004522B1">
      <w:r w:rsidRPr="00B91EE1">
        <w:t>Dans sa Résolution 154 (Rév. Bucarest, 2022), la Conférence de plénipotentiaires charge le Secrétaire général</w:t>
      </w:r>
      <w:r w:rsidR="002115D1" w:rsidRPr="00B91EE1">
        <w:t xml:space="preserve"> de l</w:t>
      </w:r>
      <w:r w:rsidR="00392F9A" w:rsidRPr="00B91EE1">
        <w:t>'</w:t>
      </w:r>
      <w:r w:rsidR="002115D1" w:rsidRPr="00B91EE1">
        <w:t>UIT</w:t>
      </w:r>
      <w:r w:rsidRPr="00B91EE1">
        <w:t xml:space="preserve">, en collaboration étroite avec les Directeurs des Bureaux, de présenter chaque année au Conseil et au Groupe </w:t>
      </w:r>
      <w:r w:rsidR="002115D1" w:rsidRPr="00B91EE1">
        <w:t>de travail du Conseil sur l</w:t>
      </w:r>
      <w:r w:rsidR="00392F9A" w:rsidRPr="00B91EE1">
        <w:t>'</w:t>
      </w:r>
      <w:r w:rsidR="002115D1" w:rsidRPr="00B91EE1">
        <w:t>utilisation des langues (</w:t>
      </w:r>
      <w:r w:rsidRPr="00B91EE1">
        <w:t>GTC</w:t>
      </w:r>
      <w:r w:rsidR="006803A3" w:rsidRPr="00B91EE1">
        <w:noBreakHyphen/>
      </w:r>
      <w:r w:rsidRPr="00B91EE1">
        <w:t>LANG</w:t>
      </w:r>
      <w:r w:rsidR="002115D1" w:rsidRPr="00B91EE1">
        <w:t>)</w:t>
      </w:r>
      <w:r w:rsidRPr="00B91EE1">
        <w:t xml:space="preserve"> un rapport rendant compte d</w:t>
      </w:r>
      <w:r w:rsidR="00392F9A" w:rsidRPr="00B91EE1">
        <w:t>'</w:t>
      </w:r>
      <w:r w:rsidRPr="00B91EE1">
        <w:t>un ensemble de mesures prises pour appuyer le multilinguisme au sein de l</w:t>
      </w:r>
      <w:r w:rsidR="00392F9A" w:rsidRPr="00B91EE1">
        <w:t>'</w:t>
      </w:r>
      <w:r w:rsidRPr="00B91EE1">
        <w:t>UIT. Ils sont en outre chargés</w:t>
      </w:r>
      <w:r w:rsidR="00A96654" w:rsidRPr="00B91EE1">
        <w:t>:</w:t>
      </w:r>
    </w:p>
    <w:p w14:paraId="0803F789" w14:textId="16139645" w:rsidR="00A96654" w:rsidRPr="00B91EE1" w:rsidRDefault="00A96654" w:rsidP="004E669D">
      <w:pPr>
        <w:pStyle w:val="enumlev1"/>
      </w:pPr>
      <w:r w:rsidRPr="00B91EE1">
        <w:t>•</w:t>
      </w:r>
      <w:r w:rsidRPr="00B91EE1">
        <w:tab/>
        <w:t>de publier toutes les contributions soumises au secrétariat de l</w:t>
      </w:r>
      <w:r w:rsidR="00392F9A" w:rsidRPr="00B91EE1">
        <w:t>'</w:t>
      </w:r>
      <w:r w:rsidRPr="00B91EE1">
        <w:t>UIT pour une manifestation quelconque de l</w:t>
      </w:r>
      <w:r w:rsidR="00392F9A" w:rsidRPr="00B91EE1">
        <w:t>'</w:t>
      </w:r>
      <w:r w:rsidRPr="00B91EE1">
        <w:t>UIT, dans leur langue d</w:t>
      </w:r>
      <w:r w:rsidR="00392F9A" w:rsidRPr="00B91EE1">
        <w:t>'</w:t>
      </w:r>
      <w:r w:rsidRPr="00B91EE1">
        <w:t>origine, sur le site web de la manifestation en question dès que possible, mais en tout état de cause au plus tard trois jours ouvrables après leur réception, avant même leur traduction dans les autres langues officielles de l</w:t>
      </w:r>
      <w:r w:rsidR="00392F9A" w:rsidRPr="00B91EE1">
        <w:t>'</w:t>
      </w:r>
      <w:r w:rsidRPr="00B91EE1">
        <w:t>Union;</w:t>
      </w:r>
    </w:p>
    <w:p w14:paraId="1B3BFEDD" w14:textId="70150029" w:rsidR="00A96654" w:rsidRPr="00B91EE1" w:rsidRDefault="00A96654" w:rsidP="004E669D">
      <w:pPr>
        <w:pStyle w:val="enumlev1"/>
      </w:pPr>
      <w:r w:rsidRPr="00B91EE1">
        <w:t>•</w:t>
      </w:r>
      <w:r w:rsidRPr="00B91EE1">
        <w:tab/>
        <w:t>d</w:t>
      </w:r>
      <w:r w:rsidR="00392F9A" w:rsidRPr="00B91EE1">
        <w:t>'</w:t>
      </w:r>
      <w:r w:rsidRPr="00B91EE1">
        <w:t>intensifier les travaux visant à harmoniser les sites web des Secteurs et du Secrétariat général de l</w:t>
      </w:r>
      <w:r w:rsidR="00392F9A" w:rsidRPr="00B91EE1">
        <w:t>'</w:t>
      </w:r>
      <w:r w:rsidRPr="00B91EE1">
        <w:t>UIT dans toutes les langues officielles de l</w:t>
      </w:r>
      <w:r w:rsidR="00392F9A" w:rsidRPr="00B91EE1">
        <w:t>'</w:t>
      </w:r>
      <w:r w:rsidRPr="00B91EE1">
        <w:t>Union, dans un souci de clarté et pour faciliter la navigation, et pour donner l</w:t>
      </w:r>
      <w:r w:rsidR="00392F9A" w:rsidRPr="00B91EE1">
        <w:t>'</w:t>
      </w:r>
      <w:r w:rsidRPr="00B91EE1">
        <w:t>image d</w:t>
      </w:r>
      <w:r w:rsidR="00392F9A" w:rsidRPr="00B91EE1">
        <w:t>'</w:t>
      </w:r>
      <w:r w:rsidRPr="00B91EE1">
        <w:t>une UIT unie dans l</w:t>
      </w:r>
      <w:r w:rsidR="00392F9A" w:rsidRPr="00B91EE1">
        <w:t>'</w:t>
      </w:r>
      <w:r w:rsidRPr="00B91EE1">
        <w:t>action;</w:t>
      </w:r>
    </w:p>
    <w:p w14:paraId="67AD31AF" w14:textId="1B14BCDA" w:rsidR="00A96654" w:rsidRPr="00B91EE1" w:rsidRDefault="00A96654" w:rsidP="004E669D">
      <w:pPr>
        <w:pStyle w:val="enumlev1"/>
      </w:pPr>
      <w:r w:rsidRPr="00B91EE1">
        <w:t>•</w:t>
      </w:r>
      <w:r w:rsidRPr="00B91EE1">
        <w:tab/>
        <w:t>d</w:t>
      </w:r>
      <w:r w:rsidR="00392F9A" w:rsidRPr="00B91EE1">
        <w:t>'</w:t>
      </w:r>
      <w:r w:rsidRPr="00B91EE1">
        <w:t>appuyer l</w:t>
      </w:r>
      <w:r w:rsidR="00392F9A" w:rsidRPr="00B91EE1">
        <w:t>'</w:t>
      </w:r>
      <w:r w:rsidRPr="00B91EE1">
        <w:t>introduction du multilinguisme dans les communications et les échanges de connaissances, en veillant tout particulièrement à inclure des contenus multilingues sur les sites web officiels et les comptes de réseaux sociaux à travers le monde;</w:t>
      </w:r>
    </w:p>
    <w:p w14:paraId="7A57F8C3" w14:textId="16632349" w:rsidR="00A96654" w:rsidRPr="00B91EE1" w:rsidRDefault="00A96654" w:rsidP="004E669D">
      <w:pPr>
        <w:pStyle w:val="enumlev1"/>
      </w:pPr>
      <w:r w:rsidRPr="00B91EE1">
        <w:t>•</w:t>
      </w:r>
      <w:r w:rsidRPr="00B91EE1">
        <w:tab/>
        <w:t>de mettre à jour dans les meilleurs délais les pages du site web de l</w:t>
      </w:r>
      <w:r w:rsidR="00392F9A" w:rsidRPr="00B91EE1">
        <w:t>'</w:t>
      </w:r>
      <w:r w:rsidRPr="00B91EE1">
        <w:t>UIT dans les six langues de l</w:t>
      </w:r>
      <w:r w:rsidR="00392F9A" w:rsidRPr="00B91EE1">
        <w:t>'</w:t>
      </w:r>
      <w:r w:rsidRPr="00B91EE1">
        <w:t>Union;</w:t>
      </w:r>
    </w:p>
    <w:p w14:paraId="1BEF4A27" w14:textId="6466804B" w:rsidR="00A96654" w:rsidRPr="00B91EE1" w:rsidRDefault="00A96654" w:rsidP="004E669D">
      <w:pPr>
        <w:pStyle w:val="enumlev1"/>
      </w:pPr>
      <w:r w:rsidRPr="00B91EE1">
        <w:t>•</w:t>
      </w:r>
      <w:r w:rsidRPr="00B91EE1">
        <w:tab/>
        <w:t>de fournir tous les renseignements et l</w:t>
      </w:r>
      <w:r w:rsidR="00392F9A" w:rsidRPr="00B91EE1">
        <w:t>'</w:t>
      </w:r>
      <w:r w:rsidRPr="00B91EE1">
        <w:t>appui nécessaires au CCT de l</w:t>
      </w:r>
      <w:r w:rsidR="00392F9A" w:rsidRPr="00B91EE1">
        <w:t>'</w:t>
      </w:r>
      <w:r w:rsidRPr="00B91EE1">
        <w:t>UIT;</w:t>
      </w:r>
    </w:p>
    <w:p w14:paraId="45FC70A4" w14:textId="714E4457" w:rsidR="00A96654" w:rsidRPr="00B91EE1" w:rsidRDefault="00A96654" w:rsidP="004E669D">
      <w:pPr>
        <w:pStyle w:val="enumlev1"/>
      </w:pPr>
      <w:r w:rsidRPr="00B91EE1">
        <w:t>•</w:t>
      </w:r>
      <w:r w:rsidRPr="00B91EE1">
        <w:tab/>
        <w:t>de recueillir tous les nouveaux termes et toutes les nouvelles définitions proposés par les commissions d</w:t>
      </w:r>
      <w:r w:rsidR="00392F9A" w:rsidRPr="00B91EE1">
        <w:t>'</w:t>
      </w:r>
      <w:r w:rsidRPr="00B91EE1">
        <w:t>études de l</w:t>
      </w:r>
      <w:r w:rsidR="00392F9A" w:rsidRPr="00B91EE1">
        <w:t>'</w:t>
      </w:r>
      <w:r w:rsidRPr="00B91EE1">
        <w:t>UIT en concertation avec le CCT de l</w:t>
      </w:r>
      <w:r w:rsidR="00392F9A" w:rsidRPr="00B91EE1">
        <w:t>'</w:t>
      </w:r>
      <w:r w:rsidRPr="00B91EE1">
        <w:t>UIT, de les introduire dans la base de données en ligne de l</w:t>
      </w:r>
      <w:r w:rsidR="00392F9A" w:rsidRPr="00B91EE1">
        <w:t>'</w:t>
      </w:r>
      <w:r w:rsidRPr="00B91EE1">
        <w:t>UIT consacrée à ces termes et définitions et d</w:t>
      </w:r>
      <w:r w:rsidR="00392F9A" w:rsidRPr="00B91EE1">
        <w:t>'</w:t>
      </w:r>
      <w:r w:rsidRPr="00B91EE1">
        <w:t>améliorer les fonctions de recherche de la base de données sur la base d</w:t>
      </w:r>
      <w:r w:rsidR="00392F9A" w:rsidRPr="00B91EE1">
        <w:t>'</w:t>
      </w:r>
      <w:r w:rsidRPr="00B91EE1">
        <w:t>intervalles de temps;</w:t>
      </w:r>
    </w:p>
    <w:p w14:paraId="007A1F72" w14:textId="4C0E9AFA" w:rsidR="00A96654" w:rsidRPr="00B91EE1" w:rsidRDefault="00A96654" w:rsidP="004E669D">
      <w:pPr>
        <w:pStyle w:val="enumlev1"/>
      </w:pPr>
      <w:r w:rsidRPr="00B91EE1">
        <w:t>•</w:t>
      </w:r>
      <w:r w:rsidRPr="00B91EE1">
        <w:tab/>
        <w:t>de suivre la qualité des services d</w:t>
      </w:r>
      <w:r w:rsidR="00392F9A" w:rsidRPr="00B91EE1">
        <w:t>'</w:t>
      </w:r>
      <w:r w:rsidRPr="00B91EE1">
        <w:t>interprétation et de traduction ainsi que les charges associées;</w:t>
      </w:r>
    </w:p>
    <w:p w14:paraId="6815000D" w14:textId="5E1791BB" w:rsidR="00A96654" w:rsidRPr="00B91EE1" w:rsidRDefault="00A96654" w:rsidP="004E669D">
      <w:pPr>
        <w:pStyle w:val="enumlev1"/>
      </w:pPr>
      <w:r w:rsidRPr="00B91EE1">
        <w:t>•</w:t>
      </w:r>
      <w:r w:rsidRPr="00B91EE1">
        <w:tab/>
        <w:t>de continuer de faire traduire les documents de l</w:t>
      </w:r>
      <w:r w:rsidR="00392F9A" w:rsidRPr="00B91EE1">
        <w:t>'</w:t>
      </w:r>
      <w:r w:rsidRPr="00B91EE1">
        <w:t>UIT relatifs aux politiques et les autres documents contenant des orientations sur les droits de propriété intellectuelle à l</w:t>
      </w:r>
      <w:r w:rsidR="00392F9A" w:rsidRPr="00B91EE1">
        <w:t>'</w:t>
      </w:r>
      <w:r w:rsidRPr="00B91EE1">
        <w:t>UIT;</w:t>
      </w:r>
    </w:p>
    <w:p w14:paraId="08AFCFF0" w14:textId="54803AEF" w:rsidR="00A96654" w:rsidRPr="00B91EE1" w:rsidRDefault="00A96654" w:rsidP="004E669D">
      <w:pPr>
        <w:pStyle w:val="enumlev1"/>
      </w:pPr>
      <w:r w:rsidRPr="00B91EE1">
        <w:t>•</w:t>
      </w:r>
      <w:r w:rsidRPr="00B91EE1">
        <w:tab/>
        <w:t>de continuer d</w:t>
      </w:r>
      <w:r w:rsidR="00392F9A" w:rsidRPr="00B91EE1">
        <w:t>'</w:t>
      </w:r>
      <w:r w:rsidRPr="00B91EE1">
        <w:t>étudier toutes les options possibles pour assurer l</w:t>
      </w:r>
      <w:r w:rsidR="00392F9A" w:rsidRPr="00B91EE1">
        <w:t>'</w:t>
      </w:r>
      <w:r w:rsidRPr="00B91EE1">
        <w:t>interprétation et la traduction des documents existants de l</w:t>
      </w:r>
      <w:r w:rsidR="00392F9A" w:rsidRPr="00B91EE1">
        <w:t>'</w:t>
      </w:r>
      <w:r w:rsidRPr="00B91EE1">
        <w:t>UIT, afin de promouvoir l</w:t>
      </w:r>
      <w:r w:rsidR="00392F9A" w:rsidRPr="00B91EE1">
        <w:t>'</w:t>
      </w:r>
      <w:r w:rsidRPr="00B91EE1">
        <w:t>utilisation des six langues officielles de l</w:t>
      </w:r>
      <w:r w:rsidR="00392F9A" w:rsidRPr="00B91EE1">
        <w:t>'</w:t>
      </w:r>
      <w:r w:rsidRPr="00B91EE1">
        <w:t>Union sur un pied d</w:t>
      </w:r>
      <w:r w:rsidR="00392F9A" w:rsidRPr="00B91EE1">
        <w:t>'</w:t>
      </w:r>
      <w:r w:rsidRPr="00B91EE1">
        <w:t>égalité durant les réunions officielles de</w:t>
      </w:r>
      <w:r w:rsidR="004522B1" w:rsidRPr="00B91EE1">
        <w:t> </w:t>
      </w:r>
      <w:r w:rsidRPr="00B91EE1">
        <w:t>l</w:t>
      </w:r>
      <w:r w:rsidR="00392F9A" w:rsidRPr="00B91EE1">
        <w:t>'</w:t>
      </w:r>
      <w:r w:rsidRPr="00B91EE1">
        <w:t>UIT;</w:t>
      </w:r>
    </w:p>
    <w:p w14:paraId="1E895721" w14:textId="0E06C105" w:rsidR="00A96654" w:rsidRPr="00B91EE1" w:rsidRDefault="00A96654" w:rsidP="004E669D">
      <w:pPr>
        <w:pStyle w:val="enumlev1"/>
      </w:pPr>
      <w:r w:rsidRPr="00B91EE1">
        <w:t>•</w:t>
      </w:r>
      <w:r w:rsidRPr="00B91EE1">
        <w:tab/>
        <w:t>de continuer de collaborer avec les États Membres intéressés et, dans la mesure du possible, de parfaire la traduction de la terminologie et des définitions dans les six langues officielles,</w:t>
      </w:r>
    </w:p>
    <w:p w14:paraId="1C67D0C4" w14:textId="6660E1D8" w:rsidR="00A96654" w:rsidRPr="00B91EE1" w:rsidRDefault="00A67D43" w:rsidP="004522B1">
      <w:pPr>
        <w:keepNext/>
        <w:keepLines/>
      </w:pPr>
      <w:r w:rsidRPr="00B91EE1">
        <w:lastRenderedPageBreak/>
        <w:t xml:space="preserve">Cette Résolution sera mise en œuvre par le Groupe intersectoriel sur le multilinguisme, initialement </w:t>
      </w:r>
      <w:r w:rsidR="006C2CD3" w:rsidRPr="00B91EE1">
        <w:t xml:space="preserve">créé </w:t>
      </w:r>
      <w:r w:rsidRPr="00B91EE1">
        <w:t xml:space="preserve">par le Conseil </w:t>
      </w:r>
      <w:r w:rsidR="002115D1" w:rsidRPr="00B91EE1">
        <w:t xml:space="preserve">à sa session </w:t>
      </w:r>
      <w:r w:rsidRPr="00B91EE1">
        <w:t>de 2022, en vue d</w:t>
      </w:r>
      <w:r w:rsidR="00392F9A" w:rsidRPr="00B91EE1">
        <w:t>'</w:t>
      </w:r>
      <w:r w:rsidRPr="00B91EE1">
        <w:t xml:space="preserve">élaborer un cadre </w:t>
      </w:r>
      <w:r w:rsidR="00537BED" w:rsidRPr="00B91EE1">
        <w:t xml:space="preserve">directeur </w:t>
      </w:r>
      <w:r w:rsidRPr="00B91EE1">
        <w:t xml:space="preserve">sur le multilinguisme. Ce groupe est </w:t>
      </w:r>
      <w:r w:rsidR="00EB0D7E" w:rsidRPr="00B91EE1">
        <w:t>maintenant chargé d</w:t>
      </w:r>
      <w:r w:rsidR="00392F9A" w:rsidRPr="00B91EE1">
        <w:t>'</w:t>
      </w:r>
      <w:r w:rsidR="00EB0D7E" w:rsidRPr="00B91EE1">
        <w:t>élaborer</w:t>
      </w:r>
      <w:r w:rsidRPr="00B91EE1">
        <w:t xml:space="preserve"> des lignes directrices administratives et opérationnelles pour la mise en œuvre du cadre </w:t>
      </w:r>
      <w:r w:rsidR="00537BED" w:rsidRPr="00B91EE1">
        <w:t>directeur</w:t>
      </w:r>
      <w:r w:rsidRPr="00B91EE1">
        <w:t xml:space="preserve"> sur le multilinguisme, comme demandé par le Conseil, et doit faire en sorte que les modifications apportées à la Résolution 154 soient </w:t>
      </w:r>
      <w:r w:rsidR="00EB0D7E" w:rsidRPr="00B91EE1">
        <w:t>suivies d</w:t>
      </w:r>
      <w:r w:rsidR="00392F9A" w:rsidRPr="00B91EE1">
        <w:t>'</w:t>
      </w:r>
      <w:r w:rsidR="00EB0D7E" w:rsidRPr="00B91EE1">
        <w:t>effet</w:t>
      </w:r>
      <w:r w:rsidRPr="00B91EE1">
        <w:t xml:space="preserve">. Les principales activités </w:t>
      </w:r>
      <w:r w:rsidR="00EB0D7E" w:rsidRPr="00B91EE1">
        <w:t>confiées</w:t>
      </w:r>
      <w:r w:rsidRPr="00B91EE1">
        <w:t xml:space="preserve"> </w:t>
      </w:r>
      <w:r w:rsidR="00EB0D7E" w:rsidRPr="00B91EE1">
        <w:t>au G</w:t>
      </w:r>
      <w:r w:rsidRPr="00B91EE1">
        <w:t>roupe sont les suivantes</w:t>
      </w:r>
      <w:r w:rsidR="00A96654" w:rsidRPr="00B91EE1">
        <w:t>:</w:t>
      </w:r>
    </w:p>
    <w:p w14:paraId="55C0BB7B" w14:textId="33147BA6" w:rsidR="00A96654" w:rsidRPr="00B91EE1" w:rsidRDefault="00A96654" w:rsidP="004E669D">
      <w:pPr>
        <w:pStyle w:val="enumlev1"/>
      </w:pPr>
      <w:r w:rsidRPr="00B91EE1">
        <w:t>•</w:t>
      </w:r>
      <w:r w:rsidRPr="00B91EE1">
        <w:tab/>
      </w:r>
      <w:r w:rsidR="00A67D43" w:rsidRPr="00B91EE1">
        <w:t>Élabor</w:t>
      </w:r>
      <w:r w:rsidR="00EB0D7E" w:rsidRPr="00B91EE1">
        <w:t>er</w:t>
      </w:r>
      <w:r w:rsidR="00A67D43" w:rsidRPr="00B91EE1">
        <w:t xml:space="preserve"> des lignes directrices administratives et opérationnelles pour la mise en œuvre du cadre </w:t>
      </w:r>
      <w:r w:rsidR="00537BED" w:rsidRPr="00B91EE1">
        <w:t>directeur</w:t>
      </w:r>
      <w:r w:rsidR="00A67D43" w:rsidRPr="00B91EE1">
        <w:t xml:space="preserve"> sur le multilinguisme</w:t>
      </w:r>
      <w:r w:rsidR="002115D1" w:rsidRPr="00B91EE1">
        <w:t>.</w:t>
      </w:r>
    </w:p>
    <w:p w14:paraId="5DE53413" w14:textId="7BD4FD66" w:rsidR="00A96654" w:rsidRPr="00B91EE1" w:rsidRDefault="00A96654" w:rsidP="004E669D">
      <w:pPr>
        <w:pStyle w:val="enumlev1"/>
      </w:pPr>
      <w:r w:rsidRPr="00B91EE1">
        <w:t>•</w:t>
      </w:r>
      <w:r w:rsidRPr="00B91EE1">
        <w:tab/>
      </w:r>
      <w:r w:rsidR="00A67D43" w:rsidRPr="00B91EE1">
        <w:t>Renforce</w:t>
      </w:r>
      <w:r w:rsidR="00EB0D7E" w:rsidRPr="00B91EE1">
        <w:t>r</w:t>
      </w:r>
      <w:r w:rsidR="00A67D43" w:rsidRPr="00B91EE1">
        <w:t xml:space="preserve"> et harmonis</w:t>
      </w:r>
      <w:r w:rsidR="00EB0D7E" w:rsidRPr="00B91EE1">
        <w:t>er</w:t>
      </w:r>
      <w:r w:rsidR="00A67D43" w:rsidRPr="00B91EE1">
        <w:t xml:space="preserve"> </w:t>
      </w:r>
      <w:r w:rsidR="00EB0D7E" w:rsidRPr="00B91EE1">
        <w:t xml:space="preserve">le </w:t>
      </w:r>
      <w:r w:rsidR="00A67D43" w:rsidRPr="00B91EE1">
        <w:t>rôle du Comité de coordination de l</w:t>
      </w:r>
      <w:r w:rsidR="00392F9A" w:rsidRPr="00B91EE1">
        <w:t>'</w:t>
      </w:r>
      <w:r w:rsidR="00A67D43" w:rsidRPr="00B91EE1">
        <w:t>UIT pour la terminologie</w:t>
      </w:r>
      <w:r w:rsidR="002115D1" w:rsidRPr="00B91EE1">
        <w:t>.</w:t>
      </w:r>
    </w:p>
    <w:p w14:paraId="3D0BA74D" w14:textId="4868216F" w:rsidR="00A96654" w:rsidRPr="00B91EE1" w:rsidRDefault="00A96654" w:rsidP="004E669D">
      <w:pPr>
        <w:pStyle w:val="enumlev1"/>
      </w:pPr>
      <w:r w:rsidRPr="00B91EE1">
        <w:t>•</w:t>
      </w:r>
      <w:r w:rsidRPr="00B91EE1">
        <w:tab/>
      </w:r>
      <w:r w:rsidR="00A67D43" w:rsidRPr="00B91EE1">
        <w:t>Augment</w:t>
      </w:r>
      <w:r w:rsidR="00EB0D7E" w:rsidRPr="00B91EE1">
        <w:t>er</w:t>
      </w:r>
      <w:r w:rsidR="00A67D43" w:rsidRPr="00B91EE1">
        <w:t xml:space="preserve"> </w:t>
      </w:r>
      <w:r w:rsidR="00EB0D7E" w:rsidRPr="00B91EE1">
        <w:t>le</w:t>
      </w:r>
      <w:r w:rsidR="00A67D43" w:rsidRPr="00B91EE1">
        <w:t xml:space="preserve"> nombre de contenus du site web disponibles dans les six langues et cré</w:t>
      </w:r>
      <w:r w:rsidR="00EB0D7E" w:rsidRPr="00B91EE1">
        <w:t>er</w:t>
      </w:r>
      <w:r w:rsidR="00A67D43" w:rsidRPr="00B91EE1">
        <w:t xml:space="preserve"> une politique harmonisée concernant les niveaux de page/types de page/types de traduction (humaine/</w:t>
      </w:r>
      <w:r w:rsidR="00537BED" w:rsidRPr="00B91EE1">
        <w:t>automatique</w:t>
      </w:r>
      <w:r w:rsidR="00A67D43" w:rsidRPr="00B91EE1">
        <w:t>) dans tous les secteurs</w:t>
      </w:r>
      <w:r w:rsidR="002115D1" w:rsidRPr="00B91EE1">
        <w:t>.</w:t>
      </w:r>
    </w:p>
    <w:p w14:paraId="031E0C1E" w14:textId="171ECDD9" w:rsidR="00A96654" w:rsidRPr="00B91EE1" w:rsidRDefault="00A96654" w:rsidP="004E669D">
      <w:pPr>
        <w:pStyle w:val="enumlev1"/>
      </w:pPr>
      <w:r w:rsidRPr="00B91EE1">
        <w:t>•</w:t>
      </w:r>
      <w:r w:rsidRPr="00B91EE1">
        <w:tab/>
      </w:r>
      <w:r w:rsidR="00537BED" w:rsidRPr="00B91EE1">
        <w:t>Rendre compte au</w:t>
      </w:r>
      <w:r w:rsidR="00A67D43" w:rsidRPr="00B91EE1">
        <w:t xml:space="preserve"> Conseil </w:t>
      </w:r>
      <w:r w:rsidR="00537BED" w:rsidRPr="00B91EE1">
        <w:t xml:space="preserve">de la suite donnée à </w:t>
      </w:r>
      <w:r w:rsidR="00A67D43" w:rsidRPr="00B91EE1">
        <w:t xml:space="preserve">la Résolution 154 concernant </w:t>
      </w:r>
      <w:r w:rsidR="00537BED" w:rsidRPr="00B91EE1">
        <w:t>les points précédents</w:t>
      </w:r>
      <w:r w:rsidR="002115D1" w:rsidRPr="00B91EE1">
        <w:t>.</w:t>
      </w:r>
    </w:p>
    <w:p w14:paraId="5F9890C9" w14:textId="3096560C" w:rsidR="00A96654" w:rsidRPr="00B91EE1" w:rsidRDefault="00051461" w:rsidP="004522B1">
      <w:r w:rsidRPr="00B91EE1">
        <w:t xml:space="preserve">En outre, dans la </w:t>
      </w:r>
      <w:r w:rsidR="00A96654" w:rsidRPr="00B91EE1">
        <w:t>Résolution 154 (Rév.</w:t>
      </w:r>
      <w:r w:rsidR="00F80BD5" w:rsidRPr="00B91EE1">
        <w:t xml:space="preserve"> </w:t>
      </w:r>
      <w:r w:rsidR="00A96654" w:rsidRPr="00B91EE1">
        <w:t>Bucarest, 2022)</w:t>
      </w:r>
      <w:r w:rsidRPr="00B91EE1">
        <w:t xml:space="preserve">, </w:t>
      </w:r>
      <w:r w:rsidR="00A96654" w:rsidRPr="00B91EE1">
        <w:t xml:space="preserve">les groupes consultatifs des Secteurs </w:t>
      </w:r>
      <w:r w:rsidRPr="00B91EE1">
        <w:t xml:space="preserve">sont chargés </w:t>
      </w:r>
      <w:r w:rsidR="00A96654" w:rsidRPr="00B91EE1">
        <w:t>de procéder chaque année à un examen de l</w:t>
      </w:r>
      <w:r w:rsidR="00392F9A" w:rsidRPr="00B91EE1">
        <w:t>'</w:t>
      </w:r>
      <w:r w:rsidR="00A96654" w:rsidRPr="00B91EE1">
        <w:t>utilisation sur un pied d</w:t>
      </w:r>
      <w:r w:rsidR="00392F9A" w:rsidRPr="00B91EE1">
        <w:t>'</w:t>
      </w:r>
      <w:r w:rsidR="00A96654" w:rsidRPr="00B91EE1">
        <w:t>égalité de toutes les langues officielles de l</w:t>
      </w:r>
      <w:r w:rsidR="00392F9A" w:rsidRPr="00B91EE1">
        <w:t>'</w:t>
      </w:r>
      <w:r w:rsidR="00A96654" w:rsidRPr="00B91EE1">
        <w:t>Union dans les publications et sur les sites web de l</w:t>
      </w:r>
      <w:r w:rsidR="00392F9A" w:rsidRPr="00B91EE1">
        <w:t>'</w:t>
      </w:r>
      <w:r w:rsidR="00A96654" w:rsidRPr="00B91EE1">
        <w:t>UIT.</w:t>
      </w:r>
    </w:p>
    <w:p w14:paraId="0FFAEA43" w14:textId="77777777" w:rsidR="00A96654" w:rsidRPr="00B91EE1" w:rsidRDefault="00A96654" w:rsidP="004522B1">
      <w:pPr>
        <w:pStyle w:val="Heading1"/>
      </w:pPr>
      <w:r w:rsidRPr="00B91EE1">
        <w:t>3</w:t>
      </w:r>
      <w:r w:rsidRPr="00B91EE1">
        <w:tab/>
        <w:t>Mise en œuvre des décisions de la CMR-19</w:t>
      </w:r>
    </w:p>
    <w:p w14:paraId="27F9D5B2" w14:textId="77777777" w:rsidR="00A96654" w:rsidRPr="00B91EE1" w:rsidRDefault="00A96654" w:rsidP="004522B1">
      <w:pPr>
        <w:pStyle w:val="Heading2"/>
      </w:pPr>
      <w:bookmarkStart w:id="34" w:name="_Toc446060764"/>
      <w:r w:rsidRPr="00B91EE1">
        <w:t>3.1</w:t>
      </w:r>
      <w:r w:rsidRPr="00B91EE1">
        <w:tab/>
      </w:r>
      <w:bookmarkStart w:id="35" w:name="lt_pId353"/>
      <w:bookmarkEnd w:id="34"/>
      <w:r w:rsidRPr="00B91EE1">
        <w:t>Élaboration de logiciels en application des décisions de la CMR-19</w:t>
      </w:r>
      <w:bookmarkEnd w:id="35"/>
    </w:p>
    <w:p w14:paraId="3687E0D6" w14:textId="77777777" w:rsidR="00A96654" w:rsidRPr="00B91EE1" w:rsidRDefault="00A96654" w:rsidP="004522B1">
      <w:bookmarkStart w:id="36" w:name="lt_pId354"/>
      <w:r w:rsidRPr="00B91EE1">
        <w:t>Le BR procède actuellement aux derniers travaux de conception et de développement de logiciels en application des décisions de la CMR-19.</w:t>
      </w:r>
      <w:bookmarkEnd w:id="36"/>
    </w:p>
    <w:p w14:paraId="15C93D0C" w14:textId="5A133824" w:rsidR="00A96654" w:rsidRPr="00B91EE1" w:rsidRDefault="00A96654" w:rsidP="004522B1">
      <w:r w:rsidRPr="00B91EE1">
        <w:t xml:space="preserve">On trouvera ci-dessous un résumé des tâches principales qui ont été achevées depuis le dernier rapport ou qui </w:t>
      </w:r>
      <w:r w:rsidR="00051461" w:rsidRPr="00B91EE1">
        <w:t>doivent encore être</w:t>
      </w:r>
      <w:r w:rsidRPr="00B91EE1">
        <w:t xml:space="preserve"> achev</w:t>
      </w:r>
      <w:r w:rsidR="00051461" w:rsidRPr="00B91EE1">
        <w:t>és</w:t>
      </w:r>
      <w:r w:rsidR="004522B1" w:rsidRPr="00B91EE1">
        <w:t>.</w:t>
      </w:r>
    </w:p>
    <w:p w14:paraId="6437BDE3" w14:textId="77777777" w:rsidR="00A96654" w:rsidRPr="00B91EE1" w:rsidRDefault="00A96654" w:rsidP="004522B1">
      <w:pPr>
        <w:pStyle w:val="Heading2"/>
      </w:pPr>
      <w:r w:rsidRPr="00B91EE1">
        <w:t>3.1.1</w:t>
      </w:r>
      <w:r w:rsidRPr="00B91EE1">
        <w:tab/>
        <w:t>Mise en œuvre des décisions de la CMR-19 se rapportant aux services de Terre</w:t>
      </w:r>
    </w:p>
    <w:p w14:paraId="7DCB36A9" w14:textId="4E84BE37" w:rsidR="00A96654" w:rsidRPr="00B91EE1" w:rsidRDefault="00A67D43" w:rsidP="004522B1">
      <w:r w:rsidRPr="00B91EE1">
        <w:t>L</w:t>
      </w:r>
      <w:r w:rsidR="00392F9A" w:rsidRPr="00B91EE1">
        <w:t>'</w:t>
      </w:r>
      <w:r w:rsidRPr="00B91EE1">
        <w:t xml:space="preserve">élaboration </w:t>
      </w:r>
      <w:r w:rsidR="00A96654" w:rsidRPr="00B91EE1">
        <w:t>de modules logiciels pour le traitement des notifications de stations HAPS (outils de validation, d</w:t>
      </w:r>
      <w:r w:rsidR="00392F9A" w:rsidRPr="00B91EE1">
        <w:t>'</w:t>
      </w:r>
      <w:r w:rsidR="00A96654" w:rsidRPr="00B91EE1">
        <w:t>examen et de publication)</w:t>
      </w:r>
      <w:r w:rsidRPr="00B91EE1">
        <w:t xml:space="preserve"> s</w:t>
      </w:r>
      <w:r w:rsidR="00392F9A" w:rsidRPr="00B91EE1">
        <w:t>'</w:t>
      </w:r>
      <w:r w:rsidRPr="00B91EE1">
        <w:t xml:space="preserve">est poursuivie </w:t>
      </w:r>
      <w:r w:rsidR="00537BED" w:rsidRPr="00B91EE1">
        <w:t xml:space="preserve">pendant </w:t>
      </w:r>
      <w:r w:rsidRPr="00B91EE1">
        <w:t xml:space="preserve">la période </w:t>
      </w:r>
      <w:r w:rsidR="00537BED" w:rsidRPr="00B91EE1">
        <w:t>considérée</w:t>
      </w:r>
      <w:r w:rsidR="00A96654" w:rsidRPr="00B91EE1">
        <w:t xml:space="preserve">. </w:t>
      </w:r>
      <w:bookmarkStart w:id="37" w:name="lt_pId362"/>
      <w:r w:rsidR="00A96654" w:rsidRPr="00B91EE1">
        <w:t>Cette tâche comprend aussi l</w:t>
      </w:r>
      <w:r w:rsidR="00392F9A" w:rsidRPr="00B91EE1">
        <w:t>'</w:t>
      </w:r>
      <w:r w:rsidR="00A96654" w:rsidRPr="00B91EE1">
        <w:t xml:space="preserve">élaboration de modules de calcul permettant de vérifier le respect des conditions techniques qui sont précisées dans les Résolutions </w:t>
      </w:r>
      <w:r w:rsidR="00A96654" w:rsidRPr="00B91EE1">
        <w:rPr>
          <w:b/>
          <w:bCs/>
        </w:rPr>
        <w:t>122 (Rév.CMR-19)</w:t>
      </w:r>
      <w:r w:rsidR="00A96654" w:rsidRPr="00B91EE1">
        <w:t xml:space="preserve">, </w:t>
      </w:r>
      <w:r w:rsidR="00A96654" w:rsidRPr="00B91EE1">
        <w:rPr>
          <w:b/>
          <w:bCs/>
        </w:rPr>
        <w:t>145 (Rév.CMR-19)</w:t>
      </w:r>
      <w:r w:rsidR="00A96654" w:rsidRPr="00B91EE1">
        <w:t xml:space="preserve">, </w:t>
      </w:r>
      <w:r w:rsidR="00A96654" w:rsidRPr="00B91EE1">
        <w:rPr>
          <w:b/>
          <w:bCs/>
        </w:rPr>
        <w:t>165 (CMR-19)</w:t>
      </w:r>
      <w:r w:rsidR="00A96654" w:rsidRPr="00B91EE1">
        <w:t xml:space="preserve">, </w:t>
      </w:r>
      <w:r w:rsidR="00A96654" w:rsidRPr="00B91EE1">
        <w:rPr>
          <w:b/>
          <w:bCs/>
        </w:rPr>
        <w:t>166 (CMR-19)</w:t>
      </w:r>
      <w:r w:rsidR="00A96654" w:rsidRPr="00B91EE1">
        <w:t xml:space="preserve">, </w:t>
      </w:r>
      <w:r w:rsidR="00A96654" w:rsidRPr="00B91EE1">
        <w:rPr>
          <w:b/>
          <w:bCs/>
        </w:rPr>
        <w:t>167 (CMR-19)</w:t>
      </w:r>
      <w:r w:rsidR="00A96654" w:rsidRPr="00B91EE1">
        <w:t xml:space="preserve"> et </w:t>
      </w:r>
      <w:r w:rsidR="00A96654" w:rsidRPr="00B91EE1">
        <w:rPr>
          <w:b/>
          <w:bCs/>
        </w:rPr>
        <w:t>168 (CMR-19)</w:t>
      </w:r>
      <w:r w:rsidR="00A96654" w:rsidRPr="00B91EE1">
        <w:t>, ainsi que les changements correspondants dans la base de données et la structure des notifications.</w:t>
      </w:r>
      <w:bookmarkEnd w:id="37"/>
    </w:p>
    <w:p w14:paraId="77FCD9FE" w14:textId="14F2A76A" w:rsidR="00A96654" w:rsidRPr="00B91EE1" w:rsidRDefault="00051461" w:rsidP="004522B1">
      <w:bookmarkStart w:id="38" w:name="lt_pId363"/>
      <w:r w:rsidRPr="00B91EE1">
        <w:t>La mise au point</w:t>
      </w:r>
      <w:r w:rsidR="005A234C" w:rsidRPr="00B91EE1">
        <w:t xml:space="preserve"> </w:t>
      </w:r>
      <w:r w:rsidR="00A96654" w:rsidRPr="00B91EE1">
        <w:t>du logiciel d</w:t>
      </w:r>
      <w:r w:rsidR="00392F9A" w:rsidRPr="00B91EE1">
        <w:t>'</w:t>
      </w:r>
      <w:r w:rsidR="00A96654" w:rsidRPr="00B91EE1">
        <w:t>examen pour l</w:t>
      </w:r>
      <w:r w:rsidR="00392F9A" w:rsidRPr="00B91EE1">
        <w:t>'</w:t>
      </w:r>
      <w:r w:rsidR="00A96654" w:rsidRPr="00B91EE1">
        <w:t>identification des administrations affectées, au moyen de modèles numériques d</w:t>
      </w:r>
      <w:r w:rsidR="00392F9A" w:rsidRPr="00B91EE1">
        <w:t>'</w:t>
      </w:r>
      <w:r w:rsidR="00A96654" w:rsidRPr="00B91EE1">
        <w:t>élévation (DEM) pour diverses bandes de fréquences et divers services</w:t>
      </w:r>
      <w:r w:rsidR="005A234C" w:rsidRPr="00B91EE1">
        <w:t>, s</w:t>
      </w:r>
      <w:r w:rsidR="00392F9A" w:rsidRPr="00B91EE1">
        <w:t>'</w:t>
      </w:r>
      <w:r w:rsidR="005A234C" w:rsidRPr="00B91EE1">
        <w:t>est poursuivi</w:t>
      </w:r>
      <w:r w:rsidRPr="00B91EE1">
        <w:t>e</w:t>
      </w:r>
      <w:r w:rsidR="005A234C" w:rsidRPr="00B91EE1">
        <w:t xml:space="preserve"> au cours de la période </w:t>
      </w:r>
      <w:r w:rsidR="00537BED" w:rsidRPr="00B91EE1">
        <w:t>considérée</w:t>
      </w:r>
      <w:r w:rsidR="00A96654" w:rsidRPr="00B91EE1">
        <w:t>.</w:t>
      </w:r>
      <w:bookmarkEnd w:id="38"/>
    </w:p>
    <w:p w14:paraId="626C0CC5" w14:textId="2E700CA4" w:rsidR="00A96654" w:rsidRPr="00B91EE1" w:rsidRDefault="009F6AF7" w:rsidP="004522B1">
      <w:pPr>
        <w:pStyle w:val="Heading3"/>
      </w:pPr>
      <w:r w:rsidRPr="00B91EE1">
        <w:t>3.1.2</w:t>
      </w:r>
      <w:r w:rsidRPr="00B91EE1">
        <w:tab/>
        <w:t>Mise en œuvre des décisions de la CMR-19 se rapportant aux services spatiaux</w:t>
      </w:r>
    </w:p>
    <w:p w14:paraId="019D600E" w14:textId="4FC7BFD8" w:rsidR="009F6AF7" w:rsidRPr="00B91EE1" w:rsidRDefault="005A234C" w:rsidP="004522B1">
      <w:r w:rsidRPr="00B91EE1">
        <w:t xml:space="preserve">En 2022, le BR a achevé </w:t>
      </w:r>
      <w:r w:rsidR="00051461" w:rsidRPr="00B91EE1">
        <w:t xml:space="preserve">la mise en œuvre des </w:t>
      </w:r>
      <w:r w:rsidR="00537BED" w:rsidRPr="00B91EE1">
        <w:t xml:space="preserve">modifications </w:t>
      </w:r>
      <w:r w:rsidR="00051461" w:rsidRPr="00B91EE1">
        <w:t>apportées aux</w:t>
      </w:r>
      <w:r w:rsidRPr="00B91EE1">
        <w:t xml:space="preserve"> base</w:t>
      </w:r>
      <w:r w:rsidR="00051461" w:rsidRPr="00B91EE1">
        <w:t>s</w:t>
      </w:r>
      <w:r w:rsidRPr="00B91EE1">
        <w:t xml:space="preserve"> de données et </w:t>
      </w:r>
      <w:r w:rsidR="00051461" w:rsidRPr="00B91EE1">
        <w:t xml:space="preserve">aux </w:t>
      </w:r>
      <w:r w:rsidRPr="00B91EE1">
        <w:t xml:space="preserve">logiciels </w:t>
      </w:r>
      <w:r w:rsidR="00537BED" w:rsidRPr="00B91EE1">
        <w:t xml:space="preserve">en application des </w:t>
      </w:r>
      <w:r w:rsidRPr="00B91EE1">
        <w:t xml:space="preserve">décisions de </w:t>
      </w:r>
      <w:r w:rsidR="009F6AF7" w:rsidRPr="00B91EE1">
        <w:t xml:space="preserve">la CMR-19 </w:t>
      </w:r>
      <w:r w:rsidRPr="00B91EE1">
        <w:t>concernant</w:t>
      </w:r>
      <w:r w:rsidR="009F6AF7" w:rsidRPr="00B91EE1">
        <w:t xml:space="preserve"> les services spatiaux</w:t>
      </w:r>
      <w:r w:rsidR="002115D1" w:rsidRPr="00B91EE1">
        <w:t xml:space="preserve">, comme </w:t>
      </w:r>
      <w:r w:rsidR="00537BED" w:rsidRPr="00B91EE1">
        <w:t xml:space="preserve">il est précisé </w:t>
      </w:r>
      <w:r w:rsidR="002115D1" w:rsidRPr="00B91EE1">
        <w:t xml:space="preserve">dans la Lettre circulaire CR/493. Les </w:t>
      </w:r>
      <w:r w:rsidR="00537BED" w:rsidRPr="00B91EE1">
        <w:t xml:space="preserve">modifications </w:t>
      </w:r>
      <w:r w:rsidR="002115D1" w:rsidRPr="00B91EE1">
        <w:t>ont été présenté</w:t>
      </w:r>
      <w:r w:rsidR="00537BED" w:rsidRPr="00B91EE1">
        <w:t>e</w:t>
      </w:r>
      <w:r w:rsidR="002115D1" w:rsidRPr="00B91EE1">
        <w:t xml:space="preserve">s </w:t>
      </w:r>
      <w:r w:rsidR="00537BED" w:rsidRPr="00B91EE1">
        <w:t xml:space="preserve">en détail </w:t>
      </w:r>
      <w:r w:rsidR="002115D1" w:rsidRPr="00B91EE1">
        <w:t>au WRS</w:t>
      </w:r>
      <w:r w:rsidR="004522B1" w:rsidRPr="00B91EE1">
        <w:noBreakHyphen/>
      </w:r>
      <w:r w:rsidR="002115D1" w:rsidRPr="00B91EE1">
        <w:t xml:space="preserve">22 et ont été publiés </w:t>
      </w:r>
      <w:r w:rsidR="009F6AF7" w:rsidRPr="00B91EE1">
        <w:t xml:space="preserve">dans la BR IFIC </w:t>
      </w:r>
      <w:r w:rsidRPr="00B91EE1">
        <w:t xml:space="preserve">2985 </w:t>
      </w:r>
      <w:r w:rsidR="009F6AF7" w:rsidRPr="00B91EE1">
        <w:t>(</w:t>
      </w:r>
      <w:r w:rsidRPr="00B91EE1">
        <w:t>29 novembre 2022</w:t>
      </w:r>
      <w:r w:rsidR="009F6AF7" w:rsidRPr="00B91EE1">
        <w:t>)</w:t>
      </w:r>
      <w:bookmarkStart w:id="39" w:name="lt_pId369"/>
      <w:r w:rsidR="009F6AF7" w:rsidRPr="00B91EE1">
        <w:t xml:space="preserve"> </w:t>
      </w:r>
      <w:r w:rsidR="00537BED" w:rsidRPr="00B91EE1">
        <w:t xml:space="preserve">en tant que </w:t>
      </w:r>
      <w:r w:rsidR="009F6AF7" w:rsidRPr="00B91EE1">
        <w:t>version 9.1 des logiciels du</w:t>
      </w:r>
      <w:r w:rsidR="004522B1" w:rsidRPr="00B91EE1">
        <w:t> </w:t>
      </w:r>
      <w:r w:rsidR="009F6AF7" w:rsidRPr="00B91EE1">
        <w:t>BR pour les systèmes spatiaux.</w:t>
      </w:r>
      <w:bookmarkEnd w:id="39"/>
      <w:r w:rsidR="00D113F1" w:rsidRPr="00B91EE1">
        <w:t xml:space="preserve"> </w:t>
      </w:r>
      <w:r w:rsidR="009F6AF7" w:rsidRPr="00B91EE1">
        <w:t xml:space="preserve">Voici une liste non exhaustive des modifications </w:t>
      </w:r>
      <w:r w:rsidR="00051461" w:rsidRPr="00B91EE1">
        <w:t>apportées aux</w:t>
      </w:r>
      <w:r w:rsidR="004522B1" w:rsidRPr="00B91EE1">
        <w:t xml:space="preserve"> </w:t>
      </w:r>
      <w:r w:rsidR="009F6AF7" w:rsidRPr="00B91EE1">
        <w:t>logiciels pour les services spatiaux</w:t>
      </w:r>
      <w:r w:rsidR="00051461" w:rsidRPr="00B91EE1">
        <w:t xml:space="preserve"> </w:t>
      </w:r>
      <w:r w:rsidR="009F6AF7" w:rsidRPr="00B91EE1">
        <w:t xml:space="preserve">en </w:t>
      </w:r>
      <w:r w:rsidR="00051461" w:rsidRPr="00B91EE1">
        <w:t xml:space="preserve">application des </w:t>
      </w:r>
      <w:r w:rsidR="009F6AF7" w:rsidRPr="00B91EE1">
        <w:t>décisions de la CMR-19 en 2022:</w:t>
      </w:r>
    </w:p>
    <w:p w14:paraId="34278BDF" w14:textId="7492EE02" w:rsidR="00A96654" w:rsidRPr="00B91EE1" w:rsidRDefault="009F6AF7" w:rsidP="004522B1">
      <w:pPr>
        <w:pStyle w:val="enumlev1"/>
        <w:keepLines/>
      </w:pPr>
      <w:r w:rsidRPr="00B91EE1">
        <w:lastRenderedPageBreak/>
        <w:t>–</w:t>
      </w:r>
      <w:r w:rsidRPr="00B91EE1">
        <w:tab/>
      </w:r>
      <w:r w:rsidR="00537BED" w:rsidRPr="00B91EE1">
        <w:t xml:space="preserve">Mise à disposition </w:t>
      </w:r>
      <w:r w:rsidRPr="00B91EE1">
        <w:t>d</w:t>
      </w:r>
      <w:r w:rsidR="00392F9A" w:rsidRPr="00B91EE1">
        <w:t>'</w:t>
      </w:r>
      <w:r w:rsidRPr="00B91EE1">
        <w:t>un outil permettant d</w:t>
      </w:r>
      <w:r w:rsidR="00392F9A" w:rsidRPr="00B91EE1">
        <w:t>'</w:t>
      </w:r>
      <w:r w:rsidRPr="00B91EE1">
        <w:t>aider les administrations à communiquer au Bureau le statut de la coordination vis-à-vis des administrations concernées lors de la première notification et lors de la nouvelle soumission d</w:t>
      </w:r>
      <w:r w:rsidR="00392F9A" w:rsidRPr="00B91EE1">
        <w:t>'</w:t>
      </w:r>
      <w:r w:rsidRPr="00B91EE1">
        <w:t>une notification (dans le logiciel SpaceCap, le système BR</w:t>
      </w:r>
      <w:r w:rsidR="00191245" w:rsidRPr="00B91EE1">
        <w:t>-</w:t>
      </w:r>
      <w:r w:rsidRPr="00B91EE1">
        <w:t>SIS, le système de soumission électronique, le logiciel SpacePub et le système de traitement interne au BR) (voir la description dans la section 7.3.3).</w:t>
      </w:r>
    </w:p>
    <w:p w14:paraId="46AC2C1C" w14:textId="6626A543" w:rsidR="00EB63FC" w:rsidRPr="00B91EE1" w:rsidRDefault="00EB63FC" w:rsidP="00F25132">
      <w:pPr>
        <w:pStyle w:val="Heading2"/>
      </w:pPr>
      <w:r w:rsidRPr="00B91EE1">
        <w:t>3.2</w:t>
      </w:r>
      <w:r w:rsidRPr="00B91EE1">
        <w:tab/>
        <w:t>Autres mesures en application des décisions de la CMR-19</w:t>
      </w:r>
    </w:p>
    <w:p w14:paraId="49B6D697" w14:textId="59B8F60F" w:rsidR="009B0675" w:rsidRPr="00B91EE1" w:rsidRDefault="009B0675" w:rsidP="004522B1">
      <w:pPr>
        <w:keepNext/>
        <w:keepLines/>
      </w:pPr>
      <w:r w:rsidRPr="00B91EE1">
        <w:t xml:space="preserve">Conformément au numéro </w:t>
      </w:r>
      <w:r w:rsidRPr="00B91EE1">
        <w:rPr>
          <w:b/>
          <w:bCs/>
        </w:rPr>
        <w:t>11.50</w:t>
      </w:r>
      <w:r w:rsidRPr="00B91EE1">
        <w:t>, le Bureau s</w:t>
      </w:r>
      <w:r w:rsidR="00392F9A" w:rsidRPr="00B91EE1">
        <w:t>'</w:t>
      </w:r>
      <w:r w:rsidRPr="00B91EE1">
        <w:t>est mis en rapport avec les administrations notificatrices pour procéder à un examen de</w:t>
      </w:r>
      <w:r w:rsidR="00C77D5C" w:rsidRPr="00B91EE1">
        <w:t>s</w:t>
      </w:r>
      <w:r w:rsidRPr="00B91EE1">
        <w:t xml:space="preserve"> conclusions relatives aux assignations de fréquence assujetties aux dispositions du numéro </w:t>
      </w:r>
      <w:r w:rsidRPr="00B91EE1">
        <w:rPr>
          <w:b/>
          <w:bCs/>
        </w:rPr>
        <w:t>5.260A</w:t>
      </w:r>
      <w:r w:rsidRPr="00B91EE1">
        <w:t>. Au titre de cette disposition, la CMR-19 a décidé de</w:t>
      </w:r>
      <w:r w:rsidR="00191245" w:rsidRPr="00B91EE1">
        <w:t> </w:t>
      </w:r>
      <w:r w:rsidRPr="00B91EE1">
        <w:t>ne pas soumettre certaines assignations de fréquence aux limites de puissance jusqu</w:t>
      </w:r>
      <w:r w:rsidR="00392F9A" w:rsidRPr="00B91EE1">
        <w:t>'</w:t>
      </w:r>
      <w:r w:rsidRPr="00B91EE1">
        <w:t>au</w:t>
      </w:r>
      <w:r w:rsidR="00191245" w:rsidRPr="00B91EE1">
        <w:t> </w:t>
      </w:r>
      <w:r w:rsidRPr="00B91EE1">
        <w:t>22</w:t>
      </w:r>
      <w:r w:rsidR="00191245" w:rsidRPr="00B91EE1">
        <w:t> </w:t>
      </w:r>
      <w:r w:rsidRPr="00B91EE1">
        <w:t>novembre</w:t>
      </w:r>
      <w:r w:rsidR="00191245" w:rsidRPr="00B91EE1">
        <w:t> </w:t>
      </w:r>
      <w:r w:rsidRPr="00B91EE1">
        <w:t>2022.</w:t>
      </w:r>
    </w:p>
    <w:p w14:paraId="78C33B87" w14:textId="47387757" w:rsidR="009F6AF7" w:rsidRPr="00B91EE1" w:rsidRDefault="009B0675" w:rsidP="004522B1">
      <w:r w:rsidRPr="00B91EE1">
        <w:rPr>
          <w:szCs w:val="24"/>
        </w:rPr>
        <w:t>Le Bureau a également pris contact avec les administrations</w:t>
      </w:r>
      <w:r w:rsidR="00051461" w:rsidRPr="00B91EE1">
        <w:rPr>
          <w:szCs w:val="24"/>
        </w:rPr>
        <w:t xml:space="preserve"> ayant notifié </w:t>
      </w:r>
      <w:r w:rsidRPr="00B91EE1">
        <w:rPr>
          <w:szCs w:val="24"/>
        </w:rPr>
        <w:t xml:space="preserve">des assignations de fréquence assujetties aux dispositions de la Résolution </w:t>
      </w:r>
      <w:r w:rsidRPr="00B91EE1">
        <w:rPr>
          <w:b/>
          <w:bCs/>
          <w:szCs w:val="24"/>
        </w:rPr>
        <w:t>771 (CMR-19)</w:t>
      </w:r>
      <w:r w:rsidRPr="00B91EE1">
        <w:rPr>
          <w:szCs w:val="24"/>
        </w:rPr>
        <w:t>, car ces assignations devaient être mises en service avant l</w:t>
      </w:r>
      <w:r w:rsidR="00C77D5C" w:rsidRPr="00B91EE1">
        <w:rPr>
          <w:szCs w:val="24"/>
        </w:rPr>
        <w:t>e</w:t>
      </w:r>
      <w:r w:rsidRPr="00B91EE1">
        <w:rPr>
          <w:szCs w:val="24"/>
        </w:rPr>
        <w:t xml:space="preserve"> 23 novembre 2022 (ou</w:t>
      </w:r>
      <w:r w:rsidR="00D76570" w:rsidRPr="00B91EE1">
        <w:rPr>
          <w:szCs w:val="24"/>
        </w:rPr>
        <w:t xml:space="preserve"> avant</w:t>
      </w:r>
      <w:r w:rsidRPr="00B91EE1">
        <w:rPr>
          <w:szCs w:val="24"/>
        </w:rPr>
        <w:t xml:space="preserve"> la fin du délai réglementaire prescrit au numéro </w:t>
      </w:r>
      <w:r w:rsidRPr="00B91EE1">
        <w:rPr>
          <w:b/>
          <w:bCs/>
        </w:rPr>
        <w:t>11.44</w:t>
      </w:r>
      <w:r w:rsidRPr="00B91EE1">
        <w:t>, la date la plus rapprochée étant retenue) ou supprimées.</w:t>
      </w:r>
    </w:p>
    <w:p w14:paraId="26F7D19E" w14:textId="36C527B2" w:rsidR="009F6AF7" w:rsidRPr="00B91EE1" w:rsidRDefault="009F6AF7" w:rsidP="004522B1">
      <w:pPr>
        <w:pStyle w:val="Heading1"/>
      </w:pPr>
      <w:bookmarkStart w:id="40" w:name="_Toc446060766"/>
      <w:r w:rsidRPr="00B91EE1">
        <w:t>4</w:t>
      </w:r>
      <w:r w:rsidRPr="00B91EE1">
        <w:tab/>
      </w:r>
      <w:bookmarkStart w:id="41" w:name="lt_pId387"/>
      <w:bookmarkEnd w:id="40"/>
      <w:r w:rsidRPr="00B91EE1">
        <w:t>Activités des commissions d</w:t>
      </w:r>
      <w:r w:rsidR="00392F9A" w:rsidRPr="00B91EE1">
        <w:t>'</w:t>
      </w:r>
      <w:r w:rsidRPr="00B91EE1">
        <w:t>études</w:t>
      </w:r>
      <w:bookmarkEnd w:id="41"/>
    </w:p>
    <w:p w14:paraId="0C314F87" w14:textId="475C5F95" w:rsidR="009F6AF7" w:rsidRPr="00B91EE1" w:rsidRDefault="009F6AF7" w:rsidP="004522B1">
      <w:bookmarkStart w:id="42" w:name="lt_pId388"/>
      <w:r w:rsidRPr="00B91EE1">
        <w:t>Cette question fait l</w:t>
      </w:r>
      <w:r w:rsidR="00392F9A" w:rsidRPr="00B91EE1">
        <w:t>'</w:t>
      </w:r>
      <w:r w:rsidRPr="00B91EE1">
        <w:t>objet de l</w:t>
      </w:r>
      <w:r w:rsidR="00392F9A" w:rsidRPr="00B91EE1">
        <w:t>'</w:t>
      </w:r>
      <w:r w:rsidRPr="00B91EE1">
        <w:t>Addendum 1 au présent document.</w:t>
      </w:r>
      <w:bookmarkEnd w:id="42"/>
    </w:p>
    <w:p w14:paraId="775A81FC" w14:textId="492E98D4" w:rsidR="00C20AFF" w:rsidRPr="00B91EE1" w:rsidRDefault="00C20AFF" w:rsidP="004522B1">
      <w:pPr>
        <w:pStyle w:val="Heading1"/>
      </w:pPr>
      <w:bookmarkStart w:id="43" w:name="_Toc446060767"/>
      <w:r w:rsidRPr="00B91EE1">
        <w:t>5</w:t>
      </w:r>
      <w:r w:rsidRPr="00B91EE1">
        <w:tab/>
      </w:r>
      <w:r w:rsidR="009B0675" w:rsidRPr="00B91EE1">
        <w:t>T</w:t>
      </w:r>
      <w:r w:rsidRPr="00B91EE1">
        <w:t xml:space="preserve">ravaux préparatoires </w:t>
      </w:r>
      <w:r w:rsidR="009B0675" w:rsidRPr="00B91EE1">
        <w:t>en vue de l</w:t>
      </w:r>
      <w:r w:rsidR="00392F9A" w:rsidRPr="00B91EE1">
        <w:t>'</w:t>
      </w:r>
      <w:r w:rsidR="009B0675" w:rsidRPr="00B91EE1">
        <w:t>AR-</w:t>
      </w:r>
      <w:r w:rsidR="00191245" w:rsidRPr="00B91EE1">
        <w:t>23</w:t>
      </w:r>
      <w:r w:rsidR="009B0675" w:rsidRPr="00B91EE1">
        <w:t>, la CMR-23 et la RPC27-1</w:t>
      </w:r>
      <w:bookmarkEnd w:id="43"/>
    </w:p>
    <w:p w14:paraId="0B20AD99" w14:textId="15CEA38F" w:rsidR="00C20AFF" w:rsidRPr="00B91EE1" w:rsidRDefault="00312178" w:rsidP="004522B1">
      <w:r w:rsidRPr="00B91EE1">
        <w:t xml:space="preserve">Les </w:t>
      </w:r>
      <w:r w:rsidR="00893479" w:rsidRPr="00B91EE1">
        <w:t xml:space="preserve">groupes </w:t>
      </w:r>
      <w:r w:rsidRPr="00B91EE1">
        <w:t xml:space="preserve">de travail </w:t>
      </w:r>
      <w:r w:rsidR="00051461" w:rsidRPr="00B91EE1">
        <w:t xml:space="preserve">responsables </w:t>
      </w:r>
      <w:r w:rsidRPr="00B91EE1">
        <w:t>et le Groupe d</w:t>
      </w:r>
      <w:r w:rsidR="00392F9A" w:rsidRPr="00B91EE1">
        <w:t>'</w:t>
      </w:r>
      <w:r w:rsidRPr="00B91EE1">
        <w:t>action 6/1 de l</w:t>
      </w:r>
      <w:r w:rsidR="00392F9A" w:rsidRPr="00B91EE1">
        <w:t>'</w:t>
      </w:r>
      <w:r w:rsidRPr="00B91EE1">
        <w:t xml:space="preserve">UIT-R ont achevé </w:t>
      </w:r>
      <w:r w:rsidR="00051461" w:rsidRPr="00B91EE1">
        <w:t>l</w:t>
      </w:r>
      <w:r w:rsidR="00392F9A" w:rsidRPr="00B91EE1">
        <w:t>'</w:t>
      </w:r>
      <w:r w:rsidR="00051461" w:rsidRPr="00B91EE1">
        <w:t xml:space="preserve">élaboration des </w:t>
      </w:r>
      <w:r w:rsidRPr="00B91EE1">
        <w:t>projets de texte de la RPC qui leur avaient été attribués à la première session de la RPC</w:t>
      </w:r>
      <w:r w:rsidR="00DD37F3" w:rsidRPr="00B91EE1">
        <w:noBreakHyphen/>
      </w:r>
      <w:r w:rsidRPr="00B91EE1">
        <w:t>23 (RPC23</w:t>
      </w:r>
      <w:r w:rsidR="00DD37F3" w:rsidRPr="00B91EE1">
        <w:noBreakHyphen/>
      </w:r>
      <w:r w:rsidRPr="00B91EE1">
        <w:t xml:space="preserve">1) et </w:t>
      </w:r>
      <w:r w:rsidR="00D76570" w:rsidRPr="00B91EE1">
        <w:t>ces textes</w:t>
      </w:r>
      <w:r w:rsidRPr="00B91EE1">
        <w:t xml:space="preserve"> ont été inclus dans le projet de rapport de la RPC pour examen à la </w:t>
      </w:r>
      <w:r w:rsidR="00051461" w:rsidRPr="00B91EE1">
        <w:t xml:space="preserve">seconde </w:t>
      </w:r>
      <w:r w:rsidRPr="00B91EE1">
        <w:t xml:space="preserve">session de la RPC-23 (RPC23-2). La RPC23-2, tenue du 27 mars au 6 avril 2023, a achevé </w:t>
      </w:r>
      <w:r w:rsidR="00051461" w:rsidRPr="00B91EE1">
        <w:t>l</w:t>
      </w:r>
      <w:r w:rsidR="00392F9A" w:rsidRPr="00B91EE1">
        <w:t>'</w:t>
      </w:r>
      <w:r w:rsidR="00051461" w:rsidRPr="00B91EE1">
        <w:t>élaboration du</w:t>
      </w:r>
      <w:r w:rsidR="00D76570" w:rsidRPr="00B91EE1">
        <w:t xml:space="preserve"> </w:t>
      </w:r>
      <w:r w:rsidRPr="00B91EE1">
        <w:t xml:space="preserve">rapport final de la RPC </w:t>
      </w:r>
      <w:r w:rsidR="00D76570" w:rsidRPr="00B91EE1">
        <w:t xml:space="preserve">à </w:t>
      </w:r>
      <w:r w:rsidRPr="00B91EE1">
        <w:t xml:space="preserve">la CMR-23. La version de synthèse du rapport </w:t>
      </w:r>
      <w:r w:rsidR="00893479" w:rsidRPr="00B91EE1">
        <w:t>sera</w:t>
      </w:r>
      <w:r w:rsidRPr="00B91EE1">
        <w:t xml:space="preserve"> mise à disposition dès que possible après la RPC23-2 sur la page web de la RPC</w:t>
      </w:r>
      <w:r w:rsidR="00893479" w:rsidRPr="00B91EE1">
        <w:t>,</w:t>
      </w:r>
      <w:r w:rsidRPr="00B91EE1">
        <w:t xml:space="preserve"> à l</w:t>
      </w:r>
      <w:r w:rsidR="00392F9A" w:rsidRPr="00B91EE1">
        <w:t>'</w:t>
      </w:r>
      <w:r w:rsidRPr="00B91EE1">
        <w:t xml:space="preserve">adresse </w:t>
      </w:r>
      <w:hyperlink r:id="rId14" w:history="1">
        <w:r w:rsidRPr="00B91EE1">
          <w:rPr>
            <w:rStyle w:val="Hyperlink"/>
          </w:rPr>
          <w:t>www.itu.int/go/ITU-R/CPM</w:t>
        </w:r>
      </w:hyperlink>
      <w:r w:rsidRPr="00B91EE1">
        <w:t>, compte tenu du délai pertinent indiqué dans la Résolution UIT-R 2</w:t>
      </w:r>
      <w:r w:rsidR="00DD37F3" w:rsidRPr="00B91EE1">
        <w:noBreakHyphen/>
      </w:r>
      <w:r w:rsidRPr="00B91EE1">
        <w:t xml:space="preserve">8. Dans certains cas, les </w:t>
      </w:r>
      <w:r w:rsidR="00893479" w:rsidRPr="00B91EE1">
        <w:t xml:space="preserve">groupes </w:t>
      </w:r>
      <w:r w:rsidRPr="00B91EE1">
        <w:t>de travail concernés de l</w:t>
      </w:r>
      <w:r w:rsidR="00392F9A" w:rsidRPr="00B91EE1">
        <w:t>'</w:t>
      </w:r>
      <w:r w:rsidRPr="00B91EE1">
        <w:t xml:space="preserve">UIT-R poursuivront les études techniques </w:t>
      </w:r>
      <w:r w:rsidR="00C77D5C" w:rsidRPr="00B91EE1">
        <w:t xml:space="preserve">pour </w:t>
      </w:r>
      <w:r w:rsidR="00893479" w:rsidRPr="00B91EE1">
        <w:t>établir,</w:t>
      </w:r>
      <w:r w:rsidR="00C77D5C" w:rsidRPr="00B91EE1">
        <w:t xml:space="preserve"> </w:t>
      </w:r>
      <w:r w:rsidRPr="00B91EE1">
        <w:t>avant l</w:t>
      </w:r>
      <w:r w:rsidR="00392F9A" w:rsidRPr="00B91EE1">
        <w:t>'</w:t>
      </w:r>
      <w:r w:rsidRPr="00B91EE1">
        <w:t>AR-23</w:t>
      </w:r>
      <w:r w:rsidR="00893479" w:rsidRPr="00B91EE1">
        <w:t>,</w:t>
      </w:r>
      <w:r w:rsidRPr="00B91EE1">
        <w:t xml:space="preserve"> </w:t>
      </w:r>
      <w:r w:rsidR="00893479" w:rsidRPr="00B91EE1">
        <w:t xml:space="preserve">la version finale </w:t>
      </w:r>
      <w:r w:rsidRPr="00B91EE1">
        <w:t>des Recommandations/</w:t>
      </w:r>
      <w:r w:rsidR="00893479" w:rsidRPr="00B91EE1">
        <w:t xml:space="preserve">rapports connexes </w:t>
      </w:r>
      <w:r w:rsidRPr="00B91EE1">
        <w:t>de l</w:t>
      </w:r>
      <w:r w:rsidR="00392F9A" w:rsidRPr="00B91EE1">
        <w:t>'</w:t>
      </w:r>
      <w:r w:rsidRPr="00B91EE1">
        <w:t>UIT-R en vue de la CMR-23.</w:t>
      </w:r>
    </w:p>
    <w:p w14:paraId="1D8ED97F" w14:textId="585E4218" w:rsidR="00312178" w:rsidRPr="00B91EE1" w:rsidRDefault="00312178" w:rsidP="004522B1">
      <w:r w:rsidRPr="00B91EE1">
        <w:t xml:space="preserve">Compte tenu de la Résolution 80 (Rév. Marrakech, 2002) de la Conférence de plénipotentiaires et de la Résolution </w:t>
      </w:r>
      <w:r w:rsidRPr="00B91EE1">
        <w:rPr>
          <w:b/>
          <w:bCs/>
        </w:rPr>
        <w:t>72 (Rév.CMR-19)</w:t>
      </w:r>
      <w:r w:rsidRPr="00B91EE1">
        <w:t>, d</w:t>
      </w:r>
      <w:r w:rsidR="00392F9A" w:rsidRPr="00B91EE1">
        <w:t>'</w:t>
      </w:r>
      <w:r w:rsidRPr="00B91EE1">
        <w:t xml:space="preserve">importants travaux préparatoires en vue de la CMR-23 </w:t>
      </w:r>
      <w:r w:rsidR="00893479" w:rsidRPr="00B91EE1">
        <w:t xml:space="preserve">ont </w:t>
      </w:r>
      <w:r w:rsidR="00D54B00" w:rsidRPr="00B91EE1">
        <w:t xml:space="preserve">également </w:t>
      </w:r>
      <w:r w:rsidR="00893479" w:rsidRPr="00B91EE1">
        <w:t xml:space="preserve">été effectués </w:t>
      </w:r>
      <w:r w:rsidRPr="00B91EE1">
        <w:t xml:space="preserve">au niveau régional, </w:t>
      </w:r>
      <w:r w:rsidR="00893479" w:rsidRPr="00B91EE1">
        <w:t xml:space="preserve">avec </w:t>
      </w:r>
      <w:r w:rsidRPr="00B91EE1">
        <w:t>la participation active</w:t>
      </w:r>
      <w:r w:rsidR="00893479" w:rsidRPr="00B91EE1">
        <w:t xml:space="preserve">, chaque fois que possible, </w:t>
      </w:r>
      <w:r w:rsidRPr="00B91EE1">
        <w:t>du BR aux réunions des groupes régionaux et des organisations régionales de télécommunication</w:t>
      </w:r>
      <w:r w:rsidR="00893479" w:rsidRPr="00B91EE1">
        <w:t xml:space="preserve">, </w:t>
      </w:r>
      <w:r w:rsidRPr="00B91EE1">
        <w:t xml:space="preserve">à savoir </w:t>
      </w:r>
      <w:r w:rsidR="00D76570" w:rsidRPr="00B91EE1">
        <w:t>l</w:t>
      </w:r>
      <w:r w:rsidR="00392F9A" w:rsidRPr="00B91EE1">
        <w:t>'</w:t>
      </w:r>
      <w:r w:rsidRPr="00B91EE1">
        <w:t xml:space="preserve">APT, </w:t>
      </w:r>
      <w:r w:rsidR="00D76570" w:rsidRPr="00B91EE1">
        <w:t>l</w:t>
      </w:r>
      <w:r w:rsidR="00392F9A" w:rsidRPr="00B91EE1">
        <w:t>'</w:t>
      </w:r>
      <w:r w:rsidRPr="00B91EE1">
        <w:t xml:space="preserve">ASMG, </w:t>
      </w:r>
      <w:r w:rsidR="00D76570" w:rsidRPr="00B91EE1">
        <w:t>l</w:t>
      </w:r>
      <w:r w:rsidR="00392F9A" w:rsidRPr="00B91EE1">
        <w:t>'</w:t>
      </w:r>
      <w:r w:rsidRPr="00B91EE1">
        <w:t xml:space="preserve">UAT, </w:t>
      </w:r>
      <w:r w:rsidR="00D76570" w:rsidRPr="00B91EE1">
        <w:t xml:space="preserve">la </w:t>
      </w:r>
      <w:r w:rsidRPr="00B91EE1">
        <w:t xml:space="preserve">CEPT, </w:t>
      </w:r>
      <w:r w:rsidR="00D76570" w:rsidRPr="00B91EE1">
        <w:t xml:space="preserve">la </w:t>
      </w:r>
      <w:r w:rsidRPr="00B91EE1">
        <w:t xml:space="preserve">CITEL et </w:t>
      </w:r>
      <w:r w:rsidR="00D76570" w:rsidRPr="00B91EE1">
        <w:t xml:space="preserve">la </w:t>
      </w:r>
      <w:r w:rsidRPr="00B91EE1">
        <w:t>RCC</w:t>
      </w:r>
      <w:r w:rsidR="004522B1" w:rsidRPr="00B91EE1">
        <w:t>.</w:t>
      </w:r>
    </w:p>
    <w:p w14:paraId="24277E19" w14:textId="27AC7989" w:rsidR="00312178" w:rsidRPr="00B91EE1" w:rsidRDefault="00D54B00" w:rsidP="004522B1">
      <w:r w:rsidRPr="00B91EE1">
        <w:t>Des informations sur les travaux préparatoires des groupes régionaux en vue de la CMR-23 sont disponibles à l</w:t>
      </w:r>
      <w:r w:rsidR="00392F9A" w:rsidRPr="00B91EE1">
        <w:t>'</w:t>
      </w:r>
      <w:r w:rsidRPr="00B91EE1">
        <w:t xml:space="preserve">adresse: </w:t>
      </w:r>
      <w:hyperlink r:id="rId15" w:history="1">
        <w:r w:rsidRPr="00B91EE1">
          <w:rPr>
            <w:rStyle w:val="Hyperlink"/>
          </w:rPr>
          <w:t>www.itu.int/go/wrc-23-regional</w:t>
        </w:r>
      </w:hyperlink>
      <w:r w:rsidRPr="00B91EE1">
        <w:t>.</w:t>
      </w:r>
    </w:p>
    <w:p w14:paraId="6F308D1B" w14:textId="0657C5EB" w:rsidR="00C20AFF" w:rsidRPr="00B91EE1" w:rsidRDefault="00D54B00" w:rsidP="004522B1">
      <w:r w:rsidRPr="00B91EE1">
        <w:t>Après le premier Atelier interrégional de l</w:t>
      </w:r>
      <w:r w:rsidR="00392F9A" w:rsidRPr="00B91EE1">
        <w:t>'</w:t>
      </w:r>
      <w:r w:rsidRPr="00B91EE1">
        <w:t>UIT sur les travaux préparatoires en vue de la CMR-23</w:t>
      </w:r>
      <w:r w:rsidR="00D76570" w:rsidRPr="00B91EE1">
        <w:t xml:space="preserve">, organisé </w:t>
      </w:r>
      <w:r w:rsidRPr="00B91EE1">
        <w:t xml:space="preserve">en ligne en décembre 2021, le deuxième </w:t>
      </w:r>
      <w:r w:rsidR="00C77D5C" w:rsidRPr="00B91EE1">
        <w:t xml:space="preserve">atelier </w:t>
      </w:r>
      <w:r w:rsidRPr="00B91EE1">
        <w:t>a eu lieu au siège de l</w:t>
      </w:r>
      <w:r w:rsidR="00392F9A" w:rsidRPr="00B91EE1">
        <w:t>'</w:t>
      </w:r>
      <w:r w:rsidRPr="00B91EE1">
        <w:t>UIT à Genève, en</w:t>
      </w:r>
      <w:r w:rsidR="00D1790D" w:rsidRPr="00B91EE1">
        <w:t> </w:t>
      </w:r>
      <w:r w:rsidRPr="00B91EE1">
        <w:t>présentiel, avec possibilité de particip</w:t>
      </w:r>
      <w:r w:rsidR="00D76570" w:rsidRPr="00B91EE1">
        <w:t>ation</w:t>
      </w:r>
      <w:r w:rsidRPr="00B91EE1">
        <w:t xml:space="preserve"> à distance, du 29 novembre au 1er décembre 2022. Le</w:t>
      </w:r>
      <w:r w:rsidR="00D1790D" w:rsidRPr="00B91EE1">
        <w:t> </w:t>
      </w:r>
      <w:r w:rsidRPr="00B91EE1">
        <w:t xml:space="preserve">troisième et dernier atelier aura lieu à Genève du 27 au 29 septembre 2023, entre </w:t>
      </w:r>
      <w:r w:rsidR="00C77D5C" w:rsidRPr="00B91EE1">
        <w:t xml:space="preserve">les </w:t>
      </w:r>
      <w:r w:rsidRPr="00B91EE1">
        <w:t>série</w:t>
      </w:r>
      <w:r w:rsidR="00C77D5C" w:rsidRPr="00B91EE1">
        <w:t>s</w:t>
      </w:r>
      <w:r w:rsidRPr="00B91EE1">
        <w:t xml:space="preserve"> de réunions de la CE 5 et de la CE 7. </w:t>
      </w:r>
      <w:r w:rsidR="004D0665" w:rsidRPr="00B91EE1">
        <w:t>De plus amples informations concernant ces ateliers sont disponibles à l</w:t>
      </w:r>
      <w:r w:rsidR="00392F9A" w:rsidRPr="00B91EE1">
        <w:t>'</w:t>
      </w:r>
      <w:r w:rsidR="004D0665" w:rsidRPr="00B91EE1">
        <w:t>adresse</w:t>
      </w:r>
      <w:r w:rsidR="00C20AFF" w:rsidRPr="00B91EE1">
        <w:t xml:space="preserve"> </w:t>
      </w:r>
      <w:hyperlink r:id="rId16" w:history="1">
        <w:r w:rsidR="00D1790D" w:rsidRPr="00B91EE1">
          <w:rPr>
            <w:rStyle w:val="Hyperlink"/>
          </w:rPr>
          <w:t>https://www.itu.int/en/ITU</w:t>
        </w:r>
        <w:r w:rsidR="00D1790D" w:rsidRPr="00B91EE1">
          <w:rPr>
            <w:rStyle w:val="Hyperlink"/>
          </w:rPr>
          <w:noBreakHyphen/>
          <w:t>R/conferences/wrc/2023/irwsp/Pages/default.aspx</w:t>
        </w:r>
      </w:hyperlink>
      <w:r w:rsidR="00C20AFF" w:rsidRPr="00B91EE1">
        <w:t>.</w:t>
      </w:r>
    </w:p>
    <w:p w14:paraId="34A23940" w14:textId="1CAB6A92" w:rsidR="00C20AFF" w:rsidRPr="00B91EE1" w:rsidRDefault="004D0665" w:rsidP="00392F9A">
      <w:pPr>
        <w:keepLines/>
      </w:pPr>
      <w:r w:rsidRPr="00B91EE1">
        <w:lastRenderedPageBreak/>
        <w:t>La page web de l</w:t>
      </w:r>
      <w:r w:rsidR="00392F9A" w:rsidRPr="00B91EE1">
        <w:t>'</w:t>
      </w:r>
      <w:r w:rsidRPr="00B91EE1">
        <w:t>UIT-R relative à la CMR-23 (</w:t>
      </w:r>
      <w:hyperlink r:id="rId17" w:history="1">
        <w:r w:rsidR="00D1790D" w:rsidRPr="00B91EE1">
          <w:rPr>
            <w:rStyle w:val="Hyperlink"/>
          </w:rPr>
          <w:t>https://www.itu.int/wrc-23/</w:t>
        </w:r>
      </w:hyperlink>
      <w:r w:rsidRPr="00B91EE1">
        <w:t>) a été mise à jour et permet d</w:t>
      </w:r>
      <w:r w:rsidR="00392F9A" w:rsidRPr="00B91EE1">
        <w:t>'</w:t>
      </w:r>
      <w:r w:rsidRPr="00B91EE1">
        <w:t xml:space="preserve">avoir directement accès aux informations susmentionnées, y compris à un lien vers </w:t>
      </w:r>
      <w:r w:rsidR="00893479" w:rsidRPr="00B91EE1">
        <w:t>la brochure</w:t>
      </w:r>
      <w:r w:rsidR="00893479" w:rsidRPr="00B91EE1" w:rsidDel="00893479">
        <w:t xml:space="preserve"> </w:t>
      </w:r>
      <w:r w:rsidRPr="00B91EE1">
        <w:t>de la CMR-23 (</w:t>
      </w:r>
      <w:hyperlink r:id="rId18" w:history="1">
        <w:r w:rsidRPr="00B91EE1">
          <w:rPr>
            <w:rStyle w:val="Hyperlink"/>
          </w:rPr>
          <w:t>www.itu.int/wrc-23/booklet-wrc-23</w:t>
        </w:r>
      </w:hyperlink>
      <w:r w:rsidRPr="00B91EE1">
        <w:t xml:space="preserve">), la </w:t>
      </w:r>
      <w:r w:rsidR="00893479" w:rsidRPr="00B91EE1">
        <w:t xml:space="preserve">salle </w:t>
      </w:r>
      <w:r w:rsidRPr="00B91EE1">
        <w:t>de presse de la CMR</w:t>
      </w:r>
      <w:r w:rsidR="00DD37F3" w:rsidRPr="00B91EE1">
        <w:noBreakHyphen/>
      </w:r>
      <w:r w:rsidRPr="00B91EE1">
        <w:t>23 (</w:t>
      </w:r>
      <w:hyperlink r:id="rId19" w:anchor="/fr" w:history="1">
        <w:r w:rsidR="00C20AFF" w:rsidRPr="00B91EE1">
          <w:rPr>
            <w:rStyle w:val="Hyperlink"/>
          </w:rPr>
          <w:t>https://www.itu.int/wrc-23/newsroom/wrc-news/</w:t>
        </w:r>
      </w:hyperlink>
      <w:r w:rsidR="00C20AFF" w:rsidRPr="00B91EE1">
        <w:t xml:space="preserve">) </w:t>
      </w:r>
      <w:r w:rsidRPr="00B91EE1">
        <w:t>et d</w:t>
      </w:r>
      <w:r w:rsidR="00392F9A" w:rsidRPr="00B91EE1">
        <w:t>'</w:t>
      </w:r>
      <w:r w:rsidRPr="00B91EE1">
        <w:t xml:space="preserve">autres </w:t>
      </w:r>
      <w:r w:rsidR="00D76570" w:rsidRPr="00B91EE1">
        <w:t>documents</w:t>
      </w:r>
      <w:r w:rsidRPr="00B91EE1">
        <w:t xml:space="preserve"> utiles</w:t>
      </w:r>
      <w:r w:rsidR="00C20AFF" w:rsidRPr="00B91EE1">
        <w:t>.</w:t>
      </w:r>
    </w:p>
    <w:p w14:paraId="4E7B0A37" w14:textId="32110E70" w:rsidR="00C20AFF" w:rsidRPr="00B91EE1" w:rsidRDefault="00824101" w:rsidP="004522B1">
      <w:pPr>
        <w:keepLines/>
      </w:pPr>
      <w:r w:rsidRPr="00B91EE1">
        <w:t>Conformément au numéro 10 de l</w:t>
      </w:r>
      <w:r w:rsidR="00392F9A" w:rsidRPr="00B91EE1">
        <w:t>'</w:t>
      </w:r>
      <w:r w:rsidRPr="00B91EE1">
        <w:t xml:space="preserve">Annexe 2 de la Décision 5 (Rév. Bucarest, 2022) de la </w:t>
      </w:r>
      <w:r w:rsidR="00893479" w:rsidRPr="00B91EE1">
        <w:t>PP-22</w:t>
      </w:r>
      <w:r w:rsidRPr="00B91EE1">
        <w:t>, afin de réduire le coût de la documentation des conférences de l</w:t>
      </w:r>
      <w:r w:rsidR="00392F9A" w:rsidRPr="00B91EE1">
        <w:t>'</w:t>
      </w:r>
      <w:r w:rsidRPr="00B91EE1">
        <w:t>UIT, l</w:t>
      </w:r>
      <w:r w:rsidR="00392F9A" w:rsidRPr="00B91EE1">
        <w:t>'</w:t>
      </w:r>
      <w:r w:rsidRPr="00B91EE1">
        <w:t>AR-23 et la CMR-23 se dérouleront sans document papier. Ces dispositions sont exposées respectivement, pour l</w:t>
      </w:r>
      <w:r w:rsidR="00392F9A" w:rsidRPr="00B91EE1">
        <w:t>'</w:t>
      </w:r>
      <w:r w:rsidRPr="00B91EE1">
        <w:t>AR-</w:t>
      </w:r>
      <w:r w:rsidR="00D1790D" w:rsidRPr="00B91EE1">
        <w:t>23</w:t>
      </w:r>
      <w:r w:rsidRPr="00B91EE1">
        <w:t xml:space="preserve"> et la CMR-</w:t>
      </w:r>
      <w:r w:rsidR="00D1790D" w:rsidRPr="00B91EE1">
        <w:t>23</w:t>
      </w:r>
      <w:r w:rsidRPr="00B91EE1">
        <w:t>, dans les Circulaires administratives</w:t>
      </w:r>
      <w:r w:rsidR="00893479" w:rsidRPr="00B91EE1">
        <w:t xml:space="preserve"> du BR </w:t>
      </w:r>
      <w:hyperlink r:id="rId20" w:history="1">
        <w:r w:rsidR="00C20AFF" w:rsidRPr="00B91EE1">
          <w:rPr>
            <w:rStyle w:val="Hyperlink"/>
          </w:rPr>
          <w:t>CACE/1050</w:t>
        </w:r>
      </w:hyperlink>
      <w:r w:rsidR="00C20AFF" w:rsidRPr="00B91EE1">
        <w:t xml:space="preserve"> </w:t>
      </w:r>
      <w:r w:rsidRPr="00B91EE1">
        <w:t>du 10 février 2023 et</w:t>
      </w:r>
      <w:r w:rsidR="00C20AFF" w:rsidRPr="00B91EE1">
        <w:t xml:space="preserve"> </w:t>
      </w:r>
      <w:hyperlink r:id="rId21" w:history="1">
        <w:r w:rsidR="00C20AFF" w:rsidRPr="00B91EE1">
          <w:rPr>
            <w:rStyle w:val="Hyperlink"/>
          </w:rPr>
          <w:t>CA/265</w:t>
        </w:r>
      </w:hyperlink>
      <w:r w:rsidR="00C20AFF" w:rsidRPr="00B91EE1">
        <w:t xml:space="preserve"> </w:t>
      </w:r>
      <w:r w:rsidRPr="00B91EE1">
        <w:t>de mars 2023</w:t>
      </w:r>
      <w:r w:rsidR="00C20AFF" w:rsidRPr="00B91EE1">
        <w:t>.</w:t>
      </w:r>
    </w:p>
    <w:p w14:paraId="324C983C" w14:textId="51D5718B" w:rsidR="00824101" w:rsidRPr="00B91EE1" w:rsidRDefault="00824101" w:rsidP="004522B1">
      <w:r w:rsidRPr="00B91EE1">
        <w:t xml:space="preserve">Les activités menées conjointement avec le pays hôte </w:t>
      </w:r>
      <w:r w:rsidR="00C77D5C" w:rsidRPr="00B91EE1">
        <w:t xml:space="preserve">pour </w:t>
      </w:r>
      <w:r w:rsidRPr="00B91EE1">
        <w:t>l</w:t>
      </w:r>
      <w:r w:rsidR="00392F9A" w:rsidRPr="00B91EE1">
        <w:t>'</w:t>
      </w:r>
      <w:r w:rsidRPr="00B91EE1">
        <w:t xml:space="preserve">AR-23/la CMR-23 se sont poursuivies, pour veiller à ce que toutes les installations nécessaires au bon déroulement de ces manifestations ainsi que </w:t>
      </w:r>
      <w:r w:rsidR="00D76570" w:rsidRPr="00B91EE1">
        <w:t xml:space="preserve">le dispositif </w:t>
      </w:r>
      <w:r w:rsidRPr="00B91EE1">
        <w:t>logistique correspondant</w:t>
      </w:r>
      <w:r w:rsidR="00893479" w:rsidRPr="00B91EE1">
        <w:t>, soient en place</w:t>
      </w:r>
      <w:r w:rsidRPr="00B91EE1">
        <w:t>.</w:t>
      </w:r>
    </w:p>
    <w:p w14:paraId="5B468891" w14:textId="1AEA5B62" w:rsidR="00F54299" w:rsidRPr="00B91EE1" w:rsidRDefault="00C77D5C" w:rsidP="004522B1">
      <w:r w:rsidRPr="00B91EE1">
        <w:t>La première session</w:t>
      </w:r>
      <w:r w:rsidR="00824101" w:rsidRPr="00B91EE1">
        <w:t xml:space="preserve"> de la RPC pour la CMR-27 (RPC27-1) se déroulera du 18 au</w:t>
      </w:r>
      <w:r w:rsidR="00DD37F3" w:rsidRPr="00B91EE1">
        <w:t> </w:t>
      </w:r>
      <w:r w:rsidR="00824101" w:rsidRPr="00B91EE1">
        <w:t>19</w:t>
      </w:r>
      <w:r w:rsidR="00DD37F3" w:rsidRPr="00B91EE1">
        <w:t> </w:t>
      </w:r>
      <w:r w:rsidR="00824101" w:rsidRPr="00B91EE1">
        <w:t>décembre</w:t>
      </w:r>
      <w:r w:rsidR="00DD37F3" w:rsidRPr="00B91EE1">
        <w:t> </w:t>
      </w:r>
      <w:r w:rsidR="00824101" w:rsidRPr="00B91EE1">
        <w:t>2023 au même endroit que l</w:t>
      </w:r>
      <w:r w:rsidR="00392F9A" w:rsidRPr="00B91EE1">
        <w:t>'</w:t>
      </w:r>
      <w:r w:rsidR="00824101" w:rsidRPr="00B91EE1">
        <w:t>AR-23/la CMR-23.</w:t>
      </w:r>
    </w:p>
    <w:p w14:paraId="4E97EB1B" w14:textId="77777777" w:rsidR="00F54299" w:rsidRPr="00B91EE1" w:rsidRDefault="00F54299" w:rsidP="004522B1">
      <w:pPr>
        <w:pStyle w:val="Heading1"/>
      </w:pPr>
      <w:r w:rsidRPr="00B91EE1">
        <w:t>6</w:t>
      </w:r>
      <w:r w:rsidRPr="00B91EE1">
        <w:tab/>
        <w:t>Planification opérationnelle</w:t>
      </w:r>
    </w:p>
    <w:p w14:paraId="35234FD0" w14:textId="52BE950B" w:rsidR="00F54299" w:rsidRPr="00B91EE1" w:rsidRDefault="00F54299" w:rsidP="004522B1">
      <w:bookmarkStart w:id="44" w:name="lt_pId402"/>
      <w:r w:rsidRPr="00B91EE1">
        <w:t xml:space="preserve">Le </w:t>
      </w:r>
      <w:r w:rsidR="00893479" w:rsidRPr="00B91EE1">
        <w:t xml:space="preserve">plan </w:t>
      </w:r>
      <w:r w:rsidRPr="00B91EE1">
        <w:t>opérationnel de l</w:t>
      </w:r>
      <w:r w:rsidR="00392F9A" w:rsidRPr="00B91EE1">
        <w:t>'</w:t>
      </w:r>
      <w:r w:rsidRPr="00B91EE1">
        <w:t>UIT-R a été structuré sur la base de la méthode de gestion axée sur les résultats mise en œuvre à l</w:t>
      </w:r>
      <w:r w:rsidR="00392F9A" w:rsidRPr="00B91EE1">
        <w:t>'</w:t>
      </w:r>
      <w:r w:rsidRPr="00B91EE1">
        <w:t>UIT, afin d</w:t>
      </w:r>
      <w:r w:rsidR="00392F9A" w:rsidRPr="00B91EE1">
        <w:t>'</w:t>
      </w:r>
      <w:r w:rsidRPr="00B91EE1">
        <w:t>assurer une parfaite coordination avec le budget et les autres outils financiers de l</w:t>
      </w:r>
      <w:r w:rsidR="00392F9A" w:rsidRPr="00B91EE1">
        <w:t>'</w:t>
      </w:r>
      <w:r w:rsidRPr="00B91EE1">
        <w:t>Union.</w:t>
      </w:r>
      <w:bookmarkEnd w:id="44"/>
    </w:p>
    <w:p w14:paraId="26B9B2B5" w14:textId="0CA722FB" w:rsidR="00F54299" w:rsidRPr="00B91EE1" w:rsidRDefault="00F54299" w:rsidP="004522B1">
      <w:bookmarkStart w:id="45" w:name="lt_pId404"/>
      <w:r w:rsidRPr="00B91EE1">
        <w:t xml:space="preserve">Le projet de </w:t>
      </w:r>
      <w:r w:rsidR="00893479" w:rsidRPr="00B91EE1">
        <w:t xml:space="preserve">plan </w:t>
      </w:r>
      <w:r w:rsidRPr="00B91EE1">
        <w:t>opérationnel de l</w:t>
      </w:r>
      <w:r w:rsidR="00392F9A" w:rsidRPr="00B91EE1">
        <w:t>'</w:t>
      </w:r>
      <w:r w:rsidRPr="00B91EE1">
        <w:t>UIT-R pour la période 2023-2026</w:t>
      </w:r>
      <w:r w:rsidR="00824101" w:rsidRPr="00B91EE1">
        <w:t xml:space="preserve">, qui </w:t>
      </w:r>
      <w:r w:rsidR="00893479" w:rsidRPr="00B91EE1">
        <w:t>n</w:t>
      </w:r>
      <w:r w:rsidR="00392F9A" w:rsidRPr="00B91EE1">
        <w:t>'</w:t>
      </w:r>
      <w:r w:rsidR="00893479" w:rsidRPr="00B91EE1">
        <w:t xml:space="preserve">était </w:t>
      </w:r>
      <w:r w:rsidR="00824101" w:rsidRPr="00B91EE1">
        <w:t xml:space="preserve">pas encore disponible au moment de la rédaction du présent </w:t>
      </w:r>
      <w:r w:rsidR="00C77D5C" w:rsidRPr="00B91EE1">
        <w:t>rapport</w:t>
      </w:r>
      <w:r w:rsidR="00824101" w:rsidRPr="00B91EE1">
        <w:t>,</w:t>
      </w:r>
      <w:r w:rsidRPr="00B91EE1">
        <w:t xml:space="preserve"> </w:t>
      </w:r>
      <w:r w:rsidR="00893479" w:rsidRPr="00B91EE1">
        <w:t>fera l</w:t>
      </w:r>
      <w:r w:rsidR="00392F9A" w:rsidRPr="00B91EE1">
        <w:t>'</w:t>
      </w:r>
      <w:r w:rsidR="00893479" w:rsidRPr="00B91EE1">
        <w:t>objet d</w:t>
      </w:r>
      <w:r w:rsidR="00392F9A" w:rsidRPr="00B91EE1">
        <w:t>'</w:t>
      </w:r>
      <w:r w:rsidR="00824101" w:rsidRPr="00B91EE1">
        <w:t>un document distinct</w:t>
      </w:r>
      <w:r w:rsidRPr="00B91EE1">
        <w:t xml:space="preserve">, qui </w:t>
      </w:r>
      <w:r w:rsidR="00824101" w:rsidRPr="00B91EE1">
        <w:t xml:space="preserve">sera </w:t>
      </w:r>
      <w:r w:rsidRPr="00B91EE1">
        <w:t>soumis au GCR pour examen et commentaires.</w:t>
      </w:r>
      <w:bookmarkEnd w:id="45"/>
    </w:p>
    <w:p w14:paraId="4976E729" w14:textId="7AEA6164" w:rsidR="00F54299" w:rsidRPr="00B91EE1" w:rsidRDefault="00F54299" w:rsidP="004522B1">
      <w:pPr>
        <w:pStyle w:val="Heading1"/>
      </w:pPr>
      <w:bookmarkStart w:id="46" w:name="_Toc446060769"/>
      <w:r w:rsidRPr="00B91EE1">
        <w:t>7</w:t>
      </w:r>
      <w:r w:rsidRPr="00B91EE1">
        <w:tab/>
      </w:r>
      <w:bookmarkStart w:id="47" w:name="lt_pId406"/>
      <w:bookmarkEnd w:id="46"/>
      <w:r w:rsidRPr="00B91EE1">
        <w:t>Système d</w:t>
      </w:r>
      <w:r w:rsidR="00392F9A" w:rsidRPr="00B91EE1">
        <w:t>'</w:t>
      </w:r>
      <w:r w:rsidRPr="00B91EE1">
        <w:t>information du BR</w:t>
      </w:r>
      <w:bookmarkEnd w:id="47"/>
    </w:p>
    <w:p w14:paraId="718EE190" w14:textId="77777777" w:rsidR="00F54299" w:rsidRPr="00B91EE1" w:rsidRDefault="00F54299" w:rsidP="004522B1">
      <w:pPr>
        <w:pStyle w:val="Heading2"/>
      </w:pPr>
      <w:r w:rsidRPr="00B91EE1">
        <w:t>7.1</w:t>
      </w:r>
      <w:r w:rsidRPr="00B91EE1">
        <w:tab/>
      </w:r>
      <w:bookmarkStart w:id="48" w:name="lt_pId408"/>
      <w:r w:rsidRPr="00B91EE1">
        <w:t>Outils et logiciels pour les services de Terre</w:t>
      </w:r>
      <w:bookmarkEnd w:id="48"/>
    </w:p>
    <w:p w14:paraId="11705112" w14:textId="77777777" w:rsidR="00F54299" w:rsidRPr="00B91EE1" w:rsidRDefault="00F54299" w:rsidP="004522B1">
      <w:pPr>
        <w:pStyle w:val="Heading3"/>
      </w:pPr>
      <w:bookmarkStart w:id="49" w:name="lt_pId413"/>
      <w:r w:rsidRPr="00B91EE1">
        <w:t>7.1.1</w:t>
      </w:r>
      <w:r w:rsidRPr="00B91EE1">
        <w:tab/>
        <w:t>Traitement des demandes de coordination au titre du numéro 9.21 du RR</w:t>
      </w:r>
      <w:bookmarkEnd w:id="49"/>
    </w:p>
    <w:p w14:paraId="1CE2C77A" w14:textId="77542A41" w:rsidR="00F54299" w:rsidRPr="00B91EE1" w:rsidRDefault="00F54299" w:rsidP="004522B1">
      <w:bookmarkStart w:id="50" w:name="lt_pId414"/>
      <w:r w:rsidRPr="00B91EE1">
        <w:t>L</w:t>
      </w:r>
      <w:r w:rsidR="00392F9A" w:rsidRPr="00B91EE1">
        <w:t>'</w:t>
      </w:r>
      <w:r w:rsidRPr="00B91EE1">
        <w:t xml:space="preserve">élaboration des modules logiciels et des outils associés pour le traitement des demandes de coordination au titre du numéro </w:t>
      </w:r>
      <w:r w:rsidRPr="00B91EE1">
        <w:rPr>
          <w:b/>
        </w:rPr>
        <w:t xml:space="preserve">9.21 </w:t>
      </w:r>
      <w:r w:rsidRPr="00B91EE1">
        <w:t>du RR s</w:t>
      </w:r>
      <w:r w:rsidR="00392F9A" w:rsidRPr="00B91EE1">
        <w:t>'</w:t>
      </w:r>
      <w:r w:rsidRPr="00B91EE1">
        <w:t xml:space="preserve">est poursuivie </w:t>
      </w:r>
      <w:r w:rsidR="00EA4240" w:rsidRPr="00B91EE1">
        <w:t>pendant la période considérée</w:t>
      </w:r>
      <w:r w:rsidRPr="00B91EE1">
        <w:t>.</w:t>
      </w:r>
      <w:bookmarkEnd w:id="50"/>
      <w:r w:rsidRPr="00B91EE1">
        <w:t xml:space="preserve"> </w:t>
      </w:r>
      <w:bookmarkStart w:id="51" w:name="lt_pId415"/>
      <w:r w:rsidRPr="00B91EE1">
        <w:t xml:space="preserve">Les algorithmes et les modules logiciels utilisés pour les examens techniques au titre du numéro </w:t>
      </w:r>
      <w:r w:rsidRPr="00B91EE1">
        <w:rPr>
          <w:b/>
        </w:rPr>
        <w:t xml:space="preserve">9.21 </w:t>
      </w:r>
      <w:r w:rsidRPr="00B91EE1">
        <w:rPr>
          <w:bCs/>
        </w:rPr>
        <w:t>du</w:t>
      </w:r>
      <w:r w:rsidR="00F32E8A" w:rsidRPr="00B91EE1">
        <w:rPr>
          <w:bCs/>
        </w:rPr>
        <w:t> </w:t>
      </w:r>
      <w:r w:rsidRPr="00B91EE1">
        <w:rPr>
          <w:bCs/>
        </w:rPr>
        <w:t xml:space="preserve">RR </w:t>
      </w:r>
      <w:r w:rsidRPr="00B91EE1">
        <w:t xml:space="preserve">ont été examinés conformément aux Règles de procédure correspondantes: les algorithmes existants ont été révisés et de nouveaux algorithmes ont été ajoutés, en particulier concernant la Règle de procédure relative à la section B6. </w:t>
      </w:r>
      <w:bookmarkStart w:id="52" w:name="lt_pId416"/>
      <w:bookmarkEnd w:id="51"/>
      <w:r w:rsidR="00EA4240" w:rsidRPr="00B91EE1">
        <w:t xml:space="preserve">Les </w:t>
      </w:r>
      <w:r w:rsidRPr="00B91EE1">
        <w:t>tests de ces algorithmes</w:t>
      </w:r>
      <w:r w:rsidR="00EA4240" w:rsidRPr="00B91EE1">
        <w:t xml:space="preserve"> ont été effectués</w:t>
      </w:r>
      <w:r w:rsidRPr="00B91EE1">
        <w:t>. Il est prévu d</w:t>
      </w:r>
      <w:r w:rsidR="00392F9A" w:rsidRPr="00B91EE1">
        <w:t>'</w:t>
      </w:r>
      <w:r w:rsidRPr="00B91EE1">
        <w:t>achever</w:t>
      </w:r>
      <w:r w:rsidR="00893479" w:rsidRPr="00B91EE1">
        <w:t xml:space="preserve"> </w:t>
      </w:r>
      <w:r w:rsidRPr="00B91EE1">
        <w:t>au quatrième trimestre de 2022, dans le contexte de la migration de l</w:t>
      </w:r>
      <w:r w:rsidR="00392F9A" w:rsidRPr="00B91EE1">
        <w:t>'</w:t>
      </w:r>
      <w:r w:rsidRPr="00B91EE1">
        <w:t>ensemble du système, l</w:t>
      </w:r>
      <w:r w:rsidR="00392F9A" w:rsidRPr="00B91EE1">
        <w:t>'</w:t>
      </w:r>
      <w:r w:rsidRPr="00B91EE1">
        <w:t>élaboration du logiciel pour la vérification des assignations correspondantes (visées au numéro </w:t>
      </w:r>
      <w:r w:rsidRPr="00B91EE1">
        <w:rPr>
          <w:b/>
        </w:rPr>
        <w:t xml:space="preserve">9.21 </w:t>
      </w:r>
      <w:r w:rsidRPr="00B91EE1">
        <w:rPr>
          <w:bCs/>
        </w:rPr>
        <w:t>du RR</w:t>
      </w:r>
      <w:r w:rsidRPr="00B91EE1">
        <w:t>) notifiées au titre de l</w:t>
      </w:r>
      <w:r w:rsidR="00392F9A" w:rsidRPr="00B91EE1">
        <w:t>'</w:t>
      </w:r>
      <w:r w:rsidRPr="00B91EE1">
        <w:t xml:space="preserve">Article </w:t>
      </w:r>
      <w:r w:rsidRPr="00B91EE1">
        <w:rPr>
          <w:b/>
        </w:rPr>
        <w:t xml:space="preserve">11 </w:t>
      </w:r>
      <w:r w:rsidRPr="00B91EE1">
        <w:t>du RR en vue de leur inscription dans le Fichier de référence ainsi que l</w:t>
      </w:r>
      <w:r w:rsidR="00392F9A" w:rsidRPr="00B91EE1">
        <w:t>'</w:t>
      </w:r>
      <w:r w:rsidRPr="00B91EE1">
        <w:t>intégration du logiciel dans le système TerRaSys.</w:t>
      </w:r>
      <w:bookmarkEnd w:id="52"/>
    </w:p>
    <w:p w14:paraId="305EF01D" w14:textId="7D0E4169" w:rsidR="009F6AF7" w:rsidRPr="00B91EE1" w:rsidRDefault="00F54299" w:rsidP="004522B1">
      <w:pPr>
        <w:pStyle w:val="Heading3"/>
        <w:rPr>
          <w:bCs/>
        </w:rPr>
      </w:pPr>
      <w:r w:rsidRPr="00B91EE1">
        <w:t>7.1.2</w:t>
      </w:r>
      <w:r w:rsidRPr="00B91EE1">
        <w:tab/>
        <w:t xml:space="preserve">Horaires de radiodiffusion à ondes décamétriques </w:t>
      </w:r>
      <w:r w:rsidR="00EA4240" w:rsidRPr="00B91EE1">
        <w:t>(</w:t>
      </w:r>
      <w:r w:rsidRPr="00B91EE1">
        <w:rPr>
          <w:bCs/>
        </w:rPr>
        <w:t>HFBC</w:t>
      </w:r>
      <w:r w:rsidR="00EA4240" w:rsidRPr="00B91EE1">
        <w:rPr>
          <w:bCs/>
        </w:rPr>
        <w:t>): restructuration logicielle</w:t>
      </w:r>
    </w:p>
    <w:p w14:paraId="137A25E2" w14:textId="53ABBD2E" w:rsidR="00F54299" w:rsidRPr="00B91EE1" w:rsidRDefault="00F54299" w:rsidP="004522B1">
      <w:r w:rsidRPr="00B91EE1">
        <w:t>Conformément aux dispositions de l</w:t>
      </w:r>
      <w:r w:rsidR="00392F9A" w:rsidRPr="00B91EE1">
        <w:t>'</w:t>
      </w:r>
      <w:r w:rsidRPr="00B91EE1">
        <w:t xml:space="preserve">Article 12 du Règlement des radiocommunications (RR), le Bureau des radiocommunications (BR) établit et publie les horaires HFBC saisonniers ainsi que les résultats des analyses de compatibilité. </w:t>
      </w:r>
      <w:r w:rsidR="00EA4240" w:rsidRPr="00B91EE1">
        <w:t>Les horaires sont publiés sur le site web du BR</w:t>
      </w:r>
      <w:r w:rsidRPr="00B91EE1">
        <w:t>.</w:t>
      </w:r>
    </w:p>
    <w:p w14:paraId="4B072873" w14:textId="264D5F4F" w:rsidR="00F54299" w:rsidRPr="00B91EE1" w:rsidRDefault="00EA4240" w:rsidP="004522B1">
      <w:r w:rsidRPr="00B91EE1">
        <w:t>La version actuelle du logiciel HFBC se compose d</w:t>
      </w:r>
      <w:r w:rsidR="00392F9A" w:rsidRPr="00B91EE1">
        <w:t>'</w:t>
      </w:r>
      <w:r w:rsidRPr="00B91EE1">
        <w:t>un certain nombre d</w:t>
      </w:r>
      <w:r w:rsidR="00392F9A" w:rsidRPr="00B91EE1">
        <w:t>'</w:t>
      </w:r>
      <w:r w:rsidRPr="00B91EE1">
        <w:t>applications bureautiques autonomes mises au point à l</w:t>
      </w:r>
      <w:r w:rsidR="00392F9A" w:rsidRPr="00B91EE1">
        <w:t>'</w:t>
      </w:r>
      <w:r w:rsidRPr="00B91EE1">
        <w:t xml:space="preserve">aide de Visual Basic. </w:t>
      </w:r>
      <w:r w:rsidR="005F3640" w:rsidRPr="00B91EE1">
        <w:t>C</w:t>
      </w:r>
      <w:r w:rsidRPr="00B91EE1">
        <w:t xml:space="preserve">es applications </w:t>
      </w:r>
      <w:r w:rsidR="005F3640" w:rsidRPr="00B91EE1">
        <w:t xml:space="preserve">ne peuvent plus être prises </w:t>
      </w:r>
      <w:r w:rsidRPr="00B91EE1">
        <w:t>en charge</w:t>
      </w:r>
      <w:r w:rsidR="00C40D0B" w:rsidRPr="00B91EE1">
        <w:t xml:space="preserve"> dans </w:t>
      </w:r>
      <w:r w:rsidRPr="00B91EE1">
        <w:t>les systèmes d</w:t>
      </w:r>
      <w:r w:rsidR="00392F9A" w:rsidRPr="00B91EE1">
        <w:t>'</w:t>
      </w:r>
      <w:r w:rsidRPr="00B91EE1">
        <w:t xml:space="preserve">exploitation </w:t>
      </w:r>
      <w:r w:rsidR="004C5756" w:rsidRPr="00B91EE1">
        <w:t xml:space="preserve">utilisés par les systèmes informatiques du BR et il faut les </w:t>
      </w:r>
      <w:r w:rsidR="00C40D0B" w:rsidRPr="00B91EE1">
        <w:t xml:space="preserve">concevoir à nouveau </w:t>
      </w:r>
      <w:r w:rsidR="004C5756" w:rsidRPr="00B91EE1">
        <w:t>à l</w:t>
      </w:r>
      <w:r w:rsidR="00392F9A" w:rsidRPr="00B91EE1">
        <w:t>'</w:t>
      </w:r>
      <w:r w:rsidR="004C5756" w:rsidRPr="00B91EE1">
        <w:t>aide de technologies plus récentes.</w:t>
      </w:r>
    </w:p>
    <w:p w14:paraId="6CA7B165" w14:textId="700DB50F" w:rsidR="00F54299" w:rsidRPr="00B91EE1" w:rsidRDefault="004C5756" w:rsidP="004522B1">
      <w:r w:rsidRPr="00B91EE1">
        <w:lastRenderedPageBreak/>
        <w:t>Afin d</w:t>
      </w:r>
      <w:r w:rsidR="00392F9A" w:rsidRPr="00B91EE1">
        <w:t>'</w:t>
      </w:r>
      <w:r w:rsidRPr="00B91EE1">
        <w:t>assurer la cohérence avec d</w:t>
      </w:r>
      <w:r w:rsidR="00392F9A" w:rsidRPr="00B91EE1">
        <w:t>'</w:t>
      </w:r>
      <w:r w:rsidRPr="00B91EE1">
        <w:t>autres logiciels et applications pour les services de Terre, le logiciel HFBC fait actuellement l</w:t>
      </w:r>
      <w:r w:rsidR="00392F9A" w:rsidRPr="00B91EE1">
        <w:t>'</w:t>
      </w:r>
      <w:r w:rsidRPr="00B91EE1">
        <w:t>objet d</w:t>
      </w:r>
      <w:r w:rsidR="00392F9A" w:rsidRPr="00B91EE1">
        <w:t>'</w:t>
      </w:r>
      <w:r w:rsidRPr="00B91EE1">
        <w:t>une restructuration sous forme d</w:t>
      </w:r>
      <w:r w:rsidR="00392F9A" w:rsidRPr="00B91EE1">
        <w:t>'</w:t>
      </w:r>
      <w:r w:rsidRPr="00B91EE1">
        <w:t>application unique en ligne avec le cadre .NET en langage C#.</w:t>
      </w:r>
    </w:p>
    <w:p w14:paraId="784D65ED" w14:textId="4E8E2EA1" w:rsidR="00F54299" w:rsidRPr="00B91EE1" w:rsidRDefault="004C5756" w:rsidP="004522B1">
      <w:r w:rsidRPr="00B91EE1">
        <w:t>Il est prévu que la nouvelle application HFBC soit opérationnelle avant la fin de 2023.</w:t>
      </w:r>
    </w:p>
    <w:p w14:paraId="62BF3E45" w14:textId="585F4D8D" w:rsidR="00F54299" w:rsidRPr="00B91EE1" w:rsidRDefault="00F54299" w:rsidP="004522B1">
      <w:pPr>
        <w:pStyle w:val="Heading3"/>
      </w:pPr>
      <w:r w:rsidRPr="00B91EE1">
        <w:t>7.1.3</w:t>
      </w:r>
      <w:r w:rsidRPr="00B91EE1">
        <w:tab/>
        <w:t xml:space="preserve">Migration </w:t>
      </w:r>
      <w:r w:rsidR="004C5756" w:rsidRPr="00B91EE1">
        <w:t>d</w:t>
      </w:r>
      <w:r w:rsidR="00392F9A" w:rsidRPr="00B91EE1">
        <w:t>'</w:t>
      </w:r>
      <w:r w:rsidRPr="00B91EE1">
        <w:t xml:space="preserve">Ingres </w:t>
      </w:r>
      <w:r w:rsidR="004C5756" w:rsidRPr="00B91EE1">
        <w:t xml:space="preserve">vers </w:t>
      </w:r>
      <w:r w:rsidRPr="00B91EE1">
        <w:t>SQL Server</w:t>
      </w:r>
    </w:p>
    <w:p w14:paraId="056259C6" w14:textId="274C5BEE" w:rsidR="004C5756" w:rsidRPr="00B91EE1" w:rsidRDefault="004C5756" w:rsidP="004522B1">
      <w:bookmarkStart w:id="53" w:name="lt_pId424"/>
      <w:r w:rsidRPr="00B91EE1">
        <w:t xml:space="preserve">Les travaux concernant la migration du système TerRaSys </w:t>
      </w:r>
      <w:bookmarkStart w:id="54" w:name="lt_pId425"/>
      <w:bookmarkEnd w:id="53"/>
      <w:r w:rsidRPr="00B91EE1">
        <w:t xml:space="preserve">se sont poursuivis en 2022 en ce qui concerne la </w:t>
      </w:r>
      <w:r w:rsidR="005F3640" w:rsidRPr="00B91EE1">
        <w:t xml:space="preserve">migration de la </w:t>
      </w:r>
      <w:r w:rsidRPr="00B91EE1">
        <w:t xml:space="preserve">base de données et la réécriture et les améliorations des modules du système au moyen de nouvelles techniques de codage. </w:t>
      </w:r>
      <w:r w:rsidR="00D667A8" w:rsidRPr="00B91EE1">
        <w:t>Cela inclut notamment, mais pas exclusivement, les éléments suivants</w:t>
      </w:r>
      <w:r w:rsidRPr="00B91EE1">
        <w:t>:</w:t>
      </w:r>
      <w:bookmarkEnd w:id="54"/>
    </w:p>
    <w:p w14:paraId="6A072084" w14:textId="2D7B7C12" w:rsidR="00F54299" w:rsidRPr="00B91EE1" w:rsidRDefault="00F54299" w:rsidP="004E669D">
      <w:pPr>
        <w:pStyle w:val="enumlev1"/>
      </w:pPr>
      <w:r w:rsidRPr="00B91EE1">
        <w:t>•</w:t>
      </w:r>
      <w:r w:rsidRPr="00B91EE1">
        <w:tab/>
      </w:r>
      <w:r w:rsidR="00D667A8" w:rsidRPr="00B91EE1">
        <w:t>Mener à terme la conception de la base de données pour les services de Terre, y compris la conception finale des nouvelles structures de bases de données nécessaires pour prendre en charge le traitement des stations HAPS, à la suite des décisions de la</w:t>
      </w:r>
      <w:r w:rsidR="00392F9A" w:rsidRPr="00B91EE1">
        <w:t> </w:t>
      </w:r>
      <w:r w:rsidR="00D667A8" w:rsidRPr="00B91EE1">
        <w:t>CMR-19</w:t>
      </w:r>
      <w:r w:rsidRPr="00B91EE1">
        <w:t>.</w:t>
      </w:r>
    </w:p>
    <w:p w14:paraId="2E775BA5" w14:textId="342D71C9" w:rsidR="00F54299" w:rsidRPr="00B91EE1" w:rsidRDefault="00F54299" w:rsidP="004E669D">
      <w:pPr>
        <w:pStyle w:val="enumlev1"/>
      </w:pPr>
      <w:r w:rsidRPr="00B91EE1">
        <w:t>•</w:t>
      </w:r>
      <w:r w:rsidRPr="00B91EE1">
        <w:tab/>
      </w:r>
      <w:r w:rsidR="00D667A8" w:rsidRPr="00B91EE1">
        <w:t>Stabiliser les structures, les schémas et les procédures (y compris pour l</w:t>
      </w:r>
      <w:r w:rsidR="00392F9A" w:rsidRPr="00B91EE1">
        <w:t>'</w:t>
      </w:r>
      <w:r w:rsidR="00D667A8" w:rsidRPr="00B91EE1">
        <w:t xml:space="preserve">archivage) de la base de données, afin de les </w:t>
      </w:r>
      <w:r w:rsidR="00D76570" w:rsidRPr="00B91EE1">
        <w:t xml:space="preserve">actualiser </w:t>
      </w:r>
      <w:r w:rsidR="00D667A8" w:rsidRPr="00B91EE1">
        <w:t xml:space="preserve">et de tirer parti de la technologie moderne </w:t>
      </w:r>
      <w:r w:rsidR="00D76570" w:rsidRPr="00B91EE1">
        <w:t xml:space="preserve">offerte par </w:t>
      </w:r>
      <w:r w:rsidR="00D667A8" w:rsidRPr="00B91EE1">
        <w:t>le nouveau système de gestion de base de données (</w:t>
      </w:r>
      <w:r w:rsidR="00D76570" w:rsidRPr="00B91EE1">
        <w:t>SGBD</w:t>
      </w:r>
      <w:r w:rsidR="00D667A8" w:rsidRPr="00B91EE1">
        <w:t>)</w:t>
      </w:r>
      <w:r w:rsidRPr="00B91EE1">
        <w:t>.</w:t>
      </w:r>
    </w:p>
    <w:p w14:paraId="34038DCD" w14:textId="6BE541CC" w:rsidR="00F54299" w:rsidRPr="00B91EE1" w:rsidRDefault="00F54299" w:rsidP="004E669D">
      <w:pPr>
        <w:pStyle w:val="enumlev1"/>
      </w:pPr>
      <w:r w:rsidRPr="00B91EE1">
        <w:t>•</w:t>
      </w:r>
      <w:r w:rsidRPr="00B91EE1">
        <w:tab/>
      </w:r>
      <w:r w:rsidR="00D667A8" w:rsidRPr="00B91EE1">
        <w:t xml:space="preserve">Examiner et </w:t>
      </w:r>
      <w:r w:rsidR="00D72CB1" w:rsidRPr="00B91EE1">
        <w:t>revoir</w:t>
      </w:r>
      <w:r w:rsidR="00D667A8" w:rsidRPr="00B91EE1">
        <w:t xml:space="preserve"> de nombreuses parties de la base de données, principalement pour l</w:t>
      </w:r>
      <w:r w:rsidR="00392F9A" w:rsidRPr="00B91EE1">
        <w:t>'</w:t>
      </w:r>
      <w:r w:rsidR="00D667A8" w:rsidRPr="00B91EE1">
        <w:t>ensemble des services de radiodiffusion, pour améliorer l</w:t>
      </w:r>
      <w:r w:rsidR="00392F9A" w:rsidRPr="00B91EE1">
        <w:t>'</w:t>
      </w:r>
      <w:r w:rsidR="00D667A8" w:rsidRPr="00B91EE1">
        <w:t xml:space="preserve">efficacité de la structure et </w:t>
      </w:r>
      <w:r w:rsidR="00D72CB1" w:rsidRPr="00B91EE1">
        <w:t xml:space="preserve">en établir la </w:t>
      </w:r>
      <w:r w:rsidR="00D667A8" w:rsidRPr="00B91EE1">
        <w:t xml:space="preserve">troisième forme </w:t>
      </w:r>
      <w:r w:rsidR="005F3640" w:rsidRPr="00B91EE1">
        <w:t>régulière</w:t>
      </w:r>
      <w:r w:rsidR="00D667A8" w:rsidRPr="00B91EE1">
        <w:t>.</w:t>
      </w:r>
    </w:p>
    <w:p w14:paraId="0763C88B" w14:textId="38A2CE34" w:rsidR="00F54299" w:rsidRPr="00B91EE1" w:rsidRDefault="00F54299" w:rsidP="004E669D">
      <w:pPr>
        <w:pStyle w:val="enumlev1"/>
      </w:pPr>
      <w:r w:rsidRPr="00B91EE1">
        <w:t>•</w:t>
      </w:r>
      <w:r w:rsidRPr="00B91EE1">
        <w:tab/>
      </w:r>
      <w:r w:rsidR="00D667A8" w:rsidRPr="00B91EE1">
        <w:t xml:space="preserve">Utiliser de nouveaux types de données pour la représentation de coordonnées géographiques et ajouter de nouveaux types de données géographiques fournis par le nouveau </w:t>
      </w:r>
      <w:r w:rsidR="00D72CB1" w:rsidRPr="00B91EE1">
        <w:t>SGBD</w:t>
      </w:r>
      <w:r w:rsidR="00D667A8" w:rsidRPr="00B91EE1">
        <w:t xml:space="preserve">, qui </w:t>
      </w:r>
      <w:r w:rsidR="00D72CB1" w:rsidRPr="00B91EE1">
        <w:t xml:space="preserve">permet des méthodes </w:t>
      </w:r>
      <w:r w:rsidR="00D667A8" w:rsidRPr="00B91EE1">
        <w:t>efficaces pour effectuer rapidement des requêtes géographique</w:t>
      </w:r>
      <w:r w:rsidR="00D72CB1" w:rsidRPr="00B91EE1">
        <w:t>s complexes</w:t>
      </w:r>
      <w:r w:rsidRPr="00B91EE1">
        <w:t>.</w:t>
      </w:r>
    </w:p>
    <w:p w14:paraId="1A113286" w14:textId="2265C5C9" w:rsidR="00F54299" w:rsidRPr="00B91EE1" w:rsidRDefault="00F54299" w:rsidP="004E669D">
      <w:pPr>
        <w:pStyle w:val="enumlev1"/>
      </w:pPr>
      <w:r w:rsidRPr="00B91EE1">
        <w:t>•</w:t>
      </w:r>
      <w:r w:rsidRPr="00B91EE1">
        <w:tab/>
      </w:r>
      <w:r w:rsidR="00D667A8" w:rsidRPr="00B91EE1">
        <w:t>Redéfinir en continu diverses applications et divers composants logiciels du système</w:t>
      </w:r>
      <w:r w:rsidR="00392F9A" w:rsidRPr="00B91EE1">
        <w:t> </w:t>
      </w:r>
      <w:r w:rsidR="00D667A8" w:rsidRPr="00B91EE1">
        <w:t xml:space="preserve">TerRaSys utilisés pour accéder à la base de données, en vue de tirer parti de la technologie moderne </w:t>
      </w:r>
      <w:r w:rsidR="00D72CB1" w:rsidRPr="00B91EE1">
        <w:t xml:space="preserve">offerte par </w:t>
      </w:r>
      <w:r w:rsidR="00D667A8" w:rsidRPr="00B91EE1">
        <w:t xml:space="preserve">le nouveau </w:t>
      </w:r>
      <w:r w:rsidR="00D72CB1" w:rsidRPr="00B91EE1">
        <w:t xml:space="preserve">SGBD </w:t>
      </w:r>
      <w:r w:rsidR="00D667A8" w:rsidRPr="00B91EE1">
        <w:t>et d</w:t>
      </w:r>
      <w:r w:rsidR="00392F9A" w:rsidRPr="00B91EE1">
        <w:t>'</w:t>
      </w:r>
      <w:r w:rsidR="00D667A8" w:rsidRPr="00B91EE1">
        <w:t xml:space="preserve">utiliser les applications web et les </w:t>
      </w:r>
      <w:r w:rsidR="00D72CB1" w:rsidRPr="00B91EE1">
        <w:t xml:space="preserve">méthodes </w:t>
      </w:r>
      <w:r w:rsidR="00D667A8" w:rsidRPr="00B91EE1">
        <w:t xml:space="preserve">modernes de </w:t>
      </w:r>
      <w:r w:rsidR="00D72CB1" w:rsidRPr="00B91EE1">
        <w:t xml:space="preserve">conception </w:t>
      </w:r>
      <w:r w:rsidR="00D667A8" w:rsidRPr="00B91EE1">
        <w:t>de logiciels</w:t>
      </w:r>
      <w:r w:rsidRPr="00B91EE1">
        <w:t>.</w:t>
      </w:r>
    </w:p>
    <w:p w14:paraId="20CBF0BC" w14:textId="7DC78B9A" w:rsidR="00F54299" w:rsidRPr="00B91EE1" w:rsidRDefault="00F54299" w:rsidP="004E669D">
      <w:pPr>
        <w:pStyle w:val="enumlev1"/>
      </w:pPr>
      <w:r w:rsidRPr="00B91EE1">
        <w:t>•</w:t>
      </w:r>
      <w:r w:rsidRPr="00B91EE1">
        <w:tab/>
      </w:r>
      <w:r w:rsidR="00D72CB1" w:rsidRPr="00B91EE1">
        <w:t>Adopter</w:t>
      </w:r>
      <w:r w:rsidR="00D667A8" w:rsidRPr="00B91EE1">
        <w:t xml:space="preserve"> un nouveau format pour les notifications électroniques des assignations de fréquence des services de Terre, </w:t>
      </w:r>
      <w:r w:rsidR="00D72CB1" w:rsidRPr="00B91EE1">
        <w:t xml:space="preserve">qui soit conforme </w:t>
      </w:r>
      <w:r w:rsidR="00D667A8" w:rsidRPr="00B91EE1">
        <w:t xml:space="preserve">aux normes XML et </w:t>
      </w:r>
      <w:r w:rsidR="00D72CB1" w:rsidRPr="00B91EE1">
        <w:t xml:space="preserve">sera </w:t>
      </w:r>
      <w:r w:rsidR="00D667A8" w:rsidRPr="00B91EE1">
        <w:t xml:space="preserve">utilisé en </w:t>
      </w:r>
      <w:r w:rsidR="00D72CB1" w:rsidRPr="00B91EE1">
        <w:t xml:space="preserve">sus </w:t>
      </w:r>
      <w:r w:rsidR="00D667A8" w:rsidRPr="00B91EE1">
        <w:t>du format SGML existant.</w:t>
      </w:r>
      <w:r w:rsidR="001C2BFC" w:rsidRPr="00B91EE1">
        <w:t xml:space="preserve"> </w:t>
      </w:r>
      <w:r w:rsidR="00D667A8" w:rsidRPr="00B91EE1">
        <w:t>Des outils de conversion automatique ont été mis au point pour conserver la souplesse et la compatibilité entre les deux formats.</w:t>
      </w:r>
    </w:p>
    <w:p w14:paraId="1524C5F1" w14:textId="3100438B" w:rsidR="00BE6FF5" w:rsidRPr="00B91EE1" w:rsidRDefault="00BE6FF5" w:rsidP="004522B1">
      <w:r w:rsidRPr="00B91EE1">
        <w:t xml:space="preserve">Le nouveau système de base de données ainsi que les nouveaux modules logiciels pour le traitement et la validation des fiches de notification électroniques pour les services de Terre ont été </w:t>
      </w:r>
      <w:r w:rsidR="00D72CB1" w:rsidRPr="00B91EE1">
        <w:t>arrêtés</w:t>
      </w:r>
      <w:r w:rsidRPr="00B91EE1">
        <w:t xml:space="preserve"> </w:t>
      </w:r>
      <w:r w:rsidR="00D72CB1" w:rsidRPr="00B91EE1">
        <w:t xml:space="preserve">sous leur forme </w:t>
      </w:r>
      <w:r w:rsidRPr="00B91EE1">
        <w:t xml:space="preserve">définitive, y compris </w:t>
      </w:r>
      <w:r w:rsidR="00D72CB1" w:rsidRPr="00B91EE1">
        <w:t>s</w:t>
      </w:r>
      <w:r w:rsidR="00392F9A" w:rsidRPr="00B91EE1">
        <w:t>'</w:t>
      </w:r>
      <w:r w:rsidR="00D72CB1" w:rsidRPr="00B91EE1">
        <w:t xml:space="preserve">agissant des </w:t>
      </w:r>
      <w:r w:rsidRPr="00B91EE1">
        <w:t>stations HAPS, et font actuellement l</w:t>
      </w:r>
      <w:r w:rsidR="00392F9A" w:rsidRPr="00B91EE1">
        <w:t>'</w:t>
      </w:r>
      <w:r w:rsidRPr="00B91EE1">
        <w:t>objet de derniers tests bêta. La migration des modules logiciels existants utilisés à des fins d</w:t>
      </w:r>
      <w:r w:rsidR="00392F9A" w:rsidRPr="00B91EE1">
        <w:t>'</w:t>
      </w:r>
      <w:r w:rsidRPr="00B91EE1">
        <w:t>examen technique est achevée. Les modules de présentation des résultats d</w:t>
      </w:r>
      <w:r w:rsidR="00392F9A" w:rsidRPr="00B91EE1">
        <w:t>'</w:t>
      </w:r>
      <w:r w:rsidRPr="00B91EE1">
        <w:t xml:space="preserve">examen ont </w:t>
      </w:r>
      <w:r w:rsidR="00B46EB0" w:rsidRPr="00B91EE1">
        <w:t xml:space="preserve">aussi </w:t>
      </w:r>
      <w:r w:rsidRPr="00B91EE1">
        <w:t xml:space="preserve">été achevés et </w:t>
      </w:r>
      <w:r w:rsidR="00B46EB0" w:rsidRPr="00B91EE1">
        <w:t>ont été livrés pour faire l</w:t>
      </w:r>
      <w:r w:rsidR="00392F9A" w:rsidRPr="00B91EE1">
        <w:t>'</w:t>
      </w:r>
      <w:r w:rsidR="00B46EB0" w:rsidRPr="00B91EE1">
        <w:t>objet d</w:t>
      </w:r>
      <w:r w:rsidR="00392F9A" w:rsidRPr="00B91EE1">
        <w:t>'</w:t>
      </w:r>
      <w:r w:rsidR="00B46EB0" w:rsidRPr="00B91EE1">
        <w:t xml:space="preserve">essais bêta finals au </w:t>
      </w:r>
      <w:r w:rsidRPr="00B91EE1">
        <w:t xml:space="preserve">premier trimestre 2023. Les travaux relatifs à la publication et à la préparation des nouvelles versions complètes de la BR IFIC sont en cours </w:t>
      </w:r>
      <w:r w:rsidR="00B46EB0" w:rsidRPr="00B91EE1">
        <w:t>d</w:t>
      </w:r>
      <w:r w:rsidR="00392F9A" w:rsidRPr="00B91EE1">
        <w:t>'</w:t>
      </w:r>
      <w:r w:rsidR="00B46EB0" w:rsidRPr="00B91EE1">
        <w:t xml:space="preserve">achèvement </w:t>
      </w:r>
      <w:r w:rsidRPr="00B91EE1">
        <w:t xml:space="preserve">et </w:t>
      </w:r>
      <w:r w:rsidR="00B46EB0" w:rsidRPr="00B91EE1">
        <w:t>seront vérifiés avant d</w:t>
      </w:r>
      <w:r w:rsidR="00392F9A" w:rsidRPr="00B91EE1">
        <w:t>'</w:t>
      </w:r>
      <w:r w:rsidR="00B46EB0" w:rsidRPr="00B91EE1">
        <w:t xml:space="preserve">être livrés pour les essais bêta qui devraient avoir lieu au </w:t>
      </w:r>
      <w:r w:rsidR="00190B0D" w:rsidRPr="00B91EE1">
        <w:t>deuxième trimestre 2023</w:t>
      </w:r>
      <w:r w:rsidRPr="00B91EE1">
        <w:t>.</w:t>
      </w:r>
    </w:p>
    <w:p w14:paraId="45AF73E9" w14:textId="34729024" w:rsidR="00BE6FF5" w:rsidRPr="00B91EE1" w:rsidRDefault="00BE6FF5" w:rsidP="004522B1">
      <w:r w:rsidRPr="00B91EE1">
        <w:t xml:space="preserve">Diverses applications web ont </w:t>
      </w:r>
      <w:r w:rsidR="00190B0D" w:rsidRPr="00B91EE1">
        <w:t xml:space="preserve">été </w:t>
      </w:r>
      <w:r w:rsidRPr="00B91EE1">
        <w:t>conçues et mises en œuvre</w:t>
      </w:r>
      <w:r w:rsidR="00190B0D" w:rsidRPr="00B91EE1">
        <w:t xml:space="preserve">, et </w:t>
      </w:r>
      <w:r w:rsidR="00B46EB0" w:rsidRPr="00B91EE1">
        <w:t>sont développées et soumises à des essais en continu</w:t>
      </w:r>
      <w:r w:rsidR="00190B0D" w:rsidRPr="00B91EE1">
        <w:t>,</w:t>
      </w:r>
      <w:r w:rsidRPr="00B91EE1">
        <w:t xml:space="preserve"> pour permettre </w:t>
      </w:r>
      <w:r w:rsidR="00B46EB0" w:rsidRPr="00B91EE1">
        <w:t>l</w:t>
      </w:r>
      <w:r w:rsidR="00392F9A" w:rsidRPr="00B91EE1">
        <w:t>'</w:t>
      </w:r>
      <w:r w:rsidRPr="00B91EE1">
        <w:t xml:space="preserve">accès en ligne </w:t>
      </w:r>
      <w:r w:rsidR="008257AF" w:rsidRPr="00B91EE1">
        <w:t>à l</w:t>
      </w:r>
      <w:r w:rsidR="00392F9A" w:rsidRPr="00B91EE1">
        <w:t>'</w:t>
      </w:r>
      <w:r w:rsidR="008257AF" w:rsidRPr="00B91EE1">
        <w:t>interrogation</w:t>
      </w:r>
      <w:r w:rsidRPr="00B91EE1">
        <w:t xml:space="preserve"> de la base de données et à d</w:t>
      </w:r>
      <w:r w:rsidR="00392F9A" w:rsidRPr="00B91EE1">
        <w:t>'</w:t>
      </w:r>
      <w:r w:rsidRPr="00B91EE1">
        <w:t xml:space="preserve">autres outils logiciels, y compris </w:t>
      </w:r>
      <w:r w:rsidR="008257AF" w:rsidRPr="00B91EE1">
        <w:t xml:space="preserve">à la validation </w:t>
      </w:r>
      <w:r w:rsidRPr="00B91EE1">
        <w:t>en ligne les notifications d</w:t>
      </w:r>
      <w:r w:rsidR="00392F9A" w:rsidRPr="00B91EE1">
        <w:t>'</w:t>
      </w:r>
      <w:r w:rsidRPr="00B91EE1">
        <w:t>assignations de fréquence aux services de Terre.</w:t>
      </w:r>
    </w:p>
    <w:p w14:paraId="3124DBB0" w14:textId="06995FA3" w:rsidR="00716A77" w:rsidRPr="00B91EE1" w:rsidRDefault="00716A77" w:rsidP="00392F9A">
      <w:pPr>
        <w:keepLines/>
      </w:pPr>
      <w:bookmarkStart w:id="55" w:name="lt_pId430"/>
      <w:r w:rsidRPr="00B91EE1">
        <w:lastRenderedPageBreak/>
        <w:t xml:space="preserve">Des copies de la base de données existante pour les services de Terre dans la nouvelle </w:t>
      </w:r>
      <w:r w:rsidR="00190B0D" w:rsidRPr="00B91EE1">
        <w:t xml:space="preserve">structure de la </w:t>
      </w:r>
      <w:r w:rsidRPr="00B91EE1">
        <w:t>plate</w:t>
      </w:r>
      <w:r w:rsidRPr="00B91EE1">
        <w:noBreakHyphen/>
        <w:t>forme </w:t>
      </w:r>
      <w:r w:rsidR="008257AF" w:rsidRPr="00B91EE1">
        <w:t xml:space="preserve">SGBD </w:t>
      </w:r>
      <w:r w:rsidRPr="00B91EE1">
        <w:t>sont maintenant disponibles et sont utilisées à l</w:t>
      </w:r>
      <w:r w:rsidR="00392F9A" w:rsidRPr="00B91EE1">
        <w:t>'</w:t>
      </w:r>
      <w:r w:rsidRPr="00B91EE1">
        <w:t>heure actuelle par diverses applications web du BR, afin d</w:t>
      </w:r>
      <w:r w:rsidR="00392F9A" w:rsidRPr="00B91EE1">
        <w:t>'</w:t>
      </w:r>
      <w:r w:rsidRPr="00B91EE1">
        <w:t>afficher, de valider et de traiter les notifications d</w:t>
      </w:r>
      <w:r w:rsidR="00392F9A" w:rsidRPr="00B91EE1">
        <w:t>'</w:t>
      </w:r>
      <w:r w:rsidRPr="00B91EE1">
        <w:t>assignations de fréquence aux services de Terre.</w:t>
      </w:r>
      <w:bookmarkEnd w:id="55"/>
      <w:r w:rsidRPr="00B91EE1">
        <w:rPr>
          <w:color w:val="000000" w:themeColor="text1"/>
          <w:szCs w:val="24"/>
        </w:rPr>
        <w:t xml:space="preserve"> </w:t>
      </w:r>
      <w:r w:rsidR="00190B0D" w:rsidRPr="00B91EE1">
        <w:rPr>
          <w:color w:val="000000" w:themeColor="text1"/>
          <w:szCs w:val="24"/>
        </w:rPr>
        <w:t xml:space="preserve">Des copies dédiées ont </w:t>
      </w:r>
      <w:r w:rsidR="008257AF" w:rsidRPr="00B91EE1">
        <w:rPr>
          <w:color w:val="000000" w:themeColor="text1"/>
          <w:szCs w:val="24"/>
        </w:rPr>
        <w:t>aussi</w:t>
      </w:r>
      <w:r w:rsidR="00190B0D" w:rsidRPr="00B91EE1">
        <w:rPr>
          <w:color w:val="000000" w:themeColor="text1"/>
          <w:szCs w:val="24"/>
        </w:rPr>
        <w:t xml:space="preserve"> été conçues et sont désormais disponibles, </w:t>
      </w:r>
      <w:r w:rsidR="008257AF" w:rsidRPr="00B91EE1">
        <w:rPr>
          <w:color w:val="000000" w:themeColor="text1"/>
          <w:szCs w:val="24"/>
        </w:rPr>
        <w:t>où figure</w:t>
      </w:r>
      <w:r w:rsidR="00190B0D" w:rsidRPr="00B91EE1">
        <w:rPr>
          <w:color w:val="000000" w:themeColor="text1"/>
          <w:szCs w:val="24"/>
        </w:rPr>
        <w:t xml:space="preserve"> l</w:t>
      </w:r>
      <w:r w:rsidR="00392F9A" w:rsidRPr="00B91EE1">
        <w:rPr>
          <w:color w:val="000000" w:themeColor="text1"/>
          <w:szCs w:val="24"/>
        </w:rPr>
        <w:t>'</w:t>
      </w:r>
      <w:r w:rsidR="00190B0D" w:rsidRPr="00B91EE1">
        <w:rPr>
          <w:color w:val="000000" w:themeColor="text1"/>
          <w:szCs w:val="24"/>
        </w:rPr>
        <w:t xml:space="preserve">image de données de la dernière BR IFIC publiée, </w:t>
      </w:r>
      <w:r w:rsidR="008257AF" w:rsidRPr="00B91EE1">
        <w:rPr>
          <w:color w:val="000000" w:themeColor="text1"/>
          <w:szCs w:val="24"/>
        </w:rPr>
        <w:t xml:space="preserve">de manière à offrir </w:t>
      </w:r>
      <w:r w:rsidR="00190B0D" w:rsidRPr="00B91EE1">
        <w:rPr>
          <w:color w:val="000000" w:themeColor="text1"/>
          <w:szCs w:val="24"/>
        </w:rPr>
        <w:t>une application web en ligne de l</w:t>
      </w:r>
      <w:r w:rsidR="00392F9A" w:rsidRPr="00B91EE1">
        <w:rPr>
          <w:color w:val="000000" w:themeColor="text1"/>
          <w:szCs w:val="24"/>
        </w:rPr>
        <w:t>'</w:t>
      </w:r>
      <w:r w:rsidR="00190B0D" w:rsidRPr="00B91EE1">
        <w:rPr>
          <w:color w:val="000000" w:themeColor="text1"/>
          <w:szCs w:val="24"/>
        </w:rPr>
        <w:t>application web de la BR IFIC relative aux services de Terre.</w:t>
      </w:r>
    </w:p>
    <w:p w14:paraId="2CD8B9F3" w14:textId="468D9C7B" w:rsidR="00190B0D" w:rsidRPr="00B91EE1" w:rsidRDefault="008257AF" w:rsidP="004522B1">
      <w:bookmarkStart w:id="56" w:name="lt_pId429"/>
      <w:r w:rsidRPr="00B91EE1">
        <w:t>L</w:t>
      </w:r>
      <w:r w:rsidR="00190B0D" w:rsidRPr="00B91EE1">
        <w:t xml:space="preserve">a migration et la restructuration </w:t>
      </w:r>
      <w:r w:rsidRPr="00B91EE1">
        <w:t>complètes</w:t>
      </w:r>
      <w:r w:rsidR="00190B0D" w:rsidRPr="00B91EE1">
        <w:t xml:space="preserve"> du système </w:t>
      </w:r>
      <w:r w:rsidRPr="00B91EE1">
        <w:t xml:space="preserve">actuel devraient être achevées </w:t>
      </w:r>
      <w:r w:rsidR="00190B0D" w:rsidRPr="00B91EE1">
        <w:t>entre les troisième et quatrième trimestres de 2023, avant la CMR-23.</w:t>
      </w:r>
      <w:bookmarkEnd w:id="56"/>
      <w:r w:rsidR="00190B0D" w:rsidRPr="00B91EE1">
        <w:t xml:space="preserve"> Une lettre circulaire décrivant les </w:t>
      </w:r>
      <w:r w:rsidRPr="00B91EE1">
        <w:t xml:space="preserve">éléments nouveaux et modifiés de </w:t>
      </w:r>
      <w:r w:rsidR="00190B0D" w:rsidRPr="00B91EE1">
        <w:t xml:space="preserve">la structure et </w:t>
      </w:r>
      <w:r w:rsidRPr="00B91EE1">
        <w:t xml:space="preserve">des </w:t>
      </w:r>
      <w:r w:rsidR="00190B0D" w:rsidRPr="00B91EE1">
        <w:t>outils de la base de données pour les services de Terre dans la BR IFIC, ainsi qu</w:t>
      </w:r>
      <w:r w:rsidR="00392F9A" w:rsidRPr="00B91EE1">
        <w:t>'</w:t>
      </w:r>
      <w:r w:rsidR="00190B0D" w:rsidRPr="00B91EE1">
        <w:t>une description du nouveau format de notification XML, est en cours de rédaction et sera envoyée aux administrations des États Membres et aux autres utilisateurs.</w:t>
      </w:r>
    </w:p>
    <w:p w14:paraId="4C16B0C4" w14:textId="6D64830D" w:rsidR="00190B0D" w:rsidRPr="00B91EE1" w:rsidRDefault="00190B0D" w:rsidP="004522B1">
      <w:r w:rsidRPr="00B91EE1">
        <w:t>Comme le</w:t>
      </w:r>
      <w:r w:rsidR="00EC29F7" w:rsidRPr="00B91EE1">
        <w:t xml:space="preserve"> savent le</w:t>
      </w:r>
      <w:r w:rsidRPr="00B91EE1">
        <w:t xml:space="preserve">s États Membres et les utilisateurs extérieurs, une période de transition est prévue avant la </w:t>
      </w:r>
      <w:r w:rsidR="00E51EA8" w:rsidRPr="00B91EE1">
        <w:t xml:space="preserve">date </w:t>
      </w:r>
      <w:r w:rsidR="008257AF" w:rsidRPr="00B91EE1">
        <w:t>de retrait définitif du service</w:t>
      </w:r>
      <w:r w:rsidR="00E51EA8" w:rsidRPr="00B91EE1">
        <w:t xml:space="preserve"> </w:t>
      </w:r>
      <w:r w:rsidRPr="00B91EE1">
        <w:t>du système existant et</w:t>
      </w:r>
      <w:r w:rsidR="008257AF" w:rsidRPr="00B91EE1">
        <w:t xml:space="preserve"> sera indiquée </w:t>
      </w:r>
      <w:r w:rsidRPr="00B91EE1">
        <w:t xml:space="preserve">dans la lettre circulaire susmentionnée, </w:t>
      </w:r>
      <w:r w:rsidR="008257AF" w:rsidRPr="00B91EE1">
        <w:t xml:space="preserve">afin que les </w:t>
      </w:r>
      <w:r w:rsidRPr="00B91EE1">
        <w:t>logiciels élaborés par des tiers</w:t>
      </w:r>
      <w:r w:rsidR="008257AF" w:rsidRPr="00B91EE1">
        <w:t xml:space="preserve"> puissent être adaptés et ajustés en temps utile</w:t>
      </w:r>
      <w:r w:rsidRPr="00B91EE1">
        <w:t xml:space="preserve">. Pendant cette période, la base de données BR IFIC sera </w:t>
      </w:r>
      <w:r w:rsidR="008257AF" w:rsidRPr="00B91EE1">
        <w:t>accessible</w:t>
      </w:r>
      <w:r w:rsidR="00EC29F7" w:rsidRPr="00B91EE1">
        <w:t xml:space="preserve"> </w:t>
      </w:r>
      <w:r w:rsidR="008257AF" w:rsidRPr="00B91EE1">
        <w:t>sous sa forme actuelle et sa nouvelle forme</w:t>
      </w:r>
      <w:r w:rsidRPr="00B91EE1">
        <w:t xml:space="preserve">, ce qui garantira la continuité du service. Des outils de conversion </w:t>
      </w:r>
      <w:r w:rsidR="00BA5C2D" w:rsidRPr="00B91EE1">
        <w:t>vers l</w:t>
      </w:r>
      <w:r w:rsidR="00392F9A" w:rsidRPr="00B91EE1">
        <w:t>'</w:t>
      </w:r>
      <w:r w:rsidR="00BA5C2D" w:rsidRPr="00B91EE1">
        <w:t xml:space="preserve">avant seulement </w:t>
      </w:r>
      <w:r w:rsidRPr="00B91EE1">
        <w:t>ont été mis au point et seront distribués pour permettre la conversion du format actuel de la base de données BR IFIC vers le nouveau format de la base de données système.</w:t>
      </w:r>
    </w:p>
    <w:p w14:paraId="6B785C7D" w14:textId="7095BD45" w:rsidR="00F54299" w:rsidRPr="00B91EE1" w:rsidRDefault="00716A77" w:rsidP="004522B1">
      <w:pPr>
        <w:pStyle w:val="Heading2"/>
      </w:pPr>
      <w:r w:rsidRPr="00B91EE1">
        <w:t>7.2</w:t>
      </w:r>
      <w:r w:rsidRPr="00B91EE1">
        <w:tab/>
      </w:r>
      <w:bookmarkStart w:id="57" w:name="lt_pId439"/>
      <w:r w:rsidRPr="00B91EE1">
        <w:t>Progrès accomplis dans la mise en œuvre de la feuille de route sur les systèmes informatiques du BR pour les services spatiaux (19ème réunion du GCR, 2012)</w:t>
      </w:r>
      <w:bookmarkEnd w:id="57"/>
    </w:p>
    <w:p w14:paraId="265E9503" w14:textId="7A54DBA3" w:rsidR="00716A77" w:rsidRPr="00B91EE1" w:rsidRDefault="00716A77" w:rsidP="004522B1">
      <w:r w:rsidRPr="00B91EE1">
        <w:t>À sa 19ème réunion (</w:t>
      </w:r>
      <w:r w:rsidR="00C40D0B" w:rsidRPr="00B91EE1">
        <w:t>2012</w:t>
      </w:r>
      <w:r w:rsidRPr="00B91EE1">
        <w:t>), le GCR avait invité le Directeur à mettre en œuvre les mesures recommandées dans les délais proposés, comme indiqué dans la feuille de route approuvée, comprenant les phases suivantes: Phase 1 (Mise en œuvre des décisions de la CMR-12); Phase</w:t>
      </w:r>
      <w:r w:rsidR="00F80BD5" w:rsidRPr="00B91EE1">
        <w:t> </w:t>
      </w:r>
      <w:r w:rsidRPr="00B91EE1">
        <w:t>2 (Réécriture de certains logiciels existants) et Phase 3 (Création d</w:t>
      </w:r>
      <w:r w:rsidR="00392F9A" w:rsidRPr="00B91EE1">
        <w:t>'</w:t>
      </w:r>
      <w:r w:rsidRPr="00B91EE1">
        <w:t xml:space="preserve">une équipe de projet chargée de mettre en place un cadre commun, un système de sécurité et une base de données centralisée sur les services spatiaux). </w:t>
      </w:r>
      <w:bookmarkStart w:id="58" w:name="lt_pId441"/>
      <w:r w:rsidRPr="00B91EE1">
        <w:t>Le GCR a encouragé les États Membres et les Membres de Secteur à soumettre leurs observations concernant la Phase 3.</w:t>
      </w:r>
      <w:bookmarkEnd w:id="58"/>
    </w:p>
    <w:p w14:paraId="15875BF3" w14:textId="4DE2D976" w:rsidR="00716A77" w:rsidRPr="00B91EE1" w:rsidRDefault="00716A77" w:rsidP="004522B1">
      <w:bookmarkStart w:id="59" w:name="lt_pId442"/>
      <w:r w:rsidRPr="00B91EE1">
        <w:t>En 202</w:t>
      </w:r>
      <w:r w:rsidR="00C20AFF" w:rsidRPr="00B91EE1">
        <w:t>2</w:t>
      </w:r>
      <w:r w:rsidRPr="00B91EE1">
        <w:t xml:space="preserve">, le BR a continué de </w:t>
      </w:r>
      <w:r w:rsidR="00C40D0B" w:rsidRPr="00B91EE1">
        <w:t xml:space="preserve">tenir à jour </w:t>
      </w:r>
      <w:r w:rsidRPr="00B91EE1">
        <w:t xml:space="preserve">les logiciels existants, tout en </w:t>
      </w:r>
      <w:r w:rsidR="00C40D0B" w:rsidRPr="00B91EE1">
        <w:t>s</w:t>
      </w:r>
      <w:r w:rsidR="00392F9A" w:rsidRPr="00B91EE1">
        <w:t>'</w:t>
      </w:r>
      <w:r w:rsidR="00C40D0B" w:rsidRPr="00B91EE1">
        <w:t xml:space="preserve">employant </w:t>
      </w:r>
      <w:r w:rsidRPr="00B91EE1">
        <w:t xml:space="preserve">à mettre en œuvre de nouvelles versions </w:t>
      </w:r>
      <w:r w:rsidR="00C40D0B" w:rsidRPr="00B91EE1">
        <w:t xml:space="preserve">des principales applications </w:t>
      </w:r>
      <w:r w:rsidRPr="00B91EE1">
        <w:t>logicielles.</w:t>
      </w:r>
      <w:bookmarkEnd w:id="59"/>
      <w:r w:rsidRPr="00B91EE1">
        <w:t xml:space="preserve"> Il a été nécessaire de déployer ces efforts en parallèle, compte tenu des besoins opérationnels, raison pour laquelle certains projets de modernisation sont encore en cours.</w:t>
      </w:r>
    </w:p>
    <w:p w14:paraId="0E8D7740" w14:textId="0A7A2BEF" w:rsidR="00716A77" w:rsidRPr="00B91EE1" w:rsidRDefault="00716A77" w:rsidP="004522B1">
      <w:pPr>
        <w:pStyle w:val="Heading3"/>
      </w:pPr>
      <w:r w:rsidRPr="00B91EE1">
        <w:t>7.2.1</w:t>
      </w:r>
      <w:r w:rsidRPr="00B91EE1">
        <w:tab/>
        <w:t>Progrès accomplis en vue de la réalisation des objectifs de la Phase 2 de la feuille de route</w:t>
      </w:r>
    </w:p>
    <w:p w14:paraId="64248A98" w14:textId="77777777" w:rsidR="00716A77" w:rsidRPr="00B91EE1" w:rsidRDefault="00716A77" w:rsidP="004522B1">
      <w:pPr>
        <w:pStyle w:val="Heading4"/>
      </w:pPr>
      <w:r w:rsidRPr="00B91EE1">
        <w:t>7.2.1.1</w:t>
      </w:r>
      <w:r w:rsidRPr="00B91EE1">
        <w:tab/>
      </w:r>
      <w:bookmarkStart w:id="60" w:name="lt_pId451"/>
      <w:r w:rsidRPr="00B91EE1">
        <w:t>Réécriture des logiciels existants pour les examens techniques</w:t>
      </w:r>
      <w:bookmarkEnd w:id="60"/>
    </w:p>
    <w:p w14:paraId="3C2E3A55" w14:textId="5666952A" w:rsidR="00716A77" w:rsidRPr="00B91EE1" w:rsidRDefault="004E669D" w:rsidP="004522B1">
      <w:pPr>
        <w:pStyle w:val="enumlev1"/>
      </w:pPr>
      <w:r w:rsidRPr="004E669D">
        <w:t>•</w:t>
      </w:r>
      <w:r w:rsidR="00716A77" w:rsidRPr="00B91EE1">
        <w:tab/>
        <w:t>Réécriture du logiciel de calcul de la puissance surfacique pour la protection des services spatiaux: en cours</w:t>
      </w:r>
      <w:r w:rsidR="00846DA3" w:rsidRPr="00B91EE1">
        <w:t>, à achever en 2023</w:t>
      </w:r>
      <w:r w:rsidR="00716A77" w:rsidRPr="00B91EE1">
        <w:t>.</w:t>
      </w:r>
    </w:p>
    <w:p w14:paraId="667690C8" w14:textId="1FDBAC4F" w:rsidR="00716A77" w:rsidRPr="00B91EE1" w:rsidRDefault="004E669D" w:rsidP="004522B1">
      <w:pPr>
        <w:pStyle w:val="enumlev1"/>
      </w:pPr>
      <w:bookmarkStart w:id="61" w:name="lt_pId456"/>
      <w:r w:rsidRPr="004E669D">
        <w:t>•</w:t>
      </w:r>
      <w:r w:rsidR="00716A77" w:rsidRPr="00B91EE1">
        <w:tab/>
        <w:t>Migration des éléments du logiciel GIMS en Fortran: les travaux n</w:t>
      </w:r>
      <w:r w:rsidR="00392F9A" w:rsidRPr="00B91EE1">
        <w:t>'</w:t>
      </w:r>
      <w:r w:rsidR="00716A77" w:rsidRPr="00B91EE1">
        <w:t>ont pas encore commencé.</w:t>
      </w:r>
      <w:bookmarkEnd w:id="61"/>
    </w:p>
    <w:p w14:paraId="3B8AEA17" w14:textId="5BC4DBA5" w:rsidR="00716A77" w:rsidRPr="00B91EE1" w:rsidRDefault="004E669D" w:rsidP="004522B1">
      <w:pPr>
        <w:pStyle w:val="enumlev1"/>
      </w:pPr>
      <w:r w:rsidRPr="004E669D">
        <w:t>•</w:t>
      </w:r>
      <w:r w:rsidR="00716A77" w:rsidRPr="00B91EE1">
        <w:tab/>
        <w:t>Mspace – Migration des éléments du langage Visual Basic 6 au langage</w:t>
      </w:r>
      <w:r w:rsidR="00153B40" w:rsidRPr="00B91EE1">
        <w:t xml:space="preserve"> .</w:t>
      </w:r>
      <w:r w:rsidR="00716A77" w:rsidRPr="00B91EE1">
        <w:t>NET: en cours.</w:t>
      </w:r>
    </w:p>
    <w:p w14:paraId="407796D7" w14:textId="01BD52F3" w:rsidR="00716A77" w:rsidRPr="00B91EE1" w:rsidRDefault="00716A77" w:rsidP="00392F9A">
      <w:pPr>
        <w:pStyle w:val="Heading4"/>
      </w:pPr>
      <w:bookmarkStart w:id="62" w:name="lt_pId459"/>
      <w:r w:rsidRPr="00B91EE1">
        <w:lastRenderedPageBreak/>
        <w:t>7.2.1.2</w:t>
      </w:r>
      <w:r w:rsidRPr="00B91EE1">
        <w:tab/>
        <w:t>Conception et élaboration du système d</w:t>
      </w:r>
      <w:r w:rsidR="00392F9A" w:rsidRPr="00B91EE1">
        <w:t>'</w:t>
      </w:r>
      <w:r w:rsidRPr="00B91EE1">
        <w:t>information du BR pour les systèmes spatiaux (BR SIS)</w:t>
      </w:r>
      <w:bookmarkEnd w:id="62"/>
    </w:p>
    <w:p w14:paraId="04F9FAD7" w14:textId="06A13B0A" w:rsidR="00716A77" w:rsidRPr="00B91EE1" w:rsidRDefault="004E669D" w:rsidP="00392F9A">
      <w:pPr>
        <w:pStyle w:val="enumlev1"/>
        <w:keepNext/>
        <w:keepLines/>
      </w:pPr>
      <w:r w:rsidRPr="004E669D">
        <w:t>•</w:t>
      </w:r>
      <w:r w:rsidR="00716A77" w:rsidRPr="00B91EE1">
        <w:tab/>
        <w:t xml:space="preserve">Réécriture du logiciel SpaceCap en langage Visual Basic 6: en cours. </w:t>
      </w:r>
      <w:r w:rsidR="00846DA3" w:rsidRPr="00B91EE1">
        <w:t xml:space="preserve">En </w:t>
      </w:r>
      <w:r w:rsidR="00716A77" w:rsidRPr="00B91EE1">
        <w:t xml:space="preserve">2022, les premiers modules du logiciel SpaceCap mis en œuvre dans le système BRSIS </w:t>
      </w:r>
      <w:r w:rsidR="00846DA3" w:rsidRPr="00B91EE1">
        <w:t xml:space="preserve">ont été </w:t>
      </w:r>
      <w:r w:rsidR="00716A77" w:rsidRPr="00B91EE1">
        <w:t>intégrés dans la fonction de saisie des accords de coordination.</w:t>
      </w:r>
      <w:r w:rsidR="00846DA3" w:rsidRPr="00B91EE1">
        <w:t xml:space="preserve"> La réécriture </w:t>
      </w:r>
      <w:r w:rsidR="00BA5C2D" w:rsidRPr="00B91EE1">
        <w:t>complète</w:t>
      </w:r>
      <w:r w:rsidR="00846DA3" w:rsidRPr="00B91EE1">
        <w:t xml:space="preserve"> du logiciel SpaceCap (</w:t>
      </w:r>
      <w:r w:rsidR="000F3662" w:rsidRPr="00B91EE1">
        <w:t xml:space="preserve">qui sera </w:t>
      </w:r>
      <w:r w:rsidR="00846DA3" w:rsidRPr="00B91EE1">
        <w:t>rebaptiser BRSIS-Capture) a commencé en décembre</w:t>
      </w:r>
      <w:r w:rsidR="00DD37F3" w:rsidRPr="00B91EE1">
        <w:t> </w:t>
      </w:r>
      <w:r w:rsidR="00846DA3" w:rsidRPr="00B91EE1">
        <w:t xml:space="preserve">2022, </w:t>
      </w:r>
      <w:r w:rsidR="000F3662" w:rsidRPr="00B91EE1">
        <w:t>l</w:t>
      </w:r>
      <w:r w:rsidR="00392F9A" w:rsidRPr="00B91EE1">
        <w:t>'</w:t>
      </w:r>
      <w:r w:rsidR="000F3662" w:rsidRPr="00B91EE1">
        <w:t xml:space="preserve">objectif étant que la nouvelle version soit disponible au moment où les </w:t>
      </w:r>
      <w:r w:rsidR="00846DA3" w:rsidRPr="00B91EE1">
        <w:t>décisions de la</w:t>
      </w:r>
      <w:r w:rsidR="00971617" w:rsidRPr="00B91EE1">
        <w:t> </w:t>
      </w:r>
      <w:r w:rsidR="00846DA3" w:rsidRPr="00B91EE1">
        <w:t>CMR-23</w:t>
      </w:r>
      <w:r w:rsidR="000F3662" w:rsidRPr="00B91EE1">
        <w:t xml:space="preserve"> seront appliquées</w:t>
      </w:r>
      <w:r w:rsidR="00846DA3" w:rsidRPr="00B91EE1">
        <w:t>.</w:t>
      </w:r>
    </w:p>
    <w:p w14:paraId="0518C9CC" w14:textId="50643AB2" w:rsidR="00716A77" w:rsidRPr="00B91EE1" w:rsidRDefault="004E669D" w:rsidP="004522B1">
      <w:pPr>
        <w:pStyle w:val="enumlev1"/>
      </w:pPr>
      <w:r w:rsidRPr="004E669D">
        <w:t>•</w:t>
      </w:r>
      <w:r w:rsidR="00716A77" w:rsidRPr="00B91EE1">
        <w:tab/>
        <w:t xml:space="preserve">Migration de la base de données SRS au format MDB vers une technologie plus moderne: bien que le choix de la technologie appelée à remplacer les fichiers MDB soit clair, la migration va produire des effets importants sur le traitement interne du BR pour les services spatiaux. Par conséquent, la migration vers les bases de données SQLite ne sera pas achevée avant </w:t>
      </w:r>
      <w:r w:rsidR="00846DA3" w:rsidRPr="00B91EE1">
        <w:t xml:space="preserve">la mise en œuvre des décisions de </w:t>
      </w:r>
      <w:r w:rsidR="00716A77" w:rsidRPr="00B91EE1">
        <w:t>la CMR-23, de sorte que les bases de données ne pourront pas être exploitées avant cette échéance. Même lorsque l</w:t>
      </w:r>
      <w:r w:rsidR="00392F9A" w:rsidRPr="00B91EE1">
        <w:t>'</w:t>
      </w:r>
      <w:r w:rsidR="00716A77" w:rsidRPr="00B91EE1">
        <w:t>on aura opéré la migration des applications logicielles du BR pour les services spatiaux vers SQLite, la rétrocompatibilité avec le format MDB, ainsi que les outils de conversion, seront maintenus dans un avenir prévisible.</w:t>
      </w:r>
    </w:p>
    <w:p w14:paraId="230259B9" w14:textId="5C8B0D99" w:rsidR="00716A77" w:rsidRPr="00B91EE1" w:rsidRDefault="004E669D" w:rsidP="004522B1">
      <w:pPr>
        <w:pStyle w:val="enumlev1"/>
      </w:pPr>
      <w:r w:rsidRPr="004E669D">
        <w:t>•</w:t>
      </w:r>
      <w:r w:rsidR="00716A77" w:rsidRPr="00B91EE1">
        <w:tab/>
        <w:t>Migration de la base de données SNS d</w:t>
      </w:r>
      <w:r w:rsidR="00392F9A" w:rsidRPr="00B91EE1">
        <w:t>'</w:t>
      </w:r>
      <w:r w:rsidR="00716A77" w:rsidRPr="00B91EE1">
        <w:t>Ingres vers SQL Server: la migration d</w:t>
      </w:r>
      <w:r w:rsidR="00392F9A" w:rsidRPr="00B91EE1">
        <w:t>'</w:t>
      </w:r>
      <w:r w:rsidR="00716A77" w:rsidRPr="00B91EE1">
        <w:t>applications de traitement interne propres à l</w:t>
      </w:r>
      <w:r w:rsidR="00392F9A" w:rsidRPr="00B91EE1">
        <w:t>'</w:t>
      </w:r>
      <w:r w:rsidR="00716A77" w:rsidRPr="00B91EE1">
        <w:t>environnement Ingres s</w:t>
      </w:r>
      <w:r w:rsidR="00392F9A" w:rsidRPr="00B91EE1">
        <w:t>'</w:t>
      </w:r>
      <w:r w:rsidR="00716A77" w:rsidRPr="00B91EE1">
        <w:t xml:space="preserve">est poursuivie en </w:t>
      </w:r>
      <w:r w:rsidR="00040B1A" w:rsidRPr="00B91EE1">
        <w:t>2022</w:t>
      </w:r>
      <w:r w:rsidR="00716A77" w:rsidRPr="00B91EE1">
        <w:t xml:space="preserve">. </w:t>
      </w:r>
      <w:r w:rsidR="00040B1A" w:rsidRPr="00B91EE1">
        <w:t xml:space="preserve">Un environnement </w:t>
      </w:r>
      <w:r w:rsidR="000F3662" w:rsidRPr="00B91EE1">
        <w:t>d</w:t>
      </w:r>
      <w:r w:rsidR="00392F9A" w:rsidRPr="00B91EE1">
        <w:t>'</w:t>
      </w:r>
      <w:r w:rsidR="000F3662" w:rsidRPr="00B91EE1">
        <w:t>essai</w:t>
      </w:r>
      <w:r w:rsidR="00040B1A" w:rsidRPr="00B91EE1">
        <w:t xml:space="preserve"> bêta a été mis à disposition des utilisateurs internes en mars</w:t>
      </w:r>
      <w:r w:rsidR="00DD37F3" w:rsidRPr="00B91EE1">
        <w:t> </w:t>
      </w:r>
      <w:r w:rsidR="00040B1A" w:rsidRPr="00B91EE1">
        <w:t xml:space="preserve">2023, et il est prévu que la migration soit achevée </w:t>
      </w:r>
      <w:r w:rsidR="00EC29F7" w:rsidRPr="00B91EE1">
        <w:t>d</w:t>
      </w:r>
      <w:r w:rsidR="00392F9A" w:rsidRPr="00B91EE1">
        <w:t>'</w:t>
      </w:r>
      <w:r w:rsidR="00EC29F7" w:rsidRPr="00B91EE1">
        <w:t xml:space="preserve">ici </w:t>
      </w:r>
      <w:r w:rsidR="00040B1A" w:rsidRPr="00B91EE1">
        <w:t>fin juin.</w:t>
      </w:r>
    </w:p>
    <w:p w14:paraId="2C38D40B" w14:textId="7AF30328" w:rsidR="00716A77" w:rsidRPr="00B91EE1" w:rsidRDefault="004E669D" w:rsidP="004522B1">
      <w:pPr>
        <w:pStyle w:val="enumlev1"/>
      </w:pPr>
      <w:r w:rsidRPr="004E669D">
        <w:t>•</w:t>
      </w:r>
      <w:r w:rsidR="00716A77" w:rsidRPr="00B91EE1">
        <w:tab/>
        <w:t xml:space="preserve">Réexamen de SNTrack: en cours. SNTrack </w:t>
      </w:r>
      <w:r w:rsidR="00040B1A" w:rsidRPr="00B91EE1">
        <w:t xml:space="preserve">sera </w:t>
      </w:r>
      <w:r w:rsidR="00716A77" w:rsidRPr="00B91EE1">
        <w:t>remplacé progressivement par un système informatique de gestion des systèmes spatiaux, afin de compléter la fonctionnalité administrative du système de soumission électronique.</w:t>
      </w:r>
    </w:p>
    <w:p w14:paraId="1B2B6890" w14:textId="27B5331D" w:rsidR="00716A77" w:rsidRPr="00B91EE1" w:rsidRDefault="004E669D" w:rsidP="004522B1">
      <w:pPr>
        <w:pStyle w:val="enumlev1"/>
      </w:pPr>
      <w:r w:rsidRPr="004E669D">
        <w:t>•</w:t>
      </w:r>
      <w:r w:rsidR="00716A77" w:rsidRPr="00B91EE1">
        <w:tab/>
        <w:t>Réexamen du système SNS en ligne (et fusion avec le système SNL en ligne): en cours. Mise au point de l</w:t>
      </w:r>
      <w:r w:rsidR="00392F9A" w:rsidRPr="00B91EE1">
        <w:t>'</w:t>
      </w:r>
      <w:r w:rsidR="00716A77" w:rsidRPr="00B91EE1">
        <w:t>application web «ITU Space Explorer» en vue de remplacer le système d</w:t>
      </w:r>
      <w:r w:rsidR="00392F9A" w:rsidRPr="00B91EE1">
        <w:t>'</w:t>
      </w:r>
      <w:r w:rsidR="00716A77" w:rsidRPr="00B91EE1">
        <w:t xml:space="preserve">exploration des données qui figurait précédemment dans le système SNS Online. Le système SNL en ligne fait partie </w:t>
      </w:r>
      <w:r w:rsidR="00040B1A" w:rsidRPr="00B91EE1">
        <w:t>des produits</w:t>
      </w:r>
      <w:r w:rsidR="00716A77" w:rsidRPr="00B91EE1">
        <w:t xml:space="preserve"> visant à appliquer le point 4 du </w:t>
      </w:r>
      <w:r w:rsidR="00716A77" w:rsidRPr="00B91EE1">
        <w:rPr>
          <w:i/>
          <w:iCs/>
        </w:rPr>
        <w:t xml:space="preserve">charge le Directeur du Bureau des radiocommunications </w:t>
      </w:r>
      <w:r w:rsidR="00716A77" w:rsidRPr="00B91EE1">
        <w:t xml:space="preserve">de la Résolution 186 (Rév. </w:t>
      </w:r>
      <w:r w:rsidR="00040B1A" w:rsidRPr="00B91EE1">
        <w:t>Bucarest, 2022</w:t>
      </w:r>
      <w:r w:rsidR="00716A77" w:rsidRPr="00B91EE1">
        <w:t xml:space="preserve">) de la Conférence de plénipotentiaires. Des progrès ont été accomplis dans la Phase 1 du projet en </w:t>
      </w:r>
      <w:r w:rsidR="00040B1A" w:rsidRPr="00B91EE1">
        <w:t xml:space="preserve">2022 </w:t>
      </w:r>
      <w:r w:rsidR="00716A77" w:rsidRPr="00B91EE1">
        <w:t xml:space="preserve">et les testeurs externes </w:t>
      </w:r>
      <w:r w:rsidR="00040B1A" w:rsidRPr="00B91EE1">
        <w:t xml:space="preserve">ont </w:t>
      </w:r>
      <w:r w:rsidR="00716A77" w:rsidRPr="00B91EE1">
        <w:t>bénéfici</w:t>
      </w:r>
      <w:r w:rsidR="00040B1A" w:rsidRPr="00B91EE1">
        <w:t>é</w:t>
      </w:r>
      <w:r w:rsidR="00716A77" w:rsidRPr="00B91EE1">
        <w:t xml:space="preserve"> d</w:t>
      </w:r>
      <w:r w:rsidR="00392F9A" w:rsidRPr="00B91EE1">
        <w:t>'</w:t>
      </w:r>
      <w:r w:rsidR="00716A77" w:rsidRPr="00B91EE1">
        <w:t xml:space="preserve">un accès </w:t>
      </w:r>
      <w:r w:rsidR="00040B1A" w:rsidRPr="00B91EE1">
        <w:t xml:space="preserve">le 30 juin </w:t>
      </w:r>
      <w:r w:rsidR="00716A77" w:rsidRPr="00B91EE1">
        <w:t>2022</w:t>
      </w:r>
      <w:r w:rsidR="00040B1A" w:rsidRPr="00B91EE1">
        <w:t>, comme indiqué dans la Lettre circulaire CR/489</w:t>
      </w:r>
      <w:r w:rsidR="00716A77" w:rsidRPr="00B91EE1">
        <w:t xml:space="preserve">. La version opérationnelle </w:t>
      </w:r>
      <w:r w:rsidR="00040B1A" w:rsidRPr="00B91EE1">
        <w:t xml:space="preserve">complète </w:t>
      </w:r>
      <w:r w:rsidR="00716A77" w:rsidRPr="00B91EE1">
        <w:t xml:space="preserve">est attendue </w:t>
      </w:r>
      <w:r w:rsidR="00040B1A" w:rsidRPr="00B91EE1">
        <w:t>début</w:t>
      </w:r>
      <w:r w:rsidR="00DD37F3" w:rsidRPr="00B91EE1">
        <w:t> </w:t>
      </w:r>
      <w:r w:rsidR="00040B1A" w:rsidRPr="00B91EE1">
        <w:t>2024</w:t>
      </w:r>
      <w:r w:rsidR="00716A77" w:rsidRPr="00B91EE1">
        <w:t>.</w:t>
      </w:r>
    </w:p>
    <w:p w14:paraId="3D75785D" w14:textId="77777777" w:rsidR="00716A77" w:rsidRPr="00B91EE1" w:rsidRDefault="00716A77" w:rsidP="004522B1">
      <w:pPr>
        <w:pStyle w:val="Heading3"/>
      </w:pPr>
      <w:r w:rsidRPr="00B91EE1">
        <w:t>7.2.2</w:t>
      </w:r>
      <w:r w:rsidRPr="00B91EE1">
        <w:tab/>
        <w:t>Progrès accomplis en vue de la réalisation des objectifs de la Phase 3 de la feuille de route</w:t>
      </w:r>
    </w:p>
    <w:p w14:paraId="5E976D76" w14:textId="77777777" w:rsidR="00716A77" w:rsidRPr="00B91EE1" w:rsidRDefault="00716A77" w:rsidP="004522B1">
      <w:r w:rsidRPr="00B91EE1">
        <w:t>Les travaux menés au cours des phases précédentes, ainsi que les choix de conception et les choix techniques effectués, constituent une excellente base pour la mise en œuvre avec succès de la Phase 3:</w:t>
      </w:r>
    </w:p>
    <w:p w14:paraId="724F345C" w14:textId="3A48A7DC" w:rsidR="00716A77" w:rsidRPr="00B91EE1" w:rsidRDefault="004E669D" w:rsidP="004522B1">
      <w:pPr>
        <w:pStyle w:val="enumlev1"/>
      </w:pPr>
      <w:bookmarkStart w:id="63" w:name="lt_pId473"/>
      <w:r w:rsidRPr="004E669D">
        <w:t>•</w:t>
      </w:r>
      <w:r w:rsidR="00716A77" w:rsidRPr="00B91EE1">
        <w:tab/>
        <w:t>Une nouvelle conception de la structure, qui préservera l</w:t>
      </w:r>
      <w:r w:rsidR="00392F9A" w:rsidRPr="00B91EE1">
        <w:t>'</w:t>
      </w:r>
      <w:r w:rsidR="00716A77" w:rsidRPr="00B91EE1">
        <w:t>équivalence des données, mais aura pour objectif de supprimer certaines redondances,</w:t>
      </w:r>
      <w:bookmarkEnd w:id="63"/>
      <w:r w:rsidR="00716A77" w:rsidRPr="00B91EE1">
        <w:t xml:space="preserve"> sera déployée au moment de la mise en œuvre des décisions de la CMR-23, de façon à ne pas obliger à un changement trop fréquent de la structure de base de données.</w:t>
      </w:r>
    </w:p>
    <w:p w14:paraId="6398AE39" w14:textId="2B492C5F" w:rsidR="00716A77" w:rsidRPr="00B91EE1" w:rsidRDefault="004E669D" w:rsidP="004522B1">
      <w:pPr>
        <w:pStyle w:val="enumlev1"/>
      </w:pPr>
      <w:r w:rsidRPr="004E669D">
        <w:t>•</w:t>
      </w:r>
      <w:r w:rsidR="00716A77" w:rsidRPr="00B91EE1">
        <w:tab/>
        <w:t>Des activités visant à centraliser et à rationaliser la gestion des risques, de la reprise des activités et de la sécurité sont en cours.</w:t>
      </w:r>
    </w:p>
    <w:p w14:paraId="7360A3D6" w14:textId="1ABB6187" w:rsidR="00716A77" w:rsidRPr="00B91EE1" w:rsidRDefault="00716A77" w:rsidP="004522B1">
      <w:pPr>
        <w:pStyle w:val="Heading2"/>
      </w:pPr>
      <w:r w:rsidRPr="00B91EE1">
        <w:lastRenderedPageBreak/>
        <w:t>7.3</w:t>
      </w:r>
      <w:r w:rsidRPr="00B91EE1">
        <w:tab/>
      </w:r>
      <w:r w:rsidR="00392F9A" w:rsidRPr="00B91EE1">
        <w:t>Élaboration</w:t>
      </w:r>
      <w:r w:rsidR="00C40D0B" w:rsidRPr="00B91EE1">
        <w:t xml:space="preserve"> </w:t>
      </w:r>
      <w:r w:rsidRPr="00B91EE1">
        <w:t>de logiciels relatifs aux services spatiaux</w:t>
      </w:r>
    </w:p>
    <w:p w14:paraId="5D7A2E7E" w14:textId="78AF638F" w:rsidR="00716A77" w:rsidRPr="00B91EE1" w:rsidRDefault="00716A77" w:rsidP="004522B1">
      <w:pPr>
        <w:pStyle w:val="Heading3"/>
      </w:pPr>
      <w:r w:rsidRPr="00B91EE1">
        <w:t>7.3.1</w:t>
      </w:r>
      <w:r w:rsidRPr="00B91EE1">
        <w:tab/>
      </w:r>
      <w:bookmarkStart w:id="64" w:name="lt_pId478"/>
      <w:r w:rsidRPr="00B91EE1">
        <w:t>Mise en œuvre de la Résolution 907 (Rév.CMR-15) – Utilisat</w:t>
      </w:r>
      <w:bookmarkEnd w:id="64"/>
      <w:r w:rsidRPr="00B91EE1">
        <w:t>ion de moyens modernes de communication électroniques pour la correspondance administrative concernant les réseaux à satellite</w:t>
      </w:r>
    </w:p>
    <w:p w14:paraId="052E431E" w14:textId="1C9BCBC1" w:rsidR="00716A77" w:rsidRPr="00B91EE1" w:rsidRDefault="00716A77" w:rsidP="004522B1">
      <w:bookmarkStart w:id="65" w:name="lt_pId479"/>
      <w:r w:rsidRPr="00B91EE1">
        <w:t xml:space="preserve">En 2022, les travaux visant à </w:t>
      </w:r>
      <w:r w:rsidR="00040B1A" w:rsidRPr="00B91EE1">
        <w:t>améliorer</w:t>
      </w:r>
      <w:r w:rsidRPr="00B91EE1">
        <w:t xml:space="preserve"> et à tenir à jour le système en ligne de communications électroniques conformément à la Résolution </w:t>
      </w:r>
      <w:r w:rsidRPr="00B91EE1">
        <w:rPr>
          <w:b/>
          <w:bCs/>
        </w:rPr>
        <w:t>907 (Rév.CMR-15)</w:t>
      </w:r>
      <w:r w:rsidRPr="00B91EE1">
        <w:t xml:space="preserve"> se sont poursuivis.</w:t>
      </w:r>
      <w:bookmarkEnd w:id="65"/>
      <w:r w:rsidRPr="00B91EE1">
        <w:t xml:space="preserve"> </w:t>
      </w:r>
      <w:r w:rsidR="00040B1A" w:rsidRPr="00B91EE1">
        <w:t>Au</w:t>
      </w:r>
      <w:r w:rsidR="00F80BD5" w:rsidRPr="00B91EE1">
        <w:t> </w:t>
      </w:r>
      <w:r w:rsidR="00040B1A" w:rsidRPr="00B91EE1">
        <w:t>8</w:t>
      </w:r>
      <w:r w:rsidR="00F80BD5" w:rsidRPr="00B91EE1">
        <w:t> </w:t>
      </w:r>
      <w:r w:rsidR="00040B1A" w:rsidRPr="00B91EE1">
        <w:t>mars</w:t>
      </w:r>
      <w:r w:rsidR="00F80BD5" w:rsidRPr="00B91EE1">
        <w:t> </w:t>
      </w:r>
      <w:r w:rsidR="00040B1A" w:rsidRPr="00B91EE1">
        <w:t>2023, le nombre d</w:t>
      </w:r>
      <w:r w:rsidR="00392F9A" w:rsidRPr="00B91EE1">
        <w:t>'</w:t>
      </w:r>
      <w:r w:rsidR="00040B1A" w:rsidRPr="00B91EE1">
        <w:t>administrations enregistrées était en hausse et s</w:t>
      </w:r>
      <w:r w:rsidR="00392F9A" w:rsidRPr="00B91EE1">
        <w:t>'</w:t>
      </w:r>
      <w:r w:rsidR="00040B1A" w:rsidRPr="00B91EE1">
        <w:t>é</w:t>
      </w:r>
      <w:r w:rsidR="00DE7CF3" w:rsidRPr="00B91EE1">
        <w:t>l</w:t>
      </w:r>
      <w:r w:rsidR="00040B1A" w:rsidRPr="00B91EE1">
        <w:t>e</w:t>
      </w:r>
      <w:r w:rsidR="00DE7CF3" w:rsidRPr="00B91EE1">
        <w:t>v</w:t>
      </w:r>
      <w:r w:rsidR="00040B1A" w:rsidRPr="00B91EE1">
        <w:t>ait à 147</w:t>
      </w:r>
      <w:r w:rsidR="00DE7CF3" w:rsidRPr="00B91EE1">
        <w:t>, et</w:t>
      </w:r>
      <w:r w:rsidR="00F80BD5" w:rsidRPr="00B91EE1">
        <w:t> </w:t>
      </w:r>
      <w:r w:rsidR="00DE7CF3" w:rsidRPr="00B91EE1">
        <w:t>126 d</w:t>
      </w:r>
      <w:r w:rsidR="00392F9A" w:rsidRPr="00B91EE1">
        <w:t>'</w:t>
      </w:r>
      <w:r w:rsidR="00DE7CF3" w:rsidRPr="00B91EE1">
        <w:t>entre elles ont envoyé des correspondances via le système</w:t>
      </w:r>
      <w:r w:rsidRPr="00B91EE1">
        <w:t>.</w:t>
      </w:r>
    </w:p>
    <w:p w14:paraId="69B0A0E4" w14:textId="19C8191B" w:rsidR="00DE7CF3" w:rsidRPr="00B91EE1" w:rsidRDefault="00DE7CF3" w:rsidP="004522B1">
      <w:r w:rsidRPr="00B91EE1">
        <w:t>Le système de communications électroniques a fait l</w:t>
      </w:r>
      <w:r w:rsidR="00392F9A" w:rsidRPr="00B91EE1">
        <w:t>'</w:t>
      </w:r>
      <w:r w:rsidRPr="00B91EE1">
        <w:t>objet de deux mises à jour importantes en</w:t>
      </w:r>
      <w:r w:rsidR="00971617" w:rsidRPr="00B91EE1">
        <w:t> </w:t>
      </w:r>
      <w:r w:rsidRPr="00B91EE1">
        <w:t>2022.</w:t>
      </w:r>
    </w:p>
    <w:p w14:paraId="5AD183C1" w14:textId="24B94BAC" w:rsidR="00716A77" w:rsidRPr="00B91EE1" w:rsidRDefault="00EC29F7" w:rsidP="004522B1">
      <w:r w:rsidRPr="00B91EE1">
        <w:t xml:space="preserve">Dans le cadre de ces mises à jour, un </w:t>
      </w:r>
      <w:r w:rsidR="00716A77" w:rsidRPr="00B91EE1">
        <w:t>nouveau rôle d</w:t>
      </w:r>
      <w:r w:rsidR="00392F9A" w:rsidRPr="00B91EE1">
        <w:t>'</w:t>
      </w:r>
      <w:r w:rsidR="00716A77" w:rsidRPr="00B91EE1">
        <w:t>utilisateur</w:t>
      </w:r>
      <w:r w:rsidRPr="00B91EE1">
        <w:t xml:space="preserve"> pour</w:t>
      </w:r>
      <w:r w:rsidR="00716A77" w:rsidRPr="00B91EE1">
        <w:t xml:space="preserve"> «une administration agissant au nom d</w:t>
      </w:r>
      <w:r w:rsidR="00392F9A" w:rsidRPr="00B91EE1">
        <w:t>'</w:t>
      </w:r>
      <w:r w:rsidR="00716A77" w:rsidRPr="00B91EE1">
        <w:t xml:space="preserve">une organisation intergouvernementale de télécommunications par satellite» </w:t>
      </w:r>
      <w:r w:rsidR="00DE7CF3" w:rsidRPr="00B91EE1">
        <w:t>(ADM/IGSO) a été mis à disposition le 1er septembre 2022</w:t>
      </w:r>
      <w:r w:rsidR="00716A77" w:rsidRPr="00B91EE1">
        <w:t>.</w:t>
      </w:r>
      <w:r w:rsidR="00716A77" w:rsidRPr="00B91EE1">
        <w:rPr>
          <w:rFonts w:asciiTheme="minorHAnsi" w:hAnsiTheme="minorHAnsi"/>
        </w:rPr>
        <w:t xml:space="preserve"> </w:t>
      </w:r>
      <w:r w:rsidR="00716A77" w:rsidRPr="00B91EE1">
        <w:t>Le nouveau rôle d</w:t>
      </w:r>
      <w:r w:rsidR="00392F9A" w:rsidRPr="00B91EE1">
        <w:t>'</w:t>
      </w:r>
      <w:r w:rsidR="00716A77" w:rsidRPr="00B91EE1">
        <w:t xml:space="preserve">utilisateur «ADM/IGSO» permet </w:t>
      </w:r>
      <w:r w:rsidR="00363365" w:rsidRPr="00B91EE1">
        <w:t>aux utilisateurs d</w:t>
      </w:r>
      <w:r w:rsidR="00392F9A" w:rsidRPr="00B91EE1">
        <w:t>'</w:t>
      </w:r>
      <w:r w:rsidR="00363365" w:rsidRPr="00B91EE1">
        <w:t>une a</w:t>
      </w:r>
      <w:r w:rsidR="00716A77" w:rsidRPr="00B91EE1">
        <w:t>dministration agissant au nom d</w:t>
      </w:r>
      <w:r w:rsidR="00392F9A" w:rsidRPr="00B91EE1">
        <w:t>'</w:t>
      </w:r>
      <w:r w:rsidR="00716A77" w:rsidRPr="00B91EE1">
        <w:t>une organisation intergouvernementale de télécommunication par satellite d</w:t>
      </w:r>
      <w:r w:rsidR="00392F9A" w:rsidRPr="00B91EE1">
        <w:t>'</w:t>
      </w:r>
      <w:r w:rsidR="00716A77" w:rsidRPr="00B91EE1">
        <w:t xml:space="preserve">envoyer et de recevoir de la correspondance avec </w:t>
      </w:r>
      <w:r w:rsidR="00363365" w:rsidRPr="00B91EE1">
        <w:t xml:space="preserve">le Bureau et </w:t>
      </w:r>
      <w:r w:rsidR="00716A77" w:rsidRPr="00B91EE1">
        <w:t xml:space="preserve">les autres administrations, y compris une ADM/IGSO. </w:t>
      </w:r>
      <w:r w:rsidR="00363365" w:rsidRPr="00B91EE1">
        <w:t>Au 8 mars 2023, 11 ADM/IGSO sont enregistrées</w:t>
      </w:r>
      <w:r w:rsidR="00716A77" w:rsidRPr="00B91EE1">
        <w:t>.</w:t>
      </w:r>
    </w:p>
    <w:p w14:paraId="167D216D" w14:textId="489A1D65" w:rsidR="00363365" w:rsidRPr="00B91EE1" w:rsidRDefault="00363365" w:rsidP="004522B1">
      <w:r w:rsidRPr="00B91EE1">
        <w:t xml:space="preserve">En outre, </w:t>
      </w:r>
      <w:r w:rsidR="00C45A54" w:rsidRPr="00B91EE1">
        <w:t>diverses améliorations concernant la qualité de fonctionnement et la facilité d</w:t>
      </w:r>
      <w:r w:rsidR="00392F9A" w:rsidRPr="00B91EE1">
        <w:t>'</w:t>
      </w:r>
      <w:r w:rsidR="00C45A54" w:rsidRPr="00B91EE1">
        <w:t>utilisation ont été apportées</w:t>
      </w:r>
      <w:r w:rsidRPr="00B91EE1">
        <w:t xml:space="preserve">, comme un assouplissement des limites </w:t>
      </w:r>
      <w:r w:rsidR="00EC29F7" w:rsidRPr="00B91EE1">
        <w:t xml:space="preserve">portant sur le </w:t>
      </w:r>
      <w:r w:rsidRPr="00B91EE1">
        <w:t xml:space="preserve">nombre de caractères, ont été </w:t>
      </w:r>
      <w:r w:rsidR="00EC29F7" w:rsidRPr="00B91EE1">
        <w:t>apportées</w:t>
      </w:r>
      <w:r w:rsidRPr="00B91EE1">
        <w:t xml:space="preserve"> en 2022.</w:t>
      </w:r>
    </w:p>
    <w:p w14:paraId="7B8B5DA8" w14:textId="0967E9B3" w:rsidR="00716A77" w:rsidRPr="00B91EE1" w:rsidRDefault="00363365" w:rsidP="004522B1">
      <w:r w:rsidRPr="00B91EE1">
        <w:t xml:space="preserve">La nouvelle fonction </w:t>
      </w:r>
      <w:r w:rsidR="00EC29F7" w:rsidRPr="00B91EE1">
        <w:t>d</w:t>
      </w:r>
      <w:r w:rsidR="00392F9A" w:rsidRPr="00B91EE1">
        <w:t>'</w:t>
      </w:r>
      <w:r w:rsidR="00EC29F7" w:rsidRPr="00B91EE1">
        <w:t xml:space="preserve">intégration au </w:t>
      </w:r>
      <w:r w:rsidRPr="00B91EE1">
        <w:t xml:space="preserve">système de soumission électronique est en cours de mise au point et devrait être </w:t>
      </w:r>
      <w:r w:rsidR="000F3662" w:rsidRPr="00B91EE1">
        <w:t>installée</w:t>
      </w:r>
      <w:r w:rsidRPr="00B91EE1">
        <w:t xml:space="preserve"> au deuxième trimestre de 2023.</w:t>
      </w:r>
    </w:p>
    <w:p w14:paraId="4B349FC0" w14:textId="77777777" w:rsidR="005B74A3" w:rsidRPr="00B91EE1" w:rsidRDefault="005B74A3" w:rsidP="004522B1">
      <w:pPr>
        <w:pStyle w:val="Heading3"/>
      </w:pPr>
      <w:r w:rsidRPr="00B91EE1">
        <w:t>7.3.2</w:t>
      </w:r>
      <w:r w:rsidRPr="00B91EE1">
        <w:tab/>
        <w:t>Mise en œuvre de la Résolution 908 (Rév.CMR-15): soumission par voie électronique des fiches de notification des réseaux à satellite</w:t>
      </w:r>
    </w:p>
    <w:p w14:paraId="3CE15C25" w14:textId="4142C4D3" w:rsidR="005B74A3" w:rsidRPr="00B91EE1" w:rsidRDefault="005B74A3" w:rsidP="004522B1">
      <w:bookmarkStart w:id="66" w:name="lt_pId486"/>
      <w:r w:rsidRPr="00B91EE1">
        <w:t xml:space="preserve">En </w:t>
      </w:r>
      <w:r w:rsidR="00120611" w:rsidRPr="00B91EE1">
        <w:t>2022</w:t>
      </w:r>
      <w:r w:rsidRPr="00B91EE1">
        <w:t xml:space="preserve">, le système de soumission par voie électronique était accessible 24 heures sur 24 pour les administrations et les </w:t>
      </w:r>
      <w:r w:rsidR="00120611" w:rsidRPr="00B91EE1">
        <w:t>exploita</w:t>
      </w:r>
      <w:r w:rsidR="00EC29F7" w:rsidRPr="00B91EE1">
        <w:t>n</w:t>
      </w:r>
      <w:r w:rsidR="00120611" w:rsidRPr="00B91EE1">
        <w:t xml:space="preserve">ts </w:t>
      </w:r>
      <w:r w:rsidRPr="00B91EE1">
        <w:t xml:space="preserve">souhaitant soumettre des fiches de notification de réseaux à satellite. Au </w:t>
      </w:r>
      <w:r w:rsidR="007A7ECA" w:rsidRPr="00B91EE1">
        <w:t xml:space="preserve">8 </w:t>
      </w:r>
      <w:r w:rsidRPr="00B91EE1">
        <w:t xml:space="preserve">mars </w:t>
      </w:r>
      <w:r w:rsidR="007A7ECA" w:rsidRPr="00B91EE1">
        <w:t>2023</w:t>
      </w:r>
      <w:r w:rsidRPr="00B91EE1">
        <w:t>, le nombre d</w:t>
      </w:r>
      <w:r w:rsidR="00392F9A" w:rsidRPr="00B91EE1">
        <w:t>'</w:t>
      </w:r>
      <w:r w:rsidRPr="00B91EE1">
        <w:t>administrations enregistrées était en hausse et s</w:t>
      </w:r>
      <w:r w:rsidR="00392F9A" w:rsidRPr="00B91EE1">
        <w:t>'</w:t>
      </w:r>
      <w:r w:rsidRPr="00B91EE1">
        <w:t>élevait à </w:t>
      </w:r>
      <w:r w:rsidR="007A7ECA" w:rsidRPr="00B91EE1">
        <w:t>153</w:t>
      </w:r>
      <w:r w:rsidRPr="00B91EE1">
        <w:t>.</w:t>
      </w:r>
    </w:p>
    <w:p w14:paraId="4A3FD1EF" w14:textId="5911A59E" w:rsidR="00C45A54" w:rsidRPr="00B91EE1" w:rsidRDefault="00C45A54" w:rsidP="004522B1">
      <w:r w:rsidRPr="00B91EE1">
        <w:t>Le système de soumission par voie électronique a fait l</w:t>
      </w:r>
      <w:r w:rsidR="00392F9A" w:rsidRPr="00B91EE1">
        <w:t>'</w:t>
      </w:r>
      <w:r w:rsidRPr="00B91EE1">
        <w:t>objet de quatre mises à jour importantes en</w:t>
      </w:r>
      <w:r w:rsidR="007817B8" w:rsidRPr="00B91EE1">
        <w:t> </w:t>
      </w:r>
      <w:r w:rsidRPr="00B91EE1">
        <w:t>2022.</w:t>
      </w:r>
    </w:p>
    <w:p w14:paraId="2C98D7A7" w14:textId="02C90A9F" w:rsidR="005B74A3" w:rsidRPr="00B91EE1" w:rsidRDefault="00EC29F7" w:rsidP="004522B1">
      <w:r w:rsidRPr="00B91EE1">
        <w:t>Le 5 avril 2022, une nouvelle interface a été mise en place en vue de faciliter la notification du statut de la coordination lors de la soumission à nouveau d</w:t>
      </w:r>
      <w:r w:rsidR="00392F9A" w:rsidRPr="00B91EE1">
        <w:t>'</w:t>
      </w:r>
      <w:r w:rsidRPr="00B91EE1">
        <w:t>une fiche de notification relative à une station spatiale. Un fichier SNS destiné à la soumission à nouveau d</w:t>
      </w:r>
      <w:r w:rsidR="00392F9A" w:rsidRPr="00B91EE1">
        <w:t>'</w:t>
      </w:r>
      <w:r w:rsidRPr="00B91EE1">
        <w:t>une fiche de notification relative à une station spatiale contenant des données relatives aux accords de coordination peut maintenant être soumis. Cette mise à jour permet également aux administrations de transmettre des informations rendant compte des efforts déployés pour assurer la coordination du réseau à satellite</w:t>
      </w:r>
      <w:r w:rsidR="000F3662" w:rsidRPr="00B91EE1">
        <w:t>s</w:t>
      </w:r>
      <w:r w:rsidRPr="00B91EE1">
        <w:t xml:space="preserve">, conformément au numéro </w:t>
      </w:r>
      <w:r w:rsidRPr="00B91EE1">
        <w:rPr>
          <w:b/>
          <w:bCs/>
        </w:rPr>
        <w:t>11.41.2</w:t>
      </w:r>
      <w:r w:rsidRPr="00B91EE1">
        <w:t>.</w:t>
      </w:r>
    </w:p>
    <w:p w14:paraId="3C2363D1" w14:textId="433E74B8" w:rsidR="00C45A54" w:rsidRPr="00B91EE1" w:rsidRDefault="00C40D0B" w:rsidP="004522B1">
      <w:r w:rsidRPr="00B91EE1">
        <w:t>De plus</w:t>
      </w:r>
      <w:r w:rsidR="00C45A54" w:rsidRPr="00B91EE1">
        <w:t>, afin de gérer la transition de la structure de la base de données SNS de la version 9.0 à la version 9.1, le système de soumission par voie électronique accept</w:t>
      </w:r>
      <w:r w:rsidR="00252E9A" w:rsidRPr="00B91EE1">
        <w:t>ait</w:t>
      </w:r>
      <w:r w:rsidR="00C45A54" w:rsidRPr="00B91EE1">
        <w:t xml:space="preserve"> les fichiers SNS dans les deux versions du 29 novembre 2022 au 15 janvier 2023</w:t>
      </w:r>
      <w:r w:rsidR="00252E9A" w:rsidRPr="00B91EE1">
        <w:t xml:space="preserve">. </w:t>
      </w:r>
      <w:r w:rsidR="00CD6F40" w:rsidRPr="00B91EE1">
        <w:t>Depuis le 16 janvier 2023, l</w:t>
      </w:r>
      <w:r w:rsidR="00252E9A" w:rsidRPr="00B91EE1">
        <w:t>e système accepte uniquement les fichiers SNS au format SNS 9.1</w:t>
      </w:r>
      <w:r w:rsidR="00C45A54" w:rsidRPr="00B91EE1">
        <w:t>.</w:t>
      </w:r>
    </w:p>
    <w:p w14:paraId="7E95DDD5" w14:textId="4227BF3A" w:rsidR="005B74A3" w:rsidRPr="00B91EE1" w:rsidRDefault="005B74A3" w:rsidP="00392F9A">
      <w:pPr>
        <w:keepLines/>
      </w:pPr>
      <w:r w:rsidRPr="00B91EE1">
        <w:lastRenderedPageBreak/>
        <w:t>En outre, diverses améliorations concernant la qualité de fonctionnement et la facilité d</w:t>
      </w:r>
      <w:r w:rsidR="00392F9A" w:rsidRPr="00B91EE1">
        <w:t>'</w:t>
      </w:r>
      <w:r w:rsidRPr="00B91EE1">
        <w:t>utilisation ont été apportées dans le système</w:t>
      </w:r>
      <w:r w:rsidR="00C45A54" w:rsidRPr="00B91EE1">
        <w:t xml:space="preserve">, </w:t>
      </w:r>
      <w:r w:rsidR="00344BF5" w:rsidRPr="00B91EE1">
        <w:t>notamment</w:t>
      </w:r>
      <w:r w:rsidR="00252E9A" w:rsidRPr="00B91EE1">
        <w:t xml:space="preserve"> un message d</w:t>
      </w:r>
      <w:r w:rsidR="00392F9A" w:rsidRPr="00B91EE1">
        <w:t>'</w:t>
      </w:r>
      <w:r w:rsidR="00252E9A" w:rsidRPr="00B91EE1">
        <w:t>alerte relatif aux observations formulées au moyen du logiciel SpaceCom au-delà du délai de 4 mois prévu pour la formulation des observations, et un message d</w:t>
      </w:r>
      <w:r w:rsidR="00392F9A" w:rsidRPr="00B91EE1">
        <w:t>'</w:t>
      </w:r>
      <w:r w:rsidR="00252E9A" w:rsidRPr="00B91EE1">
        <w:t>alerte demandant que l</w:t>
      </w:r>
      <w:r w:rsidR="00392F9A" w:rsidRPr="00B91EE1">
        <w:t>'</w:t>
      </w:r>
      <w:r w:rsidR="00252E9A" w:rsidRPr="00B91EE1">
        <w:t>administration notificatrice soumette les renseignements nécessaires lorsque le code d</w:t>
      </w:r>
      <w:r w:rsidR="00392F9A" w:rsidRPr="00B91EE1">
        <w:t>'</w:t>
      </w:r>
      <w:r w:rsidR="00252E9A" w:rsidRPr="00B91EE1">
        <w:t>un exploita</w:t>
      </w:r>
      <w:r w:rsidR="00CD6F40" w:rsidRPr="00B91EE1">
        <w:t>n</w:t>
      </w:r>
      <w:r w:rsidR="00252E9A" w:rsidRPr="00B91EE1">
        <w:t xml:space="preserve">t figurant dans la fiche de notification soumise </w:t>
      </w:r>
      <w:r w:rsidR="00CD6F40" w:rsidRPr="00B91EE1">
        <w:t>est</w:t>
      </w:r>
      <w:r w:rsidR="00252E9A" w:rsidRPr="00B91EE1">
        <w:t xml:space="preserve"> nouveau (999)</w:t>
      </w:r>
      <w:r w:rsidRPr="00B91EE1">
        <w:t>.</w:t>
      </w:r>
    </w:p>
    <w:p w14:paraId="566C2F1C" w14:textId="735C6930" w:rsidR="005B74A3" w:rsidRPr="00B91EE1" w:rsidRDefault="0089384F" w:rsidP="004522B1">
      <w:r w:rsidRPr="00B91EE1">
        <w:t>D</w:t>
      </w:r>
      <w:r w:rsidR="005B74A3" w:rsidRPr="00B91EE1">
        <w:t xml:space="preserve">e nouvelles évolutions </w:t>
      </w:r>
      <w:r w:rsidRPr="00B91EE1">
        <w:t>sont en cours afin de mettre d</w:t>
      </w:r>
      <w:r w:rsidR="00392F9A" w:rsidRPr="00B91EE1">
        <w:t>'</w:t>
      </w:r>
      <w:r w:rsidRPr="00B91EE1">
        <w:t>autres fonctions à disposition des administrations et des exploita</w:t>
      </w:r>
      <w:r w:rsidR="00CD6F40" w:rsidRPr="00B91EE1">
        <w:t>n</w:t>
      </w:r>
      <w:r w:rsidRPr="00B91EE1">
        <w:t>ts</w:t>
      </w:r>
      <w:r w:rsidR="005B74A3" w:rsidRPr="00B91EE1">
        <w:t xml:space="preserve">, </w:t>
      </w:r>
      <w:r w:rsidR="00344BF5" w:rsidRPr="00B91EE1">
        <w:t>dont</w:t>
      </w:r>
      <w:r w:rsidRPr="00B91EE1">
        <w:t xml:space="preserve"> </w:t>
      </w:r>
      <w:r w:rsidR="005B74A3" w:rsidRPr="00B91EE1">
        <w:t xml:space="preserve">un nouveau statut «Publiée dans la BR IFIC» pour </w:t>
      </w:r>
      <w:r w:rsidRPr="00B91EE1">
        <w:t xml:space="preserve">chaque </w:t>
      </w:r>
      <w:r w:rsidR="005B74A3" w:rsidRPr="00B91EE1">
        <w:t xml:space="preserve">fiche de notification, </w:t>
      </w:r>
      <w:r w:rsidRPr="00B91EE1">
        <w:t>l</w:t>
      </w:r>
      <w:r w:rsidR="00392F9A" w:rsidRPr="00B91EE1">
        <w:t>'</w:t>
      </w:r>
      <w:r w:rsidRPr="00B91EE1">
        <w:t xml:space="preserve">intégration au système de communications électroniques et un </w:t>
      </w:r>
      <w:r w:rsidR="005B74A3" w:rsidRPr="00B91EE1">
        <w:t xml:space="preserve">outil </w:t>
      </w:r>
      <w:r w:rsidRPr="00B91EE1">
        <w:t xml:space="preserve">PFD </w:t>
      </w:r>
      <w:r w:rsidR="005B74A3" w:rsidRPr="00B91EE1">
        <w:t>en ligne</w:t>
      </w:r>
      <w:r w:rsidRPr="00B91EE1">
        <w:t>, qui devraient être mis en place au deuxième trimestre de 2023</w:t>
      </w:r>
      <w:r w:rsidR="005B74A3" w:rsidRPr="00B91EE1">
        <w:t>.</w:t>
      </w:r>
    </w:p>
    <w:p w14:paraId="0F583365" w14:textId="157BDF23" w:rsidR="005B74A3" w:rsidRPr="00B91EE1" w:rsidRDefault="005B74A3" w:rsidP="004522B1">
      <w:r w:rsidRPr="00B91EE1">
        <w:t>Afin de faciliter les activités de développement et de tests</w:t>
      </w:r>
      <w:r w:rsidR="0089384F" w:rsidRPr="00B91EE1">
        <w:t xml:space="preserve"> de cet outil</w:t>
      </w:r>
      <w:r w:rsidRPr="00B91EE1">
        <w:t>, l</w:t>
      </w:r>
      <w:r w:rsidR="00392F9A" w:rsidRPr="00B91EE1">
        <w:t>'</w:t>
      </w:r>
      <w:r w:rsidRPr="00B91EE1">
        <w:t xml:space="preserve">Administration du Japon a </w:t>
      </w:r>
      <w:r w:rsidR="00C40D0B" w:rsidRPr="00B91EE1">
        <w:t xml:space="preserve">apporté une contribution </w:t>
      </w:r>
      <w:r w:rsidRPr="00B91EE1">
        <w:t>financière</w:t>
      </w:r>
      <w:r w:rsidR="00C40D0B" w:rsidRPr="00B91EE1">
        <w:t xml:space="preserve"> </w:t>
      </w:r>
      <w:r w:rsidRPr="00B91EE1">
        <w:t xml:space="preserve">et a aussi mis à disposition </w:t>
      </w:r>
      <w:r w:rsidR="0089384F" w:rsidRPr="00B91EE1">
        <w:t>au siège de l</w:t>
      </w:r>
      <w:r w:rsidR="00392F9A" w:rsidRPr="00B91EE1">
        <w:t>'</w:t>
      </w:r>
      <w:r w:rsidR="0089384F" w:rsidRPr="00B91EE1">
        <w:t>UIT</w:t>
      </w:r>
      <w:r w:rsidRPr="00B91EE1">
        <w:t xml:space="preserve"> un expert technique et en réglementation dans le domaine des réseaux à satellite.</w:t>
      </w:r>
      <w:bookmarkEnd w:id="66"/>
      <w:r w:rsidRPr="00B91EE1">
        <w:t xml:space="preserve"> Le Bureau des radiocommunications remercie à nouveau l</w:t>
      </w:r>
      <w:r w:rsidR="00392F9A" w:rsidRPr="00B91EE1">
        <w:t>'</w:t>
      </w:r>
      <w:r w:rsidRPr="00B91EE1">
        <w:t xml:space="preserve">Administration du Japon </w:t>
      </w:r>
      <w:bookmarkStart w:id="67" w:name="lt_pId487"/>
      <w:r w:rsidR="0089384F" w:rsidRPr="00B91EE1">
        <w:t xml:space="preserve">de son appui constant et </w:t>
      </w:r>
      <w:r w:rsidRPr="00B91EE1">
        <w:t>d</w:t>
      </w:r>
      <w:r w:rsidR="00392F9A" w:rsidRPr="00B91EE1">
        <w:t>'</w:t>
      </w:r>
      <w:r w:rsidRPr="00B91EE1">
        <w:t>avoir bien voulu fournir une assistance concrète aux fins de l</w:t>
      </w:r>
      <w:r w:rsidR="00392F9A" w:rsidRPr="00B91EE1">
        <w:t>'</w:t>
      </w:r>
      <w:r w:rsidRPr="00B91EE1">
        <w:t>élaboration de ce projet.</w:t>
      </w:r>
      <w:bookmarkEnd w:id="67"/>
    </w:p>
    <w:p w14:paraId="45B86496" w14:textId="3C24B6EC" w:rsidR="005B74A3" w:rsidRPr="00B91EE1" w:rsidRDefault="005B74A3" w:rsidP="004522B1">
      <w:pPr>
        <w:pStyle w:val="Heading3"/>
      </w:pPr>
      <w:r w:rsidRPr="00B91EE1">
        <w:t>7.3.3</w:t>
      </w:r>
      <w:r w:rsidRPr="00B91EE1">
        <w:tab/>
        <w:t>Mise au point d</w:t>
      </w:r>
      <w:r w:rsidR="00392F9A" w:rsidRPr="00B91EE1">
        <w:t>'</w:t>
      </w:r>
      <w:r w:rsidRPr="00B91EE1">
        <w:t>un outil permettant d</w:t>
      </w:r>
      <w:r w:rsidR="00392F9A" w:rsidRPr="00B91EE1">
        <w:t>'</w:t>
      </w:r>
      <w:r w:rsidRPr="00B91EE1">
        <w:t xml:space="preserve">aider les administrations à indiquer au Bureau le statut de la coordination vis-à-vis des administrations concernées lors de la notification </w:t>
      </w:r>
    </w:p>
    <w:p w14:paraId="0C9A1A44" w14:textId="6926AED7" w:rsidR="00CD6F40" w:rsidRPr="00B91EE1" w:rsidRDefault="005B74A3" w:rsidP="004522B1">
      <w:r w:rsidRPr="00B91EE1">
        <w:t>La mise au point de l</w:t>
      </w:r>
      <w:r w:rsidR="00392F9A" w:rsidRPr="00B91EE1">
        <w:t>'</w:t>
      </w:r>
      <w:r w:rsidRPr="00B91EE1">
        <w:t xml:space="preserve">outil </w:t>
      </w:r>
      <w:r w:rsidR="0089384F" w:rsidRPr="00B91EE1">
        <w:t>en question, qui a été présenté au GCR en 2022, a été achevée</w:t>
      </w:r>
      <w:r w:rsidRPr="00B91EE1">
        <w:t>, et l</w:t>
      </w:r>
      <w:r w:rsidR="00392F9A" w:rsidRPr="00B91EE1">
        <w:t>'</w:t>
      </w:r>
      <w:r w:rsidRPr="00B91EE1">
        <w:t xml:space="preserve">outil </w:t>
      </w:r>
      <w:r w:rsidR="0089384F" w:rsidRPr="00B91EE1">
        <w:t xml:space="preserve">a été </w:t>
      </w:r>
      <w:r w:rsidR="003A7201" w:rsidRPr="00B91EE1">
        <w:t>mis à disposition</w:t>
      </w:r>
      <w:r w:rsidR="0089384F" w:rsidRPr="00B91EE1">
        <w:t xml:space="preserve"> dans la BR IFIC (services spatiaux) </w:t>
      </w:r>
      <w:r w:rsidR="003A7201" w:rsidRPr="00B91EE1">
        <w:t xml:space="preserve">2968 </w:t>
      </w:r>
      <w:r w:rsidR="0089384F" w:rsidRPr="00B91EE1">
        <w:t>du 8</w:t>
      </w:r>
      <w:r w:rsidRPr="00B91EE1">
        <w:t xml:space="preserve"> avril 2022. </w:t>
      </w:r>
      <w:r w:rsidR="00DF0209" w:rsidRPr="00B91EE1">
        <w:t>L</w:t>
      </w:r>
      <w:r w:rsidR="00C40D0B" w:rsidRPr="00B91EE1">
        <w:t>a mise à disposition de l</w:t>
      </w:r>
      <w:r w:rsidR="00392F9A" w:rsidRPr="00B91EE1">
        <w:t>'</w:t>
      </w:r>
      <w:r w:rsidR="00DF0209" w:rsidRPr="00B91EE1">
        <w:t>outil a été annoncé</w:t>
      </w:r>
      <w:r w:rsidR="00C40D0B" w:rsidRPr="00B91EE1">
        <w:t>e</w:t>
      </w:r>
      <w:r w:rsidR="00DF0209" w:rsidRPr="00B91EE1">
        <w:t xml:space="preserve"> dans la Lettre circulaire CR/483 datée du 25 mars 2022. Parallèlement, le portail de soumission électronique a été mis à jour pour permettre la notification et la soumission à nouveau de fiches de notification créées avec l</w:t>
      </w:r>
      <w:r w:rsidR="00392F9A" w:rsidRPr="00B91EE1">
        <w:t>'</w:t>
      </w:r>
      <w:r w:rsidR="00DF0209" w:rsidRPr="00B91EE1">
        <w:t>outil.</w:t>
      </w:r>
    </w:p>
    <w:p w14:paraId="5D9B75B7" w14:textId="6E725559" w:rsidR="00DF0209" w:rsidRPr="00B91EE1" w:rsidRDefault="00CD6F40" w:rsidP="004522B1">
      <w:r w:rsidRPr="00B91EE1">
        <w:t xml:space="preserve">Cet outil, qui a été </w:t>
      </w:r>
      <w:r w:rsidR="005B74A3" w:rsidRPr="00B91EE1">
        <w:t xml:space="preserve">mis en œuvre </w:t>
      </w:r>
      <w:r w:rsidR="00DF0209" w:rsidRPr="00B91EE1">
        <w:t xml:space="preserve">par le biais du </w:t>
      </w:r>
      <w:r w:rsidR="005B74A3" w:rsidRPr="00B91EE1">
        <w:t xml:space="preserve">logiciel SpaceCap, </w:t>
      </w:r>
      <w:r w:rsidR="00DF0209" w:rsidRPr="00B91EE1">
        <w:t>est doté</w:t>
      </w:r>
      <w:r w:rsidR="005B74A3" w:rsidRPr="00B91EE1">
        <w:t xml:space="preserve"> </w:t>
      </w:r>
      <w:r w:rsidR="00DF0209" w:rsidRPr="00B91EE1">
        <w:t>d</w:t>
      </w:r>
      <w:r w:rsidR="00392F9A" w:rsidRPr="00B91EE1">
        <w:t>'</w:t>
      </w:r>
      <w:r w:rsidR="005B74A3" w:rsidRPr="00B91EE1">
        <w:t>interface</w:t>
      </w:r>
      <w:r w:rsidR="00DF0209" w:rsidRPr="00B91EE1">
        <w:t>s conviviales</w:t>
      </w:r>
      <w:r w:rsidR="005B74A3" w:rsidRPr="00B91EE1">
        <w:t xml:space="preserve"> présentant les exigences de coordination du réseau à satellite et permet à l</w:t>
      </w:r>
      <w:r w:rsidR="00392F9A" w:rsidRPr="00B91EE1">
        <w:t>'</w:t>
      </w:r>
      <w:r w:rsidR="005B74A3" w:rsidRPr="00B91EE1">
        <w:t>utilisateur de naviguer facilement dans la fiche de notification pour obtenir des informations sur le statut de la coordination vis-à-vis des administrations concernées au niveau du groupe d</w:t>
      </w:r>
      <w:r w:rsidR="00392F9A" w:rsidRPr="00B91EE1">
        <w:t>'</w:t>
      </w:r>
      <w:r w:rsidR="005B74A3" w:rsidRPr="00B91EE1">
        <w:t>une fiche de notification.</w:t>
      </w:r>
    </w:p>
    <w:p w14:paraId="4DF79F7D" w14:textId="241B5FC2" w:rsidR="005B74A3" w:rsidRPr="00B91EE1" w:rsidRDefault="00CD6F40" w:rsidP="004522B1">
      <w:r w:rsidRPr="00B91EE1">
        <w:t xml:space="preserve">De plus, </w:t>
      </w:r>
      <w:r w:rsidR="005B74A3" w:rsidRPr="00B91EE1">
        <w:t xml:space="preserve">les nouvelles fonctionnalités du logiciel </w:t>
      </w:r>
      <w:r w:rsidRPr="00B91EE1">
        <w:t>SpaceCap</w:t>
      </w:r>
      <w:r w:rsidR="00DF0209" w:rsidRPr="00B91EE1">
        <w:t xml:space="preserve">, telles que </w:t>
      </w:r>
      <w:r w:rsidR="005B74A3" w:rsidRPr="00B91EE1">
        <w:t>des «assistants»</w:t>
      </w:r>
      <w:r w:rsidR="00DF0209" w:rsidRPr="00B91EE1">
        <w:t>,</w:t>
      </w:r>
      <w:r w:rsidR="005B74A3" w:rsidRPr="00B91EE1">
        <w:t xml:space="preserve"> aideront à créer des fiches de notification relatives à des stations spatiales dans les cas suivants:</w:t>
      </w:r>
    </w:p>
    <w:p w14:paraId="2FAE65D0" w14:textId="67EB154A" w:rsidR="005B74A3" w:rsidRPr="00B91EE1" w:rsidRDefault="005B74A3" w:rsidP="004E669D">
      <w:pPr>
        <w:pStyle w:val="enumlev1"/>
      </w:pPr>
      <w:r w:rsidRPr="00B91EE1">
        <w:t>•</w:t>
      </w:r>
      <w:r w:rsidRPr="00B91EE1">
        <w:tab/>
        <w:t xml:space="preserve">Première notification au titre du numéro </w:t>
      </w:r>
      <w:r w:rsidRPr="00B91EE1">
        <w:rPr>
          <w:b/>
        </w:rPr>
        <w:t>11.2</w:t>
      </w:r>
      <w:r w:rsidRPr="00B91EE1">
        <w:t xml:space="preserve"> pour les assignations de fréquence soumises à la coordination</w:t>
      </w:r>
      <w:r w:rsidR="00DF0209" w:rsidRPr="00B91EE1">
        <w:t xml:space="preserve"> au titre de la Section II de l</w:t>
      </w:r>
      <w:r w:rsidR="00392F9A" w:rsidRPr="00B91EE1">
        <w:t>'</w:t>
      </w:r>
      <w:r w:rsidR="00DF0209" w:rsidRPr="00B91EE1">
        <w:t xml:space="preserve">Article </w:t>
      </w:r>
      <w:r w:rsidR="00DF0209" w:rsidRPr="00B91EE1">
        <w:rPr>
          <w:b/>
          <w:bCs/>
        </w:rPr>
        <w:t>9</w:t>
      </w:r>
      <w:r w:rsidRPr="00B91EE1">
        <w:t>.</w:t>
      </w:r>
    </w:p>
    <w:p w14:paraId="5084A983" w14:textId="30F623E2" w:rsidR="005B74A3" w:rsidRPr="00B91EE1" w:rsidRDefault="005B74A3" w:rsidP="004E669D">
      <w:pPr>
        <w:pStyle w:val="enumlev1"/>
      </w:pPr>
      <w:r w:rsidRPr="00B91EE1">
        <w:t>•</w:t>
      </w:r>
      <w:r w:rsidRPr="00B91EE1">
        <w:tab/>
        <w:t xml:space="preserve">Nouvelle soumission </w:t>
      </w:r>
      <w:r w:rsidR="00C40D0B" w:rsidRPr="00B91EE1">
        <w:t>d</w:t>
      </w:r>
      <w:r w:rsidR="00392F9A" w:rsidRPr="00B91EE1">
        <w:t>'</w:t>
      </w:r>
      <w:r w:rsidR="00C40D0B" w:rsidRPr="00B91EE1">
        <w:t xml:space="preserve">une </w:t>
      </w:r>
      <w:r w:rsidRPr="00B91EE1">
        <w:t>notification après qu</w:t>
      </w:r>
      <w:r w:rsidR="00392F9A" w:rsidRPr="00B91EE1">
        <w:t>'</w:t>
      </w:r>
      <w:r w:rsidRPr="00B91EE1">
        <w:t xml:space="preserve">une fiche de notification </w:t>
      </w:r>
      <w:r w:rsidR="00C40D0B" w:rsidRPr="00B91EE1">
        <w:t xml:space="preserve">a </w:t>
      </w:r>
      <w:r w:rsidRPr="00B91EE1">
        <w:t xml:space="preserve">été retournée au titre du numéro </w:t>
      </w:r>
      <w:r w:rsidRPr="00B91EE1">
        <w:rPr>
          <w:b/>
        </w:rPr>
        <w:t>11.37</w:t>
      </w:r>
      <w:r w:rsidRPr="00B91EE1">
        <w:t xml:space="preserve"> ou </w:t>
      </w:r>
      <w:r w:rsidRPr="00B91EE1">
        <w:rPr>
          <w:b/>
        </w:rPr>
        <w:t>11.38</w:t>
      </w:r>
      <w:r w:rsidRPr="00B91EE1">
        <w:t>.</w:t>
      </w:r>
    </w:p>
    <w:p w14:paraId="0C67F556" w14:textId="1CA3B543" w:rsidR="005B74A3" w:rsidRPr="00B91EE1" w:rsidRDefault="005B74A3" w:rsidP="004E669D">
      <w:pPr>
        <w:pStyle w:val="enumlev1"/>
      </w:pPr>
      <w:r w:rsidRPr="00B91EE1">
        <w:t>•</w:t>
      </w:r>
      <w:r w:rsidRPr="00B91EE1">
        <w:tab/>
        <w:t xml:space="preserve">Première notification au titre du numéro </w:t>
      </w:r>
      <w:r w:rsidRPr="00B91EE1">
        <w:rPr>
          <w:b/>
        </w:rPr>
        <w:t>11.2</w:t>
      </w:r>
      <w:r w:rsidRPr="00B91EE1">
        <w:t xml:space="preserve"> pour les assignations de fréquence non soumises à la coordination</w:t>
      </w:r>
      <w:r w:rsidR="00DF0209" w:rsidRPr="00B91EE1">
        <w:t xml:space="preserve"> au titre de la Section II de l</w:t>
      </w:r>
      <w:r w:rsidR="00392F9A" w:rsidRPr="00B91EE1">
        <w:t>'</w:t>
      </w:r>
      <w:r w:rsidR="00DF0209" w:rsidRPr="00B91EE1">
        <w:t xml:space="preserve">Article </w:t>
      </w:r>
      <w:r w:rsidR="00DF0209" w:rsidRPr="00B91EE1">
        <w:rPr>
          <w:b/>
          <w:bCs/>
        </w:rPr>
        <w:t>9</w:t>
      </w:r>
      <w:r w:rsidRPr="00B91EE1">
        <w:t>.</w:t>
      </w:r>
    </w:p>
    <w:p w14:paraId="0B3BA98E" w14:textId="58D26641" w:rsidR="005B74A3" w:rsidRPr="00B91EE1" w:rsidRDefault="00DF0209" w:rsidP="004522B1">
      <w:r w:rsidRPr="00B91EE1">
        <w:t>Afin d</w:t>
      </w:r>
      <w:r w:rsidR="00392F9A" w:rsidRPr="00B91EE1">
        <w:t>'</w:t>
      </w:r>
      <w:r w:rsidRPr="00B91EE1">
        <w:t xml:space="preserve">aider les utilisateurs à </w:t>
      </w:r>
      <w:r w:rsidR="00344BF5" w:rsidRPr="00B91EE1">
        <w:t>se repérer</w:t>
      </w:r>
      <w:r w:rsidRPr="00B91EE1">
        <w:t xml:space="preserve"> dans le nouvel outil et les </w:t>
      </w:r>
      <w:r w:rsidR="00CD6F40" w:rsidRPr="00B91EE1">
        <w:t>n</w:t>
      </w:r>
      <w:r w:rsidRPr="00B91EE1">
        <w:t xml:space="preserve">ouvelles fonctionnalités, une page contenant des </w:t>
      </w:r>
      <w:r w:rsidR="00344BF5" w:rsidRPr="00B91EE1">
        <w:t xml:space="preserve">orientations </w:t>
      </w:r>
      <w:r w:rsidRPr="00B91EE1">
        <w:t>et des vidéos a été créée et est accessible à l</w:t>
      </w:r>
      <w:r w:rsidR="00392F9A" w:rsidRPr="00B91EE1">
        <w:t>'</w:t>
      </w:r>
      <w:r w:rsidRPr="00B91EE1">
        <w:t>adresse</w:t>
      </w:r>
      <w:r w:rsidR="00CD6F40" w:rsidRPr="00B91EE1">
        <w:t xml:space="preserve"> suivante</w:t>
      </w:r>
      <w:r w:rsidRPr="00B91EE1">
        <w:t>:</w:t>
      </w:r>
    </w:p>
    <w:p w14:paraId="514E6F96" w14:textId="77777777" w:rsidR="005B74A3" w:rsidRPr="00B91EE1" w:rsidRDefault="00CD643A" w:rsidP="004522B1">
      <w:pPr>
        <w:jc w:val="center"/>
        <w:rPr>
          <w:u w:val="single"/>
        </w:rPr>
      </w:pPr>
      <w:hyperlink r:id="rId22" w:history="1">
        <w:r w:rsidR="005B74A3" w:rsidRPr="00B91EE1">
          <w:rPr>
            <w:rStyle w:val="Hyperlink"/>
          </w:rPr>
          <w:t>https://www.itu.int/en/ITU-R/space/support/Pages/GuideforNotificationwithSpacecap.aspx</w:t>
        </w:r>
      </w:hyperlink>
    </w:p>
    <w:p w14:paraId="404776E4" w14:textId="3D467E5E" w:rsidR="00D7259F" w:rsidRPr="00B91EE1" w:rsidRDefault="006A6119" w:rsidP="004522B1">
      <w:r w:rsidRPr="00B91EE1">
        <w:t>Un atelier sur l</w:t>
      </w:r>
      <w:r w:rsidR="00392F9A" w:rsidRPr="00B91EE1">
        <w:t>'</w:t>
      </w:r>
      <w:r w:rsidRPr="00B91EE1">
        <w:t>utilisation de ce nouvel outil et de ces nouvelles fonctionnalités a également été organisé à l</w:t>
      </w:r>
      <w:r w:rsidR="00392F9A" w:rsidRPr="00B91EE1">
        <w:t>'</w:t>
      </w:r>
      <w:r w:rsidRPr="00B91EE1">
        <w:t>occasion du Séminaire mondial des radiocommunications de l</w:t>
      </w:r>
      <w:r w:rsidR="00392F9A" w:rsidRPr="00B91EE1">
        <w:t>'</w:t>
      </w:r>
      <w:r w:rsidRPr="00B91EE1">
        <w:t>UIT de 2022 (WRS-22), qui s</w:t>
      </w:r>
      <w:r w:rsidR="00392F9A" w:rsidRPr="00B91EE1">
        <w:t>'</w:t>
      </w:r>
      <w:r w:rsidRPr="00B91EE1">
        <w:t>est tenu à Genève du 24 au 28 octobre 2022.</w:t>
      </w:r>
    </w:p>
    <w:p w14:paraId="20559D40" w14:textId="77777777" w:rsidR="0031628C" w:rsidRPr="00B91EE1" w:rsidRDefault="0031628C" w:rsidP="004522B1">
      <w:pPr>
        <w:pStyle w:val="Heading3"/>
      </w:pPr>
      <w:r w:rsidRPr="00B91EE1">
        <w:lastRenderedPageBreak/>
        <w:t>7.3.4</w:t>
      </w:r>
      <w:r w:rsidRPr="00B91EE1">
        <w:tab/>
        <w:t>Passage de la Circulaire BR IFIC (services spatiaux) du support DVD à un mécanisme en ligne</w:t>
      </w:r>
    </w:p>
    <w:p w14:paraId="0F7E5EE5" w14:textId="149505E1" w:rsidR="0031628C" w:rsidRPr="00B91EE1" w:rsidRDefault="0031628C" w:rsidP="004522B1">
      <w:r w:rsidRPr="00B91EE1">
        <w:t>Compte tenu de l</w:t>
      </w:r>
      <w:r w:rsidR="00392F9A" w:rsidRPr="00B91EE1">
        <w:t>'</w:t>
      </w:r>
      <w:r w:rsidRPr="00B91EE1">
        <w:t>obsolescence de l</w:t>
      </w:r>
      <w:r w:rsidR="00392F9A" w:rsidRPr="00B91EE1">
        <w:t>'</w:t>
      </w:r>
      <w:r w:rsidRPr="00B91EE1">
        <w:t xml:space="preserve">une des technologies logicielles utilisées actuellement pour la mise en œuvre du DVD de la BR IFIC (services spatiaux), le Bureau travaille sur un projet visant à faire passer la BR IFIC (services spatiaux) du support DVD à un mécanisme de distribution en ligne. Mettre la BR IFIC (services spatiaux) à disposition en ligne permettra de consulter et de télécharger ses sections spéciales et ses parties au format PDF et </w:t>
      </w:r>
      <w:r w:rsidR="00624E16" w:rsidRPr="00B91EE1">
        <w:t>d</w:t>
      </w:r>
      <w:r w:rsidR="00392F9A" w:rsidRPr="00B91EE1">
        <w:t>'</w:t>
      </w:r>
      <w:r w:rsidR="00624E16" w:rsidRPr="00B91EE1">
        <w:t xml:space="preserve">envoyer des requêtes concernant </w:t>
      </w:r>
      <w:r w:rsidRPr="00B91EE1">
        <w:t>les données relatives à toutes les publications qu</w:t>
      </w:r>
      <w:r w:rsidR="00392F9A" w:rsidRPr="00B91EE1">
        <w:t>'</w:t>
      </w:r>
      <w:r w:rsidRPr="00B91EE1">
        <w:t xml:space="preserve">elle contient via une interface en ligne conviviale et un serveur sécurisé. </w:t>
      </w:r>
      <w:r w:rsidRPr="00B91EE1">
        <w:rPr>
          <w:szCs w:val="24"/>
        </w:rPr>
        <w:t>Le 7 mars 2023, l</w:t>
      </w:r>
      <w:r w:rsidR="00392F9A" w:rsidRPr="00B91EE1">
        <w:rPr>
          <w:szCs w:val="24"/>
        </w:rPr>
        <w:t>'</w:t>
      </w:r>
      <w:r w:rsidRPr="00B91EE1">
        <w:rPr>
          <w:szCs w:val="24"/>
        </w:rPr>
        <w:t>application en ligne de la BR IFIC (services spatiaux) a été lancée en version bêta pour les abonnés à la BR IFIC. Les observations et les réactions à son sujet seront recueillies jusqu</w:t>
      </w:r>
      <w:r w:rsidR="00392F9A" w:rsidRPr="00B91EE1">
        <w:rPr>
          <w:szCs w:val="24"/>
        </w:rPr>
        <w:t>'</w:t>
      </w:r>
      <w:r w:rsidRPr="00B91EE1">
        <w:rPr>
          <w:szCs w:val="24"/>
        </w:rPr>
        <w:t xml:space="preserve">au début de mai 2023. La BR IFIC en ligne devrait être mise en </w:t>
      </w:r>
      <w:r w:rsidR="00624E16" w:rsidRPr="00B91EE1">
        <w:rPr>
          <w:szCs w:val="24"/>
        </w:rPr>
        <w:t xml:space="preserve">service </w:t>
      </w:r>
      <w:r w:rsidRPr="00B91EE1">
        <w:rPr>
          <w:szCs w:val="24"/>
        </w:rPr>
        <w:t xml:space="preserve">au début de juin 2023. La nouvelle application sera également déployée pour le DVD et </w:t>
      </w:r>
      <w:r w:rsidR="00624E16" w:rsidRPr="00B91EE1">
        <w:rPr>
          <w:szCs w:val="24"/>
        </w:rPr>
        <w:t xml:space="preserve">la copie </w:t>
      </w:r>
      <w:r w:rsidRPr="00B91EE1">
        <w:rPr>
          <w:szCs w:val="24"/>
        </w:rPr>
        <w:t>ISO de la BR IFIC.</w:t>
      </w:r>
    </w:p>
    <w:p w14:paraId="7E0B24F8" w14:textId="4B79AE21" w:rsidR="0031628C" w:rsidRPr="00B91EE1" w:rsidRDefault="0031628C" w:rsidP="004522B1">
      <w:pPr>
        <w:pStyle w:val="Heading2"/>
      </w:pPr>
      <w:r w:rsidRPr="00B91EE1">
        <w:t>7.4</w:t>
      </w:r>
      <w:r w:rsidRPr="00B91EE1">
        <w:tab/>
      </w:r>
      <w:bookmarkStart w:id="68" w:name="lt_pId495"/>
      <w:r w:rsidR="00392F9A" w:rsidRPr="00B91EE1">
        <w:t>Élaboration</w:t>
      </w:r>
      <w:r w:rsidR="00624E16" w:rsidRPr="00B91EE1">
        <w:t xml:space="preserve"> </w:t>
      </w:r>
      <w:r w:rsidRPr="00B91EE1">
        <w:t>de logiciels liés aux services de Terre et autres outils et logiciels du BR</w:t>
      </w:r>
      <w:bookmarkEnd w:id="68"/>
    </w:p>
    <w:p w14:paraId="0C963DA0" w14:textId="77777777" w:rsidR="0031628C" w:rsidRPr="00B91EE1" w:rsidRDefault="0031628C" w:rsidP="004522B1">
      <w:pPr>
        <w:pStyle w:val="Heading3"/>
      </w:pPr>
      <w:r w:rsidRPr="00B91EE1">
        <w:t>7.4.1</w:t>
      </w:r>
      <w:r w:rsidRPr="00B91EE1">
        <w:tab/>
      </w:r>
      <w:bookmarkStart w:id="69" w:name="lt_pId497"/>
      <w:r w:rsidRPr="00B91EE1">
        <w:t>Outils concernant le Règlement des radiocommunications</w:t>
      </w:r>
      <w:bookmarkEnd w:id="69"/>
    </w:p>
    <w:p w14:paraId="7AC6DC97" w14:textId="1D3CAC1A" w:rsidR="0031628C" w:rsidRPr="00B91EE1" w:rsidRDefault="0031628C" w:rsidP="004522B1">
      <w:pPr>
        <w:keepNext/>
        <w:keepLines/>
      </w:pPr>
      <w:bookmarkStart w:id="70" w:name="lt_pId498"/>
      <w:r w:rsidRPr="00B91EE1">
        <w:t>Le Bureau continue d</w:t>
      </w:r>
      <w:r w:rsidR="00392F9A" w:rsidRPr="00B91EE1">
        <w:t>'</w:t>
      </w:r>
      <w:r w:rsidRPr="00B91EE1">
        <w:t>actualiser et de tenir à jour les outils logiciels pour faciliter l</w:t>
      </w:r>
      <w:r w:rsidR="00392F9A" w:rsidRPr="00B91EE1">
        <w:t>'</w:t>
      </w:r>
      <w:r w:rsidRPr="00B91EE1">
        <w:t>utilisation et l</w:t>
      </w:r>
      <w:r w:rsidR="00392F9A" w:rsidRPr="00B91EE1">
        <w:t>'</w:t>
      </w:r>
      <w:r w:rsidRPr="00B91EE1">
        <w:t xml:space="preserve">analyse du </w:t>
      </w:r>
      <w:r w:rsidR="00624E16" w:rsidRPr="00B91EE1">
        <w:t>Règlement des radiocommunications (</w:t>
      </w:r>
      <w:r w:rsidRPr="00B91EE1">
        <w:t>RR</w:t>
      </w:r>
      <w:r w:rsidR="00624E16" w:rsidRPr="00B91EE1">
        <w:t>)</w:t>
      </w:r>
      <w:r w:rsidRPr="00B91EE1">
        <w:t>:</w:t>
      </w:r>
      <w:bookmarkEnd w:id="70"/>
    </w:p>
    <w:p w14:paraId="3A099946" w14:textId="12F18610" w:rsidR="0031628C" w:rsidRPr="00B91EE1" w:rsidRDefault="0031628C" w:rsidP="004522B1">
      <w:pPr>
        <w:pStyle w:val="enumlev1"/>
        <w:keepNext/>
        <w:keepLines/>
      </w:pPr>
      <w:r w:rsidRPr="00B91EE1">
        <w:t>a)</w:t>
      </w:r>
      <w:r w:rsidRPr="00B91EE1">
        <w:tab/>
        <w:t>La version actuelle de l</w:t>
      </w:r>
      <w:r w:rsidR="00392F9A" w:rsidRPr="00B91EE1">
        <w:t>'</w:t>
      </w:r>
      <w:r w:rsidRPr="00B91EE1">
        <w:t xml:space="preserve">outil de navigation dans le Règlement des radiocommunications, </w:t>
      </w:r>
      <w:r w:rsidR="00624E16" w:rsidRPr="00B91EE1">
        <w:t>mis à disposition</w:t>
      </w:r>
      <w:r w:rsidRPr="00B91EE1">
        <w:t xml:space="preserve"> au cours du deuxième trimestre de 2022</w:t>
      </w:r>
      <w:r w:rsidR="00624E16" w:rsidRPr="00B91EE1">
        <w:t>,</w:t>
      </w:r>
      <w:r w:rsidRPr="00B91EE1">
        <w:t xml:space="preserve"> comprend </w:t>
      </w:r>
      <w:bookmarkStart w:id="71" w:name="_Hlk65228551"/>
      <w:r w:rsidRPr="00B91EE1">
        <w:t>les corpus de textes les plus récents (</w:t>
      </w:r>
      <w:bookmarkEnd w:id="71"/>
      <w:r w:rsidRPr="00B91EE1">
        <w:t xml:space="preserve">édition de 2020 du RR, Recommandations UIT-R et Règles de procédure (2021, </w:t>
      </w:r>
      <w:r w:rsidR="00624E16" w:rsidRPr="00B91EE1">
        <w:t>Rév</w:t>
      </w:r>
      <w:r w:rsidRPr="00B91EE1">
        <w:t xml:space="preserve">.2)). Cette version </w:t>
      </w:r>
      <w:r w:rsidR="00624E16" w:rsidRPr="00B91EE1">
        <w:t>peut être</w:t>
      </w:r>
      <w:r w:rsidRPr="00B91EE1">
        <w:t xml:space="preserve"> télécharg</w:t>
      </w:r>
      <w:r w:rsidR="00624E16" w:rsidRPr="00B91EE1">
        <w:t xml:space="preserve">ée </w:t>
      </w:r>
      <w:r w:rsidRPr="00B91EE1">
        <w:t xml:space="preserve">et </w:t>
      </w:r>
      <w:r w:rsidR="00624E16" w:rsidRPr="00B91EE1">
        <w:t xml:space="preserve">est disponible </w:t>
      </w:r>
      <w:r w:rsidRPr="00B91EE1">
        <w:t>à la vente sur le site web du Service des ventes de l</w:t>
      </w:r>
      <w:r w:rsidR="00392F9A" w:rsidRPr="00B91EE1">
        <w:t>'</w:t>
      </w:r>
      <w:r w:rsidRPr="00B91EE1">
        <w:t xml:space="preserve">UIT. </w:t>
      </w:r>
      <w:bookmarkStart w:id="72" w:name="lt_pId501"/>
      <w:r w:rsidRPr="00B91EE1">
        <w:rPr>
          <w:szCs w:val="24"/>
        </w:rPr>
        <w:t>Jusqu</w:t>
      </w:r>
      <w:r w:rsidR="00392F9A" w:rsidRPr="00B91EE1">
        <w:rPr>
          <w:szCs w:val="24"/>
        </w:rPr>
        <w:t>'</w:t>
      </w:r>
      <w:r w:rsidRPr="00B91EE1">
        <w:rPr>
          <w:szCs w:val="24"/>
        </w:rPr>
        <w:t>au 1er</w:t>
      </w:r>
      <w:r w:rsidRPr="00B91EE1">
        <w:rPr>
          <w:szCs w:val="24"/>
          <w:vertAlign w:val="superscript"/>
        </w:rPr>
        <w:t xml:space="preserve"> </w:t>
      </w:r>
      <w:r w:rsidRPr="00B91EE1">
        <w:t>janvier 2024, des mises à jour gratuites seront proposées chaque année pour tenir compte de la dernière version disponible des Règles de procédure, le cas échéant.</w:t>
      </w:r>
      <w:bookmarkEnd w:id="72"/>
    </w:p>
    <w:p w14:paraId="1D49D531" w14:textId="7FC7A80B" w:rsidR="0031628C" w:rsidRPr="00B91EE1" w:rsidRDefault="0031628C" w:rsidP="004522B1">
      <w:pPr>
        <w:pStyle w:val="enumlev1"/>
      </w:pPr>
      <w:r w:rsidRPr="00B91EE1">
        <w:t>b)</w:t>
      </w:r>
      <w:r w:rsidRPr="00B91EE1">
        <w:tab/>
        <w:t>L</w:t>
      </w:r>
      <w:r w:rsidR="00392F9A" w:rsidRPr="00B91EE1">
        <w:t>'</w:t>
      </w:r>
      <w:r w:rsidRPr="00B91EE1">
        <w:t>outil logiciel permettant d</w:t>
      </w:r>
      <w:r w:rsidR="00392F9A" w:rsidRPr="00B91EE1">
        <w:t>'</w:t>
      </w:r>
      <w:r w:rsidRPr="00B91EE1">
        <w:t>effectuer des recherches et une analyse détaillées dans le Tableau d</w:t>
      </w:r>
      <w:r w:rsidR="00392F9A" w:rsidRPr="00B91EE1">
        <w:t>'</w:t>
      </w:r>
      <w:r w:rsidRPr="00B91EE1">
        <w:t>attribution des bandes de fréquences de l</w:t>
      </w:r>
      <w:r w:rsidR="00392F9A" w:rsidRPr="00B91EE1">
        <w:t>'</w:t>
      </w:r>
      <w:r w:rsidRPr="00B91EE1">
        <w:t xml:space="preserve">Article 5 du Règlement des radiocommunications, avec filtrage et reformatage en fonction de la gamme de fréquences, du service, de la catégorie de service, du renvoi, du pays, etc. </w:t>
      </w:r>
      <w:bookmarkStart w:id="73" w:name="lt_pId503"/>
      <w:r w:rsidRPr="00B91EE1">
        <w:t>Cet outil a été mis à jour compte tenu des résultats de la CMR-19 et de l</w:t>
      </w:r>
      <w:r w:rsidR="00392F9A" w:rsidRPr="00B91EE1">
        <w:t>'</w:t>
      </w:r>
      <w:r w:rsidRPr="00B91EE1">
        <w:t>édition de 2020 du RR, afin d</w:t>
      </w:r>
      <w:r w:rsidR="00392F9A" w:rsidRPr="00B91EE1">
        <w:t>'</w:t>
      </w:r>
      <w:r w:rsidRPr="00B91EE1">
        <w:t>apporter les changements concernant les attributions de fréquences, les renvois relatifs à des pays et les références connexes aux Résolutions et aux Recommandations concernées.</w:t>
      </w:r>
      <w:bookmarkEnd w:id="73"/>
      <w:r w:rsidRPr="00B91EE1">
        <w:t xml:space="preserve"> La version mise à jour inclut désormais des liens renvoyant vers les Recommandations UIT-R pertinentes dont il est fait mention dans l</w:t>
      </w:r>
      <w:r w:rsidR="00392F9A" w:rsidRPr="00B91EE1">
        <w:t>'</w:t>
      </w:r>
      <w:r w:rsidRPr="00B91EE1">
        <w:t>Article 5 du RR, ainsi que vers la</w:t>
      </w:r>
      <w:r w:rsidRPr="00B91EE1">
        <w:rPr>
          <w:szCs w:val="24"/>
        </w:rPr>
        <w:t xml:space="preserve"> version la plus récente d</w:t>
      </w:r>
      <w:r w:rsidRPr="00B91EE1">
        <w:t>es Règles de procédure qui s</w:t>
      </w:r>
      <w:r w:rsidR="00392F9A" w:rsidRPr="00B91EE1">
        <w:t>'</w:t>
      </w:r>
      <w:r w:rsidRPr="00B91EE1">
        <w:t>appliquent. Elle est également équipée d</w:t>
      </w:r>
      <w:r w:rsidR="00392F9A" w:rsidRPr="00B91EE1">
        <w:t>'</w:t>
      </w:r>
      <w:r w:rsidRPr="00B91EE1">
        <w:t>un utilitaire permettant d</w:t>
      </w:r>
      <w:r w:rsidR="00392F9A" w:rsidRPr="00B91EE1">
        <w:t>'</w:t>
      </w:r>
      <w:r w:rsidRPr="00B91EE1">
        <w:t>extraire le Tableau national d</w:t>
      </w:r>
      <w:r w:rsidR="00392F9A" w:rsidRPr="00B91EE1">
        <w:t>'</w:t>
      </w:r>
      <w:r w:rsidRPr="00B91EE1">
        <w:t>attribution des bandes de fréquences pour un pays donné, dans la mesure où ce tableau résulte d</w:t>
      </w:r>
      <w:r w:rsidR="00392F9A" w:rsidRPr="00B91EE1">
        <w:t>'</w:t>
      </w:r>
      <w:r w:rsidRPr="00B91EE1">
        <w:t>une combinaison des diverses dispositions de l</w:t>
      </w:r>
      <w:r w:rsidR="00392F9A" w:rsidRPr="00B91EE1">
        <w:t>'</w:t>
      </w:r>
      <w:r w:rsidRPr="00B91EE1">
        <w:t xml:space="preserve">Article 5 du RR. Tout au long de 2022, cet outil a </w:t>
      </w:r>
      <w:r w:rsidRPr="00B91EE1">
        <w:rPr>
          <w:szCs w:val="24"/>
        </w:rPr>
        <w:t xml:space="preserve">été amélioré pour y intégrer des liens vers plusieurs dispositions de différents articles du RR. Il a </w:t>
      </w:r>
      <w:r w:rsidRPr="00B91EE1">
        <w:t>fait l</w:t>
      </w:r>
      <w:r w:rsidR="00392F9A" w:rsidRPr="00B91EE1">
        <w:t>'</w:t>
      </w:r>
      <w:r w:rsidRPr="00B91EE1">
        <w:t>objet de démonstrations durant plusieurs séminaires régionaux sur les radiocommunications. Il est disponible à la vente sur le site web du Service des ventes de l</w:t>
      </w:r>
      <w:r w:rsidR="00392F9A" w:rsidRPr="00B91EE1">
        <w:t>'</w:t>
      </w:r>
      <w:r w:rsidRPr="00B91EE1">
        <w:t>UIT</w:t>
      </w:r>
      <w:bookmarkStart w:id="74" w:name="lt_pId505"/>
      <w:r w:rsidRPr="00B91EE1">
        <w:t>. Toutes les mises à jour logicielles et de données seront proposées aux abonnés gratuitement et à intervalles réguliers, jusqu</w:t>
      </w:r>
      <w:r w:rsidR="00392F9A" w:rsidRPr="00B91EE1">
        <w:t>'</w:t>
      </w:r>
      <w:r w:rsidRPr="00B91EE1">
        <w:t>à la</w:t>
      </w:r>
      <w:r w:rsidR="00392F9A" w:rsidRPr="00B91EE1">
        <w:t> </w:t>
      </w:r>
      <w:r w:rsidRPr="00B91EE1">
        <w:t>CMR-23.</w:t>
      </w:r>
      <w:bookmarkEnd w:id="74"/>
    </w:p>
    <w:p w14:paraId="34848C92" w14:textId="77777777" w:rsidR="0031628C" w:rsidRPr="00B91EE1" w:rsidRDefault="0031628C" w:rsidP="00392F9A">
      <w:pPr>
        <w:pStyle w:val="Heading3"/>
      </w:pPr>
      <w:r w:rsidRPr="00B91EE1">
        <w:lastRenderedPageBreak/>
        <w:t>7.4.2</w:t>
      </w:r>
      <w:r w:rsidRPr="00B91EE1">
        <w:tab/>
      </w:r>
      <w:bookmarkStart w:id="75" w:name="lt_pId507"/>
      <w:r w:rsidRPr="00B91EE1">
        <w:t>Nouvelles améliorations apportées aux outils web</w:t>
      </w:r>
      <w:bookmarkEnd w:id="75"/>
    </w:p>
    <w:p w14:paraId="5C1199B9" w14:textId="300E316A" w:rsidR="0031628C" w:rsidRPr="00B91EE1" w:rsidRDefault="0031628C" w:rsidP="00392F9A">
      <w:pPr>
        <w:keepNext/>
        <w:keepLines/>
        <w:rPr>
          <w:szCs w:val="24"/>
        </w:rPr>
      </w:pPr>
      <w:r w:rsidRPr="00B91EE1">
        <w:t>Les outils en ligne eBroadcasting (anciennement eBCD2.0) et eMIFR ont été intégrés dans le portail des services de Terre en ligne, mis en œuvre au moyen des toutes dernières technologies</w:t>
      </w:r>
      <w:r w:rsidR="00992DC1" w:rsidRPr="00B91EE1">
        <w:t> </w:t>
      </w:r>
      <w:r w:rsidRPr="00B91EE1">
        <w:t>web, et mis en exploitation en décembre 2020. L</w:t>
      </w:r>
      <w:r w:rsidR="00392F9A" w:rsidRPr="00B91EE1">
        <w:t>'</w:t>
      </w:r>
      <w:r w:rsidRPr="00B91EE1">
        <w:t xml:space="preserve">outil de validation en ligne (rebaptisé eValidation) a été intégré au dernier trimestre de 2021 et de nouvelles fonctionnalités ont été introduites, notamment un tableau de bord, pour permettre au BR et aux utilisateurs de suivre leurs activités. </w:t>
      </w:r>
      <w:r w:rsidRPr="00B91EE1">
        <w:rPr>
          <w:szCs w:val="24"/>
        </w:rPr>
        <w:t>Les outils de propagation sont désormais disponibles via l</w:t>
      </w:r>
      <w:r w:rsidR="00392F9A" w:rsidRPr="00B91EE1">
        <w:rPr>
          <w:szCs w:val="24"/>
        </w:rPr>
        <w:t>'</w:t>
      </w:r>
      <w:r w:rsidRPr="00B91EE1">
        <w:rPr>
          <w:szCs w:val="24"/>
        </w:rPr>
        <w:t>outil ePropagation, qui intègre des capacités renforcées de mise en correspondance.</w:t>
      </w:r>
    </w:p>
    <w:p w14:paraId="2A43427F" w14:textId="15B03805" w:rsidR="0031628C" w:rsidRPr="00B91EE1" w:rsidRDefault="0031628C" w:rsidP="004522B1">
      <w:r w:rsidRPr="00B91EE1">
        <w:t>Les outils eBroadcasting développés pour prendre en charge le processus d</w:t>
      </w:r>
      <w:r w:rsidR="00392F9A" w:rsidRPr="00B91EE1">
        <w:t>'</w:t>
      </w:r>
      <w:r w:rsidRPr="00B91EE1">
        <w:t>optimisation du Plan GE84 ont contribué au succès de cette activité. Des cartes sont utilisées grâce à la bibliothèque à code source ouvert OpenLayers, qui a été choisie par le Groupe d</w:t>
      </w:r>
      <w:r w:rsidR="00392F9A" w:rsidRPr="00B91EE1">
        <w:t>'</w:t>
      </w:r>
      <w:r w:rsidRPr="00B91EE1">
        <w:t>action du BR (voir la section 7.4.4).</w:t>
      </w:r>
    </w:p>
    <w:p w14:paraId="715AD860" w14:textId="56B0D167" w:rsidR="0031628C" w:rsidRPr="00B91EE1" w:rsidRDefault="0031628C" w:rsidP="004522B1">
      <w:r w:rsidRPr="00B91EE1">
        <w:t>L</w:t>
      </w:r>
      <w:r w:rsidR="00392F9A" w:rsidRPr="00B91EE1">
        <w:t>'</w:t>
      </w:r>
      <w:r w:rsidRPr="00B91EE1">
        <w:t xml:space="preserve">interface web permettant de soumettre au BR les assignations/allotissements de </w:t>
      </w:r>
      <w:r w:rsidR="00624E16" w:rsidRPr="00B91EE1">
        <w:t xml:space="preserve">fréquence </w:t>
      </w:r>
      <w:r w:rsidRPr="00B91EE1">
        <w:t>aux services de Terre a été réécrite à l</w:t>
      </w:r>
      <w:r w:rsidR="00392F9A" w:rsidRPr="00B91EE1">
        <w:t>'</w:t>
      </w:r>
      <w:r w:rsidRPr="00B91EE1">
        <w:t>aide de la technologie web la plus récente. La possibilité de valider les fiches de notification via l</w:t>
      </w:r>
      <w:r w:rsidR="00392F9A" w:rsidRPr="00B91EE1">
        <w:t>'</w:t>
      </w:r>
      <w:r w:rsidRPr="00B91EE1">
        <w:t>outil eValidation a été intégrée dans l</w:t>
      </w:r>
      <w:r w:rsidR="00392F9A" w:rsidRPr="00B91EE1">
        <w:t>'</w:t>
      </w:r>
      <w:r w:rsidRPr="00B91EE1">
        <w:t>interface WISFAT. L</w:t>
      </w:r>
      <w:r w:rsidR="00392F9A" w:rsidRPr="00B91EE1">
        <w:t>'</w:t>
      </w:r>
      <w:r w:rsidRPr="00B91EE1">
        <w:t>outil intégré est actuellement à l</w:t>
      </w:r>
      <w:r w:rsidR="00392F9A" w:rsidRPr="00B91EE1">
        <w:t>'</w:t>
      </w:r>
      <w:r w:rsidRPr="00B91EE1">
        <w:t>essai.</w:t>
      </w:r>
    </w:p>
    <w:p w14:paraId="452BDDB3" w14:textId="1DB8B9AE" w:rsidR="0031628C" w:rsidRPr="00B91EE1" w:rsidRDefault="0031628C" w:rsidP="004522B1">
      <w:pPr>
        <w:keepLines/>
      </w:pPr>
      <w:r w:rsidRPr="00B91EE1">
        <w:t>La plate</w:t>
      </w:r>
      <w:r w:rsidR="00DD37F3" w:rsidRPr="00B91EE1">
        <w:noBreakHyphen/>
      </w:r>
      <w:r w:rsidRPr="00B91EE1">
        <w:t>forme en ligne pour les services fixes et mobiles (eFXM) a été mise au point à l</w:t>
      </w:r>
      <w:r w:rsidR="00392F9A" w:rsidRPr="00B91EE1">
        <w:t>'</w:t>
      </w:r>
      <w:r w:rsidRPr="00B91EE1">
        <w:t>aide des technologies web les plus récentes et intégrée au portail eTerrestrial en octobre 2022. La plate</w:t>
      </w:r>
      <w:r w:rsidRPr="00B91EE1">
        <w:noBreakHyphen/>
        <w:t>forme eFXM comprend actuellement la fonctionnalité eQueryFXM, qui permet de consulter les assignations/allotissements de fréquences aux services fixe et mobile inscrites dans le Fichier de référence ou dans les Plans. La solution eQueryFXM fournit également des statistiques et les caractéristiques techniques des assignations inscrites dans le Fichier de référence dans les bandes de fréquences examinées au titre des points de l</w:t>
      </w:r>
      <w:r w:rsidR="00392F9A" w:rsidRPr="00B91EE1">
        <w:t>'</w:t>
      </w:r>
      <w:r w:rsidRPr="00B91EE1">
        <w:t>ordre du jour de la CMR-23. En outre, le nouvel outil ePubFXM a été conçu pour permettre aux administrations de consulter les Sections spéciales publiées concernant les services fixe et mobile, et les renseignements de coordination connexes.</w:t>
      </w:r>
    </w:p>
    <w:p w14:paraId="3EE4FB90" w14:textId="7BC2EC9E" w:rsidR="0031628C" w:rsidRPr="00B91EE1" w:rsidRDefault="0031628C" w:rsidP="004522B1">
      <w:pPr>
        <w:pStyle w:val="Heading3"/>
      </w:pPr>
      <w:r w:rsidRPr="00B91EE1">
        <w:t>7.4.3</w:t>
      </w:r>
      <w:r w:rsidRPr="00B91EE1">
        <w:tab/>
        <w:t>Logiciel d</w:t>
      </w:r>
      <w:r w:rsidR="00392F9A" w:rsidRPr="00B91EE1">
        <w:t>'</w:t>
      </w:r>
      <w:r w:rsidRPr="00B91EE1">
        <w:t>analyse de compatibilité pour la radiodiffusion sonore à modulation de fréquence</w:t>
      </w:r>
    </w:p>
    <w:p w14:paraId="71938D7D" w14:textId="538C7EE3" w:rsidR="0031628C" w:rsidRPr="00B91EE1" w:rsidRDefault="0031628C" w:rsidP="004522B1">
      <w:bookmarkStart w:id="76" w:name="_Hlk65228843"/>
      <w:bookmarkStart w:id="77" w:name="lt_pId513"/>
      <w:r w:rsidRPr="00B91EE1">
        <w:t>En 2021, le BR a déployé un outil en ligne eBroadcasting pour l</w:t>
      </w:r>
      <w:r w:rsidR="00392F9A" w:rsidRPr="00B91EE1">
        <w:t>'</w:t>
      </w:r>
      <w:r w:rsidRPr="00B91EE1">
        <w:t>optimisation du Plan GE84 (radiodiffusion à modulation de fréquence) en Afrique</w:t>
      </w:r>
      <w:bookmarkEnd w:id="76"/>
      <w:r w:rsidRPr="00B91EE1">
        <w:t>, dans la bande de fréquences 87,5-108 MHz</w:t>
      </w:r>
      <w:bookmarkEnd w:id="77"/>
      <w:r w:rsidRPr="00B91EE1">
        <w:t>, à savoir l</w:t>
      </w:r>
      <w:r w:rsidR="00392F9A" w:rsidRPr="00B91EE1">
        <w:t>'</w:t>
      </w:r>
      <w:r w:rsidRPr="00B91EE1">
        <w:t>outil d</w:t>
      </w:r>
      <w:r w:rsidR="00392F9A" w:rsidRPr="00B91EE1">
        <w:t>'</w:t>
      </w:r>
      <w:r w:rsidRPr="00B91EE1">
        <w:t>optimisation du Plan GE84. Cet outil permet d</w:t>
      </w:r>
      <w:r w:rsidR="00392F9A" w:rsidRPr="00B91EE1">
        <w:t>'</w:t>
      </w:r>
      <w:r w:rsidRPr="00B91EE1">
        <w:t>effectuer des calculs de compatibilité sur la base de l</w:t>
      </w:r>
      <w:r w:rsidR="00392F9A" w:rsidRPr="00B91EE1">
        <w:t>'</w:t>
      </w:r>
      <w:r w:rsidRPr="00B91EE1">
        <w:t>Accord GE84 et d</w:t>
      </w:r>
      <w:r w:rsidR="00392F9A" w:rsidRPr="00B91EE1">
        <w:t>'</w:t>
      </w:r>
      <w:r w:rsidRPr="00B91EE1">
        <w:t>évaluer les incompatibilités s</w:t>
      </w:r>
      <w:r w:rsidR="00392F9A" w:rsidRPr="00B91EE1">
        <w:t>'</w:t>
      </w:r>
      <w:r w:rsidRPr="00B91EE1">
        <w:t>agissant de toutes les fréquences comprises dans la bande relevant du Plan GE84. Cet outil, qui sert de base à l</w:t>
      </w:r>
      <w:r w:rsidR="00392F9A" w:rsidRPr="00B91EE1">
        <w:t>'</w:t>
      </w:r>
      <w:r w:rsidRPr="00B91EE1">
        <w:t>optimisation de la bande FM en Afrique, a été mis à la disposition de toutes les administrations parties à l</w:t>
      </w:r>
      <w:r w:rsidR="00392F9A" w:rsidRPr="00B91EE1">
        <w:t>'</w:t>
      </w:r>
      <w:r w:rsidRPr="00B91EE1">
        <w:t>Accord GE84.</w:t>
      </w:r>
    </w:p>
    <w:p w14:paraId="44A7EDDE" w14:textId="67B9CD26" w:rsidR="0031628C" w:rsidRPr="00B91EE1" w:rsidRDefault="0031628C" w:rsidP="004522B1">
      <w:r w:rsidRPr="00B91EE1">
        <w:t>L</w:t>
      </w:r>
      <w:r w:rsidR="00392F9A" w:rsidRPr="00B91EE1">
        <w:t>'</w:t>
      </w:r>
      <w:r w:rsidRPr="00B91EE1">
        <w:t>outil utilise les courbes de propagation figurant dans le Plan GE84 et la méthode de prévision de la propagation énoncée dans la Recommandation UIT-R P.1812, associées à une carte topographique numérique (SRTM3) dotée d</w:t>
      </w:r>
      <w:r w:rsidR="00392F9A" w:rsidRPr="00B91EE1">
        <w:t>'</w:t>
      </w:r>
      <w:r w:rsidRPr="00B91EE1">
        <w:t>une résolution de 90 m. En 2023, de nouveaux modèles numériques de terrain (MNT) ont été ajoutés: SRTM1 et ASTER (dotés d</w:t>
      </w:r>
      <w:r w:rsidR="00392F9A" w:rsidRPr="00B91EE1">
        <w:t>'</w:t>
      </w:r>
      <w:r w:rsidRPr="00B91EE1">
        <w:t>une résolution de 30 m). Contrairement aux modèles MNT de la SRTM, qui fournissent des informations sur l</w:t>
      </w:r>
      <w:r w:rsidR="00392F9A" w:rsidRPr="00B91EE1">
        <w:t>'</w:t>
      </w:r>
      <w:r w:rsidRPr="00B91EE1">
        <w:t>altitude du terrain entre 56°</w:t>
      </w:r>
      <w:r w:rsidR="00992DC1" w:rsidRPr="00B91EE1">
        <w:t> </w:t>
      </w:r>
      <w:r w:rsidRPr="00B91EE1">
        <w:t>S et 60°</w:t>
      </w:r>
      <w:r w:rsidR="00992DC1" w:rsidRPr="00B91EE1">
        <w:t> </w:t>
      </w:r>
      <w:r w:rsidRPr="00B91EE1">
        <w:t>N, le modèle ASTER fournit des informations sur l</w:t>
      </w:r>
      <w:r w:rsidR="00392F9A" w:rsidRPr="00B91EE1">
        <w:t>'</w:t>
      </w:r>
      <w:r w:rsidRPr="00B91EE1">
        <w:t>altitude du terrain entre 83°</w:t>
      </w:r>
      <w:r w:rsidR="00992DC1" w:rsidRPr="00B91EE1">
        <w:t> </w:t>
      </w:r>
      <w:r w:rsidRPr="00B91EE1">
        <w:t>S et 83°</w:t>
      </w:r>
      <w:r w:rsidR="00992DC1" w:rsidRPr="00B91EE1">
        <w:t> </w:t>
      </w:r>
      <w:r w:rsidRPr="00B91EE1">
        <w:t>N, ce qui permet de calculer le champ entre des sites situés au-dessus de 60° de latitude nord. Étant donné que le modèle SRTM1 est plus précis que le modèle ASTER, une option supplémentaire proposée aux utilisateurs (AUTO) permet que le logiciel sélectionne automatiquement le MNT approprié (SRTM1 ou ASTER) – les deux modèles utilisant une résolution de 30 m –</w:t>
      </w:r>
      <w:r w:rsidR="00392F9A" w:rsidRPr="00B91EE1">
        <w:t xml:space="preserve"> </w:t>
      </w:r>
      <w:r w:rsidRPr="00B91EE1">
        <w:t>afin d</w:t>
      </w:r>
      <w:r w:rsidR="00392F9A" w:rsidRPr="00B91EE1">
        <w:t>'</w:t>
      </w:r>
      <w:r w:rsidRPr="00B91EE1">
        <w:t>évaluer la prévision des brouillages de point à point en fonction de l</w:t>
      </w:r>
      <w:r w:rsidR="00392F9A" w:rsidRPr="00B91EE1">
        <w:t>'</w:t>
      </w:r>
      <w:r w:rsidRPr="00B91EE1">
        <w:t>emplacement des stations (émetteur/récepteur) visées dans les calculs.</w:t>
      </w:r>
    </w:p>
    <w:p w14:paraId="795D486B" w14:textId="2C9840C6" w:rsidR="0031628C" w:rsidRPr="00B91EE1" w:rsidRDefault="0031628C" w:rsidP="004522B1">
      <w:pPr>
        <w:pStyle w:val="Heading3"/>
      </w:pPr>
      <w:r w:rsidRPr="00B91EE1">
        <w:lastRenderedPageBreak/>
        <w:t>7.4.4</w:t>
      </w:r>
      <w:r w:rsidRPr="00B91EE1">
        <w:tab/>
      </w:r>
      <w:bookmarkStart w:id="78" w:name="lt_pId519"/>
      <w:r w:rsidRPr="00B91EE1">
        <w:t>Systèmes d</w:t>
      </w:r>
      <w:r w:rsidR="00392F9A" w:rsidRPr="00B91EE1">
        <w:t>'</w:t>
      </w:r>
      <w:r w:rsidRPr="00B91EE1">
        <w:t>information géographique du BR</w:t>
      </w:r>
      <w:bookmarkEnd w:id="78"/>
    </w:p>
    <w:p w14:paraId="0AB02ADC" w14:textId="270B0945" w:rsidR="0031628C" w:rsidRPr="00B91EE1" w:rsidRDefault="0031628C" w:rsidP="004522B1">
      <w:bookmarkStart w:id="79" w:name="lt_pId520"/>
      <w:r w:rsidRPr="00B91EE1">
        <w:t>Le Groupe d</w:t>
      </w:r>
      <w:r w:rsidR="00392F9A" w:rsidRPr="00B91EE1">
        <w:t>'</w:t>
      </w:r>
      <w:r w:rsidRPr="00B91EE1">
        <w:t>action du BR sur les systèmes d</w:t>
      </w:r>
      <w:r w:rsidR="00392F9A" w:rsidRPr="00B91EE1">
        <w:t>'</w:t>
      </w:r>
      <w:r w:rsidRPr="00B91EE1">
        <w:t>information géographique (GIS), composé de fonctionnaires issus de tous les départements du BR, a été mis sur pied afin d</w:t>
      </w:r>
      <w:r w:rsidR="00392F9A" w:rsidRPr="00B91EE1">
        <w:t>'</w:t>
      </w:r>
      <w:r w:rsidRPr="00B91EE1">
        <w:t>harmoniser les activités relatives à ces systèmes au sein du BR.</w:t>
      </w:r>
      <w:bookmarkEnd w:id="79"/>
      <w:r w:rsidRPr="00B91EE1">
        <w:t xml:space="preserve"> </w:t>
      </w:r>
      <w:bookmarkStart w:id="80" w:name="lt_pId521"/>
      <w:r w:rsidRPr="00B91EE1">
        <w:t>L</w:t>
      </w:r>
      <w:r w:rsidR="00392F9A" w:rsidRPr="00B91EE1">
        <w:t>'</w:t>
      </w:r>
      <w:r w:rsidRPr="00B91EE1">
        <w:t>un des premiers travaux du groupe consistait à mettre en œuvre la plate-forme GIS du BR en utilisant GeoServer.</w:t>
      </w:r>
      <w:bookmarkEnd w:id="80"/>
      <w:r w:rsidRPr="00B91EE1">
        <w:t xml:space="preserve"> </w:t>
      </w:r>
      <w:bookmarkStart w:id="81" w:name="lt_pId522"/>
      <w:r w:rsidRPr="00B91EE1">
        <w:t>Actuellement, le groupe a pour tâche d</w:t>
      </w:r>
      <w:r w:rsidR="00392F9A" w:rsidRPr="00B91EE1">
        <w:t>'</w:t>
      </w:r>
      <w:r w:rsidRPr="00B91EE1">
        <w:t>assurer le transfert, vers ce serveur, de toutes les données radiométéorologiques pertinentes (catalogue des données géospatiales) et d</w:t>
      </w:r>
      <w:r w:rsidR="00392F9A" w:rsidRPr="00B91EE1">
        <w:t>'</w:t>
      </w:r>
      <w:r w:rsidRPr="00B91EE1">
        <w:t>autres ensembles de données pertinents qui sont en ce moment dans la Carte mondiale numérisée de l</w:t>
      </w:r>
      <w:r w:rsidR="00392F9A" w:rsidRPr="00B91EE1">
        <w:t>'</w:t>
      </w:r>
      <w:r w:rsidRPr="00B91EE1">
        <w:t>UIT (IDWM).</w:t>
      </w:r>
      <w:bookmarkEnd w:id="81"/>
      <w:r w:rsidRPr="00B91EE1">
        <w:t xml:space="preserve"> </w:t>
      </w:r>
      <w:bookmarkStart w:id="82" w:name="lt_pId523"/>
      <w:r w:rsidRPr="00B91EE1">
        <w:t>Ces données seront mises à la disposition des utilisateurs via des services web homologués par l</w:t>
      </w:r>
      <w:r w:rsidR="00392F9A" w:rsidRPr="00B91EE1">
        <w:t>'</w:t>
      </w:r>
      <w:r w:rsidRPr="00B91EE1">
        <w:t>Open Geospatial Consortium (OGC).</w:t>
      </w:r>
      <w:bookmarkEnd w:id="82"/>
      <w:r w:rsidRPr="00B91EE1">
        <w:t xml:space="preserve"> </w:t>
      </w:r>
      <w:bookmarkStart w:id="83" w:name="lt_pId524"/>
      <w:r w:rsidRPr="00B91EE1">
        <w:t>À l</w:t>
      </w:r>
      <w:r w:rsidR="00392F9A" w:rsidRPr="00B91EE1">
        <w:t>'</w:t>
      </w:r>
      <w:r w:rsidRPr="00B91EE1">
        <w:t>heure actuelle, le BR met en œuvre des fonctionnalités GIS dans ses outils web au moyen de la bibliothèque à code source ouvert OpenLayers.</w:t>
      </w:r>
      <w:bookmarkStart w:id="84" w:name="lt_pId525"/>
      <w:bookmarkEnd w:id="83"/>
    </w:p>
    <w:p w14:paraId="2368E24F" w14:textId="48B55912" w:rsidR="0031628C" w:rsidRPr="00B91EE1" w:rsidRDefault="0031628C" w:rsidP="004522B1">
      <w:r w:rsidRPr="00B91EE1">
        <w:t>L</w:t>
      </w:r>
      <w:r w:rsidR="00392F9A" w:rsidRPr="00B91EE1">
        <w:t>'</w:t>
      </w:r>
      <w:r w:rsidRPr="00B91EE1">
        <w:t>UIT est membre du réseau du système des Nations Unies pour les questions géospatiales, une coalition de diverses entités du système des Nations Unies dont la tâche est de renforcer la coordination et la cohérence dans la gestion de l</w:t>
      </w:r>
      <w:r w:rsidR="00392F9A" w:rsidRPr="00B91EE1">
        <w:t>'</w:t>
      </w:r>
      <w:r w:rsidRPr="00B91EE1">
        <w:t>information géospatiale à l</w:t>
      </w:r>
      <w:r w:rsidR="00392F9A" w:rsidRPr="00B91EE1">
        <w:t>'</w:t>
      </w:r>
      <w:r w:rsidRPr="00B91EE1">
        <w:t>échelle des Nations Unies.</w:t>
      </w:r>
      <w:bookmarkEnd w:id="84"/>
      <w:r w:rsidRPr="00B91EE1">
        <w:t xml:space="preserve"> </w:t>
      </w:r>
      <w:bookmarkStart w:id="85" w:name="lt_pId526"/>
      <w:r w:rsidRPr="00B91EE1">
        <w:t>Le BR participe à la commission de direction de ce réseau et dirige le Groupe d</w:t>
      </w:r>
      <w:r w:rsidR="00392F9A" w:rsidRPr="00B91EE1">
        <w:t>'</w:t>
      </w:r>
      <w:r w:rsidRPr="00B91EE1">
        <w:t>action intersectoriel de l</w:t>
      </w:r>
      <w:r w:rsidR="00392F9A" w:rsidRPr="00B91EE1">
        <w:t>'</w:t>
      </w:r>
      <w:r w:rsidRPr="00B91EE1">
        <w:t>UIT sur la gestion de l</w:t>
      </w:r>
      <w:r w:rsidR="00392F9A" w:rsidRPr="00B91EE1">
        <w:t>'</w:t>
      </w:r>
      <w:r w:rsidRPr="00B91EE1">
        <w:t>information géospatiale.</w:t>
      </w:r>
      <w:bookmarkEnd w:id="85"/>
    </w:p>
    <w:p w14:paraId="09BEC6DF" w14:textId="77777777" w:rsidR="0031628C" w:rsidRPr="00B91EE1" w:rsidRDefault="0031628C" w:rsidP="004522B1">
      <w:pPr>
        <w:pStyle w:val="Heading3"/>
      </w:pPr>
      <w:r w:rsidRPr="00B91EE1">
        <w:t>7.4.5</w:t>
      </w:r>
      <w:r w:rsidRPr="00B91EE1">
        <w:tab/>
        <w:t>Projet de publications relatives au service maritime</w:t>
      </w:r>
    </w:p>
    <w:p w14:paraId="76E00823" w14:textId="75047A49" w:rsidR="0031628C" w:rsidRPr="00B91EE1" w:rsidRDefault="0031628C" w:rsidP="004522B1">
      <w:r w:rsidRPr="00B91EE1">
        <w:t>Le BR, en étroite collaboration avec le TSB, met actuellement en œuvre un projet visant à moderniser les publications maritimes de l</w:t>
      </w:r>
      <w:r w:rsidR="00392F9A" w:rsidRPr="00B91EE1">
        <w:t>'</w:t>
      </w:r>
      <w:r w:rsidRPr="00B91EE1">
        <w:t>UIT (Liste V, Liste IV et Manuel maritime). Ce projet vise à améliorer l</w:t>
      </w:r>
      <w:r w:rsidR="00392F9A" w:rsidRPr="00B91EE1">
        <w:t>'</w:t>
      </w:r>
      <w:r w:rsidRPr="00B91EE1">
        <w:t>expérience utilisateur en ce qui concerne les publications, notamment en remplaçant le format CD-ROM utilisé actuellement. Il comprend la création d</w:t>
      </w:r>
      <w:r w:rsidR="00392F9A" w:rsidRPr="00B91EE1">
        <w:t>'</w:t>
      </w:r>
      <w:r w:rsidRPr="00B91EE1">
        <w:t>une plate</w:t>
      </w:r>
      <w:r w:rsidR="00DD37F3" w:rsidRPr="00B91EE1">
        <w:noBreakHyphen/>
      </w:r>
      <w:r w:rsidRPr="00B91EE1">
        <w:t>forme de vente dédiée à l</w:t>
      </w:r>
      <w:r w:rsidR="00392F9A" w:rsidRPr="00B91EE1">
        <w:t>'</w:t>
      </w:r>
      <w:r w:rsidRPr="00B91EE1">
        <w:t>achat et au téléchargement de publications numériques, le développement d</w:t>
      </w:r>
      <w:r w:rsidR="00392F9A" w:rsidRPr="00B91EE1">
        <w:t>'</w:t>
      </w:r>
      <w:r w:rsidRPr="00B91EE1">
        <w:t>applications de bureau et d</w:t>
      </w:r>
      <w:r w:rsidR="00392F9A" w:rsidRPr="00B91EE1">
        <w:t>'</w:t>
      </w:r>
      <w:r w:rsidRPr="00B91EE1">
        <w:t>applications mobiles de recherche et d</w:t>
      </w:r>
      <w:r w:rsidR="00392F9A" w:rsidRPr="00B91EE1">
        <w:t>'</w:t>
      </w:r>
      <w:r w:rsidRPr="00B91EE1">
        <w:t>extraction d</w:t>
      </w:r>
      <w:r w:rsidR="00392F9A" w:rsidRPr="00B91EE1">
        <w:t>'</w:t>
      </w:r>
      <w:r w:rsidRPr="00B91EE1">
        <w:t>informations, ainsi que des solutions de lutte contre la contrefaçon, y compris une application mobile permettant aux inspecteurs de vérifier la validité des publications à bord des navires.</w:t>
      </w:r>
    </w:p>
    <w:p w14:paraId="0BA53096" w14:textId="77777777" w:rsidR="0031628C" w:rsidRPr="00B91EE1" w:rsidRDefault="0031628C" w:rsidP="004522B1">
      <w:pPr>
        <w:pStyle w:val="Heading3"/>
      </w:pPr>
      <w:r w:rsidRPr="00B91EE1">
        <w:t>7.4.6</w:t>
      </w:r>
      <w:r w:rsidRPr="00B91EE1">
        <w:tab/>
        <w:t>HITS (brouillages préjudiciables causés aux services de Terre)</w:t>
      </w:r>
    </w:p>
    <w:p w14:paraId="5B45A65C" w14:textId="4772B868" w:rsidR="0031628C" w:rsidRPr="00B91EE1" w:rsidRDefault="0031628C" w:rsidP="004522B1">
      <w:r w:rsidRPr="00B91EE1">
        <w:t>Une nouvelle plate</w:t>
      </w:r>
      <w:r w:rsidR="00DD37F3" w:rsidRPr="00B91EE1">
        <w:noBreakHyphen/>
      </w:r>
      <w:r w:rsidRPr="00B91EE1">
        <w:t>forme en ligne dédiée au traitement des rapports sur les brouillages préjudiciables et les infractions concernant les services de Terre est en cours d</w:t>
      </w:r>
      <w:r w:rsidR="00392F9A" w:rsidRPr="00B91EE1">
        <w:t>'</w:t>
      </w:r>
      <w:r w:rsidRPr="00B91EE1">
        <w:t xml:space="preserve">élaboration. Ce système est appelé </w:t>
      </w:r>
      <w:r w:rsidRPr="00B91EE1">
        <w:rPr>
          <w:i/>
          <w:iCs/>
        </w:rPr>
        <w:t xml:space="preserve">Harmful Interference to Terrestrial Services </w:t>
      </w:r>
      <w:r w:rsidRPr="00B91EE1">
        <w:t>(HITS)(</w:t>
      </w:r>
      <w:r w:rsidR="00DD37F3" w:rsidRPr="00B91EE1">
        <w:t>«</w:t>
      </w:r>
      <w:r w:rsidRPr="00B91EE1">
        <w:t>Brouillages préjudiciables causés aux services de Terre</w:t>
      </w:r>
      <w:r w:rsidR="00DD37F3" w:rsidRPr="00B91EE1">
        <w:t>»</w:t>
      </w:r>
      <w:r w:rsidRPr="00B91EE1">
        <w:t>). La structure de la base de données est en cours de conception et devra répondre aux exigences du nouveau système. En outre, on passe actuellement en revue les correspondances échangées entre le BR et les administrations, afin de les rendre disponibles sur la plate</w:t>
      </w:r>
      <w:r w:rsidR="00DD37F3" w:rsidRPr="00B91EE1">
        <w:noBreakHyphen/>
      </w:r>
      <w:r w:rsidRPr="00B91EE1">
        <w:t>forme HITS. L</w:t>
      </w:r>
      <w:r w:rsidR="00392F9A" w:rsidRPr="00B91EE1">
        <w:t>'</w:t>
      </w:r>
      <w:r w:rsidRPr="00B91EE1">
        <w:t>interface utilisateur est en cours de développement.</w:t>
      </w:r>
    </w:p>
    <w:p w14:paraId="1A0BF649" w14:textId="77777777" w:rsidR="0031628C" w:rsidRPr="00B91EE1" w:rsidRDefault="0031628C" w:rsidP="004522B1">
      <w:pPr>
        <w:pStyle w:val="Heading2"/>
      </w:pPr>
      <w:r w:rsidRPr="00B91EE1">
        <w:t>7.5</w:t>
      </w:r>
      <w:r w:rsidRPr="00B91EE1">
        <w:tab/>
      </w:r>
      <w:bookmarkStart w:id="86" w:name="lt_pId447"/>
      <w:r w:rsidRPr="00B91EE1">
        <w:t>Continuité des activités et rétablissement après une catastrophe (pour les services spatiaux et les services de Terre)</w:t>
      </w:r>
      <w:bookmarkEnd w:id="86"/>
    </w:p>
    <w:p w14:paraId="57F40059" w14:textId="304943A5" w:rsidR="0031628C" w:rsidRPr="00B91EE1" w:rsidRDefault="0031628C" w:rsidP="004522B1">
      <w:bookmarkStart w:id="87" w:name="lt_pId449"/>
      <w:r w:rsidRPr="00B91EE1">
        <w:t>Les travaux visant à renforcer davantage le cadre UIT de gestion des risques se sont poursuivis en 2022, et le BR a participé pleinement aux activités du Groupe de travail du Groupe d</w:t>
      </w:r>
      <w:r w:rsidR="00392F9A" w:rsidRPr="00B91EE1">
        <w:t>'</w:t>
      </w:r>
      <w:r w:rsidRPr="00B91EE1">
        <w:t>action intersectoriel sur la gestion des risques.</w:t>
      </w:r>
      <w:bookmarkEnd w:id="87"/>
      <w:r w:rsidRPr="00B91EE1">
        <w:t xml:space="preserve"> En outre, la direction du BR a participé à plusieurs sessions de formation théorique en présentiel, organisées par le Coordonnateur pour le Système de gestion de la résilience de l</w:t>
      </w:r>
      <w:r w:rsidR="00392F9A" w:rsidRPr="00B91EE1">
        <w:t>'</w:t>
      </w:r>
      <w:r w:rsidRPr="00B91EE1">
        <w:t>organisation (ORMS) de l</w:t>
      </w:r>
      <w:r w:rsidR="00392F9A" w:rsidRPr="00B91EE1">
        <w:t>'</w:t>
      </w:r>
      <w:r w:rsidRPr="00B91EE1">
        <w:t>UIT et faisant intervenir un cabinet de conseil indépendant spécialisé dans la modélisation des relations entre les fonctions essentielles pour les opérations. Ces activités ont abouti à des versions, nouvelles ou modifiées, des plans de rétablissement de l</w:t>
      </w:r>
      <w:r w:rsidR="00392F9A" w:rsidRPr="00B91EE1">
        <w:t>'</w:t>
      </w:r>
      <w:r w:rsidRPr="00B91EE1">
        <w:t>activité (ARP), qui seront mis à jour régulièrement, en application de la politique relative à la continuité des activités de l</w:t>
      </w:r>
      <w:r w:rsidR="00392F9A" w:rsidRPr="00B91EE1">
        <w:t>'</w:t>
      </w:r>
      <w:r w:rsidRPr="00B91EE1">
        <w:t>UIT</w:t>
      </w:r>
      <w:r w:rsidR="00992DC1" w:rsidRPr="00B91EE1">
        <w:t>.</w:t>
      </w:r>
    </w:p>
    <w:p w14:paraId="46BE2827" w14:textId="77777777" w:rsidR="0031628C" w:rsidRPr="00B91EE1" w:rsidRDefault="0031628C" w:rsidP="004522B1">
      <w:pPr>
        <w:pStyle w:val="Heading2"/>
      </w:pPr>
      <w:bookmarkStart w:id="88" w:name="_Toc446060776"/>
      <w:r w:rsidRPr="00B91EE1">
        <w:lastRenderedPageBreak/>
        <w:t>7.6</w:t>
      </w:r>
      <w:r w:rsidRPr="00B91EE1">
        <w:tab/>
        <w:t>Informatique en nuage</w:t>
      </w:r>
    </w:p>
    <w:p w14:paraId="0817477F" w14:textId="202DB42A" w:rsidR="0031628C" w:rsidRPr="00B91EE1" w:rsidRDefault="0031628C" w:rsidP="004522B1">
      <w:r w:rsidRPr="00B91EE1">
        <w:t xml:space="preserve">En 2022, le BR a collaboré avec le Département des services informatiques en vue </w:t>
      </w:r>
      <w:r w:rsidR="00624E16" w:rsidRPr="00B91EE1">
        <w:t xml:space="preserve">de définir </w:t>
      </w:r>
      <w:r w:rsidRPr="00B91EE1">
        <w:t>le mandat d</w:t>
      </w:r>
      <w:r w:rsidR="00392F9A" w:rsidRPr="00B91EE1">
        <w:t>'</w:t>
      </w:r>
      <w:r w:rsidRPr="00B91EE1">
        <w:t>un Groupe spécial du BR sur la transition vers l</w:t>
      </w:r>
      <w:r w:rsidR="00392F9A" w:rsidRPr="00B91EE1">
        <w:t>'</w:t>
      </w:r>
      <w:r w:rsidRPr="00B91EE1">
        <w:t>informatique en nuage. Le projet de mandat a été examiné par les membres du Comité de gestion des radiocommunications (RMC) et les travaux du Groupe spécial ont débuté en mars 2023. La raison principale qui pousse le BR à adopter l</w:t>
      </w:r>
      <w:r w:rsidR="00392F9A" w:rsidRPr="00B91EE1">
        <w:t>'</w:t>
      </w:r>
      <w:r w:rsidRPr="00B91EE1">
        <w:t>informatique en nuage est la nécessité de renforcer la continuité des activités et le rétablissement après une catastrophe. Les travaux du Groupe spécial contribueront à l</w:t>
      </w:r>
      <w:r w:rsidR="00392F9A" w:rsidRPr="00B91EE1">
        <w:t>'</w:t>
      </w:r>
      <w:r w:rsidRPr="00B91EE1">
        <w:t>élaboration des produits attendus au titre de la Résolution 217 (Bucarest, 2022).</w:t>
      </w:r>
    </w:p>
    <w:p w14:paraId="001E9920" w14:textId="77777777" w:rsidR="0031628C" w:rsidRPr="00B91EE1" w:rsidRDefault="0031628C" w:rsidP="004522B1">
      <w:pPr>
        <w:pStyle w:val="Heading1"/>
        <w:rPr>
          <w:i/>
          <w:iCs/>
        </w:rPr>
      </w:pPr>
      <w:r w:rsidRPr="00B91EE1">
        <w:t>8</w:t>
      </w:r>
      <w:r w:rsidRPr="00B91EE1">
        <w:tab/>
      </w:r>
      <w:bookmarkEnd w:id="88"/>
      <w:r w:rsidRPr="00B91EE1">
        <w:t>Sensibilisation des membres</w:t>
      </w:r>
    </w:p>
    <w:p w14:paraId="30E506C4" w14:textId="0C0C1018" w:rsidR="0031628C" w:rsidRPr="00B91EE1" w:rsidRDefault="0031628C" w:rsidP="004522B1">
      <w:pPr>
        <w:keepLines/>
      </w:pPr>
      <w:bookmarkStart w:id="89" w:name="lt_pId530"/>
      <w:r w:rsidRPr="00B91EE1">
        <w:t>Au nombre des activités d</w:t>
      </w:r>
      <w:r w:rsidR="00392F9A" w:rsidRPr="00B91EE1">
        <w:t>'</w:t>
      </w:r>
      <w:r w:rsidRPr="00B91EE1">
        <w:t>ouverture sur l</w:t>
      </w:r>
      <w:r w:rsidR="00392F9A" w:rsidRPr="00B91EE1">
        <w:t>'</w:t>
      </w:r>
      <w:r w:rsidRPr="00B91EE1">
        <w:t>extérieur figurent la diffusion d</w:t>
      </w:r>
      <w:r w:rsidR="00392F9A" w:rsidRPr="00B91EE1">
        <w:t>'</w:t>
      </w:r>
      <w:r w:rsidRPr="00B91EE1">
        <w:t>informations et l</w:t>
      </w:r>
      <w:r w:rsidR="00392F9A" w:rsidRPr="00B91EE1">
        <w:t>'</w:t>
      </w:r>
      <w:r w:rsidRPr="00B91EE1">
        <w:t>assistance aux membres, la publication des produits de l</w:t>
      </w:r>
      <w:r w:rsidR="00392F9A" w:rsidRPr="00B91EE1">
        <w:t>'</w:t>
      </w:r>
      <w:r w:rsidRPr="00B91EE1">
        <w:t>UIT-R, l</w:t>
      </w:r>
      <w:r w:rsidR="00392F9A" w:rsidRPr="00B91EE1">
        <w:t>'</w:t>
      </w:r>
      <w:r w:rsidRPr="00B91EE1">
        <w:t>organisation de séminaires et d</w:t>
      </w:r>
      <w:r w:rsidR="00392F9A" w:rsidRPr="00B91EE1">
        <w:t>'</w:t>
      </w:r>
      <w:r w:rsidRPr="00B91EE1">
        <w:t>ateliers et la participation à ces manifestations ainsi que l</w:t>
      </w:r>
      <w:r w:rsidR="00392F9A" w:rsidRPr="00B91EE1">
        <w:t>'</w:t>
      </w:r>
      <w:r w:rsidRPr="00B91EE1">
        <w:t>élaboration et la tenue à jour d</w:t>
      </w:r>
      <w:r w:rsidR="00392F9A" w:rsidRPr="00B91EE1">
        <w:t>'</w:t>
      </w:r>
      <w:r w:rsidRPr="00B91EE1">
        <w:t xml:space="preserve">outils de communication et de promotion. </w:t>
      </w:r>
      <w:bookmarkEnd w:id="89"/>
      <w:r w:rsidRPr="00B91EE1">
        <w:t>L</w:t>
      </w:r>
      <w:r w:rsidR="00392F9A" w:rsidRPr="00B91EE1">
        <w:t>'</w:t>
      </w:r>
      <w:r w:rsidRPr="00B91EE1">
        <w:t>objectif de ces activités est de faire en sorte que les produits résultant des activités menées par le Secteur de l</w:t>
      </w:r>
      <w:r w:rsidR="00392F9A" w:rsidRPr="00B91EE1">
        <w:t>'</w:t>
      </w:r>
      <w:r w:rsidRPr="00B91EE1">
        <w:t>UIT-R (dispositions réglementaires, Recommandations, Rapports et Manuels) soient diffusés dans le monde entier afin de pouvoir servir de base à la formulation de politiques générales et à la prise de décisions aux niveaux national et régional concernant l</w:t>
      </w:r>
      <w:r w:rsidR="00392F9A" w:rsidRPr="00B91EE1">
        <w:t>'</w:t>
      </w:r>
      <w:r w:rsidRPr="00B91EE1">
        <w:t>utilisation du spectre radioélectrique. Pour mener à bien ces activités, le BR assure une collaboration étroite avec les autres Bureaux et Secteurs, les bureaux régionaux et les bureaux de zone de l</w:t>
      </w:r>
      <w:r w:rsidR="00392F9A" w:rsidRPr="00B91EE1">
        <w:t>'</w:t>
      </w:r>
      <w:r w:rsidRPr="00B91EE1">
        <w:t>UIT, ainsi que les organisations internationales ou les autorités nationales concernées.</w:t>
      </w:r>
    </w:p>
    <w:p w14:paraId="5D415223" w14:textId="77777777" w:rsidR="0031628C" w:rsidRPr="00B91EE1" w:rsidRDefault="0031628C" w:rsidP="004522B1">
      <w:pPr>
        <w:pStyle w:val="Heading2"/>
      </w:pPr>
      <w:bookmarkStart w:id="90" w:name="_Toc446060777"/>
      <w:bookmarkStart w:id="91" w:name="_Toc424047595"/>
      <w:bookmarkStart w:id="92" w:name="_Toc418232294"/>
      <w:bookmarkStart w:id="93" w:name="_Toc418163376"/>
      <w:r w:rsidRPr="00B91EE1">
        <w:t>8.1</w:t>
      </w:r>
      <w:r w:rsidRPr="00B91EE1">
        <w:tab/>
      </w:r>
      <w:bookmarkStart w:id="94" w:name="lt_pId533"/>
      <w:r w:rsidRPr="00B91EE1">
        <w:t>Publications</w:t>
      </w:r>
      <w:bookmarkEnd w:id="90"/>
      <w:bookmarkEnd w:id="91"/>
      <w:bookmarkEnd w:id="92"/>
      <w:bookmarkEnd w:id="93"/>
      <w:bookmarkEnd w:id="94"/>
    </w:p>
    <w:p w14:paraId="2DF8F523" w14:textId="77777777" w:rsidR="0031628C" w:rsidRPr="00B91EE1" w:rsidRDefault="0031628C" w:rsidP="004522B1">
      <w:pPr>
        <w:pStyle w:val="Heading3"/>
      </w:pPr>
      <w:bookmarkStart w:id="95" w:name="_Toc424047596"/>
      <w:bookmarkStart w:id="96" w:name="_Toc446060778"/>
      <w:r w:rsidRPr="00B91EE1">
        <w:t>8.1.1</w:t>
      </w:r>
      <w:r w:rsidRPr="00B91EE1">
        <w:tab/>
      </w:r>
      <w:bookmarkEnd w:id="95"/>
      <w:bookmarkEnd w:id="96"/>
      <w:r w:rsidRPr="00B91EE1">
        <w:t>Publications réglementaires</w:t>
      </w:r>
    </w:p>
    <w:p w14:paraId="42E1132F" w14:textId="77777777" w:rsidR="0031628C" w:rsidRPr="00B91EE1" w:rsidRDefault="0031628C" w:rsidP="004522B1">
      <w:pPr>
        <w:pStyle w:val="Headingi"/>
      </w:pPr>
      <w:r w:rsidRPr="00B91EE1">
        <w:t>Règlement des radiocommunications et Règles de procédures</w:t>
      </w:r>
    </w:p>
    <w:p w14:paraId="4FA9D940" w14:textId="29317498" w:rsidR="0031628C" w:rsidRPr="00B91EE1" w:rsidRDefault="0031628C" w:rsidP="004522B1">
      <w:pPr>
        <w:rPr>
          <w:b/>
          <w:bCs/>
        </w:rPr>
      </w:pPr>
      <w:bookmarkStart w:id="97" w:name="lt_pId537"/>
      <w:r w:rsidRPr="00B91EE1">
        <w:t>L</w:t>
      </w:r>
      <w:r w:rsidR="00392F9A" w:rsidRPr="00B91EE1">
        <w:t>'</w:t>
      </w:r>
      <w:r w:rsidRPr="00B91EE1">
        <w:t>édition de 2020 du Règlement des radiocommunications a été publiée en septembre 2020. Après la Conférence mondiale des radiocommunications de 2019, une édition de 2021 des Règles de procédure a été publiée. Une deuxième version mise à jour a été publiée en avril 2022.</w:t>
      </w:r>
      <w:bookmarkEnd w:id="97"/>
    </w:p>
    <w:p w14:paraId="42004AA9" w14:textId="71537F04" w:rsidR="0031628C" w:rsidRPr="00B91EE1" w:rsidRDefault="0031628C" w:rsidP="004522B1">
      <w:pPr>
        <w:rPr>
          <w:bCs/>
        </w:rPr>
      </w:pPr>
      <w:bookmarkStart w:id="98" w:name="lt_pId539"/>
      <w:r w:rsidRPr="00B91EE1">
        <w:rPr>
          <w:bCs/>
        </w:rPr>
        <w:t xml:space="preserve">Le BR a aussi publié, chaque année, onze </w:t>
      </w:r>
      <w:r w:rsidRPr="00B91EE1">
        <w:t>horaires saisonniers de radiodiffusion en ondes décamétriques (HFBC)</w:t>
      </w:r>
      <w:r w:rsidRPr="00B91EE1">
        <w:rPr>
          <w:bCs/>
        </w:rPr>
        <w:t>, conformément à l</w:t>
      </w:r>
      <w:r w:rsidR="00392F9A" w:rsidRPr="00B91EE1">
        <w:rPr>
          <w:bCs/>
        </w:rPr>
        <w:t>'</w:t>
      </w:r>
      <w:r w:rsidRPr="00B91EE1">
        <w:rPr>
          <w:bCs/>
        </w:rPr>
        <w:t xml:space="preserve">Article </w:t>
      </w:r>
      <w:r w:rsidRPr="00B91EE1">
        <w:rPr>
          <w:b/>
        </w:rPr>
        <w:t>12</w:t>
      </w:r>
      <w:bookmarkEnd w:id="98"/>
      <w:r w:rsidRPr="00B91EE1">
        <w:rPr>
          <w:bCs/>
        </w:rPr>
        <w:t xml:space="preserve"> du RR.</w:t>
      </w:r>
    </w:p>
    <w:p w14:paraId="203D0A24" w14:textId="77777777" w:rsidR="0031628C" w:rsidRPr="00B91EE1" w:rsidRDefault="0031628C" w:rsidP="004522B1">
      <w:pPr>
        <w:pStyle w:val="Heading3"/>
      </w:pPr>
      <w:bookmarkStart w:id="99" w:name="_Toc424047597"/>
      <w:bookmarkStart w:id="100" w:name="_Toc446060779"/>
      <w:r w:rsidRPr="00B91EE1">
        <w:t>8.1.2</w:t>
      </w:r>
      <w:r w:rsidRPr="00B91EE1">
        <w:tab/>
      </w:r>
      <w:bookmarkEnd w:id="99"/>
      <w:bookmarkEnd w:id="100"/>
      <w:r w:rsidRPr="00B91EE1">
        <w:t>Publications de service</w:t>
      </w:r>
    </w:p>
    <w:p w14:paraId="60BACB43" w14:textId="77777777" w:rsidR="0031628C" w:rsidRPr="00B91EE1" w:rsidRDefault="0031628C" w:rsidP="004522B1">
      <w:pPr>
        <w:pStyle w:val="Heading4"/>
        <w:rPr>
          <w:i/>
          <w:iCs/>
        </w:rPr>
      </w:pPr>
      <w:r w:rsidRPr="00B91EE1">
        <w:t>8.1.2.1</w:t>
      </w:r>
      <w:r w:rsidRPr="00B91EE1">
        <w:tab/>
        <w:t>Rappel et observations générales</w:t>
      </w:r>
    </w:p>
    <w:p w14:paraId="7914AE6A" w14:textId="398651D1" w:rsidR="0031628C" w:rsidRPr="00B91EE1" w:rsidRDefault="0031628C" w:rsidP="004522B1">
      <w:r w:rsidRPr="00B91EE1">
        <w:t>Le Bureau élabore et publie diverses publications de service, comme indiqué dans l</w:t>
      </w:r>
      <w:r w:rsidR="00392F9A" w:rsidRPr="00B91EE1">
        <w:t>'</w:t>
      </w:r>
      <w:r w:rsidRPr="00B91EE1">
        <w:t>Article 20 du Règlement des radiocommunications.</w:t>
      </w:r>
    </w:p>
    <w:p w14:paraId="297419FC" w14:textId="4A98775C" w:rsidR="0031628C" w:rsidRPr="00B91EE1" w:rsidRDefault="0031628C" w:rsidP="004E669D">
      <w:pPr>
        <w:pStyle w:val="enumlev1"/>
      </w:pPr>
      <w:r w:rsidRPr="00B91EE1">
        <w:t>•</w:t>
      </w:r>
      <w:r w:rsidRPr="00B91EE1">
        <w:tab/>
        <w:t>BR IFIC – Circulaire internationale d</w:t>
      </w:r>
      <w:r w:rsidR="00392F9A" w:rsidRPr="00B91EE1">
        <w:t>'</w:t>
      </w:r>
      <w:r w:rsidRPr="00B91EE1">
        <w:t>information sur les fréquences.</w:t>
      </w:r>
    </w:p>
    <w:p w14:paraId="6615AD97" w14:textId="77777777" w:rsidR="0031628C" w:rsidRPr="00B91EE1" w:rsidRDefault="0031628C" w:rsidP="004E669D">
      <w:pPr>
        <w:pStyle w:val="enumlev1"/>
      </w:pPr>
      <w:r w:rsidRPr="00B91EE1">
        <w:t>•</w:t>
      </w:r>
      <w:r w:rsidRPr="00B91EE1">
        <w:tab/>
        <w:t>Liste IV – Nomenclature des stations côtières et des stations effectuant des services spéciaux.</w:t>
      </w:r>
    </w:p>
    <w:p w14:paraId="68B159E9" w14:textId="77777777" w:rsidR="0031628C" w:rsidRPr="00B91EE1" w:rsidRDefault="0031628C" w:rsidP="004E669D">
      <w:pPr>
        <w:pStyle w:val="enumlev1"/>
      </w:pPr>
      <w:r w:rsidRPr="00B91EE1">
        <w:t>•</w:t>
      </w:r>
      <w:r w:rsidRPr="00B91EE1">
        <w:tab/>
        <w:t>Liste V – Nomenclature des stations de navire et des identités du service mobile maritime assignées.</w:t>
      </w:r>
    </w:p>
    <w:p w14:paraId="76D33A99" w14:textId="77777777" w:rsidR="0031628C" w:rsidRPr="00B91EE1" w:rsidRDefault="0031628C" w:rsidP="004E669D">
      <w:pPr>
        <w:pStyle w:val="enumlev1"/>
      </w:pPr>
      <w:r w:rsidRPr="00B91EE1">
        <w:t>•</w:t>
      </w:r>
      <w:r w:rsidRPr="00B91EE1">
        <w:tab/>
        <w:t>Liste VIII – Nomenclature des stations de contrôle international des émissions.</w:t>
      </w:r>
    </w:p>
    <w:p w14:paraId="207C028F" w14:textId="52A90075" w:rsidR="0031628C" w:rsidRPr="00B91EE1" w:rsidRDefault="0031628C" w:rsidP="004E669D">
      <w:pPr>
        <w:pStyle w:val="enumlev1"/>
        <w:rPr>
          <w:b/>
        </w:rPr>
      </w:pPr>
      <w:r w:rsidRPr="00B91EE1">
        <w:t>•</w:t>
      </w:r>
      <w:r w:rsidRPr="00B91EE1">
        <w:tab/>
        <w:t>Manuel à l</w:t>
      </w:r>
      <w:r w:rsidR="00392F9A" w:rsidRPr="00B91EE1">
        <w:t>'</w:t>
      </w:r>
      <w:r w:rsidRPr="00B91EE1">
        <w:t>usage des services mobile maritime et mobile maritime par satellite.</w:t>
      </w:r>
    </w:p>
    <w:p w14:paraId="507AEEE8" w14:textId="77777777" w:rsidR="0031628C" w:rsidRPr="00B91EE1" w:rsidRDefault="0031628C" w:rsidP="004522B1">
      <w:pPr>
        <w:pStyle w:val="Heading4"/>
        <w:rPr>
          <w:i/>
          <w:iCs/>
        </w:rPr>
      </w:pPr>
      <w:r w:rsidRPr="00B91EE1">
        <w:lastRenderedPageBreak/>
        <w:t>8.1.2.2</w:t>
      </w:r>
      <w:r w:rsidRPr="00B91EE1">
        <w:tab/>
        <w:t>Nomenclature des stations côtières et des stations effectuant des services spéciaux – Liste IV</w:t>
      </w:r>
    </w:p>
    <w:p w14:paraId="172C14A6" w14:textId="026D3589" w:rsidR="0031628C" w:rsidRPr="00B91EE1" w:rsidRDefault="0031628C" w:rsidP="004522B1">
      <w:bookmarkStart w:id="101" w:name="lt_pId552"/>
      <w:r w:rsidRPr="00B91EE1">
        <w:t>Cette Liste contient les informations communiquées à l</w:t>
      </w:r>
      <w:r w:rsidR="00392F9A" w:rsidRPr="00B91EE1">
        <w:t>'</w:t>
      </w:r>
      <w:r w:rsidRPr="00B91EE1">
        <w:t>UIT (indicatif d</w:t>
      </w:r>
      <w:r w:rsidR="00392F9A" w:rsidRPr="00B91EE1">
        <w:t>'</w:t>
      </w:r>
      <w:r w:rsidRPr="00B91EE1">
        <w:t>appel, MMSI, coordonnées géographiques, fréquences d</w:t>
      </w:r>
      <w:r w:rsidR="00392F9A" w:rsidRPr="00B91EE1">
        <w:t>'</w:t>
      </w:r>
      <w:r w:rsidRPr="00B91EE1">
        <w:t>émission et de réception, etc.) concernant les stations côtières qui assurent une veille en utilisant les techniques d</w:t>
      </w:r>
      <w:r w:rsidR="00392F9A" w:rsidRPr="00B91EE1">
        <w:t>'</w:t>
      </w:r>
      <w:r w:rsidRPr="00B91EE1">
        <w:t>appel sélectif numérique, le service de correspondance publique, les avis médicaux, les avertissements concernant la navigation et la météorologie, les avis aux navigateurs et les signaux horaires, etc.</w:t>
      </w:r>
      <w:bookmarkEnd w:id="101"/>
    </w:p>
    <w:p w14:paraId="1120DA08" w14:textId="77777777" w:rsidR="0031628C" w:rsidRPr="00B91EE1" w:rsidRDefault="0031628C" w:rsidP="004522B1">
      <w:bookmarkStart w:id="102" w:name="lt_pId553"/>
      <w:r w:rsidRPr="00B91EE1">
        <w:t>La Nomenclature des stations côtières et des stations effectuant des services spéciaux (Liste IV) est publiée tous les deux ans sur CD-ROM.</w:t>
      </w:r>
      <w:bookmarkEnd w:id="102"/>
      <w:r w:rsidRPr="00B91EE1">
        <w:t xml:space="preserve"> </w:t>
      </w:r>
      <w:bookmarkStart w:id="103" w:name="lt_pId554"/>
      <w:r w:rsidRPr="00B91EE1">
        <w:t>Une édition de la Liste IV a été publiée en décembre 2021.</w:t>
      </w:r>
      <w:bookmarkEnd w:id="103"/>
    </w:p>
    <w:p w14:paraId="34592173" w14:textId="42AAB502" w:rsidR="0031628C" w:rsidRPr="00B91EE1" w:rsidRDefault="0031628C" w:rsidP="004522B1">
      <w:pPr>
        <w:keepLines/>
      </w:pPr>
      <w:bookmarkStart w:id="104" w:name="lt_pId555"/>
      <w:r w:rsidRPr="00B91EE1">
        <w:t>Les renseignements relatifs à cette Liste sont mis à disposition via le système d</w:t>
      </w:r>
      <w:r w:rsidR="00392F9A" w:rsidRPr="00B91EE1">
        <w:t>'</w:t>
      </w:r>
      <w:r w:rsidRPr="00B91EE1">
        <w:t>information en ligne</w:t>
      </w:r>
      <w:r w:rsidR="00392F9A" w:rsidRPr="00B91EE1">
        <w:t> </w:t>
      </w:r>
      <w:r w:rsidRPr="00B91EE1">
        <w:t>MARS (système d</w:t>
      </w:r>
      <w:r w:rsidR="00392F9A" w:rsidRPr="00B91EE1">
        <w:t>'</w:t>
      </w:r>
      <w:r w:rsidRPr="00B91EE1">
        <w:t>accès et de consultation de la base de données du service mobile maritime) de l</w:t>
      </w:r>
      <w:r w:rsidR="00392F9A" w:rsidRPr="00B91EE1">
        <w:t>'</w:t>
      </w:r>
      <w:r w:rsidRPr="00B91EE1">
        <w:t xml:space="preserve">UIT. </w:t>
      </w:r>
      <w:bookmarkStart w:id="105" w:name="lt_pId556"/>
      <w:bookmarkEnd w:id="104"/>
      <w:r w:rsidRPr="00B91EE1">
        <w:t>Une compilation de tous les changements communiqués à l</w:t>
      </w:r>
      <w:r w:rsidR="00392F9A" w:rsidRPr="00B91EE1">
        <w:t>'</w:t>
      </w:r>
      <w:r w:rsidRPr="00B91EE1">
        <w:t>UIT est fournie tous les six mois sur le web.</w:t>
      </w:r>
      <w:bookmarkEnd w:id="105"/>
    </w:p>
    <w:p w14:paraId="5A6509A0" w14:textId="77777777" w:rsidR="0031628C" w:rsidRPr="00B91EE1" w:rsidRDefault="0031628C" w:rsidP="004522B1">
      <w:pPr>
        <w:pStyle w:val="Heading4"/>
        <w:rPr>
          <w:i/>
          <w:iCs/>
        </w:rPr>
      </w:pPr>
      <w:r w:rsidRPr="00B91EE1">
        <w:t>8.1.2.3</w:t>
      </w:r>
      <w:bookmarkStart w:id="106" w:name="lt_pId558"/>
      <w:r w:rsidRPr="00B91EE1">
        <w:tab/>
        <w:t>Nomenclature des stations de navire et des identités du service mobile maritime assignées (Liste V)</w:t>
      </w:r>
      <w:bookmarkEnd w:id="106"/>
    </w:p>
    <w:p w14:paraId="712F1896" w14:textId="7ADDE6C3" w:rsidR="0031628C" w:rsidRPr="00B91EE1" w:rsidRDefault="0031628C" w:rsidP="004522B1">
      <w:bookmarkStart w:id="107" w:name="lt_pId559"/>
      <w:r w:rsidRPr="00B91EE1">
        <w:t>Cette Liste contient les informations communiquées à l</w:t>
      </w:r>
      <w:r w:rsidR="00392F9A" w:rsidRPr="00B91EE1">
        <w:t>'</w:t>
      </w:r>
      <w:r w:rsidRPr="00B91EE1">
        <w:t>UIT concernant les stations de navire, les stations côtières et les stations d</w:t>
      </w:r>
      <w:r w:rsidR="00392F9A" w:rsidRPr="00B91EE1">
        <w:t>'</w:t>
      </w:r>
      <w:r w:rsidRPr="00B91EE1">
        <w:t>aéronef de recherche et de sauvetage (SAR), les codes d</w:t>
      </w:r>
      <w:r w:rsidR="00392F9A" w:rsidRPr="00B91EE1">
        <w:t>'</w:t>
      </w:r>
      <w:r w:rsidRPr="00B91EE1">
        <w:t>identification de l</w:t>
      </w:r>
      <w:r w:rsidR="00392F9A" w:rsidRPr="00B91EE1">
        <w:t>'</w:t>
      </w:r>
      <w:r w:rsidRPr="00B91EE1">
        <w:t>autorité comptable (CIAC) et les coordonnées des points de contact pour les administrations notificatrices.</w:t>
      </w:r>
      <w:bookmarkEnd w:id="107"/>
    </w:p>
    <w:p w14:paraId="36CF2E0D" w14:textId="77777777" w:rsidR="0031628C" w:rsidRPr="00B91EE1" w:rsidRDefault="0031628C" w:rsidP="004522B1">
      <w:bookmarkStart w:id="108" w:name="lt_pId560"/>
      <w:r w:rsidRPr="00B91EE1">
        <w:t>La Nomenclature des stations de navire et des identités du service mobile maritime assignées (Liste V) est publiée chaque année sur CD-ROM.</w:t>
      </w:r>
      <w:bookmarkEnd w:id="108"/>
      <w:r w:rsidRPr="00B91EE1">
        <w:t xml:space="preserve"> </w:t>
      </w:r>
      <w:bookmarkStart w:id="109" w:name="lt_pId561"/>
      <w:r w:rsidRPr="00B91EE1">
        <w:t>Une édition de la Liste V a été publiée en avril 2022.</w:t>
      </w:r>
      <w:bookmarkEnd w:id="109"/>
    </w:p>
    <w:p w14:paraId="4526706E" w14:textId="5315CA03" w:rsidR="0031628C" w:rsidRPr="00B91EE1" w:rsidRDefault="0031628C" w:rsidP="004522B1">
      <w:bookmarkStart w:id="110" w:name="lt_pId562"/>
      <w:r w:rsidRPr="00B91EE1">
        <w:t>Les renseignements relatifs à cette Liste sont également mis à disposition via le système d</w:t>
      </w:r>
      <w:r w:rsidR="00392F9A" w:rsidRPr="00B91EE1">
        <w:t>'</w:t>
      </w:r>
      <w:r w:rsidRPr="00B91EE1">
        <w:t>information en ligne MARS.</w:t>
      </w:r>
      <w:bookmarkEnd w:id="110"/>
      <w:r w:rsidRPr="00B91EE1">
        <w:t xml:space="preserve"> </w:t>
      </w:r>
      <w:bookmarkStart w:id="111" w:name="lt_pId563"/>
      <w:r w:rsidRPr="00B91EE1">
        <w:t>Une compilation de tous les changements communiqués à l</w:t>
      </w:r>
      <w:r w:rsidR="00392F9A" w:rsidRPr="00B91EE1">
        <w:t>'</w:t>
      </w:r>
      <w:r w:rsidRPr="00B91EE1">
        <w:t>UIT est fournie tous les trois mois sur le web.</w:t>
      </w:r>
      <w:bookmarkEnd w:id="111"/>
    </w:p>
    <w:p w14:paraId="6EB3FF47" w14:textId="77777777" w:rsidR="0031628C" w:rsidRPr="00B91EE1" w:rsidRDefault="0031628C" w:rsidP="004522B1">
      <w:pPr>
        <w:pStyle w:val="Heading4"/>
        <w:rPr>
          <w:i/>
          <w:iCs/>
        </w:rPr>
      </w:pPr>
      <w:r w:rsidRPr="00B91EE1">
        <w:t>8.1.2.4</w:t>
      </w:r>
      <w:bookmarkStart w:id="112" w:name="lt_pId565"/>
      <w:r w:rsidRPr="00B91EE1">
        <w:tab/>
        <w:t>Nomenclature des stations de contrôle international des émissions (Liste VIII)</w:t>
      </w:r>
      <w:bookmarkEnd w:id="112"/>
    </w:p>
    <w:p w14:paraId="0A554666" w14:textId="002A9D9B" w:rsidR="0031628C" w:rsidRPr="00B91EE1" w:rsidRDefault="0031628C" w:rsidP="004522B1">
      <w:bookmarkStart w:id="113" w:name="lt_pId566"/>
      <w:r w:rsidRPr="00B91EE1">
        <w:t>La Nomenclature des stations de contrôle international des émissions (Liste VIII) contient les adresses et d</w:t>
      </w:r>
      <w:r w:rsidR="00392F9A" w:rsidRPr="00B91EE1">
        <w:t>'</w:t>
      </w:r>
      <w:r w:rsidRPr="00B91EE1">
        <w:t>autres informations pertinentes des bureaux centralisateurs, y compris des informations détaillées concernant les stations de contrôle mesurant les émissions des stations de Terre et des stations spatiales.</w:t>
      </w:r>
      <w:bookmarkEnd w:id="113"/>
      <w:r w:rsidRPr="00B91EE1">
        <w:t xml:space="preserve"> </w:t>
      </w:r>
      <w:bookmarkStart w:id="114" w:name="lt_pId567"/>
      <w:r w:rsidRPr="00B91EE1">
        <w:t>Un service de téléchargement direct est offert gratuitement aux titulaires d</w:t>
      </w:r>
      <w:r w:rsidR="00392F9A" w:rsidRPr="00B91EE1">
        <w:t>'</w:t>
      </w:r>
      <w:r w:rsidRPr="00B91EE1">
        <w:t>un compte TIES.</w:t>
      </w:r>
      <w:bookmarkEnd w:id="114"/>
    </w:p>
    <w:p w14:paraId="047A776C" w14:textId="77777777" w:rsidR="0031628C" w:rsidRPr="00B91EE1" w:rsidRDefault="0031628C" w:rsidP="004522B1">
      <w:bookmarkStart w:id="115" w:name="lt_pId568"/>
      <w:r w:rsidRPr="00B91EE1">
        <w:t>Une édition de cette Liste a été publiée en décembre 2022.</w:t>
      </w:r>
      <w:bookmarkEnd w:id="115"/>
    </w:p>
    <w:p w14:paraId="69441ED5" w14:textId="77777777" w:rsidR="0031628C" w:rsidRPr="00B91EE1" w:rsidRDefault="0031628C" w:rsidP="004522B1">
      <w:pPr>
        <w:pStyle w:val="Heading4"/>
      </w:pPr>
      <w:r w:rsidRPr="00B91EE1">
        <w:t>8.1.2.5</w:t>
      </w:r>
      <w:bookmarkStart w:id="116" w:name="lt_pId570"/>
      <w:r w:rsidRPr="00B91EE1">
        <w:tab/>
        <w:t>Liste des publications de service diffusées</w:t>
      </w:r>
      <w:bookmarkEnd w:id="116"/>
    </w:p>
    <w:p w14:paraId="755FBED9" w14:textId="4C2E9043" w:rsidR="0031628C" w:rsidRPr="00B91EE1" w:rsidRDefault="0031628C" w:rsidP="004522B1">
      <w:bookmarkStart w:id="117" w:name="lt_pId571"/>
      <w:r w:rsidRPr="00B91EE1">
        <w:t>Les différentes publications diffusées pendant la période 2019-2022 sont récapitulées dans le Tableau 8.1.2.5-1 ci-dessous:</w:t>
      </w:r>
      <w:bookmarkEnd w:id="117"/>
    </w:p>
    <w:p w14:paraId="75297321" w14:textId="77777777" w:rsidR="0031628C" w:rsidRPr="00B91EE1" w:rsidRDefault="0031628C" w:rsidP="004522B1">
      <w:pPr>
        <w:pStyle w:val="TableNoBR"/>
      </w:pPr>
      <w:r w:rsidRPr="00B91EE1">
        <w:lastRenderedPageBreak/>
        <w:t>TABLEAU 8.1.2.5-1</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1440"/>
        <w:gridCol w:w="1313"/>
        <w:gridCol w:w="1349"/>
        <w:gridCol w:w="1349"/>
      </w:tblGrid>
      <w:tr w:rsidR="0031628C" w:rsidRPr="00B91EE1" w14:paraId="49DB05E0" w14:textId="77777777" w:rsidTr="006120E0">
        <w:trPr>
          <w:jc w:val="center"/>
        </w:trPr>
        <w:tc>
          <w:tcPr>
            <w:tcW w:w="4044" w:type="dxa"/>
            <w:tcBorders>
              <w:top w:val="single" w:sz="4" w:space="0" w:color="auto"/>
              <w:left w:val="single" w:sz="4" w:space="0" w:color="auto"/>
              <w:bottom w:val="single" w:sz="4" w:space="0" w:color="auto"/>
              <w:right w:val="single" w:sz="4" w:space="0" w:color="auto"/>
            </w:tcBorders>
          </w:tcPr>
          <w:p w14:paraId="5232B332" w14:textId="77777777" w:rsidR="0031628C" w:rsidRPr="00B91EE1" w:rsidRDefault="0031628C" w:rsidP="004522B1">
            <w:pPr>
              <w:pStyle w:val="Tabletext"/>
              <w:keepNext/>
              <w:keepLines/>
              <w:jc w:val="center"/>
              <w:rPr>
                <w:lang w:eastAsia="zh-CN"/>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E1168E4" w14:textId="77777777" w:rsidR="0031628C" w:rsidRPr="00B91EE1" w:rsidRDefault="0031628C" w:rsidP="004522B1">
            <w:pPr>
              <w:pStyle w:val="Tabletext"/>
              <w:keepNext/>
              <w:keepLines/>
              <w:jc w:val="center"/>
              <w:rPr>
                <w:lang w:eastAsia="zh-CN"/>
              </w:rPr>
            </w:pPr>
            <w:r w:rsidRPr="00B91EE1">
              <w:rPr>
                <w:lang w:eastAsia="zh-CN"/>
              </w:rPr>
              <w:t>2019</w:t>
            </w:r>
          </w:p>
        </w:tc>
        <w:tc>
          <w:tcPr>
            <w:tcW w:w="1313" w:type="dxa"/>
            <w:tcBorders>
              <w:top w:val="single" w:sz="4" w:space="0" w:color="auto"/>
              <w:left w:val="single" w:sz="4" w:space="0" w:color="auto"/>
              <w:bottom w:val="single" w:sz="4" w:space="0" w:color="auto"/>
              <w:right w:val="single" w:sz="4" w:space="0" w:color="auto"/>
            </w:tcBorders>
            <w:vAlign w:val="center"/>
            <w:hideMark/>
          </w:tcPr>
          <w:p w14:paraId="7CF1E9F6" w14:textId="77777777" w:rsidR="0031628C" w:rsidRPr="00B91EE1" w:rsidRDefault="0031628C" w:rsidP="004522B1">
            <w:pPr>
              <w:pStyle w:val="Tabletext"/>
              <w:keepNext/>
              <w:keepLines/>
              <w:jc w:val="center"/>
              <w:rPr>
                <w:lang w:eastAsia="zh-CN"/>
              </w:rPr>
            </w:pPr>
            <w:r w:rsidRPr="00B91EE1">
              <w:rPr>
                <w:lang w:eastAsia="zh-CN"/>
              </w:rPr>
              <w:t>2020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7A97B60" w14:textId="77777777" w:rsidR="0031628C" w:rsidRPr="00B91EE1" w:rsidRDefault="0031628C" w:rsidP="004522B1">
            <w:pPr>
              <w:pStyle w:val="Tabletext"/>
              <w:keepNext/>
              <w:keepLines/>
              <w:jc w:val="center"/>
              <w:rPr>
                <w:lang w:eastAsia="zh-CN"/>
              </w:rPr>
            </w:pPr>
            <w:r w:rsidRPr="00B91EE1">
              <w:rPr>
                <w:lang w:eastAsia="zh-CN"/>
              </w:rPr>
              <w:t>2021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BEEF933" w14:textId="77777777" w:rsidR="0031628C" w:rsidRPr="00B91EE1" w:rsidRDefault="0031628C" w:rsidP="004522B1">
            <w:pPr>
              <w:pStyle w:val="Tabletext"/>
              <w:keepNext/>
              <w:keepLines/>
              <w:jc w:val="center"/>
              <w:rPr>
                <w:lang w:eastAsia="zh-CN"/>
              </w:rPr>
            </w:pPr>
            <w:r w:rsidRPr="00B91EE1">
              <w:rPr>
                <w:lang w:eastAsia="zh-CN"/>
              </w:rPr>
              <w:t>2022</w:t>
            </w:r>
          </w:p>
        </w:tc>
      </w:tr>
      <w:tr w:rsidR="0031628C" w:rsidRPr="00B91EE1" w14:paraId="7831B8CB" w14:textId="77777777" w:rsidTr="006120E0">
        <w:trPr>
          <w:jc w:val="center"/>
        </w:trPr>
        <w:tc>
          <w:tcPr>
            <w:tcW w:w="4044" w:type="dxa"/>
            <w:tcBorders>
              <w:top w:val="single" w:sz="4" w:space="0" w:color="auto"/>
              <w:left w:val="single" w:sz="4" w:space="0" w:color="auto"/>
              <w:bottom w:val="single" w:sz="4" w:space="0" w:color="auto"/>
              <w:right w:val="single" w:sz="4" w:space="0" w:color="auto"/>
            </w:tcBorders>
            <w:vAlign w:val="center"/>
            <w:hideMark/>
          </w:tcPr>
          <w:p w14:paraId="727D2F06" w14:textId="1DE59932" w:rsidR="0031628C" w:rsidRPr="00B91EE1" w:rsidRDefault="0031628C" w:rsidP="004522B1">
            <w:pPr>
              <w:pStyle w:val="Tabletext"/>
              <w:keepNext/>
              <w:keepLines/>
              <w:jc w:val="center"/>
              <w:rPr>
                <w:lang w:eastAsia="zh-CN"/>
              </w:rPr>
            </w:pPr>
            <w:r w:rsidRPr="00B91EE1">
              <w:rPr>
                <w:lang w:eastAsia="zh-CN"/>
              </w:rPr>
              <w:t>BR IFIC (Circulaire internationale d</w:t>
            </w:r>
            <w:r w:rsidR="00392F9A" w:rsidRPr="00B91EE1">
              <w:rPr>
                <w:lang w:eastAsia="zh-CN"/>
              </w:rPr>
              <w:t>'</w:t>
            </w:r>
            <w:r w:rsidRPr="00B91EE1">
              <w:rPr>
                <w:lang w:eastAsia="zh-CN"/>
              </w:rPr>
              <w:t>information sur les fréquences)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781F26A" w14:textId="77777777" w:rsidR="0031628C" w:rsidRPr="00B91EE1" w:rsidRDefault="0031628C" w:rsidP="004522B1">
            <w:pPr>
              <w:pStyle w:val="Tabletext"/>
              <w:keepNext/>
              <w:keepLines/>
              <w:jc w:val="center"/>
              <w:rPr>
                <w:lang w:eastAsia="zh-CN"/>
              </w:rPr>
            </w:pPr>
            <w:r w:rsidRPr="00B91EE1">
              <w:rPr>
                <w:lang w:eastAsia="zh-CN"/>
              </w:rPr>
              <w:t>25</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F3DA273" w14:textId="77777777" w:rsidR="0031628C" w:rsidRPr="00B91EE1" w:rsidRDefault="0031628C" w:rsidP="004522B1">
            <w:pPr>
              <w:pStyle w:val="Tabletext"/>
              <w:keepNext/>
              <w:keepLines/>
              <w:jc w:val="center"/>
              <w:rPr>
                <w:lang w:eastAsia="zh-CN"/>
              </w:rPr>
            </w:pPr>
            <w:r w:rsidRPr="00B91EE1">
              <w:rPr>
                <w:lang w:eastAsia="zh-CN"/>
              </w:rPr>
              <w:t>25</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A8DFCBA" w14:textId="77777777" w:rsidR="0031628C" w:rsidRPr="00B91EE1" w:rsidRDefault="0031628C" w:rsidP="004522B1">
            <w:pPr>
              <w:pStyle w:val="Tabletext"/>
              <w:keepNext/>
              <w:keepLines/>
              <w:jc w:val="center"/>
              <w:rPr>
                <w:lang w:eastAsia="zh-CN"/>
              </w:rPr>
            </w:pPr>
            <w:r w:rsidRPr="00B91EE1">
              <w:rPr>
                <w:lang w:eastAsia="zh-CN"/>
              </w:rPr>
              <w:t>26</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4255B71" w14:textId="77777777" w:rsidR="0031628C" w:rsidRPr="00B91EE1" w:rsidRDefault="0031628C" w:rsidP="004522B1">
            <w:pPr>
              <w:pStyle w:val="Tabletext"/>
              <w:keepNext/>
              <w:keepLines/>
              <w:jc w:val="center"/>
              <w:rPr>
                <w:lang w:eastAsia="zh-CN"/>
              </w:rPr>
            </w:pPr>
            <w:r w:rsidRPr="00B91EE1">
              <w:rPr>
                <w:lang w:eastAsia="zh-CN"/>
              </w:rPr>
              <w:t>25</w:t>
            </w:r>
          </w:p>
        </w:tc>
      </w:tr>
      <w:tr w:rsidR="0031628C" w:rsidRPr="00B91EE1" w14:paraId="418BB4C8" w14:textId="77777777" w:rsidTr="006120E0">
        <w:trPr>
          <w:jc w:val="center"/>
        </w:trPr>
        <w:tc>
          <w:tcPr>
            <w:tcW w:w="4044" w:type="dxa"/>
            <w:tcBorders>
              <w:top w:val="single" w:sz="4" w:space="0" w:color="auto"/>
              <w:left w:val="single" w:sz="4" w:space="0" w:color="auto"/>
              <w:bottom w:val="single" w:sz="4" w:space="0" w:color="auto"/>
              <w:right w:val="single" w:sz="4" w:space="0" w:color="auto"/>
            </w:tcBorders>
            <w:vAlign w:val="center"/>
            <w:hideMark/>
          </w:tcPr>
          <w:p w14:paraId="268B2D2C" w14:textId="52518B1E" w:rsidR="0031628C" w:rsidRPr="00B91EE1" w:rsidRDefault="0031628C" w:rsidP="004522B1">
            <w:pPr>
              <w:pStyle w:val="Tabletext"/>
              <w:keepNext/>
              <w:keepLines/>
              <w:jc w:val="center"/>
              <w:rPr>
                <w:lang w:eastAsia="zh-CN"/>
              </w:rPr>
            </w:pPr>
            <w:bookmarkStart w:id="118" w:name="lt_pId583"/>
            <w:r w:rsidRPr="00B91EE1">
              <w:rPr>
                <w:lang w:eastAsia="zh-CN"/>
              </w:rPr>
              <w:t>Liste IV (Nomenclature des stations côtières et des stations effectuant des services spéciaux)</w:t>
            </w:r>
            <w:bookmarkEnd w:id="118"/>
          </w:p>
        </w:tc>
        <w:tc>
          <w:tcPr>
            <w:tcW w:w="1440" w:type="dxa"/>
            <w:tcBorders>
              <w:top w:val="single" w:sz="4" w:space="0" w:color="auto"/>
              <w:left w:val="single" w:sz="4" w:space="0" w:color="auto"/>
              <w:bottom w:val="single" w:sz="4" w:space="0" w:color="auto"/>
              <w:right w:val="single" w:sz="4" w:space="0" w:color="auto"/>
            </w:tcBorders>
            <w:vAlign w:val="center"/>
          </w:tcPr>
          <w:p w14:paraId="4450BA57" w14:textId="77777777" w:rsidR="0031628C" w:rsidRPr="00B91EE1" w:rsidRDefault="0031628C" w:rsidP="004522B1">
            <w:pPr>
              <w:pStyle w:val="Tabletext"/>
              <w:keepNext/>
              <w:keepLines/>
              <w:jc w:val="center"/>
              <w:rPr>
                <w:lang w:eastAsia="zh-CN"/>
              </w:rPr>
            </w:pPr>
            <w:r w:rsidRPr="00B91EE1">
              <w:rPr>
                <w:lang w:eastAsia="zh-CN"/>
              </w:rPr>
              <w:t>Édition de 2019</w:t>
            </w:r>
            <w:r w:rsidRPr="00B91EE1">
              <w:rPr>
                <w:lang w:eastAsia="zh-CN"/>
              </w:rPr>
              <w:br/>
              <w:t>(décembre)</w:t>
            </w:r>
          </w:p>
        </w:tc>
        <w:tc>
          <w:tcPr>
            <w:tcW w:w="1313" w:type="dxa"/>
            <w:tcBorders>
              <w:top w:val="single" w:sz="4" w:space="0" w:color="auto"/>
              <w:left w:val="single" w:sz="4" w:space="0" w:color="auto"/>
              <w:bottom w:val="single" w:sz="4" w:space="0" w:color="auto"/>
              <w:right w:val="single" w:sz="4" w:space="0" w:color="auto"/>
            </w:tcBorders>
            <w:vAlign w:val="center"/>
            <w:hideMark/>
          </w:tcPr>
          <w:p w14:paraId="68096EC6" w14:textId="77777777" w:rsidR="0031628C" w:rsidRPr="00B91EE1" w:rsidRDefault="0031628C" w:rsidP="004522B1">
            <w:pPr>
              <w:pStyle w:val="Tabletext"/>
              <w:keepNext/>
              <w:keepLines/>
              <w:jc w:val="center"/>
              <w:rPr>
                <w:lang w:eastAsia="zh-CN"/>
              </w:rPr>
            </w:pPr>
          </w:p>
        </w:tc>
        <w:tc>
          <w:tcPr>
            <w:tcW w:w="1349" w:type="dxa"/>
            <w:tcBorders>
              <w:top w:val="single" w:sz="4" w:space="0" w:color="auto"/>
              <w:left w:val="single" w:sz="4" w:space="0" w:color="auto"/>
              <w:bottom w:val="single" w:sz="4" w:space="0" w:color="auto"/>
              <w:right w:val="single" w:sz="4" w:space="0" w:color="auto"/>
            </w:tcBorders>
            <w:vAlign w:val="center"/>
          </w:tcPr>
          <w:p w14:paraId="4CEB9398" w14:textId="77777777" w:rsidR="0031628C" w:rsidRPr="00B91EE1" w:rsidRDefault="0031628C" w:rsidP="004522B1">
            <w:pPr>
              <w:pStyle w:val="Tabletext"/>
              <w:keepNext/>
              <w:keepLines/>
              <w:jc w:val="center"/>
              <w:rPr>
                <w:lang w:eastAsia="zh-CN"/>
              </w:rPr>
            </w:pPr>
            <w:r w:rsidRPr="00B91EE1">
              <w:rPr>
                <w:lang w:eastAsia="zh-CN"/>
              </w:rPr>
              <w:t>Édition de 2021</w:t>
            </w:r>
            <w:r w:rsidRPr="00B91EE1">
              <w:rPr>
                <w:lang w:eastAsia="zh-CN"/>
              </w:rPr>
              <w:br/>
              <w:t>(décembre)</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48A1D1E" w14:textId="77777777" w:rsidR="0031628C" w:rsidRPr="00B91EE1" w:rsidRDefault="0031628C" w:rsidP="004522B1">
            <w:pPr>
              <w:pStyle w:val="Tabletext"/>
              <w:keepNext/>
              <w:keepLines/>
              <w:jc w:val="center"/>
              <w:rPr>
                <w:lang w:eastAsia="zh-CN"/>
              </w:rPr>
            </w:pPr>
          </w:p>
        </w:tc>
      </w:tr>
      <w:tr w:rsidR="0031628C" w:rsidRPr="00B91EE1" w14:paraId="24744708" w14:textId="77777777" w:rsidTr="006120E0">
        <w:trPr>
          <w:jc w:val="center"/>
        </w:trPr>
        <w:tc>
          <w:tcPr>
            <w:tcW w:w="4044" w:type="dxa"/>
            <w:tcBorders>
              <w:top w:val="single" w:sz="4" w:space="0" w:color="auto"/>
              <w:left w:val="single" w:sz="4" w:space="0" w:color="auto"/>
              <w:bottom w:val="single" w:sz="4" w:space="0" w:color="auto"/>
              <w:right w:val="single" w:sz="4" w:space="0" w:color="auto"/>
            </w:tcBorders>
            <w:vAlign w:val="center"/>
            <w:hideMark/>
          </w:tcPr>
          <w:p w14:paraId="27A32EEE" w14:textId="0A1BF5DA" w:rsidR="0031628C" w:rsidRPr="00B91EE1" w:rsidRDefault="0031628C" w:rsidP="004522B1">
            <w:pPr>
              <w:pStyle w:val="Tabletext"/>
              <w:keepNext/>
              <w:keepLines/>
              <w:jc w:val="center"/>
              <w:rPr>
                <w:lang w:eastAsia="zh-CN"/>
              </w:rPr>
            </w:pPr>
            <w:bookmarkStart w:id="119" w:name="lt_pId588"/>
            <w:r w:rsidRPr="00B91EE1">
              <w:rPr>
                <w:lang w:eastAsia="zh-CN"/>
              </w:rPr>
              <w:t>Liste V (Nomenclature des stations de navire et des identités du service mobile maritime assignées)</w:t>
            </w:r>
            <w:bookmarkEnd w:id="119"/>
          </w:p>
        </w:tc>
        <w:tc>
          <w:tcPr>
            <w:tcW w:w="1440" w:type="dxa"/>
            <w:tcBorders>
              <w:top w:val="single" w:sz="4" w:space="0" w:color="auto"/>
              <w:left w:val="single" w:sz="4" w:space="0" w:color="auto"/>
              <w:bottom w:val="single" w:sz="4" w:space="0" w:color="auto"/>
              <w:right w:val="single" w:sz="4" w:space="0" w:color="auto"/>
            </w:tcBorders>
            <w:vAlign w:val="center"/>
            <w:hideMark/>
          </w:tcPr>
          <w:p w14:paraId="3A4C24DF" w14:textId="77777777" w:rsidR="0031628C" w:rsidRPr="00B91EE1" w:rsidRDefault="0031628C" w:rsidP="004522B1">
            <w:pPr>
              <w:pStyle w:val="Tabletext"/>
              <w:keepNext/>
              <w:keepLines/>
              <w:jc w:val="center"/>
              <w:rPr>
                <w:lang w:eastAsia="zh-CN"/>
              </w:rPr>
            </w:pPr>
            <w:bookmarkStart w:id="120" w:name="lt_pId591"/>
            <w:r w:rsidRPr="00B91EE1">
              <w:rPr>
                <w:lang w:eastAsia="zh-CN"/>
              </w:rPr>
              <w:t>Édition de 201</w:t>
            </w:r>
            <w:bookmarkEnd w:id="120"/>
            <w:r w:rsidRPr="00B91EE1">
              <w:rPr>
                <w:lang w:eastAsia="zh-CN"/>
              </w:rPr>
              <w:t>9</w:t>
            </w:r>
            <w:r w:rsidRPr="00B91EE1">
              <w:rPr>
                <w:lang w:eastAsia="zh-CN"/>
              </w:rPr>
              <w:br/>
            </w:r>
            <w:bookmarkStart w:id="121" w:name="lt_pId592"/>
            <w:r w:rsidRPr="00B91EE1">
              <w:rPr>
                <w:lang w:eastAsia="zh-CN"/>
              </w:rPr>
              <w:t>(avril)</w:t>
            </w:r>
            <w:bookmarkEnd w:id="121"/>
          </w:p>
        </w:tc>
        <w:tc>
          <w:tcPr>
            <w:tcW w:w="1313" w:type="dxa"/>
            <w:tcBorders>
              <w:top w:val="single" w:sz="4" w:space="0" w:color="auto"/>
              <w:left w:val="single" w:sz="4" w:space="0" w:color="auto"/>
              <w:bottom w:val="single" w:sz="4" w:space="0" w:color="auto"/>
              <w:right w:val="single" w:sz="4" w:space="0" w:color="auto"/>
            </w:tcBorders>
            <w:vAlign w:val="center"/>
            <w:hideMark/>
          </w:tcPr>
          <w:p w14:paraId="162F52A2" w14:textId="77777777" w:rsidR="0031628C" w:rsidRPr="00B91EE1" w:rsidRDefault="0031628C" w:rsidP="004522B1">
            <w:pPr>
              <w:pStyle w:val="Tabletext"/>
              <w:keepNext/>
              <w:keepLines/>
              <w:jc w:val="center"/>
              <w:rPr>
                <w:lang w:eastAsia="zh-CN"/>
              </w:rPr>
            </w:pPr>
            <w:bookmarkStart w:id="122" w:name="lt_pId593"/>
            <w:r w:rsidRPr="00B91EE1">
              <w:rPr>
                <w:lang w:eastAsia="zh-CN"/>
              </w:rPr>
              <w:t>Édition de 20</w:t>
            </w:r>
            <w:bookmarkEnd w:id="122"/>
            <w:r w:rsidRPr="00B91EE1">
              <w:rPr>
                <w:lang w:eastAsia="zh-CN"/>
              </w:rPr>
              <w:t>20</w:t>
            </w:r>
            <w:r w:rsidRPr="00B91EE1">
              <w:rPr>
                <w:lang w:eastAsia="zh-CN"/>
              </w:rPr>
              <w:br/>
            </w:r>
            <w:bookmarkStart w:id="123" w:name="lt_pId594"/>
            <w:r w:rsidRPr="00B91EE1">
              <w:rPr>
                <w:lang w:eastAsia="zh-CN"/>
              </w:rPr>
              <w:t>(avril)</w:t>
            </w:r>
            <w:bookmarkEnd w:id="123"/>
          </w:p>
        </w:tc>
        <w:tc>
          <w:tcPr>
            <w:tcW w:w="1349" w:type="dxa"/>
            <w:tcBorders>
              <w:top w:val="single" w:sz="4" w:space="0" w:color="auto"/>
              <w:left w:val="single" w:sz="4" w:space="0" w:color="auto"/>
              <w:bottom w:val="single" w:sz="4" w:space="0" w:color="auto"/>
              <w:right w:val="single" w:sz="4" w:space="0" w:color="auto"/>
            </w:tcBorders>
            <w:vAlign w:val="center"/>
            <w:hideMark/>
          </w:tcPr>
          <w:p w14:paraId="3081DF9A" w14:textId="77777777" w:rsidR="0031628C" w:rsidRPr="00B91EE1" w:rsidRDefault="0031628C" w:rsidP="004522B1">
            <w:pPr>
              <w:pStyle w:val="Tabletext"/>
              <w:keepNext/>
              <w:keepLines/>
              <w:jc w:val="center"/>
              <w:rPr>
                <w:lang w:eastAsia="zh-CN"/>
              </w:rPr>
            </w:pPr>
            <w:bookmarkStart w:id="124" w:name="lt_pId595"/>
            <w:r w:rsidRPr="00B91EE1">
              <w:rPr>
                <w:lang w:eastAsia="zh-CN"/>
              </w:rPr>
              <w:t>Édition de 20</w:t>
            </w:r>
            <w:bookmarkEnd w:id="124"/>
            <w:r w:rsidRPr="00B91EE1">
              <w:rPr>
                <w:lang w:eastAsia="zh-CN"/>
              </w:rPr>
              <w:t>21</w:t>
            </w:r>
            <w:r w:rsidRPr="00B91EE1">
              <w:rPr>
                <w:lang w:eastAsia="zh-CN"/>
              </w:rPr>
              <w:br/>
            </w:r>
            <w:bookmarkStart w:id="125" w:name="lt_pId596"/>
            <w:r w:rsidRPr="00B91EE1">
              <w:rPr>
                <w:lang w:eastAsia="zh-CN"/>
              </w:rPr>
              <w:t>(avril)</w:t>
            </w:r>
            <w:bookmarkEnd w:id="125"/>
          </w:p>
        </w:tc>
        <w:tc>
          <w:tcPr>
            <w:tcW w:w="1349" w:type="dxa"/>
            <w:tcBorders>
              <w:top w:val="single" w:sz="4" w:space="0" w:color="auto"/>
              <w:left w:val="single" w:sz="4" w:space="0" w:color="auto"/>
              <w:bottom w:val="single" w:sz="4" w:space="0" w:color="auto"/>
              <w:right w:val="single" w:sz="4" w:space="0" w:color="auto"/>
            </w:tcBorders>
            <w:vAlign w:val="center"/>
            <w:hideMark/>
          </w:tcPr>
          <w:p w14:paraId="016BED1E" w14:textId="77777777" w:rsidR="0031628C" w:rsidRPr="00B91EE1" w:rsidRDefault="0031628C" w:rsidP="004522B1">
            <w:pPr>
              <w:pStyle w:val="Tabletext"/>
              <w:keepNext/>
              <w:keepLines/>
              <w:jc w:val="center"/>
              <w:rPr>
                <w:lang w:eastAsia="zh-CN"/>
              </w:rPr>
            </w:pPr>
            <w:r w:rsidRPr="00B91EE1">
              <w:rPr>
                <w:lang w:eastAsia="zh-CN"/>
              </w:rPr>
              <w:t>Édition de 2022</w:t>
            </w:r>
            <w:r w:rsidRPr="00B91EE1">
              <w:rPr>
                <w:lang w:eastAsia="zh-CN"/>
              </w:rPr>
              <w:br/>
              <w:t>(avril)</w:t>
            </w:r>
          </w:p>
        </w:tc>
      </w:tr>
      <w:tr w:rsidR="0031628C" w:rsidRPr="00B91EE1" w14:paraId="2F2D33C0" w14:textId="77777777" w:rsidTr="006120E0">
        <w:trPr>
          <w:jc w:val="center"/>
        </w:trPr>
        <w:tc>
          <w:tcPr>
            <w:tcW w:w="4044" w:type="dxa"/>
            <w:tcBorders>
              <w:top w:val="single" w:sz="4" w:space="0" w:color="auto"/>
              <w:left w:val="single" w:sz="4" w:space="0" w:color="auto"/>
              <w:bottom w:val="single" w:sz="4" w:space="0" w:color="auto"/>
              <w:right w:val="single" w:sz="4" w:space="0" w:color="auto"/>
            </w:tcBorders>
            <w:vAlign w:val="center"/>
            <w:hideMark/>
          </w:tcPr>
          <w:p w14:paraId="1BD5BB0D" w14:textId="2C4F9366" w:rsidR="0031628C" w:rsidRPr="00B91EE1" w:rsidRDefault="0031628C" w:rsidP="004522B1">
            <w:pPr>
              <w:pStyle w:val="Tabletext"/>
              <w:keepNext/>
              <w:keepLines/>
              <w:jc w:val="center"/>
              <w:rPr>
                <w:lang w:eastAsia="zh-CN"/>
              </w:rPr>
            </w:pPr>
            <w:bookmarkStart w:id="126" w:name="lt_pId597"/>
            <w:r w:rsidRPr="00B91EE1">
              <w:rPr>
                <w:lang w:eastAsia="zh-CN"/>
              </w:rPr>
              <w:t>Liste VIII (Nomenclature des stations de contrôle international des émissions)</w:t>
            </w:r>
            <w:bookmarkEnd w:id="126"/>
          </w:p>
        </w:tc>
        <w:tc>
          <w:tcPr>
            <w:tcW w:w="1440" w:type="dxa"/>
            <w:tcBorders>
              <w:top w:val="single" w:sz="4" w:space="0" w:color="auto"/>
              <w:left w:val="single" w:sz="4" w:space="0" w:color="auto"/>
              <w:bottom w:val="single" w:sz="4" w:space="0" w:color="auto"/>
              <w:right w:val="single" w:sz="4" w:space="0" w:color="auto"/>
            </w:tcBorders>
            <w:vAlign w:val="center"/>
          </w:tcPr>
          <w:p w14:paraId="7175A917" w14:textId="77777777" w:rsidR="0031628C" w:rsidRPr="00B91EE1" w:rsidRDefault="0031628C" w:rsidP="004522B1">
            <w:pPr>
              <w:pStyle w:val="Tabletext"/>
              <w:keepNext/>
              <w:keepLines/>
              <w:jc w:val="center"/>
              <w:rPr>
                <w:lang w:eastAsia="zh-CN"/>
              </w:rPr>
            </w:pPr>
            <w:bookmarkStart w:id="127" w:name="lt_pId600"/>
            <w:r w:rsidRPr="00B91EE1">
              <w:rPr>
                <w:lang w:eastAsia="zh-CN"/>
              </w:rPr>
              <w:t>Édition de 2019</w:t>
            </w:r>
            <w:bookmarkEnd w:id="127"/>
            <w:r w:rsidRPr="00B91EE1">
              <w:rPr>
                <w:lang w:eastAsia="zh-CN"/>
              </w:rPr>
              <w:br/>
            </w:r>
            <w:bookmarkStart w:id="128" w:name="lt_pId601"/>
            <w:r w:rsidRPr="00B91EE1">
              <w:rPr>
                <w:lang w:eastAsia="zh-CN"/>
              </w:rPr>
              <w:t>(décembre)</w:t>
            </w:r>
            <w:bookmarkEnd w:id="128"/>
          </w:p>
        </w:tc>
        <w:tc>
          <w:tcPr>
            <w:tcW w:w="1313" w:type="dxa"/>
            <w:tcBorders>
              <w:top w:val="single" w:sz="4" w:space="0" w:color="auto"/>
              <w:left w:val="single" w:sz="4" w:space="0" w:color="auto"/>
              <w:bottom w:val="single" w:sz="4" w:space="0" w:color="auto"/>
              <w:right w:val="single" w:sz="4" w:space="0" w:color="auto"/>
            </w:tcBorders>
            <w:vAlign w:val="center"/>
            <w:hideMark/>
          </w:tcPr>
          <w:p w14:paraId="49E4C4DD" w14:textId="77777777" w:rsidR="0031628C" w:rsidRPr="00B91EE1" w:rsidRDefault="0031628C" w:rsidP="004522B1">
            <w:pPr>
              <w:pStyle w:val="Tabletext"/>
              <w:keepNext/>
              <w:keepLines/>
              <w:jc w:val="center"/>
              <w:rPr>
                <w:lang w:eastAsia="zh-CN"/>
              </w:rPr>
            </w:pPr>
          </w:p>
        </w:tc>
        <w:tc>
          <w:tcPr>
            <w:tcW w:w="1349" w:type="dxa"/>
            <w:tcBorders>
              <w:top w:val="single" w:sz="4" w:space="0" w:color="auto"/>
              <w:left w:val="single" w:sz="4" w:space="0" w:color="auto"/>
              <w:bottom w:val="single" w:sz="4" w:space="0" w:color="auto"/>
              <w:right w:val="single" w:sz="4" w:space="0" w:color="auto"/>
            </w:tcBorders>
            <w:vAlign w:val="center"/>
          </w:tcPr>
          <w:p w14:paraId="68612AEC" w14:textId="77777777" w:rsidR="0031628C" w:rsidRPr="00B91EE1" w:rsidRDefault="0031628C" w:rsidP="004522B1">
            <w:pPr>
              <w:pStyle w:val="Tabletext"/>
              <w:keepNext/>
              <w:keepLines/>
              <w:jc w:val="center"/>
              <w:rPr>
                <w:lang w:eastAsia="zh-CN"/>
              </w:rPr>
            </w:pPr>
          </w:p>
        </w:tc>
        <w:tc>
          <w:tcPr>
            <w:tcW w:w="1349" w:type="dxa"/>
            <w:tcBorders>
              <w:top w:val="single" w:sz="4" w:space="0" w:color="auto"/>
              <w:left w:val="single" w:sz="4" w:space="0" w:color="auto"/>
              <w:bottom w:val="single" w:sz="4" w:space="0" w:color="auto"/>
              <w:right w:val="single" w:sz="4" w:space="0" w:color="auto"/>
            </w:tcBorders>
            <w:vAlign w:val="center"/>
          </w:tcPr>
          <w:p w14:paraId="72B89B5D" w14:textId="77777777" w:rsidR="0031628C" w:rsidRPr="00B91EE1" w:rsidRDefault="0031628C" w:rsidP="004522B1">
            <w:pPr>
              <w:pStyle w:val="Tabletext"/>
              <w:keepNext/>
              <w:keepLines/>
              <w:jc w:val="center"/>
              <w:rPr>
                <w:lang w:eastAsia="zh-CN"/>
              </w:rPr>
            </w:pPr>
            <w:r w:rsidRPr="00B91EE1">
              <w:rPr>
                <w:lang w:eastAsia="zh-CN"/>
              </w:rPr>
              <w:t>Édition de 2022</w:t>
            </w:r>
            <w:r w:rsidRPr="00B91EE1">
              <w:rPr>
                <w:lang w:eastAsia="zh-CN"/>
              </w:rPr>
              <w:br/>
              <w:t>(décembre)</w:t>
            </w:r>
          </w:p>
        </w:tc>
      </w:tr>
      <w:tr w:rsidR="0031628C" w:rsidRPr="00B91EE1" w14:paraId="0A1A6AB2" w14:textId="77777777" w:rsidTr="006120E0">
        <w:trPr>
          <w:jc w:val="center"/>
        </w:trPr>
        <w:tc>
          <w:tcPr>
            <w:tcW w:w="4044" w:type="dxa"/>
            <w:tcBorders>
              <w:top w:val="single" w:sz="4" w:space="0" w:color="auto"/>
              <w:left w:val="single" w:sz="4" w:space="0" w:color="auto"/>
              <w:bottom w:val="single" w:sz="4" w:space="0" w:color="auto"/>
              <w:right w:val="single" w:sz="4" w:space="0" w:color="auto"/>
            </w:tcBorders>
            <w:vAlign w:val="center"/>
            <w:hideMark/>
          </w:tcPr>
          <w:p w14:paraId="7427150E" w14:textId="00B97711" w:rsidR="0031628C" w:rsidRPr="00B91EE1" w:rsidRDefault="0031628C" w:rsidP="004522B1">
            <w:pPr>
              <w:pStyle w:val="Tabletext"/>
              <w:keepNext/>
              <w:keepLines/>
              <w:jc w:val="center"/>
              <w:rPr>
                <w:lang w:eastAsia="zh-CN"/>
              </w:rPr>
            </w:pPr>
            <w:bookmarkStart w:id="129" w:name="lt_pId602"/>
            <w:r w:rsidRPr="00B91EE1">
              <w:rPr>
                <w:lang w:eastAsia="zh-CN"/>
              </w:rPr>
              <w:t>Manuel sur le service maritime</w:t>
            </w:r>
            <w:bookmarkEnd w:id="129"/>
          </w:p>
        </w:tc>
        <w:tc>
          <w:tcPr>
            <w:tcW w:w="1440" w:type="dxa"/>
            <w:tcBorders>
              <w:top w:val="single" w:sz="4" w:space="0" w:color="auto"/>
              <w:left w:val="single" w:sz="4" w:space="0" w:color="auto"/>
              <w:bottom w:val="single" w:sz="4" w:space="0" w:color="auto"/>
              <w:right w:val="single" w:sz="4" w:space="0" w:color="auto"/>
            </w:tcBorders>
            <w:vAlign w:val="center"/>
          </w:tcPr>
          <w:p w14:paraId="1A5F9ECB" w14:textId="77777777" w:rsidR="0031628C" w:rsidRPr="00B91EE1" w:rsidRDefault="0031628C" w:rsidP="004522B1">
            <w:pPr>
              <w:pStyle w:val="Tabletext"/>
              <w:keepNext/>
              <w:keepLines/>
              <w:jc w:val="center"/>
              <w:rPr>
                <w:lang w:eastAsia="zh-CN"/>
              </w:rPr>
            </w:pPr>
          </w:p>
        </w:tc>
        <w:tc>
          <w:tcPr>
            <w:tcW w:w="1313" w:type="dxa"/>
            <w:tcBorders>
              <w:top w:val="single" w:sz="4" w:space="0" w:color="auto"/>
              <w:left w:val="single" w:sz="4" w:space="0" w:color="auto"/>
              <w:bottom w:val="single" w:sz="4" w:space="0" w:color="auto"/>
              <w:right w:val="single" w:sz="4" w:space="0" w:color="auto"/>
            </w:tcBorders>
            <w:vAlign w:val="center"/>
          </w:tcPr>
          <w:p w14:paraId="615B8A04" w14:textId="77777777" w:rsidR="0031628C" w:rsidRPr="00B91EE1" w:rsidRDefault="0031628C" w:rsidP="004522B1">
            <w:pPr>
              <w:pStyle w:val="Tabletext"/>
              <w:keepNext/>
              <w:keepLines/>
              <w:jc w:val="center"/>
              <w:rPr>
                <w:lang w:eastAsia="zh-CN"/>
              </w:rPr>
            </w:pPr>
            <w:r w:rsidRPr="00B91EE1">
              <w:rPr>
                <w:lang w:eastAsia="zh-CN"/>
              </w:rPr>
              <w:t>Édition de 2020</w:t>
            </w:r>
            <w:r w:rsidRPr="00B91EE1">
              <w:rPr>
                <w:lang w:eastAsia="zh-CN"/>
              </w:rPr>
              <w:br/>
              <w:t>(novembre)</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FCAA51B" w14:textId="77777777" w:rsidR="0031628C" w:rsidRPr="00B91EE1" w:rsidRDefault="0031628C" w:rsidP="004522B1">
            <w:pPr>
              <w:pStyle w:val="Tabletext"/>
              <w:keepNext/>
              <w:keepLines/>
              <w:jc w:val="center"/>
              <w:rPr>
                <w:lang w:eastAsia="zh-CN"/>
              </w:rPr>
            </w:pPr>
          </w:p>
        </w:tc>
        <w:tc>
          <w:tcPr>
            <w:tcW w:w="1349" w:type="dxa"/>
            <w:tcBorders>
              <w:top w:val="single" w:sz="4" w:space="0" w:color="auto"/>
              <w:left w:val="single" w:sz="4" w:space="0" w:color="auto"/>
              <w:bottom w:val="single" w:sz="4" w:space="0" w:color="auto"/>
              <w:right w:val="single" w:sz="4" w:space="0" w:color="auto"/>
            </w:tcBorders>
            <w:vAlign w:val="center"/>
          </w:tcPr>
          <w:p w14:paraId="6C2CB4A1" w14:textId="77777777" w:rsidR="0031628C" w:rsidRPr="00B91EE1" w:rsidRDefault="0031628C" w:rsidP="004522B1">
            <w:pPr>
              <w:pStyle w:val="Tabletext"/>
              <w:keepNext/>
              <w:keepLines/>
              <w:jc w:val="center"/>
              <w:rPr>
                <w:lang w:eastAsia="zh-CN"/>
              </w:rPr>
            </w:pPr>
          </w:p>
        </w:tc>
      </w:tr>
    </w:tbl>
    <w:p w14:paraId="327BD8DA" w14:textId="12715976" w:rsidR="0031628C" w:rsidRPr="00B91EE1" w:rsidRDefault="0031628C" w:rsidP="004522B1">
      <w:pPr>
        <w:pStyle w:val="Heading3"/>
      </w:pPr>
      <w:r w:rsidRPr="00B91EE1">
        <w:t>8.1.3</w:t>
      </w:r>
      <w:r w:rsidRPr="00B91EE1">
        <w:tab/>
      </w:r>
      <w:bookmarkStart w:id="130" w:name="lt_pId606"/>
      <w:r w:rsidRPr="00B91EE1">
        <w:t>Publications des commissions d</w:t>
      </w:r>
      <w:r w:rsidR="00392F9A" w:rsidRPr="00B91EE1">
        <w:t>'</w:t>
      </w:r>
      <w:r w:rsidRPr="00B91EE1">
        <w:t>études</w:t>
      </w:r>
      <w:bookmarkEnd w:id="130"/>
    </w:p>
    <w:p w14:paraId="543AE0C9" w14:textId="3F9C5C8C" w:rsidR="0031628C" w:rsidRPr="00B91EE1" w:rsidRDefault="0031628C" w:rsidP="004522B1">
      <w:bookmarkStart w:id="131" w:name="lt_pId607"/>
      <w:r w:rsidRPr="00B91EE1">
        <w:t>Depuis la réunion de 2022 du GCR, l</w:t>
      </w:r>
      <w:r w:rsidR="00392F9A" w:rsidRPr="00B91EE1">
        <w:t>'</w:t>
      </w:r>
      <w:r w:rsidRPr="00B91EE1">
        <w:t>élaboration des publications des Commissions d</w:t>
      </w:r>
      <w:r w:rsidR="00392F9A" w:rsidRPr="00B91EE1">
        <w:t>'</w:t>
      </w:r>
      <w:r w:rsidRPr="00B91EE1">
        <w:t>études de l</w:t>
      </w:r>
      <w:r w:rsidR="00392F9A" w:rsidRPr="00B91EE1">
        <w:t>'</w:t>
      </w:r>
      <w:r w:rsidRPr="00B91EE1">
        <w:t>UIT-R s</w:t>
      </w:r>
      <w:r w:rsidR="00392F9A" w:rsidRPr="00B91EE1">
        <w:t>'</w:t>
      </w:r>
      <w:r w:rsidRPr="00B91EE1">
        <w:t>est poursuivie conformément à la Résolution UIT</w:t>
      </w:r>
      <w:r w:rsidRPr="00B91EE1">
        <w:noBreakHyphen/>
        <w:t>R 1-8.</w:t>
      </w:r>
      <w:bookmarkEnd w:id="131"/>
    </w:p>
    <w:p w14:paraId="71CE64B2" w14:textId="3DA26130" w:rsidR="0031628C" w:rsidRPr="00B91EE1" w:rsidRDefault="0031628C" w:rsidP="004522B1">
      <w:r w:rsidRPr="00B91EE1">
        <w:t>La liste complète des Questions, des Recommandations et des Rapports de l</w:t>
      </w:r>
      <w:r w:rsidR="00392F9A" w:rsidRPr="00B91EE1">
        <w:t>'</w:t>
      </w:r>
      <w:r w:rsidRPr="00B91EE1">
        <w:t>UIT-R approuvés depuis la réunion de 2022 du GCR est reproduite dans l</w:t>
      </w:r>
      <w:r w:rsidR="00392F9A" w:rsidRPr="00B91EE1">
        <w:t>'</w:t>
      </w:r>
      <w:r w:rsidRPr="00B91EE1">
        <w:t>Addendum 1 au présent document.</w:t>
      </w:r>
    </w:p>
    <w:p w14:paraId="15F9ED2A" w14:textId="0E539208" w:rsidR="0031628C" w:rsidRPr="00B91EE1" w:rsidRDefault="0031628C" w:rsidP="004522B1">
      <w:pPr>
        <w:pStyle w:val="Heading3"/>
      </w:pPr>
      <w:r w:rsidRPr="00B91EE1">
        <w:t>8.1.4</w:t>
      </w:r>
      <w:r w:rsidRPr="00B91EE1">
        <w:tab/>
      </w:r>
      <w:bookmarkStart w:id="132" w:name="lt_pId760"/>
      <w:r w:rsidRPr="00B91EE1">
        <w:t>Téléchargement des publications de l</w:t>
      </w:r>
      <w:r w:rsidR="00392F9A" w:rsidRPr="00B91EE1">
        <w:t>'</w:t>
      </w:r>
      <w:r w:rsidRPr="00B91EE1">
        <w:t>UIT-R</w:t>
      </w:r>
      <w:bookmarkEnd w:id="132"/>
    </w:p>
    <w:p w14:paraId="300C1856" w14:textId="7CB6A764" w:rsidR="0031628C" w:rsidRPr="00B91EE1" w:rsidRDefault="0031628C" w:rsidP="004522B1">
      <w:pPr>
        <w:pStyle w:val="Heading4"/>
      </w:pPr>
      <w:r w:rsidRPr="00B91EE1">
        <w:t>8.1.4.1</w:t>
      </w:r>
      <w:bookmarkStart w:id="133" w:name="lt_pId762"/>
      <w:r w:rsidRPr="00B91EE1">
        <w:tab/>
        <w:t>Règlement des radiocommunications et Règles de procédure</w:t>
      </w:r>
      <w:bookmarkEnd w:id="133"/>
    </w:p>
    <w:p w14:paraId="5B0E57EF" w14:textId="19E6959F" w:rsidR="0031628C" w:rsidRPr="00B91EE1" w:rsidRDefault="0031628C" w:rsidP="004522B1">
      <w:bookmarkStart w:id="134" w:name="lt_pId763"/>
      <w:r w:rsidRPr="00B91EE1">
        <w:t>En ce qui concerne ces documents réglementaires, on trouvera dans le Tableau 8.1.4.1-1 le nombre de livraisons des éditions de 2016 et de 2020 du RR.</w:t>
      </w:r>
      <w:bookmarkEnd w:id="134"/>
      <w:r w:rsidRPr="00B91EE1">
        <w:t xml:space="preserve"> Suite à une demande formulée à la réunion de 2021 du GCR, les versions pdf et Word de l</w:t>
      </w:r>
      <w:r w:rsidR="00392F9A" w:rsidRPr="00B91EE1">
        <w:t>'</w:t>
      </w:r>
      <w:r w:rsidRPr="00B91EE1">
        <w:t>édition de 2020 du RR sont accessibles en téléchargement gratuit sur le site web de l</w:t>
      </w:r>
      <w:r w:rsidR="00392F9A" w:rsidRPr="00B91EE1">
        <w:t>'</w:t>
      </w:r>
      <w:r w:rsidRPr="00B91EE1">
        <w:t xml:space="preserve">UIT </w:t>
      </w:r>
      <w:hyperlink r:id="rId23" w:history="1">
        <w:r w:rsidRPr="00B91EE1">
          <w:rPr>
            <w:rStyle w:val="Hyperlink"/>
          </w:rPr>
          <w:t>ici</w:t>
        </w:r>
      </w:hyperlink>
      <w:r w:rsidRPr="00B91EE1">
        <w:t xml:space="preserve">, les versions Word étant également accessibles en téléchargement gratuit </w:t>
      </w:r>
      <w:hyperlink r:id="rId24" w:history="1">
        <w:r w:rsidRPr="00B91EE1">
          <w:rPr>
            <w:rStyle w:val="Hyperlink"/>
          </w:rPr>
          <w:t>ici</w:t>
        </w:r>
      </w:hyperlink>
      <w:r w:rsidRPr="00B91EE1">
        <w:t>. On trouvera dans le Tableau 8.1.4.1-2 le nombre total de téléchargements des Règles de procédure pendant la même période. L</w:t>
      </w:r>
      <w:r w:rsidR="00392F9A" w:rsidRPr="00B91EE1">
        <w:t>'</w:t>
      </w:r>
      <w:r w:rsidRPr="00B91EE1">
        <w:t>édition de 2021 des Règles de procédure, qui tient compte des décisions de la CMR-19, a été publiée en juin 2021. Cette édition a ultérieurement fait l</w:t>
      </w:r>
      <w:r w:rsidR="00392F9A" w:rsidRPr="00B91EE1">
        <w:t>'</w:t>
      </w:r>
      <w:r w:rsidRPr="00B91EE1">
        <w:t>objet de deux mises à jour pour tenir compte des Règles de procédure nouvelles ou modifiées qui ont été approuvées par le Comité du Règlement des radiocommunications.</w:t>
      </w:r>
    </w:p>
    <w:p w14:paraId="50504A9C" w14:textId="77777777" w:rsidR="0031628C" w:rsidRPr="00B91EE1" w:rsidRDefault="0031628C" w:rsidP="004522B1">
      <w:pPr>
        <w:tabs>
          <w:tab w:val="clear" w:pos="794"/>
          <w:tab w:val="clear" w:pos="1191"/>
          <w:tab w:val="clear" w:pos="1588"/>
          <w:tab w:val="clear" w:pos="1985"/>
        </w:tabs>
        <w:overflowPunct/>
        <w:autoSpaceDE/>
        <w:autoSpaceDN/>
        <w:adjustRightInd/>
        <w:spacing w:before="0"/>
        <w:textAlignment w:val="auto"/>
      </w:pPr>
      <w:r w:rsidRPr="00B91EE1">
        <w:br w:type="page"/>
      </w:r>
    </w:p>
    <w:p w14:paraId="334B13E5" w14:textId="77777777" w:rsidR="0031628C" w:rsidRPr="00B91EE1" w:rsidRDefault="0031628C" w:rsidP="004522B1">
      <w:pPr>
        <w:pStyle w:val="TableNoBR"/>
        <w:rPr>
          <w:rFonts w:eastAsiaTheme="minorEastAsia"/>
        </w:rPr>
      </w:pPr>
      <w:bookmarkStart w:id="135" w:name="lt_pId765"/>
      <w:bookmarkStart w:id="136" w:name="_Hlk65231203"/>
      <w:r w:rsidRPr="00B91EE1">
        <w:rPr>
          <w:rFonts w:eastAsiaTheme="minorEastAsia"/>
        </w:rPr>
        <w:lastRenderedPageBreak/>
        <w:t>Tableau 8.1.4.1-1</w:t>
      </w:r>
      <w:bookmarkEnd w:id="135"/>
    </w:p>
    <w:p w14:paraId="62470E22" w14:textId="77777777" w:rsidR="0031628C" w:rsidRPr="00B91EE1" w:rsidRDefault="0031628C" w:rsidP="004522B1">
      <w:pPr>
        <w:pStyle w:val="TabletitleBR"/>
      </w:pPr>
      <w:bookmarkStart w:id="137" w:name="lt_pId766"/>
      <w:r w:rsidRPr="00B91EE1">
        <w:t>Nombre de livraisons du Règlement des radiocommunications</w:t>
      </w:r>
      <w:bookmarkEnd w:id="136"/>
      <w:bookmarkEnd w:id="137"/>
    </w:p>
    <w:tbl>
      <w:tblPr>
        <w:tblStyle w:val="GridTable5Dark-Accent11"/>
        <w:tblW w:w="9629" w:type="dxa"/>
        <w:jc w:val="center"/>
        <w:tblLook w:val="04A0" w:firstRow="1" w:lastRow="0" w:firstColumn="1" w:lastColumn="0" w:noHBand="0" w:noVBand="1"/>
      </w:tblPr>
      <w:tblGrid>
        <w:gridCol w:w="2386"/>
        <w:gridCol w:w="1409"/>
        <w:gridCol w:w="2296"/>
        <w:gridCol w:w="1134"/>
        <w:gridCol w:w="2404"/>
      </w:tblGrid>
      <w:tr w:rsidR="0031628C" w:rsidRPr="00B91EE1" w14:paraId="415B42FF" w14:textId="77777777" w:rsidTr="006120E0">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386" w:type="dxa"/>
            <w:tcBorders>
              <w:bottom w:val="single" w:sz="4" w:space="0" w:color="FFFFFF" w:themeColor="background1"/>
            </w:tcBorders>
            <w:vAlign w:val="center"/>
            <w:hideMark/>
          </w:tcPr>
          <w:p w14:paraId="5AF6154D" w14:textId="77777777" w:rsidR="0031628C" w:rsidRPr="00B91EE1" w:rsidRDefault="0031628C" w:rsidP="004522B1">
            <w:pPr>
              <w:pStyle w:val="Tablehead"/>
              <w:rPr>
                <w:b/>
                <w:bCs w:val="0"/>
                <w:lang w:eastAsia="zh-CN"/>
              </w:rPr>
            </w:pPr>
            <w:bookmarkStart w:id="138" w:name="lt_pId767"/>
            <w:r w:rsidRPr="00B91EE1">
              <w:rPr>
                <w:b/>
                <w:bCs w:val="0"/>
                <w:lang w:eastAsia="zh-CN"/>
              </w:rPr>
              <w:t>RR-16</w:t>
            </w:r>
            <w:bookmarkEnd w:id="138"/>
          </w:p>
        </w:tc>
        <w:tc>
          <w:tcPr>
            <w:tcW w:w="1409" w:type="dxa"/>
            <w:tcBorders>
              <w:bottom w:val="single" w:sz="4" w:space="0" w:color="FFFFFF" w:themeColor="background1"/>
            </w:tcBorders>
            <w:vAlign w:val="center"/>
            <w:hideMark/>
          </w:tcPr>
          <w:p w14:paraId="2D9C1AD8"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2019</w:t>
            </w:r>
          </w:p>
        </w:tc>
        <w:tc>
          <w:tcPr>
            <w:tcW w:w="2296" w:type="dxa"/>
            <w:tcBorders>
              <w:bottom w:val="single" w:sz="4" w:space="0" w:color="FFFFFF" w:themeColor="background1"/>
            </w:tcBorders>
            <w:vAlign w:val="center"/>
            <w:hideMark/>
          </w:tcPr>
          <w:p w14:paraId="58BE8B36"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color w:val="FFFFFF"/>
                <w:lang w:eastAsia="zh-CN"/>
              </w:rPr>
              <w:t>2020</w:t>
            </w:r>
            <w:r w:rsidRPr="00B91EE1">
              <w:rPr>
                <w:b/>
                <w:bCs w:val="0"/>
                <w:color w:val="FFFFFF"/>
                <w:lang w:eastAsia="zh-CN"/>
              </w:rPr>
              <w:br/>
              <w:t>(éd. de 2016 et de 2020)</w:t>
            </w:r>
          </w:p>
        </w:tc>
        <w:tc>
          <w:tcPr>
            <w:tcW w:w="1134" w:type="dxa"/>
            <w:tcBorders>
              <w:bottom w:val="single" w:sz="4" w:space="0" w:color="FFFFFF" w:themeColor="background1"/>
            </w:tcBorders>
            <w:vAlign w:val="center"/>
            <w:hideMark/>
          </w:tcPr>
          <w:p w14:paraId="20EF800B"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color w:val="FFFFFF"/>
                <w:lang w:eastAsia="zh-CN"/>
              </w:rPr>
              <w:t>2021</w:t>
            </w:r>
            <w:r w:rsidRPr="00B91EE1">
              <w:rPr>
                <w:b/>
                <w:bCs w:val="0"/>
                <w:color w:val="FFFFFF"/>
                <w:lang w:eastAsia="zh-CN"/>
              </w:rPr>
              <w:br/>
              <w:t>RR-20</w:t>
            </w:r>
          </w:p>
        </w:tc>
        <w:tc>
          <w:tcPr>
            <w:tcW w:w="2404" w:type="dxa"/>
            <w:tcBorders>
              <w:bottom w:val="single" w:sz="4" w:space="0" w:color="FFFFFF" w:themeColor="background1"/>
            </w:tcBorders>
            <w:vAlign w:val="center"/>
            <w:hideMark/>
          </w:tcPr>
          <w:p w14:paraId="1F0FEF47"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color w:val="FFFFFF"/>
                <w:lang w:eastAsia="zh-CN"/>
              </w:rPr>
            </w:pPr>
            <w:r w:rsidRPr="00B91EE1">
              <w:rPr>
                <w:b/>
                <w:bCs w:val="0"/>
                <w:color w:val="FFFFFF"/>
                <w:lang w:eastAsia="zh-CN"/>
              </w:rPr>
              <w:t>2022</w:t>
            </w:r>
            <w:r w:rsidRPr="00B91EE1">
              <w:rPr>
                <w:b/>
                <w:bCs w:val="0"/>
                <w:color w:val="FFFFFF"/>
                <w:lang w:eastAsia="zh-CN"/>
              </w:rPr>
              <w:br/>
              <w:t>RR-20</w:t>
            </w:r>
          </w:p>
        </w:tc>
      </w:tr>
      <w:tr w:rsidR="0031628C" w:rsidRPr="00B91EE1" w14:paraId="1737BFBD" w14:textId="77777777" w:rsidTr="006120E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FFFFFF" w:themeColor="background1"/>
              <w:bottom w:val="single" w:sz="4" w:space="0" w:color="FFFFFF" w:themeColor="background1"/>
              <w:right w:val="single" w:sz="4" w:space="0" w:color="FFFFFF" w:themeColor="background1"/>
            </w:tcBorders>
            <w:vAlign w:val="center"/>
            <w:hideMark/>
          </w:tcPr>
          <w:p w14:paraId="6526000F" w14:textId="77777777" w:rsidR="0031628C" w:rsidRPr="00B91EE1" w:rsidRDefault="0031628C" w:rsidP="004522B1">
            <w:pPr>
              <w:pStyle w:val="Tabletext"/>
              <w:jc w:val="center"/>
              <w:rPr>
                <w:lang w:eastAsia="zh-CN"/>
              </w:rPr>
            </w:pPr>
            <w:bookmarkStart w:id="139" w:name="lt_pId770"/>
            <w:r w:rsidRPr="00B91EE1">
              <w:rPr>
                <w:lang w:eastAsia="zh-CN"/>
              </w:rPr>
              <w:t>Exemplaires papier vendus</w:t>
            </w:r>
            <w:bookmarkEnd w:id="139"/>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DD2DF7"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182</w:t>
            </w: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93959DD"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Édition de 2016: 59</w:t>
            </w:r>
            <w:r w:rsidRPr="00B91EE1">
              <w:br/>
              <w:t>Édition de 2020: 1 170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83933F3"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274</w:t>
            </w:r>
          </w:p>
        </w:tc>
        <w:tc>
          <w:tcPr>
            <w:tcW w:w="2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58AC1C0"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117</w:t>
            </w:r>
          </w:p>
        </w:tc>
      </w:tr>
      <w:tr w:rsidR="0031628C" w:rsidRPr="00B91EE1" w14:paraId="15E67D43" w14:textId="77777777" w:rsidTr="006120E0">
        <w:trPr>
          <w:trHeight w:val="315"/>
          <w:jc w:val="center"/>
        </w:trPr>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FFFFFF" w:themeColor="background1"/>
              <w:bottom w:val="single" w:sz="4" w:space="0" w:color="FFFFFF" w:themeColor="background1"/>
              <w:right w:val="single" w:sz="4" w:space="0" w:color="FFFFFF" w:themeColor="background1"/>
            </w:tcBorders>
            <w:vAlign w:val="center"/>
            <w:hideMark/>
          </w:tcPr>
          <w:p w14:paraId="50C37918" w14:textId="77777777" w:rsidR="0031628C" w:rsidRPr="00B91EE1" w:rsidRDefault="0031628C" w:rsidP="004522B1">
            <w:pPr>
              <w:pStyle w:val="Tabletext"/>
              <w:jc w:val="center"/>
              <w:rPr>
                <w:lang w:eastAsia="zh-CN"/>
              </w:rPr>
            </w:pPr>
            <w:r w:rsidRPr="00B91EE1">
              <w:rPr>
                <w:lang w:eastAsia="zh-CN"/>
              </w:rPr>
              <w:t>DVD vendus</w:t>
            </w:r>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60979D6"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1 063</w:t>
            </w: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4940B10"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Édition de 2016: 482</w:t>
            </w:r>
            <w:r w:rsidRPr="00B91EE1">
              <w:br/>
              <w:t>Édition de 2020: 5 061</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E795CA0"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3 855</w:t>
            </w:r>
          </w:p>
        </w:tc>
        <w:tc>
          <w:tcPr>
            <w:tcW w:w="2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0E32A9C"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1 638</w:t>
            </w:r>
          </w:p>
        </w:tc>
      </w:tr>
      <w:tr w:rsidR="0031628C" w:rsidRPr="00B91EE1" w14:paraId="53EAF65D" w14:textId="77777777" w:rsidTr="006120E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FFFFFF" w:themeColor="background1"/>
              <w:right w:val="single" w:sz="4" w:space="0" w:color="FFFFFF" w:themeColor="background1"/>
            </w:tcBorders>
            <w:vAlign w:val="center"/>
            <w:hideMark/>
          </w:tcPr>
          <w:p w14:paraId="46603DF8" w14:textId="77777777" w:rsidR="0031628C" w:rsidRPr="00B91EE1" w:rsidRDefault="0031628C" w:rsidP="004522B1">
            <w:pPr>
              <w:pStyle w:val="Tabletext"/>
              <w:jc w:val="center"/>
              <w:rPr>
                <w:lang w:eastAsia="zh-CN"/>
              </w:rPr>
            </w:pPr>
            <w:bookmarkStart w:id="140" w:name="lt_pId773"/>
            <w:r w:rsidRPr="00B91EE1">
              <w:rPr>
                <w:lang w:eastAsia="zh-CN"/>
              </w:rPr>
              <w:t>Téléchargements gratuit</w:t>
            </w:r>
            <w:bookmarkEnd w:id="140"/>
            <w:r w:rsidRPr="00B91EE1">
              <w:rPr>
                <w:lang w:eastAsia="zh-CN"/>
              </w:rPr>
              <w:t>s</w:t>
            </w:r>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53629A2"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47 974</w:t>
            </w: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E82430"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Édition de 2016: 36 416</w:t>
            </w:r>
            <w:r w:rsidRPr="00B91EE1">
              <w:br/>
              <w:t>Édition de 2020: 4 236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C1147D"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18 092</w:t>
            </w:r>
          </w:p>
        </w:tc>
        <w:tc>
          <w:tcPr>
            <w:tcW w:w="2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F3BCB17"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13 467</w:t>
            </w:r>
          </w:p>
        </w:tc>
      </w:tr>
    </w:tbl>
    <w:p w14:paraId="547B4387" w14:textId="77777777" w:rsidR="0031628C" w:rsidRPr="00B91EE1" w:rsidRDefault="0031628C" w:rsidP="004522B1">
      <w:pPr>
        <w:pStyle w:val="TableNo"/>
        <w:rPr>
          <w:lang w:val="fr-FR"/>
        </w:rPr>
      </w:pPr>
      <w:r w:rsidRPr="00B91EE1">
        <w:rPr>
          <w:lang w:val="fr-FR"/>
        </w:rPr>
        <w:t>TABLEAU 8.1.4.1-2</w:t>
      </w:r>
    </w:p>
    <w:p w14:paraId="17DA6B49" w14:textId="77777777" w:rsidR="0031628C" w:rsidRPr="00B91EE1" w:rsidRDefault="0031628C" w:rsidP="004522B1">
      <w:pPr>
        <w:pStyle w:val="TableNotitle"/>
        <w:spacing w:before="0"/>
      </w:pPr>
      <w:r w:rsidRPr="00B91EE1">
        <w:t>Téléchargements des Règles de procédure</w:t>
      </w:r>
    </w:p>
    <w:tbl>
      <w:tblPr>
        <w:tblW w:w="9619" w:type="dxa"/>
        <w:jc w:val="center"/>
        <w:tblCellMar>
          <w:left w:w="0" w:type="dxa"/>
          <w:right w:w="0" w:type="dxa"/>
        </w:tblCellMar>
        <w:tblLook w:val="04A0" w:firstRow="1" w:lastRow="0" w:firstColumn="1" w:lastColumn="0" w:noHBand="0" w:noVBand="1"/>
      </w:tblPr>
      <w:tblGrid>
        <w:gridCol w:w="2293"/>
        <w:gridCol w:w="1370"/>
        <w:gridCol w:w="1435"/>
        <w:gridCol w:w="2318"/>
        <w:gridCol w:w="2203"/>
      </w:tblGrid>
      <w:tr w:rsidR="0031628C" w:rsidRPr="00B91EE1" w14:paraId="43933015" w14:textId="77777777" w:rsidTr="006120E0">
        <w:trPr>
          <w:trHeight w:val="525"/>
          <w:jc w:val="center"/>
        </w:trPr>
        <w:tc>
          <w:tcPr>
            <w:tcW w:w="2293" w:type="dxa"/>
            <w:tcBorders>
              <w:top w:val="single" w:sz="8" w:space="0" w:color="FFFFFF" w:themeColor="background1"/>
              <w:left w:val="single" w:sz="8" w:space="0" w:color="FFFFFF" w:themeColor="background1"/>
              <w:bottom w:val="single" w:sz="8" w:space="0" w:color="FFFFFF" w:themeColor="background1"/>
              <w:right w:val="nil"/>
            </w:tcBorders>
            <w:shd w:val="clear" w:color="auto" w:fill="4472C4"/>
            <w:tcMar>
              <w:top w:w="0" w:type="dxa"/>
              <w:left w:w="108" w:type="dxa"/>
              <w:bottom w:w="0" w:type="dxa"/>
              <w:right w:w="108" w:type="dxa"/>
            </w:tcMar>
            <w:vAlign w:val="center"/>
            <w:hideMark/>
          </w:tcPr>
          <w:p w14:paraId="31528FCF" w14:textId="77777777" w:rsidR="0031628C" w:rsidRPr="00B91EE1" w:rsidRDefault="0031628C" w:rsidP="004522B1">
            <w:pPr>
              <w:pStyle w:val="Tablehead"/>
            </w:pPr>
          </w:p>
        </w:tc>
        <w:tc>
          <w:tcPr>
            <w:tcW w:w="1370" w:type="dxa"/>
            <w:tcBorders>
              <w:top w:val="single" w:sz="8" w:space="0" w:color="FFFFFF" w:themeColor="background1"/>
              <w:left w:val="nil"/>
              <w:bottom w:val="single" w:sz="8" w:space="0" w:color="FFFFFF" w:themeColor="background1"/>
              <w:right w:val="nil"/>
            </w:tcBorders>
            <w:shd w:val="clear" w:color="auto" w:fill="4472C4"/>
            <w:tcMar>
              <w:top w:w="0" w:type="dxa"/>
              <w:left w:w="108" w:type="dxa"/>
              <w:bottom w:w="0" w:type="dxa"/>
              <w:right w:w="108" w:type="dxa"/>
            </w:tcMar>
            <w:vAlign w:val="center"/>
            <w:hideMark/>
          </w:tcPr>
          <w:p w14:paraId="4763CC32" w14:textId="77777777" w:rsidR="0031628C" w:rsidRPr="00B91EE1" w:rsidRDefault="0031628C" w:rsidP="004522B1">
            <w:pPr>
              <w:pStyle w:val="Tablehead"/>
              <w:rPr>
                <w:bCs/>
                <w:color w:val="FFFFFF"/>
                <w:sz w:val="20"/>
                <w:lang w:eastAsia="zh-CN"/>
              </w:rPr>
            </w:pPr>
            <w:r w:rsidRPr="00B91EE1">
              <w:rPr>
                <w:bCs/>
                <w:color w:val="FFFFFF"/>
                <w:sz w:val="20"/>
                <w:lang w:eastAsia="zh-CN"/>
              </w:rPr>
              <w:t>2019</w:t>
            </w:r>
          </w:p>
        </w:tc>
        <w:tc>
          <w:tcPr>
            <w:tcW w:w="1435" w:type="dxa"/>
            <w:tcBorders>
              <w:top w:val="single" w:sz="8" w:space="0" w:color="FFFFFF" w:themeColor="background1"/>
              <w:left w:val="nil"/>
              <w:bottom w:val="single" w:sz="8" w:space="0" w:color="FFFFFF" w:themeColor="background1"/>
              <w:right w:val="nil"/>
            </w:tcBorders>
            <w:shd w:val="clear" w:color="auto" w:fill="4472C4"/>
            <w:tcMar>
              <w:top w:w="0" w:type="dxa"/>
              <w:left w:w="108" w:type="dxa"/>
              <w:bottom w:w="0" w:type="dxa"/>
              <w:right w:w="108" w:type="dxa"/>
            </w:tcMar>
            <w:vAlign w:val="center"/>
            <w:hideMark/>
          </w:tcPr>
          <w:p w14:paraId="5A9D6564" w14:textId="77777777" w:rsidR="0031628C" w:rsidRPr="00B91EE1" w:rsidRDefault="0031628C" w:rsidP="004522B1">
            <w:pPr>
              <w:pStyle w:val="Tablehead"/>
              <w:rPr>
                <w:rFonts w:ascii="Calibri" w:hAnsi="Calibri" w:cs="Calibri"/>
                <w:bCs/>
                <w:color w:val="FFFFFF"/>
                <w:sz w:val="20"/>
                <w:lang w:eastAsia="zh-CN"/>
              </w:rPr>
            </w:pPr>
            <w:r w:rsidRPr="00B91EE1">
              <w:rPr>
                <w:bCs/>
                <w:color w:val="FFFFFF"/>
                <w:sz w:val="20"/>
                <w:lang w:eastAsia="zh-CN"/>
              </w:rPr>
              <w:t>2020</w:t>
            </w:r>
          </w:p>
        </w:tc>
        <w:tc>
          <w:tcPr>
            <w:tcW w:w="2318" w:type="dxa"/>
            <w:tcBorders>
              <w:top w:val="single" w:sz="8" w:space="0" w:color="FFFFFF" w:themeColor="background1"/>
              <w:left w:val="nil"/>
              <w:bottom w:val="single" w:sz="8" w:space="0" w:color="FFFFFF" w:themeColor="background1"/>
              <w:right w:val="nil"/>
            </w:tcBorders>
            <w:shd w:val="clear" w:color="auto" w:fill="4472C4"/>
            <w:tcMar>
              <w:top w:w="0" w:type="dxa"/>
              <w:left w:w="108" w:type="dxa"/>
              <w:bottom w:w="0" w:type="dxa"/>
              <w:right w:w="108" w:type="dxa"/>
            </w:tcMar>
            <w:vAlign w:val="center"/>
            <w:hideMark/>
          </w:tcPr>
          <w:p w14:paraId="63479540" w14:textId="77777777" w:rsidR="0031628C" w:rsidRPr="00B91EE1" w:rsidRDefault="0031628C" w:rsidP="004522B1">
            <w:pPr>
              <w:pStyle w:val="Tablehead"/>
              <w:rPr>
                <w:bCs/>
                <w:color w:val="FFFFFF"/>
                <w:sz w:val="20"/>
                <w:lang w:eastAsia="zh-CN"/>
              </w:rPr>
            </w:pPr>
            <w:r w:rsidRPr="00B91EE1">
              <w:rPr>
                <w:bCs/>
                <w:color w:val="FFFFFF"/>
                <w:sz w:val="20"/>
                <w:lang w:eastAsia="zh-CN"/>
              </w:rPr>
              <w:t>2021</w:t>
            </w:r>
          </w:p>
        </w:tc>
        <w:tc>
          <w:tcPr>
            <w:tcW w:w="2203" w:type="dxa"/>
            <w:tcBorders>
              <w:top w:val="single" w:sz="8" w:space="0" w:color="FFFFFF" w:themeColor="background1"/>
              <w:left w:val="nil"/>
              <w:bottom w:val="single" w:sz="8" w:space="0" w:color="FFFFFF" w:themeColor="background1"/>
              <w:right w:val="single" w:sz="8" w:space="0" w:color="FFFFFF" w:themeColor="background1"/>
            </w:tcBorders>
            <w:shd w:val="clear" w:color="auto" w:fill="4472C4"/>
            <w:vAlign w:val="center"/>
            <w:hideMark/>
          </w:tcPr>
          <w:p w14:paraId="4C35B5FB" w14:textId="77777777" w:rsidR="0031628C" w:rsidRPr="00B91EE1" w:rsidRDefault="0031628C" w:rsidP="004522B1">
            <w:pPr>
              <w:pStyle w:val="Tablehead"/>
              <w:rPr>
                <w:bCs/>
                <w:color w:val="FFFFFF"/>
                <w:sz w:val="20"/>
                <w:lang w:eastAsia="zh-CN"/>
              </w:rPr>
            </w:pPr>
            <w:r w:rsidRPr="00B91EE1">
              <w:rPr>
                <w:bCs/>
                <w:color w:val="FFFFFF"/>
                <w:sz w:val="20"/>
                <w:lang w:eastAsia="zh-CN"/>
              </w:rPr>
              <w:t>2022</w:t>
            </w:r>
          </w:p>
        </w:tc>
      </w:tr>
      <w:tr w:rsidR="0031628C" w:rsidRPr="00B91EE1" w14:paraId="375419BB" w14:textId="77777777" w:rsidTr="006120E0">
        <w:trPr>
          <w:trHeight w:val="315"/>
          <w:jc w:val="center"/>
        </w:trPr>
        <w:tc>
          <w:tcPr>
            <w:tcW w:w="229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vAlign w:val="center"/>
            <w:hideMark/>
          </w:tcPr>
          <w:p w14:paraId="00A85D90" w14:textId="77777777" w:rsidR="0031628C" w:rsidRPr="00B91EE1" w:rsidRDefault="0031628C" w:rsidP="004522B1">
            <w:pPr>
              <w:pStyle w:val="Tabletext"/>
              <w:jc w:val="center"/>
              <w:rPr>
                <w:b/>
                <w:bCs/>
                <w:color w:val="FFFFFF" w:themeColor="background1"/>
              </w:rPr>
            </w:pPr>
            <w:r w:rsidRPr="00B91EE1">
              <w:rPr>
                <w:b/>
                <w:bCs/>
                <w:color w:val="FFFFFF" w:themeColor="background1"/>
              </w:rPr>
              <w:t>Règles de procédure</w:t>
            </w:r>
          </w:p>
        </w:tc>
        <w:tc>
          <w:tcPr>
            <w:tcW w:w="137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561A1F2C" w14:textId="77777777" w:rsidR="0031628C" w:rsidRPr="00B91EE1" w:rsidRDefault="0031628C" w:rsidP="004522B1">
            <w:pPr>
              <w:pStyle w:val="Tabletext"/>
              <w:jc w:val="center"/>
            </w:pPr>
            <w:r w:rsidRPr="00B91EE1">
              <w:t>10 014</w:t>
            </w:r>
          </w:p>
        </w:tc>
        <w:tc>
          <w:tcPr>
            <w:tcW w:w="1435"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432ACE3A" w14:textId="77777777" w:rsidR="0031628C" w:rsidRPr="00B91EE1" w:rsidRDefault="0031628C" w:rsidP="004522B1">
            <w:pPr>
              <w:pStyle w:val="Tabletext"/>
              <w:jc w:val="center"/>
            </w:pPr>
            <w:r w:rsidRPr="00B91EE1">
              <w:t>10 882</w:t>
            </w:r>
          </w:p>
        </w:tc>
        <w:tc>
          <w:tcPr>
            <w:tcW w:w="2318"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5C3653F2" w14:textId="77777777" w:rsidR="0031628C" w:rsidRPr="00B91EE1" w:rsidRDefault="0031628C" w:rsidP="004522B1">
            <w:pPr>
              <w:pStyle w:val="Tabletext"/>
              <w:jc w:val="center"/>
            </w:pPr>
            <w:r w:rsidRPr="00B91EE1">
              <w:t>10 539</w:t>
            </w:r>
          </w:p>
        </w:tc>
        <w:tc>
          <w:tcPr>
            <w:tcW w:w="2203" w:type="dxa"/>
            <w:tcBorders>
              <w:top w:val="nil"/>
              <w:left w:val="nil"/>
              <w:bottom w:val="single" w:sz="8" w:space="0" w:color="FFFFFF" w:themeColor="background1"/>
              <w:right w:val="single" w:sz="8" w:space="0" w:color="FFFFFF" w:themeColor="background1"/>
            </w:tcBorders>
            <w:shd w:val="clear" w:color="auto" w:fill="B4C6E7"/>
            <w:vAlign w:val="center"/>
            <w:hideMark/>
          </w:tcPr>
          <w:p w14:paraId="2B3F52B1" w14:textId="77777777" w:rsidR="0031628C" w:rsidRPr="00B91EE1" w:rsidRDefault="0031628C" w:rsidP="004522B1">
            <w:pPr>
              <w:pStyle w:val="Tabletext"/>
              <w:jc w:val="center"/>
            </w:pPr>
            <w:r w:rsidRPr="00B91EE1">
              <w:t>11 887</w:t>
            </w:r>
          </w:p>
        </w:tc>
      </w:tr>
    </w:tbl>
    <w:p w14:paraId="38A5A116" w14:textId="77777777" w:rsidR="0031628C" w:rsidRPr="00B91EE1" w:rsidRDefault="0031628C" w:rsidP="004522B1">
      <w:pPr>
        <w:pStyle w:val="Heading4"/>
      </w:pPr>
      <w:bookmarkStart w:id="141" w:name="lt_pId778"/>
      <w:r w:rsidRPr="00B91EE1">
        <w:t>8.1.4.2</w:t>
      </w:r>
      <w:r w:rsidRPr="00B91EE1">
        <w:tab/>
        <w:t>Recommandations UIT-R</w:t>
      </w:r>
      <w:bookmarkEnd w:id="141"/>
    </w:p>
    <w:p w14:paraId="452191E6" w14:textId="71997976" w:rsidR="0031628C" w:rsidRPr="00B91EE1" w:rsidRDefault="0031628C" w:rsidP="004522B1">
      <w:bookmarkStart w:id="142" w:name="lt_pId779"/>
      <w:r w:rsidRPr="00B91EE1">
        <w:t>Grâce à la politique d</w:t>
      </w:r>
      <w:r w:rsidR="00392F9A" w:rsidRPr="00B91EE1">
        <w:t>'</w:t>
      </w:r>
      <w:r w:rsidRPr="00B91EE1">
        <w:t>accès en ligne gratuit, des utilisateurs du monde entier ont accès aux Recommandations UIT-R et peuvent les télécharger.</w:t>
      </w:r>
      <w:bookmarkEnd w:id="142"/>
      <w:r w:rsidRPr="00B91EE1">
        <w:t xml:space="preserve"> Entre janvier 2019 et décembre 2022, plus de sept millions de téléchargements de Recommandations UIT-R depuis le site web de l</w:t>
      </w:r>
      <w:r w:rsidR="00392F9A" w:rsidRPr="00B91EE1">
        <w:t>'</w:t>
      </w:r>
      <w:r w:rsidRPr="00B91EE1">
        <w:t xml:space="preserve">UIT ont été enregistrés. </w:t>
      </w:r>
      <w:bookmarkStart w:id="143" w:name="lt_pId781"/>
      <w:r w:rsidRPr="00B91EE1">
        <w:t>Le Tableau 8.1.4.2-1 illustre la répartition de ces téléchargements par année et par série.</w:t>
      </w:r>
      <w:bookmarkEnd w:id="143"/>
      <w:r w:rsidRPr="00B91EE1">
        <w:t xml:space="preserve"> </w:t>
      </w:r>
      <w:bookmarkStart w:id="144" w:name="lt_pId782"/>
      <w:r w:rsidRPr="00B91EE1">
        <w:t>On recense actuellement 1 205 Recommandations UIT-R en vigueur.</w:t>
      </w:r>
      <w:bookmarkEnd w:id="144"/>
    </w:p>
    <w:p w14:paraId="33E6F448" w14:textId="77777777" w:rsidR="0031628C" w:rsidRPr="00B91EE1" w:rsidRDefault="0031628C" w:rsidP="004522B1">
      <w:pPr>
        <w:tabs>
          <w:tab w:val="clear" w:pos="794"/>
          <w:tab w:val="clear" w:pos="1191"/>
          <w:tab w:val="clear" w:pos="1588"/>
          <w:tab w:val="clear" w:pos="1985"/>
        </w:tabs>
        <w:overflowPunct/>
        <w:autoSpaceDE/>
        <w:autoSpaceDN/>
        <w:adjustRightInd/>
        <w:spacing w:before="0"/>
        <w:textAlignment w:val="auto"/>
      </w:pPr>
      <w:r w:rsidRPr="00B91EE1">
        <w:br w:type="page"/>
      </w:r>
    </w:p>
    <w:p w14:paraId="3E362BD3" w14:textId="77777777" w:rsidR="0031628C" w:rsidRPr="00B91EE1" w:rsidRDefault="0031628C" w:rsidP="004522B1">
      <w:pPr>
        <w:pStyle w:val="TableNoBR"/>
      </w:pPr>
      <w:r w:rsidRPr="00B91EE1">
        <w:lastRenderedPageBreak/>
        <w:t>TABLEAU 8.1.4.2-1</w:t>
      </w:r>
    </w:p>
    <w:p w14:paraId="3F3C03EF" w14:textId="77777777" w:rsidR="0031628C" w:rsidRPr="00B91EE1" w:rsidRDefault="0031628C" w:rsidP="004522B1">
      <w:pPr>
        <w:pStyle w:val="TableNotitle"/>
        <w:spacing w:before="0"/>
      </w:pPr>
      <w:bookmarkStart w:id="145" w:name="lt_pId784"/>
      <w:r w:rsidRPr="00B91EE1">
        <w:rPr>
          <w:szCs w:val="24"/>
        </w:rPr>
        <w:t>Répartition des téléchargements des Recommandations UIT-R</w:t>
      </w:r>
      <w:bookmarkEnd w:id="145"/>
    </w:p>
    <w:tbl>
      <w:tblPr>
        <w:tblStyle w:val="GridTable5Dark-Accent1"/>
        <w:tblW w:w="9426" w:type="dxa"/>
        <w:tblInd w:w="90" w:type="dxa"/>
        <w:tblLook w:val="04A0" w:firstRow="1" w:lastRow="0" w:firstColumn="1" w:lastColumn="0" w:noHBand="0" w:noVBand="1"/>
      </w:tblPr>
      <w:tblGrid>
        <w:gridCol w:w="1217"/>
        <w:gridCol w:w="1547"/>
        <w:gridCol w:w="1276"/>
        <w:gridCol w:w="1276"/>
        <w:gridCol w:w="1275"/>
        <w:gridCol w:w="1418"/>
        <w:gridCol w:w="1417"/>
      </w:tblGrid>
      <w:tr w:rsidR="0031628C" w:rsidRPr="00B91EE1" w14:paraId="035831D8" w14:textId="77777777" w:rsidTr="006120E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tcBorders>
            <w:vAlign w:val="center"/>
            <w:hideMark/>
          </w:tcPr>
          <w:p w14:paraId="7C6FD032" w14:textId="77777777" w:rsidR="0031628C" w:rsidRPr="00B91EE1" w:rsidRDefault="0031628C" w:rsidP="004522B1">
            <w:pPr>
              <w:pStyle w:val="Tablehead"/>
              <w:rPr>
                <w:b/>
                <w:bCs w:val="0"/>
                <w:lang w:eastAsia="zh-CN"/>
              </w:rPr>
            </w:pPr>
            <w:r w:rsidRPr="00B91EE1">
              <w:rPr>
                <w:b/>
                <w:bCs w:val="0"/>
                <w:lang w:eastAsia="zh-CN"/>
              </w:rPr>
              <w:t>SÉRIE</w:t>
            </w:r>
          </w:p>
        </w:tc>
        <w:tc>
          <w:tcPr>
            <w:tcW w:w="1547" w:type="dxa"/>
            <w:tcBorders>
              <w:top w:val="single" w:sz="8" w:space="0" w:color="FFFFFF" w:themeColor="background1"/>
              <w:bottom w:val="single" w:sz="8" w:space="0" w:color="FFFFFF" w:themeColor="background1"/>
            </w:tcBorders>
            <w:vAlign w:val="center"/>
            <w:hideMark/>
          </w:tcPr>
          <w:p w14:paraId="68930F57"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2019</w:t>
            </w:r>
          </w:p>
        </w:tc>
        <w:tc>
          <w:tcPr>
            <w:tcW w:w="1276" w:type="dxa"/>
            <w:tcBorders>
              <w:top w:val="single" w:sz="8" w:space="0" w:color="FFFFFF" w:themeColor="background1"/>
              <w:bottom w:val="single" w:sz="8" w:space="0" w:color="FFFFFF" w:themeColor="background1"/>
            </w:tcBorders>
            <w:vAlign w:val="center"/>
            <w:hideMark/>
          </w:tcPr>
          <w:p w14:paraId="6CC05C23"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2020</w:t>
            </w:r>
          </w:p>
        </w:tc>
        <w:tc>
          <w:tcPr>
            <w:tcW w:w="1276" w:type="dxa"/>
            <w:tcBorders>
              <w:top w:val="single" w:sz="8" w:space="0" w:color="FFFFFF" w:themeColor="background1"/>
              <w:bottom w:val="single" w:sz="8" w:space="0" w:color="FFFFFF" w:themeColor="background1"/>
            </w:tcBorders>
            <w:vAlign w:val="center"/>
            <w:hideMark/>
          </w:tcPr>
          <w:p w14:paraId="2A9B9B42"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2021</w:t>
            </w:r>
          </w:p>
        </w:tc>
        <w:tc>
          <w:tcPr>
            <w:tcW w:w="1275" w:type="dxa"/>
            <w:tcBorders>
              <w:top w:val="single" w:sz="8" w:space="0" w:color="FFFFFF" w:themeColor="background1"/>
              <w:bottom w:val="single" w:sz="8" w:space="0" w:color="FFFFFF" w:themeColor="background1"/>
            </w:tcBorders>
            <w:vAlign w:val="center"/>
            <w:hideMark/>
          </w:tcPr>
          <w:p w14:paraId="2EA00639"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2022</w:t>
            </w:r>
          </w:p>
        </w:tc>
        <w:tc>
          <w:tcPr>
            <w:tcW w:w="1418" w:type="dxa"/>
            <w:tcBorders>
              <w:top w:val="single" w:sz="8" w:space="0" w:color="FFFFFF" w:themeColor="background1"/>
              <w:bottom w:val="single" w:sz="8" w:space="0" w:color="FFFFFF" w:themeColor="background1"/>
            </w:tcBorders>
            <w:vAlign w:val="center"/>
            <w:hideMark/>
          </w:tcPr>
          <w:p w14:paraId="4C1B8AFA"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TOTAL</w:t>
            </w:r>
          </w:p>
        </w:tc>
        <w:tc>
          <w:tcPr>
            <w:tcW w:w="1417" w:type="dxa"/>
            <w:tcBorders>
              <w:top w:val="single" w:sz="8" w:space="0" w:color="FFFFFF" w:themeColor="background1"/>
              <w:bottom w:val="single" w:sz="8" w:space="0" w:color="FFFFFF" w:themeColor="background1"/>
              <w:right w:val="single" w:sz="8" w:space="0" w:color="FFFFFF" w:themeColor="background1"/>
            </w:tcBorders>
            <w:vAlign w:val="center"/>
            <w:hideMark/>
          </w:tcPr>
          <w:p w14:paraId="57AF8398"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w:t>
            </w:r>
          </w:p>
        </w:tc>
      </w:tr>
      <w:tr w:rsidR="0031628C" w:rsidRPr="00B91EE1" w14:paraId="668C0401" w14:textId="77777777" w:rsidTr="006120E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97CD3DA" w14:textId="77777777" w:rsidR="0031628C" w:rsidRPr="00B91EE1" w:rsidRDefault="0031628C" w:rsidP="004522B1">
            <w:pPr>
              <w:pStyle w:val="Tabletext"/>
              <w:jc w:val="center"/>
            </w:pPr>
            <w:r w:rsidRPr="00B91EE1">
              <w:t>P</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4D84EB9"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403 129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9510B11"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385 614</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5224865"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410 918</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F400D87"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347 953</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753CEC8"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1 547 614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530A738"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21,80%</w:t>
            </w:r>
          </w:p>
        </w:tc>
      </w:tr>
      <w:tr w:rsidR="0031628C" w:rsidRPr="00B91EE1" w14:paraId="18181B88" w14:textId="77777777" w:rsidTr="006120E0">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4829386" w14:textId="77777777" w:rsidR="0031628C" w:rsidRPr="00B91EE1" w:rsidRDefault="0031628C" w:rsidP="004522B1">
            <w:pPr>
              <w:pStyle w:val="Tabletext"/>
              <w:jc w:val="center"/>
            </w:pPr>
            <w:r w:rsidRPr="00B91EE1">
              <w:t>M</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0624A81"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374 649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5D11401"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327 720</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0F91560"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365 675</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EB5C164"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314 920</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DC8F809"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91EE1">
              <w:rPr>
                <w:b/>
                <w:bCs/>
              </w:rPr>
              <w:t>1 382 964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1E061E4"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19,48%</w:t>
            </w:r>
          </w:p>
        </w:tc>
      </w:tr>
      <w:tr w:rsidR="0031628C" w:rsidRPr="00B91EE1" w14:paraId="07BB2433" w14:textId="77777777" w:rsidTr="006120E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FE4F09F" w14:textId="77777777" w:rsidR="0031628C" w:rsidRPr="00B91EE1" w:rsidRDefault="0031628C" w:rsidP="004522B1">
            <w:pPr>
              <w:pStyle w:val="Tabletext"/>
              <w:jc w:val="center"/>
            </w:pPr>
            <w:r w:rsidRPr="00B91EE1">
              <w:t>BT</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CEFE7CB"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264 823</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A9C1D1A"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226 737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2155DCA"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231 981</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8BBE512"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218 403</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B4FE9CF"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941 944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3C99739"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13,27%</w:t>
            </w:r>
          </w:p>
        </w:tc>
      </w:tr>
      <w:tr w:rsidR="0031628C" w:rsidRPr="00B91EE1" w14:paraId="561533B2" w14:textId="77777777" w:rsidTr="006120E0">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1687EBD" w14:textId="77777777" w:rsidR="0031628C" w:rsidRPr="00B91EE1" w:rsidRDefault="0031628C" w:rsidP="004522B1">
            <w:pPr>
              <w:pStyle w:val="Tabletext"/>
              <w:jc w:val="center"/>
            </w:pPr>
            <w:r w:rsidRPr="00B91EE1">
              <w:t>SM</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0D2D3B5"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175 237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3107F54"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171 165</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AF17250"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196 660</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BBB34C5"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169 755</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7E41B8C"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91EE1">
              <w:rPr>
                <w:b/>
                <w:bCs/>
              </w:rPr>
              <w:t>712 817</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5018340"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10,04%</w:t>
            </w:r>
          </w:p>
        </w:tc>
      </w:tr>
      <w:tr w:rsidR="0031628C" w:rsidRPr="00B91EE1" w14:paraId="17595E27" w14:textId="77777777" w:rsidTr="006120E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66D20D7" w14:textId="77777777" w:rsidR="0031628C" w:rsidRPr="00B91EE1" w:rsidRDefault="0031628C" w:rsidP="004522B1">
            <w:pPr>
              <w:pStyle w:val="Tabletext"/>
              <w:jc w:val="center"/>
            </w:pPr>
            <w:r w:rsidRPr="00B91EE1">
              <w:t>F</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3917E2C"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189 675</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FA21BF4"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154 672</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9171B6F"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147 667</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6844936"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116 539</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BF99F4B"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608 553</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260D1B1"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8,57%</w:t>
            </w:r>
          </w:p>
        </w:tc>
      </w:tr>
      <w:tr w:rsidR="0031628C" w:rsidRPr="00B91EE1" w14:paraId="3E2E6C2C" w14:textId="77777777" w:rsidTr="006120E0">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A7DB264" w14:textId="77777777" w:rsidR="0031628C" w:rsidRPr="00B91EE1" w:rsidRDefault="0031628C" w:rsidP="004522B1">
            <w:pPr>
              <w:pStyle w:val="Tabletext"/>
              <w:jc w:val="center"/>
            </w:pPr>
            <w:r w:rsidRPr="00B91EE1">
              <w:t>BS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3319752"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153 839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086FB55"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142 699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564BDDA"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166 563</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4D42318"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143 107</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95333D2"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91EE1">
              <w:rPr>
                <w:b/>
                <w:bCs/>
              </w:rPr>
              <w:t>606 208</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7F7F2E7"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8,54%</w:t>
            </w:r>
          </w:p>
        </w:tc>
      </w:tr>
      <w:tr w:rsidR="0031628C" w:rsidRPr="00B91EE1" w14:paraId="481751A7" w14:textId="77777777" w:rsidTr="006120E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5F8AF2D" w14:textId="77777777" w:rsidR="0031628C" w:rsidRPr="00B91EE1" w:rsidRDefault="0031628C" w:rsidP="004522B1">
            <w:pPr>
              <w:pStyle w:val="Tabletext"/>
              <w:jc w:val="center"/>
            </w:pPr>
            <w:r w:rsidRPr="00B91EE1">
              <w:t>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0650700"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131 788</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ECA4093"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108 174</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01C1C5F"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123 593</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1794FFE"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87 801</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5FE70E8"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451 356</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D3E3F83"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6,36%</w:t>
            </w:r>
          </w:p>
        </w:tc>
      </w:tr>
      <w:tr w:rsidR="0031628C" w:rsidRPr="00B91EE1" w14:paraId="2B3E8B13" w14:textId="77777777" w:rsidTr="006120E0">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1A459AF" w14:textId="77777777" w:rsidR="0031628C" w:rsidRPr="00B91EE1" w:rsidRDefault="0031628C" w:rsidP="004522B1">
            <w:pPr>
              <w:pStyle w:val="Tabletext"/>
              <w:jc w:val="center"/>
            </w:pPr>
            <w:r w:rsidRPr="00B91EE1">
              <w:t>SA</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91160D8"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57 035</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ABD293F"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46 718</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5E40325"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43 137</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7597130"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33 274</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D583AF7"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91EE1">
              <w:rPr>
                <w:b/>
                <w:bCs/>
              </w:rPr>
              <w:t>180 164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CDB1196"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2,54%</w:t>
            </w:r>
          </w:p>
        </w:tc>
      </w:tr>
      <w:tr w:rsidR="0031628C" w:rsidRPr="00B91EE1" w14:paraId="49433186" w14:textId="77777777" w:rsidTr="006120E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96A1AD1" w14:textId="77777777" w:rsidR="0031628C" w:rsidRPr="00B91EE1" w:rsidRDefault="0031628C" w:rsidP="004522B1">
            <w:pPr>
              <w:pStyle w:val="Tabletext"/>
              <w:jc w:val="center"/>
            </w:pPr>
            <w:r w:rsidRPr="00B91EE1">
              <w:t>V</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6937F46"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39 831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3864E83"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40 634</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27EC644"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47 032</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488EDE8"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44 707</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41B9088"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172 204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084948A"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2,43%</w:t>
            </w:r>
          </w:p>
        </w:tc>
      </w:tr>
      <w:tr w:rsidR="0031628C" w:rsidRPr="00B91EE1" w14:paraId="41EFC563" w14:textId="77777777" w:rsidTr="006120E0">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1CFAEC8" w14:textId="77777777" w:rsidR="0031628C" w:rsidRPr="00B91EE1" w:rsidRDefault="0031628C" w:rsidP="004522B1">
            <w:pPr>
              <w:pStyle w:val="Tabletext"/>
              <w:jc w:val="center"/>
            </w:pPr>
            <w:r w:rsidRPr="00B91EE1">
              <w:t>BO</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77104FA"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35 550</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5D8A7E4"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26 816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3AD8ABB"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23 173</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3AFE48D"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16 489</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DDFCD0A"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91EE1">
              <w:rPr>
                <w:b/>
                <w:bCs/>
              </w:rPr>
              <w:t>102 028</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DC9CDF9"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1,44%</w:t>
            </w:r>
          </w:p>
        </w:tc>
      </w:tr>
      <w:tr w:rsidR="0031628C" w:rsidRPr="00B91EE1" w14:paraId="74305F14" w14:textId="77777777" w:rsidTr="006120E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6745197" w14:textId="77777777" w:rsidR="0031628C" w:rsidRPr="00B91EE1" w:rsidRDefault="0031628C" w:rsidP="004522B1">
            <w:pPr>
              <w:pStyle w:val="Tabletext"/>
              <w:jc w:val="center"/>
            </w:pPr>
            <w:r w:rsidRPr="00B91EE1">
              <w:t>RS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76AD38A"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31 476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8422C20"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26 823</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DA39D0B"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23 253</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8CC8B88"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19 350</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A11C6C3"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100 902</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702DEF6"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1,42%</w:t>
            </w:r>
          </w:p>
        </w:tc>
      </w:tr>
      <w:tr w:rsidR="0031628C" w:rsidRPr="00B91EE1" w14:paraId="46148EC3" w14:textId="77777777" w:rsidTr="006120E0">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EBC68B0" w14:textId="77777777" w:rsidR="0031628C" w:rsidRPr="00B91EE1" w:rsidRDefault="0031628C" w:rsidP="004522B1">
            <w:pPr>
              <w:pStyle w:val="Tabletext"/>
              <w:jc w:val="center"/>
            </w:pPr>
            <w:r w:rsidRPr="00B91EE1">
              <w:t>TF</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D0933D5"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24 566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5162AA7"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24 077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E6F0BF4"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22 729</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52A6DD3"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18 211</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7C41DDC"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91EE1">
              <w:rPr>
                <w:b/>
                <w:bCs/>
              </w:rPr>
              <w:t>89 583</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9BA2B1C"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1,26%</w:t>
            </w:r>
          </w:p>
        </w:tc>
      </w:tr>
      <w:tr w:rsidR="0031628C" w:rsidRPr="00B91EE1" w14:paraId="61916F87" w14:textId="77777777" w:rsidTr="006120E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DB5B485" w14:textId="77777777" w:rsidR="0031628C" w:rsidRPr="00B91EE1" w:rsidRDefault="0031628C" w:rsidP="004522B1">
            <w:pPr>
              <w:pStyle w:val="Tabletext"/>
              <w:jc w:val="center"/>
            </w:pPr>
            <w:r w:rsidRPr="00B91EE1">
              <w:t>SF</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EDB1873"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23 517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645CE38"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19 381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F04F70A"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16 720</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C85F30E"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13 102</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9CA314F"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72 720</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CD279A4"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1,02%</w:t>
            </w:r>
          </w:p>
        </w:tc>
      </w:tr>
      <w:tr w:rsidR="0031628C" w:rsidRPr="00B91EE1" w14:paraId="5F576242" w14:textId="77777777" w:rsidTr="006120E0">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3707E10" w14:textId="77777777" w:rsidR="0031628C" w:rsidRPr="00B91EE1" w:rsidRDefault="0031628C" w:rsidP="004522B1">
            <w:pPr>
              <w:pStyle w:val="Tabletext"/>
              <w:jc w:val="center"/>
            </w:pPr>
            <w:r w:rsidRPr="00B91EE1">
              <w:t>BR</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DA0F47F"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22 003</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2D066F5"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17 101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00A8F08"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15 009</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01E116E"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9 838</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C8F7589"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91EE1">
              <w:rPr>
                <w:b/>
                <w:bCs/>
              </w:rPr>
              <w:t>63 951</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69CFB09"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0,90%</w:t>
            </w:r>
          </w:p>
        </w:tc>
      </w:tr>
      <w:tr w:rsidR="0031628C" w:rsidRPr="00B91EE1" w14:paraId="4F3CE3A1" w14:textId="77777777" w:rsidTr="006120E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6615D96" w14:textId="77777777" w:rsidR="0031628C" w:rsidRPr="00B91EE1" w:rsidRDefault="0031628C" w:rsidP="004522B1">
            <w:pPr>
              <w:pStyle w:val="Tabletext"/>
              <w:jc w:val="center"/>
            </w:pPr>
            <w:r w:rsidRPr="00B91EE1">
              <w:t>RA</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05014A4"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15 173</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B34A68E"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12 315</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DE65A4C"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10 777</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922DEBE"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9 169</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9C7DD4A"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47 434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381378D"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0,67%</w:t>
            </w:r>
          </w:p>
        </w:tc>
      </w:tr>
      <w:tr w:rsidR="0031628C" w:rsidRPr="00B91EE1" w14:paraId="14514C80" w14:textId="77777777" w:rsidTr="006120E0">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DF5754C" w14:textId="77777777" w:rsidR="0031628C" w:rsidRPr="00B91EE1" w:rsidRDefault="0031628C" w:rsidP="004522B1">
            <w:pPr>
              <w:pStyle w:val="Tabletext"/>
              <w:jc w:val="center"/>
            </w:pPr>
            <w:r w:rsidRPr="00B91EE1">
              <w:t>SNG</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CA1CE54"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4 924</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675781B"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3 319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38D8CEF"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2 548</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8648099"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1 987</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2A623E8"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91EE1">
              <w:rPr>
                <w:b/>
                <w:bCs/>
              </w:rPr>
              <w:t>12 778</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ABC4935"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0,18%</w:t>
            </w:r>
          </w:p>
        </w:tc>
      </w:tr>
      <w:tr w:rsidR="0031628C" w:rsidRPr="00B91EE1" w14:paraId="5C3C2101" w14:textId="77777777" w:rsidTr="006120E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DF0809A" w14:textId="77777777" w:rsidR="0031628C" w:rsidRPr="00B91EE1" w:rsidRDefault="0031628C" w:rsidP="004522B1">
            <w:pPr>
              <w:pStyle w:val="Tabletext"/>
              <w:jc w:val="center"/>
            </w:pPr>
            <w:r w:rsidRPr="00B91EE1">
              <w:t>IS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E824CF7"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1 802</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7CF8256"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1 280</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EC7F894"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1 366</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8982FB7"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1 203</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16B5353"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5 651</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D687ACE"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0,08%</w:t>
            </w:r>
          </w:p>
        </w:tc>
      </w:tr>
      <w:tr w:rsidR="0031628C" w:rsidRPr="00B91EE1" w14:paraId="69279FF9" w14:textId="77777777" w:rsidTr="006120E0">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9CAFA0F" w14:textId="77777777" w:rsidR="0031628C" w:rsidRPr="00B91EE1" w:rsidRDefault="0031628C" w:rsidP="004522B1">
            <w:pPr>
              <w:pStyle w:val="Tabletext"/>
              <w:jc w:val="center"/>
            </w:pPr>
            <w:r w:rsidRPr="00B91EE1">
              <w:t>PI</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AE7CAFE"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511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9635F4B"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372</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44BA51A"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206</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5099CA7"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143</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CCB9413"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91EE1">
              <w:rPr>
                <w:b/>
                <w:bCs/>
              </w:rPr>
              <w:t>1 232</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8FC7BD6"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pPr>
            <w:r w:rsidRPr="00B91EE1">
              <w:t>0,02%</w:t>
            </w:r>
          </w:p>
        </w:tc>
      </w:tr>
      <w:tr w:rsidR="0031628C" w:rsidRPr="00B91EE1" w14:paraId="1D4E5594" w14:textId="77777777" w:rsidTr="006120E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0310E7E" w14:textId="77777777" w:rsidR="0031628C" w:rsidRPr="00B91EE1" w:rsidRDefault="0031628C" w:rsidP="004522B1">
            <w:pPr>
              <w:pStyle w:val="Tabletext"/>
              <w:jc w:val="center"/>
            </w:pPr>
            <w:r w:rsidRPr="00B91EE1">
              <w:t>TOTAL</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505B4FD"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1 949 528</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6FD371D"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1 735 617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B3807E9"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1 849 007</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F944E37"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1 565 951</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7893BEB"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91EE1">
              <w:rPr>
                <w:b/>
                <w:bCs/>
              </w:rPr>
              <w:t>7 100 103</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6CC7917"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pPr>
            <w:r w:rsidRPr="00B91EE1">
              <w:t>100,00%</w:t>
            </w:r>
          </w:p>
        </w:tc>
      </w:tr>
    </w:tbl>
    <w:p w14:paraId="67890943" w14:textId="77777777" w:rsidR="0031628C" w:rsidRPr="00B91EE1" w:rsidRDefault="0031628C" w:rsidP="004522B1">
      <w:pPr>
        <w:pStyle w:val="Heading4"/>
      </w:pPr>
      <w:r w:rsidRPr="00B91EE1">
        <w:t>8.1.4.3</w:t>
      </w:r>
      <w:r w:rsidRPr="00B91EE1">
        <w:tab/>
        <w:t>Rapports UIT-R</w:t>
      </w:r>
    </w:p>
    <w:p w14:paraId="0F3532A0" w14:textId="33726E9E" w:rsidR="0031628C" w:rsidRPr="00B91EE1" w:rsidRDefault="0031628C" w:rsidP="004522B1">
      <w:r w:rsidRPr="00B91EE1">
        <w:t xml:space="preserve">Comme pour les Recommandations UIT-R, les </w:t>
      </w:r>
      <w:r w:rsidR="00624E16" w:rsidRPr="00B91EE1">
        <w:t xml:space="preserve">rapports </w:t>
      </w:r>
      <w:r w:rsidRPr="00B91EE1">
        <w:t>UIT-R ont été mis en œuvre dans le monde entier, touchant la plupart des publics et contribuant à l</w:t>
      </w:r>
      <w:r w:rsidR="00392F9A" w:rsidRPr="00B91EE1">
        <w:t>'</w:t>
      </w:r>
      <w:r w:rsidRPr="00B91EE1">
        <w:t>application de bonnes pratiques techniques dans certains domaines des radiocommunications. Entre janvier 2019 et décembre 2022, plus d</w:t>
      </w:r>
      <w:r w:rsidR="00392F9A" w:rsidRPr="00B91EE1">
        <w:t>'</w:t>
      </w:r>
      <w:r w:rsidRPr="00B91EE1">
        <w:t xml:space="preserve">un million de téléchargements de </w:t>
      </w:r>
      <w:r w:rsidR="00624E16" w:rsidRPr="00B91EE1">
        <w:t xml:space="preserve">rapports </w:t>
      </w:r>
      <w:r w:rsidRPr="00B91EE1">
        <w:t>UIT-R depuis le site web de l</w:t>
      </w:r>
      <w:r w:rsidR="00392F9A" w:rsidRPr="00B91EE1">
        <w:t>'</w:t>
      </w:r>
      <w:r w:rsidRPr="00B91EE1">
        <w:t>UIT ont été enregistrés. Le Tableau 8.1.4.3</w:t>
      </w:r>
      <w:r w:rsidR="00DD37F3" w:rsidRPr="00B91EE1">
        <w:noBreakHyphen/>
      </w:r>
      <w:r w:rsidRPr="00B91EE1">
        <w:t xml:space="preserve">1 illustre la répartition de ces téléchargements par année et par série. On recense actuellement 616 </w:t>
      </w:r>
      <w:r w:rsidR="00624E16" w:rsidRPr="00B91EE1">
        <w:t xml:space="preserve">rapports </w:t>
      </w:r>
      <w:r w:rsidRPr="00B91EE1">
        <w:t>UIT-R en vigueur.</w:t>
      </w:r>
    </w:p>
    <w:p w14:paraId="06E3CB17" w14:textId="77777777" w:rsidR="0031628C" w:rsidRPr="00B91EE1" w:rsidRDefault="0031628C" w:rsidP="004522B1">
      <w:pPr>
        <w:pStyle w:val="TableNoBR"/>
        <w:keepLines/>
      </w:pPr>
      <w:r w:rsidRPr="00B91EE1">
        <w:lastRenderedPageBreak/>
        <w:t>TABLEAU 8.1.4.3-1</w:t>
      </w:r>
    </w:p>
    <w:p w14:paraId="6BF2F636" w14:textId="70C00E7B" w:rsidR="0031628C" w:rsidRPr="00B91EE1" w:rsidRDefault="0031628C" w:rsidP="004522B1">
      <w:pPr>
        <w:pStyle w:val="TableNotitle"/>
        <w:spacing w:before="0"/>
      </w:pPr>
      <w:r w:rsidRPr="00B91EE1">
        <w:t xml:space="preserve">Répartition des téléchargements des </w:t>
      </w:r>
      <w:r w:rsidR="00624E16" w:rsidRPr="00B91EE1">
        <w:t xml:space="preserve">rapports </w:t>
      </w:r>
      <w:r w:rsidRPr="00B91EE1">
        <w:t>UIT-R</w:t>
      </w:r>
    </w:p>
    <w:tbl>
      <w:tblPr>
        <w:tblStyle w:val="GridTable5Dark-Accent1"/>
        <w:tblW w:w="8151" w:type="dxa"/>
        <w:jc w:val="center"/>
        <w:tblLook w:val="04A0" w:firstRow="1" w:lastRow="0" w:firstColumn="1" w:lastColumn="0" w:noHBand="0" w:noVBand="1"/>
      </w:tblPr>
      <w:tblGrid>
        <w:gridCol w:w="1199"/>
        <w:gridCol w:w="1331"/>
        <w:gridCol w:w="1330"/>
        <w:gridCol w:w="957"/>
        <w:gridCol w:w="1081"/>
        <w:gridCol w:w="1248"/>
        <w:gridCol w:w="1005"/>
      </w:tblGrid>
      <w:tr w:rsidR="0031628C" w:rsidRPr="00B91EE1" w14:paraId="264A07A9" w14:textId="77777777" w:rsidTr="006120E0">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bottom w:val="single" w:sz="4" w:space="0" w:color="FFFFFF" w:themeColor="background1"/>
            </w:tcBorders>
            <w:noWrap/>
            <w:vAlign w:val="center"/>
            <w:hideMark/>
          </w:tcPr>
          <w:p w14:paraId="62DC730C" w14:textId="77777777" w:rsidR="0031628C" w:rsidRPr="00B91EE1" w:rsidRDefault="0031628C" w:rsidP="004522B1">
            <w:pPr>
              <w:pStyle w:val="Tablehead"/>
              <w:rPr>
                <w:b/>
                <w:bCs w:val="0"/>
                <w:lang w:eastAsia="zh-CN"/>
              </w:rPr>
            </w:pPr>
            <w:r w:rsidRPr="00B91EE1">
              <w:rPr>
                <w:b/>
                <w:bCs w:val="0"/>
                <w:lang w:eastAsia="zh-CN"/>
              </w:rPr>
              <w:t>SÉRIE</w:t>
            </w:r>
          </w:p>
        </w:tc>
        <w:tc>
          <w:tcPr>
            <w:tcW w:w="1331" w:type="dxa"/>
            <w:tcBorders>
              <w:bottom w:val="single" w:sz="4" w:space="0" w:color="FFFFFF" w:themeColor="background1"/>
            </w:tcBorders>
            <w:noWrap/>
            <w:vAlign w:val="center"/>
            <w:hideMark/>
          </w:tcPr>
          <w:p w14:paraId="3E366FE5"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2019</w:t>
            </w:r>
          </w:p>
        </w:tc>
        <w:tc>
          <w:tcPr>
            <w:tcW w:w="1330" w:type="dxa"/>
            <w:tcBorders>
              <w:bottom w:val="single" w:sz="4" w:space="0" w:color="FFFFFF" w:themeColor="background1"/>
            </w:tcBorders>
            <w:noWrap/>
            <w:vAlign w:val="center"/>
            <w:hideMark/>
          </w:tcPr>
          <w:p w14:paraId="496F8A8B"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2020</w:t>
            </w:r>
          </w:p>
        </w:tc>
        <w:tc>
          <w:tcPr>
            <w:tcW w:w="957" w:type="dxa"/>
            <w:tcBorders>
              <w:bottom w:val="single" w:sz="4" w:space="0" w:color="FFFFFF" w:themeColor="background1"/>
            </w:tcBorders>
            <w:vAlign w:val="center"/>
            <w:hideMark/>
          </w:tcPr>
          <w:p w14:paraId="5722D4FB"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2021</w:t>
            </w:r>
          </w:p>
        </w:tc>
        <w:tc>
          <w:tcPr>
            <w:tcW w:w="1081" w:type="dxa"/>
            <w:tcBorders>
              <w:bottom w:val="single" w:sz="4" w:space="0" w:color="FFFFFF" w:themeColor="background1"/>
            </w:tcBorders>
            <w:vAlign w:val="center"/>
            <w:hideMark/>
          </w:tcPr>
          <w:p w14:paraId="6E517CE5"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2022</w:t>
            </w:r>
          </w:p>
        </w:tc>
        <w:tc>
          <w:tcPr>
            <w:tcW w:w="1248" w:type="dxa"/>
            <w:tcBorders>
              <w:bottom w:val="single" w:sz="4" w:space="0" w:color="FFFFFF" w:themeColor="background1"/>
            </w:tcBorders>
            <w:noWrap/>
            <w:vAlign w:val="center"/>
            <w:hideMark/>
          </w:tcPr>
          <w:p w14:paraId="4731439E"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TOTAL</w:t>
            </w:r>
          </w:p>
        </w:tc>
        <w:tc>
          <w:tcPr>
            <w:tcW w:w="1005" w:type="dxa"/>
            <w:tcBorders>
              <w:bottom w:val="single" w:sz="4" w:space="0" w:color="FFFFFF" w:themeColor="background1"/>
            </w:tcBorders>
            <w:vAlign w:val="center"/>
            <w:hideMark/>
          </w:tcPr>
          <w:p w14:paraId="47FBE9ED"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w:t>
            </w:r>
          </w:p>
        </w:tc>
      </w:tr>
      <w:tr w:rsidR="0031628C" w:rsidRPr="00B91EE1" w14:paraId="412B8589" w14:textId="77777777" w:rsidTr="006120E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01149AB7" w14:textId="77777777" w:rsidR="0031628C" w:rsidRPr="00B91EE1" w:rsidRDefault="0031628C" w:rsidP="004522B1">
            <w:pPr>
              <w:pStyle w:val="Tabletext"/>
              <w:keepNext/>
              <w:keepLines/>
              <w:jc w:val="center"/>
              <w:rPr>
                <w:lang w:eastAsia="zh-CN"/>
              </w:rPr>
            </w:pPr>
            <w:r w:rsidRPr="00B91EE1">
              <w:rPr>
                <w:szCs w:val="22"/>
                <w:lang w:eastAsia="zh-CN"/>
              </w:rPr>
              <w:t>SM</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0E801A6D"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89 083</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63828710"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101 965</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1845063"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149 392</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C0CA068"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105 880</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3B72A9B2"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rPr>
              <w:t>446 320</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8E4EB81"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29,08%</w:t>
            </w:r>
          </w:p>
        </w:tc>
      </w:tr>
      <w:tr w:rsidR="0031628C" w:rsidRPr="00B91EE1" w14:paraId="52387C20" w14:textId="77777777" w:rsidTr="006120E0">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tcPr>
          <w:p w14:paraId="3DAEB229" w14:textId="77777777" w:rsidR="0031628C" w:rsidRPr="00B91EE1" w:rsidRDefault="0031628C" w:rsidP="004522B1">
            <w:pPr>
              <w:pStyle w:val="Tabletext"/>
              <w:keepNext/>
              <w:keepLines/>
              <w:jc w:val="center"/>
              <w:rPr>
                <w:szCs w:val="22"/>
                <w:lang w:eastAsia="zh-CN"/>
              </w:rPr>
            </w:pPr>
            <w:r w:rsidRPr="00B91EE1">
              <w:rPr>
                <w:szCs w:val="22"/>
                <w:lang w:eastAsia="zh-CN"/>
              </w:rPr>
              <w:t>M</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tcPr>
          <w:p w14:paraId="71F59D1E"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91EE1">
              <w:t>99 400</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tcPr>
          <w:p w14:paraId="76997A03"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91EE1">
              <w:t>105 681</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8EAB781"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91EE1">
              <w:t>118 785</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F8EB7CA"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91EE1">
              <w:t>102 742</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tcPr>
          <w:p w14:paraId="012D97D4"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szCs w:val="22"/>
                <w:lang w:eastAsia="zh-CN"/>
              </w:rPr>
            </w:pPr>
            <w:r w:rsidRPr="00B91EE1">
              <w:rPr>
                <w:b/>
                <w:bCs/>
                <w:color w:val="000000" w:themeColor="text1"/>
                <w:szCs w:val="24"/>
              </w:rPr>
              <w:t>426 608</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265284"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91EE1">
              <w:rPr>
                <w:color w:val="000000" w:themeColor="text1"/>
                <w:szCs w:val="24"/>
              </w:rPr>
              <w:t>27,79%</w:t>
            </w:r>
          </w:p>
        </w:tc>
      </w:tr>
      <w:tr w:rsidR="0031628C" w:rsidRPr="00B91EE1" w14:paraId="56CD4A25" w14:textId="77777777" w:rsidTr="006120E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5BFECBB0" w14:textId="77777777" w:rsidR="0031628C" w:rsidRPr="00B91EE1" w:rsidRDefault="0031628C" w:rsidP="004522B1">
            <w:pPr>
              <w:pStyle w:val="Tabletext"/>
              <w:keepNext/>
              <w:keepLines/>
              <w:jc w:val="center"/>
              <w:rPr>
                <w:lang w:eastAsia="zh-CN"/>
              </w:rPr>
            </w:pPr>
            <w:r w:rsidRPr="00B91EE1">
              <w:rPr>
                <w:szCs w:val="22"/>
                <w:lang w:eastAsia="zh-CN"/>
              </w:rPr>
              <w:t>BT</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58D906A3"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57 578</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18E0840B"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59 805</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83651E4"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75 168</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6F084FF"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76 421</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642B1D80"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color w:val="000000" w:themeColor="text1"/>
                <w:szCs w:val="24"/>
              </w:rPr>
              <w:t>268 972</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517A2CC"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rPr>
                <w:color w:val="000000" w:themeColor="text1"/>
                <w:szCs w:val="24"/>
              </w:rPr>
              <w:t>17,52%</w:t>
            </w:r>
          </w:p>
        </w:tc>
      </w:tr>
      <w:tr w:rsidR="0031628C" w:rsidRPr="00B91EE1" w14:paraId="4AF60EED" w14:textId="77777777" w:rsidTr="006120E0">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1CA245B6" w14:textId="77777777" w:rsidR="0031628C" w:rsidRPr="00B91EE1" w:rsidRDefault="0031628C" w:rsidP="004522B1">
            <w:pPr>
              <w:pStyle w:val="Tabletext"/>
              <w:keepNext/>
              <w:keepLines/>
              <w:jc w:val="center"/>
              <w:rPr>
                <w:lang w:eastAsia="zh-CN"/>
              </w:rPr>
            </w:pPr>
            <w:r w:rsidRPr="00B91EE1">
              <w:rPr>
                <w:szCs w:val="22"/>
                <w:lang w:eastAsia="zh-CN"/>
              </w:rPr>
              <w:t>BS</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1859098C"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22 769</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2ACFFCB4"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28 707</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81E4BC1"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35 392</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D4CCDBC"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30 002</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567D55A0"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lang w:eastAsia="zh-CN"/>
              </w:rPr>
            </w:pPr>
            <w:r w:rsidRPr="00B91EE1">
              <w:rPr>
                <w:b/>
                <w:bCs/>
                <w:color w:val="000000" w:themeColor="text1"/>
                <w:szCs w:val="24"/>
              </w:rPr>
              <w:t>116 870</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14ABB09"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rPr>
                <w:color w:val="000000" w:themeColor="text1"/>
                <w:szCs w:val="24"/>
              </w:rPr>
              <w:t>7,61%</w:t>
            </w:r>
          </w:p>
        </w:tc>
      </w:tr>
      <w:tr w:rsidR="0031628C" w:rsidRPr="00B91EE1" w14:paraId="22740BCB" w14:textId="77777777" w:rsidTr="006120E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5CA77EF3" w14:textId="77777777" w:rsidR="0031628C" w:rsidRPr="00B91EE1" w:rsidRDefault="0031628C" w:rsidP="004522B1">
            <w:pPr>
              <w:pStyle w:val="Tabletext"/>
              <w:keepNext/>
              <w:keepLines/>
              <w:jc w:val="center"/>
              <w:rPr>
                <w:lang w:eastAsia="zh-CN"/>
              </w:rPr>
            </w:pPr>
            <w:r w:rsidRPr="00B91EE1">
              <w:rPr>
                <w:szCs w:val="22"/>
                <w:lang w:eastAsia="zh-CN"/>
              </w:rPr>
              <w:t>P</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20BE1CDA"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12 628</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3865923D"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14 785</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BA80D19"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18 142</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90B30E0"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15 647</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6D5EF570"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color w:val="000000" w:themeColor="text1"/>
                <w:szCs w:val="24"/>
              </w:rPr>
              <w:t>61 202</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EFAB163"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rPr>
                <w:color w:val="000000" w:themeColor="text1"/>
                <w:szCs w:val="24"/>
              </w:rPr>
              <w:t>3,99%</w:t>
            </w:r>
          </w:p>
        </w:tc>
      </w:tr>
      <w:tr w:rsidR="0031628C" w:rsidRPr="00B91EE1" w14:paraId="0DD2305D" w14:textId="77777777" w:rsidTr="006120E0">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58F522B7" w14:textId="77777777" w:rsidR="0031628C" w:rsidRPr="00B91EE1" w:rsidRDefault="0031628C" w:rsidP="004522B1">
            <w:pPr>
              <w:pStyle w:val="Tabletext"/>
              <w:keepNext/>
              <w:keepLines/>
              <w:jc w:val="center"/>
              <w:rPr>
                <w:lang w:eastAsia="zh-CN"/>
              </w:rPr>
            </w:pPr>
            <w:r w:rsidRPr="00B91EE1">
              <w:rPr>
                <w:szCs w:val="22"/>
                <w:lang w:eastAsia="zh-CN"/>
              </w:rPr>
              <w:t>BO</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4F41BA9E"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12 663</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27A12E12"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14 003</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D7126E1"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16 812</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8ED6460"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16 721</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36307A3D"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lang w:eastAsia="zh-CN"/>
              </w:rPr>
            </w:pPr>
            <w:r w:rsidRPr="00B91EE1">
              <w:rPr>
                <w:b/>
                <w:bCs/>
                <w:color w:val="000000" w:themeColor="text1"/>
                <w:szCs w:val="24"/>
              </w:rPr>
              <w:t>60 199</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CCE34F2"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rPr>
                <w:color w:val="000000" w:themeColor="text1"/>
                <w:szCs w:val="24"/>
              </w:rPr>
              <w:t>3,92%</w:t>
            </w:r>
          </w:p>
        </w:tc>
      </w:tr>
      <w:tr w:rsidR="0031628C" w:rsidRPr="00B91EE1" w14:paraId="4877B9FA" w14:textId="77777777" w:rsidTr="006120E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53960A6B" w14:textId="77777777" w:rsidR="0031628C" w:rsidRPr="00B91EE1" w:rsidRDefault="0031628C" w:rsidP="004522B1">
            <w:pPr>
              <w:pStyle w:val="Tabletext"/>
              <w:keepNext/>
              <w:keepLines/>
              <w:jc w:val="center"/>
              <w:rPr>
                <w:lang w:eastAsia="zh-CN"/>
              </w:rPr>
            </w:pPr>
            <w:r w:rsidRPr="00B91EE1">
              <w:rPr>
                <w:szCs w:val="22"/>
                <w:lang w:eastAsia="zh-CN"/>
              </w:rPr>
              <w:t>F</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3E1A9246"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13 414</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1C6A5462"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12 411</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633FBFC"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15 138</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356B7DC"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8 623</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30D82713"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color w:val="000000" w:themeColor="text1"/>
                <w:szCs w:val="24"/>
              </w:rPr>
              <w:t>49 586</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F5FC78F"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rPr>
                <w:color w:val="000000" w:themeColor="text1"/>
                <w:szCs w:val="24"/>
              </w:rPr>
              <w:t>3,23%</w:t>
            </w:r>
          </w:p>
        </w:tc>
      </w:tr>
      <w:tr w:rsidR="0031628C" w:rsidRPr="00B91EE1" w14:paraId="3F3B5793" w14:textId="77777777" w:rsidTr="006120E0">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34267D91" w14:textId="77777777" w:rsidR="0031628C" w:rsidRPr="00B91EE1" w:rsidRDefault="0031628C" w:rsidP="004522B1">
            <w:pPr>
              <w:pStyle w:val="Tabletext"/>
              <w:keepNext/>
              <w:keepLines/>
              <w:jc w:val="center"/>
              <w:rPr>
                <w:lang w:eastAsia="zh-CN"/>
              </w:rPr>
            </w:pPr>
            <w:r w:rsidRPr="00B91EE1">
              <w:rPr>
                <w:szCs w:val="22"/>
                <w:lang w:eastAsia="zh-CN"/>
              </w:rPr>
              <w:t>S</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43AC0409"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9 484</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39239760"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10 001</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5730A01"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9 918</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95390D2"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t>9 170</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25E79491"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lang w:eastAsia="zh-CN"/>
              </w:rPr>
            </w:pPr>
            <w:r w:rsidRPr="00B91EE1">
              <w:rPr>
                <w:b/>
                <w:bCs/>
                <w:color w:val="000000" w:themeColor="text1"/>
                <w:szCs w:val="24"/>
              </w:rPr>
              <w:t>38 573</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03B5512" w14:textId="77777777" w:rsidR="0031628C" w:rsidRPr="00B91EE1" w:rsidRDefault="0031628C" w:rsidP="004522B1">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eastAsia="zh-CN"/>
              </w:rPr>
            </w:pPr>
            <w:r w:rsidRPr="00B91EE1">
              <w:rPr>
                <w:color w:val="000000" w:themeColor="text1"/>
                <w:szCs w:val="24"/>
              </w:rPr>
              <w:t>2,51%</w:t>
            </w:r>
          </w:p>
        </w:tc>
      </w:tr>
      <w:tr w:rsidR="0031628C" w:rsidRPr="00B91EE1" w14:paraId="66BC6E7C" w14:textId="77777777" w:rsidTr="006120E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629B798B" w14:textId="77777777" w:rsidR="0031628C" w:rsidRPr="00B91EE1" w:rsidRDefault="0031628C" w:rsidP="004522B1">
            <w:pPr>
              <w:pStyle w:val="Tabletext"/>
              <w:keepNext/>
              <w:keepLines/>
              <w:jc w:val="center"/>
              <w:rPr>
                <w:lang w:eastAsia="zh-CN"/>
              </w:rPr>
            </w:pPr>
            <w:r w:rsidRPr="00B91EE1">
              <w:rPr>
                <w:szCs w:val="22"/>
                <w:lang w:eastAsia="zh-CN"/>
              </w:rPr>
              <w:t>SA</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0192ACDB"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6 429</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72FDFB7D"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B91EE1">
              <w:t>5 547</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4A5D184"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9 042</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8637192"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t>5 346</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5A08C5DB"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color w:val="000000" w:themeColor="text1"/>
                <w:szCs w:val="24"/>
              </w:rPr>
              <w:t>26 364</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D9B37E8" w14:textId="77777777" w:rsidR="0031628C" w:rsidRPr="00B91EE1" w:rsidRDefault="0031628C" w:rsidP="004522B1">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eastAsia="zh-CN"/>
              </w:rPr>
            </w:pPr>
            <w:r w:rsidRPr="00B91EE1">
              <w:rPr>
                <w:color w:val="000000" w:themeColor="text1"/>
                <w:szCs w:val="24"/>
              </w:rPr>
              <w:t>1,72%</w:t>
            </w:r>
          </w:p>
        </w:tc>
      </w:tr>
      <w:tr w:rsidR="0031628C" w:rsidRPr="00B91EE1" w14:paraId="08C658D4" w14:textId="77777777" w:rsidTr="006120E0">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65E77585" w14:textId="77777777" w:rsidR="0031628C" w:rsidRPr="00B91EE1" w:rsidRDefault="0031628C" w:rsidP="004522B1">
            <w:pPr>
              <w:pStyle w:val="Tabletext"/>
              <w:jc w:val="center"/>
              <w:rPr>
                <w:lang w:eastAsia="zh-CN"/>
              </w:rPr>
            </w:pPr>
            <w:r w:rsidRPr="00B91EE1">
              <w:rPr>
                <w:szCs w:val="22"/>
                <w:lang w:eastAsia="zh-CN"/>
              </w:rPr>
              <w:t>RS</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7B944D6C"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t>4 138</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036B2DD6"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t>4 796</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1CA191F"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t>6 343</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132A4D0"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t>4 486</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0EE97E48"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91EE1">
              <w:rPr>
                <w:b/>
                <w:bCs/>
                <w:color w:val="000000" w:themeColor="text1"/>
                <w:szCs w:val="24"/>
              </w:rPr>
              <w:t>19 763</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E9E44E9"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rPr>
                <w:color w:val="000000" w:themeColor="text1"/>
                <w:szCs w:val="24"/>
              </w:rPr>
              <w:t>1,29%</w:t>
            </w:r>
          </w:p>
        </w:tc>
      </w:tr>
      <w:tr w:rsidR="0031628C" w:rsidRPr="00B91EE1" w14:paraId="41CF5A7B" w14:textId="77777777" w:rsidTr="006120E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3C4A855C" w14:textId="77777777" w:rsidR="0031628C" w:rsidRPr="00B91EE1" w:rsidRDefault="0031628C" w:rsidP="004522B1">
            <w:pPr>
              <w:pStyle w:val="Tabletext"/>
              <w:jc w:val="center"/>
              <w:rPr>
                <w:lang w:eastAsia="zh-CN"/>
              </w:rPr>
            </w:pPr>
            <w:r w:rsidRPr="00B91EE1">
              <w:rPr>
                <w:szCs w:val="22"/>
                <w:lang w:eastAsia="zh-CN"/>
              </w:rPr>
              <w:t>RA</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11EAEF6E"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t>4 175</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7CF01863"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t>4 222</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1E48E78"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t>4 834</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83A58D9"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t>4 840</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516F7311"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color w:val="000000" w:themeColor="text1"/>
                <w:szCs w:val="24"/>
              </w:rPr>
              <w:t>18 071</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B9E4524"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rPr>
                <w:color w:val="000000" w:themeColor="text1"/>
                <w:szCs w:val="24"/>
              </w:rPr>
              <w:t>1,18%</w:t>
            </w:r>
          </w:p>
        </w:tc>
      </w:tr>
      <w:tr w:rsidR="0031628C" w:rsidRPr="00B91EE1" w14:paraId="65B7E0B6" w14:textId="77777777" w:rsidTr="006120E0">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4ACF09CF" w14:textId="77777777" w:rsidR="0031628C" w:rsidRPr="00B91EE1" w:rsidRDefault="0031628C" w:rsidP="004522B1">
            <w:pPr>
              <w:pStyle w:val="Tabletext"/>
              <w:jc w:val="center"/>
              <w:rPr>
                <w:lang w:eastAsia="zh-CN"/>
              </w:rPr>
            </w:pPr>
            <w:r w:rsidRPr="00B91EE1">
              <w:rPr>
                <w:szCs w:val="22"/>
                <w:lang w:eastAsia="zh-CN"/>
              </w:rPr>
              <w:t>SF</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03B81DF9"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t>331</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49628FC8"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t>387</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532B994"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t>397</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6065F5F"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t>326</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1D859BFA"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lang w:eastAsia="zh-CN"/>
              </w:rPr>
            </w:pPr>
            <w:r w:rsidRPr="00B91EE1">
              <w:rPr>
                <w:b/>
                <w:bCs/>
                <w:color w:val="000000" w:themeColor="text1"/>
                <w:szCs w:val="24"/>
              </w:rPr>
              <w:t>1 441</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9BD7ED8"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rPr>
                <w:color w:val="000000" w:themeColor="text1"/>
                <w:szCs w:val="24"/>
              </w:rPr>
              <w:t>0,09%</w:t>
            </w:r>
          </w:p>
        </w:tc>
      </w:tr>
      <w:tr w:rsidR="0031628C" w:rsidRPr="00B91EE1" w14:paraId="0874C9F8" w14:textId="77777777" w:rsidTr="006120E0">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5A348174" w14:textId="77777777" w:rsidR="0031628C" w:rsidRPr="00B91EE1" w:rsidRDefault="0031628C" w:rsidP="004522B1">
            <w:pPr>
              <w:pStyle w:val="Tabletext"/>
              <w:jc w:val="center"/>
              <w:rPr>
                <w:lang w:eastAsia="zh-CN"/>
              </w:rPr>
            </w:pPr>
            <w:r w:rsidRPr="00B91EE1">
              <w:rPr>
                <w:lang w:eastAsia="zh-CN"/>
              </w:rPr>
              <w:t>TF</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2B572917" w14:textId="4E048AEF"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color w:val="000000"/>
                <w:lang w:eastAsia="zh-CN"/>
              </w:rPr>
            </w:pP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49D02B0D" w14:textId="5FE4224B"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2106771"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t>97</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A5D2C19"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t>466</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437190F3"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color w:val="000000" w:themeColor="text1"/>
                <w:szCs w:val="24"/>
              </w:rPr>
              <w:t>563</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6D29A42"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rPr>
                <w:color w:val="000000" w:themeColor="text1"/>
                <w:szCs w:val="24"/>
              </w:rPr>
              <w:t>0,04%</w:t>
            </w:r>
          </w:p>
        </w:tc>
      </w:tr>
      <w:tr w:rsidR="0031628C" w:rsidRPr="00B91EE1" w14:paraId="475A6059" w14:textId="77777777" w:rsidTr="006120E0">
        <w:trPr>
          <w:trHeight w:val="361"/>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0374E978" w14:textId="77777777" w:rsidR="0031628C" w:rsidRPr="00B91EE1" w:rsidRDefault="0031628C" w:rsidP="004522B1">
            <w:pPr>
              <w:pStyle w:val="Tabletext"/>
              <w:jc w:val="center"/>
              <w:rPr>
                <w:szCs w:val="22"/>
                <w:lang w:eastAsia="zh-CN"/>
              </w:rPr>
            </w:pPr>
            <w:r w:rsidRPr="00B91EE1">
              <w:rPr>
                <w:szCs w:val="22"/>
                <w:lang w:eastAsia="zh-CN"/>
              </w:rPr>
              <w:t>BR</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tcPr>
          <w:p w14:paraId="372D40D0"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91EE1">
              <w:t>99</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tcPr>
          <w:p w14:paraId="5E1C4972"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91EE1">
              <w:t>72</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E3A8B1A"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91EE1">
              <w:t>61</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6F76BD8"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91EE1">
              <w:t>88</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hideMark/>
          </w:tcPr>
          <w:p w14:paraId="7CF0F9A2"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b/>
                <w:bCs/>
                <w:szCs w:val="22"/>
                <w:lang w:eastAsia="zh-CN"/>
              </w:rPr>
            </w:pPr>
            <w:r w:rsidRPr="00B91EE1">
              <w:rPr>
                <w:b/>
                <w:bCs/>
                <w:color w:val="000000" w:themeColor="text1"/>
                <w:szCs w:val="24"/>
              </w:rPr>
              <w:t>320</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3A5B696"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szCs w:val="22"/>
                <w:lang w:eastAsia="zh-CN"/>
              </w:rPr>
            </w:pPr>
            <w:r w:rsidRPr="00B91EE1">
              <w:rPr>
                <w:color w:val="000000" w:themeColor="text1"/>
                <w:szCs w:val="24"/>
              </w:rPr>
              <w:t>0,02%</w:t>
            </w:r>
          </w:p>
        </w:tc>
      </w:tr>
      <w:tr w:rsidR="0031628C" w:rsidRPr="00B91EE1" w14:paraId="0886A134" w14:textId="77777777" w:rsidTr="006120E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FFFFFF" w:themeColor="background1"/>
              <w:right w:val="single" w:sz="4" w:space="0" w:color="FFFFFF" w:themeColor="background1"/>
            </w:tcBorders>
            <w:noWrap/>
            <w:vAlign w:val="center"/>
            <w:hideMark/>
          </w:tcPr>
          <w:p w14:paraId="712F1796" w14:textId="77777777" w:rsidR="0031628C" w:rsidRPr="00B91EE1" w:rsidRDefault="0031628C" w:rsidP="004522B1">
            <w:pPr>
              <w:pStyle w:val="Tabletext"/>
              <w:jc w:val="center"/>
              <w:rPr>
                <w:lang w:eastAsia="zh-CN"/>
              </w:rPr>
            </w:pPr>
            <w:r w:rsidRPr="00B91EE1">
              <w:rPr>
                <w:b w:val="0"/>
                <w:bCs w:val="0"/>
                <w:szCs w:val="22"/>
                <w:lang w:eastAsia="zh-CN"/>
              </w:rPr>
              <w:t>TOTAL</w:t>
            </w:r>
          </w:p>
        </w:tc>
        <w:tc>
          <w:tcPr>
            <w:tcW w:w="1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6A8CCDB"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rPr>
              <w:t>332 191</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4C7AEAD"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rPr>
              <w:t>362 382</w:t>
            </w:r>
          </w:p>
        </w:tc>
        <w:tc>
          <w:tcPr>
            <w:tcW w:w="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B84D067"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rPr>
              <w:t>459 521</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13BEA0B"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rPr>
              <w:t>380 758</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28E6DC1"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color w:val="000000" w:themeColor="text1"/>
              </w:rPr>
              <w:t>1 534 852</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156314"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rPr>
                <w:color w:val="000000" w:themeColor="text1"/>
                <w:szCs w:val="24"/>
              </w:rPr>
              <w:t>100,00%</w:t>
            </w:r>
          </w:p>
        </w:tc>
      </w:tr>
    </w:tbl>
    <w:p w14:paraId="3247F185" w14:textId="77777777" w:rsidR="0031628C" w:rsidRPr="00B91EE1" w:rsidRDefault="0031628C" w:rsidP="004522B1">
      <w:pPr>
        <w:pStyle w:val="Heading4"/>
      </w:pPr>
      <w:r w:rsidRPr="00B91EE1">
        <w:t>8.1.4.4</w:t>
      </w:r>
      <w:r w:rsidRPr="00B91EE1">
        <w:tab/>
        <w:t>Manuels</w:t>
      </w:r>
    </w:p>
    <w:p w14:paraId="0D094533" w14:textId="0B3B75CC" w:rsidR="0031628C" w:rsidRPr="00B91EE1" w:rsidRDefault="0031628C" w:rsidP="004522B1">
      <w:r w:rsidRPr="00B91EE1">
        <w:t>Suite à la décision prise par le Directeur du BR en 2017, tous les Manuels de l</w:t>
      </w:r>
      <w:r w:rsidR="00392F9A" w:rsidRPr="00B91EE1">
        <w:t>'</w:t>
      </w:r>
      <w:r w:rsidRPr="00B91EE1">
        <w:t>UIT-R peuvent désormais être téléchargés gratuitement depuis le site web de l</w:t>
      </w:r>
      <w:r w:rsidR="00392F9A" w:rsidRPr="00B91EE1">
        <w:t>'</w:t>
      </w:r>
      <w:r w:rsidRPr="00B91EE1">
        <w:t>UIT. Depuis, le nombre de téléchargements a augmenté de façon constante et plus de 100 000 téléchargements ont été enregistrés en 2022. Le Tableau 8.1.4.4-1 illustre la répartition des ventes de Manuels de l</w:t>
      </w:r>
      <w:r w:rsidR="00392F9A" w:rsidRPr="00B91EE1">
        <w:t>'</w:t>
      </w:r>
      <w:r w:rsidRPr="00B91EE1">
        <w:t>UIT R de la série sur la gestion du spectre et d</w:t>
      </w:r>
      <w:r w:rsidR="00392F9A" w:rsidRPr="00B91EE1">
        <w:t>'</w:t>
      </w:r>
      <w:r w:rsidRPr="00B91EE1">
        <w:t>autres Manuels.</w:t>
      </w:r>
    </w:p>
    <w:p w14:paraId="37B06CC0" w14:textId="6B035950" w:rsidR="0031628C" w:rsidRPr="00B91EE1" w:rsidRDefault="0031628C" w:rsidP="004522B1">
      <w:r w:rsidRPr="00B91EE1">
        <w:t>À ce jour, 47 Manuels de l</w:t>
      </w:r>
      <w:r w:rsidR="00392F9A" w:rsidRPr="00B91EE1">
        <w:t>'</w:t>
      </w:r>
      <w:r w:rsidRPr="00B91EE1">
        <w:t>UIT-R au total ont été publiés, notamment dans la série sur la gestion du spectre.</w:t>
      </w:r>
    </w:p>
    <w:p w14:paraId="0648D693" w14:textId="77777777" w:rsidR="0031628C" w:rsidRPr="00B91EE1" w:rsidRDefault="0031628C" w:rsidP="004522B1">
      <w:pPr>
        <w:tabs>
          <w:tab w:val="clear" w:pos="794"/>
          <w:tab w:val="clear" w:pos="1191"/>
          <w:tab w:val="clear" w:pos="1588"/>
          <w:tab w:val="clear" w:pos="1985"/>
        </w:tabs>
        <w:overflowPunct/>
        <w:autoSpaceDE/>
        <w:autoSpaceDN/>
        <w:adjustRightInd/>
        <w:spacing w:before="0"/>
        <w:textAlignment w:val="auto"/>
        <w:rPr>
          <w:sz w:val="22"/>
        </w:rPr>
      </w:pPr>
      <w:r w:rsidRPr="00B91EE1">
        <w:br w:type="page"/>
      </w:r>
    </w:p>
    <w:p w14:paraId="335C6A31" w14:textId="77777777" w:rsidR="0031628C" w:rsidRPr="00B91EE1" w:rsidRDefault="0031628C" w:rsidP="004522B1">
      <w:pPr>
        <w:pStyle w:val="TableNoBR"/>
      </w:pPr>
      <w:r w:rsidRPr="00B91EE1">
        <w:lastRenderedPageBreak/>
        <w:t>TABLEAU 8.1.4.4-1</w:t>
      </w:r>
    </w:p>
    <w:p w14:paraId="7B62BAC1" w14:textId="0C59F70A" w:rsidR="0031628C" w:rsidRPr="00B91EE1" w:rsidRDefault="0031628C" w:rsidP="004522B1">
      <w:pPr>
        <w:pStyle w:val="TableNotitle"/>
        <w:spacing w:before="0"/>
      </w:pPr>
      <w:r w:rsidRPr="00B91EE1">
        <w:t>Répartition des Manuels de l</w:t>
      </w:r>
      <w:r w:rsidR="00392F9A" w:rsidRPr="00B91EE1">
        <w:t>'</w:t>
      </w:r>
      <w:r w:rsidRPr="00B91EE1">
        <w:t>UIT-R de la série sur la gestion du spectre et des autres Manuels</w:t>
      </w:r>
    </w:p>
    <w:tbl>
      <w:tblPr>
        <w:tblStyle w:val="GridTable5Dark-Accent11"/>
        <w:tblW w:w="10091" w:type="dxa"/>
        <w:jc w:val="center"/>
        <w:tblLayout w:type="fixed"/>
        <w:tblLook w:val="04A0" w:firstRow="1" w:lastRow="0" w:firstColumn="1" w:lastColumn="0" w:noHBand="0" w:noVBand="1"/>
      </w:tblPr>
      <w:tblGrid>
        <w:gridCol w:w="4195"/>
        <w:gridCol w:w="1474"/>
        <w:gridCol w:w="1474"/>
        <w:gridCol w:w="1474"/>
        <w:gridCol w:w="1474"/>
      </w:tblGrid>
      <w:tr w:rsidR="0031628C" w:rsidRPr="00B91EE1" w14:paraId="21F3F94E" w14:textId="77777777" w:rsidTr="006120E0">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4195" w:type="dxa"/>
            <w:tcBorders>
              <w:bottom w:val="single" w:sz="4" w:space="0" w:color="FFFFFF" w:themeColor="background1"/>
            </w:tcBorders>
            <w:vAlign w:val="center"/>
            <w:hideMark/>
          </w:tcPr>
          <w:p w14:paraId="15A37FF8" w14:textId="77777777" w:rsidR="0031628C" w:rsidRPr="00B91EE1" w:rsidRDefault="0031628C" w:rsidP="004522B1">
            <w:pPr>
              <w:pStyle w:val="Tablehead"/>
              <w:rPr>
                <w:b/>
                <w:bCs w:val="0"/>
                <w:lang w:eastAsia="zh-CN"/>
              </w:rPr>
            </w:pPr>
            <w:bookmarkStart w:id="146" w:name="lt_pId1020"/>
            <w:r w:rsidRPr="00B91EE1">
              <w:rPr>
                <w:b/>
                <w:bCs w:val="0"/>
                <w:lang w:eastAsia="zh-CN"/>
              </w:rPr>
              <w:t>Manuel</w:t>
            </w:r>
            <w:bookmarkEnd w:id="146"/>
            <w:r w:rsidRPr="00B91EE1">
              <w:rPr>
                <w:b/>
                <w:bCs w:val="0"/>
                <w:lang w:eastAsia="zh-CN"/>
              </w:rPr>
              <w:t>s</w:t>
            </w:r>
          </w:p>
        </w:tc>
        <w:tc>
          <w:tcPr>
            <w:tcW w:w="1474" w:type="dxa"/>
            <w:tcBorders>
              <w:bottom w:val="single" w:sz="4" w:space="0" w:color="FFFFFF" w:themeColor="background1"/>
            </w:tcBorders>
            <w:vAlign w:val="center"/>
            <w:hideMark/>
          </w:tcPr>
          <w:p w14:paraId="3C70F854"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2019</w:t>
            </w:r>
          </w:p>
        </w:tc>
        <w:tc>
          <w:tcPr>
            <w:tcW w:w="1474" w:type="dxa"/>
            <w:tcBorders>
              <w:bottom w:val="single" w:sz="4" w:space="0" w:color="FFFFFF" w:themeColor="background1"/>
            </w:tcBorders>
            <w:vAlign w:val="center"/>
            <w:hideMark/>
          </w:tcPr>
          <w:p w14:paraId="54F380F0"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2020</w:t>
            </w:r>
          </w:p>
        </w:tc>
        <w:tc>
          <w:tcPr>
            <w:tcW w:w="1474" w:type="dxa"/>
            <w:tcBorders>
              <w:bottom w:val="single" w:sz="4" w:space="0" w:color="FFFFFF" w:themeColor="background1"/>
            </w:tcBorders>
            <w:vAlign w:val="center"/>
            <w:hideMark/>
          </w:tcPr>
          <w:p w14:paraId="1CA64989"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lang w:eastAsia="zh-CN"/>
              </w:rPr>
              <w:t>2021</w:t>
            </w:r>
          </w:p>
        </w:tc>
        <w:tc>
          <w:tcPr>
            <w:tcW w:w="1474" w:type="dxa"/>
            <w:tcBorders>
              <w:bottom w:val="single" w:sz="4" w:space="0" w:color="FFFFFF" w:themeColor="background1"/>
            </w:tcBorders>
            <w:vAlign w:val="center"/>
            <w:hideMark/>
          </w:tcPr>
          <w:p w14:paraId="325FD826" w14:textId="77777777" w:rsidR="0031628C" w:rsidRPr="00B91EE1" w:rsidRDefault="0031628C" w:rsidP="004522B1">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B91EE1">
              <w:rPr>
                <w:b/>
                <w:bCs w:val="0"/>
                <w:color w:val="FFFFFF"/>
                <w:lang w:eastAsia="zh-CN"/>
              </w:rPr>
              <w:t>2022</w:t>
            </w:r>
          </w:p>
        </w:tc>
      </w:tr>
      <w:tr w:rsidR="0031628C" w:rsidRPr="00B91EE1" w14:paraId="4726DE0B" w14:textId="77777777" w:rsidTr="006120E0">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19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27AFF476" w14:textId="77777777" w:rsidR="0031628C" w:rsidRPr="00B91EE1" w:rsidRDefault="0031628C" w:rsidP="004522B1">
            <w:pPr>
              <w:pStyle w:val="Tabletext"/>
              <w:jc w:val="center"/>
              <w:rPr>
                <w:lang w:eastAsia="zh-CN"/>
              </w:rPr>
            </w:pPr>
            <w:bookmarkStart w:id="147" w:name="lt_pId1023"/>
            <w:r w:rsidRPr="00B91EE1">
              <w:rPr>
                <w:lang w:eastAsia="zh-CN"/>
              </w:rPr>
              <w:t>Série sur la gestion du spectre</w:t>
            </w:r>
            <w:bookmarkEnd w:id="147"/>
            <w:r w:rsidRPr="00B91EE1">
              <w:rPr>
                <w:lang w:eastAsia="zh-CN"/>
              </w:rPr>
              <w:t xml:space="preserve"> </w:t>
            </w:r>
            <w:r w:rsidRPr="00B91EE1">
              <w:rPr>
                <w:color w:val="FFFFFF"/>
                <w:lang w:eastAsia="zh-CN"/>
              </w:rPr>
              <w:t>(Exemplaires papier vendus)</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4422584"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rPr>
                <w:lang w:eastAsia="zh-CN"/>
              </w:rPr>
              <w:t>9</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8A5F9D8"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rPr>
                <w:lang w:eastAsia="zh-CN"/>
              </w:rPr>
              <w:t>3</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26E927C"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rPr>
                <w:lang w:eastAsia="zh-CN"/>
              </w:rPr>
              <w:t>5</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6F66FAB"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lang w:eastAsia="zh-CN"/>
              </w:rPr>
            </w:pPr>
            <w:r w:rsidRPr="00B91EE1">
              <w:rPr>
                <w:color w:val="000000"/>
                <w:lang w:eastAsia="zh-CN"/>
              </w:rPr>
              <w:t>0</w:t>
            </w:r>
          </w:p>
        </w:tc>
      </w:tr>
      <w:tr w:rsidR="0031628C" w:rsidRPr="00B91EE1" w14:paraId="4770EF5B" w14:textId="77777777" w:rsidTr="006120E0">
        <w:trPr>
          <w:trHeight w:val="675"/>
          <w:jc w:val="center"/>
        </w:trPr>
        <w:tc>
          <w:tcPr>
            <w:cnfStyle w:val="001000000000" w:firstRow="0" w:lastRow="0" w:firstColumn="1" w:lastColumn="0" w:oddVBand="0" w:evenVBand="0" w:oddHBand="0" w:evenHBand="0" w:firstRowFirstColumn="0" w:firstRowLastColumn="0" w:lastRowFirstColumn="0" w:lastRowLastColumn="0"/>
            <w:tcW w:w="419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39212D8E" w14:textId="77777777" w:rsidR="0031628C" w:rsidRPr="00B91EE1" w:rsidRDefault="0031628C" w:rsidP="004522B1">
            <w:pPr>
              <w:pStyle w:val="Tabletext"/>
              <w:jc w:val="center"/>
              <w:rPr>
                <w:lang w:eastAsia="zh-CN"/>
              </w:rPr>
            </w:pPr>
            <w:bookmarkStart w:id="148" w:name="lt_pId1026"/>
            <w:r w:rsidRPr="00B91EE1">
              <w:rPr>
                <w:lang w:eastAsia="zh-CN"/>
              </w:rPr>
              <w:t>Autres Manuels</w:t>
            </w:r>
            <w:bookmarkEnd w:id="148"/>
            <w:r w:rsidRPr="00B91EE1">
              <w:rPr>
                <w:lang w:eastAsia="zh-CN"/>
              </w:rPr>
              <w:t xml:space="preserve"> </w:t>
            </w:r>
            <w:r w:rsidRPr="00B91EE1">
              <w:rPr>
                <w:color w:val="FFFFFF"/>
                <w:lang w:eastAsia="zh-CN"/>
              </w:rPr>
              <w:t>(Exemplaires papier vendus)</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8DD6718"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rPr>
                <w:lang w:eastAsia="zh-CN"/>
              </w:rPr>
              <w:t>20</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0C8DAA2"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rPr>
                <w:lang w:eastAsia="zh-CN"/>
              </w:rPr>
              <w:t>4</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4786DAA"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rPr>
                <w:lang w:eastAsia="zh-CN"/>
              </w:rPr>
              <w:t>5</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13F37D"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r w:rsidRPr="00B91EE1">
              <w:rPr>
                <w:color w:val="000000"/>
                <w:lang w:eastAsia="zh-CN"/>
              </w:rPr>
              <w:t>4</w:t>
            </w:r>
          </w:p>
        </w:tc>
      </w:tr>
      <w:tr w:rsidR="0031628C" w:rsidRPr="00B91EE1" w14:paraId="708477B1" w14:textId="77777777" w:rsidTr="006120E0">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419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529B5418" w14:textId="77777777" w:rsidR="0031628C" w:rsidRPr="00B91EE1" w:rsidRDefault="0031628C" w:rsidP="004522B1">
            <w:pPr>
              <w:pStyle w:val="Tabletext"/>
              <w:jc w:val="center"/>
              <w:rPr>
                <w:lang w:eastAsia="zh-CN"/>
              </w:rPr>
            </w:pPr>
            <w:bookmarkStart w:id="149" w:name="lt_pId1029"/>
            <w:r w:rsidRPr="00B91EE1">
              <w:rPr>
                <w:lang w:eastAsia="zh-CN"/>
              </w:rPr>
              <w:t>TOTAL GÉNÉRAL</w:t>
            </w:r>
            <w:bookmarkEnd w:id="149"/>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BF5F4FC"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lang w:eastAsia="zh-CN"/>
              </w:rPr>
              <w:t>29</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5C44057"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lang w:eastAsia="zh-CN"/>
              </w:rPr>
              <w:t>7</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4E50673"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lang w:eastAsia="zh-CN"/>
              </w:rPr>
              <w:t>10</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1353024"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color w:val="000000"/>
                <w:lang w:eastAsia="zh-CN"/>
              </w:rPr>
              <w:t>4</w:t>
            </w:r>
          </w:p>
        </w:tc>
      </w:tr>
      <w:tr w:rsidR="0031628C" w:rsidRPr="00B91EE1" w14:paraId="47A3418E" w14:textId="77777777" w:rsidTr="006120E0">
        <w:trPr>
          <w:trHeight w:val="570"/>
          <w:jc w:val="center"/>
        </w:trPr>
        <w:tc>
          <w:tcPr>
            <w:cnfStyle w:val="001000000000" w:firstRow="0" w:lastRow="0" w:firstColumn="1" w:lastColumn="0" w:oddVBand="0" w:evenVBand="0" w:oddHBand="0" w:evenHBand="0" w:firstRowFirstColumn="0" w:firstRowLastColumn="0" w:lastRowFirstColumn="0" w:lastRowLastColumn="0"/>
            <w:tcW w:w="4195" w:type="dxa"/>
            <w:tcBorders>
              <w:top w:val="single" w:sz="4" w:space="0" w:color="FFFFFF" w:themeColor="background1"/>
              <w:bottom w:val="single" w:sz="4" w:space="0" w:color="FFFFFF" w:themeColor="background1"/>
              <w:right w:val="single" w:sz="4" w:space="0" w:color="FFFFFF" w:themeColor="background1"/>
            </w:tcBorders>
            <w:vAlign w:val="center"/>
          </w:tcPr>
          <w:p w14:paraId="24F0BE5C" w14:textId="77777777" w:rsidR="0031628C" w:rsidRPr="00B91EE1" w:rsidRDefault="0031628C" w:rsidP="004522B1">
            <w:pPr>
              <w:pStyle w:val="Tabletext"/>
              <w:jc w:val="center"/>
              <w:rPr>
                <w:lang w:eastAsia="zh-CN"/>
              </w:rPr>
            </w:pP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C39495"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27E4B4"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7DBFA7"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2E69F3" w14:textId="77777777" w:rsidR="0031628C" w:rsidRPr="00B91EE1" w:rsidRDefault="0031628C" w:rsidP="004522B1">
            <w:pPr>
              <w:pStyle w:val="Tabletext"/>
              <w:jc w:val="center"/>
              <w:cnfStyle w:val="000000000000" w:firstRow="0" w:lastRow="0" w:firstColumn="0" w:lastColumn="0" w:oddVBand="0" w:evenVBand="0" w:oddHBand="0" w:evenHBand="0" w:firstRowFirstColumn="0" w:firstRowLastColumn="0" w:lastRowFirstColumn="0" w:lastRowLastColumn="0"/>
              <w:rPr>
                <w:lang w:eastAsia="zh-CN"/>
              </w:rPr>
            </w:pPr>
          </w:p>
        </w:tc>
      </w:tr>
      <w:tr w:rsidR="0031628C" w:rsidRPr="00B91EE1" w14:paraId="19FA5AA0" w14:textId="77777777" w:rsidTr="006120E0">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4195" w:type="dxa"/>
            <w:tcBorders>
              <w:top w:val="single" w:sz="4" w:space="0" w:color="FFFFFF" w:themeColor="background1"/>
              <w:right w:val="single" w:sz="4" w:space="0" w:color="FFFFFF" w:themeColor="background1"/>
            </w:tcBorders>
            <w:vAlign w:val="center"/>
            <w:hideMark/>
          </w:tcPr>
          <w:p w14:paraId="5D16B9DA" w14:textId="77777777" w:rsidR="0031628C" w:rsidRPr="00B91EE1" w:rsidRDefault="0031628C" w:rsidP="004522B1">
            <w:pPr>
              <w:pStyle w:val="Tabletext"/>
              <w:jc w:val="center"/>
              <w:rPr>
                <w:lang w:eastAsia="zh-CN"/>
              </w:rPr>
            </w:pPr>
            <w:r w:rsidRPr="00B91EE1">
              <w:rPr>
                <w:color w:val="FFFFFF"/>
                <w:lang w:eastAsia="zh-CN"/>
              </w:rPr>
              <w:t>Téléchargements gratuits</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BE4D528"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color w:val="000000"/>
                <w:lang w:eastAsia="zh-CN"/>
              </w:rPr>
              <w:t>68 507</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4D24E21"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color w:val="000000"/>
                <w:lang w:eastAsia="zh-CN"/>
              </w:rPr>
              <w:t>79 961</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30BFF5D"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lang w:eastAsia="zh-CN"/>
              </w:rPr>
            </w:pPr>
            <w:r w:rsidRPr="00B91EE1">
              <w:rPr>
                <w:b/>
                <w:bCs/>
                <w:color w:val="000000"/>
                <w:lang w:eastAsia="zh-CN"/>
              </w:rPr>
              <w:t>126 201</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E504F2D" w14:textId="77777777" w:rsidR="0031628C" w:rsidRPr="00B91EE1" w:rsidRDefault="0031628C" w:rsidP="004522B1">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lang w:eastAsia="zh-CN"/>
              </w:rPr>
            </w:pPr>
            <w:r w:rsidRPr="00B91EE1">
              <w:rPr>
                <w:b/>
                <w:bCs/>
                <w:color w:val="000000"/>
                <w:lang w:eastAsia="zh-CN"/>
              </w:rPr>
              <w:t>134 159</w:t>
            </w:r>
          </w:p>
        </w:tc>
      </w:tr>
    </w:tbl>
    <w:p w14:paraId="4A581AE9" w14:textId="77777777" w:rsidR="0031628C" w:rsidRPr="00B91EE1" w:rsidRDefault="0031628C" w:rsidP="004522B1">
      <w:pPr>
        <w:pStyle w:val="Heading2"/>
      </w:pPr>
      <w:r w:rsidRPr="00B91EE1">
        <w:t>8.2</w:t>
      </w:r>
      <w:r w:rsidRPr="00B91EE1">
        <w:tab/>
        <w:t>Séminaires, ateliers et autres manifestations</w:t>
      </w:r>
    </w:p>
    <w:p w14:paraId="310D2733" w14:textId="601867C8" w:rsidR="0031628C" w:rsidRPr="00B91EE1" w:rsidRDefault="0031628C" w:rsidP="004522B1">
      <w:r w:rsidRPr="00B91EE1">
        <w:t>Depuis 2020, une nouvelle série de séminaires mondiaux et régionaux des radiocommunications (WRS/RRS) ont été organisés dans l</w:t>
      </w:r>
      <w:r w:rsidR="00392F9A" w:rsidRPr="00B91EE1">
        <w:t>'</w:t>
      </w:r>
      <w:r w:rsidRPr="00B91EE1">
        <w:t>intervalle entre deux CMR pour la période 2020-2023. Ces séminaires visent à diffuser, à l</w:t>
      </w:r>
      <w:r w:rsidR="00392F9A" w:rsidRPr="00B91EE1">
        <w:t>'</w:t>
      </w:r>
      <w:r w:rsidRPr="00B91EE1">
        <w:t>échelle mondiale, les mises à jour figurant dans l</w:t>
      </w:r>
      <w:r w:rsidR="00392F9A" w:rsidRPr="00B91EE1">
        <w:t>'</w:t>
      </w:r>
      <w:r w:rsidRPr="00B91EE1">
        <w:t>édition de 2020 du Règlement des radiocommunications (et les décisions prises par la CMR-19), ainsi que les Règles de procédure associées. Compte tenu de l</w:t>
      </w:r>
      <w:r w:rsidR="00392F9A" w:rsidRPr="00B91EE1">
        <w:t>'</w:t>
      </w:r>
      <w:r w:rsidRPr="00B91EE1">
        <w:t>expérience acquise précédemment dans le cadre des séminaires WRS/RRS, le BR prévoit d</w:t>
      </w:r>
      <w:r w:rsidR="00392F9A" w:rsidRPr="00B91EE1">
        <w:t>'</w:t>
      </w:r>
      <w:r w:rsidRPr="00B91EE1">
        <w:t>organiser pour la période 2020-2023 deux séminaires mondiaux des radiocommunications (WRS), tous les deux ans, complétés par onze séminaires régionaux des radiocommunications (RRS) (chacun ciblant une sous-région différente), conformément au calendrier suivant:</w:t>
      </w:r>
    </w:p>
    <w:p w14:paraId="60A59F19" w14:textId="77777777" w:rsidR="0031628C" w:rsidRPr="00B91EE1" w:rsidRDefault="0031628C" w:rsidP="00392F9A">
      <w:pPr>
        <w:pStyle w:val="TableNoBR"/>
        <w:keepNext w:val="0"/>
      </w:pPr>
      <w:r w:rsidRPr="00B91EE1">
        <w:t>TABLEAU 8.2.2-1</w:t>
      </w:r>
    </w:p>
    <w:tbl>
      <w:tblPr>
        <w:tblStyle w:val="GridTable4-Accent122"/>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694"/>
        <w:gridCol w:w="1554"/>
        <w:gridCol w:w="1527"/>
        <w:gridCol w:w="1381"/>
        <w:gridCol w:w="1628"/>
        <w:gridCol w:w="1134"/>
      </w:tblGrid>
      <w:tr w:rsidR="0021359F" w:rsidRPr="00B91EE1" w14:paraId="786789A6" w14:textId="77777777" w:rsidTr="00282792">
        <w:trPr>
          <w:cnfStyle w:val="100000000000" w:firstRow="1" w:lastRow="0" w:firstColumn="0" w:lastColumn="0" w:oddVBand="0" w:evenVBand="0" w:oddHBand="0" w:evenHBand="0" w:firstRowFirstColumn="0" w:firstRowLastColumn="0" w:lastRowFirstColumn="0" w:lastRowLastColumn="0"/>
          <w:trHeight w:val="375"/>
          <w:tblHeader/>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CD57E8A" w14:textId="77777777" w:rsidR="0031628C" w:rsidRPr="00B91EE1" w:rsidRDefault="0031628C" w:rsidP="00392F9A">
            <w:pPr>
              <w:pStyle w:val="Tablehead"/>
              <w:keepNext w:val="0"/>
              <w:jc w:val="left"/>
              <w:rPr>
                <w:color w:val="auto"/>
                <w:sz w:val="20"/>
                <w:szCs w:val="20"/>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442A9" w14:textId="77777777" w:rsidR="0031628C" w:rsidRPr="00B91EE1" w:rsidRDefault="0031628C" w:rsidP="00392F9A">
            <w:pPr>
              <w:pStyle w:val="Tablehead"/>
              <w:keepNext w:val="0"/>
              <w:cnfStyle w:val="100000000000" w:firstRow="1" w:lastRow="0" w:firstColumn="0" w:lastColumn="0" w:oddVBand="0" w:evenVBand="0" w:oddHBand="0" w:evenHBand="0" w:firstRowFirstColumn="0" w:firstRowLastColumn="0" w:lastRowFirstColumn="0" w:lastRowLastColumn="0"/>
              <w:rPr>
                <w:b/>
                <w:bCs w:val="0"/>
                <w:color w:val="auto"/>
                <w:sz w:val="20"/>
                <w:szCs w:val="20"/>
              </w:rPr>
            </w:pPr>
            <w:r w:rsidRPr="00B91EE1">
              <w:rPr>
                <w:b/>
                <w:bCs w:val="0"/>
                <w:color w:val="auto"/>
                <w:sz w:val="20"/>
                <w:szCs w:val="20"/>
              </w:rPr>
              <w:t>Langue</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E0EA8" w14:textId="77777777" w:rsidR="0031628C" w:rsidRPr="00B91EE1" w:rsidRDefault="0031628C" w:rsidP="00392F9A">
            <w:pPr>
              <w:pStyle w:val="Tablehead"/>
              <w:keepNext w:val="0"/>
              <w:cnfStyle w:val="100000000000" w:firstRow="1" w:lastRow="0" w:firstColumn="0" w:lastColumn="0" w:oddVBand="0" w:evenVBand="0" w:oddHBand="0" w:evenHBand="0" w:firstRowFirstColumn="0" w:firstRowLastColumn="0" w:lastRowFirstColumn="0" w:lastRowLastColumn="0"/>
              <w:rPr>
                <w:b/>
                <w:bCs w:val="0"/>
                <w:color w:val="auto"/>
                <w:sz w:val="20"/>
                <w:szCs w:val="20"/>
              </w:rPr>
            </w:pPr>
            <w:r w:rsidRPr="00B91EE1">
              <w:rPr>
                <w:b/>
                <w:bCs w:val="0"/>
                <w:color w:val="auto"/>
                <w:sz w:val="20"/>
                <w:szCs w:val="20"/>
              </w:rPr>
              <w:t>2020</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524E3" w14:textId="77777777" w:rsidR="0031628C" w:rsidRPr="00B91EE1" w:rsidRDefault="0031628C" w:rsidP="00392F9A">
            <w:pPr>
              <w:pStyle w:val="Tablehead"/>
              <w:keepNext w:val="0"/>
              <w:cnfStyle w:val="100000000000" w:firstRow="1" w:lastRow="0" w:firstColumn="0" w:lastColumn="0" w:oddVBand="0" w:evenVBand="0" w:oddHBand="0" w:evenHBand="0" w:firstRowFirstColumn="0" w:firstRowLastColumn="0" w:lastRowFirstColumn="0" w:lastRowLastColumn="0"/>
              <w:rPr>
                <w:b/>
                <w:bCs w:val="0"/>
                <w:color w:val="auto"/>
                <w:sz w:val="20"/>
                <w:szCs w:val="20"/>
              </w:rPr>
            </w:pPr>
            <w:r w:rsidRPr="00B91EE1">
              <w:rPr>
                <w:b/>
                <w:bCs w:val="0"/>
                <w:color w:val="auto"/>
                <w:sz w:val="20"/>
                <w:szCs w:val="20"/>
              </w:rPr>
              <w:t>2021</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4FAD9" w14:textId="77777777" w:rsidR="0031628C" w:rsidRPr="00B91EE1" w:rsidRDefault="0031628C" w:rsidP="00392F9A">
            <w:pPr>
              <w:pStyle w:val="Tablehead"/>
              <w:keepNext w:val="0"/>
              <w:cnfStyle w:val="100000000000" w:firstRow="1" w:lastRow="0" w:firstColumn="0" w:lastColumn="0" w:oddVBand="0" w:evenVBand="0" w:oddHBand="0" w:evenHBand="0" w:firstRowFirstColumn="0" w:firstRowLastColumn="0" w:lastRowFirstColumn="0" w:lastRowLastColumn="0"/>
              <w:rPr>
                <w:b/>
                <w:bCs w:val="0"/>
                <w:color w:val="auto"/>
                <w:sz w:val="20"/>
                <w:szCs w:val="20"/>
              </w:rPr>
            </w:pPr>
            <w:r w:rsidRPr="00B91EE1">
              <w:rPr>
                <w:b/>
                <w:bCs w:val="0"/>
                <w:color w:val="auto"/>
                <w:sz w:val="20"/>
                <w:szCs w:val="20"/>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81D44" w14:textId="77777777" w:rsidR="0031628C" w:rsidRPr="00B91EE1" w:rsidRDefault="0031628C" w:rsidP="00392F9A">
            <w:pPr>
              <w:pStyle w:val="Tablehead"/>
              <w:keepNext w:val="0"/>
              <w:cnfStyle w:val="100000000000" w:firstRow="1" w:lastRow="0" w:firstColumn="0" w:lastColumn="0" w:oddVBand="0" w:evenVBand="0" w:oddHBand="0" w:evenHBand="0" w:firstRowFirstColumn="0" w:firstRowLastColumn="0" w:lastRowFirstColumn="0" w:lastRowLastColumn="0"/>
              <w:rPr>
                <w:b/>
                <w:bCs w:val="0"/>
                <w:color w:val="auto"/>
                <w:sz w:val="20"/>
                <w:szCs w:val="20"/>
              </w:rPr>
            </w:pPr>
            <w:r w:rsidRPr="00B91EE1">
              <w:rPr>
                <w:b/>
                <w:bCs w:val="0"/>
                <w:color w:val="auto"/>
                <w:sz w:val="20"/>
                <w:szCs w:val="20"/>
              </w:rPr>
              <w:t>2023</w:t>
            </w:r>
          </w:p>
        </w:tc>
      </w:tr>
      <w:tr w:rsidR="0021359F" w:rsidRPr="00B91EE1" w14:paraId="162E88C6" w14:textId="77777777" w:rsidTr="0028279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89E3D" w14:textId="77777777" w:rsidR="0031628C" w:rsidRPr="00B91EE1" w:rsidRDefault="0031628C" w:rsidP="00392F9A">
            <w:pPr>
              <w:pStyle w:val="Tabletext"/>
              <w:rPr>
                <w:sz w:val="20"/>
                <w:szCs w:val="20"/>
              </w:rPr>
            </w:pPr>
            <w:r w:rsidRPr="00B91EE1">
              <w:rPr>
                <w:sz w:val="20"/>
                <w:szCs w:val="20"/>
              </w:rPr>
              <w:t>Afrique (subsaharienne): (2)</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B6A98" w14:textId="7F5A5DF8" w:rsidR="0031628C" w:rsidRPr="00B91EE1" w:rsidRDefault="0031628C" w:rsidP="00392F9A">
            <w:pPr>
              <w:pStyle w:val="Tabletext"/>
              <w:cnfStyle w:val="000000100000" w:firstRow="0" w:lastRow="0" w:firstColumn="0" w:lastColumn="0" w:oddVBand="0" w:evenVBand="0" w:oddHBand="1" w:evenHBand="0" w:firstRowFirstColumn="0" w:firstRowLastColumn="0" w:lastRowFirstColumn="0" w:lastRowLastColumn="0"/>
              <w:rPr>
                <w:sz w:val="20"/>
                <w:szCs w:val="20"/>
              </w:rPr>
            </w:pP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B51A4C" w14:textId="77777777" w:rsidR="0031628C" w:rsidRPr="00B91EE1" w:rsidRDefault="0031628C" w:rsidP="00392F9A">
            <w:pPr>
              <w:pStyle w:val="Tabletext"/>
              <w:cnfStyle w:val="000000100000" w:firstRow="0" w:lastRow="0" w:firstColumn="0" w:lastColumn="0" w:oddVBand="0" w:evenVBand="0" w:oddHBand="1" w:evenHBand="0" w:firstRowFirstColumn="0" w:firstRowLastColumn="0" w:lastRowFirstColumn="0" w:lastRowLastColumn="0"/>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49BE7740" w14:textId="77777777" w:rsidR="0031628C" w:rsidRPr="00B91EE1" w:rsidRDefault="0031628C" w:rsidP="00392F9A">
            <w:pPr>
              <w:pStyle w:val="Tabletext"/>
              <w:cnfStyle w:val="000000100000" w:firstRow="0" w:lastRow="0" w:firstColumn="0" w:lastColumn="0" w:oddVBand="0" w:evenVBand="0" w:oddHBand="1" w:evenHBand="0" w:firstRowFirstColumn="0" w:firstRowLastColumn="0" w:lastRowFirstColumn="0" w:lastRowLastColumn="0"/>
              <w:rPr>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F1C172" w14:textId="77777777" w:rsidR="0031628C" w:rsidRPr="00B91EE1" w:rsidRDefault="0031628C" w:rsidP="00392F9A">
            <w:pPr>
              <w:pStyle w:val="Tabletext"/>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796FB2C" w14:textId="77777777" w:rsidR="0031628C" w:rsidRPr="00B91EE1" w:rsidRDefault="0031628C" w:rsidP="00392F9A">
            <w:pPr>
              <w:pStyle w:val="Tabletext"/>
              <w:cnfStyle w:val="000000100000" w:firstRow="0" w:lastRow="0" w:firstColumn="0" w:lastColumn="0" w:oddVBand="0" w:evenVBand="0" w:oddHBand="1" w:evenHBand="0" w:firstRowFirstColumn="0" w:firstRowLastColumn="0" w:lastRowFirstColumn="0" w:lastRowLastColumn="0"/>
              <w:rPr>
                <w:sz w:val="20"/>
                <w:szCs w:val="20"/>
              </w:rPr>
            </w:pPr>
          </w:p>
        </w:tc>
      </w:tr>
      <w:tr w:rsidR="0021359F" w:rsidRPr="00B91EE1" w14:paraId="5CCE72FA" w14:textId="77777777" w:rsidTr="00282792">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1D9D7" w14:textId="77777777" w:rsidR="0031628C" w:rsidRPr="00B91EE1" w:rsidRDefault="0031628C" w:rsidP="00392F9A">
            <w:pPr>
              <w:pStyle w:val="Tabletext"/>
              <w:jc w:val="right"/>
              <w:rPr>
                <w:b w:val="0"/>
                <w:bCs w:val="0"/>
                <w:sz w:val="20"/>
                <w:szCs w:val="20"/>
              </w:rPr>
            </w:pPr>
            <w:r w:rsidRPr="00B91EE1">
              <w:rPr>
                <w:b w:val="0"/>
                <w:bCs w:val="0"/>
                <w:sz w:val="20"/>
                <w:szCs w:val="20"/>
              </w:rPr>
              <w:t>Afrique</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ED2A5" w14:textId="336525FC"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Anglais/Français</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F3A6A3"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C7283" w14:textId="32A7BDAD"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5</w:t>
            </w:r>
            <w:r w:rsidR="009C5C79" w:rsidRPr="00B91EE1">
              <w:rPr>
                <w:sz w:val="20"/>
                <w:szCs w:val="20"/>
              </w:rPr>
              <w:t>-</w:t>
            </w:r>
            <w:r w:rsidRPr="00B91EE1">
              <w:rPr>
                <w:sz w:val="20"/>
                <w:szCs w:val="20"/>
              </w:rPr>
              <w:t>16 juillet</w:t>
            </w:r>
            <w:r w:rsidRPr="00B91EE1">
              <w:rPr>
                <w:sz w:val="20"/>
                <w:szCs w:val="20"/>
              </w:rPr>
              <w:br/>
              <w:t>en ligne</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D1FE60"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91885B7" w14:textId="52359970"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19</w:t>
            </w:r>
            <w:r w:rsidR="009C5C79" w:rsidRPr="00B91EE1">
              <w:rPr>
                <w:sz w:val="20"/>
                <w:szCs w:val="20"/>
              </w:rPr>
              <w:t>-</w:t>
            </w:r>
            <w:r w:rsidRPr="00B91EE1">
              <w:rPr>
                <w:sz w:val="20"/>
                <w:szCs w:val="20"/>
              </w:rPr>
              <w:t>23 juin</w:t>
            </w:r>
            <w:r w:rsidRPr="00B91EE1">
              <w:rPr>
                <w:sz w:val="20"/>
                <w:szCs w:val="20"/>
              </w:rPr>
              <w:br/>
              <w:t>Brazzaville</w:t>
            </w:r>
            <w:r w:rsidR="0021359F" w:rsidRPr="00B91EE1">
              <w:rPr>
                <w:sz w:val="20"/>
                <w:szCs w:val="20"/>
              </w:rPr>
              <w:br/>
            </w:r>
            <w:r w:rsidRPr="00B91EE1">
              <w:rPr>
                <w:sz w:val="20"/>
                <w:szCs w:val="20"/>
              </w:rPr>
              <w:t>Congo</w:t>
            </w:r>
          </w:p>
        </w:tc>
      </w:tr>
      <w:tr w:rsidR="0021359F" w:rsidRPr="00B91EE1" w14:paraId="4DE2496E" w14:textId="77777777" w:rsidTr="0028279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DD52E" w14:textId="77777777" w:rsidR="0031628C" w:rsidRPr="00B91EE1" w:rsidRDefault="0031628C" w:rsidP="00392F9A">
            <w:pPr>
              <w:pStyle w:val="Tabletext"/>
              <w:rPr>
                <w:sz w:val="20"/>
                <w:szCs w:val="20"/>
              </w:rPr>
            </w:pPr>
            <w:r w:rsidRPr="00B91EE1">
              <w:rPr>
                <w:sz w:val="20"/>
                <w:szCs w:val="20"/>
              </w:rPr>
              <w:t>Amériques: (3)</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E884949"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704DDC"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3867D0AE"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BD824D"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E3C6457"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1359F" w:rsidRPr="00B91EE1" w14:paraId="71C22ED0" w14:textId="77777777" w:rsidTr="00282792">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7DA0C" w14:textId="77777777" w:rsidR="0031628C" w:rsidRPr="00B91EE1" w:rsidRDefault="0031628C" w:rsidP="00392F9A">
            <w:pPr>
              <w:pStyle w:val="Tabletext"/>
              <w:jc w:val="right"/>
              <w:rPr>
                <w:b w:val="0"/>
                <w:bCs w:val="0"/>
                <w:sz w:val="20"/>
                <w:szCs w:val="20"/>
              </w:rPr>
            </w:pPr>
            <w:r w:rsidRPr="00B91EE1">
              <w:rPr>
                <w:b w:val="0"/>
                <w:bCs w:val="0"/>
                <w:sz w:val="20"/>
                <w:szCs w:val="20"/>
              </w:rPr>
              <w:t>Amérique du Sud</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4FD6F"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Espagnol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DB8DEC"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087A7" w14:textId="0964C03B"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26 avril – 7</w:t>
            </w:r>
            <w:r w:rsidR="009C5C79" w:rsidRPr="00B91EE1">
              <w:rPr>
                <w:sz w:val="20"/>
                <w:szCs w:val="20"/>
              </w:rPr>
              <w:t> </w:t>
            </w:r>
            <w:r w:rsidRPr="00B91EE1">
              <w:rPr>
                <w:sz w:val="20"/>
                <w:szCs w:val="20"/>
              </w:rPr>
              <w:t>mai</w:t>
            </w:r>
            <w:r w:rsidRPr="00B91EE1">
              <w:rPr>
                <w:sz w:val="20"/>
                <w:szCs w:val="20"/>
              </w:rPr>
              <w:br/>
              <w:t>en ligne</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C0E152"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E90BD7C"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1359F" w:rsidRPr="00B91EE1" w14:paraId="07BE4C64" w14:textId="77777777" w:rsidTr="0028279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AC990" w14:textId="77777777" w:rsidR="0031628C" w:rsidRPr="00B91EE1" w:rsidRDefault="0031628C" w:rsidP="00392F9A">
            <w:pPr>
              <w:pStyle w:val="Tabletext"/>
              <w:jc w:val="right"/>
              <w:rPr>
                <w:b w:val="0"/>
                <w:bCs w:val="0"/>
                <w:sz w:val="20"/>
                <w:szCs w:val="20"/>
              </w:rPr>
            </w:pPr>
            <w:r w:rsidRPr="00B91EE1">
              <w:rPr>
                <w:b w:val="0"/>
                <w:bCs w:val="0"/>
                <w:sz w:val="20"/>
                <w:szCs w:val="20"/>
              </w:rPr>
              <w:t>Mésoamérique</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377A7"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B91EE1">
              <w:rPr>
                <w:sz w:val="20"/>
                <w:szCs w:val="20"/>
              </w:rPr>
              <w:t>Espagnol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F1E914"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8792EF"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1CBF9B"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F5C8C" w14:textId="524ECDF6"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B91EE1">
              <w:rPr>
                <w:sz w:val="20"/>
                <w:szCs w:val="20"/>
              </w:rPr>
              <w:t>8</w:t>
            </w:r>
            <w:r w:rsidR="009C5C79" w:rsidRPr="00B91EE1">
              <w:rPr>
                <w:sz w:val="20"/>
                <w:szCs w:val="20"/>
              </w:rPr>
              <w:t>-</w:t>
            </w:r>
            <w:r w:rsidRPr="00B91EE1">
              <w:rPr>
                <w:sz w:val="20"/>
                <w:szCs w:val="20"/>
              </w:rPr>
              <w:t>12 mai</w:t>
            </w:r>
            <w:r w:rsidRPr="00B91EE1">
              <w:rPr>
                <w:sz w:val="20"/>
                <w:szCs w:val="20"/>
              </w:rPr>
              <w:br/>
              <w:t>La Havane, Cuba</w:t>
            </w:r>
          </w:p>
        </w:tc>
      </w:tr>
      <w:tr w:rsidR="0021359F" w:rsidRPr="00B91EE1" w14:paraId="74901917" w14:textId="77777777" w:rsidTr="00282792">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55087" w14:textId="77777777" w:rsidR="0031628C" w:rsidRPr="00B91EE1" w:rsidRDefault="0031628C" w:rsidP="00392F9A">
            <w:pPr>
              <w:pStyle w:val="Tabletext"/>
              <w:jc w:val="right"/>
              <w:rPr>
                <w:b w:val="0"/>
                <w:bCs w:val="0"/>
                <w:sz w:val="20"/>
                <w:szCs w:val="20"/>
              </w:rPr>
            </w:pPr>
            <w:r w:rsidRPr="00B91EE1">
              <w:rPr>
                <w:b w:val="0"/>
                <w:bCs w:val="0"/>
                <w:sz w:val="20"/>
                <w:szCs w:val="20"/>
              </w:rPr>
              <w:t>Caraïbes</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F075C"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Anglais</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A36BA" w14:textId="344914FA"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13</w:t>
            </w:r>
            <w:r w:rsidR="009C5C79" w:rsidRPr="00B91EE1">
              <w:rPr>
                <w:sz w:val="20"/>
                <w:szCs w:val="20"/>
              </w:rPr>
              <w:t>-</w:t>
            </w:r>
            <w:r w:rsidRPr="00B91EE1">
              <w:rPr>
                <w:sz w:val="20"/>
                <w:szCs w:val="20"/>
              </w:rPr>
              <w:t>24 juillet</w:t>
            </w:r>
            <w:r w:rsidRPr="00B91EE1">
              <w:rPr>
                <w:sz w:val="20"/>
                <w:szCs w:val="20"/>
              </w:rPr>
              <w:br/>
              <w:t>en ligne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40926366"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4AFC1420"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39CE1D2"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1359F" w:rsidRPr="00B91EE1" w14:paraId="06105434" w14:textId="77777777" w:rsidTr="0028279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F8575" w14:textId="77777777" w:rsidR="0031628C" w:rsidRPr="00B91EE1" w:rsidRDefault="0031628C" w:rsidP="00392F9A">
            <w:pPr>
              <w:pStyle w:val="Tabletext"/>
              <w:keepNext/>
              <w:keepLines/>
              <w:rPr>
                <w:sz w:val="20"/>
                <w:szCs w:val="20"/>
              </w:rPr>
            </w:pPr>
            <w:r w:rsidRPr="00B91EE1">
              <w:rPr>
                <w:sz w:val="20"/>
                <w:szCs w:val="20"/>
              </w:rPr>
              <w:lastRenderedPageBreak/>
              <w:t>Asie-Pacifique: (3)</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F4FCE51" w14:textId="77777777" w:rsidR="0031628C" w:rsidRPr="00B91EE1" w:rsidRDefault="0031628C" w:rsidP="00392F9A">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AADA15" w14:textId="77777777" w:rsidR="0031628C" w:rsidRPr="00B91EE1" w:rsidRDefault="0031628C" w:rsidP="00392F9A">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2C7D3DC2" w14:textId="77777777" w:rsidR="0031628C" w:rsidRPr="00B91EE1" w:rsidRDefault="0031628C" w:rsidP="00392F9A">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B7050E" w14:textId="77777777" w:rsidR="0031628C" w:rsidRPr="00B91EE1" w:rsidRDefault="0031628C" w:rsidP="00392F9A">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749D22A" w14:textId="77777777" w:rsidR="0031628C" w:rsidRPr="00B91EE1" w:rsidRDefault="0031628C" w:rsidP="00392F9A">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1359F" w:rsidRPr="00B91EE1" w14:paraId="3962D244" w14:textId="77777777" w:rsidTr="00282792">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AF22F" w14:textId="77777777" w:rsidR="0031628C" w:rsidRPr="00B91EE1" w:rsidRDefault="0031628C" w:rsidP="00392F9A">
            <w:pPr>
              <w:pStyle w:val="Tabletext"/>
              <w:keepNext/>
              <w:keepLines/>
              <w:jc w:val="right"/>
              <w:rPr>
                <w:b w:val="0"/>
                <w:bCs w:val="0"/>
                <w:sz w:val="20"/>
                <w:szCs w:val="20"/>
              </w:rPr>
            </w:pPr>
            <w:r w:rsidRPr="00B91EE1">
              <w:rPr>
                <w:b w:val="0"/>
                <w:bCs w:val="0"/>
                <w:sz w:val="20"/>
                <w:szCs w:val="20"/>
              </w:rPr>
              <w:t>États insulaires du Pacifique</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9BDC0" w14:textId="77777777" w:rsidR="0031628C" w:rsidRPr="00B91EE1" w:rsidRDefault="0031628C" w:rsidP="00392F9A">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Anglais</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764B" w14:textId="77777777" w:rsidR="0031628C" w:rsidRPr="00B91EE1" w:rsidRDefault="0031628C" w:rsidP="00392F9A">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2C840BB7" w14:textId="77777777" w:rsidR="0031628C" w:rsidRPr="00B91EE1" w:rsidRDefault="0031628C" w:rsidP="00392F9A">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C2379B" w14:textId="12E6F3F0" w:rsidR="0031628C" w:rsidRPr="00B91EE1" w:rsidRDefault="0031628C" w:rsidP="00392F9A">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15-20</w:t>
            </w:r>
            <w:r w:rsidR="00282792" w:rsidRPr="00B91EE1">
              <w:rPr>
                <w:sz w:val="20"/>
                <w:szCs w:val="20"/>
              </w:rPr>
              <w:t> </w:t>
            </w:r>
            <w:r w:rsidRPr="00B91EE1">
              <w:rPr>
                <w:sz w:val="20"/>
                <w:szCs w:val="20"/>
              </w:rPr>
              <w:t>décembre</w:t>
            </w:r>
            <w:r w:rsidRPr="00B91EE1">
              <w:rPr>
                <w:sz w:val="20"/>
                <w:szCs w:val="20"/>
              </w:rPr>
              <w:br/>
              <w:t>(Nadi, Fidji)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5DC2421" w14:textId="77777777" w:rsidR="0031628C" w:rsidRPr="00B91EE1" w:rsidRDefault="0031628C" w:rsidP="00392F9A">
            <w:pPr>
              <w:pStyle w:val="Tabletext"/>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1359F" w:rsidRPr="00B91EE1" w14:paraId="5E09B2B7" w14:textId="77777777" w:rsidTr="0028279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295119" w14:textId="77777777" w:rsidR="0031628C" w:rsidRPr="00B91EE1" w:rsidRDefault="0031628C" w:rsidP="00392F9A">
            <w:pPr>
              <w:pStyle w:val="Tabletext"/>
              <w:keepNext/>
              <w:keepLines/>
              <w:jc w:val="right"/>
              <w:rPr>
                <w:b w:val="0"/>
                <w:bCs w:val="0"/>
                <w:sz w:val="20"/>
                <w:szCs w:val="20"/>
              </w:rPr>
            </w:pPr>
            <w:r w:rsidRPr="00B91EE1">
              <w:rPr>
                <w:b w:val="0"/>
                <w:bCs w:val="0"/>
                <w:sz w:val="20"/>
                <w:szCs w:val="20"/>
              </w:rPr>
              <w:t>Asie centrale</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8F01F" w14:textId="77777777" w:rsidR="0031628C" w:rsidRPr="00B91EE1" w:rsidRDefault="0031628C" w:rsidP="00392F9A">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B91EE1">
              <w:rPr>
                <w:sz w:val="20"/>
                <w:szCs w:val="20"/>
              </w:rPr>
              <w:t>Anglais</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C0860A" w14:textId="7C28812B" w:rsidR="0031628C" w:rsidRPr="00B91EE1" w:rsidRDefault="0031628C" w:rsidP="00392F9A">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B91EE1">
              <w:rPr>
                <w:sz w:val="20"/>
                <w:szCs w:val="20"/>
              </w:rPr>
              <w:t>19</w:t>
            </w:r>
            <w:r w:rsidR="009C5C79" w:rsidRPr="00B91EE1">
              <w:rPr>
                <w:sz w:val="20"/>
                <w:szCs w:val="20"/>
              </w:rPr>
              <w:t>-</w:t>
            </w:r>
            <w:r w:rsidRPr="00B91EE1">
              <w:rPr>
                <w:sz w:val="20"/>
                <w:szCs w:val="20"/>
              </w:rPr>
              <w:t xml:space="preserve">30 octobre </w:t>
            </w:r>
            <w:r w:rsidRPr="00B91EE1">
              <w:rPr>
                <w:sz w:val="20"/>
                <w:szCs w:val="20"/>
              </w:rPr>
              <w:br/>
              <w:t>en ligne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310FD" w14:textId="77777777" w:rsidR="0031628C" w:rsidRPr="00B91EE1" w:rsidRDefault="0031628C" w:rsidP="00392F9A">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0F8E34" w14:textId="77777777" w:rsidR="0031628C" w:rsidRPr="00B91EE1" w:rsidRDefault="0031628C" w:rsidP="00392F9A">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F47FE" w14:textId="77777777" w:rsidR="0031628C" w:rsidRPr="00B91EE1" w:rsidRDefault="0031628C" w:rsidP="00392F9A">
            <w:pPr>
              <w:pStyle w:val="Tabletext"/>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B91EE1">
              <w:rPr>
                <w:sz w:val="20"/>
                <w:szCs w:val="20"/>
              </w:rPr>
              <w:t>2ème trimestre</w:t>
            </w:r>
          </w:p>
        </w:tc>
      </w:tr>
      <w:tr w:rsidR="0021359F" w:rsidRPr="00B91EE1" w14:paraId="4F70C849" w14:textId="77777777" w:rsidTr="00282792">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9EF59" w14:textId="77777777" w:rsidR="0031628C" w:rsidRPr="00B91EE1" w:rsidRDefault="0031628C" w:rsidP="00392F9A">
            <w:pPr>
              <w:pStyle w:val="Tabletext"/>
              <w:jc w:val="right"/>
              <w:rPr>
                <w:b w:val="0"/>
                <w:bCs w:val="0"/>
                <w:sz w:val="20"/>
                <w:szCs w:val="20"/>
              </w:rPr>
            </w:pPr>
            <w:r w:rsidRPr="00B91EE1">
              <w:rPr>
                <w:b w:val="0"/>
                <w:bCs w:val="0"/>
                <w:sz w:val="20"/>
                <w:szCs w:val="20"/>
              </w:rPr>
              <w:t>Asie du Sud</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FED24"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Anglais</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966AD"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6424EA90" w14:textId="51FA0E2D"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11</w:t>
            </w:r>
            <w:r w:rsidR="009C5C79" w:rsidRPr="00B91EE1">
              <w:rPr>
                <w:sz w:val="20"/>
                <w:szCs w:val="20"/>
              </w:rPr>
              <w:t>-</w:t>
            </w:r>
            <w:r w:rsidRPr="00B91EE1">
              <w:rPr>
                <w:sz w:val="20"/>
                <w:szCs w:val="20"/>
              </w:rPr>
              <w:t>22 octobre</w:t>
            </w:r>
            <w:r w:rsidRPr="00B91EE1">
              <w:rPr>
                <w:sz w:val="20"/>
                <w:szCs w:val="20"/>
              </w:rPr>
              <w:br/>
              <w:t>en ligne</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478FEB"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F692302"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1359F" w:rsidRPr="00B91EE1" w14:paraId="6EAE4323" w14:textId="77777777" w:rsidTr="0028279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07A14" w14:textId="77777777" w:rsidR="0031628C" w:rsidRPr="00B91EE1" w:rsidRDefault="0031628C" w:rsidP="00392F9A">
            <w:pPr>
              <w:pStyle w:val="Tabletext"/>
              <w:rPr>
                <w:sz w:val="20"/>
                <w:szCs w:val="20"/>
              </w:rPr>
            </w:pPr>
            <w:r w:rsidRPr="00B91EE1">
              <w:rPr>
                <w:sz w:val="20"/>
                <w:szCs w:val="20"/>
              </w:rPr>
              <w:t>États arabes (1)</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817C6"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B91EE1">
              <w:rPr>
                <w:sz w:val="20"/>
                <w:szCs w:val="20"/>
              </w:rPr>
              <w:t>Arabe/Anglais</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54DDD9"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1CCF9C49"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B56D0" w14:textId="7FAAE4A5"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B91EE1">
              <w:rPr>
                <w:sz w:val="20"/>
                <w:szCs w:val="20"/>
              </w:rPr>
              <w:t>13</w:t>
            </w:r>
            <w:r w:rsidR="00B91EE1">
              <w:rPr>
                <w:sz w:val="20"/>
                <w:szCs w:val="20"/>
              </w:rPr>
              <w:t>-</w:t>
            </w:r>
            <w:r w:rsidRPr="00B91EE1">
              <w:rPr>
                <w:sz w:val="20"/>
                <w:szCs w:val="20"/>
              </w:rPr>
              <w:t>24 mars</w:t>
            </w:r>
            <w:r w:rsidRPr="00B91EE1">
              <w:rPr>
                <w:sz w:val="20"/>
                <w:szCs w:val="20"/>
              </w:rPr>
              <w:br/>
              <w:t>en ligne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2E4F8A"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1359F" w:rsidRPr="00B91EE1" w14:paraId="4E00BE6E" w14:textId="77777777" w:rsidTr="00282792">
        <w:trPr>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28609" w14:textId="77777777" w:rsidR="0031628C" w:rsidRPr="00B91EE1" w:rsidRDefault="0031628C" w:rsidP="00392F9A">
            <w:pPr>
              <w:pStyle w:val="Tabletext"/>
              <w:rPr>
                <w:sz w:val="20"/>
                <w:szCs w:val="20"/>
              </w:rPr>
            </w:pPr>
            <w:r w:rsidRPr="00B91EE1">
              <w:rPr>
                <w:sz w:val="20"/>
                <w:szCs w:val="20"/>
              </w:rPr>
              <w:t>CEI (1)</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CC589"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Russe</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62F06F"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0AAEC019"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C3687"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894C2C5"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À déterminer</w:t>
            </w:r>
          </w:p>
        </w:tc>
      </w:tr>
      <w:tr w:rsidR="0021359F" w:rsidRPr="00B91EE1" w14:paraId="3F573862" w14:textId="77777777" w:rsidTr="0028279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66B04" w14:textId="77777777" w:rsidR="0031628C" w:rsidRPr="00B91EE1" w:rsidRDefault="0031628C" w:rsidP="00392F9A">
            <w:pPr>
              <w:pStyle w:val="Tabletext"/>
              <w:rPr>
                <w:sz w:val="20"/>
                <w:szCs w:val="20"/>
              </w:rPr>
            </w:pPr>
            <w:r w:rsidRPr="00B91EE1">
              <w:rPr>
                <w:sz w:val="20"/>
                <w:szCs w:val="20"/>
              </w:rPr>
              <w:t>Europe (1)</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41EE4"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B91EE1">
              <w:rPr>
                <w:sz w:val="20"/>
                <w:szCs w:val="20"/>
              </w:rPr>
              <w:t>Anglais</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1F1A2"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754FC7C3"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tcPr>
          <w:p w14:paraId="10AF840C" w14:textId="6365096A"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B91EE1">
              <w:rPr>
                <w:sz w:val="20"/>
                <w:szCs w:val="20"/>
              </w:rPr>
              <w:t>30 août – 8</w:t>
            </w:r>
            <w:r w:rsidR="00282792" w:rsidRPr="00B91EE1">
              <w:rPr>
                <w:sz w:val="20"/>
                <w:szCs w:val="20"/>
              </w:rPr>
              <w:t> </w:t>
            </w:r>
            <w:r w:rsidRPr="00B91EE1">
              <w:rPr>
                <w:sz w:val="20"/>
                <w:szCs w:val="20"/>
              </w:rPr>
              <w:t>sep</w:t>
            </w:r>
            <w:r w:rsidR="0021359F" w:rsidRPr="00B91EE1">
              <w:rPr>
                <w:sz w:val="20"/>
                <w:szCs w:val="20"/>
              </w:rPr>
              <w:t>t</w:t>
            </w:r>
            <w:r w:rsidRPr="00B91EE1">
              <w:rPr>
                <w:sz w:val="20"/>
                <w:szCs w:val="20"/>
              </w:rPr>
              <w:t>embre</w:t>
            </w:r>
            <w:r w:rsidRPr="00B91EE1">
              <w:rPr>
                <w:sz w:val="20"/>
                <w:szCs w:val="20"/>
              </w:rPr>
              <w:br/>
              <w:t>en ligne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96BBE" w14:textId="77777777" w:rsidR="0031628C" w:rsidRPr="00B91EE1" w:rsidRDefault="0031628C" w:rsidP="00392F9A">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B91EE1">
              <w:rPr>
                <w:sz w:val="20"/>
                <w:szCs w:val="20"/>
              </w:rPr>
              <w:t>[2ème trimestre]</w:t>
            </w:r>
          </w:p>
        </w:tc>
      </w:tr>
      <w:tr w:rsidR="0021359F" w:rsidRPr="00B91EE1" w14:paraId="3CFB8831" w14:textId="77777777" w:rsidTr="00282792">
        <w:trPr>
          <w:trHeight w:val="45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AD1B5" w14:textId="77777777" w:rsidR="0031628C" w:rsidRPr="00B91EE1" w:rsidRDefault="0031628C" w:rsidP="00392F9A">
            <w:pPr>
              <w:pStyle w:val="Tabletext"/>
              <w:rPr>
                <w:sz w:val="20"/>
                <w:szCs w:val="20"/>
              </w:rPr>
            </w:pPr>
            <w:r w:rsidRPr="00B91EE1">
              <w:rPr>
                <w:sz w:val="20"/>
                <w:szCs w:val="20"/>
              </w:rPr>
              <w:t>Séminaire WRS (2)</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BD8E1" w14:textId="25308142"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Les six langues officielles de l</w:t>
            </w:r>
            <w:r w:rsidR="00392F9A" w:rsidRPr="00B91EE1">
              <w:rPr>
                <w:sz w:val="20"/>
                <w:szCs w:val="20"/>
              </w:rPr>
              <w:t>'</w:t>
            </w:r>
            <w:r w:rsidRPr="00B91EE1">
              <w:rPr>
                <w:sz w:val="20"/>
                <w:szCs w:val="20"/>
              </w:rPr>
              <w:t>ONU</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C1E8F" w14:textId="77777777" w:rsidR="0031628C" w:rsidRPr="00B91EE1" w:rsidRDefault="0031628C" w:rsidP="00392F9A">
            <w:pPr>
              <w:spacing w:before="40"/>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30 novembre – 11 décembre</w:t>
            </w:r>
            <w:r w:rsidRPr="00B91EE1">
              <w:rPr>
                <w:sz w:val="20"/>
                <w:szCs w:val="20"/>
              </w:rPr>
              <w:br/>
              <w:t>en ligne Hémisphère oriental: matin</w:t>
            </w:r>
          </w:p>
          <w:p w14:paraId="0E5D204E"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Hémisphère occidental: après</w:t>
            </w:r>
            <w:r w:rsidRPr="00B91EE1">
              <w:rPr>
                <w:sz w:val="20"/>
                <w:szCs w:val="20"/>
              </w:rPr>
              <w:noBreakHyphen/>
              <w:t>midi</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14:paraId="25AD0756"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F2E27"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B91EE1">
              <w:rPr>
                <w:sz w:val="20"/>
                <w:szCs w:val="20"/>
              </w:rPr>
              <w:t>24-28 octobre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D9A8C0C" w14:textId="77777777" w:rsidR="0031628C" w:rsidRPr="00B91EE1" w:rsidRDefault="0031628C" w:rsidP="00392F9A">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7F7B852B" w14:textId="12146984" w:rsidR="0031628C" w:rsidRPr="00B91EE1" w:rsidRDefault="0031628C" w:rsidP="004522B1">
      <w:r w:rsidRPr="00B91EE1">
        <w:t>Comme lors des périodes précédentes, afin d</w:t>
      </w:r>
      <w:r w:rsidR="00392F9A" w:rsidRPr="00B91EE1">
        <w:t>'</w:t>
      </w:r>
      <w:r w:rsidRPr="00B91EE1">
        <w:t>optimiser les ressources nécessaires, le calendrier ci</w:t>
      </w:r>
      <w:r w:rsidR="00DD37F3" w:rsidRPr="00B91EE1">
        <w:noBreakHyphen/>
      </w:r>
      <w:r w:rsidRPr="00B91EE1">
        <w:t>dessus est établi selon les principes suivants:</w:t>
      </w:r>
    </w:p>
    <w:p w14:paraId="40B0AED1" w14:textId="77777777" w:rsidR="0031628C" w:rsidRPr="00B91EE1" w:rsidRDefault="0031628C" w:rsidP="004522B1">
      <w:pPr>
        <w:pStyle w:val="enumlev1"/>
      </w:pPr>
      <w:r w:rsidRPr="00B91EE1">
        <w:t>–</w:t>
      </w:r>
      <w:r w:rsidRPr="00B91EE1">
        <w:tab/>
        <w:t>1er semestre de 2020: aucun séminaire RRS/WRS, mise à jour du RR et des outils logiciels associés.</w:t>
      </w:r>
    </w:p>
    <w:p w14:paraId="552F6CDA" w14:textId="77777777" w:rsidR="0031628C" w:rsidRPr="00B91EE1" w:rsidRDefault="0031628C" w:rsidP="004522B1">
      <w:pPr>
        <w:pStyle w:val="enumlev1"/>
      </w:pPr>
      <w:r w:rsidRPr="00B91EE1">
        <w:t>–</w:t>
      </w:r>
      <w:r w:rsidRPr="00B91EE1">
        <w:tab/>
        <w:t>2ème semestre de 2023: aucun séminaire RRS/WRS, préparation de la CMR-23 à venir.</w:t>
      </w:r>
    </w:p>
    <w:p w14:paraId="176FDABD" w14:textId="7356BC85" w:rsidR="0031628C" w:rsidRPr="00B91EE1" w:rsidRDefault="0031628C" w:rsidP="004522B1">
      <w:pPr>
        <w:pStyle w:val="enumlev1"/>
      </w:pPr>
      <w:r w:rsidRPr="00B91EE1">
        <w:t>–</w:t>
      </w:r>
      <w:r w:rsidRPr="00B91EE1">
        <w:tab/>
        <w:t>Deux séminaires WRS seront organisés pendant la période (tous les deux ans): WRS</w:t>
      </w:r>
      <w:r w:rsidR="006803A3" w:rsidRPr="00B91EE1">
        <w:noBreakHyphen/>
      </w:r>
      <w:r w:rsidRPr="00B91EE1">
        <w:t>20 et WRS</w:t>
      </w:r>
      <w:r w:rsidR="006803A3" w:rsidRPr="00B91EE1">
        <w:noBreakHyphen/>
      </w:r>
      <w:r w:rsidRPr="00B91EE1">
        <w:t>22.</w:t>
      </w:r>
    </w:p>
    <w:p w14:paraId="39273B95" w14:textId="77777777" w:rsidR="0031628C" w:rsidRPr="00B91EE1" w:rsidRDefault="0031628C" w:rsidP="004522B1">
      <w:pPr>
        <w:pStyle w:val="enumlev1"/>
      </w:pPr>
      <w:r w:rsidRPr="00B91EE1">
        <w:t>–</w:t>
      </w:r>
      <w:r w:rsidRPr="00B91EE1">
        <w:tab/>
        <w:t>Le premier séminaire WRS suivant une CMR (WRS-20) a compris une session spéciale au cours de laquelle les modifications apportées au RR par la CMR ont été expliquées de manière détaillée.</w:t>
      </w:r>
    </w:p>
    <w:p w14:paraId="3125A270" w14:textId="7ACC5964" w:rsidR="0031628C" w:rsidRPr="00B91EE1" w:rsidRDefault="0031628C" w:rsidP="004522B1">
      <w:pPr>
        <w:pStyle w:val="enumlev1"/>
      </w:pPr>
      <w:r w:rsidRPr="00B91EE1">
        <w:t>–</w:t>
      </w:r>
      <w:r w:rsidRPr="00B91EE1">
        <w:tab/>
        <w:t>Les deux séminaires RRS pour l</w:t>
      </w:r>
      <w:r w:rsidR="00392F9A" w:rsidRPr="00B91EE1">
        <w:t>'</w:t>
      </w:r>
      <w:r w:rsidRPr="00B91EE1">
        <w:t>Afrique ne se tiennent pas la même année que le séminaire WRS, étant donné que la participation aux séminaires RRS pour l</w:t>
      </w:r>
      <w:r w:rsidR="00392F9A" w:rsidRPr="00B91EE1">
        <w:t>'</w:t>
      </w:r>
      <w:r w:rsidRPr="00B91EE1">
        <w:t>Afrique est près de deux</w:t>
      </w:r>
      <w:r w:rsidR="009C5C79" w:rsidRPr="00B91EE1">
        <w:t> </w:t>
      </w:r>
      <w:r w:rsidRPr="00B91EE1">
        <w:t>fois supérieure à celle des autres séminaires RRS, et afin de tenir compte de la nécessité d</w:t>
      </w:r>
      <w:r w:rsidR="00392F9A" w:rsidRPr="00B91EE1">
        <w:t>'</w:t>
      </w:r>
      <w:r w:rsidRPr="00B91EE1">
        <w:t>assurer une répartition uniforme du budget alloué aux bourses.</w:t>
      </w:r>
    </w:p>
    <w:p w14:paraId="0BD57E54" w14:textId="0D6710BB" w:rsidR="0031628C" w:rsidRPr="00B91EE1" w:rsidRDefault="0031628C" w:rsidP="004522B1">
      <w:pPr>
        <w:pStyle w:val="enumlev1"/>
      </w:pPr>
      <w:r w:rsidRPr="00B91EE1">
        <w:t>–</w:t>
      </w:r>
      <w:r w:rsidRPr="00B91EE1">
        <w:tab/>
        <w:t>Les séminaires RRS se déroulent dans la ou les langues principales de la région, ce qui permettra de réduire les coûts liés à l</w:t>
      </w:r>
      <w:r w:rsidR="00392F9A" w:rsidRPr="00B91EE1">
        <w:t>'</w:t>
      </w:r>
      <w:r w:rsidRPr="00B91EE1">
        <w:t>interprétation et de faciliter l</w:t>
      </w:r>
      <w:r w:rsidR="00392F9A" w:rsidRPr="00B91EE1">
        <w:t>'</w:t>
      </w:r>
      <w:r w:rsidRPr="00B91EE1">
        <w:t>échange d</w:t>
      </w:r>
      <w:r w:rsidR="00392F9A" w:rsidRPr="00B91EE1">
        <w:t>'</w:t>
      </w:r>
      <w:r w:rsidRPr="00B91EE1">
        <w:t>informations pendant la manifestation.</w:t>
      </w:r>
    </w:p>
    <w:p w14:paraId="185C159D" w14:textId="77777777" w:rsidR="0031628C" w:rsidRPr="00B91EE1" w:rsidRDefault="0031628C" w:rsidP="004522B1">
      <w:pPr>
        <w:pStyle w:val="enumlev1"/>
      </w:pPr>
      <w:r w:rsidRPr="00B91EE1">
        <w:t>–</w:t>
      </w:r>
      <w:r w:rsidRPr="00B91EE1">
        <w:tab/>
        <w:t>Les programmes des séminaires RRS sont adaptés aux besoins particuliers de la région concernée.</w:t>
      </w:r>
    </w:p>
    <w:p w14:paraId="1FB5EB40" w14:textId="3DB08892" w:rsidR="0031628C" w:rsidRPr="00B91EE1" w:rsidRDefault="0031628C" w:rsidP="004522B1">
      <w:pPr>
        <w:pStyle w:val="enumlev1"/>
      </w:pPr>
      <w:r w:rsidRPr="00B91EE1">
        <w:t>–</w:t>
      </w:r>
      <w:r w:rsidRPr="00B91EE1">
        <w:tab/>
        <w:t>Le(s) dernier(s) jour(s) de chaque séminaire RRS, une séance de type «forum» est organisée, au cours de laquelle des intervenants extérieurs à la région peuvent être invités à élargir le champ des discussions (il faudra peut-être prévoir des services d</w:t>
      </w:r>
      <w:r w:rsidR="00392F9A" w:rsidRPr="00B91EE1">
        <w:t>'</w:t>
      </w:r>
      <w:r w:rsidRPr="00B91EE1">
        <w:t>interprétation de/vers l</w:t>
      </w:r>
      <w:r w:rsidR="00392F9A" w:rsidRPr="00B91EE1">
        <w:t>'</w:t>
      </w:r>
      <w:r w:rsidRPr="00B91EE1">
        <w:t>anglais pour ces journées).</w:t>
      </w:r>
    </w:p>
    <w:p w14:paraId="210EA71B" w14:textId="72C32AA3" w:rsidR="0031628C" w:rsidRPr="00B91EE1" w:rsidRDefault="0031628C" w:rsidP="00282792">
      <w:pPr>
        <w:pStyle w:val="enumlev1"/>
        <w:keepNext/>
        <w:keepLines/>
      </w:pPr>
      <w:r w:rsidRPr="00B91EE1">
        <w:lastRenderedPageBreak/>
        <w:t>–</w:t>
      </w:r>
      <w:r w:rsidRPr="00B91EE1">
        <w:tab/>
        <w:t>Format virtuel: en raison de l</w:t>
      </w:r>
      <w:r w:rsidR="00392F9A" w:rsidRPr="00B91EE1">
        <w:t>'</w:t>
      </w:r>
      <w:r w:rsidRPr="00B91EE1">
        <w:t>épidémie de COVID-19, le WRS-20 et la plupart des séminaires RRS organisés en 2020, 2021 et pendant une partie de 2022 se sont déroulés en ligne. Cette situation a entraîné un remaniement du format des activités relatives à la notification des stations: les ateliers pratiques ont été remplacés par des tutoriels. Le</w:t>
      </w:r>
      <w:r w:rsidR="0021359F" w:rsidRPr="00B91EE1">
        <w:t> </w:t>
      </w:r>
      <w:r w:rsidRPr="00B91EE1">
        <w:t>WRS</w:t>
      </w:r>
      <w:r w:rsidR="0021359F" w:rsidRPr="00B91EE1">
        <w:noBreakHyphen/>
      </w:r>
      <w:r w:rsidRPr="00B91EE1">
        <w:t>22 s</w:t>
      </w:r>
      <w:r w:rsidR="00392F9A" w:rsidRPr="00B91EE1">
        <w:t>'</w:t>
      </w:r>
      <w:r w:rsidRPr="00B91EE1">
        <w:t>est déroulé en présentiel avec participation à distance.</w:t>
      </w:r>
    </w:p>
    <w:p w14:paraId="4A2D7AC5" w14:textId="44D0957D" w:rsidR="0031628C" w:rsidRPr="00B91EE1" w:rsidRDefault="0031628C" w:rsidP="004522B1">
      <w:r w:rsidRPr="00B91EE1">
        <w:t>Le programme ci-dessus a été dûment coordonné et adapté en collaboration avec les Bureaux régionaux de l</w:t>
      </w:r>
      <w:r w:rsidR="00392F9A" w:rsidRPr="00B91EE1">
        <w:t>'</w:t>
      </w:r>
      <w:r w:rsidRPr="00B91EE1">
        <w:t>UIT ainsi qu</w:t>
      </w:r>
      <w:r w:rsidR="00392F9A" w:rsidRPr="00B91EE1">
        <w:t>'</w:t>
      </w:r>
      <w:r w:rsidRPr="00B91EE1">
        <w:t>avec les groupes régionaux compétents, compte tenu des difficultés liées à la crise actuelle et des changements de format (manifestations en ligne) qui en résultent, ainsi que des incidences pour le personnel de l</w:t>
      </w:r>
      <w:r w:rsidR="00392F9A" w:rsidRPr="00B91EE1">
        <w:t>'</w:t>
      </w:r>
      <w:r w:rsidRPr="00B91EE1">
        <w:t>UIT concerné (BR et bureaux régionaux).</w:t>
      </w:r>
    </w:p>
    <w:p w14:paraId="4DCBA7BD" w14:textId="572DFF09" w:rsidR="0031628C" w:rsidRPr="00B91EE1" w:rsidRDefault="0031628C" w:rsidP="004522B1">
      <w:pPr>
        <w:pStyle w:val="Heading3"/>
      </w:pPr>
      <w:r w:rsidRPr="00B91EE1">
        <w:t>8.2.1</w:t>
      </w:r>
      <w:r w:rsidRPr="00B91EE1">
        <w:tab/>
        <w:t>Séminaires mondiaux des radiocommunications (WRS)</w:t>
      </w:r>
    </w:p>
    <w:p w14:paraId="18EEE524" w14:textId="77777777" w:rsidR="0031628C" w:rsidRPr="00B91EE1" w:rsidRDefault="0031628C" w:rsidP="004522B1">
      <w:pPr>
        <w:pStyle w:val="Headingb"/>
      </w:pPr>
      <w:r w:rsidRPr="00B91EE1">
        <w:t>Séminaire mondial des radiocommunications de 2022 (WRS-22)</w:t>
      </w:r>
    </w:p>
    <w:p w14:paraId="1FD943A3" w14:textId="59000990" w:rsidR="0031628C" w:rsidRPr="00B91EE1" w:rsidRDefault="0031628C" w:rsidP="004522B1">
      <w:r w:rsidRPr="00B91EE1">
        <w:t xml:space="preserve">Le WRS-22 </w:t>
      </w:r>
      <w:r w:rsidR="00624E16" w:rsidRPr="00B91EE1">
        <w:t>s</w:t>
      </w:r>
      <w:r w:rsidR="00392F9A" w:rsidRPr="00B91EE1">
        <w:t>'</w:t>
      </w:r>
      <w:r w:rsidR="00624E16" w:rsidRPr="00B91EE1">
        <w:t>est déroulé</w:t>
      </w:r>
      <w:r w:rsidRPr="00B91EE1">
        <w:t xml:space="preserve"> du 24 au 28 octobre 2022.</w:t>
      </w:r>
    </w:p>
    <w:p w14:paraId="6D048879" w14:textId="7AD80507" w:rsidR="0031628C" w:rsidRPr="00B91EE1" w:rsidRDefault="0031628C" w:rsidP="004522B1">
      <w:r w:rsidRPr="00B91EE1">
        <w:t xml:space="preserve">La séance plénière du WRS-22 tenue </w:t>
      </w:r>
      <w:r w:rsidR="00624E16" w:rsidRPr="00B91EE1">
        <w:t xml:space="preserve">le </w:t>
      </w:r>
      <w:r w:rsidRPr="00B91EE1">
        <w:t>lundi 24 octobre 2022, qui s</w:t>
      </w:r>
      <w:r w:rsidR="00392F9A" w:rsidRPr="00B91EE1">
        <w:t>'</w:t>
      </w:r>
      <w:r w:rsidRPr="00B91EE1">
        <w:t>est déroulée sous la forme de réunion traditionnelle avec participation à distance, était ouverte aux membres de l</w:t>
      </w:r>
      <w:r w:rsidR="00392F9A" w:rsidRPr="00B91EE1">
        <w:t>'</w:t>
      </w:r>
      <w:r w:rsidRPr="00B91EE1">
        <w:t>UIT-R ainsi qu</w:t>
      </w:r>
      <w:r w:rsidR="00392F9A" w:rsidRPr="00B91EE1">
        <w:t>'</w:t>
      </w:r>
      <w:r w:rsidRPr="00B91EE1">
        <w:t>au grand public. Cette séance était consacrée à des questions se rapportant aux radiocommunications, à l</w:t>
      </w:r>
      <w:r w:rsidR="00392F9A" w:rsidRPr="00B91EE1">
        <w:t>'</w:t>
      </w:r>
      <w:r w:rsidRPr="00B91EE1">
        <w:t>application du Règlement des radiocommunications de l</w:t>
      </w:r>
      <w:r w:rsidR="00392F9A" w:rsidRPr="00B91EE1">
        <w:t>'</w:t>
      </w:r>
      <w:r w:rsidRPr="00B91EE1">
        <w:t>UIT et à l</w:t>
      </w:r>
      <w:r w:rsidR="00392F9A" w:rsidRPr="00B91EE1">
        <w:t>'</w:t>
      </w:r>
      <w:r w:rsidRPr="00B91EE1">
        <w:t>évolution de divers services de radiocommunication. Les participants ont également bénéficié d</w:t>
      </w:r>
      <w:r w:rsidR="00392F9A" w:rsidRPr="00B91EE1">
        <w:t>'</w:t>
      </w:r>
      <w:r w:rsidRPr="00B91EE1">
        <w:t>une présentation des activités et des travaux des commissions d</w:t>
      </w:r>
      <w:r w:rsidR="00392F9A" w:rsidRPr="00B91EE1">
        <w:t>'</w:t>
      </w:r>
      <w:r w:rsidRPr="00B91EE1">
        <w:t>études de l</w:t>
      </w:r>
      <w:r w:rsidR="00392F9A" w:rsidRPr="00B91EE1">
        <w:t>'</w:t>
      </w:r>
      <w:r w:rsidRPr="00B91EE1">
        <w:t>UIT-R, du Comité du Règlement des radiocommunications, de l</w:t>
      </w:r>
      <w:r w:rsidR="00392F9A" w:rsidRPr="00B91EE1">
        <w:t>'</w:t>
      </w:r>
      <w:r w:rsidRPr="00B91EE1">
        <w:t>Assemblée des radiocommunications (AR) et de la Conférence mondiale des radiocommunications (CMR). Cette séance s</w:t>
      </w:r>
      <w:r w:rsidR="00392F9A" w:rsidRPr="00B91EE1">
        <w:t>'</w:t>
      </w:r>
      <w:r w:rsidRPr="00B91EE1">
        <w:t>est déroulée dans les six</w:t>
      </w:r>
      <w:r w:rsidR="009C5C79" w:rsidRPr="00B91EE1">
        <w:t> </w:t>
      </w:r>
      <w:r w:rsidRPr="00B91EE1">
        <w:t>langues officielles de l</w:t>
      </w:r>
      <w:r w:rsidR="00392F9A" w:rsidRPr="00B91EE1">
        <w:t>'</w:t>
      </w:r>
      <w:r w:rsidRPr="00B91EE1">
        <w:t>ONU.</w:t>
      </w:r>
    </w:p>
    <w:p w14:paraId="61F47600" w14:textId="77777777" w:rsidR="0031628C" w:rsidRPr="00B91EE1" w:rsidRDefault="0031628C" w:rsidP="004522B1">
      <w:r w:rsidRPr="00B91EE1">
        <w:t>Les séances plénières du WRS-22 ont rassemblé 540 participants de 123 pays.</w:t>
      </w:r>
    </w:p>
    <w:p w14:paraId="7A5FDB80" w14:textId="42CBB007" w:rsidR="0031628C" w:rsidRPr="00B91EE1" w:rsidRDefault="0031628C" w:rsidP="004522B1">
      <w:r w:rsidRPr="00B91EE1">
        <w:t>Les ateliers sur les services de Terre et les services spatiaux du WRS-22 ont eu lieu du mardi</w:t>
      </w:r>
      <w:r w:rsidR="0021359F" w:rsidRPr="00B91EE1">
        <w:t> </w:t>
      </w:r>
      <w:r w:rsidRPr="00B91EE1">
        <w:t>25 au vendredi</w:t>
      </w:r>
      <w:r w:rsidR="0021359F" w:rsidRPr="00B91EE1">
        <w:t> </w:t>
      </w:r>
      <w:r w:rsidRPr="00B91EE1">
        <w:t>28 octobre 2022. Ces ateliers pratiques se sont déroulés en parallèle et en présentiel uniquement, et étaient réservés à la participation des membres de l</w:t>
      </w:r>
      <w:r w:rsidR="00392F9A" w:rsidRPr="00B91EE1">
        <w:t>'</w:t>
      </w:r>
      <w:r w:rsidRPr="00B91EE1">
        <w:t>UIT-R. À l</w:t>
      </w:r>
      <w:r w:rsidR="00392F9A" w:rsidRPr="00B91EE1">
        <w:t>'</w:t>
      </w:r>
      <w:r w:rsidRPr="00B91EE1">
        <w:t>occasion des ateliers sur les services spatiaux et les services de Terre qui ont été organisés durant quatre jours dans le cadre du WRS-22, les participants ont pu se familiariser directement avec les procédures de notification de l</w:t>
      </w:r>
      <w:r w:rsidR="00392F9A" w:rsidRPr="00B91EE1">
        <w:t>'</w:t>
      </w:r>
      <w:r w:rsidRPr="00B91EE1">
        <w:t>UIT, ainsi qu</w:t>
      </w:r>
      <w:r w:rsidR="00392F9A" w:rsidRPr="00B91EE1">
        <w:t>'</w:t>
      </w:r>
      <w:r w:rsidRPr="00B91EE1">
        <w:t>avec les logiciels, les bases de données et les publications électroniques que le Bureau des radiocommunications met à la disposition des membres de l</w:t>
      </w:r>
      <w:r w:rsidR="00392F9A" w:rsidRPr="00B91EE1">
        <w:t>'</w:t>
      </w:r>
      <w:r w:rsidRPr="00B91EE1">
        <w:t>UIT. Des séances spécialement conçues pour les utilisateurs débutants et les utilisateurs de niveau avancé des outils logiciels du BR ont aussi été proposées. Les séances se sont tenues essentiellement en anglais et en français.</w:t>
      </w:r>
    </w:p>
    <w:p w14:paraId="4A74C738" w14:textId="77777777" w:rsidR="0031628C" w:rsidRPr="00B91EE1" w:rsidRDefault="0031628C" w:rsidP="004522B1">
      <w:r w:rsidRPr="00B91EE1">
        <w:t>Les ateliers dans le cadre du WRS-22 ont rassemblé 427 participants de 92 pays, qui ont pris part aux activités proposées tout au long de la semaine dans le cadre de la manifestation. Le BR a accordé 23 bourses.</w:t>
      </w:r>
    </w:p>
    <w:p w14:paraId="7D0B83C9" w14:textId="77777777" w:rsidR="0031628C" w:rsidRPr="00B91EE1" w:rsidRDefault="0031628C" w:rsidP="004522B1">
      <w:pPr>
        <w:pStyle w:val="Heading3"/>
      </w:pPr>
      <w:r w:rsidRPr="00B91EE1">
        <w:t>8.2.2</w:t>
      </w:r>
      <w:r w:rsidRPr="00B91EE1">
        <w:tab/>
      </w:r>
      <w:bookmarkStart w:id="150" w:name="lt_pId1053"/>
      <w:r w:rsidRPr="00B91EE1">
        <w:t>Séminaires régionaux des radiocommunications (RRS)</w:t>
      </w:r>
      <w:bookmarkEnd w:id="150"/>
    </w:p>
    <w:p w14:paraId="3DCBAB0F" w14:textId="4E31B04C" w:rsidR="0031628C" w:rsidRPr="00B91EE1" w:rsidRDefault="0031628C" w:rsidP="004522B1">
      <w:bookmarkStart w:id="151" w:name="lt_pId1054"/>
      <w:r w:rsidRPr="00B91EE1">
        <w:t>En complément des séminaires mondiaux des radiocommunications qui se tiennent tous les deux ans, le BR a continué d</w:t>
      </w:r>
      <w:r w:rsidR="00392F9A" w:rsidRPr="00B91EE1">
        <w:t>'</w:t>
      </w:r>
      <w:r w:rsidRPr="00B91EE1">
        <w:t>organiser, dans le cadre d</w:t>
      </w:r>
      <w:r w:rsidR="00392F9A" w:rsidRPr="00B91EE1">
        <w:t>'</w:t>
      </w:r>
      <w:r w:rsidRPr="00B91EE1">
        <w:t>une stratégie de sensibilisation sur le plan régional, des séminaires régionaux des radiocommunications (RRS) dans les différentes régions du monde, en vue de promouvoir le renforcement des capacités humaines en ce qui concerne l</w:t>
      </w:r>
      <w:r w:rsidR="00392F9A" w:rsidRPr="00B91EE1">
        <w:t>'</w:t>
      </w:r>
      <w:r w:rsidRPr="00B91EE1">
        <w:t>utilisation du spectre des fréquences radioélectriques et des orbites de satellites et, en particulier, l</w:t>
      </w:r>
      <w:r w:rsidR="00392F9A" w:rsidRPr="00B91EE1">
        <w:t>'</w:t>
      </w:r>
      <w:r w:rsidRPr="00B91EE1">
        <w:t>application des dispositions du Règlement des radiocommunications de l</w:t>
      </w:r>
      <w:r w:rsidR="00392F9A" w:rsidRPr="00B91EE1">
        <w:t>'</w:t>
      </w:r>
      <w:r w:rsidRPr="00B91EE1">
        <w:t>UIT.</w:t>
      </w:r>
      <w:bookmarkEnd w:id="151"/>
    </w:p>
    <w:p w14:paraId="496E2DCC" w14:textId="0F57E61E" w:rsidR="0031628C" w:rsidRPr="00B91EE1" w:rsidRDefault="0031628C" w:rsidP="004522B1">
      <w:bookmarkStart w:id="152" w:name="lt_pId1055"/>
      <w:r w:rsidRPr="00B91EE1">
        <w:t>Ces séminaires sont organisés conjointement avec l</w:t>
      </w:r>
      <w:r w:rsidR="00392F9A" w:rsidRPr="00B91EE1">
        <w:t>'</w:t>
      </w:r>
      <w:r w:rsidRPr="00B91EE1">
        <w:t>autorité chargée de la gestion du spectre des pays hôtes, en coopération étroite avec les organisations régionales concernées et les bureaux régionaux ou bureaux de zone de l</w:t>
      </w:r>
      <w:r w:rsidR="00392F9A" w:rsidRPr="00B91EE1">
        <w:t>'</w:t>
      </w:r>
      <w:r w:rsidRPr="00B91EE1">
        <w:t xml:space="preserve">UIT. </w:t>
      </w:r>
      <w:bookmarkEnd w:id="152"/>
      <w:r w:rsidRPr="00B91EE1">
        <w:t xml:space="preserve">Le programme de ces séminaires comporte un volet </w:t>
      </w:r>
      <w:r w:rsidRPr="00B91EE1">
        <w:lastRenderedPageBreak/>
        <w:t>technique, d</w:t>
      </w:r>
      <w:r w:rsidR="00392F9A" w:rsidRPr="00B91EE1">
        <w:t>'</w:t>
      </w:r>
      <w:r w:rsidRPr="00B91EE1">
        <w:t>une durée de deux jours, et des ateliers d</w:t>
      </w:r>
      <w:r w:rsidR="00392F9A" w:rsidRPr="00B91EE1">
        <w:t>'</w:t>
      </w:r>
      <w:r w:rsidRPr="00B91EE1">
        <w:t>une durée d</w:t>
      </w:r>
      <w:r w:rsidR="00392F9A" w:rsidRPr="00B91EE1">
        <w:t>'</w:t>
      </w:r>
      <w:r w:rsidRPr="00B91EE1">
        <w:t xml:space="preserve">un ou deux jours consacrés aux services de Terre et aux services spatiaux. </w:t>
      </w:r>
      <w:bookmarkStart w:id="153" w:name="lt_pId1057"/>
      <w:r w:rsidRPr="00B91EE1">
        <w:t>Ces séminaires sont complétés par un forum d</w:t>
      </w:r>
      <w:r w:rsidR="00392F9A" w:rsidRPr="00B91EE1">
        <w:t>'</w:t>
      </w:r>
      <w:r w:rsidRPr="00B91EE1">
        <w:t>un ou deux jours partant sur des questions relatives au spectre qui présentent un intérêt particulier pour la région.</w:t>
      </w:r>
      <w:bookmarkEnd w:id="153"/>
      <w:r w:rsidRPr="00B91EE1">
        <w:t xml:space="preserve"> Du fait de la pandémie de COVID-19, la durée et les horaires des réunions ont été adaptées pour prendre en compte les différents fuseaux horaires dans le monde.</w:t>
      </w:r>
    </w:p>
    <w:p w14:paraId="22DFD2AA" w14:textId="77777777" w:rsidR="0031628C" w:rsidRPr="00B91EE1" w:rsidRDefault="0031628C" w:rsidP="004522B1">
      <w:r w:rsidRPr="00B91EE1">
        <w:t>En 2022, trois séminaires RRS ont été organisés:</w:t>
      </w:r>
    </w:p>
    <w:p w14:paraId="7FA17847" w14:textId="4B512D8F" w:rsidR="0031628C" w:rsidRPr="00B91EE1" w:rsidRDefault="0031628C" w:rsidP="004522B1">
      <w:pPr>
        <w:pStyle w:val="enumlev1"/>
      </w:pPr>
      <w:r w:rsidRPr="00B91EE1">
        <w:t>−</w:t>
      </w:r>
      <w:r w:rsidRPr="00B91EE1">
        <w:tab/>
        <w:t>Séminaire régional des radiocommunications de 2022 de l</w:t>
      </w:r>
      <w:r w:rsidR="00392F9A" w:rsidRPr="00B91EE1">
        <w:t>'</w:t>
      </w:r>
      <w:r w:rsidRPr="00B91EE1">
        <w:t>UIT pour la région des États</w:t>
      </w:r>
      <w:r w:rsidR="009C5C79" w:rsidRPr="00B91EE1">
        <w:t> </w:t>
      </w:r>
      <w:r w:rsidRPr="00B91EE1">
        <w:t>arabes (RRS-22</w:t>
      </w:r>
      <w:r w:rsidR="009C5C79" w:rsidRPr="00B91EE1">
        <w:t>-</w:t>
      </w:r>
      <w:r w:rsidRPr="00B91EE1">
        <w:t>États arabes)</w:t>
      </w:r>
    </w:p>
    <w:p w14:paraId="709048A8" w14:textId="31A550FA" w:rsidR="0031628C" w:rsidRPr="00B91EE1" w:rsidRDefault="0031628C" w:rsidP="004522B1">
      <w:pPr>
        <w:pStyle w:val="enumlev1"/>
      </w:pPr>
      <w:r w:rsidRPr="00B91EE1">
        <w:t>−</w:t>
      </w:r>
      <w:r w:rsidRPr="00B91EE1">
        <w:tab/>
        <w:t>Séminaire régional des radiocommunications de 2022 de l</w:t>
      </w:r>
      <w:r w:rsidR="00392F9A" w:rsidRPr="00B91EE1">
        <w:t>'</w:t>
      </w:r>
      <w:r w:rsidRPr="00B91EE1">
        <w:t>UIT pour la région Europe (RRS-22-Europe)</w:t>
      </w:r>
    </w:p>
    <w:p w14:paraId="6A404173" w14:textId="79215691" w:rsidR="0031628C" w:rsidRPr="00B91EE1" w:rsidRDefault="0031628C" w:rsidP="004522B1">
      <w:pPr>
        <w:pStyle w:val="enumlev1"/>
      </w:pPr>
      <w:r w:rsidRPr="00B91EE1">
        <w:t>−</w:t>
      </w:r>
      <w:r w:rsidRPr="00B91EE1">
        <w:tab/>
        <w:t>Séminaire régional des radiocommunications de 2022 pour la région Asie</w:t>
      </w:r>
      <w:r w:rsidR="00DD37F3" w:rsidRPr="00B91EE1">
        <w:noBreakHyphen/>
      </w:r>
      <w:r w:rsidRPr="00B91EE1">
        <w:t>Pacifique (RRS</w:t>
      </w:r>
      <w:r w:rsidR="0021359F" w:rsidRPr="00B91EE1">
        <w:noBreakHyphen/>
      </w:r>
      <w:r w:rsidRPr="00B91EE1">
        <w:t>22-Asie-Pacifique)</w:t>
      </w:r>
    </w:p>
    <w:p w14:paraId="3E1BD2B0" w14:textId="37D8E049" w:rsidR="0031628C" w:rsidRPr="00B91EE1" w:rsidRDefault="0031628C" w:rsidP="004522B1">
      <w:r w:rsidRPr="00B91EE1">
        <w:t>On trouvera dans le Tableau 8.2.2-2 des précisions concernant les séminaires RRS organisés en</w:t>
      </w:r>
      <w:r w:rsidR="009C5C79" w:rsidRPr="00B91EE1">
        <w:t> </w:t>
      </w:r>
      <w:r w:rsidRPr="00B91EE1">
        <w:t>2022.</w:t>
      </w:r>
    </w:p>
    <w:p w14:paraId="4C6E71B8" w14:textId="77777777" w:rsidR="0031628C" w:rsidRPr="00B91EE1" w:rsidRDefault="0031628C" w:rsidP="004522B1">
      <w:pPr>
        <w:tabs>
          <w:tab w:val="clear" w:pos="794"/>
          <w:tab w:val="clear" w:pos="1191"/>
          <w:tab w:val="clear" w:pos="1588"/>
          <w:tab w:val="clear" w:pos="1985"/>
        </w:tabs>
        <w:overflowPunct/>
        <w:autoSpaceDE/>
        <w:autoSpaceDN/>
        <w:adjustRightInd/>
        <w:spacing w:before="0"/>
        <w:textAlignment w:val="auto"/>
        <w:sectPr w:rsidR="0031628C" w:rsidRPr="00B91EE1" w:rsidSect="00C20A78">
          <w:headerReference w:type="even" r:id="rId25"/>
          <w:headerReference w:type="default" r:id="rId26"/>
          <w:footerReference w:type="even" r:id="rId27"/>
          <w:footerReference w:type="default" r:id="rId28"/>
          <w:footerReference w:type="first" r:id="rId29"/>
          <w:pgSz w:w="11907" w:h="16834"/>
          <w:pgMar w:top="1418" w:right="1134" w:bottom="1418" w:left="1134" w:header="720" w:footer="720" w:gutter="0"/>
          <w:paperSrc w:first="15" w:other="15"/>
          <w:cols w:space="720"/>
          <w:titlePg/>
          <w:docGrid w:linePitch="326"/>
        </w:sectPr>
      </w:pPr>
    </w:p>
    <w:p w14:paraId="440D7A22" w14:textId="77777777" w:rsidR="0031628C" w:rsidRPr="00B91EE1" w:rsidRDefault="0031628C" w:rsidP="004522B1">
      <w:pPr>
        <w:pStyle w:val="TableNoBR"/>
      </w:pPr>
      <w:r w:rsidRPr="00B91EE1">
        <w:lastRenderedPageBreak/>
        <w:t>TABLEAU 8.2.2-2</w:t>
      </w:r>
    </w:p>
    <w:p w14:paraId="54133F78" w14:textId="2ACFE914" w:rsidR="0031628C" w:rsidRPr="00B91EE1" w:rsidRDefault="0031628C" w:rsidP="004522B1">
      <w:pPr>
        <w:pStyle w:val="TableNotitle"/>
        <w:spacing w:before="0"/>
      </w:pPr>
      <w:r w:rsidRPr="00B91EE1">
        <w:t>Séminaires régionaux des radiocommunications de l</w:t>
      </w:r>
      <w:r w:rsidR="00392F9A" w:rsidRPr="00B91EE1">
        <w:t>'</w:t>
      </w:r>
      <w:r w:rsidRPr="00B91EE1">
        <w:t>UIT (2022)</w:t>
      </w:r>
    </w:p>
    <w:tbl>
      <w:tblPr>
        <w:tblStyle w:val="GridTable4-Accent122"/>
        <w:tblW w:w="16150" w:type="dxa"/>
        <w:tblInd w:w="-1139" w:type="dxa"/>
        <w:tblLayout w:type="fixed"/>
        <w:tblLook w:val="0420" w:firstRow="1" w:lastRow="0" w:firstColumn="0" w:lastColumn="0" w:noHBand="0" w:noVBand="1"/>
      </w:tblPr>
      <w:tblGrid>
        <w:gridCol w:w="1560"/>
        <w:gridCol w:w="1559"/>
        <w:gridCol w:w="992"/>
        <w:gridCol w:w="1559"/>
        <w:gridCol w:w="2268"/>
        <w:gridCol w:w="5387"/>
        <w:gridCol w:w="850"/>
        <w:gridCol w:w="851"/>
        <w:gridCol w:w="1124"/>
      </w:tblGrid>
      <w:tr w:rsidR="00FF371C" w:rsidRPr="00B91EE1" w14:paraId="1020B62F" w14:textId="77777777" w:rsidTr="002C59AB">
        <w:trPr>
          <w:cnfStyle w:val="100000000000" w:firstRow="1" w:lastRow="0" w:firstColumn="0" w:lastColumn="0" w:oddVBand="0" w:evenVBand="0" w:oddHBand="0" w:evenHBand="0" w:firstRowFirstColumn="0" w:firstRowLastColumn="0" w:lastRowFirstColumn="0" w:lastRowLastColumn="0"/>
          <w:tblHeader/>
        </w:trPr>
        <w:tc>
          <w:tcPr>
            <w:tcW w:w="1560" w:type="dxa"/>
            <w:vAlign w:val="center"/>
            <w:hideMark/>
          </w:tcPr>
          <w:p w14:paraId="0176C5A0" w14:textId="77777777" w:rsidR="0031628C" w:rsidRPr="00B91EE1" w:rsidRDefault="0031628C" w:rsidP="004522B1">
            <w:pPr>
              <w:pStyle w:val="Tablehead"/>
              <w:rPr>
                <w:b/>
                <w:bCs w:val="0"/>
                <w:sz w:val="20"/>
                <w:szCs w:val="20"/>
              </w:rPr>
            </w:pPr>
            <w:r w:rsidRPr="00B91EE1">
              <w:rPr>
                <w:b/>
                <w:bCs w:val="0"/>
                <w:sz w:val="20"/>
                <w:szCs w:val="20"/>
              </w:rPr>
              <w:t>Date</w:t>
            </w:r>
          </w:p>
        </w:tc>
        <w:tc>
          <w:tcPr>
            <w:tcW w:w="1559" w:type="dxa"/>
            <w:vAlign w:val="center"/>
            <w:hideMark/>
          </w:tcPr>
          <w:p w14:paraId="4488353C" w14:textId="77777777" w:rsidR="0031628C" w:rsidRPr="00B91EE1" w:rsidRDefault="0031628C" w:rsidP="004522B1">
            <w:pPr>
              <w:pStyle w:val="Tablehead"/>
              <w:rPr>
                <w:b/>
                <w:bCs w:val="0"/>
                <w:sz w:val="20"/>
                <w:szCs w:val="20"/>
              </w:rPr>
            </w:pPr>
            <w:r w:rsidRPr="00B91EE1">
              <w:rPr>
                <w:b/>
                <w:bCs w:val="0"/>
                <w:sz w:val="20"/>
                <w:szCs w:val="20"/>
              </w:rPr>
              <w:t>RRS</w:t>
            </w:r>
          </w:p>
        </w:tc>
        <w:tc>
          <w:tcPr>
            <w:tcW w:w="992" w:type="dxa"/>
            <w:vAlign w:val="center"/>
            <w:hideMark/>
          </w:tcPr>
          <w:p w14:paraId="386F1BC9" w14:textId="77777777" w:rsidR="0031628C" w:rsidRPr="00B91EE1" w:rsidRDefault="0031628C" w:rsidP="004522B1">
            <w:pPr>
              <w:pStyle w:val="Tablehead"/>
              <w:rPr>
                <w:b/>
                <w:bCs w:val="0"/>
                <w:sz w:val="20"/>
                <w:szCs w:val="20"/>
              </w:rPr>
            </w:pPr>
            <w:r w:rsidRPr="00B91EE1">
              <w:rPr>
                <w:b/>
                <w:bCs w:val="0"/>
                <w:sz w:val="20"/>
                <w:szCs w:val="20"/>
              </w:rPr>
              <w:t>Lieu</w:t>
            </w:r>
          </w:p>
        </w:tc>
        <w:tc>
          <w:tcPr>
            <w:tcW w:w="1559" w:type="dxa"/>
            <w:vAlign w:val="center"/>
            <w:hideMark/>
          </w:tcPr>
          <w:p w14:paraId="1989BCEC" w14:textId="77777777" w:rsidR="0031628C" w:rsidRPr="00B91EE1" w:rsidRDefault="0031628C" w:rsidP="004522B1">
            <w:pPr>
              <w:pStyle w:val="Tablehead"/>
              <w:rPr>
                <w:b/>
                <w:bCs w:val="0"/>
                <w:sz w:val="20"/>
                <w:szCs w:val="20"/>
              </w:rPr>
            </w:pPr>
            <w:r w:rsidRPr="00B91EE1">
              <w:rPr>
                <w:b/>
                <w:bCs w:val="0"/>
                <w:sz w:val="20"/>
                <w:szCs w:val="20"/>
              </w:rPr>
              <w:t>Hôte</w:t>
            </w:r>
          </w:p>
        </w:tc>
        <w:tc>
          <w:tcPr>
            <w:tcW w:w="2268" w:type="dxa"/>
            <w:vAlign w:val="center"/>
            <w:hideMark/>
          </w:tcPr>
          <w:p w14:paraId="54216779" w14:textId="77777777" w:rsidR="0031628C" w:rsidRPr="00B91EE1" w:rsidRDefault="0031628C" w:rsidP="004522B1">
            <w:pPr>
              <w:pStyle w:val="Tablehead"/>
              <w:rPr>
                <w:b/>
                <w:bCs w:val="0"/>
                <w:sz w:val="20"/>
                <w:szCs w:val="20"/>
              </w:rPr>
            </w:pPr>
            <w:r w:rsidRPr="00B91EE1">
              <w:rPr>
                <w:b/>
                <w:bCs w:val="0"/>
                <w:sz w:val="20"/>
                <w:szCs w:val="20"/>
              </w:rPr>
              <w:t>Coopération</w:t>
            </w:r>
          </w:p>
        </w:tc>
        <w:tc>
          <w:tcPr>
            <w:tcW w:w="5387" w:type="dxa"/>
            <w:vAlign w:val="center"/>
            <w:hideMark/>
          </w:tcPr>
          <w:p w14:paraId="208B8093" w14:textId="77777777" w:rsidR="0031628C" w:rsidRPr="00B91EE1" w:rsidRDefault="0031628C" w:rsidP="004522B1">
            <w:pPr>
              <w:pStyle w:val="Tablehead"/>
              <w:rPr>
                <w:b/>
                <w:bCs w:val="0"/>
                <w:sz w:val="20"/>
                <w:szCs w:val="20"/>
              </w:rPr>
            </w:pPr>
            <w:r w:rsidRPr="00B91EE1">
              <w:rPr>
                <w:b/>
                <w:bCs w:val="0"/>
                <w:sz w:val="20"/>
                <w:szCs w:val="20"/>
              </w:rPr>
              <w:t>Thèmes du Forum</w:t>
            </w:r>
          </w:p>
        </w:tc>
        <w:tc>
          <w:tcPr>
            <w:tcW w:w="850" w:type="dxa"/>
            <w:vAlign w:val="center"/>
            <w:hideMark/>
          </w:tcPr>
          <w:p w14:paraId="22D0454C" w14:textId="77777777" w:rsidR="0031628C" w:rsidRPr="00B91EE1" w:rsidRDefault="0031628C" w:rsidP="004522B1">
            <w:pPr>
              <w:pStyle w:val="Tablehead"/>
              <w:rPr>
                <w:b/>
                <w:bCs w:val="0"/>
                <w:sz w:val="20"/>
                <w:szCs w:val="20"/>
              </w:rPr>
            </w:pPr>
            <w:r w:rsidRPr="00B91EE1">
              <w:rPr>
                <w:b/>
                <w:bCs w:val="0"/>
                <w:sz w:val="20"/>
                <w:szCs w:val="20"/>
              </w:rPr>
              <w:t>Lang.</w:t>
            </w:r>
          </w:p>
        </w:tc>
        <w:tc>
          <w:tcPr>
            <w:tcW w:w="851" w:type="dxa"/>
            <w:vAlign w:val="center"/>
            <w:hideMark/>
          </w:tcPr>
          <w:p w14:paraId="2AFF296F" w14:textId="77777777" w:rsidR="0031628C" w:rsidRPr="00B91EE1" w:rsidRDefault="0031628C" w:rsidP="004522B1">
            <w:pPr>
              <w:pStyle w:val="Tablehead"/>
              <w:rPr>
                <w:b/>
                <w:bCs w:val="0"/>
                <w:sz w:val="20"/>
                <w:szCs w:val="20"/>
              </w:rPr>
            </w:pPr>
            <w:r w:rsidRPr="00B91EE1">
              <w:rPr>
                <w:b/>
                <w:bCs w:val="0"/>
                <w:sz w:val="20"/>
                <w:szCs w:val="20"/>
              </w:rPr>
              <w:t>Parts/</w:t>
            </w:r>
            <w:r w:rsidRPr="00B91EE1">
              <w:rPr>
                <w:b/>
                <w:bCs w:val="0"/>
                <w:sz w:val="20"/>
                <w:szCs w:val="20"/>
              </w:rPr>
              <w:br/>
              <w:t>Adms</w:t>
            </w:r>
          </w:p>
        </w:tc>
        <w:tc>
          <w:tcPr>
            <w:tcW w:w="1124" w:type="dxa"/>
          </w:tcPr>
          <w:p w14:paraId="19E56357" w14:textId="77777777" w:rsidR="0031628C" w:rsidRPr="00B91EE1" w:rsidRDefault="0031628C" w:rsidP="004522B1">
            <w:pPr>
              <w:pStyle w:val="Tablehead"/>
              <w:rPr>
                <w:b/>
                <w:bCs w:val="0"/>
                <w:sz w:val="20"/>
                <w:szCs w:val="20"/>
              </w:rPr>
            </w:pPr>
            <w:r w:rsidRPr="00B91EE1">
              <w:rPr>
                <w:b/>
                <w:bCs w:val="0"/>
                <w:sz w:val="20"/>
                <w:szCs w:val="20"/>
              </w:rPr>
              <w:t>Bourses</w:t>
            </w:r>
          </w:p>
        </w:tc>
      </w:tr>
      <w:tr w:rsidR="0031628C" w:rsidRPr="00B91EE1" w14:paraId="7928EDAF" w14:textId="77777777" w:rsidTr="00FF371C">
        <w:trPr>
          <w:cnfStyle w:val="100000000000" w:firstRow="1" w:lastRow="0" w:firstColumn="0" w:lastColumn="0" w:oddVBand="0" w:evenVBand="0" w:oddHBand="0" w:evenHBand="0" w:firstRowFirstColumn="0" w:firstRowLastColumn="0" w:lastRowFirstColumn="0" w:lastRowLastColumn="0"/>
          <w:tblHeader/>
        </w:trPr>
        <w:tc>
          <w:tcPr>
            <w:tcW w:w="15026" w:type="dxa"/>
            <w:gridSpan w:val="8"/>
            <w:tcBorders>
              <w:top w:val="single" w:sz="4" w:space="0" w:color="9CC2E5"/>
              <w:left w:val="single" w:sz="4" w:space="0" w:color="9CC2E5"/>
              <w:bottom w:val="single" w:sz="4" w:space="0" w:color="9CC2E5"/>
              <w:right w:val="single" w:sz="4" w:space="0" w:color="9CC2E5"/>
            </w:tcBorders>
            <w:vAlign w:val="center"/>
            <w:hideMark/>
          </w:tcPr>
          <w:p w14:paraId="51F9D7AE" w14:textId="77777777" w:rsidR="0031628C" w:rsidRPr="00B91EE1" w:rsidRDefault="0031628C" w:rsidP="004522B1">
            <w:pPr>
              <w:pStyle w:val="Tabletext"/>
              <w:jc w:val="center"/>
              <w:rPr>
                <w:b w:val="0"/>
                <w:bCs w:val="0"/>
                <w:sz w:val="20"/>
                <w:szCs w:val="20"/>
              </w:rPr>
            </w:pPr>
            <w:r w:rsidRPr="00B91EE1">
              <w:rPr>
                <w:b w:val="0"/>
                <w:bCs w:val="0"/>
                <w:sz w:val="20"/>
                <w:szCs w:val="20"/>
              </w:rPr>
              <w:t>2022</w:t>
            </w:r>
          </w:p>
        </w:tc>
        <w:tc>
          <w:tcPr>
            <w:tcW w:w="1124" w:type="dxa"/>
            <w:tcBorders>
              <w:top w:val="single" w:sz="4" w:space="0" w:color="9CC2E5"/>
              <w:left w:val="single" w:sz="4" w:space="0" w:color="9CC2E5"/>
              <w:bottom w:val="single" w:sz="4" w:space="0" w:color="9CC2E5"/>
              <w:right w:val="single" w:sz="4" w:space="0" w:color="9CC2E5"/>
            </w:tcBorders>
          </w:tcPr>
          <w:p w14:paraId="78D4074C" w14:textId="77777777" w:rsidR="0031628C" w:rsidRPr="00B91EE1" w:rsidRDefault="0031628C" w:rsidP="004522B1">
            <w:pPr>
              <w:pStyle w:val="Tabletext"/>
              <w:jc w:val="center"/>
              <w:rPr>
                <w:sz w:val="20"/>
              </w:rPr>
            </w:pPr>
          </w:p>
        </w:tc>
      </w:tr>
      <w:tr w:rsidR="002C59AB" w:rsidRPr="00B91EE1" w14:paraId="6503F087" w14:textId="77777777" w:rsidTr="002C59AB">
        <w:trPr>
          <w:cnfStyle w:val="000000100000" w:firstRow="0" w:lastRow="0" w:firstColumn="0" w:lastColumn="0" w:oddVBand="0" w:evenVBand="0" w:oddHBand="1" w:evenHBand="0" w:firstRowFirstColumn="0" w:firstRowLastColumn="0" w:lastRowFirstColumn="0" w:lastRowLastColumn="0"/>
        </w:trPr>
        <w:tc>
          <w:tcPr>
            <w:tcW w:w="1560"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3233552D" w14:textId="77777777" w:rsidR="0031628C" w:rsidRPr="00B91EE1" w:rsidRDefault="0031628C" w:rsidP="004522B1">
            <w:pPr>
              <w:pStyle w:val="Tabletext"/>
              <w:rPr>
                <w:sz w:val="20"/>
                <w:szCs w:val="20"/>
              </w:rPr>
            </w:pPr>
            <w:r w:rsidRPr="00B91EE1">
              <w:rPr>
                <w:rFonts w:asciiTheme="majorBidi" w:hAnsiTheme="majorBidi" w:cstheme="majorBidi"/>
                <w:sz w:val="20"/>
                <w:szCs w:val="20"/>
              </w:rPr>
              <w:t>13-24 mars 2022</w:t>
            </w:r>
          </w:p>
        </w:tc>
        <w:tc>
          <w:tcPr>
            <w:tcW w:w="1559"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765769E6" w14:textId="3EC994B2" w:rsidR="0031628C" w:rsidRPr="00B91EE1" w:rsidRDefault="0031628C" w:rsidP="004522B1">
            <w:pPr>
              <w:pStyle w:val="Tabletext"/>
              <w:rPr>
                <w:sz w:val="20"/>
                <w:szCs w:val="20"/>
              </w:rPr>
            </w:pPr>
            <w:r w:rsidRPr="00B91EE1">
              <w:rPr>
                <w:sz w:val="20"/>
                <w:szCs w:val="20"/>
              </w:rPr>
              <w:t>RRS-22-</w:t>
            </w:r>
            <w:r w:rsidRPr="00B91EE1">
              <w:t>États arabes</w:t>
            </w:r>
          </w:p>
        </w:tc>
        <w:tc>
          <w:tcPr>
            <w:tcW w:w="992"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1286927F" w14:textId="77777777" w:rsidR="0031628C" w:rsidRPr="00B91EE1" w:rsidRDefault="0031628C" w:rsidP="004522B1">
            <w:pPr>
              <w:pStyle w:val="Tabletext"/>
              <w:jc w:val="center"/>
              <w:rPr>
                <w:sz w:val="20"/>
                <w:szCs w:val="20"/>
              </w:rPr>
            </w:pPr>
            <w:r w:rsidRPr="00B91EE1">
              <w:rPr>
                <w:sz w:val="20"/>
                <w:szCs w:val="20"/>
              </w:rPr>
              <w:t>Réunion virtuelle</w:t>
            </w:r>
          </w:p>
        </w:tc>
        <w:tc>
          <w:tcPr>
            <w:tcW w:w="1559"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4FAEC204" w14:textId="77777777" w:rsidR="0031628C" w:rsidRPr="00B91EE1" w:rsidRDefault="0031628C" w:rsidP="004522B1">
            <w:pPr>
              <w:pStyle w:val="Tabletext"/>
              <w:jc w:val="center"/>
              <w:rPr>
                <w:sz w:val="20"/>
                <w:szCs w:val="20"/>
              </w:rPr>
            </w:pPr>
            <w:r w:rsidRPr="00B91EE1">
              <w:rPr>
                <w:sz w:val="20"/>
                <w:szCs w:val="20"/>
              </w:rPr>
              <w:t>−</w:t>
            </w:r>
          </w:p>
        </w:tc>
        <w:tc>
          <w:tcPr>
            <w:tcW w:w="2268"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7E55EFE9" w14:textId="77777777" w:rsidR="0031628C" w:rsidRPr="00B91EE1" w:rsidRDefault="0031628C" w:rsidP="004522B1">
            <w:pPr>
              <w:pStyle w:val="Tabletext"/>
              <w:jc w:val="center"/>
              <w:rPr>
                <w:sz w:val="20"/>
                <w:szCs w:val="20"/>
              </w:rPr>
            </w:pPr>
            <w:r w:rsidRPr="00B91EE1">
              <w:rPr>
                <w:sz w:val="20"/>
                <w:szCs w:val="20"/>
              </w:rPr>
              <w:t>Groupe chargé de la gestion du spectre dans les États arabes (ASMG)</w:t>
            </w:r>
          </w:p>
          <w:p w14:paraId="41E1C364" w14:textId="3960709E" w:rsidR="0031628C" w:rsidRPr="00B91EE1" w:rsidRDefault="0031628C" w:rsidP="004522B1">
            <w:pPr>
              <w:pStyle w:val="Tabletext"/>
              <w:spacing w:before="240"/>
              <w:jc w:val="center"/>
              <w:rPr>
                <w:sz w:val="20"/>
                <w:szCs w:val="20"/>
              </w:rPr>
            </w:pPr>
            <w:r w:rsidRPr="00B91EE1">
              <w:rPr>
                <w:sz w:val="20"/>
                <w:szCs w:val="20"/>
              </w:rPr>
              <w:t>Bureau régional de l</w:t>
            </w:r>
            <w:r w:rsidR="00392F9A" w:rsidRPr="00B91EE1">
              <w:rPr>
                <w:sz w:val="20"/>
                <w:szCs w:val="20"/>
              </w:rPr>
              <w:t>'</w:t>
            </w:r>
            <w:r w:rsidRPr="00B91EE1">
              <w:rPr>
                <w:sz w:val="20"/>
                <w:szCs w:val="20"/>
              </w:rPr>
              <w:t>UIT pour les États arabes</w:t>
            </w:r>
          </w:p>
        </w:tc>
        <w:tc>
          <w:tcPr>
            <w:tcW w:w="5387"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0D11B603" w14:textId="2FCD735D" w:rsidR="0031628C" w:rsidRPr="00B91EE1" w:rsidRDefault="0031628C" w:rsidP="004522B1">
            <w:pPr>
              <w:pStyle w:val="Tabletext"/>
              <w:ind w:left="284" w:hanging="284"/>
              <w:rPr>
                <w:sz w:val="20"/>
              </w:rPr>
            </w:pPr>
            <w:r w:rsidRPr="00B91EE1">
              <w:rPr>
                <w:sz w:val="20"/>
              </w:rPr>
              <w:t>•</w:t>
            </w:r>
            <w:r w:rsidR="00FF371C" w:rsidRPr="00B91EE1">
              <w:rPr>
                <w:sz w:val="20"/>
              </w:rPr>
              <w:tab/>
            </w:r>
            <w:r w:rsidRPr="00B91EE1">
              <w:rPr>
                <w:sz w:val="20"/>
              </w:rPr>
              <w:t>Tableaux nationaux d</w:t>
            </w:r>
            <w:r w:rsidR="00392F9A" w:rsidRPr="00B91EE1">
              <w:rPr>
                <w:sz w:val="20"/>
              </w:rPr>
              <w:t>'</w:t>
            </w:r>
            <w:r w:rsidRPr="00B91EE1">
              <w:rPr>
                <w:sz w:val="20"/>
              </w:rPr>
              <w:t>attribution des bandes de fréquences (NFAT) et outils relatifs aux NFAT.</w:t>
            </w:r>
          </w:p>
          <w:p w14:paraId="7B804D07" w14:textId="1CF0904E" w:rsidR="0031628C" w:rsidRPr="00B91EE1" w:rsidRDefault="0031628C" w:rsidP="004522B1">
            <w:pPr>
              <w:pStyle w:val="Tabletext"/>
              <w:ind w:left="284" w:hanging="284"/>
              <w:rPr>
                <w:sz w:val="20"/>
              </w:rPr>
            </w:pPr>
            <w:r w:rsidRPr="00B91EE1">
              <w:rPr>
                <w:sz w:val="20"/>
              </w:rPr>
              <w:t>•</w:t>
            </w:r>
            <w:r w:rsidR="00FF371C" w:rsidRPr="00B91EE1">
              <w:rPr>
                <w:sz w:val="20"/>
              </w:rPr>
              <w:tab/>
            </w:r>
            <w:r w:rsidRPr="00B91EE1">
              <w:rPr>
                <w:sz w:val="20"/>
              </w:rPr>
              <w:t>Gestion moderne du spectre et systèmes modernes de contrôle des émissions.</w:t>
            </w:r>
          </w:p>
          <w:p w14:paraId="041811BD" w14:textId="5951D18A" w:rsidR="0031628C" w:rsidRPr="00B91EE1" w:rsidRDefault="0031628C" w:rsidP="004522B1">
            <w:pPr>
              <w:pStyle w:val="Tabletext"/>
              <w:ind w:left="284" w:hanging="284"/>
              <w:rPr>
                <w:sz w:val="20"/>
              </w:rPr>
            </w:pPr>
            <w:r w:rsidRPr="00B91EE1">
              <w:rPr>
                <w:sz w:val="20"/>
              </w:rPr>
              <w:t>•</w:t>
            </w:r>
            <w:r w:rsidR="00FF371C" w:rsidRPr="00B91EE1">
              <w:rPr>
                <w:sz w:val="20"/>
              </w:rPr>
              <w:tab/>
            </w:r>
            <w:r w:rsidRPr="00B91EE1">
              <w:rPr>
                <w:sz w:val="20"/>
              </w:rPr>
              <w:t>Portée régionale des services maritimes.</w:t>
            </w:r>
          </w:p>
          <w:p w14:paraId="2A6D2D71" w14:textId="67420E25" w:rsidR="0031628C" w:rsidRPr="00B91EE1" w:rsidRDefault="0031628C" w:rsidP="004522B1">
            <w:pPr>
              <w:pStyle w:val="Tabletext"/>
              <w:ind w:left="284" w:hanging="284"/>
              <w:rPr>
                <w:sz w:val="20"/>
              </w:rPr>
            </w:pPr>
            <w:r w:rsidRPr="00B91EE1">
              <w:rPr>
                <w:sz w:val="20"/>
              </w:rPr>
              <w:t>•</w:t>
            </w:r>
            <w:r w:rsidR="00FF371C" w:rsidRPr="00B91EE1">
              <w:rPr>
                <w:sz w:val="20"/>
              </w:rPr>
              <w:tab/>
            </w:r>
            <w:r w:rsidRPr="00B91EE1">
              <w:rPr>
                <w:sz w:val="20"/>
              </w:rPr>
              <w:t>Constellations non OSG.</w:t>
            </w:r>
          </w:p>
          <w:p w14:paraId="39752137" w14:textId="78B19FE4" w:rsidR="0031628C" w:rsidRPr="00B91EE1" w:rsidRDefault="0031628C" w:rsidP="004522B1">
            <w:pPr>
              <w:pStyle w:val="Tabletext"/>
              <w:ind w:left="284" w:hanging="284"/>
              <w:rPr>
                <w:sz w:val="20"/>
              </w:rPr>
            </w:pPr>
            <w:r w:rsidRPr="00B91EE1">
              <w:rPr>
                <w:sz w:val="20"/>
              </w:rPr>
              <w:t>•</w:t>
            </w:r>
            <w:r w:rsidR="00FF371C" w:rsidRPr="00B91EE1">
              <w:rPr>
                <w:sz w:val="20"/>
              </w:rPr>
              <w:tab/>
            </w:r>
            <w:r w:rsidRPr="00B91EE1">
              <w:rPr>
                <w:sz w:val="20"/>
              </w:rPr>
              <w:t>Réaménagement de la bande des ondes décimétriques.</w:t>
            </w:r>
          </w:p>
          <w:p w14:paraId="5D881AAA" w14:textId="0F22D436" w:rsidR="0031628C" w:rsidRPr="00B91EE1" w:rsidRDefault="0031628C" w:rsidP="004522B1">
            <w:pPr>
              <w:pStyle w:val="Tabletext"/>
              <w:ind w:left="284" w:hanging="284"/>
              <w:rPr>
                <w:sz w:val="20"/>
              </w:rPr>
            </w:pPr>
            <w:r w:rsidRPr="00B91EE1">
              <w:rPr>
                <w:sz w:val="20"/>
              </w:rPr>
              <w:t>•</w:t>
            </w:r>
            <w:r w:rsidR="00FF371C" w:rsidRPr="00B91EE1">
              <w:rPr>
                <w:sz w:val="20"/>
              </w:rPr>
              <w:tab/>
            </w:r>
            <w:r w:rsidRPr="00B91EE1">
              <w:rPr>
                <w:sz w:val="20"/>
              </w:rPr>
              <w:t>Partage de la bande des 6 GHz.</w:t>
            </w:r>
          </w:p>
          <w:p w14:paraId="4973C3E0" w14:textId="6F0651A6" w:rsidR="0031628C" w:rsidRPr="00B91EE1" w:rsidRDefault="0031628C" w:rsidP="004522B1">
            <w:pPr>
              <w:pStyle w:val="Tabletext"/>
              <w:ind w:left="284" w:hanging="284"/>
              <w:rPr>
                <w:sz w:val="20"/>
                <w:szCs w:val="20"/>
              </w:rPr>
            </w:pPr>
            <w:r w:rsidRPr="00B91EE1">
              <w:rPr>
                <w:sz w:val="20"/>
              </w:rPr>
              <w:t>•</w:t>
            </w:r>
            <w:r w:rsidR="00FF371C" w:rsidRPr="00B91EE1">
              <w:rPr>
                <w:sz w:val="20"/>
              </w:rPr>
              <w:tab/>
            </w:r>
            <w:r w:rsidRPr="00B91EE1">
              <w:rPr>
                <w:sz w:val="20"/>
              </w:rPr>
              <w:t>Modèles d</w:t>
            </w:r>
            <w:r w:rsidR="00392F9A" w:rsidRPr="00B91EE1">
              <w:rPr>
                <w:sz w:val="20"/>
              </w:rPr>
              <w:t>'</w:t>
            </w:r>
            <w:r w:rsidRPr="00B91EE1">
              <w:rPr>
                <w:sz w:val="20"/>
              </w:rPr>
              <w:t>octroi de licences 5G.</w:t>
            </w:r>
          </w:p>
          <w:p w14:paraId="792E333A" w14:textId="5CB9FC67" w:rsidR="0031628C" w:rsidRPr="00B91EE1" w:rsidRDefault="0031628C" w:rsidP="004522B1">
            <w:pPr>
              <w:pStyle w:val="Tabletext"/>
              <w:ind w:left="284" w:hanging="284"/>
              <w:rPr>
                <w:sz w:val="20"/>
                <w:szCs w:val="20"/>
              </w:rPr>
            </w:pPr>
            <w:r w:rsidRPr="00B91EE1">
              <w:rPr>
                <w:sz w:val="20"/>
                <w:szCs w:val="20"/>
              </w:rPr>
              <w:t>•</w:t>
            </w:r>
            <w:r w:rsidR="00FF371C" w:rsidRPr="00B91EE1">
              <w:rPr>
                <w:sz w:val="20"/>
                <w:szCs w:val="20"/>
              </w:rPr>
              <w:tab/>
            </w:r>
            <w:r w:rsidRPr="00B91EE1">
              <w:rPr>
                <w:sz w:val="20"/>
                <w:szCs w:val="20"/>
              </w:rPr>
              <w:t>Table ronde sur la portée régionale des enjeux de l</w:t>
            </w:r>
            <w:r w:rsidR="00392F9A" w:rsidRPr="00B91EE1">
              <w:rPr>
                <w:sz w:val="20"/>
                <w:szCs w:val="20"/>
              </w:rPr>
              <w:t>'</w:t>
            </w:r>
            <w:r w:rsidRPr="00B91EE1">
              <w:rPr>
                <w:sz w:val="20"/>
                <w:szCs w:val="20"/>
              </w:rPr>
              <w:t>ordre du jour de la CMR-23.</w:t>
            </w:r>
          </w:p>
        </w:tc>
        <w:tc>
          <w:tcPr>
            <w:tcW w:w="850"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7C702384" w14:textId="77777777" w:rsidR="0031628C" w:rsidRPr="00B91EE1" w:rsidRDefault="0031628C" w:rsidP="004522B1">
            <w:pPr>
              <w:pStyle w:val="Tabletext"/>
              <w:jc w:val="center"/>
              <w:rPr>
                <w:sz w:val="20"/>
                <w:szCs w:val="20"/>
              </w:rPr>
            </w:pPr>
            <w:r w:rsidRPr="00B91EE1">
              <w:rPr>
                <w:sz w:val="20"/>
              </w:rPr>
              <w:t>A &amp; E</w:t>
            </w:r>
          </w:p>
        </w:tc>
        <w:tc>
          <w:tcPr>
            <w:tcW w:w="851"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750F6B12" w14:textId="77777777" w:rsidR="0031628C" w:rsidRPr="00B91EE1" w:rsidRDefault="0031628C" w:rsidP="004522B1">
            <w:pPr>
              <w:pStyle w:val="Tabletext"/>
              <w:jc w:val="center"/>
              <w:rPr>
                <w:sz w:val="20"/>
                <w:szCs w:val="20"/>
              </w:rPr>
            </w:pPr>
            <w:r w:rsidRPr="00B91EE1">
              <w:rPr>
                <w:sz w:val="20"/>
              </w:rPr>
              <w:t>185/51</w:t>
            </w:r>
          </w:p>
        </w:tc>
        <w:tc>
          <w:tcPr>
            <w:tcW w:w="112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6B8B95EF" w14:textId="77777777" w:rsidR="0031628C" w:rsidRPr="00B91EE1" w:rsidRDefault="0031628C" w:rsidP="004522B1">
            <w:pPr>
              <w:pStyle w:val="Tabletext"/>
              <w:jc w:val="center"/>
              <w:rPr>
                <w:sz w:val="20"/>
              </w:rPr>
            </w:pPr>
            <w:r w:rsidRPr="00B91EE1">
              <w:rPr>
                <w:sz w:val="20"/>
              </w:rPr>
              <w:t>N/A</w:t>
            </w:r>
          </w:p>
        </w:tc>
      </w:tr>
      <w:tr w:rsidR="002C59AB" w:rsidRPr="00B91EE1" w14:paraId="0EA0A854" w14:textId="77777777" w:rsidTr="002C59AB">
        <w:tc>
          <w:tcPr>
            <w:tcW w:w="1560"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632F4AE0" w14:textId="26E24946" w:rsidR="0031628C" w:rsidRPr="00B91EE1" w:rsidRDefault="0031628C" w:rsidP="004522B1">
            <w:pPr>
              <w:pStyle w:val="Tabletext"/>
              <w:rPr>
                <w:sz w:val="20"/>
                <w:szCs w:val="20"/>
              </w:rPr>
            </w:pPr>
            <w:r w:rsidRPr="00B91EE1">
              <w:rPr>
                <w:rFonts w:asciiTheme="majorBidi" w:hAnsiTheme="majorBidi" w:cstheme="majorBidi"/>
                <w:sz w:val="20"/>
              </w:rPr>
              <w:t xml:space="preserve">30 août </w:t>
            </w:r>
            <w:r w:rsidR="00FF371C" w:rsidRPr="00B91EE1">
              <w:rPr>
                <w:rFonts w:asciiTheme="majorBidi" w:hAnsiTheme="majorBidi" w:cstheme="majorBidi"/>
                <w:sz w:val="20"/>
              </w:rPr>
              <w:t>–</w:t>
            </w:r>
            <w:r w:rsidRPr="00B91EE1">
              <w:rPr>
                <w:rFonts w:asciiTheme="majorBidi" w:hAnsiTheme="majorBidi" w:cstheme="majorBidi"/>
                <w:sz w:val="20"/>
              </w:rPr>
              <w:t xml:space="preserve"> 8</w:t>
            </w:r>
            <w:r w:rsidR="00FF371C" w:rsidRPr="00B91EE1">
              <w:rPr>
                <w:rFonts w:asciiTheme="majorBidi" w:hAnsiTheme="majorBidi" w:cstheme="majorBidi"/>
                <w:sz w:val="20"/>
              </w:rPr>
              <w:t> </w:t>
            </w:r>
            <w:r w:rsidRPr="00B91EE1">
              <w:rPr>
                <w:rFonts w:asciiTheme="majorBidi" w:hAnsiTheme="majorBidi" w:cstheme="majorBidi"/>
                <w:sz w:val="20"/>
              </w:rPr>
              <w:t>septembre 2022</w:t>
            </w:r>
          </w:p>
        </w:tc>
        <w:tc>
          <w:tcPr>
            <w:tcW w:w="1559"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2858596E" w14:textId="77777777" w:rsidR="0031628C" w:rsidRPr="00B91EE1" w:rsidRDefault="0031628C" w:rsidP="004522B1">
            <w:pPr>
              <w:pStyle w:val="Tabletext"/>
              <w:rPr>
                <w:sz w:val="20"/>
                <w:szCs w:val="20"/>
              </w:rPr>
            </w:pPr>
            <w:r w:rsidRPr="00B91EE1">
              <w:rPr>
                <w:sz w:val="20"/>
                <w:szCs w:val="20"/>
              </w:rPr>
              <w:t>RRS-22-Europe</w:t>
            </w:r>
          </w:p>
        </w:tc>
        <w:tc>
          <w:tcPr>
            <w:tcW w:w="992"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606B9392" w14:textId="77777777" w:rsidR="0031628C" w:rsidRPr="00B91EE1" w:rsidRDefault="0031628C" w:rsidP="004522B1">
            <w:pPr>
              <w:pStyle w:val="Tabletext"/>
              <w:jc w:val="center"/>
              <w:rPr>
                <w:sz w:val="20"/>
                <w:szCs w:val="20"/>
              </w:rPr>
            </w:pPr>
            <w:r w:rsidRPr="00B91EE1">
              <w:rPr>
                <w:sz w:val="20"/>
                <w:szCs w:val="20"/>
              </w:rPr>
              <w:t>Réunion virtuelle</w:t>
            </w:r>
          </w:p>
        </w:tc>
        <w:tc>
          <w:tcPr>
            <w:tcW w:w="1559"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1A09343D" w14:textId="77777777" w:rsidR="0031628C" w:rsidRPr="00B91EE1" w:rsidRDefault="0031628C" w:rsidP="004522B1">
            <w:pPr>
              <w:pStyle w:val="Tabletext"/>
              <w:jc w:val="center"/>
              <w:rPr>
                <w:sz w:val="20"/>
                <w:szCs w:val="20"/>
              </w:rPr>
            </w:pPr>
            <w:r w:rsidRPr="00B91EE1">
              <w:rPr>
                <w:sz w:val="20"/>
                <w:szCs w:val="20"/>
              </w:rPr>
              <w:t>−</w:t>
            </w:r>
          </w:p>
        </w:tc>
        <w:tc>
          <w:tcPr>
            <w:tcW w:w="2268"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6E25C6B9" w14:textId="6D465CCD" w:rsidR="0031628C" w:rsidRPr="00B91EE1" w:rsidRDefault="0031628C" w:rsidP="004522B1">
            <w:pPr>
              <w:pStyle w:val="Tabletext"/>
              <w:jc w:val="center"/>
              <w:rPr>
                <w:sz w:val="20"/>
                <w:szCs w:val="20"/>
              </w:rPr>
            </w:pPr>
            <w:r w:rsidRPr="00B91EE1">
              <w:rPr>
                <w:sz w:val="20"/>
                <w:szCs w:val="20"/>
              </w:rPr>
              <w:t>Bureau régional de l</w:t>
            </w:r>
            <w:r w:rsidR="00392F9A" w:rsidRPr="00B91EE1">
              <w:rPr>
                <w:sz w:val="20"/>
                <w:szCs w:val="20"/>
              </w:rPr>
              <w:t>'</w:t>
            </w:r>
            <w:r w:rsidRPr="00B91EE1">
              <w:rPr>
                <w:sz w:val="20"/>
                <w:szCs w:val="20"/>
              </w:rPr>
              <w:t>UIT pour l</w:t>
            </w:r>
            <w:r w:rsidR="00392F9A" w:rsidRPr="00B91EE1">
              <w:rPr>
                <w:sz w:val="20"/>
                <w:szCs w:val="20"/>
              </w:rPr>
              <w:t>'</w:t>
            </w:r>
            <w:r w:rsidRPr="00B91EE1">
              <w:rPr>
                <w:sz w:val="20"/>
                <w:szCs w:val="20"/>
              </w:rPr>
              <w:t>Europe</w:t>
            </w:r>
          </w:p>
        </w:tc>
        <w:tc>
          <w:tcPr>
            <w:tcW w:w="5387"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2BA9A1A5" w14:textId="6DF31839" w:rsidR="00FF371C" w:rsidRPr="00B91EE1" w:rsidRDefault="0031628C" w:rsidP="004522B1">
            <w:pPr>
              <w:pStyle w:val="Tabletext"/>
              <w:ind w:left="284" w:hanging="284"/>
              <w:rPr>
                <w:sz w:val="20"/>
                <w:szCs w:val="20"/>
              </w:rPr>
            </w:pPr>
            <w:r w:rsidRPr="00B91EE1">
              <w:rPr>
                <w:sz w:val="20"/>
                <w:szCs w:val="20"/>
              </w:rPr>
              <w:t>•</w:t>
            </w:r>
            <w:r w:rsidR="00FF371C" w:rsidRPr="00B91EE1">
              <w:rPr>
                <w:sz w:val="20"/>
                <w:szCs w:val="20"/>
              </w:rPr>
              <w:tab/>
            </w:r>
            <w:r w:rsidRPr="00B91EE1">
              <w:rPr>
                <w:sz w:val="20"/>
                <w:szCs w:val="20"/>
              </w:rPr>
              <w:t xml:space="preserve">Outils </w:t>
            </w:r>
            <w:r w:rsidRPr="00B91EE1">
              <w:rPr>
                <w:sz w:val="20"/>
              </w:rPr>
              <w:t xml:space="preserve">relatifs aux </w:t>
            </w:r>
            <w:r w:rsidRPr="00B91EE1">
              <w:rPr>
                <w:sz w:val="20"/>
                <w:szCs w:val="20"/>
              </w:rPr>
              <w:t>NFAT, y compris l</w:t>
            </w:r>
            <w:r w:rsidR="00392F9A" w:rsidRPr="00B91EE1">
              <w:rPr>
                <w:sz w:val="20"/>
                <w:szCs w:val="20"/>
              </w:rPr>
              <w:t>'</w:t>
            </w:r>
            <w:r w:rsidRPr="00B91EE1">
              <w:rPr>
                <w:sz w:val="20"/>
                <w:szCs w:val="20"/>
              </w:rPr>
              <w:t>outil de visualisation de l</w:t>
            </w:r>
            <w:r w:rsidR="00392F9A" w:rsidRPr="00B91EE1">
              <w:rPr>
                <w:sz w:val="20"/>
                <w:szCs w:val="20"/>
              </w:rPr>
              <w:t>'</w:t>
            </w:r>
            <w:r w:rsidRPr="00B91EE1">
              <w:rPr>
                <w:sz w:val="20"/>
                <w:szCs w:val="20"/>
              </w:rPr>
              <w:t>Article</w:t>
            </w:r>
            <w:r w:rsidRPr="00B91EE1">
              <w:rPr>
                <w:b/>
                <w:bCs/>
                <w:sz w:val="20"/>
                <w:szCs w:val="20"/>
              </w:rPr>
              <w:t xml:space="preserve"> 5</w:t>
            </w:r>
            <w:r w:rsidRPr="00B91EE1">
              <w:rPr>
                <w:sz w:val="20"/>
                <w:szCs w:val="20"/>
              </w:rPr>
              <w:t xml:space="preserve"> du RR.</w:t>
            </w:r>
          </w:p>
          <w:p w14:paraId="1B4E6ED3" w14:textId="2F2E14A4" w:rsidR="0031628C" w:rsidRPr="00B91EE1" w:rsidRDefault="00FF371C" w:rsidP="004522B1">
            <w:pPr>
              <w:pStyle w:val="Tabletext"/>
              <w:ind w:left="284" w:hanging="284"/>
              <w:rPr>
                <w:rFonts w:cs="Times New Roman"/>
                <w:sz w:val="20"/>
                <w:szCs w:val="20"/>
              </w:rPr>
            </w:pPr>
            <w:r w:rsidRPr="00B91EE1">
              <w:rPr>
                <w:sz w:val="20"/>
              </w:rPr>
              <w:t>•</w:t>
            </w:r>
            <w:r w:rsidRPr="00B91EE1">
              <w:rPr>
                <w:sz w:val="20"/>
                <w:szCs w:val="20"/>
              </w:rPr>
              <w:tab/>
            </w:r>
            <w:r w:rsidR="0031628C" w:rsidRPr="00B91EE1">
              <w:rPr>
                <w:sz w:val="20"/>
                <w:szCs w:val="20"/>
              </w:rPr>
              <w:t>É</w:t>
            </w:r>
            <w:r w:rsidR="0031628C" w:rsidRPr="00B91EE1">
              <w:rPr>
                <w:sz w:val="20"/>
              </w:rPr>
              <w:t>volution de la 5G en Europe</w:t>
            </w:r>
            <w:r w:rsidR="0031628C" w:rsidRPr="00B91EE1">
              <w:rPr>
                <w:rFonts w:cs="Times New Roman"/>
                <w:sz w:val="20"/>
              </w:rPr>
              <w:t>.</w:t>
            </w:r>
          </w:p>
          <w:p w14:paraId="2AFE5B89" w14:textId="64558FF3" w:rsidR="0031628C" w:rsidRPr="00B91EE1" w:rsidRDefault="0031628C" w:rsidP="004522B1">
            <w:pPr>
              <w:pStyle w:val="Tabletext"/>
              <w:ind w:left="284" w:hanging="284"/>
              <w:rPr>
                <w:sz w:val="20"/>
                <w:szCs w:val="20"/>
              </w:rPr>
            </w:pPr>
            <w:r w:rsidRPr="00B91EE1">
              <w:rPr>
                <w:rFonts w:cs="Times New Roman"/>
                <w:sz w:val="20"/>
              </w:rPr>
              <w:t>•</w:t>
            </w:r>
            <w:r w:rsidR="00FF371C" w:rsidRPr="00B91EE1">
              <w:rPr>
                <w:sz w:val="20"/>
              </w:rPr>
              <w:tab/>
            </w:r>
            <w:r w:rsidRPr="00B91EE1">
              <w:rPr>
                <w:sz w:val="20"/>
              </w:rPr>
              <w:t>Gestion moderne du spectre et systèmes modernes de contrôle des émissions</w:t>
            </w:r>
            <w:r w:rsidRPr="00B91EE1">
              <w:rPr>
                <w:rFonts w:cs="Times New Roman"/>
                <w:sz w:val="20"/>
              </w:rPr>
              <w:t>.</w:t>
            </w:r>
          </w:p>
          <w:p w14:paraId="7B0A6A29" w14:textId="554C020C" w:rsidR="0031628C" w:rsidRPr="00B91EE1" w:rsidRDefault="0031628C" w:rsidP="004522B1">
            <w:pPr>
              <w:pStyle w:val="Tabletext"/>
              <w:ind w:left="284" w:hanging="284"/>
              <w:rPr>
                <w:sz w:val="20"/>
                <w:szCs w:val="20"/>
              </w:rPr>
            </w:pPr>
            <w:r w:rsidRPr="00B91EE1">
              <w:rPr>
                <w:rFonts w:cs="Times New Roman"/>
                <w:sz w:val="20"/>
                <w:szCs w:val="20"/>
              </w:rPr>
              <w:t>•</w:t>
            </w:r>
            <w:r w:rsidR="00FF371C" w:rsidRPr="00B91EE1">
              <w:rPr>
                <w:rFonts w:cs="Times New Roman"/>
                <w:sz w:val="20"/>
                <w:szCs w:val="20"/>
              </w:rPr>
              <w:tab/>
            </w:r>
            <w:r w:rsidRPr="00B91EE1">
              <w:rPr>
                <w:sz w:val="20"/>
                <w:szCs w:val="20"/>
              </w:rPr>
              <w:t>Table ronde sur la portée régionale des enjeux de l</w:t>
            </w:r>
            <w:r w:rsidR="00392F9A" w:rsidRPr="00B91EE1">
              <w:rPr>
                <w:sz w:val="20"/>
                <w:szCs w:val="20"/>
              </w:rPr>
              <w:t>'</w:t>
            </w:r>
            <w:r w:rsidRPr="00B91EE1">
              <w:rPr>
                <w:sz w:val="20"/>
                <w:szCs w:val="20"/>
              </w:rPr>
              <w:t>ordre du jour de la CMR-23.</w:t>
            </w:r>
          </w:p>
        </w:tc>
        <w:tc>
          <w:tcPr>
            <w:tcW w:w="850"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5997AD77" w14:textId="77777777" w:rsidR="0031628C" w:rsidRPr="00B91EE1" w:rsidRDefault="0031628C" w:rsidP="004522B1">
            <w:pPr>
              <w:pStyle w:val="Tabletext"/>
              <w:jc w:val="center"/>
              <w:rPr>
                <w:sz w:val="20"/>
                <w:szCs w:val="20"/>
              </w:rPr>
            </w:pPr>
            <w:r w:rsidRPr="00B91EE1">
              <w:rPr>
                <w:sz w:val="20"/>
              </w:rPr>
              <w:t>E</w:t>
            </w:r>
          </w:p>
        </w:tc>
        <w:tc>
          <w:tcPr>
            <w:tcW w:w="851"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2AE690C3" w14:textId="77777777" w:rsidR="0031628C" w:rsidRPr="00B91EE1" w:rsidRDefault="0031628C" w:rsidP="004522B1">
            <w:pPr>
              <w:pStyle w:val="Tabletext"/>
              <w:jc w:val="center"/>
              <w:rPr>
                <w:sz w:val="20"/>
                <w:szCs w:val="20"/>
              </w:rPr>
            </w:pPr>
            <w:r w:rsidRPr="00B91EE1">
              <w:rPr>
                <w:sz w:val="20"/>
              </w:rPr>
              <w:t>286/83</w:t>
            </w:r>
          </w:p>
        </w:tc>
        <w:tc>
          <w:tcPr>
            <w:tcW w:w="1124"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6A4C5D35" w14:textId="77777777" w:rsidR="0031628C" w:rsidRPr="00B91EE1" w:rsidRDefault="0031628C" w:rsidP="004522B1">
            <w:pPr>
              <w:pStyle w:val="Tabletext"/>
              <w:jc w:val="center"/>
              <w:rPr>
                <w:sz w:val="20"/>
              </w:rPr>
            </w:pPr>
            <w:r w:rsidRPr="00B91EE1">
              <w:rPr>
                <w:sz w:val="20"/>
              </w:rPr>
              <w:t>N/A</w:t>
            </w:r>
          </w:p>
        </w:tc>
      </w:tr>
      <w:tr w:rsidR="002C59AB" w:rsidRPr="00B91EE1" w14:paraId="706A2347" w14:textId="77777777" w:rsidTr="002C59AB">
        <w:trPr>
          <w:cnfStyle w:val="000000100000" w:firstRow="0" w:lastRow="0" w:firstColumn="0" w:lastColumn="0" w:oddVBand="0" w:evenVBand="0" w:oddHBand="1" w:evenHBand="0" w:firstRowFirstColumn="0" w:firstRowLastColumn="0" w:lastRowFirstColumn="0" w:lastRowLastColumn="0"/>
        </w:trPr>
        <w:tc>
          <w:tcPr>
            <w:tcW w:w="1560"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44664B79" w14:textId="77777777" w:rsidR="0031628C" w:rsidRPr="00B91EE1" w:rsidRDefault="0031628C" w:rsidP="004522B1">
            <w:pPr>
              <w:pStyle w:val="Tabletext"/>
              <w:keepNext/>
              <w:keepLines/>
              <w:rPr>
                <w:sz w:val="20"/>
                <w:szCs w:val="20"/>
              </w:rPr>
            </w:pPr>
            <w:r w:rsidRPr="00B91EE1">
              <w:rPr>
                <w:sz w:val="20"/>
                <w:szCs w:val="20"/>
              </w:rPr>
              <w:lastRenderedPageBreak/>
              <w:t>15-20 décembre 2022</w:t>
            </w:r>
          </w:p>
        </w:tc>
        <w:tc>
          <w:tcPr>
            <w:tcW w:w="1559"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236A3A33" w14:textId="77777777" w:rsidR="0031628C" w:rsidRPr="00B91EE1" w:rsidRDefault="0031628C" w:rsidP="004522B1">
            <w:pPr>
              <w:pStyle w:val="Tabletext"/>
              <w:keepNext/>
              <w:keepLines/>
              <w:rPr>
                <w:sz w:val="20"/>
                <w:szCs w:val="20"/>
              </w:rPr>
            </w:pPr>
            <w:r w:rsidRPr="00B91EE1">
              <w:rPr>
                <w:sz w:val="20"/>
                <w:szCs w:val="20"/>
              </w:rPr>
              <w:t>RRS-22-Asie-Pacifique</w:t>
            </w:r>
          </w:p>
        </w:tc>
        <w:tc>
          <w:tcPr>
            <w:tcW w:w="992"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3D4776D1" w14:textId="77777777" w:rsidR="0031628C" w:rsidRPr="00B91EE1" w:rsidRDefault="0031628C" w:rsidP="004522B1">
            <w:pPr>
              <w:pStyle w:val="Tabletext"/>
              <w:keepNext/>
              <w:keepLines/>
              <w:jc w:val="center"/>
              <w:rPr>
                <w:sz w:val="20"/>
                <w:szCs w:val="20"/>
              </w:rPr>
            </w:pPr>
            <w:r w:rsidRPr="00B91EE1">
              <w:rPr>
                <w:sz w:val="20"/>
                <w:szCs w:val="20"/>
              </w:rPr>
              <w:t>Nadi (Fidji)</w:t>
            </w:r>
          </w:p>
        </w:tc>
        <w:tc>
          <w:tcPr>
            <w:tcW w:w="1559"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79A603EB" w14:textId="1CBF1DFE" w:rsidR="0031628C" w:rsidRPr="00B91EE1" w:rsidRDefault="00CD643A" w:rsidP="004522B1">
            <w:pPr>
              <w:pStyle w:val="Tabletext"/>
              <w:keepNext/>
              <w:keepLines/>
              <w:jc w:val="center"/>
              <w:rPr>
                <w:sz w:val="20"/>
                <w:szCs w:val="20"/>
              </w:rPr>
            </w:pPr>
            <w:hyperlink r:id="rId30" w:history="1">
              <w:r w:rsidR="0031628C" w:rsidRPr="00B91EE1">
                <w:rPr>
                  <w:rStyle w:val="Hyperlink"/>
                  <w:sz w:val="20"/>
                  <w:szCs w:val="20"/>
                </w:rPr>
                <w:t>Ministère des communicat</w:t>
              </w:r>
              <w:r w:rsidR="00FF371C" w:rsidRPr="00B91EE1">
                <w:rPr>
                  <w:rStyle w:val="Hyperlink"/>
                  <w:sz w:val="20"/>
                  <w:szCs w:val="20"/>
                </w:rPr>
                <w:t>i</w:t>
              </w:r>
              <w:r w:rsidR="0031628C" w:rsidRPr="00B91EE1">
                <w:rPr>
                  <w:rStyle w:val="Hyperlink"/>
                  <w:sz w:val="20"/>
                  <w:szCs w:val="20"/>
                </w:rPr>
                <w:t>ons</w:t>
              </w:r>
              <w:r w:rsidR="0031628C" w:rsidRPr="00B91EE1">
                <w:rPr>
                  <w:rStyle w:val="Hyperlink"/>
                  <w:color w:val="auto"/>
                  <w:sz w:val="20"/>
                  <w:szCs w:val="20"/>
                  <w:u w:val="none"/>
                </w:rPr>
                <w:t xml:space="preserve"> (MOC) des Fidji</w:t>
              </w:r>
            </w:hyperlink>
          </w:p>
        </w:tc>
        <w:tc>
          <w:tcPr>
            <w:tcW w:w="2268"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70F13FF6" w14:textId="3E2F3838" w:rsidR="0031628C" w:rsidRPr="00B91EE1" w:rsidRDefault="00CD643A" w:rsidP="004522B1">
            <w:pPr>
              <w:keepNext/>
              <w:keepLines/>
              <w:spacing w:before="0"/>
              <w:jc w:val="center"/>
              <w:rPr>
                <w:sz w:val="20"/>
                <w:szCs w:val="20"/>
              </w:rPr>
            </w:pPr>
            <w:hyperlink r:id="rId31" w:history="1">
              <w:r w:rsidR="0031628C" w:rsidRPr="00B91EE1">
                <w:rPr>
                  <w:rStyle w:val="Hyperlink"/>
                  <w:sz w:val="20"/>
                  <w:szCs w:val="20"/>
                </w:rPr>
                <w:t>Association des télécommunications des îles du Pacifique (PITA)</w:t>
              </w:r>
            </w:hyperlink>
          </w:p>
          <w:p w14:paraId="722FA84A" w14:textId="361CFABA" w:rsidR="0031628C" w:rsidRPr="00B91EE1" w:rsidRDefault="00CD643A" w:rsidP="004522B1">
            <w:pPr>
              <w:pStyle w:val="Tabletext"/>
              <w:keepNext/>
              <w:keepLines/>
              <w:spacing w:before="240"/>
              <w:jc w:val="center"/>
              <w:rPr>
                <w:sz w:val="20"/>
                <w:szCs w:val="20"/>
              </w:rPr>
            </w:pPr>
            <w:hyperlink r:id="rId32" w:history="1">
              <w:r w:rsidR="0031628C" w:rsidRPr="00B91EE1">
                <w:rPr>
                  <w:rStyle w:val="Hyperlink"/>
                  <w:sz w:val="20"/>
                  <w:szCs w:val="20"/>
                </w:rPr>
                <w:t>Département des infrastructures, des transports, du développement régional, de la communication et des arts</w:t>
              </w:r>
              <w:r w:rsidR="0031628C" w:rsidRPr="00B91EE1">
                <w:rPr>
                  <w:rStyle w:val="Hyperlink"/>
                  <w:color w:val="auto"/>
                  <w:sz w:val="20"/>
                  <w:szCs w:val="20"/>
                  <w:u w:val="none"/>
                </w:rPr>
                <w:t xml:space="preserve"> (DITRDCA) du Gouvernement australien</w:t>
              </w:r>
            </w:hyperlink>
          </w:p>
          <w:p w14:paraId="29581CB0" w14:textId="4C8F9DFB" w:rsidR="0031628C" w:rsidRPr="00B91EE1" w:rsidRDefault="0031628C" w:rsidP="004522B1">
            <w:pPr>
              <w:pStyle w:val="Tabletext"/>
              <w:keepNext/>
              <w:keepLines/>
              <w:spacing w:before="240"/>
              <w:jc w:val="center"/>
              <w:rPr>
                <w:sz w:val="20"/>
                <w:szCs w:val="20"/>
              </w:rPr>
            </w:pPr>
            <w:r w:rsidRPr="00B91EE1">
              <w:rPr>
                <w:sz w:val="20"/>
                <w:szCs w:val="20"/>
              </w:rPr>
              <w:t>Bureau régional de l</w:t>
            </w:r>
            <w:r w:rsidR="00392F9A" w:rsidRPr="00B91EE1">
              <w:rPr>
                <w:sz w:val="20"/>
                <w:szCs w:val="20"/>
              </w:rPr>
              <w:t>'</w:t>
            </w:r>
            <w:r w:rsidRPr="00B91EE1">
              <w:rPr>
                <w:sz w:val="20"/>
                <w:szCs w:val="20"/>
              </w:rPr>
              <w:t>UIT pour l</w:t>
            </w:r>
            <w:r w:rsidR="00392F9A" w:rsidRPr="00B91EE1">
              <w:rPr>
                <w:sz w:val="20"/>
                <w:szCs w:val="20"/>
              </w:rPr>
              <w:t>'</w:t>
            </w:r>
            <w:r w:rsidRPr="00B91EE1">
              <w:rPr>
                <w:sz w:val="20"/>
                <w:szCs w:val="20"/>
              </w:rPr>
              <w:t>Asie et le Pacifique</w:t>
            </w:r>
          </w:p>
        </w:tc>
        <w:tc>
          <w:tcPr>
            <w:tcW w:w="5387"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345164E1" w14:textId="3EBE4E9D" w:rsidR="0031628C" w:rsidRPr="00B91EE1" w:rsidRDefault="0031628C" w:rsidP="004522B1">
            <w:pPr>
              <w:pStyle w:val="Tabletext"/>
              <w:keepNext/>
              <w:keepLines/>
              <w:ind w:left="284" w:hanging="284"/>
              <w:rPr>
                <w:rFonts w:cs="Times New Roman"/>
                <w:sz w:val="20"/>
                <w:szCs w:val="20"/>
              </w:rPr>
            </w:pPr>
            <w:r w:rsidRPr="00B91EE1">
              <w:rPr>
                <w:sz w:val="20"/>
                <w:szCs w:val="20"/>
              </w:rPr>
              <w:t>•</w:t>
            </w:r>
            <w:r w:rsidRPr="00B91EE1">
              <w:rPr>
                <w:sz w:val="20"/>
                <w:szCs w:val="20"/>
              </w:rPr>
              <w:tab/>
              <w:t>Tableaux nationaux d</w:t>
            </w:r>
            <w:r w:rsidR="00392F9A" w:rsidRPr="00B91EE1">
              <w:rPr>
                <w:sz w:val="20"/>
                <w:szCs w:val="20"/>
              </w:rPr>
              <w:t>'</w:t>
            </w:r>
            <w:r w:rsidRPr="00B91EE1">
              <w:rPr>
                <w:sz w:val="20"/>
                <w:szCs w:val="20"/>
              </w:rPr>
              <w:t xml:space="preserve">attribution des bandes de fréquences (NFAT) et outils </w:t>
            </w:r>
            <w:r w:rsidRPr="00B91EE1">
              <w:rPr>
                <w:sz w:val="20"/>
              </w:rPr>
              <w:t xml:space="preserve">relatifs aux </w:t>
            </w:r>
            <w:r w:rsidRPr="00B91EE1">
              <w:rPr>
                <w:sz w:val="20"/>
                <w:szCs w:val="20"/>
              </w:rPr>
              <w:t>NFAT.</w:t>
            </w:r>
          </w:p>
          <w:p w14:paraId="3197D685" w14:textId="77777777" w:rsidR="0031628C" w:rsidRPr="00B91EE1" w:rsidRDefault="0031628C" w:rsidP="004522B1">
            <w:pPr>
              <w:pStyle w:val="Tabletext"/>
              <w:keepNext/>
              <w:keepLines/>
              <w:ind w:left="284" w:hanging="284"/>
              <w:rPr>
                <w:rFonts w:cs="Times New Roman"/>
                <w:sz w:val="20"/>
                <w:szCs w:val="20"/>
              </w:rPr>
            </w:pPr>
            <w:r w:rsidRPr="00B91EE1">
              <w:rPr>
                <w:sz w:val="20"/>
                <w:szCs w:val="20"/>
              </w:rPr>
              <w:t>•</w:t>
            </w:r>
            <w:r w:rsidRPr="00B91EE1">
              <w:rPr>
                <w:sz w:val="20"/>
                <w:szCs w:val="20"/>
              </w:rPr>
              <w:tab/>
              <w:t>Gestion moderne du spectre et systèmes modernes de contrôle des émissions.</w:t>
            </w:r>
          </w:p>
          <w:p w14:paraId="290D6A6F" w14:textId="77777777" w:rsidR="0031628C" w:rsidRPr="00B91EE1" w:rsidRDefault="0031628C" w:rsidP="004522B1">
            <w:pPr>
              <w:pStyle w:val="Tabletext"/>
              <w:keepNext/>
              <w:keepLines/>
              <w:ind w:left="284" w:hanging="284"/>
              <w:rPr>
                <w:rFonts w:cs="Times New Roman"/>
                <w:sz w:val="20"/>
                <w:szCs w:val="20"/>
              </w:rPr>
            </w:pPr>
            <w:r w:rsidRPr="00B91EE1">
              <w:rPr>
                <w:sz w:val="20"/>
                <w:szCs w:val="20"/>
              </w:rPr>
              <w:t>•</w:t>
            </w:r>
            <w:r w:rsidRPr="00B91EE1">
              <w:rPr>
                <w:sz w:val="20"/>
                <w:szCs w:val="20"/>
              </w:rPr>
              <w:tab/>
              <w:t>Radiodiffusion numérique et radiodiffusion de Terre sonore (RAN) et télévisuelle.</w:t>
            </w:r>
          </w:p>
          <w:p w14:paraId="02B8EE0F" w14:textId="520B4808" w:rsidR="0031628C" w:rsidRPr="00B91EE1" w:rsidRDefault="0031628C" w:rsidP="004522B1">
            <w:pPr>
              <w:pStyle w:val="Tabletext"/>
              <w:keepNext/>
              <w:keepLines/>
              <w:rPr>
                <w:rFonts w:cs="Times New Roman"/>
                <w:sz w:val="20"/>
                <w:szCs w:val="20"/>
              </w:rPr>
            </w:pPr>
            <w:r w:rsidRPr="00B91EE1">
              <w:rPr>
                <w:sz w:val="20"/>
                <w:szCs w:val="20"/>
              </w:rPr>
              <w:t>•</w:t>
            </w:r>
            <w:r w:rsidRPr="00B91EE1">
              <w:rPr>
                <w:sz w:val="20"/>
                <w:szCs w:val="20"/>
              </w:rPr>
              <w:tab/>
              <w:t>Plans nationaux relatifs aux communications d</w:t>
            </w:r>
            <w:r w:rsidR="00392F9A" w:rsidRPr="00B91EE1">
              <w:rPr>
                <w:sz w:val="20"/>
                <w:szCs w:val="20"/>
              </w:rPr>
              <w:t>'</w:t>
            </w:r>
            <w:r w:rsidRPr="00B91EE1">
              <w:rPr>
                <w:sz w:val="20"/>
                <w:szCs w:val="20"/>
              </w:rPr>
              <w:t>urgence.</w:t>
            </w:r>
          </w:p>
          <w:p w14:paraId="0B915EBD" w14:textId="77777777" w:rsidR="0031628C" w:rsidRPr="00B91EE1" w:rsidRDefault="0031628C" w:rsidP="004522B1">
            <w:pPr>
              <w:pStyle w:val="Tabletext"/>
              <w:keepNext/>
              <w:keepLines/>
              <w:rPr>
                <w:rFonts w:cs="Times New Roman"/>
                <w:sz w:val="20"/>
                <w:szCs w:val="20"/>
              </w:rPr>
            </w:pPr>
            <w:r w:rsidRPr="00B91EE1">
              <w:rPr>
                <w:sz w:val="20"/>
                <w:szCs w:val="20"/>
              </w:rPr>
              <w:t>•</w:t>
            </w:r>
            <w:r w:rsidRPr="00B91EE1">
              <w:rPr>
                <w:sz w:val="20"/>
                <w:szCs w:val="20"/>
              </w:rPr>
              <w:tab/>
              <w:t>Tendances concernant les IMT-2020 (5G).</w:t>
            </w:r>
          </w:p>
          <w:p w14:paraId="62EC2F5C" w14:textId="10CB838C" w:rsidR="0031628C" w:rsidRPr="00B91EE1" w:rsidRDefault="0031628C" w:rsidP="004522B1">
            <w:pPr>
              <w:pStyle w:val="Tabletext"/>
              <w:keepNext/>
              <w:keepLines/>
              <w:ind w:left="284" w:hanging="284"/>
              <w:rPr>
                <w:rFonts w:cs="Times New Roman"/>
                <w:sz w:val="20"/>
                <w:szCs w:val="20"/>
              </w:rPr>
            </w:pPr>
            <w:r w:rsidRPr="00B91EE1">
              <w:rPr>
                <w:sz w:val="20"/>
                <w:szCs w:val="20"/>
              </w:rPr>
              <w:t>•</w:t>
            </w:r>
            <w:r w:rsidRPr="00B91EE1">
              <w:rPr>
                <w:sz w:val="20"/>
                <w:szCs w:val="20"/>
              </w:rPr>
              <w:tab/>
              <w:t>Autres systèmes large bande de Terre</w:t>
            </w:r>
            <w:r w:rsidR="00AF0829" w:rsidRPr="00B91EE1">
              <w:rPr>
                <w:sz w:val="20"/>
                <w:szCs w:val="20"/>
              </w:rPr>
              <w:t>:</w:t>
            </w:r>
            <w:r w:rsidRPr="00B91EE1">
              <w:rPr>
                <w:sz w:val="20"/>
                <w:szCs w:val="20"/>
              </w:rPr>
              <w:t xml:space="preserve"> fixes; HAPS/HIBS; RLAN.</w:t>
            </w:r>
          </w:p>
          <w:p w14:paraId="19E1BDD2" w14:textId="77777777" w:rsidR="0031628C" w:rsidRPr="00B91EE1" w:rsidRDefault="0031628C" w:rsidP="004522B1">
            <w:pPr>
              <w:pStyle w:val="Tabletext"/>
              <w:keepNext/>
              <w:keepLines/>
              <w:ind w:left="284" w:hanging="284"/>
              <w:rPr>
                <w:sz w:val="20"/>
                <w:szCs w:val="20"/>
              </w:rPr>
            </w:pPr>
            <w:r w:rsidRPr="00B91EE1">
              <w:rPr>
                <w:sz w:val="20"/>
                <w:szCs w:val="20"/>
              </w:rPr>
              <w:t>•</w:t>
            </w:r>
            <w:r w:rsidRPr="00B91EE1">
              <w:rPr>
                <w:sz w:val="20"/>
                <w:szCs w:val="20"/>
              </w:rPr>
              <w:tab/>
              <w:t>Systèmes à satellites large bande OSG et non OSG.</w:t>
            </w:r>
          </w:p>
          <w:p w14:paraId="043BF0F1" w14:textId="6A823A65" w:rsidR="0031628C" w:rsidRPr="00B91EE1" w:rsidRDefault="0031628C" w:rsidP="004522B1">
            <w:pPr>
              <w:pStyle w:val="Tabletext"/>
              <w:keepNext/>
              <w:keepLines/>
              <w:ind w:left="284" w:hanging="284"/>
              <w:rPr>
                <w:rFonts w:cs="Times New Roman"/>
                <w:sz w:val="20"/>
                <w:szCs w:val="20"/>
              </w:rPr>
            </w:pPr>
            <w:r w:rsidRPr="00B91EE1">
              <w:rPr>
                <w:sz w:val="20"/>
                <w:szCs w:val="20"/>
              </w:rPr>
              <w:t>•</w:t>
            </w:r>
            <w:r w:rsidRPr="00B91EE1">
              <w:rPr>
                <w:sz w:val="20"/>
                <w:szCs w:val="20"/>
              </w:rPr>
              <w:tab/>
              <w:t>Tarification du spectre</w:t>
            </w:r>
            <w:r w:rsidR="00AF0829" w:rsidRPr="00B91EE1">
              <w:rPr>
                <w:sz w:val="20"/>
                <w:szCs w:val="20"/>
              </w:rPr>
              <w:t>.</w:t>
            </w:r>
          </w:p>
          <w:p w14:paraId="0A970441" w14:textId="7AD8E306" w:rsidR="0031628C" w:rsidRPr="00B91EE1" w:rsidRDefault="0031628C" w:rsidP="004522B1">
            <w:pPr>
              <w:pStyle w:val="Tabletext"/>
              <w:keepNext/>
              <w:keepLines/>
              <w:ind w:left="284" w:hanging="284"/>
              <w:rPr>
                <w:sz w:val="20"/>
                <w:szCs w:val="20"/>
              </w:rPr>
            </w:pPr>
            <w:r w:rsidRPr="00B91EE1">
              <w:rPr>
                <w:rFonts w:cs="Times New Roman"/>
                <w:sz w:val="20"/>
                <w:szCs w:val="20"/>
              </w:rPr>
              <w:t>•</w:t>
            </w:r>
            <w:r w:rsidRPr="00B91EE1">
              <w:rPr>
                <w:sz w:val="20"/>
                <w:szCs w:val="20"/>
              </w:rPr>
              <w:tab/>
              <w:t>Table ronde sur la portée régionale des enjeux de l</w:t>
            </w:r>
            <w:r w:rsidR="00392F9A" w:rsidRPr="00B91EE1">
              <w:rPr>
                <w:sz w:val="20"/>
                <w:szCs w:val="20"/>
              </w:rPr>
              <w:t>'</w:t>
            </w:r>
            <w:r w:rsidRPr="00B91EE1">
              <w:rPr>
                <w:sz w:val="20"/>
                <w:szCs w:val="20"/>
              </w:rPr>
              <w:t>ordre du jour de la CMR-23.</w:t>
            </w:r>
          </w:p>
        </w:tc>
        <w:tc>
          <w:tcPr>
            <w:tcW w:w="850"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5E8AD5A7" w14:textId="77777777" w:rsidR="0031628C" w:rsidRPr="00B91EE1" w:rsidRDefault="0031628C" w:rsidP="004522B1">
            <w:pPr>
              <w:pStyle w:val="Tabletext"/>
              <w:keepNext/>
              <w:keepLines/>
              <w:jc w:val="center"/>
              <w:rPr>
                <w:sz w:val="20"/>
                <w:szCs w:val="20"/>
              </w:rPr>
            </w:pPr>
            <w:r w:rsidRPr="00B91EE1">
              <w:rPr>
                <w:sz w:val="20"/>
              </w:rPr>
              <w:t>E</w:t>
            </w:r>
          </w:p>
        </w:tc>
        <w:tc>
          <w:tcPr>
            <w:tcW w:w="851"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0F334FAC" w14:textId="77777777" w:rsidR="0031628C" w:rsidRPr="00B91EE1" w:rsidRDefault="0031628C" w:rsidP="004522B1">
            <w:pPr>
              <w:pStyle w:val="Tabletext"/>
              <w:keepNext/>
              <w:keepLines/>
              <w:jc w:val="center"/>
              <w:rPr>
                <w:sz w:val="20"/>
                <w:szCs w:val="20"/>
              </w:rPr>
            </w:pPr>
            <w:r w:rsidRPr="00B91EE1">
              <w:rPr>
                <w:sz w:val="20"/>
              </w:rPr>
              <w:t>80/40</w:t>
            </w:r>
          </w:p>
        </w:tc>
        <w:tc>
          <w:tcPr>
            <w:tcW w:w="112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3E843175" w14:textId="77777777" w:rsidR="0031628C" w:rsidRPr="00B91EE1" w:rsidRDefault="0031628C" w:rsidP="004522B1">
            <w:pPr>
              <w:pStyle w:val="Tabletext"/>
              <w:keepNext/>
              <w:keepLines/>
              <w:jc w:val="center"/>
              <w:rPr>
                <w:sz w:val="20"/>
              </w:rPr>
            </w:pPr>
            <w:r w:rsidRPr="00B91EE1">
              <w:rPr>
                <w:sz w:val="20"/>
              </w:rPr>
              <w:t>11 (financées et accordées par le BR et le DITRDCA Australie)</w:t>
            </w:r>
          </w:p>
        </w:tc>
      </w:tr>
    </w:tbl>
    <w:p w14:paraId="32D84977" w14:textId="77777777" w:rsidR="0031628C" w:rsidRPr="00B91EE1" w:rsidRDefault="0031628C" w:rsidP="004522B1">
      <w:pPr>
        <w:pStyle w:val="Tablehead"/>
        <w:sectPr w:rsidR="0031628C" w:rsidRPr="00B91EE1" w:rsidSect="00D07C05">
          <w:footerReference w:type="default" r:id="rId33"/>
          <w:headerReference w:type="first" r:id="rId34"/>
          <w:footerReference w:type="first" r:id="rId35"/>
          <w:pgSz w:w="16834" w:h="11907" w:orient="landscape"/>
          <w:pgMar w:top="1134" w:right="1418" w:bottom="1134" w:left="1418" w:header="720" w:footer="720" w:gutter="0"/>
          <w:paperSrc w:first="15" w:other="15"/>
          <w:cols w:space="720"/>
          <w:titlePg/>
          <w:docGrid w:linePitch="326"/>
        </w:sectPr>
      </w:pPr>
    </w:p>
    <w:p w14:paraId="0FC9578C" w14:textId="5BF6F96E" w:rsidR="0031628C" w:rsidRPr="00B91EE1" w:rsidRDefault="0031628C" w:rsidP="004522B1">
      <w:pPr>
        <w:pStyle w:val="Heading3"/>
      </w:pPr>
      <w:r w:rsidRPr="00B91EE1">
        <w:lastRenderedPageBreak/>
        <w:t>8.2.3</w:t>
      </w:r>
      <w:r w:rsidRPr="00B91EE1">
        <w:tab/>
        <w:t>Séminaires mondiaux et régionaux des radiocommunications prévus durant la période</w:t>
      </w:r>
      <w:r w:rsidR="00AF0829" w:rsidRPr="00B91EE1">
        <w:t> </w:t>
      </w:r>
      <w:r w:rsidRPr="00B91EE1">
        <w:t>2022-2023</w:t>
      </w:r>
    </w:p>
    <w:p w14:paraId="3A305506" w14:textId="6DD1A581" w:rsidR="0031628C" w:rsidRPr="00B91EE1" w:rsidRDefault="0031628C" w:rsidP="004522B1">
      <w:r w:rsidRPr="00B91EE1">
        <w:t>Compte tenu du calendrier de séminaires WRS/RRS prévus durant la période 2020</w:t>
      </w:r>
      <w:r w:rsidR="00FF371C" w:rsidRPr="00B91EE1">
        <w:noBreakHyphen/>
      </w:r>
      <w:r w:rsidRPr="00B91EE1">
        <w:t>2023 (Tableau 8.2.2-1), il est prévu d</w:t>
      </w:r>
      <w:r w:rsidR="00392F9A" w:rsidRPr="00B91EE1">
        <w:t>'</w:t>
      </w:r>
      <w:r w:rsidRPr="00B91EE1">
        <w:t>organiser les séminaires suivants en 2023:</w:t>
      </w:r>
    </w:p>
    <w:p w14:paraId="6B3AA5BD" w14:textId="77777777" w:rsidR="0031628C" w:rsidRPr="00B91EE1" w:rsidRDefault="0031628C" w:rsidP="004522B1">
      <w:pPr>
        <w:pStyle w:val="enumlev1"/>
      </w:pPr>
      <w:r w:rsidRPr="00B91EE1">
        <w:t>–</w:t>
      </w:r>
      <w:r w:rsidRPr="00B91EE1">
        <w:tab/>
        <w:t>RRS-23-Amériques: La Havane (Cuba), du 8 au 12 mai 2023, espagnol.</w:t>
      </w:r>
    </w:p>
    <w:p w14:paraId="43F52657" w14:textId="77777777" w:rsidR="0031628C" w:rsidRPr="00B91EE1" w:rsidRDefault="0031628C" w:rsidP="004522B1">
      <w:pPr>
        <w:pStyle w:val="enumlev1"/>
      </w:pPr>
      <w:r w:rsidRPr="00B91EE1">
        <w:t>–</w:t>
      </w:r>
      <w:r w:rsidRPr="00B91EE1">
        <w:tab/>
        <w:t>RRS-23-Afrique: Brazzaville (Congo), du 19 au 23 juin 2023, anglais et français.</w:t>
      </w:r>
    </w:p>
    <w:p w14:paraId="2ECCB9FD" w14:textId="51F50FD7" w:rsidR="0031628C" w:rsidRPr="00B91EE1" w:rsidRDefault="0031628C" w:rsidP="004522B1">
      <w:r w:rsidRPr="00B91EE1">
        <w:t>Comme indiqué plus haut, ce calendrier pour 2023 est actuellement coordonné et adapté en collaboration avec les Bureaux régionaux de l</w:t>
      </w:r>
      <w:r w:rsidR="00392F9A" w:rsidRPr="00B91EE1">
        <w:t>'</w:t>
      </w:r>
      <w:r w:rsidRPr="00B91EE1">
        <w:t>UIT ainsi qu</w:t>
      </w:r>
      <w:r w:rsidR="00392F9A" w:rsidRPr="00B91EE1">
        <w:t>'</w:t>
      </w:r>
      <w:r w:rsidRPr="00B91EE1">
        <w:t>avec les groupes régionaux compétents, compte également tenu des difficultés pouvant survenir au niveau régional.</w:t>
      </w:r>
    </w:p>
    <w:p w14:paraId="7F07E557" w14:textId="77777777" w:rsidR="0031628C" w:rsidRPr="00B91EE1" w:rsidRDefault="0031628C" w:rsidP="004522B1">
      <w:pPr>
        <w:pStyle w:val="Heading3"/>
      </w:pPr>
      <w:bookmarkStart w:id="154" w:name="_Toc446060787"/>
      <w:r w:rsidRPr="00B91EE1">
        <w:t>8.2.4</w:t>
      </w:r>
      <w:r w:rsidRPr="00B91EE1">
        <w:tab/>
      </w:r>
      <w:bookmarkStart w:id="155" w:name="lt_pId1202"/>
      <w:bookmarkEnd w:id="154"/>
      <w:r w:rsidRPr="00B91EE1">
        <w:t>Autres manifestations</w:t>
      </w:r>
      <w:bookmarkEnd w:id="155"/>
    </w:p>
    <w:p w14:paraId="6CF630EA" w14:textId="60FB889E" w:rsidR="0031628C" w:rsidRPr="00B91EE1" w:rsidRDefault="0031628C" w:rsidP="004522B1">
      <w:bookmarkStart w:id="156" w:name="lt_pId1203"/>
      <w:r w:rsidRPr="00B91EE1">
        <w:t>Des experts du BR ont continué de participer à plusieurs manifestations dans le cadre desquelles ils ont également fourni un appui, par exemple celles organisées par des institutions spécialisées du système des Nations Unies et des organisations régionales de télécommunication, ainsi qu</w:t>
      </w:r>
      <w:r w:rsidR="00392F9A" w:rsidRPr="00B91EE1">
        <w:t>'</w:t>
      </w:r>
      <w:r w:rsidRPr="00B91EE1">
        <w:t>à des conférences et des colloques qui ne sont pas organisés par l</w:t>
      </w:r>
      <w:r w:rsidR="00392F9A" w:rsidRPr="00B91EE1">
        <w:t>'</w:t>
      </w:r>
      <w:r w:rsidRPr="00B91EE1">
        <w:t>UIT.</w:t>
      </w:r>
      <w:bookmarkStart w:id="157" w:name="lt_pId1204"/>
      <w:bookmarkEnd w:id="156"/>
      <w:r w:rsidRPr="00B91EE1">
        <w:t xml:space="preserve"> Le BR a aussi organisé les séminaires et les ateliers ci-après et donné suite à des demandes d</w:t>
      </w:r>
      <w:r w:rsidR="00392F9A" w:rsidRPr="00B91EE1">
        <w:t>'</w:t>
      </w:r>
      <w:r w:rsidRPr="00B91EE1">
        <w:t>assistance émanant d</w:t>
      </w:r>
      <w:r w:rsidR="00392F9A" w:rsidRPr="00B91EE1">
        <w:t>'</w:t>
      </w:r>
      <w:r w:rsidRPr="00B91EE1">
        <w:t>États</w:t>
      </w:r>
      <w:r w:rsidR="00AF0829" w:rsidRPr="00B91EE1">
        <w:t> </w:t>
      </w:r>
      <w:r w:rsidRPr="00B91EE1">
        <w:t>Membres</w:t>
      </w:r>
      <w:bookmarkEnd w:id="157"/>
      <w:r w:rsidRPr="00B91EE1">
        <w:t>:</w:t>
      </w:r>
    </w:p>
    <w:p w14:paraId="3BBF7A05" w14:textId="56732A56" w:rsidR="0031628C" w:rsidRPr="00B91EE1" w:rsidRDefault="0031628C" w:rsidP="004522B1">
      <w:pPr>
        <w:pStyle w:val="enumlev1"/>
      </w:pPr>
      <w:r w:rsidRPr="00B91EE1">
        <w:t>–</w:t>
      </w:r>
      <w:r w:rsidRPr="00B91EE1">
        <w:tab/>
        <w:t>Atelier de la Communauté de développement de l</w:t>
      </w:r>
      <w:r w:rsidR="00392F9A" w:rsidRPr="00B91EE1">
        <w:t>'</w:t>
      </w:r>
      <w:r w:rsidRPr="00B91EE1">
        <w:t>Afrique australe (SADC) sur le renforcement des capacités en matière de questions relatives aux satellites.</w:t>
      </w:r>
    </w:p>
    <w:p w14:paraId="3BB8D2C8" w14:textId="01BA933F" w:rsidR="0031628C" w:rsidRPr="00B91EE1" w:rsidRDefault="0031628C" w:rsidP="004522B1">
      <w:pPr>
        <w:pStyle w:val="enumlev1"/>
      </w:pPr>
      <w:r w:rsidRPr="00B91EE1">
        <w:t>–</w:t>
      </w:r>
      <w:r w:rsidRPr="00B91EE1">
        <w:tab/>
        <w:t>Atelier UIT/UAT sur la mise en œuvre du point 1.4 de l</w:t>
      </w:r>
      <w:r w:rsidR="00392F9A" w:rsidRPr="00B91EE1">
        <w:t>'</w:t>
      </w:r>
      <w:r w:rsidRPr="00B91EE1">
        <w:t>ordre du jour de la CMR-19.</w:t>
      </w:r>
    </w:p>
    <w:p w14:paraId="3C7B08A4" w14:textId="420A3A4D" w:rsidR="0031628C" w:rsidRPr="00B91EE1" w:rsidRDefault="0031628C" w:rsidP="004522B1">
      <w:pPr>
        <w:pStyle w:val="enumlev1"/>
      </w:pPr>
      <w:r w:rsidRPr="00B91EE1">
        <w:t>–</w:t>
      </w:r>
      <w:r w:rsidRPr="00B91EE1">
        <w:tab/>
        <w:t>Séminaire régional de l</w:t>
      </w:r>
      <w:r w:rsidR="00392F9A" w:rsidRPr="00B91EE1">
        <w:t>'</w:t>
      </w:r>
      <w:r w:rsidRPr="00B91EE1">
        <w:t>UIT pour l</w:t>
      </w:r>
      <w:r w:rsidR="00392F9A" w:rsidRPr="00B91EE1">
        <w:t>'</w:t>
      </w:r>
      <w:r w:rsidRPr="00B91EE1">
        <w:t>Europe et la CEI sur le spectre et la radiodiffusion.</w:t>
      </w:r>
    </w:p>
    <w:p w14:paraId="57074814" w14:textId="3B9120E5" w:rsidR="0031628C" w:rsidRPr="00B91EE1" w:rsidRDefault="0031628C" w:rsidP="004522B1">
      <w:pPr>
        <w:pStyle w:val="enumlev1"/>
      </w:pPr>
      <w:r w:rsidRPr="00B91EE1">
        <w:t>–</w:t>
      </w:r>
      <w:r w:rsidRPr="00B91EE1">
        <w:tab/>
        <w:t>Formation UIT/ITSO à l</w:t>
      </w:r>
      <w:r w:rsidR="00392F9A" w:rsidRPr="00B91EE1">
        <w:t>'</w:t>
      </w:r>
      <w:r w:rsidRPr="00B91EE1">
        <w:t>intention de la région Amériques.</w:t>
      </w:r>
    </w:p>
    <w:p w14:paraId="4D651290" w14:textId="4A33EBCB" w:rsidR="0031628C" w:rsidRPr="00B91EE1" w:rsidRDefault="0031628C" w:rsidP="004522B1">
      <w:pPr>
        <w:pStyle w:val="enumlev1"/>
      </w:pPr>
      <w:r w:rsidRPr="00B91EE1">
        <w:t>–</w:t>
      </w:r>
      <w:r w:rsidRPr="00B91EE1">
        <w:tab/>
        <w:t xml:space="preserve">Atelier de UIT/projet </w:t>
      </w:r>
      <w:r w:rsidR="00FF371C" w:rsidRPr="00B91EE1">
        <w:t>«</w:t>
      </w:r>
      <w:r w:rsidRPr="00B91EE1">
        <w:t>Mers intelligentes</w:t>
      </w:r>
      <w:r w:rsidR="00FF371C" w:rsidRPr="00B91EE1">
        <w:t>»</w:t>
      </w:r>
      <w:r w:rsidRPr="00B91EE1">
        <w:t xml:space="preserve"> (Caraïbes) sur le Kit pratique </w:t>
      </w:r>
      <w:r w:rsidR="00FF371C" w:rsidRPr="00B91EE1">
        <w:t>«</w:t>
      </w:r>
      <w:r w:rsidRPr="00B91EE1">
        <w:t>Mers intelligentes</w:t>
      </w:r>
      <w:r w:rsidR="00FF371C" w:rsidRPr="00B91EE1">
        <w:t>»</w:t>
      </w:r>
      <w:r w:rsidRPr="00B91EE1">
        <w:t xml:space="preserve"> (sécurité en mer pour les petits pêcheurs)</w:t>
      </w:r>
      <w:r w:rsidR="00FF371C" w:rsidRPr="00B91EE1">
        <w:t>.</w:t>
      </w:r>
    </w:p>
    <w:p w14:paraId="3985FC59" w14:textId="77777777" w:rsidR="0031628C" w:rsidRPr="00B91EE1" w:rsidRDefault="0031628C" w:rsidP="004522B1">
      <w:pPr>
        <w:pStyle w:val="Heading2"/>
      </w:pPr>
      <w:bookmarkStart w:id="158" w:name="_Toc424047610"/>
      <w:bookmarkStart w:id="159" w:name="_Toc446060788"/>
      <w:r w:rsidRPr="00B91EE1">
        <w:t>8.3</w:t>
      </w:r>
      <w:r w:rsidRPr="00B91EE1">
        <w:tab/>
      </w:r>
      <w:bookmarkStart w:id="160" w:name="lt_pId1303"/>
      <w:bookmarkEnd w:id="158"/>
      <w:bookmarkEnd w:id="159"/>
      <w:r w:rsidRPr="00B91EE1">
        <w:t>Assistance fournie aux États Membres, en particulier aux pays en développement et aux pays les moins avancés (PMA)</w:t>
      </w:r>
      <w:bookmarkEnd w:id="160"/>
    </w:p>
    <w:p w14:paraId="642EBA98" w14:textId="77777777" w:rsidR="0031628C" w:rsidRPr="00B91EE1" w:rsidRDefault="0031628C" w:rsidP="004522B1">
      <w:pPr>
        <w:pStyle w:val="Heading3"/>
      </w:pPr>
      <w:bookmarkStart w:id="161" w:name="_Toc424047611"/>
      <w:bookmarkStart w:id="162" w:name="_Toc446060789"/>
      <w:r w:rsidRPr="00B91EE1">
        <w:t>8.3.1</w:t>
      </w:r>
      <w:r w:rsidRPr="00B91EE1">
        <w:tab/>
      </w:r>
      <w:bookmarkStart w:id="163" w:name="lt_pId1305"/>
      <w:bookmarkEnd w:id="161"/>
      <w:bookmarkEnd w:id="162"/>
      <w:r w:rsidRPr="00B91EE1">
        <w:t>Assistance fournie aux administrations des pays en développement</w:t>
      </w:r>
      <w:bookmarkEnd w:id="163"/>
    </w:p>
    <w:p w14:paraId="6FB9585F" w14:textId="77777777" w:rsidR="0031628C" w:rsidRPr="00B91EE1" w:rsidRDefault="0031628C" w:rsidP="004522B1">
      <w:bookmarkStart w:id="164" w:name="lt_pId1306"/>
      <w:r w:rsidRPr="00B91EE1">
        <w:t>Le Bureau a continué de fournir une assistance aux administrations des pays en développement, dans les domaines suivants:</w:t>
      </w:r>
      <w:bookmarkEnd w:id="164"/>
    </w:p>
    <w:p w14:paraId="348017B8" w14:textId="15102963" w:rsidR="0031628C" w:rsidRPr="00B91EE1" w:rsidRDefault="0031628C" w:rsidP="004522B1">
      <w:pPr>
        <w:pStyle w:val="enumlev1"/>
      </w:pPr>
      <w:bookmarkStart w:id="165" w:name="lt_pId1307"/>
      <w:r w:rsidRPr="00B91EE1">
        <w:t>–</w:t>
      </w:r>
      <w:r w:rsidRPr="00B91EE1">
        <w:tab/>
        <w:t>Fourniture d</w:t>
      </w:r>
      <w:r w:rsidR="00392F9A" w:rsidRPr="00B91EE1">
        <w:t>'</w:t>
      </w:r>
      <w:r w:rsidRPr="00B91EE1">
        <w:t>un appui aux activités de gestion du spectre au niveau national, compte tenu de l</w:t>
      </w:r>
      <w:r w:rsidR="00392F9A" w:rsidRPr="00B91EE1">
        <w:t>'</w:t>
      </w:r>
      <w:r w:rsidRPr="00B91EE1">
        <w:t>évolution rapide de l</w:t>
      </w:r>
      <w:r w:rsidR="00392F9A" w:rsidRPr="00B91EE1">
        <w:t>'</w:t>
      </w:r>
      <w:r w:rsidRPr="00B91EE1">
        <w:t xml:space="preserve">environnement réglementaire (voir la Résolution </w:t>
      </w:r>
      <w:r w:rsidRPr="00B91EE1">
        <w:rPr>
          <w:b/>
        </w:rPr>
        <w:t>7 (Rév.CMR-19)</w:t>
      </w:r>
      <w:r w:rsidRPr="00B91EE1">
        <w:t>) et d</w:t>
      </w:r>
      <w:r w:rsidR="00392F9A" w:rsidRPr="00B91EE1">
        <w:t>'</w:t>
      </w:r>
      <w:r w:rsidRPr="00B91EE1">
        <w:t xml:space="preserve">une assistance technique dans le domaine des radiocommunications spatiales (Résolution </w:t>
      </w:r>
      <w:r w:rsidRPr="00B91EE1">
        <w:rPr>
          <w:b/>
        </w:rPr>
        <w:t>15 (Rév.CMR-03)</w:t>
      </w:r>
      <w:r w:rsidRPr="00B91EE1">
        <w:t>), que ce soit au siège de l</w:t>
      </w:r>
      <w:r w:rsidR="00392F9A" w:rsidRPr="00B91EE1">
        <w:t>'</w:t>
      </w:r>
      <w:r w:rsidRPr="00B91EE1">
        <w:t>UIT ou sur le terrain</w:t>
      </w:r>
      <w:bookmarkEnd w:id="165"/>
      <w:r w:rsidRPr="00B91EE1">
        <w:t>.</w:t>
      </w:r>
    </w:p>
    <w:p w14:paraId="311AB434" w14:textId="35CED2B5" w:rsidR="0031628C" w:rsidRPr="00B91EE1" w:rsidRDefault="0031628C" w:rsidP="004522B1">
      <w:pPr>
        <w:pStyle w:val="enumlev1"/>
      </w:pPr>
      <w:bookmarkStart w:id="166" w:name="lt_pId1308"/>
      <w:r w:rsidRPr="00B91EE1">
        <w:t>–</w:t>
      </w:r>
      <w:r w:rsidRPr="00B91EE1">
        <w:tab/>
        <w:t>Participation aux réunions des groupes de coordination régionaux, conformément à l</w:t>
      </w:r>
      <w:r w:rsidR="00392F9A" w:rsidRPr="00B91EE1">
        <w:t>'</w:t>
      </w:r>
      <w:r w:rsidRPr="00B91EE1">
        <w:t>Article 12 du Règlement des radiocommunications</w:t>
      </w:r>
      <w:bookmarkEnd w:id="166"/>
      <w:r w:rsidRPr="00B91EE1">
        <w:t>.</w:t>
      </w:r>
    </w:p>
    <w:p w14:paraId="687FF7DE" w14:textId="78B1E101" w:rsidR="0031628C" w:rsidRPr="00B91EE1" w:rsidRDefault="0031628C" w:rsidP="004522B1">
      <w:pPr>
        <w:pStyle w:val="enumlev1"/>
      </w:pPr>
      <w:bookmarkStart w:id="167" w:name="lt_pId1309"/>
      <w:r w:rsidRPr="00B91EE1">
        <w:t>–</w:t>
      </w:r>
      <w:r w:rsidRPr="00B91EE1">
        <w:tab/>
        <w:t>Fourniture d</w:t>
      </w:r>
      <w:r w:rsidR="00392F9A" w:rsidRPr="00B91EE1">
        <w:t>'</w:t>
      </w:r>
      <w:r w:rsidRPr="00B91EE1">
        <w:t>une assistance concernant la gestion des fréquences à long terme et les assignations au large bande mobile (IMT)</w:t>
      </w:r>
      <w:bookmarkEnd w:id="167"/>
      <w:r w:rsidRPr="00B91EE1">
        <w:t>.</w:t>
      </w:r>
    </w:p>
    <w:p w14:paraId="1054FCB5" w14:textId="7332FE41" w:rsidR="0031628C" w:rsidRPr="00B91EE1" w:rsidRDefault="0031628C" w:rsidP="004522B1">
      <w:r w:rsidRPr="00B91EE1">
        <w:t>En 2020, les activités d</w:t>
      </w:r>
      <w:r w:rsidR="00392F9A" w:rsidRPr="00B91EE1">
        <w:t>'</w:t>
      </w:r>
      <w:r w:rsidRPr="00B91EE1">
        <w:t>assistance technique directe en cours ont été menées à bien. Aucune nouvelle demande d</w:t>
      </w:r>
      <w:r w:rsidR="00392F9A" w:rsidRPr="00B91EE1">
        <w:t>'</w:t>
      </w:r>
      <w:r w:rsidRPr="00B91EE1">
        <w:t>assistance directe n</w:t>
      </w:r>
      <w:r w:rsidR="00392F9A" w:rsidRPr="00B91EE1">
        <w:t>'</w:t>
      </w:r>
      <w:r w:rsidRPr="00B91EE1">
        <w:t>a été reçue.</w:t>
      </w:r>
    </w:p>
    <w:p w14:paraId="276F654D" w14:textId="77777777" w:rsidR="0031628C" w:rsidRPr="00B91EE1" w:rsidRDefault="0031628C" w:rsidP="004522B1">
      <w:pPr>
        <w:pStyle w:val="Heading3"/>
      </w:pPr>
      <w:bookmarkStart w:id="168" w:name="_Toc424047612"/>
      <w:bookmarkStart w:id="169" w:name="_Toc446060790"/>
      <w:r w:rsidRPr="00B91EE1">
        <w:t>8.3.2</w:t>
      </w:r>
      <w:r w:rsidRPr="00B91EE1">
        <w:tab/>
      </w:r>
      <w:bookmarkStart w:id="170" w:name="lt_pId1314"/>
      <w:bookmarkEnd w:id="168"/>
      <w:bookmarkEnd w:id="169"/>
      <w:r w:rsidRPr="00B91EE1">
        <w:t>Assistance aux groupes régionaux</w:t>
      </w:r>
      <w:bookmarkEnd w:id="170"/>
    </w:p>
    <w:p w14:paraId="778E01A1" w14:textId="196B4A63" w:rsidR="0031628C" w:rsidRPr="00B91EE1" w:rsidRDefault="0031628C" w:rsidP="004522B1">
      <w:bookmarkStart w:id="171" w:name="lt_pId1315"/>
      <w:r w:rsidRPr="00B91EE1">
        <w:t>Le Bureau a continué de participer aux réunions des groupes de coordination régionaux (à l</w:t>
      </w:r>
      <w:r w:rsidR="00392F9A" w:rsidRPr="00B91EE1">
        <w:t>'</w:t>
      </w:r>
      <w:r w:rsidRPr="00B91EE1">
        <w:t>instar du groupe HFCC), conformément à l</w:t>
      </w:r>
      <w:r w:rsidR="00392F9A" w:rsidRPr="00B91EE1">
        <w:t>'</w:t>
      </w:r>
      <w:r w:rsidRPr="00B91EE1">
        <w:t>Article 12 du Règlement des radiocommunications, en fournissant l</w:t>
      </w:r>
      <w:r w:rsidR="00392F9A" w:rsidRPr="00B91EE1">
        <w:t>'</w:t>
      </w:r>
      <w:r w:rsidRPr="00B91EE1">
        <w:t>assistance et la collaboration nécessaires</w:t>
      </w:r>
      <w:bookmarkEnd w:id="171"/>
      <w:r w:rsidRPr="00B91EE1">
        <w:t xml:space="preserve">, </w:t>
      </w:r>
      <w:bookmarkStart w:id="172" w:name="lt_pId1316"/>
      <w:r w:rsidRPr="00B91EE1">
        <w:t>comme suit:</w:t>
      </w:r>
      <w:bookmarkEnd w:id="172"/>
    </w:p>
    <w:p w14:paraId="1DE16258" w14:textId="20011441" w:rsidR="0031628C" w:rsidRPr="00B91EE1" w:rsidRDefault="0031628C" w:rsidP="004522B1">
      <w:pPr>
        <w:pStyle w:val="Heading4"/>
      </w:pPr>
      <w:bookmarkStart w:id="173" w:name="_Toc424047613"/>
      <w:r w:rsidRPr="00B91EE1">
        <w:lastRenderedPageBreak/>
        <w:t>8.3.2.1</w:t>
      </w:r>
      <w:r w:rsidRPr="00B91EE1">
        <w:tab/>
      </w:r>
      <w:bookmarkStart w:id="174" w:name="lt_pId1318"/>
      <w:bookmarkEnd w:id="173"/>
      <w:r w:rsidRPr="00B91EE1">
        <w:t>Assistance à l</w:t>
      </w:r>
      <w:r w:rsidR="00392F9A" w:rsidRPr="00B91EE1">
        <w:t>'</w:t>
      </w:r>
      <w:r w:rsidRPr="00B91EE1">
        <w:t>UAT</w:t>
      </w:r>
      <w:bookmarkEnd w:id="174"/>
    </w:p>
    <w:p w14:paraId="6A869053" w14:textId="220CB1D2" w:rsidR="0031628C" w:rsidRPr="00B91EE1" w:rsidRDefault="0031628C" w:rsidP="004522B1">
      <w:pPr>
        <w:rPr>
          <w:bCs/>
        </w:rPr>
      </w:pPr>
      <w:bookmarkStart w:id="175" w:name="lt_pId1319"/>
      <w:r w:rsidRPr="00B91EE1">
        <w:rPr>
          <w:bCs/>
        </w:rPr>
        <w:t xml:space="preserve">Le projet </w:t>
      </w:r>
      <w:r w:rsidRPr="00B91EE1">
        <w:rPr>
          <w:b/>
        </w:rPr>
        <w:t>PRIDA</w:t>
      </w:r>
      <w:r w:rsidRPr="00B91EE1">
        <w:rPr>
          <w:bCs/>
        </w:rPr>
        <w:t xml:space="preserve"> (Initiative pour les politiques et la réglementation pour le numérique en Afrique) est une initiative prise par l</w:t>
      </w:r>
      <w:r w:rsidR="00392F9A" w:rsidRPr="00B91EE1">
        <w:rPr>
          <w:bCs/>
        </w:rPr>
        <w:t>'</w:t>
      </w:r>
      <w:r w:rsidRPr="00B91EE1">
        <w:rPr>
          <w:bCs/>
        </w:rPr>
        <w:t>Union africaine, l</w:t>
      </w:r>
      <w:r w:rsidR="00392F9A" w:rsidRPr="00B91EE1">
        <w:rPr>
          <w:bCs/>
        </w:rPr>
        <w:t>'</w:t>
      </w:r>
      <w:r w:rsidRPr="00B91EE1">
        <w:rPr>
          <w:bCs/>
        </w:rPr>
        <w:t>Union européenne et l</w:t>
      </w:r>
      <w:r w:rsidR="00392F9A" w:rsidRPr="00B91EE1">
        <w:rPr>
          <w:bCs/>
        </w:rPr>
        <w:t>'</w:t>
      </w:r>
      <w:r w:rsidRPr="00B91EE1">
        <w:rPr>
          <w:bCs/>
        </w:rPr>
        <w:t>UIT.</w:t>
      </w:r>
      <w:bookmarkEnd w:id="175"/>
      <w:r w:rsidRPr="00B91EE1">
        <w:rPr>
          <w:bCs/>
        </w:rPr>
        <w:t xml:space="preserve"> </w:t>
      </w:r>
      <w:bookmarkStart w:id="176" w:name="lt_pId1320"/>
      <w:r w:rsidRPr="00B91EE1">
        <w:rPr>
          <w:bCs/>
        </w:rPr>
        <w:t>Des communautés économiques régionales, l</w:t>
      </w:r>
      <w:r w:rsidR="00392F9A" w:rsidRPr="00B91EE1">
        <w:rPr>
          <w:bCs/>
        </w:rPr>
        <w:t>'</w:t>
      </w:r>
      <w:r w:rsidRPr="00B91EE1">
        <w:rPr>
          <w:bCs/>
        </w:rPr>
        <w:t>UAT, des associations régionales de régulateurs, des régulateurs nationaux et d</w:t>
      </w:r>
      <w:r w:rsidR="00392F9A" w:rsidRPr="00B91EE1">
        <w:rPr>
          <w:bCs/>
        </w:rPr>
        <w:t>'</w:t>
      </w:r>
      <w:r w:rsidRPr="00B91EE1">
        <w:rPr>
          <w:bCs/>
        </w:rPr>
        <w:t>autres parties prenantes participent aussi à ce projet.</w:t>
      </w:r>
      <w:bookmarkEnd w:id="176"/>
      <w:r w:rsidRPr="00B91EE1">
        <w:rPr>
          <w:bCs/>
        </w:rPr>
        <w:t xml:space="preserve"> </w:t>
      </w:r>
      <w:bookmarkStart w:id="177" w:name="lt_pId1321"/>
      <w:r w:rsidRPr="00B91EE1">
        <w:rPr>
          <w:bCs/>
        </w:rPr>
        <w:t>Le BR, conjointement avec le BDT, participe activement à l</w:t>
      </w:r>
      <w:r w:rsidR="00392F9A" w:rsidRPr="00B91EE1">
        <w:rPr>
          <w:bCs/>
        </w:rPr>
        <w:t>'</w:t>
      </w:r>
      <w:r w:rsidRPr="00B91EE1">
        <w:rPr>
          <w:bCs/>
        </w:rPr>
        <w:t>action qui vise à «</w:t>
      </w:r>
      <w:r w:rsidRPr="00B91EE1">
        <w:rPr>
          <w:bCs/>
          <w:i/>
          <w:iCs/>
        </w:rPr>
        <w:t>améliorer les taux de pénétration du large bande hertzien grâce à une utilisation améliorée et harmonisée du spectre et à la réglementation</w:t>
      </w:r>
      <w:r w:rsidRPr="00B91EE1">
        <w:rPr>
          <w:bCs/>
        </w:rPr>
        <w:t>».</w:t>
      </w:r>
      <w:bookmarkEnd w:id="177"/>
      <w:r w:rsidRPr="00B91EE1">
        <w:rPr>
          <w:bCs/>
        </w:rPr>
        <w:t xml:space="preserve"> Le BR a pris part à la réunion du Comité technique du projet PRIDA tenue en juin 2022, qui a approuvé trois cours de formation proposés par le BR (gestion du spectre, services aéronautiques et services maritimes) qui seront organisées cette année en coopération avec le BR, l</w:t>
      </w:r>
      <w:r w:rsidR="00392F9A" w:rsidRPr="00B91EE1">
        <w:rPr>
          <w:bCs/>
        </w:rPr>
        <w:t>'</w:t>
      </w:r>
      <w:r w:rsidRPr="00B91EE1">
        <w:rPr>
          <w:bCs/>
        </w:rPr>
        <w:t>OACI et l</w:t>
      </w:r>
      <w:r w:rsidR="00392F9A" w:rsidRPr="00B91EE1">
        <w:rPr>
          <w:bCs/>
        </w:rPr>
        <w:t>'</w:t>
      </w:r>
      <w:r w:rsidRPr="00B91EE1">
        <w:rPr>
          <w:bCs/>
        </w:rPr>
        <w:t>OMI.</w:t>
      </w:r>
    </w:p>
    <w:p w14:paraId="475BAF7F" w14:textId="77777777" w:rsidR="0031628C" w:rsidRPr="00B91EE1" w:rsidRDefault="0031628C" w:rsidP="004522B1">
      <w:pPr>
        <w:pStyle w:val="Heading2"/>
      </w:pPr>
      <w:bookmarkStart w:id="178" w:name="_Toc418163382"/>
      <w:bookmarkStart w:id="179" w:name="_Toc418232300"/>
      <w:bookmarkStart w:id="180" w:name="_Toc424047620"/>
      <w:bookmarkStart w:id="181" w:name="_Toc446060792"/>
      <w:r w:rsidRPr="00B91EE1">
        <w:t>8.4</w:t>
      </w:r>
      <w:r w:rsidRPr="00B91EE1">
        <w:tab/>
      </w:r>
      <w:bookmarkStart w:id="182" w:name="lt_pId1333"/>
      <w:bookmarkEnd w:id="178"/>
      <w:bookmarkEnd w:id="179"/>
      <w:bookmarkEnd w:id="180"/>
      <w:bookmarkEnd w:id="181"/>
      <w:r w:rsidRPr="00B91EE1">
        <w:t>Partenariats stratégiques, y compris la coopération intersectorielle</w:t>
      </w:r>
      <w:bookmarkEnd w:id="182"/>
    </w:p>
    <w:p w14:paraId="78E3B1EC" w14:textId="34219305" w:rsidR="0031628C" w:rsidRPr="00B91EE1" w:rsidRDefault="0031628C" w:rsidP="004522B1">
      <w:pPr>
        <w:pStyle w:val="Heading3"/>
      </w:pPr>
      <w:bookmarkStart w:id="183" w:name="_Toc424047621"/>
      <w:bookmarkStart w:id="184" w:name="_Toc446060793"/>
      <w:r w:rsidRPr="00B91EE1">
        <w:t>8.4.1</w:t>
      </w:r>
      <w:r w:rsidRPr="00B91EE1">
        <w:tab/>
      </w:r>
      <w:bookmarkStart w:id="185" w:name="lt_pId1347"/>
      <w:bookmarkEnd w:id="183"/>
      <w:bookmarkEnd w:id="184"/>
      <w:r w:rsidRPr="00B91EE1">
        <w:t>Coopération avec l</w:t>
      </w:r>
      <w:r w:rsidR="00392F9A" w:rsidRPr="00B91EE1">
        <w:t>'</w:t>
      </w:r>
      <w:r w:rsidRPr="00B91EE1">
        <w:t>UIT-D</w:t>
      </w:r>
      <w:bookmarkEnd w:id="185"/>
    </w:p>
    <w:p w14:paraId="522D97C1" w14:textId="27346FA7" w:rsidR="0031628C" w:rsidRPr="00B91EE1" w:rsidRDefault="0031628C" w:rsidP="004522B1">
      <w:pPr>
        <w:rPr>
          <w:bCs/>
        </w:rPr>
      </w:pPr>
      <w:bookmarkStart w:id="186" w:name="lt_pId1348"/>
      <w:r w:rsidRPr="00B91EE1">
        <w:rPr>
          <w:bCs/>
        </w:rPr>
        <w:t>Le BR travaille en étroite collaboration avec le BDT sur des questions présentant un intérêt mutuel pour l</w:t>
      </w:r>
      <w:r w:rsidR="00392F9A" w:rsidRPr="00B91EE1">
        <w:rPr>
          <w:bCs/>
        </w:rPr>
        <w:t>'</w:t>
      </w:r>
      <w:r w:rsidRPr="00B91EE1">
        <w:rPr>
          <w:bCs/>
        </w:rPr>
        <w:t>UIT-R et l</w:t>
      </w:r>
      <w:r w:rsidR="00392F9A" w:rsidRPr="00B91EE1">
        <w:rPr>
          <w:bCs/>
        </w:rPr>
        <w:t>'</w:t>
      </w:r>
      <w:r w:rsidRPr="00B91EE1">
        <w:rPr>
          <w:bCs/>
        </w:rPr>
        <w:t>UIT-D.</w:t>
      </w:r>
      <w:bookmarkEnd w:id="186"/>
      <w:r w:rsidRPr="00B91EE1">
        <w:rPr>
          <w:bCs/>
        </w:rPr>
        <w:t xml:space="preserve"> Il a participé aux réunions pertinentes des Commissions d</w:t>
      </w:r>
      <w:r w:rsidR="00392F9A" w:rsidRPr="00B91EE1">
        <w:rPr>
          <w:bCs/>
        </w:rPr>
        <w:t>'</w:t>
      </w:r>
      <w:r w:rsidRPr="00B91EE1">
        <w:rPr>
          <w:bCs/>
        </w:rPr>
        <w:t>études et des Groupes du Rapporteur de l</w:t>
      </w:r>
      <w:r w:rsidR="00392F9A" w:rsidRPr="00B91EE1">
        <w:rPr>
          <w:bCs/>
        </w:rPr>
        <w:t>'</w:t>
      </w:r>
      <w:r w:rsidRPr="00B91EE1">
        <w:rPr>
          <w:bCs/>
        </w:rPr>
        <w:t>UIT-D et du GCDT, lorsque les activités de liaison portaient sur des thèmes comme la gestion du spectre, la radiodiffusion numérique, le passage de l</w:t>
      </w:r>
      <w:r w:rsidR="00392F9A" w:rsidRPr="00B91EE1">
        <w:rPr>
          <w:bCs/>
        </w:rPr>
        <w:t>'</w:t>
      </w:r>
      <w:r w:rsidRPr="00B91EE1">
        <w:rPr>
          <w:bCs/>
        </w:rPr>
        <w:t>analogique au numérique, le passage aux IMT et la mise en œuvre des IMT et les technologies d</w:t>
      </w:r>
      <w:r w:rsidR="00392F9A" w:rsidRPr="00B91EE1">
        <w:rPr>
          <w:bCs/>
        </w:rPr>
        <w:t>'</w:t>
      </w:r>
      <w:r w:rsidRPr="00B91EE1">
        <w:rPr>
          <w:bCs/>
        </w:rPr>
        <w:t>accès hertzien large bande.</w:t>
      </w:r>
    </w:p>
    <w:p w14:paraId="3A23AC0B" w14:textId="77777777" w:rsidR="0031628C" w:rsidRPr="00B91EE1" w:rsidRDefault="0031628C" w:rsidP="004522B1">
      <w:pPr>
        <w:pStyle w:val="Heading4"/>
        <w:rPr>
          <w:i/>
          <w:iCs/>
        </w:rPr>
      </w:pPr>
      <w:bookmarkStart w:id="187" w:name="lt_pId1355"/>
      <w:r w:rsidRPr="00B91EE1">
        <w:t>8.4.1.1</w:t>
      </w:r>
      <w:r w:rsidRPr="00B91EE1">
        <w:tab/>
        <w:t>Colloque mondial des régulateurs (GSR)</w:t>
      </w:r>
      <w:bookmarkEnd w:id="187"/>
    </w:p>
    <w:p w14:paraId="058BEF2D" w14:textId="42477B5E" w:rsidR="0031628C" w:rsidRPr="00B91EE1" w:rsidRDefault="00450764" w:rsidP="004522B1">
      <w:pPr>
        <w:rPr>
          <w:bCs/>
        </w:rPr>
      </w:pPr>
      <w:r w:rsidRPr="00B91EE1">
        <w:rPr>
          <w:bCs/>
        </w:rPr>
        <w:t xml:space="preserve">Le Colloque </w:t>
      </w:r>
      <w:r w:rsidR="00AC2D4A" w:rsidRPr="00B91EE1">
        <w:rPr>
          <w:bCs/>
        </w:rPr>
        <w:t>m</w:t>
      </w:r>
      <w:r w:rsidRPr="00B91EE1">
        <w:rPr>
          <w:bCs/>
        </w:rPr>
        <w:t xml:space="preserve">ondial des régulateurs </w:t>
      </w:r>
      <w:r w:rsidR="00AC2D4A" w:rsidRPr="00B91EE1">
        <w:rPr>
          <w:bCs/>
        </w:rPr>
        <w:t>organisé</w:t>
      </w:r>
      <w:r w:rsidR="00351893" w:rsidRPr="00B91EE1">
        <w:rPr>
          <w:bCs/>
        </w:rPr>
        <w:t xml:space="preserve"> par </w:t>
      </w:r>
      <w:r w:rsidR="00AC2D4A" w:rsidRPr="00B91EE1">
        <w:rPr>
          <w:bCs/>
        </w:rPr>
        <w:t>l</w:t>
      </w:r>
      <w:r w:rsidR="00392F9A" w:rsidRPr="00B91EE1">
        <w:rPr>
          <w:bCs/>
        </w:rPr>
        <w:t>'</w:t>
      </w:r>
      <w:r w:rsidR="00AC2D4A" w:rsidRPr="00B91EE1">
        <w:rPr>
          <w:bCs/>
        </w:rPr>
        <w:t xml:space="preserve">UIT </w:t>
      </w:r>
      <w:r w:rsidR="00745423" w:rsidRPr="00B91EE1">
        <w:rPr>
          <w:bCs/>
        </w:rPr>
        <w:t>n</w:t>
      </w:r>
      <w:r w:rsidR="00392F9A" w:rsidRPr="00B91EE1">
        <w:rPr>
          <w:bCs/>
        </w:rPr>
        <w:t>'</w:t>
      </w:r>
      <w:r w:rsidR="00745423" w:rsidRPr="00B91EE1">
        <w:rPr>
          <w:bCs/>
        </w:rPr>
        <w:t>a pas eu lieu</w:t>
      </w:r>
      <w:r w:rsidR="00AC2D4A" w:rsidRPr="00B91EE1">
        <w:rPr>
          <w:bCs/>
        </w:rPr>
        <w:t xml:space="preserve"> en 2022.</w:t>
      </w:r>
    </w:p>
    <w:p w14:paraId="64634845" w14:textId="77777777" w:rsidR="0031628C" w:rsidRPr="00B91EE1" w:rsidRDefault="0031628C" w:rsidP="004522B1">
      <w:pPr>
        <w:pStyle w:val="Heading4"/>
      </w:pPr>
      <w:bookmarkStart w:id="188" w:name="_Toc424047623"/>
      <w:r w:rsidRPr="00B91EE1">
        <w:t>8.4.1.2</w:t>
      </w:r>
      <w:bookmarkStart w:id="189" w:name="lt_pId1359"/>
      <w:bookmarkEnd w:id="188"/>
      <w:r w:rsidRPr="00B91EE1">
        <w:tab/>
        <w:t>Colloque sur les indicateurs des télécommunications/TIC dans le monde (WTIS)</w:t>
      </w:r>
      <w:bookmarkEnd w:id="189"/>
    </w:p>
    <w:p w14:paraId="4FD85E60" w14:textId="35A0CB36" w:rsidR="0031628C" w:rsidRPr="00B91EE1" w:rsidRDefault="0031628C" w:rsidP="004522B1">
      <w:pPr>
        <w:rPr>
          <w:bCs/>
        </w:rPr>
      </w:pPr>
      <w:r w:rsidRPr="00B91EE1">
        <w:rPr>
          <w:bCs/>
        </w:rPr>
        <w:t>Le Colloque sur les indicateurs des télécommunications/TIC dans le monde (WTIS) n</w:t>
      </w:r>
      <w:r w:rsidR="00392F9A" w:rsidRPr="00B91EE1">
        <w:rPr>
          <w:bCs/>
        </w:rPr>
        <w:t>'</w:t>
      </w:r>
      <w:r w:rsidRPr="00B91EE1">
        <w:rPr>
          <w:bCs/>
        </w:rPr>
        <w:t>a pas eu lieu en 2022.</w:t>
      </w:r>
    </w:p>
    <w:p w14:paraId="3AA96483" w14:textId="77777777" w:rsidR="0031628C" w:rsidRPr="00B91EE1" w:rsidRDefault="0031628C" w:rsidP="004522B1">
      <w:pPr>
        <w:pStyle w:val="Heading4"/>
      </w:pPr>
      <w:bookmarkStart w:id="190" w:name="_Toc424047624"/>
      <w:r w:rsidRPr="00B91EE1">
        <w:t>8.4.1.3</w:t>
      </w:r>
      <w:r w:rsidRPr="00B91EE1">
        <w:tab/>
      </w:r>
      <w:bookmarkStart w:id="191" w:name="lt_pId1372"/>
      <w:bookmarkEnd w:id="190"/>
      <w:r w:rsidRPr="00B91EE1">
        <w:t>Programme de formation sur la gestion du spectre (SMTP)</w:t>
      </w:r>
      <w:bookmarkEnd w:id="191"/>
    </w:p>
    <w:p w14:paraId="0F81D50D" w14:textId="50DB29FD" w:rsidR="0031628C" w:rsidRPr="00B91EE1" w:rsidRDefault="0031628C" w:rsidP="004522B1">
      <w:pPr>
        <w:keepLines/>
      </w:pPr>
      <w:bookmarkStart w:id="192" w:name="lt_pId1373"/>
      <w:r w:rsidRPr="00B91EE1">
        <w:t>Depuis 2013, le BR participe activement à un projet commun avec le BDT qui vise à perfectionner le Programme de formation sur la gestion du spectre (SMTP) durant ses différentes phases: conception, élaboration de ressources didactiques, examen par les pairs et essai pilote.</w:t>
      </w:r>
      <w:bookmarkEnd w:id="192"/>
      <w:r w:rsidRPr="00B91EE1">
        <w:t xml:space="preserve"> Plusieurs mises à jour ont été apportées au fil des ans et le BR a effectué régulièrement un examen des ressources qui composent la version actuelle du Programme SMTP. Des mises à jour ont été apportées récemment afin de prendre en considération les résultats de la CMR-19 et de l</w:t>
      </w:r>
      <w:r w:rsidR="00392F9A" w:rsidRPr="00B91EE1">
        <w:t>'</w:t>
      </w:r>
      <w:r w:rsidRPr="00B91EE1">
        <w:t>AR-19.</w:t>
      </w:r>
    </w:p>
    <w:p w14:paraId="02D716F0" w14:textId="77777777" w:rsidR="0031628C" w:rsidRPr="00B91EE1" w:rsidRDefault="0031628C" w:rsidP="004522B1">
      <w:r w:rsidRPr="00B91EE1">
        <w:t>Étant donné les ressources nécessaires pour tenir/mettre à jour cet outil et de son importance pour de nombreuses administrations, des discussions sont en cours au sein du BDT pour vérifier si le Programme SMTP pourrait être encore amélioré ou transféré sur un outil différent.</w:t>
      </w:r>
    </w:p>
    <w:p w14:paraId="1097A60B" w14:textId="77777777" w:rsidR="0031628C" w:rsidRPr="00B91EE1" w:rsidRDefault="0031628C" w:rsidP="004522B1">
      <w:pPr>
        <w:pStyle w:val="Heading2"/>
      </w:pPr>
      <w:bookmarkStart w:id="193" w:name="_Toc446060796"/>
      <w:r w:rsidRPr="00B91EE1">
        <w:t>8.5</w:t>
      </w:r>
      <w:r w:rsidRPr="00B91EE1">
        <w:tab/>
        <w:t>Memb</w:t>
      </w:r>
      <w:bookmarkEnd w:id="193"/>
      <w:r w:rsidRPr="00B91EE1">
        <w:t>res</w:t>
      </w:r>
    </w:p>
    <w:p w14:paraId="24C9B7F6" w14:textId="68460401" w:rsidR="0031628C" w:rsidRPr="00B91EE1" w:rsidRDefault="0031628C" w:rsidP="004522B1">
      <w:pPr>
        <w:pStyle w:val="Heading3"/>
      </w:pPr>
      <w:r w:rsidRPr="00B91EE1">
        <w:t>8.5.1</w:t>
      </w:r>
      <w:r w:rsidRPr="00B91EE1">
        <w:tab/>
        <w:t>Membres de l</w:t>
      </w:r>
      <w:r w:rsidR="00392F9A" w:rsidRPr="00B91EE1">
        <w:t>'</w:t>
      </w:r>
      <w:r w:rsidRPr="00B91EE1">
        <w:t>UIT</w:t>
      </w:r>
    </w:p>
    <w:p w14:paraId="69A3192E" w14:textId="691B5E80" w:rsidR="0031628C" w:rsidRPr="00B91EE1" w:rsidRDefault="0031628C" w:rsidP="004522B1">
      <w:r w:rsidRPr="00B91EE1">
        <w:t>Les Tableaux 8.5.1-1 à 8.5.1-3 indiquent la répartition des membres, par Secteur et par Région, ainsi que les contributions associées qui ont été versées en 2022, et l</w:t>
      </w:r>
      <w:r w:rsidR="00392F9A" w:rsidRPr="00B91EE1">
        <w:t>'</w:t>
      </w:r>
      <w:r w:rsidRPr="00B91EE1">
        <w:t>évolution du nombre de Membres du Secteur de l</w:t>
      </w:r>
      <w:r w:rsidR="00392F9A" w:rsidRPr="00B91EE1">
        <w:t>'</w:t>
      </w:r>
      <w:r w:rsidRPr="00B91EE1">
        <w:t>UIT-R, d</w:t>
      </w:r>
      <w:r w:rsidR="00392F9A" w:rsidRPr="00B91EE1">
        <w:t>'</w:t>
      </w:r>
      <w:r w:rsidRPr="00B91EE1">
        <w:t>Associés et d</w:t>
      </w:r>
      <w:r w:rsidR="00392F9A" w:rsidRPr="00B91EE1">
        <w:t>'</w:t>
      </w:r>
      <w:r w:rsidRPr="00B91EE1">
        <w:t>établissements universitaires participant aux travaux de ce Secteur, durant la période 2018-2022.</w:t>
      </w:r>
    </w:p>
    <w:p w14:paraId="3109D81F" w14:textId="672C4F65" w:rsidR="0031628C" w:rsidRPr="00B91EE1" w:rsidRDefault="0031628C" w:rsidP="002C59AB">
      <w:pPr>
        <w:pStyle w:val="TableNoBR"/>
        <w:keepLines/>
      </w:pPr>
      <w:r w:rsidRPr="00B91EE1">
        <w:lastRenderedPageBreak/>
        <w:t>TABLEAU 8.5.1-1</w:t>
      </w:r>
    </w:p>
    <w:p w14:paraId="61B4F201" w14:textId="29EED140" w:rsidR="0031628C" w:rsidRPr="00B91EE1" w:rsidRDefault="002C59AB" w:rsidP="002C59AB">
      <w:pPr>
        <w:pStyle w:val="TabletitleBR"/>
      </w:pPr>
      <w:r w:rsidRPr="00B91EE1">
        <w:rPr>
          <w:noProof/>
          <w:lang w:eastAsia="fr-CH"/>
        </w:rPr>
        <mc:AlternateContent>
          <mc:Choice Requires="wps">
            <w:drawing>
              <wp:anchor distT="0" distB="0" distL="114300" distR="114300" simplePos="0" relativeHeight="251659264" behindDoc="0" locked="0" layoutInCell="1" allowOverlap="1" wp14:anchorId="0CBE5251" wp14:editId="1CF815B5">
                <wp:simplePos x="0" y="0"/>
                <wp:positionH relativeFrom="margin">
                  <wp:posOffset>1837055</wp:posOffset>
                </wp:positionH>
                <wp:positionV relativeFrom="paragraph">
                  <wp:posOffset>1270</wp:posOffset>
                </wp:positionV>
                <wp:extent cx="2385060" cy="810895"/>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060" cy="810895"/>
                        </a:xfrm>
                        <a:prstGeom prst="rect">
                          <a:avLst/>
                        </a:prstGeom>
                        <a:solidFill>
                          <a:schemeClr val="lt1"/>
                        </a:solidFill>
                        <a:ln w="6350">
                          <a:noFill/>
                        </a:ln>
                      </wps:spPr>
                      <wps:txbx>
                        <w:txbxContent>
                          <w:p w14:paraId="36A4DD8E" w14:textId="77777777" w:rsidR="0031628C" w:rsidRDefault="0031628C" w:rsidP="0031628C">
                            <w:pPr>
                              <w:spacing w:before="0" w:line="276" w:lineRule="auto"/>
                              <w:jc w:val="center"/>
                              <w:rPr>
                                <w:b/>
                                <w:bCs/>
                                <w:sz w:val="18"/>
                                <w:szCs w:val="18"/>
                                <w:lang w:val="fr-CH"/>
                              </w:rPr>
                            </w:pPr>
                            <w:r>
                              <w:rPr>
                                <w:b/>
                                <w:bCs/>
                                <w:sz w:val="18"/>
                                <w:szCs w:val="18"/>
                                <w:lang w:val="fr-CH"/>
                              </w:rPr>
                              <w:t>Membres par Secteur et par Région</w:t>
                            </w:r>
                            <w:r>
                              <w:rPr>
                                <w:b/>
                                <w:bCs/>
                                <w:sz w:val="18"/>
                                <w:szCs w:val="18"/>
                                <w:lang w:val="fr-CH"/>
                              </w:rPr>
                              <w:br/>
                              <w:t>2022</w:t>
                            </w:r>
                          </w:p>
                          <w:p w14:paraId="6DD45824" w14:textId="77777777" w:rsidR="0031628C" w:rsidRDefault="0031628C" w:rsidP="0031628C">
                            <w:pPr>
                              <w:spacing w:before="0" w:line="276" w:lineRule="auto"/>
                              <w:jc w:val="center"/>
                              <w:rPr>
                                <w:sz w:val="18"/>
                                <w:szCs w:val="18"/>
                                <w:lang w:val="fr-CH"/>
                              </w:rPr>
                            </w:pPr>
                            <w:r>
                              <w:rPr>
                                <w:sz w:val="18"/>
                                <w:szCs w:val="18"/>
                                <w:lang w:val="fr-CH"/>
                              </w:rPr>
                              <w:t>(par Région/Bureau régional du BDT)</w:t>
                            </w:r>
                          </w:p>
                          <w:p w14:paraId="064648D4" w14:textId="77777777" w:rsidR="0031628C" w:rsidRDefault="0031628C" w:rsidP="0031628C">
                            <w:pPr>
                              <w:spacing w:line="276" w:lineRule="auto"/>
                              <w:jc w:val="center"/>
                              <w:rPr>
                                <w:sz w:val="18"/>
                                <w:szCs w:val="18"/>
                                <w:lang w:val="fr-CH"/>
                              </w:rPr>
                            </w:pPr>
                            <w:r>
                              <w:rPr>
                                <w:color w:val="FF0000"/>
                                <w:sz w:val="18"/>
                                <w:szCs w:val="18"/>
                                <w:lang w:val="fr-CH"/>
                              </w:rPr>
                              <w:t>Données sur les membres au 31 décembre 2022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E5251" id="_x0000_t202" coordsize="21600,21600" o:spt="202" path="m,l,21600r21600,l21600,xe">
                <v:stroke joinstyle="miter"/>
                <v:path gradientshapeok="t" o:connecttype="rect"/>
              </v:shapetype>
              <v:shape id="Text Box 8" o:spid="_x0000_s1026" type="#_x0000_t202" style="position:absolute;left:0;text-align:left;margin-left:144.65pt;margin-top:.1pt;width:187.8pt;height:6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" fillcolor="white [3201]" stroked="f" strokeweight=".5pt">
                <v:textbox>
                  <w:txbxContent>
                    <w:p w14:paraId="36A4DD8E" w14:textId="77777777" w:rsidR="0031628C" w:rsidRDefault="0031628C" w:rsidP="0031628C">
                      <w:pPr>
                        <w:spacing w:before="0" w:line="276" w:lineRule="auto"/>
                        <w:jc w:val="center"/>
                        <w:rPr>
                          <w:b/>
                          <w:bCs/>
                          <w:sz w:val="18"/>
                          <w:szCs w:val="18"/>
                          <w:lang w:val="fr-CH"/>
                        </w:rPr>
                      </w:pPr>
                      <w:r>
                        <w:rPr>
                          <w:b/>
                          <w:bCs/>
                          <w:sz w:val="18"/>
                          <w:szCs w:val="18"/>
                          <w:lang w:val="fr-CH"/>
                        </w:rPr>
                        <w:t>Membres par Secteur et par Région</w:t>
                      </w:r>
                      <w:r>
                        <w:rPr>
                          <w:b/>
                          <w:bCs/>
                          <w:sz w:val="18"/>
                          <w:szCs w:val="18"/>
                          <w:lang w:val="fr-CH"/>
                        </w:rPr>
                        <w:br/>
                        <w:t>2022</w:t>
                      </w:r>
                    </w:p>
                    <w:p w14:paraId="6DD45824" w14:textId="77777777" w:rsidR="0031628C" w:rsidRDefault="0031628C" w:rsidP="0031628C">
                      <w:pPr>
                        <w:spacing w:before="0" w:line="276" w:lineRule="auto"/>
                        <w:jc w:val="center"/>
                        <w:rPr>
                          <w:sz w:val="18"/>
                          <w:szCs w:val="18"/>
                          <w:lang w:val="fr-CH"/>
                        </w:rPr>
                      </w:pPr>
                      <w:r>
                        <w:rPr>
                          <w:sz w:val="18"/>
                          <w:szCs w:val="18"/>
                          <w:lang w:val="fr-CH"/>
                        </w:rPr>
                        <w:t>(par Région/Bureau régional du BDT)</w:t>
                      </w:r>
                    </w:p>
                    <w:p w14:paraId="064648D4" w14:textId="77777777" w:rsidR="0031628C" w:rsidRDefault="0031628C" w:rsidP="0031628C">
                      <w:pPr>
                        <w:spacing w:line="276" w:lineRule="auto"/>
                        <w:jc w:val="center"/>
                        <w:rPr>
                          <w:sz w:val="18"/>
                          <w:szCs w:val="18"/>
                          <w:lang w:val="fr-CH"/>
                        </w:rPr>
                      </w:pPr>
                      <w:r>
                        <w:rPr>
                          <w:color w:val="FF0000"/>
                          <w:sz w:val="18"/>
                          <w:szCs w:val="18"/>
                          <w:lang w:val="fr-CH"/>
                        </w:rPr>
                        <w:t>Données sur les membres au 31 décembre 2022</w:t>
                      </w: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66432" behindDoc="0" locked="0" layoutInCell="1" allowOverlap="1" wp14:anchorId="54FD0F12" wp14:editId="0B3814F6">
                <wp:simplePos x="0" y="0"/>
                <wp:positionH relativeFrom="column">
                  <wp:posOffset>3062880</wp:posOffset>
                </wp:positionH>
                <wp:positionV relativeFrom="paragraph">
                  <wp:posOffset>1814400</wp:posOffset>
                </wp:positionV>
                <wp:extent cx="1112350" cy="156522"/>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350" cy="156522"/>
                        </a:xfrm>
                        <a:prstGeom prst="rect">
                          <a:avLst/>
                        </a:prstGeom>
                        <a:solidFill>
                          <a:schemeClr val="lt1"/>
                        </a:solidFill>
                        <a:ln w="6350">
                          <a:noFill/>
                        </a:ln>
                      </wps:spPr>
                      <wps:txbx>
                        <w:txbxContent>
                          <w:p w14:paraId="5164A848" w14:textId="77777777" w:rsidR="0031628C" w:rsidRPr="003F1A94" w:rsidRDefault="0031628C" w:rsidP="0031628C">
                            <w:pPr>
                              <w:spacing w:before="100" w:beforeAutospacing="1"/>
                              <w:rPr>
                                <w:sz w:val="2"/>
                                <w:szCs w:val="2"/>
                                <w:lang w:val="fr-CH"/>
                              </w:rPr>
                            </w:pPr>
                            <w:r>
                              <w:rPr>
                                <w:sz w:val="16"/>
                                <w:szCs w:val="16"/>
                                <w:lang w:val="fr-CH"/>
                              </w:rPr>
                              <w:t>Nombre de membres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D0F12" id="Text Box 18" o:spid="_x0000_s1027" type="#_x0000_t202" style="position:absolute;left:0;text-align:left;margin-left:241.15pt;margin-top:142.85pt;width:87.6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" fillcolor="white [3201]" stroked="f" strokeweight=".5pt">
                <v:textbox inset="0,0,0,0">
                  <w:txbxContent>
                    <w:p w14:paraId="5164A848" w14:textId="77777777" w:rsidR="0031628C" w:rsidRPr="003F1A94" w:rsidRDefault="0031628C" w:rsidP="0031628C">
                      <w:pPr>
                        <w:spacing w:before="100" w:beforeAutospacing="1"/>
                        <w:rPr>
                          <w:sz w:val="2"/>
                          <w:szCs w:val="2"/>
                          <w:lang w:val="fr-CH"/>
                        </w:rPr>
                      </w:pPr>
                      <w:r>
                        <w:rPr>
                          <w:sz w:val="16"/>
                          <w:szCs w:val="16"/>
                          <w:lang w:val="fr-CH"/>
                        </w:rPr>
                        <w:t>Nombre de membres</w:t>
                      </w:r>
                    </w:p>
                  </w:txbxContent>
                </v:textbox>
              </v:shape>
            </w:pict>
          </mc:Fallback>
        </mc:AlternateContent>
      </w:r>
      <w:r w:rsidR="0031628C" w:rsidRPr="00B91EE1">
        <w:rPr>
          <w:noProof/>
          <w:lang w:eastAsia="fr-CH"/>
        </w:rPr>
        <mc:AlternateContent>
          <mc:Choice Requires="wps">
            <w:drawing>
              <wp:anchor distT="0" distB="0" distL="114300" distR="114300" simplePos="0" relativeHeight="251663360" behindDoc="0" locked="0" layoutInCell="1" allowOverlap="1" wp14:anchorId="0188D8AB" wp14:editId="79ECCD8B">
                <wp:simplePos x="0" y="0"/>
                <wp:positionH relativeFrom="column">
                  <wp:posOffset>1490310</wp:posOffset>
                </wp:positionH>
                <wp:positionV relativeFrom="paragraph">
                  <wp:posOffset>1951310</wp:posOffset>
                </wp:positionV>
                <wp:extent cx="381600" cy="1797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00" cy="179705"/>
                        </a:xfrm>
                        <a:prstGeom prst="rect">
                          <a:avLst/>
                        </a:prstGeom>
                        <a:solidFill>
                          <a:schemeClr val="lt1"/>
                        </a:solidFill>
                        <a:ln w="6350">
                          <a:noFill/>
                        </a:ln>
                      </wps:spPr>
                      <wps:txbx>
                        <w:txbxContent>
                          <w:p w14:paraId="08F09A70" w14:textId="77777777" w:rsidR="0031628C" w:rsidRDefault="0031628C" w:rsidP="0031628C">
                            <w:pPr>
                              <w:spacing w:before="0"/>
                              <w:rPr>
                                <w:sz w:val="12"/>
                                <w:szCs w:val="12"/>
                                <w:lang w:val="fr-CH"/>
                              </w:rPr>
                            </w:pPr>
                            <w:r>
                              <w:rPr>
                                <w:sz w:val="12"/>
                                <w:szCs w:val="12"/>
                                <w:lang w:val="fr-CH"/>
                              </w:rPr>
                              <w:t>UIT-D</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8D8AB" id="Text Box 16" o:spid="_x0000_s1028" type="#_x0000_t202" style="position:absolute;left:0;text-align:left;margin-left:117.35pt;margin-top:153.65pt;width:30.0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" fillcolor="white [3201]" stroked="f" strokeweight=".5pt">
                <v:textbox inset="0,0,0,0">
                  <w:txbxContent>
                    <w:p w14:paraId="08F09A70" w14:textId="77777777" w:rsidR="0031628C" w:rsidRDefault="0031628C" w:rsidP="0031628C">
                      <w:pPr>
                        <w:spacing w:before="0"/>
                        <w:rPr>
                          <w:sz w:val="12"/>
                          <w:szCs w:val="12"/>
                          <w:lang w:val="fr-CH"/>
                        </w:rPr>
                      </w:pPr>
                      <w:r>
                        <w:rPr>
                          <w:sz w:val="12"/>
                          <w:szCs w:val="12"/>
                          <w:lang w:val="fr-CH"/>
                        </w:rPr>
                        <w:t>UIT-D</w:t>
                      </w:r>
                    </w:p>
                  </w:txbxContent>
                </v:textbox>
              </v:shape>
            </w:pict>
          </mc:Fallback>
        </mc:AlternateContent>
      </w:r>
      <w:r w:rsidR="0031628C" w:rsidRPr="00B91EE1">
        <w:rPr>
          <w:noProof/>
          <w:lang w:eastAsia="fr-CH"/>
        </w:rPr>
        <mc:AlternateContent>
          <mc:Choice Requires="wps">
            <w:drawing>
              <wp:anchor distT="0" distB="0" distL="114300" distR="114300" simplePos="0" relativeHeight="251664384" behindDoc="0" locked="0" layoutInCell="1" allowOverlap="1" wp14:anchorId="0C963AE5" wp14:editId="7A5E29B2">
                <wp:simplePos x="0" y="0"/>
                <wp:positionH relativeFrom="column">
                  <wp:posOffset>913895</wp:posOffset>
                </wp:positionH>
                <wp:positionV relativeFrom="paragraph">
                  <wp:posOffset>1929130</wp:posOffset>
                </wp:positionV>
                <wp:extent cx="381600" cy="17970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00" cy="179705"/>
                        </a:xfrm>
                        <a:prstGeom prst="rect">
                          <a:avLst/>
                        </a:prstGeom>
                        <a:solidFill>
                          <a:schemeClr val="lt1"/>
                        </a:solidFill>
                        <a:ln w="6350">
                          <a:noFill/>
                        </a:ln>
                      </wps:spPr>
                      <wps:txbx>
                        <w:txbxContent>
                          <w:p w14:paraId="602585F0" w14:textId="77777777" w:rsidR="0031628C" w:rsidRDefault="0031628C" w:rsidP="0031628C">
                            <w:pPr>
                              <w:spacing w:before="0"/>
                              <w:rPr>
                                <w:sz w:val="12"/>
                                <w:szCs w:val="12"/>
                                <w:lang w:val="fr-CH"/>
                              </w:rPr>
                            </w:pPr>
                            <w:r>
                              <w:rPr>
                                <w:sz w:val="12"/>
                                <w:szCs w:val="12"/>
                                <w:lang w:val="fr-CH"/>
                              </w:rPr>
                              <w:t>UIT-T</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63AE5" id="_x0000_s1029" type="#_x0000_t202" style="position:absolute;left:0;text-align:left;margin-left:71.95pt;margin-top:151.9pt;width:30.0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" fillcolor="white [3201]" stroked="f" strokeweight=".5pt">
                <v:textbox inset="0,0,0,0">
                  <w:txbxContent>
                    <w:p w14:paraId="602585F0" w14:textId="77777777" w:rsidR="0031628C" w:rsidRDefault="0031628C" w:rsidP="0031628C">
                      <w:pPr>
                        <w:spacing w:before="0"/>
                        <w:rPr>
                          <w:sz w:val="12"/>
                          <w:szCs w:val="12"/>
                          <w:lang w:val="fr-CH"/>
                        </w:rPr>
                      </w:pPr>
                      <w:r>
                        <w:rPr>
                          <w:sz w:val="12"/>
                          <w:szCs w:val="12"/>
                          <w:lang w:val="fr-CH"/>
                        </w:rPr>
                        <w:t>UIT-T</w:t>
                      </w:r>
                    </w:p>
                  </w:txbxContent>
                </v:textbox>
              </v:shape>
            </w:pict>
          </mc:Fallback>
        </mc:AlternateContent>
      </w:r>
      <w:r w:rsidR="0031628C" w:rsidRPr="00B91EE1">
        <w:rPr>
          <w:noProof/>
          <w:lang w:eastAsia="fr-CH"/>
        </w:rPr>
        <mc:AlternateContent>
          <mc:Choice Requires="wps">
            <w:drawing>
              <wp:anchor distT="0" distB="0" distL="114300" distR="114300" simplePos="0" relativeHeight="251665408" behindDoc="0" locked="0" layoutInCell="1" allowOverlap="1" wp14:anchorId="09728EF3" wp14:editId="0AE2A85E">
                <wp:simplePos x="0" y="0"/>
                <wp:positionH relativeFrom="column">
                  <wp:posOffset>345755</wp:posOffset>
                </wp:positionH>
                <wp:positionV relativeFrom="paragraph">
                  <wp:posOffset>1930035</wp:posOffset>
                </wp:positionV>
                <wp:extent cx="381600" cy="17970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00" cy="179705"/>
                        </a:xfrm>
                        <a:prstGeom prst="rect">
                          <a:avLst/>
                        </a:prstGeom>
                        <a:solidFill>
                          <a:schemeClr val="lt1"/>
                        </a:solidFill>
                        <a:ln w="6350">
                          <a:noFill/>
                        </a:ln>
                      </wps:spPr>
                      <wps:txbx>
                        <w:txbxContent>
                          <w:p w14:paraId="2AF1249E" w14:textId="77777777" w:rsidR="0031628C" w:rsidRDefault="0031628C" w:rsidP="0031628C">
                            <w:pPr>
                              <w:spacing w:before="0"/>
                              <w:rPr>
                                <w:sz w:val="12"/>
                                <w:szCs w:val="12"/>
                                <w:lang w:val="fr-CH"/>
                              </w:rPr>
                            </w:pPr>
                            <w:r>
                              <w:rPr>
                                <w:sz w:val="12"/>
                                <w:szCs w:val="12"/>
                                <w:lang w:val="fr-CH"/>
                              </w:rPr>
                              <w:t>UIT-R</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28EF3" id="_x0000_s1030" type="#_x0000_t202" style="position:absolute;left:0;text-align:left;margin-left:27.2pt;margin-top:151.95pt;width:30.0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" fillcolor="white [3201]" stroked="f" strokeweight=".5pt">
                <v:textbox inset="0,0,0,0">
                  <w:txbxContent>
                    <w:p w14:paraId="2AF1249E" w14:textId="77777777" w:rsidR="0031628C" w:rsidRDefault="0031628C" w:rsidP="0031628C">
                      <w:pPr>
                        <w:spacing w:before="0"/>
                        <w:rPr>
                          <w:sz w:val="12"/>
                          <w:szCs w:val="12"/>
                          <w:lang w:val="fr-CH"/>
                        </w:rPr>
                      </w:pPr>
                      <w:r>
                        <w:rPr>
                          <w:sz w:val="12"/>
                          <w:szCs w:val="12"/>
                          <w:lang w:val="fr-CH"/>
                        </w:rPr>
                        <w:t>UIT-R</w:t>
                      </w:r>
                    </w:p>
                  </w:txbxContent>
                </v:textbox>
              </v:shape>
            </w:pict>
          </mc:Fallback>
        </mc:AlternateContent>
      </w:r>
      <w:r w:rsidR="0031628C" w:rsidRPr="00B91EE1">
        <w:rPr>
          <w:noProof/>
          <w:lang w:eastAsia="fr-CH"/>
        </w:rPr>
        <mc:AlternateContent>
          <mc:Choice Requires="wps">
            <w:drawing>
              <wp:anchor distT="0" distB="0" distL="114300" distR="114300" simplePos="0" relativeHeight="251662336" behindDoc="0" locked="0" layoutInCell="1" allowOverlap="1" wp14:anchorId="3461D872" wp14:editId="28B94D08">
                <wp:simplePos x="0" y="0"/>
                <wp:positionH relativeFrom="column">
                  <wp:posOffset>2094505</wp:posOffset>
                </wp:positionH>
                <wp:positionV relativeFrom="paragraph">
                  <wp:posOffset>1929600</wp:posOffset>
                </wp:positionV>
                <wp:extent cx="968991" cy="266065"/>
                <wp:effectExtent l="0" t="0" r="317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8991" cy="266065"/>
                        </a:xfrm>
                        <a:prstGeom prst="rect">
                          <a:avLst/>
                        </a:prstGeom>
                        <a:solidFill>
                          <a:schemeClr val="lt1"/>
                        </a:solidFill>
                        <a:ln w="6350">
                          <a:noFill/>
                        </a:ln>
                      </wps:spPr>
                      <wps:txbx>
                        <w:txbxContent>
                          <w:p w14:paraId="79495EA3" w14:textId="01E6AE4B" w:rsidR="0031628C" w:rsidRDefault="00827A28" w:rsidP="0031628C">
                            <w:pPr>
                              <w:spacing w:before="0"/>
                              <w:rPr>
                                <w:sz w:val="12"/>
                                <w:szCs w:val="12"/>
                                <w:lang w:val="fr-CH"/>
                              </w:rPr>
                            </w:pPr>
                            <w:r>
                              <w:rPr>
                                <w:sz w:val="12"/>
                                <w:szCs w:val="12"/>
                                <w:lang w:val="fr-CH"/>
                              </w:rPr>
                              <w:t>É</w:t>
                            </w:r>
                            <w:r w:rsidR="0031628C">
                              <w:rPr>
                                <w:sz w:val="12"/>
                                <w:szCs w:val="12"/>
                                <w:lang w:val="fr-CH"/>
                              </w:rPr>
                              <w:t>tablissements universitaires*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1D872" id="Text Box 17" o:spid="_x0000_s1031" type="#_x0000_t202" style="position:absolute;left:0;text-align:left;margin-left:164.9pt;margin-top:151.95pt;width:76.3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" fillcolor="white [3201]" stroked="f" strokeweight=".5pt">
                <v:textbox inset="0,0,0,0">
                  <w:txbxContent>
                    <w:p w14:paraId="79495EA3" w14:textId="01E6AE4B" w:rsidR="0031628C" w:rsidRDefault="00827A28" w:rsidP="0031628C">
                      <w:pPr>
                        <w:spacing w:before="0"/>
                        <w:rPr>
                          <w:sz w:val="12"/>
                          <w:szCs w:val="12"/>
                          <w:lang w:val="fr-CH"/>
                        </w:rPr>
                      </w:pPr>
                      <w:r>
                        <w:rPr>
                          <w:sz w:val="12"/>
                          <w:szCs w:val="12"/>
                          <w:lang w:val="fr-CH"/>
                        </w:rPr>
                        <w:t>É</w:t>
                      </w:r>
                      <w:r w:rsidR="0031628C">
                        <w:rPr>
                          <w:sz w:val="12"/>
                          <w:szCs w:val="12"/>
                          <w:lang w:val="fr-CH"/>
                        </w:rPr>
                        <w:t>tablissements universitaires*</w:t>
                      </w:r>
                    </w:p>
                  </w:txbxContent>
                </v:textbox>
              </v:shape>
            </w:pict>
          </mc:Fallback>
        </mc:AlternateContent>
      </w:r>
      <w:r w:rsidR="0031628C" w:rsidRPr="00B91EE1">
        <w:rPr>
          <w:noProof/>
          <w:lang w:eastAsia="fr-CH"/>
        </w:rPr>
        <mc:AlternateContent>
          <mc:Choice Requires="wps">
            <w:drawing>
              <wp:anchor distT="0" distB="0" distL="114300" distR="114300" simplePos="0" relativeHeight="251661312" behindDoc="0" locked="0" layoutInCell="1" allowOverlap="1" wp14:anchorId="67CCE78C" wp14:editId="3ADBD62D">
                <wp:simplePos x="0" y="0"/>
                <wp:positionH relativeFrom="column">
                  <wp:posOffset>-576580</wp:posOffset>
                </wp:positionH>
                <wp:positionV relativeFrom="paragraph">
                  <wp:posOffset>550565</wp:posOffset>
                </wp:positionV>
                <wp:extent cx="1583690" cy="12827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282700"/>
                        </a:xfrm>
                        <a:prstGeom prst="rect">
                          <a:avLst/>
                        </a:prstGeom>
                        <a:solidFill>
                          <a:schemeClr val="lt1"/>
                        </a:solidFill>
                        <a:ln w="6350">
                          <a:noFill/>
                        </a:ln>
                      </wps:spPr>
                      <wps:txbx>
                        <w:txbxContent>
                          <w:p w14:paraId="0CECEEF2" w14:textId="77777777" w:rsidR="0031628C" w:rsidRDefault="0031628C" w:rsidP="0031628C">
                            <w:pPr>
                              <w:spacing w:before="0" w:after="120"/>
                              <w:jc w:val="right"/>
                              <w:rPr>
                                <w:sz w:val="14"/>
                                <w:szCs w:val="14"/>
                                <w:lang w:val="fr-CH"/>
                              </w:rPr>
                            </w:pPr>
                            <w:r>
                              <w:rPr>
                                <w:sz w:val="14"/>
                                <w:szCs w:val="14"/>
                                <w:lang w:val="fr-CH"/>
                              </w:rPr>
                              <w:t>Région du BDT</w:t>
                            </w:r>
                          </w:p>
                          <w:p w14:paraId="789770C2" w14:textId="77777777" w:rsidR="0031628C" w:rsidRDefault="0031628C" w:rsidP="0031628C">
                            <w:pPr>
                              <w:spacing w:before="0" w:after="40"/>
                              <w:jc w:val="right"/>
                              <w:rPr>
                                <w:sz w:val="14"/>
                                <w:szCs w:val="14"/>
                                <w:lang w:val="fr-CH"/>
                              </w:rPr>
                            </w:pPr>
                            <w:r>
                              <w:rPr>
                                <w:sz w:val="14"/>
                                <w:szCs w:val="14"/>
                                <w:lang w:val="fr-CH"/>
                              </w:rPr>
                              <w:t>Afrique</w:t>
                            </w:r>
                          </w:p>
                          <w:p w14:paraId="64CDC12E" w14:textId="77777777" w:rsidR="0031628C" w:rsidRDefault="0031628C" w:rsidP="0031628C">
                            <w:pPr>
                              <w:spacing w:before="0" w:after="40"/>
                              <w:jc w:val="right"/>
                              <w:rPr>
                                <w:sz w:val="14"/>
                                <w:szCs w:val="14"/>
                                <w:lang w:val="fr-CH"/>
                              </w:rPr>
                            </w:pPr>
                            <w:r>
                              <w:rPr>
                                <w:sz w:val="14"/>
                                <w:szCs w:val="14"/>
                                <w:lang w:val="fr-CH"/>
                              </w:rPr>
                              <w:t>Amériques</w:t>
                            </w:r>
                          </w:p>
                          <w:p w14:paraId="4478E18B" w14:textId="77777777" w:rsidR="0031628C" w:rsidRDefault="0031628C" w:rsidP="0031628C">
                            <w:pPr>
                              <w:spacing w:before="20"/>
                              <w:jc w:val="right"/>
                              <w:rPr>
                                <w:sz w:val="14"/>
                                <w:szCs w:val="14"/>
                                <w:lang w:val="fr-CH"/>
                              </w:rPr>
                            </w:pPr>
                            <w:r>
                              <w:rPr>
                                <w:sz w:val="14"/>
                                <w:szCs w:val="14"/>
                                <w:lang w:val="fr-CH"/>
                              </w:rPr>
                              <w:t>États arabes</w:t>
                            </w:r>
                          </w:p>
                          <w:p w14:paraId="6C71778C" w14:textId="77777777" w:rsidR="0031628C" w:rsidRDefault="0031628C" w:rsidP="0031628C">
                            <w:pPr>
                              <w:spacing w:before="40"/>
                              <w:jc w:val="right"/>
                              <w:rPr>
                                <w:sz w:val="14"/>
                                <w:szCs w:val="14"/>
                                <w:lang w:val="fr-CH"/>
                              </w:rPr>
                            </w:pPr>
                            <w:r>
                              <w:rPr>
                                <w:sz w:val="14"/>
                                <w:szCs w:val="14"/>
                                <w:lang w:val="fr-CH"/>
                              </w:rPr>
                              <w:t>Asie-Pacifique</w:t>
                            </w:r>
                          </w:p>
                          <w:p w14:paraId="58041ED5" w14:textId="77777777" w:rsidR="0031628C" w:rsidRDefault="0031628C" w:rsidP="0031628C">
                            <w:pPr>
                              <w:spacing w:before="40"/>
                              <w:jc w:val="right"/>
                              <w:rPr>
                                <w:sz w:val="14"/>
                                <w:szCs w:val="14"/>
                                <w:lang w:val="fr-CH"/>
                              </w:rPr>
                            </w:pPr>
                            <w:r>
                              <w:rPr>
                                <w:sz w:val="14"/>
                                <w:szCs w:val="14"/>
                                <w:lang w:val="fr-CH"/>
                              </w:rPr>
                              <w:t>CEI (Communauté des États indépendants)</w:t>
                            </w:r>
                            <w:r>
                              <w:rPr>
                                <w:sz w:val="14"/>
                                <w:szCs w:val="14"/>
                                <w:lang w:val="fr-CH"/>
                              </w:rPr>
                              <w:br/>
                              <w:t>Europe</w:t>
                            </w:r>
                          </w:p>
                          <w:p w14:paraId="311FBDA7" w14:textId="77777777" w:rsidR="0031628C" w:rsidRDefault="0031628C" w:rsidP="0031628C">
                            <w:pPr>
                              <w:spacing w:before="0"/>
                              <w:jc w:val="right"/>
                              <w:rPr>
                                <w:sz w:val="14"/>
                                <w:szCs w:val="14"/>
                                <w:lang w:val="fr-CH"/>
                              </w:rPr>
                            </w:pPr>
                            <w:r>
                              <w:rPr>
                                <w:sz w:val="14"/>
                                <w:szCs w:val="14"/>
                                <w:lang w:val="fr-CH"/>
                              </w:rPr>
                              <w:t>Niveaux régional et international*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E78C" id="Text Box 13" o:spid="_x0000_s1032" type="#_x0000_t202" style="position:absolute;left:0;text-align:left;margin-left:-45.4pt;margin-top:43.35pt;width:124.7pt;height: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" fillcolor="white [3201]" stroked="f" strokeweight=".5pt">
                <v:textbox>
                  <w:txbxContent>
                    <w:p w14:paraId="0CECEEF2" w14:textId="77777777" w:rsidR="0031628C" w:rsidRDefault="0031628C" w:rsidP="0031628C">
                      <w:pPr>
                        <w:spacing w:before="0" w:after="120"/>
                        <w:jc w:val="right"/>
                        <w:rPr>
                          <w:sz w:val="14"/>
                          <w:szCs w:val="14"/>
                          <w:lang w:val="fr-CH"/>
                        </w:rPr>
                      </w:pPr>
                      <w:r>
                        <w:rPr>
                          <w:sz w:val="14"/>
                          <w:szCs w:val="14"/>
                          <w:lang w:val="fr-CH"/>
                        </w:rPr>
                        <w:t>Région du BDT</w:t>
                      </w:r>
                    </w:p>
                    <w:p w14:paraId="789770C2" w14:textId="77777777" w:rsidR="0031628C" w:rsidRDefault="0031628C" w:rsidP="0031628C">
                      <w:pPr>
                        <w:spacing w:before="0" w:after="40"/>
                        <w:jc w:val="right"/>
                        <w:rPr>
                          <w:sz w:val="14"/>
                          <w:szCs w:val="14"/>
                          <w:lang w:val="fr-CH"/>
                        </w:rPr>
                      </w:pPr>
                      <w:r>
                        <w:rPr>
                          <w:sz w:val="14"/>
                          <w:szCs w:val="14"/>
                          <w:lang w:val="fr-CH"/>
                        </w:rPr>
                        <w:t>Afrique</w:t>
                      </w:r>
                    </w:p>
                    <w:p w14:paraId="64CDC12E" w14:textId="77777777" w:rsidR="0031628C" w:rsidRDefault="0031628C" w:rsidP="0031628C">
                      <w:pPr>
                        <w:spacing w:before="0" w:after="40"/>
                        <w:jc w:val="right"/>
                        <w:rPr>
                          <w:sz w:val="14"/>
                          <w:szCs w:val="14"/>
                          <w:lang w:val="fr-CH"/>
                        </w:rPr>
                      </w:pPr>
                      <w:r>
                        <w:rPr>
                          <w:sz w:val="14"/>
                          <w:szCs w:val="14"/>
                          <w:lang w:val="fr-CH"/>
                        </w:rPr>
                        <w:t>Amériques</w:t>
                      </w:r>
                    </w:p>
                    <w:p w14:paraId="4478E18B" w14:textId="77777777" w:rsidR="0031628C" w:rsidRDefault="0031628C" w:rsidP="0031628C">
                      <w:pPr>
                        <w:spacing w:before="20"/>
                        <w:jc w:val="right"/>
                        <w:rPr>
                          <w:sz w:val="14"/>
                          <w:szCs w:val="14"/>
                          <w:lang w:val="fr-CH"/>
                        </w:rPr>
                      </w:pPr>
                      <w:r>
                        <w:rPr>
                          <w:sz w:val="14"/>
                          <w:szCs w:val="14"/>
                          <w:lang w:val="fr-CH"/>
                        </w:rPr>
                        <w:t>États arabes</w:t>
                      </w:r>
                    </w:p>
                    <w:p w14:paraId="6C71778C" w14:textId="77777777" w:rsidR="0031628C" w:rsidRDefault="0031628C" w:rsidP="0031628C">
                      <w:pPr>
                        <w:spacing w:before="40"/>
                        <w:jc w:val="right"/>
                        <w:rPr>
                          <w:sz w:val="14"/>
                          <w:szCs w:val="14"/>
                          <w:lang w:val="fr-CH"/>
                        </w:rPr>
                      </w:pPr>
                      <w:r>
                        <w:rPr>
                          <w:sz w:val="14"/>
                          <w:szCs w:val="14"/>
                          <w:lang w:val="fr-CH"/>
                        </w:rPr>
                        <w:t>Asie-Pacifique</w:t>
                      </w:r>
                    </w:p>
                    <w:p w14:paraId="58041ED5" w14:textId="77777777" w:rsidR="0031628C" w:rsidRDefault="0031628C" w:rsidP="0031628C">
                      <w:pPr>
                        <w:spacing w:before="40"/>
                        <w:jc w:val="right"/>
                        <w:rPr>
                          <w:sz w:val="14"/>
                          <w:szCs w:val="14"/>
                          <w:lang w:val="fr-CH"/>
                        </w:rPr>
                      </w:pPr>
                      <w:r>
                        <w:rPr>
                          <w:sz w:val="14"/>
                          <w:szCs w:val="14"/>
                          <w:lang w:val="fr-CH"/>
                        </w:rPr>
                        <w:t>CEI (Communauté des États indépendants)</w:t>
                      </w:r>
                      <w:r>
                        <w:rPr>
                          <w:sz w:val="14"/>
                          <w:szCs w:val="14"/>
                          <w:lang w:val="fr-CH"/>
                        </w:rPr>
                        <w:br/>
                        <w:t>Europe</w:t>
                      </w:r>
                    </w:p>
                    <w:p w14:paraId="311FBDA7" w14:textId="77777777" w:rsidR="0031628C" w:rsidRDefault="0031628C" w:rsidP="0031628C">
                      <w:pPr>
                        <w:spacing w:before="0"/>
                        <w:jc w:val="right"/>
                        <w:rPr>
                          <w:sz w:val="14"/>
                          <w:szCs w:val="14"/>
                          <w:lang w:val="fr-CH"/>
                        </w:rPr>
                      </w:pPr>
                      <w:r>
                        <w:rPr>
                          <w:sz w:val="14"/>
                          <w:szCs w:val="14"/>
                          <w:lang w:val="fr-CH"/>
                        </w:rPr>
                        <w:t>Niveaux régional et international*</w:t>
                      </w:r>
                    </w:p>
                  </w:txbxContent>
                </v:textbox>
              </v:shape>
            </w:pict>
          </mc:Fallback>
        </mc:AlternateContent>
      </w:r>
      <w:r w:rsidR="0031628C" w:rsidRPr="00B91EE1">
        <w:rPr>
          <w:noProof/>
          <w:lang w:eastAsia="fr-CH"/>
        </w:rPr>
        <w:drawing>
          <wp:inline distT="0" distB="0" distL="0" distR="0" wp14:anchorId="1EB460E7" wp14:editId="08F64E9F">
            <wp:extent cx="5857875" cy="2086868"/>
            <wp:effectExtent l="0" t="0" r="0" b="0"/>
            <wp:docPr id="1841905058" name="Picture 184190505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05058" name="Picture 1841905058" descr="Chart, bar char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857875" cy="2086868"/>
                    </a:xfrm>
                    <a:prstGeom prst="rect">
                      <a:avLst/>
                    </a:prstGeom>
                  </pic:spPr>
                </pic:pic>
              </a:graphicData>
            </a:graphic>
          </wp:inline>
        </w:drawing>
      </w:r>
    </w:p>
    <w:p w14:paraId="75B4FAE9" w14:textId="20A55259" w:rsidR="0031628C" w:rsidRPr="00B91EE1" w:rsidRDefault="004E669D" w:rsidP="002C59AB">
      <w:pPr>
        <w:pStyle w:val="TableNoBR"/>
        <w:keepLines/>
      </w:pPr>
      <w:r w:rsidRPr="00B91EE1">
        <w:rPr>
          <w:noProof/>
          <w:lang w:eastAsia="fr-CH"/>
        </w:rPr>
        <mc:AlternateContent>
          <mc:Choice Requires="wps">
            <w:drawing>
              <wp:anchor distT="0" distB="0" distL="114300" distR="114300" simplePos="0" relativeHeight="251660288" behindDoc="0" locked="0" layoutInCell="1" allowOverlap="1" wp14:anchorId="6C32CEEC" wp14:editId="05599708">
                <wp:simplePos x="0" y="0"/>
                <wp:positionH relativeFrom="margin">
                  <wp:posOffset>1941794</wp:posOffset>
                </wp:positionH>
                <wp:positionV relativeFrom="paragraph">
                  <wp:posOffset>474740</wp:posOffset>
                </wp:positionV>
                <wp:extent cx="2185670" cy="592455"/>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2185670" cy="592455"/>
                        </a:xfrm>
                        <a:prstGeom prst="rect">
                          <a:avLst/>
                        </a:prstGeom>
                        <a:solidFill>
                          <a:schemeClr val="lt1"/>
                        </a:solidFill>
                        <a:ln w="6350">
                          <a:noFill/>
                        </a:ln>
                      </wps:spPr>
                      <wps:txbx>
                        <w:txbxContent>
                          <w:p w14:paraId="178C14F3" w14:textId="79E1D261" w:rsidR="0031628C" w:rsidRPr="00C302C4" w:rsidRDefault="0031628C" w:rsidP="0031628C">
                            <w:pPr>
                              <w:spacing w:before="100" w:beforeAutospacing="1"/>
                              <w:jc w:val="center"/>
                              <w:rPr>
                                <w:b/>
                                <w:bCs/>
                                <w:sz w:val="16"/>
                                <w:szCs w:val="16"/>
                                <w:lang w:val="fr-CH"/>
                              </w:rPr>
                            </w:pPr>
                            <w:r w:rsidRPr="00C302C4">
                              <w:rPr>
                                <w:b/>
                                <w:bCs/>
                                <w:sz w:val="16"/>
                                <w:szCs w:val="16"/>
                                <w:lang w:val="fr-CH"/>
                              </w:rPr>
                              <w:t>Rapport annuel sur les membres de l</w:t>
                            </w:r>
                            <w:r w:rsidR="00DD37F3">
                              <w:rPr>
                                <w:b/>
                                <w:bCs/>
                                <w:sz w:val="16"/>
                                <w:szCs w:val="16"/>
                                <w:lang w:val="fr-CH"/>
                              </w:rPr>
                              <w:t>'</w:t>
                            </w:r>
                            <w:r w:rsidRPr="00C302C4">
                              <w:rPr>
                                <w:b/>
                                <w:bCs/>
                                <w:sz w:val="16"/>
                                <w:szCs w:val="16"/>
                                <w:lang w:val="fr-CH"/>
                              </w:rPr>
                              <w:t>UIT-R</w:t>
                            </w:r>
                          </w:p>
                          <w:p w14:paraId="740C6592" w14:textId="77777777" w:rsidR="0031628C" w:rsidRPr="00C302C4" w:rsidRDefault="0031628C" w:rsidP="0031628C">
                            <w:pPr>
                              <w:spacing w:before="0" w:line="480" w:lineRule="auto"/>
                              <w:jc w:val="center"/>
                              <w:rPr>
                                <w:sz w:val="16"/>
                                <w:szCs w:val="16"/>
                                <w:lang w:val="fr-CH"/>
                              </w:rPr>
                            </w:pPr>
                            <w:r w:rsidRPr="00C302C4">
                              <w:rPr>
                                <w:b/>
                                <w:bCs/>
                                <w:sz w:val="16"/>
                                <w:szCs w:val="16"/>
                                <w:lang w:val="fr-CH"/>
                              </w:rPr>
                              <w:t>2022</w:t>
                            </w:r>
                          </w:p>
                          <w:p w14:paraId="1AA19431" w14:textId="77777777" w:rsidR="0031628C" w:rsidRDefault="0031628C" w:rsidP="0031628C">
                            <w:pPr>
                              <w:spacing w:before="0" w:line="480" w:lineRule="auto"/>
                              <w:jc w:val="center"/>
                              <w:rPr>
                                <w:sz w:val="12"/>
                                <w:szCs w:val="12"/>
                                <w:lang w:val="fr-CH"/>
                              </w:rPr>
                            </w:pPr>
                            <w:r>
                              <w:rPr>
                                <w:color w:val="FF0000"/>
                                <w:sz w:val="12"/>
                                <w:szCs w:val="12"/>
                                <w:lang w:val="fr-CH"/>
                              </w:rPr>
                              <w:t>Données sur les membres au 31 décembre 2022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2CEEC" id="Text Box 5" o:spid="_x0000_s1033" type="#_x0000_t202" style="position:absolute;left:0;text-align:left;margin-left:152.9pt;margin-top:37.4pt;width:172.1pt;height:4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" fillcolor="white [3201]" stroked="f" strokeweight=".5pt">
                <v:textbox>
                  <w:txbxContent>
                    <w:p w14:paraId="178C14F3" w14:textId="79E1D261" w:rsidR="0031628C" w:rsidRPr="00C302C4" w:rsidRDefault="0031628C" w:rsidP="0031628C">
                      <w:pPr>
                        <w:spacing w:before="100" w:beforeAutospacing="1"/>
                        <w:jc w:val="center"/>
                        <w:rPr>
                          <w:b/>
                          <w:bCs/>
                          <w:sz w:val="16"/>
                          <w:szCs w:val="16"/>
                          <w:lang w:val="fr-CH"/>
                        </w:rPr>
                      </w:pPr>
                      <w:r w:rsidRPr="00C302C4">
                        <w:rPr>
                          <w:b/>
                          <w:bCs/>
                          <w:sz w:val="16"/>
                          <w:szCs w:val="16"/>
                          <w:lang w:val="fr-CH"/>
                        </w:rPr>
                        <w:t>Rapport annuel sur les membres de l</w:t>
                      </w:r>
                      <w:r w:rsidR="00DD37F3">
                        <w:rPr>
                          <w:b/>
                          <w:bCs/>
                          <w:sz w:val="16"/>
                          <w:szCs w:val="16"/>
                          <w:lang w:val="fr-CH"/>
                        </w:rPr>
                        <w:t>'</w:t>
                      </w:r>
                      <w:r w:rsidRPr="00C302C4">
                        <w:rPr>
                          <w:b/>
                          <w:bCs/>
                          <w:sz w:val="16"/>
                          <w:szCs w:val="16"/>
                          <w:lang w:val="fr-CH"/>
                        </w:rPr>
                        <w:t>UIT-R</w:t>
                      </w:r>
                    </w:p>
                    <w:p w14:paraId="740C6592" w14:textId="77777777" w:rsidR="0031628C" w:rsidRPr="00C302C4" w:rsidRDefault="0031628C" w:rsidP="0031628C">
                      <w:pPr>
                        <w:spacing w:before="0" w:line="480" w:lineRule="auto"/>
                        <w:jc w:val="center"/>
                        <w:rPr>
                          <w:sz w:val="16"/>
                          <w:szCs w:val="16"/>
                          <w:lang w:val="fr-CH"/>
                        </w:rPr>
                      </w:pPr>
                      <w:r w:rsidRPr="00C302C4">
                        <w:rPr>
                          <w:b/>
                          <w:bCs/>
                          <w:sz w:val="16"/>
                          <w:szCs w:val="16"/>
                          <w:lang w:val="fr-CH"/>
                        </w:rPr>
                        <w:t>2022</w:t>
                      </w:r>
                    </w:p>
                    <w:p w14:paraId="1AA19431" w14:textId="77777777" w:rsidR="0031628C" w:rsidRDefault="0031628C" w:rsidP="0031628C">
                      <w:pPr>
                        <w:spacing w:before="0" w:line="480" w:lineRule="auto"/>
                        <w:jc w:val="center"/>
                        <w:rPr>
                          <w:sz w:val="12"/>
                          <w:szCs w:val="12"/>
                          <w:lang w:val="fr-CH"/>
                        </w:rPr>
                      </w:pPr>
                      <w:r>
                        <w:rPr>
                          <w:color w:val="FF0000"/>
                          <w:sz w:val="12"/>
                          <w:szCs w:val="12"/>
                          <w:lang w:val="fr-CH"/>
                        </w:rPr>
                        <w:t>Données sur les membres au 31 décembre 2022</w:t>
                      </w:r>
                    </w:p>
                  </w:txbxContent>
                </v:textbox>
                <w10:wrap anchorx="margin"/>
              </v:shape>
            </w:pict>
          </mc:Fallback>
        </mc:AlternateContent>
      </w:r>
      <w:r w:rsidR="0031628C" w:rsidRPr="00B91EE1">
        <w:t>TABLEAU 8.5.1-2</w:t>
      </w:r>
    </w:p>
    <w:p w14:paraId="3B0AA1B9" w14:textId="4F7A5A83" w:rsidR="0031628C" w:rsidRPr="00B91EE1" w:rsidRDefault="004E669D" w:rsidP="00153B40">
      <w:pPr>
        <w:pStyle w:val="TabletitleBR"/>
        <w:keepNext w:val="0"/>
        <w:keepLines w:val="0"/>
      </w:pPr>
      <w:r w:rsidRPr="00B91EE1">
        <w:rPr>
          <w:noProof/>
          <w:lang w:eastAsia="fr-CH"/>
        </w:rPr>
        <mc:AlternateContent>
          <mc:Choice Requires="wps">
            <w:drawing>
              <wp:anchor distT="0" distB="0" distL="114300" distR="114300" simplePos="0" relativeHeight="251673600" behindDoc="0" locked="0" layoutInCell="1" allowOverlap="1" wp14:anchorId="7EF4E397" wp14:editId="393182FF">
                <wp:simplePos x="0" y="0"/>
                <wp:positionH relativeFrom="margin">
                  <wp:posOffset>1281238</wp:posOffset>
                </wp:positionH>
                <wp:positionV relativeFrom="paragraph">
                  <wp:posOffset>502154</wp:posOffset>
                </wp:positionV>
                <wp:extent cx="724535" cy="185792"/>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724535" cy="185792"/>
                        </a:xfrm>
                        <a:prstGeom prst="rect">
                          <a:avLst/>
                        </a:prstGeom>
                        <a:solidFill>
                          <a:schemeClr val="lt1"/>
                        </a:solidFill>
                        <a:ln w="6350">
                          <a:noFill/>
                        </a:ln>
                      </wps:spPr>
                      <wps:txbx>
                        <w:txbxContent>
                          <w:p w14:paraId="2A39F3D4" w14:textId="77777777" w:rsidR="0031628C" w:rsidRDefault="0031628C" w:rsidP="0031628C">
                            <w:pPr>
                              <w:spacing w:before="0"/>
                              <w:jc w:val="center"/>
                              <w:rPr>
                                <w:sz w:val="13"/>
                                <w:szCs w:val="13"/>
                                <w:lang w:val="fr-CH"/>
                              </w:rPr>
                            </w:pPr>
                            <w:r>
                              <w:rPr>
                                <w:b/>
                                <w:bCs/>
                                <w:color w:val="548DD4" w:themeColor="text2" w:themeTint="99"/>
                                <w:sz w:val="14"/>
                                <w:szCs w:val="14"/>
                                <w:lang w:val="fr-CH"/>
                              </w:rPr>
                              <w:t>UIT-R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4E397" id="Text Box 19" o:spid="_x0000_s1034" type="#_x0000_t202" style="position:absolute;left:0;text-align:left;margin-left:100.9pt;margin-top:39.55pt;width:57.05pt;height:14.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" fillcolor="white [3201]" stroked="f" strokeweight=".5pt">
                <v:textbox>
                  <w:txbxContent>
                    <w:p w14:paraId="2A39F3D4" w14:textId="77777777" w:rsidR="0031628C" w:rsidRDefault="0031628C" w:rsidP="0031628C">
                      <w:pPr>
                        <w:spacing w:before="0"/>
                        <w:jc w:val="center"/>
                        <w:rPr>
                          <w:sz w:val="13"/>
                          <w:szCs w:val="13"/>
                          <w:lang w:val="fr-CH"/>
                        </w:rPr>
                      </w:pPr>
                      <w:r>
                        <w:rPr>
                          <w:b/>
                          <w:bCs/>
                          <w:color w:val="548DD4" w:themeColor="text2" w:themeTint="99"/>
                          <w:sz w:val="14"/>
                          <w:szCs w:val="14"/>
                          <w:lang w:val="fr-CH"/>
                        </w:rPr>
                        <w:t>UIT-R</w:t>
                      </w:r>
                    </w:p>
                  </w:txbxContent>
                </v:textbox>
                <w10:wrap anchorx="margin"/>
              </v:shape>
            </w:pict>
          </mc:Fallback>
        </mc:AlternateContent>
      </w:r>
      <w:r w:rsidRPr="00B91EE1">
        <w:rPr>
          <w:noProof/>
          <w:lang w:eastAsia="fr-CH"/>
        </w:rPr>
        <mc:AlternateContent>
          <mc:Choice Requires="wps">
            <w:drawing>
              <wp:anchor distT="0" distB="0" distL="114300" distR="114300" simplePos="0" relativeHeight="251672576" behindDoc="0" locked="0" layoutInCell="1" allowOverlap="1" wp14:anchorId="19563718" wp14:editId="1D045C5F">
                <wp:simplePos x="0" y="0"/>
                <wp:positionH relativeFrom="margin">
                  <wp:posOffset>2187012</wp:posOffset>
                </wp:positionH>
                <wp:positionV relativeFrom="paragraph">
                  <wp:posOffset>502154</wp:posOffset>
                </wp:positionV>
                <wp:extent cx="724535" cy="185792"/>
                <wp:effectExtent l="0" t="0" r="0" b="5080"/>
                <wp:wrapNone/>
                <wp:docPr id="22" name="Text Box 22"/>
                <wp:cNvGraphicFramePr/>
                <a:graphic xmlns:a="http://schemas.openxmlformats.org/drawingml/2006/main">
                  <a:graphicData uri="http://schemas.microsoft.com/office/word/2010/wordprocessingShape">
                    <wps:wsp>
                      <wps:cNvSpPr txBox="1"/>
                      <wps:spPr>
                        <a:xfrm>
                          <a:off x="0" y="0"/>
                          <a:ext cx="724535" cy="185792"/>
                        </a:xfrm>
                        <a:prstGeom prst="rect">
                          <a:avLst/>
                        </a:prstGeom>
                        <a:solidFill>
                          <a:schemeClr val="lt1"/>
                        </a:solidFill>
                        <a:ln w="6350">
                          <a:noFill/>
                        </a:ln>
                      </wps:spPr>
                      <wps:txbx>
                        <w:txbxContent>
                          <w:p w14:paraId="5484ADD6" w14:textId="77777777" w:rsidR="0031628C" w:rsidRDefault="0031628C" w:rsidP="0031628C">
                            <w:pPr>
                              <w:spacing w:before="0"/>
                              <w:jc w:val="center"/>
                              <w:rPr>
                                <w:sz w:val="13"/>
                                <w:szCs w:val="13"/>
                                <w:lang w:val="fr-CH"/>
                              </w:rPr>
                            </w:pPr>
                            <w:r>
                              <w:rPr>
                                <w:b/>
                                <w:bCs/>
                                <w:color w:val="548DD4" w:themeColor="text2" w:themeTint="99"/>
                                <w:sz w:val="14"/>
                                <w:szCs w:val="14"/>
                                <w:lang w:val="fr-CH"/>
                              </w:rPr>
                              <w:t>UIT-T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63718" id="Text Box 22" o:spid="_x0000_s1035" type="#_x0000_t202" style="position:absolute;left:0;text-align:left;margin-left:172.2pt;margin-top:39.55pt;width:57.05pt;height:1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" fillcolor="white [3201]" stroked="f" strokeweight=".5pt">
                <v:textbox>
                  <w:txbxContent>
                    <w:p w14:paraId="5484ADD6" w14:textId="77777777" w:rsidR="0031628C" w:rsidRDefault="0031628C" w:rsidP="0031628C">
                      <w:pPr>
                        <w:spacing w:before="0"/>
                        <w:jc w:val="center"/>
                        <w:rPr>
                          <w:sz w:val="13"/>
                          <w:szCs w:val="13"/>
                          <w:lang w:val="fr-CH"/>
                        </w:rPr>
                      </w:pPr>
                      <w:r>
                        <w:rPr>
                          <w:b/>
                          <w:bCs/>
                          <w:color w:val="548DD4" w:themeColor="text2" w:themeTint="99"/>
                          <w:sz w:val="14"/>
                          <w:szCs w:val="14"/>
                          <w:lang w:val="fr-CH"/>
                        </w:rPr>
                        <w:t>UIT-T</w:t>
                      </w:r>
                    </w:p>
                  </w:txbxContent>
                </v:textbox>
                <w10:wrap anchorx="margin"/>
              </v:shape>
            </w:pict>
          </mc:Fallback>
        </mc:AlternateContent>
      </w:r>
      <w:r w:rsidR="00827A28" w:rsidRPr="00B91EE1">
        <w:rPr>
          <w:noProof/>
          <w:lang w:eastAsia="fr-CH"/>
        </w:rPr>
        <mc:AlternateContent>
          <mc:Choice Requires="wps">
            <w:drawing>
              <wp:anchor distT="0" distB="0" distL="114300" distR="114300" simplePos="0" relativeHeight="251669504" behindDoc="0" locked="0" layoutInCell="1" allowOverlap="1" wp14:anchorId="6B44F8E5" wp14:editId="3239089C">
                <wp:simplePos x="0" y="0"/>
                <wp:positionH relativeFrom="margin">
                  <wp:posOffset>4826695</wp:posOffset>
                </wp:positionH>
                <wp:positionV relativeFrom="paragraph">
                  <wp:posOffset>504381</wp:posOffset>
                </wp:positionV>
                <wp:extent cx="724535" cy="185791"/>
                <wp:effectExtent l="0" t="0" r="0" b="5080"/>
                <wp:wrapNone/>
                <wp:docPr id="25" name="Text Box 25"/>
                <wp:cNvGraphicFramePr/>
                <a:graphic xmlns:a="http://schemas.openxmlformats.org/drawingml/2006/main">
                  <a:graphicData uri="http://schemas.microsoft.com/office/word/2010/wordprocessingShape">
                    <wps:wsp>
                      <wps:cNvSpPr txBox="1"/>
                      <wps:spPr>
                        <a:xfrm>
                          <a:off x="0" y="0"/>
                          <a:ext cx="724535" cy="185791"/>
                        </a:xfrm>
                        <a:prstGeom prst="rect">
                          <a:avLst/>
                        </a:prstGeom>
                        <a:solidFill>
                          <a:schemeClr val="lt1"/>
                        </a:solidFill>
                        <a:ln w="6350">
                          <a:noFill/>
                        </a:ln>
                      </wps:spPr>
                      <wps:txbx>
                        <w:txbxContent>
                          <w:p w14:paraId="59AFECE0" w14:textId="77777777" w:rsidR="0031628C" w:rsidRDefault="0031628C" w:rsidP="0031628C">
                            <w:pPr>
                              <w:spacing w:before="0"/>
                              <w:jc w:val="center"/>
                              <w:rPr>
                                <w:sz w:val="13"/>
                                <w:szCs w:val="13"/>
                                <w:lang w:val="fr-CH"/>
                              </w:rPr>
                            </w:pPr>
                            <w:r>
                              <w:rPr>
                                <w:b/>
                                <w:bCs/>
                                <w:color w:val="548DD4" w:themeColor="text2" w:themeTint="99"/>
                                <w:sz w:val="13"/>
                                <w:szCs w:val="13"/>
                                <w:lang w:val="fr-CH"/>
                              </w:rPr>
                              <w:t>Total général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4F8E5" id="Text Box 25" o:spid="_x0000_s1036" type="#_x0000_t202" style="position:absolute;left:0;text-align:left;margin-left:380.05pt;margin-top:39.7pt;width:57.05pt;height:14.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" fillcolor="white [3201]" stroked="f" strokeweight=".5pt">
                <v:textbox>
                  <w:txbxContent>
                    <w:p w14:paraId="59AFECE0" w14:textId="77777777" w:rsidR="0031628C" w:rsidRDefault="0031628C" w:rsidP="0031628C">
                      <w:pPr>
                        <w:spacing w:before="0"/>
                        <w:jc w:val="center"/>
                        <w:rPr>
                          <w:sz w:val="13"/>
                          <w:szCs w:val="13"/>
                          <w:lang w:val="fr-CH"/>
                        </w:rPr>
                      </w:pPr>
                      <w:r>
                        <w:rPr>
                          <w:b/>
                          <w:bCs/>
                          <w:color w:val="548DD4" w:themeColor="text2" w:themeTint="99"/>
                          <w:sz w:val="13"/>
                          <w:szCs w:val="13"/>
                          <w:lang w:val="fr-CH"/>
                        </w:rPr>
                        <w:t>Total général</w:t>
                      </w:r>
                    </w:p>
                  </w:txbxContent>
                </v:textbox>
                <w10:wrap anchorx="margin"/>
              </v:shape>
            </w:pict>
          </mc:Fallback>
        </mc:AlternateContent>
      </w:r>
      <w:r w:rsidR="00827A28" w:rsidRPr="00B91EE1">
        <w:rPr>
          <w:noProof/>
          <w:lang w:eastAsia="fr-CH"/>
        </w:rPr>
        <mc:AlternateContent>
          <mc:Choice Requires="wps">
            <w:drawing>
              <wp:anchor distT="0" distB="0" distL="114300" distR="114300" simplePos="0" relativeHeight="251671552" behindDoc="0" locked="0" layoutInCell="1" allowOverlap="1" wp14:anchorId="7054B22B" wp14:editId="58DB3884">
                <wp:simplePos x="0" y="0"/>
                <wp:positionH relativeFrom="margin">
                  <wp:posOffset>3058280</wp:posOffset>
                </wp:positionH>
                <wp:positionV relativeFrom="paragraph">
                  <wp:posOffset>504382</wp:posOffset>
                </wp:positionV>
                <wp:extent cx="724535" cy="185791"/>
                <wp:effectExtent l="0" t="0" r="0" b="5080"/>
                <wp:wrapNone/>
                <wp:docPr id="23" name="Text Box 23"/>
                <wp:cNvGraphicFramePr/>
                <a:graphic xmlns:a="http://schemas.openxmlformats.org/drawingml/2006/main">
                  <a:graphicData uri="http://schemas.microsoft.com/office/word/2010/wordprocessingShape">
                    <wps:wsp>
                      <wps:cNvSpPr txBox="1"/>
                      <wps:spPr>
                        <a:xfrm>
                          <a:off x="0" y="0"/>
                          <a:ext cx="724535" cy="185791"/>
                        </a:xfrm>
                        <a:prstGeom prst="rect">
                          <a:avLst/>
                        </a:prstGeom>
                        <a:solidFill>
                          <a:schemeClr val="lt1"/>
                        </a:solidFill>
                        <a:ln w="6350">
                          <a:noFill/>
                        </a:ln>
                      </wps:spPr>
                      <wps:txbx>
                        <w:txbxContent>
                          <w:p w14:paraId="09B6C8BC" w14:textId="77777777" w:rsidR="0031628C" w:rsidRDefault="0031628C" w:rsidP="0031628C">
                            <w:pPr>
                              <w:spacing w:before="0"/>
                              <w:jc w:val="center"/>
                              <w:rPr>
                                <w:sz w:val="13"/>
                                <w:szCs w:val="13"/>
                                <w:lang w:val="fr-CH"/>
                              </w:rPr>
                            </w:pPr>
                            <w:r>
                              <w:rPr>
                                <w:b/>
                                <w:bCs/>
                                <w:color w:val="548DD4" w:themeColor="text2" w:themeTint="99"/>
                                <w:sz w:val="14"/>
                                <w:szCs w:val="14"/>
                                <w:lang w:val="fr-CH"/>
                              </w:rPr>
                              <w:t>UIT-D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4B22B" id="Text Box 23" o:spid="_x0000_s1037" type="#_x0000_t202" style="position:absolute;left:0;text-align:left;margin-left:240.8pt;margin-top:39.7pt;width:57.05pt;height:14.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" fillcolor="white [3201]" stroked="f" strokeweight=".5pt">
                <v:textbox>
                  <w:txbxContent>
                    <w:p w14:paraId="09B6C8BC" w14:textId="77777777" w:rsidR="0031628C" w:rsidRDefault="0031628C" w:rsidP="0031628C">
                      <w:pPr>
                        <w:spacing w:before="0"/>
                        <w:jc w:val="center"/>
                        <w:rPr>
                          <w:sz w:val="13"/>
                          <w:szCs w:val="13"/>
                          <w:lang w:val="fr-CH"/>
                        </w:rPr>
                      </w:pPr>
                      <w:r>
                        <w:rPr>
                          <w:b/>
                          <w:bCs/>
                          <w:color w:val="548DD4" w:themeColor="text2" w:themeTint="99"/>
                          <w:sz w:val="14"/>
                          <w:szCs w:val="14"/>
                          <w:lang w:val="fr-CH"/>
                        </w:rPr>
                        <w:t>UIT-D</w:t>
                      </w: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78720" behindDoc="0" locked="0" layoutInCell="1" allowOverlap="1" wp14:anchorId="521449BA" wp14:editId="6F5D3F02">
                <wp:simplePos x="0" y="0"/>
                <wp:positionH relativeFrom="margin">
                  <wp:posOffset>3099400</wp:posOffset>
                </wp:positionH>
                <wp:positionV relativeFrom="paragraph">
                  <wp:posOffset>1870102</wp:posOffset>
                </wp:positionV>
                <wp:extent cx="1243330" cy="201295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1243330" cy="2012950"/>
                        </a:xfrm>
                        <a:prstGeom prst="rect">
                          <a:avLst/>
                        </a:prstGeom>
                        <a:solidFill>
                          <a:schemeClr val="lt1"/>
                        </a:solidFill>
                        <a:ln w="6350">
                          <a:noFill/>
                        </a:ln>
                      </wps:spPr>
                      <wps:txbx>
                        <w:txbxContent>
                          <w:p w14:paraId="0D13C696" w14:textId="77777777" w:rsidR="0031628C" w:rsidRPr="00FF371C" w:rsidRDefault="0031628C" w:rsidP="0031628C">
                            <w:pPr>
                              <w:spacing w:before="40"/>
                              <w:rPr>
                                <w:sz w:val="14"/>
                                <w:szCs w:val="14"/>
                              </w:rPr>
                            </w:pPr>
                            <w:r w:rsidRPr="00FF371C">
                              <w:rPr>
                                <w:sz w:val="14"/>
                                <w:szCs w:val="14"/>
                              </w:rPr>
                              <w:t>Membres des trois Secteurs</w:t>
                            </w:r>
                          </w:p>
                          <w:p w14:paraId="4AB615F9" w14:textId="77777777" w:rsidR="0031628C" w:rsidRPr="00FF371C" w:rsidRDefault="0031628C" w:rsidP="0031628C">
                            <w:pPr>
                              <w:spacing w:before="480"/>
                              <w:rPr>
                                <w:sz w:val="14"/>
                                <w:szCs w:val="14"/>
                              </w:rPr>
                            </w:pPr>
                            <w:r w:rsidRPr="00FF371C">
                              <w:rPr>
                                <w:sz w:val="14"/>
                                <w:szCs w:val="14"/>
                              </w:rPr>
                              <w:t>Total estimatif des contributions</w:t>
                            </w:r>
                          </w:p>
                          <w:p w14:paraId="4675D51D" w14:textId="23172470" w:rsidR="0031628C" w:rsidRPr="00FF371C" w:rsidRDefault="0031628C" w:rsidP="0031628C">
                            <w:pPr>
                              <w:spacing w:before="480"/>
                              <w:rPr>
                                <w:sz w:val="14"/>
                                <w:szCs w:val="14"/>
                              </w:rPr>
                            </w:pPr>
                            <w:r w:rsidRPr="00FF371C">
                              <w:rPr>
                                <w:sz w:val="14"/>
                                <w:szCs w:val="14"/>
                              </w:rPr>
                              <w:t>Membres de l</w:t>
                            </w:r>
                            <w:r w:rsidR="00DD37F3">
                              <w:rPr>
                                <w:sz w:val="14"/>
                                <w:szCs w:val="14"/>
                              </w:rPr>
                              <w:t>'</w:t>
                            </w:r>
                            <w:r w:rsidRPr="00FF371C">
                              <w:rPr>
                                <w:sz w:val="14"/>
                                <w:szCs w:val="14"/>
                              </w:rPr>
                              <w:t>UIT-R</w:t>
                            </w:r>
                          </w:p>
                          <w:p w14:paraId="317D8357" w14:textId="561B33F8" w:rsidR="0031628C" w:rsidRPr="00FF371C" w:rsidRDefault="0031628C" w:rsidP="0031628C">
                            <w:pPr>
                              <w:spacing w:before="480"/>
                              <w:rPr>
                                <w:sz w:val="14"/>
                                <w:szCs w:val="14"/>
                              </w:rPr>
                            </w:pPr>
                            <w:r w:rsidRPr="00FF371C">
                              <w:rPr>
                                <w:sz w:val="14"/>
                                <w:szCs w:val="14"/>
                              </w:rPr>
                              <w:t>Membres de l</w:t>
                            </w:r>
                            <w:r w:rsidR="00DD37F3">
                              <w:rPr>
                                <w:sz w:val="14"/>
                                <w:szCs w:val="14"/>
                              </w:rPr>
                              <w:t>'</w:t>
                            </w:r>
                            <w:r w:rsidRPr="00FF371C">
                              <w:rPr>
                                <w:sz w:val="14"/>
                                <w:szCs w:val="14"/>
                              </w:rPr>
                              <w:t>UIT-T</w:t>
                            </w:r>
                          </w:p>
                          <w:p w14:paraId="37247739" w14:textId="2748538E" w:rsidR="0031628C" w:rsidRPr="00FF371C" w:rsidRDefault="0031628C" w:rsidP="0031628C">
                            <w:pPr>
                              <w:spacing w:before="480"/>
                              <w:rPr>
                                <w:sz w:val="14"/>
                                <w:szCs w:val="14"/>
                                <w:lang w:val="en-GB"/>
                              </w:rPr>
                            </w:pPr>
                            <w:r w:rsidRPr="00FF371C">
                              <w:rPr>
                                <w:sz w:val="14"/>
                                <w:szCs w:val="14"/>
                                <w:lang w:val="en-GB"/>
                              </w:rPr>
                              <w:t>Membres de l</w:t>
                            </w:r>
                            <w:r w:rsidR="00DD37F3">
                              <w:rPr>
                                <w:sz w:val="14"/>
                                <w:szCs w:val="14"/>
                                <w:lang w:val="en-GB"/>
                              </w:rPr>
                              <w:t>'</w:t>
                            </w:r>
                            <w:r w:rsidRPr="00FF371C">
                              <w:rPr>
                                <w:sz w:val="14"/>
                                <w:szCs w:val="14"/>
                                <w:lang w:val="en-GB"/>
                              </w:rPr>
                              <w:t>UIT-D</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49BA" id="Text Box 30" o:spid="_x0000_s1038" type="#_x0000_t202" style="position:absolute;left:0;text-align:left;margin-left:244.05pt;margin-top:147.25pt;width:97.9pt;height:15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" fillcolor="white [3201]" stroked="f" strokeweight=".5pt">
                <v:textbox inset="0,0,0,0">
                  <w:txbxContent>
                    <w:p w14:paraId="0D13C696" w14:textId="77777777" w:rsidR="0031628C" w:rsidRPr="00FF371C" w:rsidRDefault="0031628C" w:rsidP="0031628C">
                      <w:pPr>
                        <w:spacing w:before="40"/>
                        <w:rPr>
                          <w:sz w:val="14"/>
                          <w:szCs w:val="14"/>
                        </w:rPr>
                      </w:pPr>
                      <w:r w:rsidRPr="00FF371C">
                        <w:rPr>
                          <w:sz w:val="14"/>
                          <w:szCs w:val="14"/>
                        </w:rPr>
                        <w:t>Membres des trois Secteurs</w:t>
                      </w:r>
                    </w:p>
                    <w:p w14:paraId="4AB615F9" w14:textId="77777777" w:rsidR="0031628C" w:rsidRPr="00FF371C" w:rsidRDefault="0031628C" w:rsidP="0031628C">
                      <w:pPr>
                        <w:spacing w:before="480"/>
                        <w:rPr>
                          <w:sz w:val="14"/>
                          <w:szCs w:val="14"/>
                        </w:rPr>
                      </w:pPr>
                      <w:r w:rsidRPr="00FF371C">
                        <w:rPr>
                          <w:sz w:val="14"/>
                          <w:szCs w:val="14"/>
                        </w:rPr>
                        <w:t>Total estimatif des contributions</w:t>
                      </w:r>
                    </w:p>
                    <w:p w14:paraId="4675D51D" w14:textId="23172470" w:rsidR="0031628C" w:rsidRPr="00FF371C" w:rsidRDefault="0031628C" w:rsidP="0031628C">
                      <w:pPr>
                        <w:spacing w:before="480"/>
                        <w:rPr>
                          <w:sz w:val="14"/>
                          <w:szCs w:val="14"/>
                        </w:rPr>
                      </w:pPr>
                      <w:r w:rsidRPr="00FF371C">
                        <w:rPr>
                          <w:sz w:val="14"/>
                          <w:szCs w:val="14"/>
                        </w:rPr>
                        <w:t>Membres de l</w:t>
                      </w:r>
                      <w:r w:rsidR="00DD37F3">
                        <w:rPr>
                          <w:sz w:val="14"/>
                          <w:szCs w:val="14"/>
                        </w:rPr>
                        <w:t>'</w:t>
                      </w:r>
                      <w:r w:rsidRPr="00FF371C">
                        <w:rPr>
                          <w:sz w:val="14"/>
                          <w:szCs w:val="14"/>
                        </w:rPr>
                        <w:t>UIT-R</w:t>
                      </w:r>
                    </w:p>
                    <w:p w14:paraId="317D8357" w14:textId="561B33F8" w:rsidR="0031628C" w:rsidRPr="00FF371C" w:rsidRDefault="0031628C" w:rsidP="0031628C">
                      <w:pPr>
                        <w:spacing w:before="480"/>
                        <w:rPr>
                          <w:sz w:val="14"/>
                          <w:szCs w:val="14"/>
                        </w:rPr>
                      </w:pPr>
                      <w:r w:rsidRPr="00FF371C">
                        <w:rPr>
                          <w:sz w:val="14"/>
                          <w:szCs w:val="14"/>
                        </w:rPr>
                        <w:t>Membres de l</w:t>
                      </w:r>
                      <w:r w:rsidR="00DD37F3">
                        <w:rPr>
                          <w:sz w:val="14"/>
                          <w:szCs w:val="14"/>
                        </w:rPr>
                        <w:t>'</w:t>
                      </w:r>
                      <w:r w:rsidRPr="00FF371C">
                        <w:rPr>
                          <w:sz w:val="14"/>
                          <w:szCs w:val="14"/>
                        </w:rPr>
                        <w:t>UIT-T</w:t>
                      </w:r>
                    </w:p>
                    <w:p w14:paraId="37247739" w14:textId="2748538E" w:rsidR="0031628C" w:rsidRPr="00FF371C" w:rsidRDefault="0031628C" w:rsidP="0031628C">
                      <w:pPr>
                        <w:spacing w:before="480"/>
                        <w:rPr>
                          <w:sz w:val="14"/>
                          <w:szCs w:val="14"/>
                          <w:lang w:val="en-GB"/>
                        </w:rPr>
                      </w:pPr>
                      <w:r w:rsidRPr="00FF371C">
                        <w:rPr>
                          <w:sz w:val="14"/>
                          <w:szCs w:val="14"/>
                          <w:lang w:val="en-GB"/>
                        </w:rPr>
                        <w:t>Membres de l</w:t>
                      </w:r>
                      <w:r w:rsidR="00DD37F3">
                        <w:rPr>
                          <w:sz w:val="14"/>
                          <w:szCs w:val="14"/>
                          <w:lang w:val="en-GB"/>
                        </w:rPr>
                        <w:t>'</w:t>
                      </w:r>
                      <w:r w:rsidRPr="00FF371C">
                        <w:rPr>
                          <w:sz w:val="14"/>
                          <w:szCs w:val="14"/>
                          <w:lang w:val="en-GB"/>
                        </w:rPr>
                        <w:t>UIT-D</w:t>
                      </w: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77696" behindDoc="0" locked="0" layoutInCell="1" allowOverlap="1" wp14:anchorId="674712C8" wp14:editId="2CA86198">
                <wp:simplePos x="0" y="0"/>
                <wp:positionH relativeFrom="margin">
                  <wp:posOffset>484531</wp:posOffset>
                </wp:positionH>
                <wp:positionV relativeFrom="paragraph">
                  <wp:posOffset>1872441</wp:posOffset>
                </wp:positionV>
                <wp:extent cx="1243330" cy="2094865"/>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1243330" cy="2094865"/>
                        </a:xfrm>
                        <a:prstGeom prst="rect">
                          <a:avLst/>
                        </a:prstGeom>
                        <a:solidFill>
                          <a:schemeClr val="lt1"/>
                        </a:solidFill>
                        <a:ln w="6350">
                          <a:noFill/>
                        </a:ln>
                      </wps:spPr>
                      <wps:txbx>
                        <w:txbxContent>
                          <w:p w14:paraId="1F191116" w14:textId="77777777" w:rsidR="0031628C" w:rsidRDefault="0031628C" w:rsidP="0031628C">
                            <w:pPr>
                              <w:spacing w:before="40"/>
                              <w:rPr>
                                <w:sz w:val="14"/>
                                <w:szCs w:val="14"/>
                              </w:rPr>
                            </w:pPr>
                            <w:r>
                              <w:rPr>
                                <w:sz w:val="14"/>
                                <w:szCs w:val="14"/>
                              </w:rPr>
                              <w:t>Entités membres</w:t>
                            </w:r>
                          </w:p>
                          <w:p w14:paraId="1FB1371C" w14:textId="77777777" w:rsidR="0031628C" w:rsidRDefault="0031628C" w:rsidP="0031628C">
                            <w:pPr>
                              <w:spacing w:before="480"/>
                              <w:rPr>
                                <w:sz w:val="14"/>
                                <w:szCs w:val="14"/>
                              </w:rPr>
                            </w:pPr>
                            <w:r>
                              <w:rPr>
                                <w:sz w:val="14"/>
                                <w:szCs w:val="14"/>
                              </w:rPr>
                              <w:t>Ensemble des membres</w:t>
                            </w:r>
                          </w:p>
                          <w:p w14:paraId="6C9BF6E6" w14:textId="77777777" w:rsidR="0031628C" w:rsidRDefault="0031628C" w:rsidP="0031628C">
                            <w:pPr>
                              <w:spacing w:before="480"/>
                              <w:rPr>
                                <w:sz w:val="13"/>
                                <w:szCs w:val="13"/>
                              </w:rPr>
                            </w:pPr>
                            <w:r>
                              <w:rPr>
                                <w:sz w:val="13"/>
                                <w:szCs w:val="13"/>
                              </w:rPr>
                              <w:t>Membres de Secteur</w:t>
                            </w:r>
                          </w:p>
                          <w:p w14:paraId="365BCB91" w14:textId="77777777" w:rsidR="0031628C" w:rsidRPr="00FF371C" w:rsidRDefault="0031628C" w:rsidP="0031628C">
                            <w:pPr>
                              <w:spacing w:before="480"/>
                              <w:rPr>
                                <w:sz w:val="14"/>
                                <w:szCs w:val="14"/>
                              </w:rPr>
                            </w:pPr>
                            <w:r w:rsidRPr="00FF371C">
                              <w:rPr>
                                <w:sz w:val="14"/>
                                <w:szCs w:val="14"/>
                              </w:rPr>
                              <w:t>Associés</w:t>
                            </w:r>
                          </w:p>
                          <w:p w14:paraId="7A9D56CF" w14:textId="77777777" w:rsidR="0031628C" w:rsidRDefault="0031628C" w:rsidP="0031628C">
                            <w:pPr>
                              <w:spacing w:before="480"/>
                              <w:rPr>
                                <w:sz w:val="14"/>
                                <w:szCs w:val="14"/>
                              </w:rPr>
                            </w:pPr>
                            <w:r w:rsidRPr="00FF371C">
                              <w:rPr>
                                <w:sz w:val="14"/>
                                <w:szCs w:val="14"/>
                              </w:rPr>
                              <w:t>Établissements</w:t>
                            </w:r>
                            <w:r>
                              <w:rPr>
                                <w:sz w:val="13"/>
                                <w:szCs w:val="13"/>
                              </w:rPr>
                              <w:t xml:space="preserve"> universitaires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12C8" id="Text Box 29" o:spid="_x0000_s1039" type="#_x0000_t202" style="position:absolute;left:0;text-align:left;margin-left:38.15pt;margin-top:147.45pt;width:97.9pt;height:164.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" fillcolor="white [3201]" stroked="f" strokeweight=".5pt">
                <v:textbox inset="0,0,0,0">
                  <w:txbxContent>
                    <w:p w14:paraId="1F191116" w14:textId="77777777" w:rsidR="0031628C" w:rsidRDefault="0031628C" w:rsidP="0031628C">
                      <w:pPr>
                        <w:spacing w:before="40"/>
                        <w:rPr>
                          <w:sz w:val="14"/>
                          <w:szCs w:val="14"/>
                        </w:rPr>
                      </w:pPr>
                      <w:r>
                        <w:rPr>
                          <w:sz w:val="14"/>
                          <w:szCs w:val="14"/>
                        </w:rPr>
                        <w:t>Entités membres</w:t>
                      </w:r>
                    </w:p>
                    <w:p w14:paraId="1FB1371C" w14:textId="77777777" w:rsidR="0031628C" w:rsidRDefault="0031628C" w:rsidP="0031628C">
                      <w:pPr>
                        <w:spacing w:before="480"/>
                        <w:rPr>
                          <w:sz w:val="14"/>
                          <w:szCs w:val="14"/>
                        </w:rPr>
                      </w:pPr>
                      <w:r>
                        <w:rPr>
                          <w:sz w:val="14"/>
                          <w:szCs w:val="14"/>
                        </w:rPr>
                        <w:t>Ensemble des membres</w:t>
                      </w:r>
                    </w:p>
                    <w:p w14:paraId="6C9BF6E6" w14:textId="77777777" w:rsidR="0031628C" w:rsidRDefault="0031628C" w:rsidP="0031628C">
                      <w:pPr>
                        <w:spacing w:before="480"/>
                        <w:rPr>
                          <w:sz w:val="13"/>
                          <w:szCs w:val="13"/>
                        </w:rPr>
                      </w:pPr>
                      <w:r>
                        <w:rPr>
                          <w:sz w:val="13"/>
                          <w:szCs w:val="13"/>
                        </w:rPr>
                        <w:t>Membres de Secteur</w:t>
                      </w:r>
                    </w:p>
                    <w:p w14:paraId="365BCB91" w14:textId="77777777" w:rsidR="0031628C" w:rsidRPr="00FF371C" w:rsidRDefault="0031628C" w:rsidP="0031628C">
                      <w:pPr>
                        <w:spacing w:before="480"/>
                        <w:rPr>
                          <w:sz w:val="14"/>
                          <w:szCs w:val="14"/>
                        </w:rPr>
                      </w:pPr>
                      <w:r w:rsidRPr="00FF371C">
                        <w:rPr>
                          <w:sz w:val="14"/>
                          <w:szCs w:val="14"/>
                        </w:rPr>
                        <w:t>Associés</w:t>
                      </w:r>
                    </w:p>
                    <w:p w14:paraId="7A9D56CF" w14:textId="77777777" w:rsidR="0031628C" w:rsidRDefault="0031628C" w:rsidP="0031628C">
                      <w:pPr>
                        <w:spacing w:before="480"/>
                        <w:rPr>
                          <w:sz w:val="14"/>
                          <w:szCs w:val="14"/>
                        </w:rPr>
                      </w:pPr>
                      <w:r w:rsidRPr="00FF371C">
                        <w:rPr>
                          <w:sz w:val="14"/>
                          <w:szCs w:val="14"/>
                        </w:rPr>
                        <w:t>Établissements</w:t>
                      </w:r>
                      <w:r>
                        <w:rPr>
                          <w:sz w:val="13"/>
                          <w:szCs w:val="13"/>
                        </w:rPr>
                        <w:t xml:space="preserve"> universitaires</w:t>
                      </w: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76672" behindDoc="0" locked="0" layoutInCell="1" allowOverlap="1" wp14:anchorId="52B4BD03" wp14:editId="7AC41027">
                <wp:simplePos x="0" y="0"/>
                <wp:positionH relativeFrom="margin">
                  <wp:posOffset>1058301</wp:posOffset>
                </wp:positionH>
                <wp:positionV relativeFrom="paragraph">
                  <wp:posOffset>1590805</wp:posOffset>
                </wp:positionV>
                <wp:extent cx="3986530" cy="23431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986530" cy="234315"/>
                        </a:xfrm>
                        <a:prstGeom prst="rect">
                          <a:avLst/>
                        </a:prstGeom>
                        <a:solidFill>
                          <a:schemeClr val="lt1"/>
                        </a:solidFill>
                        <a:ln w="6350">
                          <a:noFill/>
                        </a:ln>
                      </wps:spPr>
                      <wps:txbx>
                        <w:txbxContent>
                          <w:p w14:paraId="1999C6DB" w14:textId="77777777" w:rsidR="0031628C" w:rsidRDefault="0031628C" w:rsidP="0031628C">
                            <w:pPr>
                              <w:spacing w:before="0"/>
                              <w:jc w:val="center"/>
                              <w:rPr>
                                <w:sz w:val="13"/>
                                <w:szCs w:val="13"/>
                                <w:lang w:val="fr-CH"/>
                              </w:rPr>
                            </w:pPr>
                            <w:r>
                              <w:rPr>
                                <w:b/>
                                <w:bCs/>
                                <w:sz w:val="14"/>
                                <w:szCs w:val="14"/>
                              </w:rPr>
                              <w:t>Indicateurs fondamentaux de performance concernant les Membres (par rapport à 2021)</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BD03" id="Text Box 27" o:spid="_x0000_s1040" type="#_x0000_t202" style="position:absolute;left:0;text-align:left;margin-left:83.35pt;margin-top:125.25pt;width:313.9pt;height:18.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" fillcolor="white [3201]" stroked="f" strokeweight=".5pt">
                <v:textbox inset="0,0,0,0">
                  <w:txbxContent>
                    <w:p w14:paraId="1999C6DB" w14:textId="77777777" w:rsidR="0031628C" w:rsidRDefault="0031628C" w:rsidP="0031628C">
                      <w:pPr>
                        <w:spacing w:before="0"/>
                        <w:jc w:val="center"/>
                        <w:rPr>
                          <w:sz w:val="13"/>
                          <w:szCs w:val="13"/>
                          <w:lang w:val="fr-CH"/>
                        </w:rPr>
                      </w:pPr>
                      <w:r>
                        <w:rPr>
                          <w:b/>
                          <w:bCs/>
                          <w:sz w:val="14"/>
                          <w:szCs w:val="14"/>
                        </w:rPr>
                        <w:t>Indicateurs fondamentaux de performance concernant les Membres (par rapport à 2021)</w:t>
                      </w: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75648" behindDoc="0" locked="0" layoutInCell="1" allowOverlap="1" wp14:anchorId="4EAC8FDE" wp14:editId="4D182079">
                <wp:simplePos x="0" y="0"/>
                <wp:positionH relativeFrom="margin">
                  <wp:posOffset>482409</wp:posOffset>
                </wp:positionH>
                <wp:positionV relativeFrom="paragraph">
                  <wp:posOffset>1208692</wp:posOffset>
                </wp:positionV>
                <wp:extent cx="3100191" cy="200416"/>
                <wp:effectExtent l="0" t="0" r="5080" b="9525"/>
                <wp:wrapNone/>
                <wp:docPr id="26" name="Text Box 26"/>
                <wp:cNvGraphicFramePr/>
                <a:graphic xmlns:a="http://schemas.openxmlformats.org/drawingml/2006/main">
                  <a:graphicData uri="http://schemas.microsoft.com/office/word/2010/wordprocessingShape">
                    <wps:wsp>
                      <wps:cNvSpPr txBox="1"/>
                      <wps:spPr>
                        <a:xfrm>
                          <a:off x="0" y="0"/>
                          <a:ext cx="3100191" cy="200416"/>
                        </a:xfrm>
                        <a:prstGeom prst="rect">
                          <a:avLst/>
                        </a:prstGeom>
                        <a:solidFill>
                          <a:schemeClr val="lt1"/>
                        </a:solidFill>
                        <a:ln w="6350">
                          <a:noFill/>
                        </a:ln>
                      </wps:spPr>
                      <wps:txbx>
                        <w:txbxContent>
                          <w:p w14:paraId="1A117CFC" w14:textId="310094B4" w:rsidR="0031628C" w:rsidRPr="005E197D" w:rsidRDefault="0031628C" w:rsidP="0031628C">
                            <w:pPr>
                              <w:spacing w:before="0"/>
                              <w:rPr>
                                <w:sz w:val="10"/>
                                <w:szCs w:val="10"/>
                              </w:rPr>
                            </w:pPr>
                            <w:r w:rsidRPr="005E197D">
                              <w:rPr>
                                <w:sz w:val="10"/>
                                <w:szCs w:val="10"/>
                              </w:rPr>
                              <w:t>* Note: Les établissements universitaires participent automatiquement aux travaux des trois Secteurs de l</w:t>
                            </w:r>
                            <w:r w:rsidR="00DD37F3">
                              <w:rPr>
                                <w:sz w:val="10"/>
                                <w:szCs w:val="10"/>
                              </w:rPr>
                              <w:t>'</w:t>
                            </w:r>
                            <w:r w:rsidRPr="005E197D">
                              <w:rPr>
                                <w:sz w:val="10"/>
                                <w:szCs w:val="10"/>
                              </w:rPr>
                              <w:t>UIT.</w:t>
                            </w:r>
                          </w:p>
                          <w:p w14:paraId="2BF492AF" w14:textId="31B7A537" w:rsidR="0031628C" w:rsidRPr="005E197D" w:rsidRDefault="0031628C" w:rsidP="0031628C">
                            <w:pPr>
                              <w:spacing w:before="0"/>
                              <w:rPr>
                                <w:sz w:val="9"/>
                                <w:szCs w:val="9"/>
                              </w:rPr>
                            </w:pPr>
                            <w:r w:rsidRPr="005E197D">
                              <w:rPr>
                                <w:sz w:val="10"/>
                                <w:szCs w:val="10"/>
                              </w:rPr>
                              <w:t>** Les montants présentés sont théoriques et reposent sur l</w:t>
                            </w:r>
                            <w:r w:rsidR="00DD37F3">
                              <w:rPr>
                                <w:sz w:val="10"/>
                                <w:szCs w:val="10"/>
                              </w:rPr>
                              <w:t>'</w:t>
                            </w:r>
                            <w:r w:rsidRPr="005E197D">
                              <w:rPr>
                                <w:sz w:val="10"/>
                                <w:szCs w:val="10"/>
                              </w:rPr>
                              <w:t>hypothèse que tous les membres versent leurs contributions.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C8FDE" id="Text Box 26" o:spid="_x0000_s1041" type="#_x0000_t202" style="position:absolute;left:0;text-align:left;margin-left:38pt;margin-top:95.15pt;width:244.1pt;height:15.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" fillcolor="white [3201]" stroked="f" strokeweight=".5pt">
                <v:textbox inset="0,0,0,0">
                  <w:txbxContent>
                    <w:p w14:paraId="1A117CFC" w14:textId="310094B4" w:rsidR="0031628C" w:rsidRPr="005E197D" w:rsidRDefault="0031628C" w:rsidP="0031628C">
                      <w:pPr>
                        <w:spacing w:before="0"/>
                        <w:rPr>
                          <w:sz w:val="10"/>
                          <w:szCs w:val="10"/>
                        </w:rPr>
                      </w:pPr>
                      <w:r w:rsidRPr="005E197D">
                        <w:rPr>
                          <w:sz w:val="10"/>
                          <w:szCs w:val="10"/>
                        </w:rPr>
                        <w:t>* Note: Les établissements universitaires participent automatiquement aux travaux des trois Secteurs de l</w:t>
                      </w:r>
                      <w:r w:rsidR="00DD37F3">
                        <w:rPr>
                          <w:sz w:val="10"/>
                          <w:szCs w:val="10"/>
                        </w:rPr>
                        <w:t>'</w:t>
                      </w:r>
                      <w:r w:rsidRPr="005E197D">
                        <w:rPr>
                          <w:sz w:val="10"/>
                          <w:szCs w:val="10"/>
                        </w:rPr>
                        <w:t>UIT.</w:t>
                      </w:r>
                    </w:p>
                    <w:p w14:paraId="2BF492AF" w14:textId="31B7A537" w:rsidR="0031628C" w:rsidRPr="005E197D" w:rsidRDefault="0031628C" w:rsidP="0031628C">
                      <w:pPr>
                        <w:spacing w:before="0"/>
                        <w:rPr>
                          <w:sz w:val="9"/>
                          <w:szCs w:val="9"/>
                        </w:rPr>
                      </w:pPr>
                      <w:r w:rsidRPr="005E197D">
                        <w:rPr>
                          <w:sz w:val="10"/>
                          <w:szCs w:val="10"/>
                        </w:rPr>
                        <w:t>** Les montants présentés sont théoriques et reposent sur l</w:t>
                      </w:r>
                      <w:r w:rsidR="00DD37F3">
                        <w:rPr>
                          <w:sz w:val="10"/>
                          <w:szCs w:val="10"/>
                        </w:rPr>
                        <w:t>'</w:t>
                      </w:r>
                      <w:r w:rsidRPr="005E197D">
                        <w:rPr>
                          <w:sz w:val="10"/>
                          <w:szCs w:val="10"/>
                        </w:rPr>
                        <w:t>hypothèse que tous les membres versent leurs contributions.</w:t>
                      </w: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74624" behindDoc="0" locked="0" layoutInCell="1" allowOverlap="1" wp14:anchorId="31A2A038" wp14:editId="287F98B2">
                <wp:simplePos x="0" y="0"/>
                <wp:positionH relativeFrom="margin">
                  <wp:posOffset>-158560</wp:posOffset>
                </wp:positionH>
                <wp:positionV relativeFrom="paragraph">
                  <wp:posOffset>596240</wp:posOffset>
                </wp:positionV>
                <wp:extent cx="1353600" cy="6140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53600" cy="614045"/>
                        </a:xfrm>
                        <a:prstGeom prst="rect">
                          <a:avLst/>
                        </a:prstGeom>
                        <a:solidFill>
                          <a:schemeClr val="lt1"/>
                        </a:solidFill>
                        <a:ln w="6350">
                          <a:noFill/>
                        </a:ln>
                      </wps:spPr>
                      <wps:txbx>
                        <w:txbxContent>
                          <w:p w14:paraId="44814DBC" w14:textId="77777777" w:rsidR="0031628C" w:rsidRDefault="0031628C" w:rsidP="0031628C">
                            <w:pPr>
                              <w:tabs>
                                <w:tab w:val="clear" w:pos="1588"/>
                              </w:tabs>
                              <w:spacing w:before="0"/>
                              <w:jc w:val="right"/>
                              <w:rPr>
                                <w:sz w:val="13"/>
                                <w:szCs w:val="13"/>
                                <w:lang w:val="fr-CH"/>
                              </w:rPr>
                            </w:pPr>
                            <w:r>
                              <w:rPr>
                                <w:sz w:val="13"/>
                                <w:szCs w:val="13"/>
                                <w:lang w:val="fr-CH"/>
                              </w:rPr>
                              <w:t>Membres de Secteur</w:t>
                            </w:r>
                          </w:p>
                          <w:p w14:paraId="2F8FF519" w14:textId="77777777" w:rsidR="0031628C" w:rsidRDefault="0031628C" w:rsidP="0031628C">
                            <w:pPr>
                              <w:tabs>
                                <w:tab w:val="clear" w:pos="1588"/>
                              </w:tabs>
                              <w:spacing w:before="0" w:after="40"/>
                              <w:jc w:val="right"/>
                              <w:rPr>
                                <w:sz w:val="13"/>
                                <w:szCs w:val="13"/>
                                <w:lang w:val="fr-CH"/>
                              </w:rPr>
                            </w:pPr>
                            <w:r>
                              <w:rPr>
                                <w:sz w:val="13"/>
                                <w:szCs w:val="13"/>
                                <w:lang w:val="fr-CH"/>
                              </w:rPr>
                              <w:t>Associés</w:t>
                            </w:r>
                          </w:p>
                          <w:p w14:paraId="40BA84B7" w14:textId="77777777" w:rsidR="0031628C" w:rsidRDefault="0031628C" w:rsidP="0031628C">
                            <w:pPr>
                              <w:tabs>
                                <w:tab w:val="clear" w:pos="1588"/>
                              </w:tabs>
                              <w:spacing w:before="0" w:after="120"/>
                              <w:jc w:val="right"/>
                              <w:rPr>
                                <w:sz w:val="13"/>
                                <w:szCs w:val="13"/>
                                <w:lang w:val="fr-CH"/>
                              </w:rPr>
                            </w:pPr>
                            <w:r>
                              <w:rPr>
                                <w:sz w:val="13"/>
                                <w:szCs w:val="13"/>
                                <w:lang w:val="fr-CH"/>
                              </w:rPr>
                              <w:t>Établissements universitaires*</w:t>
                            </w:r>
                          </w:p>
                          <w:p w14:paraId="4E824901" w14:textId="77777777" w:rsidR="0031628C" w:rsidRDefault="0031628C" w:rsidP="0031628C">
                            <w:pPr>
                              <w:tabs>
                                <w:tab w:val="clear" w:pos="1588"/>
                              </w:tabs>
                              <w:spacing w:before="0"/>
                              <w:jc w:val="right"/>
                              <w:rPr>
                                <w:sz w:val="13"/>
                                <w:szCs w:val="13"/>
                                <w:lang w:val="fr-CH"/>
                              </w:rPr>
                            </w:pPr>
                            <w:r>
                              <w:rPr>
                                <w:sz w:val="13"/>
                                <w:szCs w:val="13"/>
                                <w:lang w:val="fr-CH"/>
                              </w:rPr>
                              <w:t>Montant de la contribution**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2A038" id="Text Box 11" o:spid="_x0000_s1042" type="#_x0000_t202" style="position:absolute;left:0;text-align:left;margin-left:-12.5pt;margin-top:46.95pt;width:106.6pt;height:48.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" fillcolor="white [3201]" stroked="f" strokeweight=".5pt">
                <v:textbox>
                  <w:txbxContent>
                    <w:p w14:paraId="44814DBC" w14:textId="77777777" w:rsidR="0031628C" w:rsidRDefault="0031628C" w:rsidP="0031628C">
                      <w:pPr>
                        <w:tabs>
                          <w:tab w:val="clear" w:pos="1588"/>
                        </w:tabs>
                        <w:spacing w:before="0"/>
                        <w:jc w:val="right"/>
                        <w:rPr>
                          <w:sz w:val="13"/>
                          <w:szCs w:val="13"/>
                          <w:lang w:val="fr-CH"/>
                        </w:rPr>
                      </w:pPr>
                      <w:r>
                        <w:rPr>
                          <w:sz w:val="13"/>
                          <w:szCs w:val="13"/>
                          <w:lang w:val="fr-CH"/>
                        </w:rPr>
                        <w:t>Membres de Secteur</w:t>
                      </w:r>
                    </w:p>
                    <w:p w14:paraId="2F8FF519" w14:textId="77777777" w:rsidR="0031628C" w:rsidRDefault="0031628C" w:rsidP="0031628C">
                      <w:pPr>
                        <w:tabs>
                          <w:tab w:val="clear" w:pos="1588"/>
                        </w:tabs>
                        <w:spacing w:before="0" w:after="40"/>
                        <w:jc w:val="right"/>
                        <w:rPr>
                          <w:sz w:val="13"/>
                          <w:szCs w:val="13"/>
                          <w:lang w:val="fr-CH"/>
                        </w:rPr>
                      </w:pPr>
                      <w:r>
                        <w:rPr>
                          <w:sz w:val="13"/>
                          <w:szCs w:val="13"/>
                          <w:lang w:val="fr-CH"/>
                        </w:rPr>
                        <w:t>Associés</w:t>
                      </w:r>
                    </w:p>
                    <w:p w14:paraId="40BA84B7" w14:textId="77777777" w:rsidR="0031628C" w:rsidRDefault="0031628C" w:rsidP="0031628C">
                      <w:pPr>
                        <w:tabs>
                          <w:tab w:val="clear" w:pos="1588"/>
                        </w:tabs>
                        <w:spacing w:before="0" w:after="120"/>
                        <w:jc w:val="right"/>
                        <w:rPr>
                          <w:sz w:val="13"/>
                          <w:szCs w:val="13"/>
                          <w:lang w:val="fr-CH"/>
                        </w:rPr>
                      </w:pPr>
                      <w:r>
                        <w:rPr>
                          <w:sz w:val="13"/>
                          <w:szCs w:val="13"/>
                          <w:lang w:val="fr-CH"/>
                        </w:rPr>
                        <w:t>Établissements universitaires*</w:t>
                      </w:r>
                    </w:p>
                    <w:p w14:paraId="4E824901" w14:textId="77777777" w:rsidR="0031628C" w:rsidRDefault="0031628C" w:rsidP="0031628C">
                      <w:pPr>
                        <w:tabs>
                          <w:tab w:val="clear" w:pos="1588"/>
                        </w:tabs>
                        <w:spacing w:before="0"/>
                        <w:jc w:val="right"/>
                        <w:rPr>
                          <w:sz w:val="13"/>
                          <w:szCs w:val="13"/>
                          <w:lang w:val="fr-CH"/>
                        </w:rPr>
                      </w:pPr>
                      <w:r>
                        <w:rPr>
                          <w:sz w:val="13"/>
                          <w:szCs w:val="13"/>
                          <w:lang w:val="fr-CH"/>
                        </w:rPr>
                        <w:t>Montant de la contribution**</w:t>
                      </w: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70528" behindDoc="0" locked="0" layoutInCell="1" allowOverlap="1" wp14:anchorId="5AB8AD29" wp14:editId="39EA60C5">
                <wp:simplePos x="0" y="0"/>
                <wp:positionH relativeFrom="margin">
                  <wp:posOffset>3657185</wp:posOffset>
                </wp:positionH>
                <wp:positionV relativeFrom="paragraph">
                  <wp:posOffset>502705</wp:posOffset>
                </wp:positionV>
                <wp:extent cx="1288800" cy="177380"/>
                <wp:effectExtent l="0" t="0" r="6985" b="0"/>
                <wp:wrapNone/>
                <wp:docPr id="24" name="Text Box 24"/>
                <wp:cNvGraphicFramePr/>
                <a:graphic xmlns:a="http://schemas.openxmlformats.org/drawingml/2006/main">
                  <a:graphicData uri="http://schemas.microsoft.com/office/word/2010/wordprocessingShape">
                    <wps:wsp>
                      <wps:cNvSpPr txBox="1"/>
                      <wps:spPr>
                        <a:xfrm>
                          <a:off x="0" y="0"/>
                          <a:ext cx="1288800" cy="177380"/>
                        </a:xfrm>
                        <a:prstGeom prst="rect">
                          <a:avLst/>
                        </a:prstGeom>
                        <a:solidFill>
                          <a:schemeClr val="lt1"/>
                        </a:solidFill>
                        <a:ln w="6350">
                          <a:noFill/>
                        </a:ln>
                      </wps:spPr>
                      <wps:txbx>
                        <w:txbxContent>
                          <w:p w14:paraId="532EE0C7" w14:textId="77777777" w:rsidR="0031628C" w:rsidRDefault="0031628C" w:rsidP="0031628C">
                            <w:pPr>
                              <w:spacing w:before="0"/>
                              <w:jc w:val="center"/>
                              <w:rPr>
                                <w:sz w:val="13"/>
                                <w:szCs w:val="13"/>
                                <w:lang w:val="fr-CH"/>
                              </w:rPr>
                            </w:pPr>
                            <w:r>
                              <w:rPr>
                                <w:b/>
                                <w:bCs/>
                                <w:color w:val="548DD4" w:themeColor="text2" w:themeTint="99"/>
                                <w:sz w:val="13"/>
                                <w:szCs w:val="13"/>
                                <w:lang w:val="fr-CH"/>
                              </w:rPr>
                              <w:t>Établissements universitaires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8AD29" id="Text Box 24" o:spid="_x0000_s1043" type="#_x0000_t202" style="position:absolute;left:0;text-align:left;margin-left:287.95pt;margin-top:39.6pt;width:101.5pt;height:13.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" fillcolor="white [3201]" stroked="f" strokeweight=".5pt">
                <v:textbox>
                  <w:txbxContent>
                    <w:p w14:paraId="532EE0C7" w14:textId="77777777" w:rsidR="0031628C" w:rsidRDefault="0031628C" w:rsidP="0031628C">
                      <w:pPr>
                        <w:spacing w:before="0"/>
                        <w:jc w:val="center"/>
                        <w:rPr>
                          <w:sz w:val="13"/>
                          <w:szCs w:val="13"/>
                          <w:lang w:val="fr-CH"/>
                        </w:rPr>
                      </w:pPr>
                      <w:r>
                        <w:rPr>
                          <w:b/>
                          <w:bCs/>
                          <w:color w:val="548DD4" w:themeColor="text2" w:themeTint="99"/>
                          <w:sz w:val="13"/>
                          <w:szCs w:val="13"/>
                          <w:lang w:val="fr-CH"/>
                        </w:rPr>
                        <w:t>Établissements universitaires</w:t>
                      </w: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68480" behindDoc="0" locked="0" layoutInCell="1" allowOverlap="1" wp14:anchorId="29D6C460" wp14:editId="2F386A59">
                <wp:simplePos x="0" y="0"/>
                <wp:positionH relativeFrom="margin">
                  <wp:posOffset>4060350</wp:posOffset>
                </wp:positionH>
                <wp:positionV relativeFrom="paragraph">
                  <wp:posOffset>109515</wp:posOffset>
                </wp:positionV>
                <wp:extent cx="1762125" cy="4476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762125" cy="447675"/>
                        </a:xfrm>
                        <a:prstGeom prst="rect">
                          <a:avLst/>
                        </a:prstGeom>
                        <a:solidFill>
                          <a:schemeClr val="lt1"/>
                        </a:solidFill>
                        <a:ln w="6350">
                          <a:noFill/>
                        </a:ln>
                      </wps:spPr>
                      <wps:txbx>
                        <w:txbxContent>
                          <w:p w14:paraId="431B6D85" w14:textId="77777777" w:rsidR="0031628C" w:rsidRDefault="0031628C" w:rsidP="0031628C">
                            <w:pPr>
                              <w:spacing w:before="0"/>
                              <w:rPr>
                                <w:sz w:val="14"/>
                                <w:szCs w:val="14"/>
                              </w:rPr>
                            </w:pPr>
                            <w:r>
                              <w:rPr>
                                <w:color w:val="4F81BD" w:themeColor="accent1"/>
                                <w:sz w:val="14"/>
                                <w:szCs w:val="14"/>
                              </w:rPr>
                              <w:t xml:space="preserve">107 </w:t>
                            </w:r>
                            <w:r>
                              <w:rPr>
                                <w:sz w:val="14"/>
                                <w:szCs w:val="14"/>
                              </w:rPr>
                              <w:t>Membres des trois Secteurs</w:t>
                            </w:r>
                          </w:p>
                          <w:p w14:paraId="0E454DE7" w14:textId="77777777" w:rsidR="0031628C" w:rsidRDefault="0031628C" w:rsidP="0031628C">
                            <w:pPr>
                              <w:spacing w:before="0"/>
                              <w:rPr>
                                <w:sz w:val="13"/>
                                <w:szCs w:val="13"/>
                                <w:lang w:val="fr-CH"/>
                              </w:rPr>
                            </w:pPr>
                            <w:r w:rsidRPr="005E197D">
                              <w:rPr>
                                <w:color w:val="4F81BD" w:themeColor="accent1"/>
                                <w:sz w:val="14"/>
                                <w:szCs w:val="14"/>
                              </w:rPr>
                              <w:t>73</w:t>
                            </w:r>
                            <w:r>
                              <w:rPr>
                                <w:sz w:val="14"/>
                                <w:szCs w:val="14"/>
                              </w:rPr>
                              <w:t xml:space="preserve"> </w:t>
                            </w:r>
                            <w:r w:rsidRPr="00942C39">
                              <w:rPr>
                                <w:sz w:val="14"/>
                                <w:szCs w:val="14"/>
                              </w:rPr>
                              <w:t>Associés bénéficiant des contributions réduites accordées aux PME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6C460" id="Text Box 6" o:spid="_x0000_s1044" type="#_x0000_t202" style="position:absolute;left:0;text-align:left;margin-left:319.7pt;margin-top:8.6pt;width:138.75pt;height:3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" fillcolor="white [3201]" stroked="f" strokeweight=".5pt">
                <v:textbox inset="0,0,0,0">
                  <w:txbxContent>
                    <w:p w14:paraId="431B6D85" w14:textId="77777777" w:rsidR="0031628C" w:rsidRDefault="0031628C" w:rsidP="0031628C">
                      <w:pPr>
                        <w:spacing w:before="0"/>
                        <w:rPr>
                          <w:sz w:val="14"/>
                          <w:szCs w:val="14"/>
                        </w:rPr>
                      </w:pPr>
                      <w:r>
                        <w:rPr>
                          <w:color w:val="4F81BD" w:themeColor="accent1"/>
                          <w:sz w:val="14"/>
                          <w:szCs w:val="14"/>
                        </w:rPr>
                        <w:t xml:space="preserve">107 </w:t>
                      </w:r>
                      <w:r>
                        <w:rPr>
                          <w:sz w:val="14"/>
                          <w:szCs w:val="14"/>
                        </w:rPr>
                        <w:t>Membres des trois Secteurs</w:t>
                      </w:r>
                    </w:p>
                    <w:p w14:paraId="0E454DE7" w14:textId="77777777" w:rsidR="0031628C" w:rsidRDefault="0031628C" w:rsidP="0031628C">
                      <w:pPr>
                        <w:spacing w:before="0"/>
                        <w:rPr>
                          <w:sz w:val="13"/>
                          <w:szCs w:val="13"/>
                          <w:lang w:val="fr-CH"/>
                        </w:rPr>
                      </w:pPr>
                      <w:r w:rsidRPr="005E197D">
                        <w:rPr>
                          <w:color w:val="4F81BD" w:themeColor="accent1"/>
                          <w:sz w:val="14"/>
                          <w:szCs w:val="14"/>
                        </w:rPr>
                        <w:t>73</w:t>
                      </w:r>
                      <w:r>
                        <w:rPr>
                          <w:sz w:val="14"/>
                          <w:szCs w:val="14"/>
                        </w:rPr>
                        <w:t xml:space="preserve"> </w:t>
                      </w:r>
                      <w:r w:rsidRPr="00942C39">
                        <w:rPr>
                          <w:sz w:val="14"/>
                          <w:szCs w:val="14"/>
                        </w:rPr>
                        <w:t>Associés bénéficiant des contributions réduites accordées aux PME</w:t>
                      </w: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67456" behindDoc="0" locked="0" layoutInCell="1" allowOverlap="1" wp14:anchorId="22549926" wp14:editId="2283FEDA">
                <wp:simplePos x="0" y="0"/>
                <wp:positionH relativeFrom="margin">
                  <wp:posOffset>1109520</wp:posOffset>
                </wp:positionH>
                <wp:positionV relativeFrom="paragraph">
                  <wp:posOffset>171935</wp:posOffset>
                </wp:positionV>
                <wp:extent cx="833755" cy="234315"/>
                <wp:effectExtent l="0" t="0" r="4445" b="0"/>
                <wp:wrapNone/>
                <wp:docPr id="7" name="Text Box 7"/>
                <wp:cNvGraphicFramePr/>
                <a:graphic xmlns:a="http://schemas.openxmlformats.org/drawingml/2006/main">
                  <a:graphicData uri="http://schemas.microsoft.com/office/word/2010/wordprocessingShape">
                    <wps:wsp>
                      <wps:cNvSpPr txBox="1"/>
                      <wps:spPr>
                        <a:xfrm>
                          <a:off x="0" y="0"/>
                          <a:ext cx="833755" cy="234315"/>
                        </a:xfrm>
                        <a:prstGeom prst="rect">
                          <a:avLst/>
                        </a:prstGeom>
                        <a:solidFill>
                          <a:schemeClr val="lt1"/>
                        </a:solidFill>
                        <a:ln w="6350">
                          <a:noFill/>
                        </a:ln>
                      </wps:spPr>
                      <wps:txbx>
                        <w:txbxContent>
                          <w:p w14:paraId="53300F61" w14:textId="23EF409D" w:rsidR="0031628C" w:rsidRDefault="0031628C" w:rsidP="0031628C">
                            <w:pPr>
                              <w:spacing w:before="0"/>
                              <w:rPr>
                                <w:sz w:val="13"/>
                                <w:szCs w:val="13"/>
                                <w:lang w:val="fr-CH"/>
                              </w:rPr>
                            </w:pPr>
                            <w:r>
                              <w:rPr>
                                <w:b/>
                                <w:bCs/>
                                <w:color w:val="4F81BD" w:themeColor="accent1"/>
                                <w:sz w:val="14"/>
                                <w:szCs w:val="14"/>
                              </w:rPr>
                              <w:t>964</w:t>
                            </w:r>
                            <w:r>
                              <w:rPr>
                                <w:sz w:val="14"/>
                                <w:szCs w:val="14"/>
                              </w:rPr>
                              <w:t xml:space="preserve"> Entités membres</w:t>
                            </w:r>
                            <w:r>
                              <w:rPr>
                                <w:sz w:val="14"/>
                                <w:szCs w:val="14"/>
                              </w:rPr>
                              <w:br/>
                            </w:r>
                            <w:r>
                              <w:rPr>
                                <w:b/>
                                <w:bCs/>
                                <w:color w:val="4F81BD" w:themeColor="accent1"/>
                                <w:sz w:val="14"/>
                                <w:szCs w:val="14"/>
                              </w:rPr>
                              <w:t>1 295</w:t>
                            </w:r>
                            <w:r>
                              <w:rPr>
                                <w:sz w:val="13"/>
                                <w:szCs w:val="13"/>
                              </w:rPr>
                              <w:t xml:space="preserve"> Membres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49926" id="Text Box 7" o:spid="_x0000_s1045" type="#_x0000_t202" style="position:absolute;left:0;text-align:left;margin-left:87.35pt;margin-top:13.55pt;width:65.65pt;height:18.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" fillcolor="white [3201]" stroked="f" strokeweight=".5pt">
                <v:textbox inset="0,0,0,0">
                  <w:txbxContent>
                    <w:p w14:paraId="53300F61" w14:textId="23EF409D" w:rsidR="0031628C" w:rsidRDefault="0031628C" w:rsidP="0031628C">
                      <w:pPr>
                        <w:spacing w:before="0"/>
                        <w:rPr>
                          <w:sz w:val="13"/>
                          <w:szCs w:val="13"/>
                          <w:lang w:val="fr-CH"/>
                        </w:rPr>
                      </w:pPr>
                      <w:r>
                        <w:rPr>
                          <w:b/>
                          <w:bCs/>
                          <w:color w:val="4F81BD" w:themeColor="accent1"/>
                          <w:sz w:val="14"/>
                          <w:szCs w:val="14"/>
                        </w:rPr>
                        <w:t>964</w:t>
                      </w:r>
                      <w:r>
                        <w:rPr>
                          <w:sz w:val="14"/>
                          <w:szCs w:val="14"/>
                        </w:rPr>
                        <w:t xml:space="preserve"> Entités membres</w:t>
                      </w:r>
                      <w:r>
                        <w:rPr>
                          <w:sz w:val="14"/>
                          <w:szCs w:val="14"/>
                        </w:rPr>
                        <w:br/>
                      </w:r>
                      <w:r>
                        <w:rPr>
                          <w:b/>
                          <w:bCs/>
                          <w:color w:val="4F81BD" w:themeColor="accent1"/>
                          <w:sz w:val="14"/>
                          <w:szCs w:val="14"/>
                        </w:rPr>
                        <w:t>1 295</w:t>
                      </w:r>
                      <w:r>
                        <w:rPr>
                          <w:sz w:val="13"/>
                          <w:szCs w:val="13"/>
                        </w:rPr>
                        <w:t xml:space="preserve"> Membres</w:t>
                      </w:r>
                    </w:p>
                  </w:txbxContent>
                </v:textbox>
                <w10:wrap anchorx="margin"/>
              </v:shape>
            </w:pict>
          </mc:Fallback>
        </mc:AlternateContent>
      </w:r>
      <w:r w:rsidR="0031628C" w:rsidRPr="00B91EE1">
        <w:rPr>
          <w:noProof/>
          <w:lang w:eastAsia="fr-CH"/>
        </w:rPr>
        <w:drawing>
          <wp:inline distT="0" distB="0" distL="0" distR="0" wp14:anchorId="3CD4C5F1" wp14:editId="49BA72BC">
            <wp:extent cx="5314390" cy="3764359"/>
            <wp:effectExtent l="0" t="0" r="0" b="0"/>
            <wp:docPr id="1668433361" name="Picture 166843336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33361" name="Picture 1668433361" descr="Table&#10;&#10;Description automatically generated with medium confidence"/>
                    <pic:cNvPicPr/>
                  </pic:nvPicPr>
                  <pic:blipFill>
                    <a:blip r:embed="rId37">
                      <a:extLst>
                        <a:ext uri="{28A0092B-C50C-407E-A947-70E740481C1C}">
                          <a14:useLocalDpi xmlns:a14="http://schemas.microsoft.com/office/drawing/2010/main" val="0"/>
                        </a:ext>
                      </a:extLst>
                    </a:blip>
                    <a:stretch>
                      <a:fillRect/>
                    </a:stretch>
                  </pic:blipFill>
                  <pic:spPr>
                    <a:xfrm>
                      <a:off x="0" y="0"/>
                      <a:ext cx="5314390" cy="3764359"/>
                    </a:xfrm>
                    <a:prstGeom prst="rect">
                      <a:avLst/>
                    </a:prstGeom>
                  </pic:spPr>
                </pic:pic>
              </a:graphicData>
            </a:graphic>
          </wp:inline>
        </w:drawing>
      </w:r>
    </w:p>
    <w:p w14:paraId="52072BB4" w14:textId="0187E851" w:rsidR="0031628C" w:rsidRPr="00B91EE1" w:rsidRDefault="00153B40" w:rsidP="00153B40">
      <w:pPr>
        <w:pStyle w:val="TableNoBR"/>
        <w:keepLines/>
      </w:pPr>
      <w:r w:rsidRPr="00B91EE1">
        <w:rPr>
          <w:noProof/>
          <w:lang w:eastAsia="fr-CH"/>
        </w:rPr>
        <w:lastRenderedPageBreak/>
        <mc:AlternateContent>
          <mc:Choice Requires="wps">
            <w:drawing>
              <wp:anchor distT="0" distB="0" distL="114300" distR="114300" simplePos="0" relativeHeight="251679744" behindDoc="0" locked="0" layoutInCell="1" allowOverlap="1" wp14:anchorId="10D07B61" wp14:editId="209020BF">
                <wp:simplePos x="0" y="0"/>
                <wp:positionH relativeFrom="margin">
                  <wp:posOffset>-34366</wp:posOffset>
                </wp:positionH>
                <wp:positionV relativeFrom="paragraph">
                  <wp:posOffset>235001</wp:posOffset>
                </wp:positionV>
                <wp:extent cx="2094932" cy="136477"/>
                <wp:effectExtent l="0" t="0" r="635" b="0"/>
                <wp:wrapNone/>
                <wp:docPr id="9" name="Text Box 9"/>
                <wp:cNvGraphicFramePr/>
                <a:graphic xmlns:a="http://schemas.openxmlformats.org/drawingml/2006/main">
                  <a:graphicData uri="http://schemas.microsoft.com/office/word/2010/wordprocessingShape">
                    <wps:wsp>
                      <wps:cNvSpPr txBox="1"/>
                      <wps:spPr>
                        <a:xfrm>
                          <a:off x="0" y="0"/>
                          <a:ext cx="2094932" cy="136477"/>
                        </a:xfrm>
                        <a:prstGeom prst="rect">
                          <a:avLst/>
                        </a:prstGeom>
                        <a:solidFill>
                          <a:schemeClr val="lt1"/>
                        </a:solidFill>
                        <a:ln w="6350">
                          <a:noFill/>
                        </a:ln>
                      </wps:spPr>
                      <wps:txbx>
                        <w:txbxContent>
                          <w:p w14:paraId="02978287" w14:textId="77777777" w:rsidR="0031628C" w:rsidRDefault="0031628C" w:rsidP="0031628C">
                            <w:pPr>
                              <w:spacing w:before="0"/>
                              <w:jc w:val="center"/>
                              <w:rPr>
                                <w:sz w:val="13"/>
                                <w:szCs w:val="13"/>
                                <w:lang w:val="fr-CH"/>
                              </w:rPr>
                            </w:pPr>
                            <w:r w:rsidRPr="00DF12FB">
                              <w:rPr>
                                <w:b/>
                                <w:bCs/>
                                <w:sz w:val="14"/>
                                <w:szCs w:val="14"/>
                              </w:rPr>
                              <w:t>Nombre net de membres par Secteur et par catégorie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07B61" id="Text Box 9" o:spid="_x0000_s1046" type="#_x0000_t202" style="position:absolute;left:0;text-align:left;margin-left:-2.7pt;margin-top:18.5pt;width:164.95pt;height:10.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" fillcolor="white [3201]" stroked="f" strokeweight=".5pt">
                <v:textbox inset="0,0,0,0">
                  <w:txbxContent>
                    <w:p w14:paraId="02978287" w14:textId="77777777" w:rsidR="0031628C" w:rsidRDefault="0031628C" w:rsidP="0031628C">
                      <w:pPr>
                        <w:spacing w:before="0"/>
                        <w:jc w:val="center"/>
                        <w:rPr>
                          <w:sz w:val="13"/>
                          <w:szCs w:val="13"/>
                          <w:lang w:val="fr-CH"/>
                        </w:rPr>
                      </w:pPr>
                      <w:r w:rsidRPr="00DF12FB">
                        <w:rPr>
                          <w:b/>
                          <w:bCs/>
                          <w:sz w:val="14"/>
                          <w:szCs w:val="14"/>
                        </w:rPr>
                        <w:t>Nombre net de membres par Secteur et par catégorie</w:t>
                      </w:r>
                    </w:p>
                  </w:txbxContent>
                </v:textbox>
                <w10:wrap anchorx="margin"/>
              </v:shape>
            </w:pict>
          </mc:Fallback>
        </mc:AlternateContent>
      </w:r>
      <w:r w:rsidR="0031628C" w:rsidRPr="00B91EE1">
        <w:t>TABLEAU 8.5.1-3</w:t>
      </w:r>
    </w:p>
    <w:p w14:paraId="78247453" w14:textId="723F4D5D" w:rsidR="0031628C" w:rsidRPr="00B91EE1" w:rsidRDefault="00436E97" w:rsidP="00153B40">
      <w:pPr>
        <w:pStyle w:val="TabletitleBR"/>
        <w:spacing w:after="480"/>
      </w:pPr>
      <w:r w:rsidRPr="00B91EE1">
        <w:rPr>
          <w:noProof/>
          <w:lang w:eastAsia="fr-CH"/>
        </w:rPr>
        <mc:AlternateContent>
          <mc:Choice Requires="wps">
            <w:drawing>
              <wp:anchor distT="0" distB="0" distL="114300" distR="114300" simplePos="0" relativeHeight="251688960" behindDoc="0" locked="0" layoutInCell="1" allowOverlap="1" wp14:anchorId="62A57AF4" wp14:editId="789AE319">
                <wp:simplePos x="0" y="0"/>
                <wp:positionH relativeFrom="margin">
                  <wp:posOffset>3049653</wp:posOffset>
                </wp:positionH>
                <wp:positionV relativeFrom="paragraph">
                  <wp:posOffset>1352023</wp:posOffset>
                </wp:positionV>
                <wp:extent cx="2868295" cy="422694"/>
                <wp:effectExtent l="0" t="0" r="8255" b="0"/>
                <wp:wrapNone/>
                <wp:docPr id="35" name="Text Box 35"/>
                <wp:cNvGraphicFramePr/>
                <a:graphic xmlns:a="http://schemas.openxmlformats.org/drawingml/2006/main">
                  <a:graphicData uri="http://schemas.microsoft.com/office/word/2010/wordprocessingShape">
                    <wps:wsp>
                      <wps:cNvSpPr txBox="1"/>
                      <wps:spPr>
                        <a:xfrm>
                          <a:off x="0" y="0"/>
                          <a:ext cx="2868295" cy="422694"/>
                        </a:xfrm>
                        <a:prstGeom prst="rect">
                          <a:avLst/>
                        </a:prstGeom>
                        <a:solidFill>
                          <a:schemeClr val="lt1"/>
                        </a:solidFill>
                        <a:ln w="6350">
                          <a:noFill/>
                        </a:ln>
                      </wps:spPr>
                      <wps:txbx>
                        <w:txbxContent>
                          <w:p w14:paraId="3982DD33" w14:textId="4955D396" w:rsidR="0031628C" w:rsidRPr="00436E97" w:rsidRDefault="0031628C" w:rsidP="0031628C">
                            <w:pPr>
                              <w:tabs>
                                <w:tab w:val="left" w:pos="142"/>
                              </w:tabs>
                              <w:spacing w:before="80"/>
                              <w:ind w:left="142" w:hanging="142"/>
                              <w:rPr>
                                <w:bCs/>
                                <w:sz w:val="12"/>
                                <w:szCs w:val="12"/>
                              </w:rPr>
                            </w:pPr>
                            <w:r w:rsidRPr="00436E97">
                              <w:rPr>
                                <w:b/>
                                <w:bCs/>
                                <w:sz w:val="12"/>
                                <w:szCs w:val="12"/>
                              </w:rPr>
                              <w:t>–</w:t>
                            </w:r>
                            <w:r w:rsidRPr="00436E97">
                              <w:rPr>
                                <w:bCs/>
                                <w:sz w:val="12"/>
                                <w:szCs w:val="12"/>
                              </w:rPr>
                              <w:tab/>
                              <w:t>Rouge: mouvement net négatif dans l</w:t>
                            </w:r>
                            <w:r w:rsidR="00DD37F3" w:rsidRPr="00436E97">
                              <w:rPr>
                                <w:bCs/>
                                <w:sz w:val="12"/>
                                <w:szCs w:val="12"/>
                              </w:rPr>
                              <w:t>'</w:t>
                            </w:r>
                            <w:r w:rsidRPr="00436E97">
                              <w:rPr>
                                <w:bCs/>
                                <w:sz w:val="12"/>
                                <w:szCs w:val="12"/>
                              </w:rPr>
                              <w:t>année (où nouveaux Membres &lt; Membres ayant dénoncé leur participation + Membres exclus)</w:t>
                            </w:r>
                          </w:p>
                          <w:p w14:paraId="6C6CCF39" w14:textId="77777777" w:rsidR="0031628C" w:rsidRPr="002071CF" w:rsidRDefault="0031628C" w:rsidP="0031628C">
                            <w:pPr>
                              <w:tabs>
                                <w:tab w:val="left" w:pos="142"/>
                              </w:tabs>
                              <w:spacing w:before="0"/>
                              <w:ind w:left="142" w:hanging="142"/>
                              <w:rPr>
                                <w:sz w:val="2"/>
                                <w:szCs w:val="2"/>
                                <w:lang w:val="fr-CH"/>
                              </w:rPr>
                            </w:pPr>
                            <w:r w:rsidRPr="00436E97">
                              <w:rPr>
                                <w:bCs/>
                                <w:sz w:val="12"/>
                                <w:szCs w:val="12"/>
                              </w:rPr>
                              <w:t>–</w:t>
                            </w:r>
                            <w:r w:rsidRPr="00436E97">
                              <w:rPr>
                                <w:bCs/>
                                <w:sz w:val="12"/>
                                <w:szCs w:val="12"/>
                              </w:rPr>
                              <w:tab/>
                              <w:t>Plus les cellules sont foncées, plus les montants indiqués sont importants.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57AF4" id="Text Box 35" o:spid="_x0000_s1047" type="#_x0000_t202" style="position:absolute;left:0;text-align:left;margin-left:240.15pt;margin-top:106.45pt;width:225.85pt;height:33.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" fillcolor="white [3201]" stroked="f" strokeweight=".5pt">
                <v:textbox inset="0,0,0,0">
                  <w:txbxContent>
                    <w:p w14:paraId="3982DD33" w14:textId="4955D396" w:rsidR="0031628C" w:rsidRPr="00436E97" w:rsidRDefault="0031628C" w:rsidP="0031628C">
                      <w:pPr>
                        <w:tabs>
                          <w:tab w:val="left" w:pos="142"/>
                        </w:tabs>
                        <w:spacing w:before="80"/>
                        <w:ind w:left="142" w:hanging="142"/>
                        <w:rPr>
                          <w:bCs/>
                          <w:sz w:val="12"/>
                          <w:szCs w:val="12"/>
                        </w:rPr>
                      </w:pPr>
                      <w:r w:rsidRPr="00436E97">
                        <w:rPr>
                          <w:b/>
                          <w:bCs/>
                          <w:sz w:val="12"/>
                          <w:szCs w:val="12"/>
                        </w:rPr>
                        <w:t>–</w:t>
                      </w:r>
                      <w:r w:rsidRPr="00436E97">
                        <w:rPr>
                          <w:bCs/>
                          <w:sz w:val="12"/>
                          <w:szCs w:val="12"/>
                        </w:rPr>
                        <w:tab/>
                        <w:t>Rouge: mouvement net négatif dans l</w:t>
                      </w:r>
                      <w:r w:rsidR="00DD37F3" w:rsidRPr="00436E97">
                        <w:rPr>
                          <w:bCs/>
                          <w:sz w:val="12"/>
                          <w:szCs w:val="12"/>
                        </w:rPr>
                        <w:t>'</w:t>
                      </w:r>
                      <w:r w:rsidRPr="00436E97">
                        <w:rPr>
                          <w:bCs/>
                          <w:sz w:val="12"/>
                          <w:szCs w:val="12"/>
                        </w:rPr>
                        <w:t>année (où nouveaux Membres &lt; Membres ayant dénoncé leur participation + Membres exclus)</w:t>
                      </w:r>
                    </w:p>
                    <w:p w14:paraId="6C6CCF39" w14:textId="77777777" w:rsidR="0031628C" w:rsidRPr="002071CF" w:rsidRDefault="0031628C" w:rsidP="0031628C">
                      <w:pPr>
                        <w:tabs>
                          <w:tab w:val="left" w:pos="142"/>
                        </w:tabs>
                        <w:spacing w:before="0"/>
                        <w:ind w:left="142" w:hanging="142"/>
                        <w:rPr>
                          <w:sz w:val="2"/>
                          <w:szCs w:val="2"/>
                          <w:lang w:val="fr-CH"/>
                        </w:rPr>
                      </w:pPr>
                      <w:r w:rsidRPr="00436E97">
                        <w:rPr>
                          <w:bCs/>
                          <w:sz w:val="12"/>
                          <w:szCs w:val="12"/>
                        </w:rPr>
                        <w:t>–</w:t>
                      </w:r>
                      <w:r w:rsidRPr="00436E97">
                        <w:rPr>
                          <w:bCs/>
                          <w:sz w:val="12"/>
                          <w:szCs w:val="12"/>
                        </w:rPr>
                        <w:tab/>
                        <w:t>Plus les cellules sont foncées, plus les montants indiqués sont importants.</w:t>
                      </w:r>
                    </w:p>
                  </w:txbxContent>
                </v:textbox>
                <w10:wrap anchorx="margin"/>
              </v:shape>
            </w:pict>
          </mc:Fallback>
        </mc:AlternateContent>
      </w:r>
      <w:r w:rsidRPr="00B91EE1">
        <w:rPr>
          <w:noProof/>
          <w:lang w:eastAsia="fr-CH"/>
        </w:rPr>
        <mc:AlternateContent>
          <mc:Choice Requires="wps">
            <w:drawing>
              <wp:anchor distT="0" distB="0" distL="114300" distR="114300" simplePos="0" relativeHeight="251687936" behindDoc="0" locked="0" layoutInCell="1" allowOverlap="1" wp14:anchorId="77BC219E" wp14:editId="19BB2FB1">
                <wp:simplePos x="0" y="0"/>
                <wp:positionH relativeFrom="margin">
                  <wp:posOffset>-4098</wp:posOffset>
                </wp:positionH>
                <wp:positionV relativeFrom="paragraph">
                  <wp:posOffset>1352022</wp:posOffset>
                </wp:positionV>
                <wp:extent cx="3046095" cy="560717"/>
                <wp:effectExtent l="0" t="0" r="1905" b="0"/>
                <wp:wrapNone/>
                <wp:docPr id="33" name="Text Box 33"/>
                <wp:cNvGraphicFramePr/>
                <a:graphic xmlns:a="http://schemas.openxmlformats.org/drawingml/2006/main">
                  <a:graphicData uri="http://schemas.microsoft.com/office/word/2010/wordprocessingShape">
                    <wps:wsp>
                      <wps:cNvSpPr txBox="1"/>
                      <wps:spPr>
                        <a:xfrm>
                          <a:off x="0" y="0"/>
                          <a:ext cx="3046095" cy="560717"/>
                        </a:xfrm>
                        <a:prstGeom prst="rect">
                          <a:avLst/>
                        </a:prstGeom>
                        <a:solidFill>
                          <a:schemeClr val="lt1"/>
                        </a:solidFill>
                        <a:ln w="6350">
                          <a:noFill/>
                        </a:ln>
                      </wps:spPr>
                      <wps:txbx>
                        <w:txbxContent>
                          <w:p w14:paraId="08A70917" w14:textId="77777777" w:rsidR="0031628C" w:rsidRPr="00436E97" w:rsidRDefault="0031628C" w:rsidP="0031628C">
                            <w:pPr>
                              <w:spacing w:before="0"/>
                              <w:rPr>
                                <w:b/>
                                <w:bCs/>
                                <w:sz w:val="12"/>
                                <w:szCs w:val="12"/>
                              </w:rPr>
                            </w:pPr>
                            <w:r w:rsidRPr="00436E97">
                              <w:rPr>
                                <w:b/>
                                <w:bCs/>
                                <w:sz w:val="12"/>
                                <w:szCs w:val="12"/>
                              </w:rPr>
                              <w:t>Explication des cellules en fonction des couleurs</w:t>
                            </w:r>
                          </w:p>
                          <w:p w14:paraId="0B1463DE" w14:textId="77777777" w:rsidR="0031628C" w:rsidRPr="00436E97" w:rsidRDefault="0031628C" w:rsidP="0031628C">
                            <w:pPr>
                              <w:tabs>
                                <w:tab w:val="left" w:pos="142"/>
                              </w:tabs>
                              <w:spacing w:before="0"/>
                              <w:rPr>
                                <w:bCs/>
                                <w:sz w:val="12"/>
                                <w:szCs w:val="12"/>
                              </w:rPr>
                            </w:pPr>
                            <w:r w:rsidRPr="00436E97">
                              <w:rPr>
                                <w:b/>
                                <w:bCs/>
                                <w:sz w:val="12"/>
                                <w:szCs w:val="12"/>
                              </w:rPr>
                              <w:t>–</w:t>
                            </w:r>
                            <w:r w:rsidRPr="00436E97">
                              <w:rPr>
                                <w:bCs/>
                                <w:sz w:val="12"/>
                                <w:szCs w:val="12"/>
                              </w:rPr>
                              <w:tab/>
                              <w:t>Blanche: une année sans mouvement</w:t>
                            </w:r>
                          </w:p>
                          <w:p w14:paraId="2847EB14" w14:textId="77777777" w:rsidR="0031628C" w:rsidRPr="00436E97" w:rsidRDefault="0031628C" w:rsidP="0031628C">
                            <w:pPr>
                              <w:tabs>
                                <w:tab w:val="left" w:pos="142"/>
                              </w:tabs>
                              <w:spacing w:before="0"/>
                              <w:ind w:left="142" w:hanging="142"/>
                              <w:rPr>
                                <w:bCs/>
                                <w:sz w:val="12"/>
                                <w:szCs w:val="12"/>
                              </w:rPr>
                            </w:pPr>
                            <w:r w:rsidRPr="00436E97">
                              <w:rPr>
                                <w:bCs/>
                                <w:sz w:val="12"/>
                                <w:szCs w:val="12"/>
                              </w:rPr>
                              <w:t>–</w:t>
                            </w:r>
                            <w:r w:rsidRPr="00436E97">
                              <w:rPr>
                                <w:bCs/>
                                <w:sz w:val="12"/>
                                <w:szCs w:val="12"/>
                              </w:rPr>
                              <w:tab/>
                              <w:t>Beige: mouvement net nul (où: nouveaux Membres = Membres ayant dénoncé leur participation + Membres exclus)</w:t>
                            </w:r>
                          </w:p>
                          <w:p w14:paraId="6A123747" w14:textId="131DC2BA" w:rsidR="0031628C" w:rsidRPr="002071CF" w:rsidRDefault="0031628C" w:rsidP="0031628C">
                            <w:pPr>
                              <w:tabs>
                                <w:tab w:val="left" w:pos="142"/>
                              </w:tabs>
                              <w:spacing w:before="0"/>
                              <w:ind w:left="142" w:hanging="142"/>
                              <w:rPr>
                                <w:sz w:val="2"/>
                                <w:szCs w:val="2"/>
                                <w:lang w:val="fr-CH"/>
                              </w:rPr>
                            </w:pPr>
                            <w:r w:rsidRPr="00436E97">
                              <w:rPr>
                                <w:bCs/>
                                <w:sz w:val="12"/>
                                <w:szCs w:val="12"/>
                              </w:rPr>
                              <w:t>–</w:t>
                            </w:r>
                            <w:r w:rsidRPr="00436E97">
                              <w:rPr>
                                <w:bCs/>
                                <w:sz w:val="12"/>
                                <w:szCs w:val="12"/>
                              </w:rPr>
                              <w:tab/>
                              <w:t>Verte: mouvement net positif dans l</w:t>
                            </w:r>
                            <w:r w:rsidR="00DD37F3" w:rsidRPr="00436E97">
                              <w:rPr>
                                <w:bCs/>
                                <w:sz w:val="12"/>
                                <w:szCs w:val="12"/>
                              </w:rPr>
                              <w:t>'</w:t>
                            </w:r>
                            <w:r w:rsidRPr="00436E97">
                              <w:rPr>
                                <w:bCs/>
                                <w:sz w:val="12"/>
                                <w:szCs w:val="12"/>
                              </w:rPr>
                              <w:t>année (où: nouveaux Membres &gt; Membres ayant dénoncé leur participation + Membres exclus)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C219E" id="Text Box 33" o:spid="_x0000_s1048" type="#_x0000_t202" style="position:absolute;left:0;text-align:left;margin-left:-.3pt;margin-top:106.45pt;width:239.85pt;height:44.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" fillcolor="white [3201]" stroked="f" strokeweight=".5pt">
                <v:textbox inset="0,0,0,0">
                  <w:txbxContent>
                    <w:p w14:paraId="08A70917" w14:textId="77777777" w:rsidR="0031628C" w:rsidRPr="00436E97" w:rsidRDefault="0031628C" w:rsidP="0031628C">
                      <w:pPr>
                        <w:spacing w:before="0"/>
                        <w:rPr>
                          <w:b/>
                          <w:bCs/>
                          <w:sz w:val="12"/>
                          <w:szCs w:val="12"/>
                        </w:rPr>
                      </w:pPr>
                      <w:r w:rsidRPr="00436E97">
                        <w:rPr>
                          <w:b/>
                          <w:bCs/>
                          <w:sz w:val="12"/>
                          <w:szCs w:val="12"/>
                        </w:rPr>
                        <w:t>Explication des cellules en fonction des couleurs</w:t>
                      </w:r>
                    </w:p>
                    <w:p w14:paraId="0B1463DE" w14:textId="77777777" w:rsidR="0031628C" w:rsidRPr="00436E97" w:rsidRDefault="0031628C" w:rsidP="0031628C">
                      <w:pPr>
                        <w:tabs>
                          <w:tab w:val="left" w:pos="142"/>
                        </w:tabs>
                        <w:spacing w:before="0"/>
                        <w:rPr>
                          <w:bCs/>
                          <w:sz w:val="12"/>
                          <w:szCs w:val="12"/>
                        </w:rPr>
                      </w:pPr>
                      <w:r w:rsidRPr="00436E97">
                        <w:rPr>
                          <w:b/>
                          <w:bCs/>
                          <w:sz w:val="12"/>
                          <w:szCs w:val="12"/>
                        </w:rPr>
                        <w:t>–</w:t>
                      </w:r>
                      <w:r w:rsidRPr="00436E97">
                        <w:rPr>
                          <w:bCs/>
                          <w:sz w:val="12"/>
                          <w:szCs w:val="12"/>
                        </w:rPr>
                        <w:tab/>
                        <w:t>Blanche: une année sans mouvement</w:t>
                      </w:r>
                    </w:p>
                    <w:p w14:paraId="2847EB14" w14:textId="77777777" w:rsidR="0031628C" w:rsidRPr="00436E97" w:rsidRDefault="0031628C" w:rsidP="0031628C">
                      <w:pPr>
                        <w:tabs>
                          <w:tab w:val="left" w:pos="142"/>
                        </w:tabs>
                        <w:spacing w:before="0"/>
                        <w:ind w:left="142" w:hanging="142"/>
                        <w:rPr>
                          <w:bCs/>
                          <w:sz w:val="12"/>
                          <w:szCs w:val="12"/>
                        </w:rPr>
                      </w:pPr>
                      <w:r w:rsidRPr="00436E97">
                        <w:rPr>
                          <w:bCs/>
                          <w:sz w:val="12"/>
                          <w:szCs w:val="12"/>
                        </w:rPr>
                        <w:t>–</w:t>
                      </w:r>
                      <w:r w:rsidRPr="00436E97">
                        <w:rPr>
                          <w:bCs/>
                          <w:sz w:val="12"/>
                          <w:szCs w:val="12"/>
                        </w:rPr>
                        <w:tab/>
                        <w:t>Beige: mouvement net nul (où: nouveaux Membres = Membres ayant dénoncé leur participation + Membres exclus)</w:t>
                      </w:r>
                    </w:p>
                    <w:p w14:paraId="6A123747" w14:textId="131DC2BA" w:rsidR="0031628C" w:rsidRPr="002071CF" w:rsidRDefault="0031628C" w:rsidP="0031628C">
                      <w:pPr>
                        <w:tabs>
                          <w:tab w:val="left" w:pos="142"/>
                        </w:tabs>
                        <w:spacing w:before="0"/>
                        <w:ind w:left="142" w:hanging="142"/>
                        <w:rPr>
                          <w:sz w:val="2"/>
                          <w:szCs w:val="2"/>
                          <w:lang w:val="fr-CH"/>
                        </w:rPr>
                      </w:pPr>
                      <w:r w:rsidRPr="00436E97">
                        <w:rPr>
                          <w:bCs/>
                          <w:sz w:val="12"/>
                          <w:szCs w:val="12"/>
                        </w:rPr>
                        <w:t>–</w:t>
                      </w:r>
                      <w:r w:rsidRPr="00436E97">
                        <w:rPr>
                          <w:bCs/>
                          <w:sz w:val="12"/>
                          <w:szCs w:val="12"/>
                        </w:rPr>
                        <w:tab/>
                        <w:t>Verte: mouvement net positif dans l</w:t>
                      </w:r>
                      <w:r w:rsidR="00DD37F3" w:rsidRPr="00436E97">
                        <w:rPr>
                          <w:bCs/>
                          <w:sz w:val="12"/>
                          <w:szCs w:val="12"/>
                        </w:rPr>
                        <w:t>'</w:t>
                      </w:r>
                      <w:r w:rsidRPr="00436E97">
                        <w:rPr>
                          <w:bCs/>
                          <w:sz w:val="12"/>
                          <w:szCs w:val="12"/>
                        </w:rPr>
                        <w:t>année (où: nouveaux Membres &gt; Membres ayant dénoncé leur participation + Membres exclus)</w:t>
                      </w:r>
                    </w:p>
                  </w:txbxContent>
                </v:textbox>
                <w10:wrap anchorx="margin"/>
              </v:shape>
            </w:pict>
          </mc:Fallback>
        </mc:AlternateContent>
      </w:r>
      <w:r w:rsidRPr="00B91EE1">
        <w:rPr>
          <w:noProof/>
          <w:lang w:eastAsia="fr-CH"/>
        </w:rPr>
        <mc:AlternateContent>
          <mc:Choice Requires="wps">
            <w:drawing>
              <wp:anchor distT="0" distB="0" distL="114300" distR="114300" simplePos="0" relativeHeight="251681792" behindDoc="0" locked="0" layoutInCell="1" allowOverlap="1" wp14:anchorId="34BDB52A" wp14:editId="35E7D629">
                <wp:simplePos x="0" y="0"/>
                <wp:positionH relativeFrom="margin">
                  <wp:posOffset>319189</wp:posOffset>
                </wp:positionH>
                <wp:positionV relativeFrom="paragraph">
                  <wp:posOffset>122555</wp:posOffset>
                </wp:positionV>
                <wp:extent cx="709295" cy="12255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09295" cy="122555"/>
                        </a:xfrm>
                        <a:prstGeom prst="rect">
                          <a:avLst/>
                        </a:prstGeom>
                        <a:solidFill>
                          <a:schemeClr val="lt1"/>
                        </a:solidFill>
                        <a:ln w="6350">
                          <a:noFill/>
                        </a:ln>
                      </wps:spPr>
                      <wps:txbx>
                        <w:txbxContent>
                          <w:p w14:paraId="71677EC2" w14:textId="77777777" w:rsidR="0031628C" w:rsidRPr="00DF12FB" w:rsidRDefault="0031628C" w:rsidP="0031628C">
                            <w:pPr>
                              <w:spacing w:before="0"/>
                              <w:jc w:val="center"/>
                              <w:rPr>
                                <w:sz w:val="2"/>
                                <w:szCs w:val="2"/>
                                <w:lang w:val="fr-CH"/>
                              </w:rPr>
                            </w:pPr>
                            <w:r w:rsidRPr="00DF12FB">
                              <w:rPr>
                                <w:b/>
                                <w:bCs/>
                                <w:sz w:val="12"/>
                                <w:szCs w:val="12"/>
                              </w:rPr>
                              <w:t>Catégorie de membre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DB52A" id="Text Box 12" o:spid="_x0000_s1049" type="#_x0000_t202" style="position:absolute;left:0;text-align:left;margin-left:25.15pt;margin-top:9.65pt;width:55.85pt;height:9.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" fillcolor="white [3201]" stroked="f" strokeweight=".5pt">
                <v:textbox inset="0,0,0,0">
                  <w:txbxContent>
                    <w:p w14:paraId="71677EC2" w14:textId="77777777" w:rsidR="0031628C" w:rsidRPr="00DF12FB" w:rsidRDefault="0031628C" w:rsidP="0031628C">
                      <w:pPr>
                        <w:spacing w:before="0"/>
                        <w:jc w:val="center"/>
                        <w:rPr>
                          <w:sz w:val="2"/>
                          <w:szCs w:val="2"/>
                          <w:lang w:val="fr-CH"/>
                        </w:rPr>
                      </w:pPr>
                      <w:r w:rsidRPr="00DF12FB">
                        <w:rPr>
                          <w:b/>
                          <w:bCs/>
                          <w:sz w:val="12"/>
                          <w:szCs w:val="12"/>
                        </w:rPr>
                        <w:t>Catégorie de membre</w:t>
                      </w:r>
                    </w:p>
                  </w:txbxContent>
                </v:textbox>
                <w10:wrap anchorx="margin"/>
              </v:shape>
            </w:pict>
          </mc:Fallback>
        </mc:AlternateContent>
      </w:r>
      <w:r w:rsidRPr="00B91EE1">
        <w:rPr>
          <w:noProof/>
          <w:lang w:eastAsia="fr-CH"/>
        </w:rPr>
        <mc:AlternateContent>
          <mc:Choice Requires="wps">
            <w:drawing>
              <wp:anchor distT="0" distB="0" distL="114300" distR="114300" simplePos="0" relativeHeight="251680768" behindDoc="0" locked="0" layoutInCell="1" allowOverlap="1" wp14:anchorId="4ADDA157" wp14:editId="1F1168BC">
                <wp:simplePos x="0" y="0"/>
                <wp:positionH relativeFrom="margin">
                  <wp:posOffset>-30864</wp:posOffset>
                </wp:positionH>
                <wp:positionV relativeFrom="paragraph">
                  <wp:posOffset>122555</wp:posOffset>
                </wp:positionV>
                <wp:extent cx="348018" cy="1228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8018" cy="122830"/>
                        </a:xfrm>
                        <a:prstGeom prst="rect">
                          <a:avLst/>
                        </a:prstGeom>
                        <a:solidFill>
                          <a:schemeClr val="lt1"/>
                        </a:solidFill>
                        <a:ln w="6350">
                          <a:noFill/>
                        </a:ln>
                      </wps:spPr>
                      <wps:txbx>
                        <w:txbxContent>
                          <w:p w14:paraId="2AF64D4F" w14:textId="77777777" w:rsidR="0031628C" w:rsidRPr="00DF12FB" w:rsidRDefault="0031628C" w:rsidP="0031628C">
                            <w:pPr>
                              <w:spacing w:before="0"/>
                              <w:jc w:val="center"/>
                              <w:rPr>
                                <w:sz w:val="2"/>
                                <w:szCs w:val="2"/>
                                <w:lang w:val="fr-CH"/>
                              </w:rPr>
                            </w:pPr>
                            <w:r w:rsidRPr="00DF12FB">
                              <w:rPr>
                                <w:b/>
                                <w:bCs/>
                                <w:sz w:val="12"/>
                                <w:szCs w:val="12"/>
                              </w:rPr>
                              <w:t>Secteur</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DA157" id="Text Box 10" o:spid="_x0000_s1050" type="#_x0000_t202" style="position:absolute;left:0;text-align:left;margin-left:-2.45pt;margin-top:9.65pt;width:27.4pt;height:9.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" fillcolor="white [3201]" stroked="f" strokeweight=".5pt">
                <v:textbox inset="0,0,0,0">
                  <w:txbxContent>
                    <w:p w14:paraId="2AF64D4F" w14:textId="77777777" w:rsidR="0031628C" w:rsidRPr="00DF12FB" w:rsidRDefault="0031628C" w:rsidP="0031628C">
                      <w:pPr>
                        <w:spacing w:before="0"/>
                        <w:jc w:val="center"/>
                        <w:rPr>
                          <w:sz w:val="2"/>
                          <w:szCs w:val="2"/>
                          <w:lang w:val="fr-CH"/>
                        </w:rPr>
                      </w:pPr>
                      <w:r w:rsidRPr="00DF12FB">
                        <w:rPr>
                          <w:b/>
                          <w:bCs/>
                          <w:sz w:val="12"/>
                          <w:szCs w:val="12"/>
                        </w:rPr>
                        <w:t>Secteur</w:t>
                      </w:r>
                    </w:p>
                  </w:txbxContent>
                </v:textbox>
                <w10:wrap anchorx="margin"/>
              </v:shape>
            </w:pict>
          </mc:Fallback>
        </mc:AlternateContent>
      </w:r>
      <w:r w:rsidR="00FF371C" w:rsidRPr="00B91EE1">
        <w:rPr>
          <w:noProof/>
          <w:lang w:eastAsia="fr-CH"/>
        </w:rPr>
        <mc:AlternateContent>
          <mc:Choice Requires="wps">
            <w:drawing>
              <wp:anchor distT="0" distB="0" distL="114300" distR="114300" simplePos="0" relativeHeight="251686912" behindDoc="0" locked="0" layoutInCell="1" allowOverlap="1" wp14:anchorId="35B42B46" wp14:editId="02697C4E">
                <wp:simplePos x="0" y="0"/>
                <wp:positionH relativeFrom="margin">
                  <wp:posOffset>-33655</wp:posOffset>
                </wp:positionH>
                <wp:positionV relativeFrom="paragraph">
                  <wp:posOffset>1127125</wp:posOffset>
                </wp:positionV>
                <wp:extent cx="463550" cy="241300"/>
                <wp:effectExtent l="0" t="0" r="0" b="6350"/>
                <wp:wrapNone/>
                <wp:docPr id="34" name="Text Box 34"/>
                <wp:cNvGraphicFramePr/>
                <a:graphic xmlns:a="http://schemas.openxmlformats.org/drawingml/2006/main">
                  <a:graphicData uri="http://schemas.microsoft.com/office/word/2010/wordprocessingShape">
                    <wps:wsp>
                      <wps:cNvSpPr txBox="1"/>
                      <wps:spPr>
                        <a:xfrm>
                          <a:off x="0" y="0"/>
                          <a:ext cx="463550" cy="241300"/>
                        </a:xfrm>
                        <a:prstGeom prst="rect">
                          <a:avLst/>
                        </a:prstGeom>
                        <a:solidFill>
                          <a:schemeClr val="lt1"/>
                        </a:solidFill>
                        <a:ln w="6350">
                          <a:noFill/>
                        </a:ln>
                      </wps:spPr>
                      <wps:txbx>
                        <w:txbxContent>
                          <w:p w14:paraId="5262DA08" w14:textId="77777777" w:rsidR="0031628C" w:rsidRPr="002071CF" w:rsidRDefault="0031628C" w:rsidP="0031628C">
                            <w:pPr>
                              <w:tabs>
                                <w:tab w:val="left" w:pos="426"/>
                              </w:tabs>
                              <w:spacing w:before="0"/>
                              <w:rPr>
                                <w:bCs/>
                                <w:sz w:val="12"/>
                                <w:szCs w:val="12"/>
                              </w:rPr>
                            </w:pPr>
                            <w:r w:rsidRPr="002071CF">
                              <w:rPr>
                                <w:bCs/>
                                <w:sz w:val="12"/>
                                <w:szCs w:val="12"/>
                              </w:rPr>
                              <w:t>Établissements universitaires</w:t>
                            </w:r>
                          </w:p>
                          <w:p w14:paraId="35534830" w14:textId="77777777" w:rsidR="0031628C" w:rsidRPr="00DF12FB" w:rsidRDefault="0031628C" w:rsidP="0031628C">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42B46" id="Text Box 34" o:spid="_x0000_s1051" type="#_x0000_t202" style="position:absolute;left:0;text-align:left;margin-left:-2.65pt;margin-top:88.75pt;width:36.5pt;height:1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" fillcolor="white [3201]" stroked="f" strokeweight=".5pt">
                <v:textbox inset="0,0,0,0">
                  <w:txbxContent>
                    <w:p w14:paraId="5262DA08" w14:textId="77777777" w:rsidR="0031628C" w:rsidRPr="002071CF" w:rsidRDefault="0031628C" w:rsidP="0031628C">
                      <w:pPr>
                        <w:tabs>
                          <w:tab w:val="left" w:pos="426"/>
                        </w:tabs>
                        <w:spacing w:before="0"/>
                        <w:rPr>
                          <w:bCs/>
                          <w:sz w:val="12"/>
                          <w:szCs w:val="12"/>
                        </w:rPr>
                      </w:pPr>
                      <w:r w:rsidRPr="002071CF">
                        <w:rPr>
                          <w:bCs/>
                          <w:sz w:val="12"/>
                          <w:szCs w:val="12"/>
                        </w:rPr>
                        <w:t>Établissements universitaires</w:t>
                      </w:r>
                    </w:p>
                    <w:p w14:paraId="35534830" w14:textId="77777777" w:rsidR="0031628C" w:rsidRPr="00DF12FB" w:rsidRDefault="0031628C" w:rsidP="0031628C">
                      <w:pPr>
                        <w:spacing w:before="0"/>
                        <w:rPr>
                          <w:sz w:val="2"/>
                          <w:szCs w:val="2"/>
                          <w:lang w:val="fr-CH"/>
                        </w:rPr>
                      </w:pP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85888" behindDoc="0" locked="0" layoutInCell="1" allowOverlap="1" wp14:anchorId="6FA20E5E" wp14:editId="5D26B5A9">
                <wp:simplePos x="0" y="0"/>
                <wp:positionH relativeFrom="margin">
                  <wp:posOffset>462915</wp:posOffset>
                </wp:positionH>
                <wp:positionV relativeFrom="paragraph">
                  <wp:posOffset>1126299</wp:posOffset>
                </wp:positionV>
                <wp:extent cx="539086" cy="184245"/>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539086" cy="184245"/>
                        </a:xfrm>
                        <a:prstGeom prst="rect">
                          <a:avLst/>
                        </a:prstGeom>
                        <a:solidFill>
                          <a:schemeClr val="lt1"/>
                        </a:solidFill>
                        <a:ln w="6350">
                          <a:noFill/>
                        </a:ln>
                      </wps:spPr>
                      <wps:txbx>
                        <w:txbxContent>
                          <w:p w14:paraId="37ACFC47" w14:textId="77777777" w:rsidR="0031628C" w:rsidRPr="002071CF" w:rsidRDefault="0031628C" w:rsidP="0031628C">
                            <w:pPr>
                              <w:tabs>
                                <w:tab w:val="left" w:pos="426"/>
                              </w:tabs>
                              <w:spacing w:before="0"/>
                              <w:rPr>
                                <w:bCs/>
                                <w:sz w:val="12"/>
                                <w:szCs w:val="12"/>
                              </w:rPr>
                            </w:pPr>
                            <w:r w:rsidRPr="002071CF">
                              <w:rPr>
                                <w:bCs/>
                                <w:sz w:val="12"/>
                                <w:szCs w:val="12"/>
                              </w:rPr>
                              <w:t>Établissements universitaires</w:t>
                            </w:r>
                          </w:p>
                          <w:p w14:paraId="0256F9E7" w14:textId="77777777" w:rsidR="0031628C" w:rsidRPr="002071CF" w:rsidRDefault="0031628C" w:rsidP="0031628C">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20E5E" id="Text Box 32" o:spid="_x0000_s1052" type="#_x0000_t202" style="position:absolute;left:0;text-align:left;margin-left:36.45pt;margin-top:88.7pt;width:42.45pt;height:1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" fillcolor="white [3201]" stroked="f" strokeweight=".5pt">
                <v:textbox inset="0,0,0,0">
                  <w:txbxContent>
                    <w:p w14:paraId="37ACFC47" w14:textId="77777777" w:rsidR="0031628C" w:rsidRPr="002071CF" w:rsidRDefault="0031628C" w:rsidP="0031628C">
                      <w:pPr>
                        <w:tabs>
                          <w:tab w:val="left" w:pos="426"/>
                        </w:tabs>
                        <w:spacing w:before="0"/>
                        <w:rPr>
                          <w:bCs/>
                          <w:sz w:val="12"/>
                          <w:szCs w:val="12"/>
                        </w:rPr>
                      </w:pPr>
                      <w:r w:rsidRPr="002071CF">
                        <w:rPr>
                          <w:bCs/>
                          <w:sz w:val="12"/>
                          <w:szCs w:val="12"/>
                        </w:rPr>
                        <w:t>Établissements universitaires</w:t>
                      </w:r>
                    </w:p>
                    <w:p w14:paraId="0256F9E7" w14:textId="77777777" w:rsidR="0031628C" w:rsidRPr="002071CF" w:rsidRDefault="0031628C" w:rsidP="0031628C">
                      <w:pPr>
                        <w:spacing w:before="0"/>
                        <w:rPr>
                          <w:sz w:val="2"/>
                          <w:szCs w:val="2"/>
                          <w:lang w:val="fr-CH"/>
                        </w:rPr>
                      </w:pP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84864" behindDoc="0" locked="0" layoutInCell="1" allowOverlap="1" wp14:anchorId="2B3237F1" wp14:editId="4098D697">
                <wp:simplePos x="0" y="0"/>
                <wp:positionH relativeFrom="margin">
                  <wp:posOffset>81419</wp:posOffset>
                </wp:positionH>
                <wp:positionV relativeFrom="paragraph">
                  <wp:posOffset>864296</wp:posOffset>
                </wp:positionV>
                <wp:extent cx="893929" cy="238836"/>
                <wp:effectExtent l="0" t="0" r="1905" b="8890"/>
                <wp:wrapNone/>
                <wp:docPr id="28" name="Text Box 28"/>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7BACF20F" w14:textId="77777777" w:rsidR="0031628C" w:rsidRPr="002071CF" w:rsidRDefault="0031628C" w:rsidP="0031628C">
                            <w:pPr>
                              <w:tabs>
                                <w:tab w:val="left" w:pos="426"/>
                              </w:tabs>
                              <w:spacing w:before="0"/>
                              <w:ind w:left="426" w:hanging="426"/>
                              <w:rPr>
                                <w:bCs/>
                                <w:sz w:val="12"/>
                                <w:szCs w:val="12"/>
                              </w:rPr>
                            </w:pPr>
                            <w:r w:rsidRPr="002071CF">
                              <w:rPr>
                                <w:bCs/>
                                <w:sz w:val="12"/>
                                <w:szCs w:val="12"/>
                              </w:rPr>
                              <w:t>UIT-D</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34CF26E1" w14:textId="77777777" w:rsidR="0031628C" w:rsidRPr="002071CF" w:rsidRDefault="0031628C" w:rsidP="0031628C">
                            <w:pPr>
                              <w:tabs>
                                <w:tab w:val="left" w:pos="426"/>
                              </w:tabs>
                              <w:spacing w:before="80"/>
                              <w:rPr>
                                <w:bCs/>
                                <w:sz w:val="12"/>
                                <w:szCs w:val="12"/>
                              </w:rPr>
                            </w:pPr>
                            <w:r>
                              <w:rPr>
                                <w:bCs/>
                                <w:sz w:val="12"/>
                                <w:szCs w:val="12"/>
                              </w:rPr>
                              <w:tab/>
                            </w:r>
                            <w:r w:rsidRPr="002071CF">
                              <w:rPr>
                                <w:bCs/>
                                <w:sz w:val="12"/>
                                <w:szCs w:val="12"/>
                              </w:rPr>
                              <w:t>Associé</w:t>
                            </w:r>
                          </w:p>
                          <w:p w14:paraId="0A136247" w14:textId="77777777" w:rsidR="0031628C" w:rsidRPr="00DF12FB" w:rsidRDefault="0031628C" w:rsidP="0031628C">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37F1" id="Text Box 28" o:spid="_x0000_s1053" type="#_x0000_t202" style="position:absolute;left:0;text-align:left;margin-left:6.4pt;margin-top:68.05pt;width:70.4pt;height:18.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" fillcolor="white [3201]" stroked="f" strokeweight=".5pt">
                <v:textbox inset="0,0,0,0">
                  <w:txbxContent>
                    <w:p w14:paraId="7BACF20F" w14:textId="77777777" w:rsidR="0031628C" w:rsidRPr="002071CF" w:rsidRDefault="0031628C" w:rsidP="0031628C">
                      <w:pPr>
                        <w:tabs>
                          <w:tab w:val="left" w:pos="426"/>
                        </w:tabs>
                        <w:spacing w:before="0"/>
                        <w:ind w:left="426" w:hanging="426"/>
                        <w:rPr>
                          <w:bCs/>
                          <w:sz w:val="12"/>
                          <w:szCs w:val="12"/>
                        </w:rPr>
                      </w:pPr>
                      <w:r w:rsidRPr="002071CF">
                        <w:rPr>
                          <w:bCs/>
                          <w:sz w:val="12"/>
                          <w:szCs w:val="12"/>
                        </w:rPr>
                        <w:t>UIT-D</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34CF26E1" w14:textId="77777777" w:rsidR="0031628C" w:rsidRPr="002071CF" w:rsidRDefault="0031628C" w:rsidP="0031628C">
                      <w:pPr>
                        <w:tabs>
                          <w:tab w:val="left" w:pos="426"/>
                        </w:tabs>
                        <w:spacing w:before="80"/>
                        <w:rPr>
                          <w:bCs/>
                          <w:sz w:val="12"/>
                          <w:szCs w:val="12"/>
                        </w:rPr>
                      </w:pPr>
                      <w:r>
                        <w:rPr>
                          <w:bCs/>
                          <w:sz w:val="12"/>
                          <w:szCs w:val="12"/>
                        </w:rPr>
                        <w:tab/>
                      </w:r>
                      <w:r w:rsidRPr="002071CF">
                        <w:rPr>
                          <w:bCs/>
                          <w:sz w:val="12"/>
                          <w:szCs w:val="12"/>
                        </w:rPr>
                        <w:t>Associé</w:t>
                      </w:r>
                    </w:p>
                    <w:p w14:paraId="0A136247" w14:textId="77777777" w:rsidR="0031628C" w:rsidRPr="00DF12FB" w:rsidRDefault="0031628C" w:rsidP="0031628C">
                      <w:pPr>
                        <w:spacing w:before="0"/>
                        <w:rPr>
                          <w:sz w:val="2"/>
                          <w:szCs w:val="2"/>
                          <w:lang w:val="fr-CH"/>
                        </w:rPr>
                      </w:pP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83840" behindDoc="0" locked="0" layoutInCell="1" allowOverlap="1" wp14:anchorId="426D47FB" wp14:editId="322D6281">
                <wp:simplePos x="0" y="0"/>
                <wp:positionH relativeFrom="margin">
                  <wp:posOffset>81419</wp:posOffset>
                </wp:positionH>
                <wp:positionV relativeFrom="paragraph">
                  <wp:posOffset>551145</wp:posOffset>
                </wp:positionV>
                <wp:extent cx="893929" cy="238836"/>
                <wp:effectExtent l="0" t="0" r="1905" b="8890"/>
                <wp:wrapNone/>
                <wp:docPr id="31" name="Text Box 31"/>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41EDC024" w14:textId="77777777" w:rsidR="0031628C" w:rsidRPr="002071CF" w:rsidRDefault="0031628C" w:rsidP="0031628C">
                            <w:pPr>
                              <w:tabs>
                                <w:tab w:val="left" w:pos="426"/>
                              </w:tabs>
                              <w:spacing w:before="0"/>
                              <w:ind w:left="426" w:hanging="426"/>
                              <w:rPr>
                                <w:bCs/>
                                <w:sz w:val="12"/>
                                <w:szCs w:val="12"/>
                              </w:rPr>
                            </w:pPr>
                            <w:r w:rsidRPr="002071CF">
                              <w:rPr>
                                <w:bCs/>
                                <w:sz w:val="12"/>
                                <w:szCs w:val="12"/>
                              </w:rPr>
                              <w:t>UIT-T</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58F100CA" w14:textId="77777777" w:rsidR="0031628C" w:rsidRPr="002071CF" w:rsidRDefault="0031628C" w:rsidP="0031628C">
                            <w:pPr>
                              <w:tabs>
                                <w:tab w:val="left" w:pos="426"/>
                              </w:tabs>
                              <w:spacing w:before="80"/>
                              <w:rPr>
                                <w:bCs/>
                                <w:sz w:val="12"/>
                                <w:szCs w:val="12"/>
                              </w:rPr>
                            </w:pPr>
                            <w:r>
                              <w:rPr>
                                <w:bCs/>
                                <w:sz w:val="12"/>
                                <w:szCs w:val="12"/>
                              </w:rPr>
                              <w:tab/>
                            </w:r>
                            <w:r w:rsidRPr="002071CF">
                              <w:rPr>
                                <w:bCs/>
                                <w:sz w:val="12"/>
                                <w:szCs w:val="12"/>
                              </w:rPr>
                              <w:t>Associé</w:t>
                            </w:r>
                          </w:p>
                          <w:p w14:paraId="30B82BD0" w14:textId="77777777" w:rsidR="0031628C" w:rsidRPr="00DF12FB" w:rsidRDefault="0031628C" w:rsidP="0031628C">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D47FB" id="Text Box 31" o:spid="_x0000_s1054" type="#_x0000_t202" style="position:absolute;left:0;text-align:left;margin-left:6.4pt;margin-top:43.4pt;width:70.4pt;height:18.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" fillcolor="white [3201]" stroked="f" strokeweight=".5pt">
                <v:textbox inset="0,0,0,0">
                  <w:txbxContent>
                    <w:p w14:paraId="41EDC024" w14:textId="77777777" w:rsidR="0031628C" w:rsidRPr="002071CF" w:rsidRDefault="0031628C" w:rsidP="0031628C">
                      <w:pPr>
                        <w:tabs>
                          <w:tab w:val="left" w:pos="426"/>
                        </w:tabs>
                        <w:spacing w:before="0"/>
                        <w:ind w:left="426" w:hanging="426"/>
                        <w:rPr>
                          <w:bCs/>
                          <w:sz w:val="12"/>
                          <w:szCs w:val="12"/>
                        </w:rPr>
                      </w:pPr>
                      <w:r w:rsidRPr="002071CF">
                        <w:rPr>
                          <w:bCs/>
                          <w:sz w:val="12"/>
                          <w:szCs w:val="12"/>
                        </w:rPr>
                        <w:t>UIT-T</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58F100CA" w14:textId="77777777" w:rsidR="0031628C" w:rsidRPr="002071CF" w:rsidRDefault="0031628C" w:rsidP="0031628C">
                      <w:pPr>
                        <w:tabs>
                          <w:tab w:val="left" w:pos="426"/>
                        </w:tabs>
                        <w:spacing w:before="80"/>
                        <w:rPr>
                          <w:bCs/>
                          <w:sz w:val="12"/>
                          <w:szCs w:val="12"/>
                        </w:rPr>
                      </w:pPr>
                      <w:r>
                        <w:rPr>
                          <w:bCs/>
                          <w:sz w:val="12"/>
                          <w:szCs w:val="12"/>
                        </w:rPr>
                        <w:tab/>
                      </w:r>
                      <w:r w:rsidRPr="002071CF">
                        <w:rPr>
                          <w:bCs/>
                          <w:sz w:val="12"/>
                          <w:szCs w:val="12"/>
                        </w:rPr>
                        <w:t>Associé</w:t>
                      </w:r>
                    </w:p>
                    <w:p w14:paraId="30B82BD0" w14:textId="77777777" w:rsidR="0031628C" w:rsidRPr="00DF12FB" w:rsidRDefault="0031628C" w:rsidP="0031628C">
                      <w:pPr>
                        <w:spacing w:before="0"/>
                        <w:rPr>
                          <w:sz w:val="2"/>
                          <w:szCs w:val="2"/>
                          <w:lang w:val="fr-CH"/>
                        </w:rPr>
                      </w:pPr>
                    </w:p>
                  </w:txbxContent>
                </v:textbox>
                <w10:wrap anchorx="margin"/>
              </v:shape>
            </w:pict>
          </mc:Fallback>
        </mc:AlternateContent>
      </w:r>
      <w:r w:rsidR="0031628C" w:rsidRPr="00B91EE1">
        <w:rPr>
          <w:noProof/>
          <w:lang w:eastAsia="fr-CH"/>
        </w:rPr>
        <mc:AlternateContent>
          <mc:Choice Requires="wps">
            <w:drawing>
              <wp:anchor distT="0" distB="0" distL="114300" distR="114300" simplePos="0" relativeHeight="251682816" behindDoc="0" locked="0" layoutInCell="1" allowOverlap="1" wp14:anchorId="475BDC54" wp14:editId="051030E6">
                <wp:simplePos x="0" y="0"/>
                <wp:positionH relativeFrom="margin">
                  <wp:posOffset>81419</wp:posOffset>
                </wp:positionH>
                <wp:positionV relativeFrom="paragraph">
                  <wp:posOffset>261107</wp:posOffset>
                </wp:positionV>
                <wp:extent cx="893929" cy="238836"/>
                <wp:effectExtent l="0" t="0" r="1905" b="8890"/>
                <wp:wrapNone/>
                <wp:docPr id="21" name="Text Box 21"/>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4C2EA342" w14:textId="77777777" w:rsidR="0031628C" w:rsidRPr="002071CF" w:rsidRDefault="0031628C" w:rsidP="0031628C">
                            <w:pPr>
                              <w:tabs>
                                <w:tab w:val="left" w:pos="426"/>
                              </w:tabs>
                              <w:spacing w:before="0"/>
                              <w:ind w:left="426" w:hanging="426"/>
                              <w:rPr>
                                <w:bCs/>
                                <w:sz w:val="12"/>
                                <w:szCs w:val="12"/>
                              </w:rPr>
                            </w:pPr>
                            <w:r w:rsidRPr="002071CF">
                              <w:rPr>
                                <w:bCs/>
                                <w:sz w:val="12"/>
                                <w:szCs w:val="12"/>
                              </w:rPr>
                              <w:t>UIT-R</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343A01C7" w14:textId="77777777" w:rsidR="0031628C" w:rsidRPr="002071CF" w:rsidRDefault="0031628C" w:rsidP="0031628C">
                            <w:pPr>
                              <w:tabs>
                                <w:tab w:val="left" w:pos="426"/>
                              </w:tabs>
                              <w:spacing w:before="80"/>
                              <w:rPr>
                                <w:bCs/>
                                <w:sz w:val="12"/>
                                <w:szCs w:val="12"/>
                              </w:rPr>
                            </w:pPr>
                            <w:r>
                              <w:rPr>
                                <w:bCs/>
                                <w:sz w:val="12"/>
                                <w:szCs w:val="12"/>
                              </w:rPr>
                              <w:tab/>
                            </w:r>
                            <w:r w:rsidRPr="002071CF">
                              <w:rPr>
                                <w:bCs/>
                                <w:sz w:val="12"/>
                                <w:szCs w:val="12"/>
                              </w:rPr>
                              <w:t>Associé</w:t>
                            </w:r>
                          </w:p>
                          <w:p w14:paraId="3063113A" w14:textId="77777777" w:rsidR="0031628C" w:rsidRPr="00DF12FB" w:rsidRDefault="0031628C" w:rsidP="0031628C">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BDC54" id="Text Box 21" o:spid="_x0000_s1055" type="#_x0000_t202" style="position:absolute;left:0;text-align:left;margin-left:6.4pt;margin-top:20.55pt;width:70.4pt;height:18.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" fillcolor="white [3201]" stroked="f" strokeweight=".5pt">
                <v:textbox inset="0,0,0,0">
                  <w:txbxContent>
                    <w:p w14:paraId="4C2EA342" w14:textId="77777777" w:rsidR="0031628C" w:rsidRPr="002071CF" w:rsidRDefault="0031628C" w:rsidP="0031628C">
                      <w:pPr>
                        <w:tabs>
                          <w:tab w:val="left" w:pos="426"/>
                        </w:tabs>
                        <w:spacing w:before="0"/>
                        <w:ind w:left="426" w:hanging="426"/>
                        <w:rPr>
                          <w:bCs/>
                          <w:sz w:val="12"/>
                          <w:szCs w:val="12"/>
                        </w:rPr>
                      </w:pPr>
                      <w:r w:rsidRPr="002071CF">
                        <w:rPr>
                          <w:bCs/>
                          <w:sz w:val="12"/>
                          <w:szCs w:val="12"/>
                        </w:rPr>
                        <w:t>UIT-R</w:t>
                      </w:r>
                      <w:r>
                        <w:rPr>
                          <w:b/>
                          <w:bCs/>
                          <w:sz w:val="12"/>
                          <w:szCs w:val="12"/>
                        </w:rPr>
                        <w:t xml:space="preserve"> </w:t>
                      </w:r>
                      <w:r w:rsidRPr="002071CF">
                        <w:rPr>
                          <w:bCs/>
                          <w:sz w:val="12"/>
                          <w:szCs w:val="12"/>
                        </w:rPr>
                        <w:t xml:space="preserve">Membre de </w:t>
                      </w:r>
                      <w:r>
                        <w:rPr>
                          <w:bCs/>
                          <w:sz w:val="12"/>
                          <w:szCs w:val="12"/>
                        </w:rPr>
                        <w:t>S</w:t>
                      </w:r>
                      <w:r w:rsidRPr="002071CF">
                        <w:rPr>
                          <w:bCs/>
                          <w:sz w:val="12"/>
                          <w:szCs w:val="12"/>
                        </w:rPr>
                        <w:t>ecteur</w:t>
                      </w:r>
                    </w:p>
                    <w:p w14:paraId="343A01C7" w14:textId="77777777" w:rsidR="0031628C" w:rsidRPr="002071CF" w:rsidRDefault="0031628C" w:rsidP="0031628C">
                      <w:pPr>
                        <w:tabs>
                          <w:tab w:val="left" w:pos="426"/>
                        </w:tabs>
                        <w:spacing w:before="80"/>
                        <w:rPr>
                          <w:bCs/>
                          <w:sz w:val="12"/>
                          <w:szCs w:val="12"/>
                        </w:rPr>
                      </w:pPr>
                      <w:r>
                        <w:rPr>
                          <w:bCs/>
                          <w:sz w:val="12"/>
                          <w:szCs w:val="12"/>
                        </w:rPr>
                        <w:tab/>
                      </w:r>
                      <w:r w:rsidRPr="002071CF">
                        <w:rPr>
                          <w:bCs/>
                          <w:sz w:val="12"/>
                          <w:szCs w:val="12"/>
                        </w:rPr>
                        <w:t>Associé</w:t>
                      </w:r>
                    </w:p>
                    <w:p w14:paraId="3063113A" w14:textId="77777777" w:rsidR="0031628C" w:rsidRPr="00DF12FB" w:rsidRDefault="0031628C" w:rsidP="0031628C">
                      <w:pPr>
                        <w:spacing w:before="0"/>
                        <w:rPr>
                          <w:sz w:val="2"/>
                          <w:szCs w:val="2"/>
                          <w:lang w:val="fr-CH"/>
                        </w:rPr>
                      </w:pPr>
                    </w:p>
                  </w:txbxContent>
                </v:textbox>
                <w10:wrap anchorx="margin"/>
              </v:shape>
            </w:pict>
          </mc:Fallback>
        </mc:AlternateContent>
      </w:r>
      <w:r w:rsidR="0031628C" w:rsidRPr="00B91EE1">
        <w:rPr>
          <w:noProof/>
          <w:lang w:eastAsia="fr-CH"/>
        </w:rPr>
        <w:drawing>
          <wp:inline distT="0" distB="0" distL="0" distR="0" wp14:anchorId="52E6BDC6" wp14:editId="790B3882">
            <wp:extent cx="6120765" cy="1721465"/>
            <wp:effectExtent l="0" t="0" r="0" b="0"/>
            <wp:docPr id="1954842713" name="Picture 195484271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42713" name="Picture 1954842713" descr="Chart&#10;&#10;Description automatically generated with medium confidenc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765" cy="1721465"/>
                    </a:xfrm>
                    <a:prstGeom prst="rect">
                      <a:avLst/>
                    </a:prstGeom>
                  </pic:spPr>
                </pic:pic>
              </a:graphicData>
            </a:graphic>
          </wp:inline>
        </w:drawing>
      </w:r>
    </w:p>
    <w:p w14:paraId="298F8F7C" w14:textId="18337EB7" w:rsidR="0031628C" w:rsidRPr="00B91EE1" w:rsidRDefault="0031628C" w:rsidP="00153B40">
      <w:pPr>
        <w:pStyle w:val="Heading3"/>
        <w:spacing w:before="240"/>
      </w:pPr>
      <w:r w:rsidRPr="00B91EE1">
        <w:t>8.5.2</w:t>
      </w:r>
      <w:r w:rsidRPr="00B91EE1">
        <w:tab/>
      </w:r>
      <w:bookmarkStart w:id="194" w:name="lt_pId1396"/>
      <w:r w:rsidRPr="00B91EE1">
        <w:t>Membres de l</w:t>
      </w:r>
      <w:r w:rsidR="00392F9A" w:rsidRPr="00B91EE1">
        <w:t>'</w:t>
      </w:r>
      <w:r w:rsidRPr="00B91EE1">
        <w:t>UIT-R</w:t>
      </w:r>
      <w:bookmarkEnd w:id="194"/>
    </w:p>
    <w:p w14:paraId="0380614A" w14:textId="4EEACD4B" w:rsidR="0031628C" w:rsidRPr="00B91EE1" w:rsidRDefault="0031628C" w:rsidP="00153B40">
      <w:pPr>
        <w:keepNext/>
        <w:keepLines/>
      </w:pPr>
      <w:bookmarkStart w:id="195" w:name="lt_pId1397"/>
      <w:r w:rsidRPr="00B91EE1">
        <w:t>Le Tableau 8.5.2 indique l</w:t>
      </w:r>
      <w:r w:rsidR="00392F9A" w:rsidRPr="00B91EE1">
        <w:t>'</w:t>
      </w:r>
      <w:r w:rsidRPr="00B91EE1">
        <w:t>évolution du nombre de Membres du Secteur de l</w:t>
      </w:r>
      <w:r w:rsidR="00392F9A" w:rsidRPr="00B91EE1">
        <w:t>'</w:t>
      </w:r>
      <w:r w:rsidRPr="00B91EE1">
        <w:t>UIT-R, d</w:t>
      </w:r>
      <w:r w:rsidR="00392F9A" w:rsidRPr="00B91EE1">
        <w:t>'</w:t>
      </w:r>
      <w:r w:rsidRPr="00B91EE1">
        <w:t>Associés et d</w:t>
      </w:r>
      <w:r w:rsidR="00392F9A" w:rsidRPr="00B91EE1">
        <w:t>'</w:t>
      </w:r>
      <w:r w:rsidRPr="00B91EE1">
        <w:t>établissements universitaires ayant participé aux travaux de ce Secteur au cours de la période allant de 2018 à 2022.</w:t>
      </w:r>
      <w:bookmarkEnd w:id="195"/>
    </w:p>
    <w:p w14:paraId="6F21142B" w14:textId="77777777" w:rsidR="0031628C" w:rsidRPr="00B91EE1" w:rsidRDefault="0031628C" w:rsidP="004522B1">
      <w:pPr>
        <w:pStyle w:val="TableNoBR"/>
      </w:pPr>
      <w:r w:rsidRPr="00B91EE1">
        <w:t>TABLEAU 8.5.2</w:t>
      </w:r>
    </w:p>
    <w:p w14:paraId="630FAFFA" w14:textId="62414805" w:rsidR="0031628C" w:rsidRPr="00B91EE1" w:rsidRDefault="0031628C" w:rsidP="004522B1">
      <w:pPr>
        <w:pStyle w:val="TableNotitle"/>
        <w:spacing w:before="120"/>
      </w:pPr>
      <w:r w:rsidRPr="00B91EE1">
        <w:t>Évolution du nombre de Membres du Secteur de l</w:t>
      </w:r>
      <w:r w:rsidR="00392F9A" w:rsidRPr="00B91EE1">
        <w:t>'</w:t>
      </w:r>
      <w:r w:rsidRPr="00B91EE1">
        <w:t>UIT-R depuis 2018</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22"/>
        <w:gridCol w:w="877"/>
        <w:gridCol w:w="910"/>
        <w:gridCol w:w="922"/>
        <w:gridCol w:w="955"/>
        <w:gridCol w:w="1705"/>
        <w:gridCol w:w="1560"/>
      </w:tblGrid>
      <w:tr w:rsidR="0031628C" w:rsidRPr="00B91EE1" w14:paraId="3577DD4A" w14:textId="77777777" w:rsidTr="00153B40">
        <w:trPr>
          <w:trHeight w:val="227"/>
        </w:trPr>
        <w:tc>
          <w:tcPr>
            <w:tcW w:w="1642" w:type="dxa"/>
            <w:tcBorders>
              <w:top w:val="single" w:sz="4" w:space="0" w:color="auto"/>
              <w:left w:val="single" w:sz="4" w:space="0" w:color="auto"/>
              <w:bottom w:val="single" w:sz="4" w:space="0" w:color="auto"/>
              <w:right w:val="single" w:sz="4" w:space="0" w:color="auto"/>
            </w:tcBorders>
            <w:hideMark/>
          </w:tcPr>
          <w:p w14:paraId="6BDEFB7C" w14:textId="77777777" w:rsidR="0031628C" w:rsidRPr="00B91EE1" w:rsidRDefault="0031628C" w:rsidP="004522B1">
            <w:pPr>
              <w:pStyle w:val="Tablehead"/>
              <w:rPr>
                <w:sz w:val="20"/>
                <w:lang w:eastAsia="zh-CN"/>
              </w:rPr>
            </w:pPr>
          </w:p>
        </w:tc>
        <w:tc>
          <w:tcPr>
            <w:tcW w:w="922" w:type="dxa"/>
            <w:tcBorders>
              <w:top w:val="single" w:sz="4" w:space="0" w:color="auto"/>
              <w:left w:val="single" w:sz="4" w:space="0" w:color="auto"/>
              <w:bottom w:val="single" w:sz="4" w:space="0" w:color="auto"/>
              <w:right w:val="single" w:sz="4" w:space="0" w:color="auto"/>
            </w:tcBorders>
            <w:hideMark/>
          </w:tcPr>
          <w:p w14:paraId="6462B2F0" w14:textId="77777777" w:rsidR="0031628C" w:rsidRPr="00B91EE1" w:rsidRDefault="0031628C" w:rsidP="004522B1">
            <w:pPr>
              <w:pStyle w:val="Tablehead"/>
              <w:rPr>
                <w:sz w:val="20"/>
                <w:lang w:eastAsia="zh-CN"/>
              </w:rPr>
            </w:pPr>
            <w:r w:rsidRPr="00B91EE1">
              <w:rPr>
                <w:bCs/>
                <w:szCs w:val="24"/>
              </w:rPr>
              <w:t>2018</w:t>
            </w:r>
          </w:p>
        </w:tc>
        <w:tc>
          <w:tcPr>
            <w:tcW w:w="877" w:type="dxa"/>
            <w:tcBorders>
              <w:top w:val="single" w:sz="4" w:space="0" w:color="auto"/>
              <w:left w:val="single" w:sz="4" w:space="0" w:color="auto"/>
              <w:bottom w:val="single" w:sz="4" w:space="0" w:color="auto"/>
              <w:right w:val="single" w:sz="4" w:space="0" w:color="auto"/>
            </w:tcBorders>
            <w:hideMark/>
          </w:tcPr>
          <w:p w14:paraId="39779ACC" w14:textId="77777777" w:rsidR="0031628C" w:rsidRPr="00B91EE1" w:rsidRDefault="0031628C" w:rsidP="004522B1">
            <w:pPr>
              <w:pStyle w:val="Tablehead"/>
              <w:rPr>
                <w:sz w:val="20"/>
                <w:lang w:eastAsia="zh-CN"/>
              </w:rPr>
            </w:pPr>
            <w:r w:rsidRPr="00B91EE1">
              <w:rPr>
                <w:bCs/>
                <w:color w:val="000000"/>
              </w:rPr>
              <w:t>2019</w:t>
            </w:r>
          </w:p>
        </w:tc>
        <w:tc>
          <w:tcPr>
            <w:tcW w:w="910" w:type="dxa"/>
            <w:tcBorders>
              <w:top w:val="single" w:sz="4" w:space="0" w:color="auto"/>
              <w:left w:val="single" w:sz="4" w:space="0" w:color="auto"/>
              <w:bottom w:val="single" w:sz="4" w:space="0" w:color="auto"/>
              <w:right w:val="single" w:sz="4" w:space="0" w:color="auto"/>
            </w:tcBorders>
            <w:hideMark/>
          </w:tcPr>
          <w:p w14:paraId="3C7A5662" w14:textId="77777777" w:rsidR="0031628C" w:rsidRPr="00B91EE1" w:rsidRDefault="0031628C" w:rsidP="004522B1">
            <w:pPr>
              <w:pStyle w:val="Tablehead"/>
              <w:rPr>
                <w:sz w:val="20"/>
                <w:lang w:eastAsia="zh-CN"/>
              </w:rPr>
            </w:pPr>
            <w:r w:rsidRPr="00B91EE1">
              <w:rPr>
                <w:bCs/>
                <w:color w:val="000000"/>
              </w:rPr>
              <w:t>2020</w:t>
            </w:r>
          </w:p>
        </w:tc>
        <w:tc>
          <w:tcPr>
            <w:tcW w:w="922" w:type="dxa"/>
            <w:tcBorders>
              <w:top w:val="single" w:sz="4" w:space="0" w:color="auto"/>
              <w:left w:val="single" w:sz="4" w:space="0" w:color="auto"/>
              <w:bottom w:val="single" w:sz="4" w:space="0" w:color="auto"/>
              <w:right w:val="single" w:sz="4" w:space="0" w:color="auto"/>
            </w:tcBorders>
            <w:hideMark/>
          </w:tcPr>
          <w:p w14:paraId="3C50B203" w14:textId="77777777" w:rsidR="0031628C" w:rsidRPr="00B91EE1" w:rsidRDefault="0031628C" w:rsidP="004522B1">
            <w:pPr>
              <w:pStyle w:val="Tablehead"/>
              <w:rPr>
                <w:sz w:val="20"/>
                <w:lang w:eastAsia="zh-CN"/>
              </w:rPr>
            </w:pPr>
            <w:r w:rsidRPr="00B91EE1">
              <w:rPr>
                <w:bCs/>
                <w:color w:val="000000"/>
              </w:rPr>
              <w:t>2021</w:t>
            </w:r>
          </w:p>
        </w:tc>
        <w:tc>
          <w:tcPr>
            <w:tcW w:w="955" w:type="dxa"/>
            <w:tcBorders>
              <w:top w:val="single" w:sz="4" w:space="0" w:color="auto"/>
              <w:left w:val="single" w:sz="4" w:space="0" w:color="auto"/>
              <w:bottom w:val="single" w:sz="4" w:space="0" w:color="auto"/>
              <w:right w:val="single" w:sz="4" w:space="0" w:color="auto"/>
            </w:tcBorders>
            <w:hideMark/>
          </w:tcPr>
          <w:p w14:paraId="7EC9F0B5" w14:textId="77777777" w:rsidR="0031628C" w:rsidRPr="00B91EE1" w:rsidRDefault="0031628C" w:rsidP="004522B1">
            <w:pPr>
              <w:pStyle w:val="Tablehead"/>
              <w:rPr>
                <w:sz w:val="20"/>
                <w:lang w:eastAsia="zh-CN"/>
              </w:rPr>
            </w:pPr>
            <w:r w:rsidRPr="00B91EE1">
              <w:rPr>
                <w:bCs/>
                <w:color w:val="000000" w:themeColor="text1"/>
              </w:rPr>
              <w:t>2022</w:t>
            </w:r>
          </w:p>
        </w:tc>
        <w:tc>
          <w:tcPr>
            <w:tcW w:w="1705" w:type="dxa"/>
            <w:tcBorders>
              <w:top w:val="single" w:sz="4" w:space="0" w:color="auto"/>
              <w:left w:val="single" w:sz="4" w:space="0" w:color="auto"/>
              <w:bottom w:val="single" w:sz="4" w:space="0" w:color="auto"/>
              <w:right w:val="single" w:sz="4" w:space="0" w:color="auto"/>
            </w:tcBorders>
            <w:hideMark/>
          </w:tcPr>
          <w:p w14:paraId="242444DE" w14:textId="77777777" w:rsidR="0031628C" w:rsidRPr="00B91EE1" w:rsidRDefault="0031628C" w:rsidP="004522B1">
            <w:pPr>
              <w:pStyle w:val="Tablehead"/>
              <w:rPr>
                <w:sz w:val="20"/>
                <w:lang w:eastAsia="zh-CN"/>
              </w:rPr>
            </w:pPr>
            <w:bookmarkStart w:id="196" w:name="lt_pId1404"/>
            <w:r w:rsidRPr="00B91EE1">
              <w:rPr>
                <w:sz w:val="20"/>
                <w:lang w:eastAsia="zh-CN"/>
              </w:rPr>
              <w:t xml:space="preserve">2022 </w:t>
            </w:r>
            <w:r w:rsidRPr="00B91EE1">
              <w:rPr>
                <w:sz w:val="20"/>
                <w:lang w:eastAsia="zh-CN"/>
              </w:rPr>
              <w:br/>
              <w:t>par rapport à 201</w:t>
            </w:r>
            <w:bookmarkEnd w:id="196"/>
            <w:r w:rsidRPr="00B91EE1">
              <w:rPr>
                <w:sz w:val="20"/>
                <w:lang w:eastAsia="zh-CN"/>
              </w:rPr>
              <w:t>8</w:t>
            </w:r>
          </w:p>
        </w:tc>
        <w:tc>
          <w:tcPr>
            <w:tcW w:w="1560" w:type="dxa"/>
            <w:tcBorders>
              <w:top w:val="single" w:sz="4" w:space="0" w:color="auto"/>
              <w:left w:val="single" w:sz="4" w:space="0" w:color="auto"/>
              <w:bottom w:val="single" w:sz="4" w:space="0" w:color="auto"/>
              <w:right w:val="single" w:sz="4" w:space="0" w:color="auto"/>
            </w:tcBorders>
            <w:hideMark/>
          </w:tcPr>
          <w:p w14:paraId="1E72CEE5" w14:textId="77777777" w:rsidR="0031628C" w:rsidRPr="00B91EE1" w:rsidRDefault="0031628C" w:rsidP="004522B1">
            <w:pPr>
              <w:pStyle w:val="Tablehead"/>
              <w:rPr>
                <w:sz w:val="20"/>
                <w:lang w:eastAsia="zh-CN"/>
              </w:rPr>
            </w:pPr>
            <w:bookmarkStart w:id="197" w:name="lt_pId1405"/>
            <w:r w:rsidRPr="00B91EE1">
              <w:rPr>
                <w:sz w:val="20"/>
                <w:lang w:eastAsia="zh-CN"/>
              </w:rPr>
              <w:t>Augmentation en pourcentage</w:t>
            </w:r>
            <w:bookmarkEnd w:id="197"/>
          </w:p>
        </w:tc>
      </w:tr>
      <w:tr w:rsidR="0031628C" w:rsidRPr="00B91EE1" w14:paraId="6C2FE114" w14:textId="77777777" w:rsidTr="00153B40">
        <w:trPr>
          <w:trHeight w:val="300"/>
        </w:trPr>
        <w:tc>
          <w:tcPr>
            <w:tcW w:w="1642" w:type="dxa"/>
            <w:tcBorders>
              <w:top w:val="single" w:sz="4" w:space="0" w:color="auto"/>
              <w:left w:val="single" w:sz="4" w:space="0" w:color="auto"/>
              <w:bottom w:val="single" w:sz="4" w:space="0" w:color="auto"/>
              <w:right w:val="single" w:sz="4" w:space="0" w:color="auto"/>
            </w:tcBorders>
            <w:vAlign w:val="center"/>
            <w:hideMark/>
          </w:tcPr>
          <w:p w14:paraId="52713F44" w14:textId="61E87B94" w:rsidR="0031628C" w:rsidRPr="00B91EE1" w:rsidRDefault="0031628C" w:rsidP="004522B1">
            <w:pPr>
              <w:pStyle w:val="Tabletext"/>
              <w:jc w:val="center"/>
              <w:rPr>
                <w:b/>
                <w:bCs/>
                <w:szCs w:val="22"/>
                <w:lang w:eastAsia="zh-CN"/>
              </w:rPr>
            </w:pPr>
            <w:bookmarkStart w:id="198" w:name="lt_pId1406"/>
            <w:r w:rsidRPr="00B91EE1">
              <w:rPr>
                <w:b/>
                <w:bCs/>
                <w:szCs w:val="22"/>
                <w:lang w:eastAsia="zh-CN"/>
              </w:rPr>
              <w:t>Membres de Secteur</w:t>
            </w:r>
            <w:bookmarkEnd w:id="198"/>
          </w:p>
          <w:p w14:paraId="5D94F64F" w14:textId="77777777" w:rsidR="0031628C" w:rsidRPr="00B91EE1" w:rsidRDefault="0031628C" w:rsidP="004522B1">
            <w:pPr>
              <w:pStyle w:val="Tabletext"/>
              <w:jc w:val="center"/>
              <w:rPr>
                <w:b/>
                <w:bCs/>
                <w:szCs w:val="22"/>
                <w:lang w:eastAsia="zh-CN"/>
              </w:rPr>
            </w:pPr>
            <w:r w:rsidRPr="00B91EE1">
              <w:rPr>
                <w:b/>
                <w:bCs/>
                <w:szCs w:val="22"/>
                <w:lang w:eastAsia="zh-CN"/>
              </w:rPr>
              <w:t>Membres</w:t>
            </w:r>
          </w:p>
        </w:tc>
        <w:tc>
          <w:tcPr>
            <w:tcW w:w="922" w:type="dxa"/>
            <w:tcBorders>
              <w:top w:val="single" w:sz="4" w:space="0" w:color="auto"/>
              <w:left w:val="single" w:sz="4" w:space="0" w:color="auto"/>
              <w:bottom w:val="single" w:sz="4" w:space="0" w:color="auto"/>
              <w:right w:val="single" w:sz="4" w:space="0" w:color="auto"/>
            </w:tcBorders>
            <w:hideMark/>
          </w:tcPr>
          <w:p w14:paraId="36BA100A" w14:textId="77777777" w:rsidR="0031628C" w:rsidRPr="00B91EE1" w:rsidRDefault="0031628C" w:rsidP="004522B1">
            <w:pPr>
              <w:pStyle w:val="Tabletext"/>
              <w:jc w:val="center"/>
              <w:rPr>
                <w:szCs w:val="22"/>
                <w:lang w:eastAsia="zh-CN"/>
              </w:rPr>
            </w:pPr>
            <w:r w:rsidRPr="00B91EE1">
              <w:rPr>
                <w:szCs w:val="22"/>
              </w:rPr>
              <w:t>264</w:t>
            </w:r>
          </w:p>
        </w:tc>
        <w:tc>
          <w:tcPr>
            <w:tcW w:w="877" w:type="dxa"/>
            <w:tcBorders>
              <w:top w:val="single" w:sz="4" w:space="0" w:color="auto"/>
              <w:left w:val="single" w:sz="4" w:space="0" w:color="auto"/>
              <w:bottom w:val="single" w:sz="4" w:space="0" w:color="auto"/>
              <w:right w:val="single" w:sz="4" w:space="0" w:color="auto"/>
            </w:tcBorders>
            <w:hideMark/>
          </w:tcPr>
          <w:p w14:paraId="1B061339" w14:textId="77777777" w:rsidR="0031628C" w:rsidRPr="00B91EE1" w:rsidRDefault="0031628C" w:rsidP="004522B1">
            <w:pPr>
              <w:pStyle w:val="Tabletext"/>
              <w:jc w:val="center"/>
              <w:rPr>
                <w:szCs w:val="22"/>
                <w:lang w:eastAsia="zh-CN"/>
              </w:rPr>
            </w:pPr>
            <w:r w:rsidRPr="00B91EE1">
              <w:rPr>
                <w:szCs w:val="22"/>
              </w:rPr>
              <w:t>272</w:t>
            </w:r>
          </w:p>
        </w:tc>
        <w:tc>
          <w:tcPr>
            <w:tcW w:w="910" w:type="dxa"/>
            <w:tcBorders>
              <w:top w:val="single" w:sz="4" w:space="0" w:color="auto"/>
              <w:left w:val="single" w:sz="4" w:space="0" w:color="auto"/>
              <w:bottom w:val="single" w:sz="4" w:space="0" w:color="auto"/>
              <w:right w:val="single" w:sz="4" w:space="0" w:color="auto"/>
            </w:tcBorders>
            <w:hideMark/>
          </w:tcPr>
          <w:p w14:paraId="531C1F0A" w14:textId="77777777" w:rsidR="0031628C" w:rsidRPr="00B91EE1" w:rsidRDefault="0031628C" w:rsidP="004522B1">
            <w:pPr>
              <w:pStyle w:val="Tabletext"/>
              <w:jc w:val="center"/>
              <w:rPr>
                <w:szCs w:val="22"/>
                <w:lang w:eastAsia="zh-CN"/>
              </w:rPr>
            </w:pPr>
            <w:r w:rsidRPr="00B91EE1">
              <w:rPr>
                <w:szCs w:val="22"/>
              </w:rPr>
              <w:t>275</w:t>
            </w:r>
          </w:p>
        </w:tc>
        <w:tc>
          <w:tcPr>
            <w:tcW w:w="922" w:type="dxa"/>
            <w:tcBorders>
              <w:top w:val="single" w:sz="4" w:space="0" w:color="auto"/>
              <w:left w:val="single" w:sz="4" w:space="0" w:color="auto"/>
              <w:bottom w:val="single" w:sz="4" w:space="0" w:color="auto"/>
              <w:right w:val="single" w:sz="4" w:space="0" w:color="auto"/>
            </w:tcBorders>
            <w:hideMark/>
          </w:tcPr>
          <w:p w14:paraId="78DF9859" w14:textId="77777777" w:rsidR="0031628C" w:rsidRPr="00B91EE1" w:rsidRDefault="0031628C" w:rsidP="004522B1">
            <w:pPr>
              <w:pStyle w:val="Tabletext"/>
              <w:jc w:val="center"/>
              <w:rPr>
                <w:szCs w:val="22"/>
                <w:lang w:eastAsia="zh-CN"/>
              </w:rPr>
            </w:pPr>
            <w:r w:rsidRPr="00B91EE1">
              <w:rPr>
                <w:szCs w:val="22"/>
              </w:rPr>
              <w:t>278</w:t>
            </w:r>
          </w:p>
        </w:tc>
        <w:tc>
          <w:tcPr>
            <w:tcW w:w="955" w:type="dxa"/>
            <w:tcBorders>
              <w:top w:val="single" w:sz="4" w:space="0" w:color="auto"/>
              <w:left w:val="single" w:sz="4" w:space="0" w:color="auto"/>
              <w:bottom w:val="single" w:sz="4" w:space="0" w:color="auto"/>
              <w:right w:val="single" w:sz="4" w:space="0" w:color="auto"/>
            </w:tcBorders>
            <w:hideMark/>
          </w:tcPr>
          <w:p w14:paraId="34E486BE" w14:textId="77777777" w:rsidR="0031628C" w:rsidRPr="00B91EE1" w:rsidRDefault="0031628C" w:rsidP="004522B1">
            <w:pPr>
              <w:pStyle w:val="Tabletext"/>
              <w:jc w:val="center"/>
              <w:rPr>
                <w:szCs w:val="22"/>
                <w:lang w:eastAsia="zh-CN"/>
              </w:rPr>
            </w:pPr>
            <w:r w:rsidRPr="00B91EE1">
              <w:rPr>
                <w:szCs w:val="22"/>
              </w:rPr>
              <w:t>278</w:t>
            </w:r>
          </w:p>
        </w:tc>
        <w:tc>
          <w:tcPr>
            <w:tcW w:w="1705" w:type="dxa"/>
            <w:tcBorders>
              <w:top w:val="single" w:sz="4" w:space="0" w:color="auto"/>
              <w:left w:val="single" w:sz="4" w:space="0" w:color="auto"/>
              <w:bottom w:val="single" w:sz="4" w:space="0" w:color="auto"/>
              <w:right w:val="single" w:sz="4" w:space="0" w:color="auto"/>
            </w:tcBorders>
            <w:hideMark/>
          </w:tcPr>
          <w:p w14:paraId="3E11FCF7" w14:textId="77777777" w:rsidR="0031628C" w:rsidRPr="00B91EE1" w:rsidRDefault="0031628C" w:rsidP="004522B1">
            <w:pPr>
              <w:pStyle w:val="Tabletext"/>
              <w:jc w:val="center"/>
              <w:rPr>
                <w:szCs w:val="22"/>
                <w:lang w:eastAsia="zh-CN"/>
              </w:rPr>
            </w:pPr>
            <w:r w:rsidRPr="00B91EE1">
              <w:rPr>
                <w:szCs w:val="22"/>
              </w:rPr>
              <w:t>14</w:t>
            </w:r>
          </w:p>
        </w:tc>
        <w:tc>
          <w:tcPr>
            <w:tcW w:w="1560" w:type="dxa"/>
            <w:tcBorders>
              <w:top w:val="single" w:sz="4" w:space="0" w:color="auto"/>
              <w:left w:val="single" w:sz="4" w:space="0" w:color="auto"/>
              <w:bottom w:val="single" w:sz="4" w:space="0" w:color="auto"/>
              <w:right w:val="single" w:sz="4" w:space="0" w:color="auto"/>
            </w:tcBorders>
            <w:hideMark/>
          </w:tcPr>
          <w:p w14:paraId="532276AE" w14:textId="77777777" w:rsidR="0031628C" w:rsidRPr="00B91EE1" w:rsidRDefault="0031628C" w:rsidP="004522B1">
            <w:pPr>
              <w:pStyle w:val="Tabletext"/>
              <w:jc w:val="center"/>
              <w:rPr>
                <w:szCs w:val="22"/>
                <w:lang w:eastAsia="zh-CN"/>
              </w:rPr>
            </w:pPr>
            <w:r w:rsidRPr="00B91EE1">
              <w:rPr>
                <w:szCs w:val="22"/>
              </w:rPr>
              <w:t>5,3%</w:t>
            </w:r>
          </w:p>
        </w:tc>
      </w:tr>
      <w:tr w:rsidR="0031628C" w:rsidRPr="00B91EE1" w14:paraId="10252C04" w14:textId="77777777" w:rsidTr="00153B40">
        <w:trPr>
          <w:trHeight w:val="300"/>
        </w:trPr>
        <w:tc>
          <w:tcPr>
            <w:tcW w:w="1642" w:type="dxa"/>
            <w:tcBorders>
              <w:top w:val="single" w:sz="4" w:space="0" w:color="auto"/>
              <w:left w:val="single" w:sz="4" w:space="0" w:color="auto"/>
              <w:bottom w:val="single" w:sz="4" w:space="0" w:color="auto"/>
              <w:right w:val="single" w:sz="4" w:space="0" w:color="auto"/>
            </w:tcBorders>
            <w:vAlign w:val="center"/>
            <w:hideMark/>
          </w:tcPr>
          <w:p w14:paraId="03DA9D60" w14:textId="3C675E40" w:rsidR="0031628C" w:rsidRPr="00B91EE1" w:rsidRDefault="0031628C" w:rsidP="004522B1">
            <w:pPr>
              <w:pStyle w:val="Tabletext"/>
              <w:jc w:val="center"/>
              <w:rPr>
                <w:b/>
                <w:bCs/>
                <w:szCs w:val="22"/>
                <w:lang w:eastAsia="zh-CN"/>
              </w:rPr>
            </w:pPr>
            <w:bookmarkStart w:id="199" w:name="lt_pId1413"/>
            <w:r w:rsidRPr="00B91EE1">
              <w:rPr>
                <w:b/>
                <w:bCs/>
                <w:szCs w:val="22"/>
                <w:lang w:eastAsia="zh-CN"/>
              </w:rPr>
              <w:t>Associés</w:t>
            </w:r>
            <w:bookmarkEnd w:id="199"/>
          </w:p>
        </w:tc>
        <w:tc>
          <w:tcPr>
            <w:tcW w:w="922" w:type="dxa"/>
            <w:tcBorders>
              <w:top w:val="single" w:sz="4" w:space="0" w:color="auto"/>
              <w:left w:val="single" w:sz="4" w:space="0" w:color="auto"/>
              <w:bottom w:val="single" w:sz="4" w:space="0" w:color="auto"/>
              <w:right w:val="single" w:sz="4" w:space="0" w:color="auto"/>
            </w:tcBorders>
            <w:hideMark/>
          </w:tcPr>
          <w:p w14:paraId="74D42EEF" w14:textId="77777777" w:rsidR="0031628C" w:rsidRPr="00B91EE1" w:rsidRDefault="0031628C" w:rsidP="004522B1">
            <w:pPr>
              <w:pStyle w:val="Tabletext"/>
              <w:jc w:val="center"/>
              <w:rPr>
                <w:szCs w:val="22"/>
                <w:lang w:eastAsia="zh-CN"/>
              </w:rPr>
            </w:pPr>
            <w:r w:rsidRPr="00B91EE1">
              <w:rPr>
                <w:szCs w:val="22"/>
              </w:rPr>
              <w:t>20</w:t>
            </w:r>
          </w:p>
        </w:tc>
        <w:tc>
          <w:tcPr>
            <w:tcW w:w="877" w:type="dxa"/>
            <w:tcBorders>
              <w:top w:val="single" w:sz="4" w:space="0" w:color="auto"/>
              <w:left w:val="single" w:sz="4" w:space="0" w:color="auto"/>
              <w:bottom w:val="single" w:sz="4" w:space="0" w:color="auto"/>
              <w:right w:val="single" w:sz="4" w:space="0" w:color="auto"/>
            </w:tcBorders>
            <w:hideMark/>
          </w:tcPr>
          <w:p w14:paraId="0B197679" w14:textId="77777777" w:rsidR="0031628C" w:rsidRPr="00B91EE1" w:rsidRDefault="0031628C" w:rsidP="004522B1">
            <w:pPr>
              <w:pStyle w:val="Tabletext"/>
              <w:jc w:val="center"/>
              <w:rPr>
                <w:szCs w:val="22"/>
                <w:lang w:eastAsia="zh-CN"/>
              </w:rPr>
            </w:pPr>
            <w:r w:rsidRPr="00B91EE1">
              <w:rPr>
                <w:szCs w:val="22"/>
              </w:rPr>
              <w:t>21</w:t>
            </w:r>
          </w:p>
        </w:tc>
        <w:tc>
          <w:tcPr>
            <w:tcW w:w="910" w:type="dxa"/>
            <w:tcBorders>
              <w:top w:val="single" w:sz="4" w:space="0" w:color="auto"/>
              <w:left w:val="single" w:sz="4" w:space="0" w:color="auto"/>
              <w:bottom w:val="single" w:sz="4" w:space="0" w:color="auto"/>
              <w:right w:val="single" w:sz="4" w:space="0" w:color="auto"/>
            </w:tcBorders>
            <w:hideMark/>
          </w:tcPr>
          <w:p w14:paraId="6AE2A5F2" w14:textId="77777777" w:rsidR="0031628C" w:rsidRPr="00B91EE1" w:rsidRDefault="0031628C" w:rsidP="004522B1">
            <w:pPr>
              <w:pStyle w:val="Tabletext"/>
              <w:jc w:val="center"/>
              <w:rPr>
                <w:szCs w:val="22"/>
                <w:lang w:eastAsia="zh-CN"/>
              </w:rPr>
            </w:pPr>
            <w:r w:rsidRPr="00B91EE1">
              <w:rPr>
                <w:szCs w:val="22"/>
              </w:rPr>
              <w:t>22</w:t>
            </w:r>
          </w:p>
        </w:tc>
        <w:tc>
          <w:tcPr>
            <w:tcW w:w="922" w:type="dxa"/>
            <w:tcBorders>
              <w:top w:val="single" w:sz="4" w:space="0" w:color="auto"/>
              <w:left w:val="single" w:sz="4" w:space="0" w:color="auto"/>
              <w:bottom w:val="single" w:sz="4" w:space="0" w:color="auto"/>
              <w:right w:val="single" w:sz="4" w:space="0" w:color="auto"/>
            </w:tcBorders>
            <w:hideMark/>
          </w:tcPr>
          <w:p w14:paraId="14051247" w14:textId="77777777" w:rsidR="0031628C" w:rsidRPr="00B91EE1" w:rsidRDefault="0031628C" w:rsidP="004522B1">
            <w:pPr>
              <w:pStyle w:val="Tabletext"/>
              <w:jc w:val="center"/>
              <w:rPr>
                <w:szCs w:val="22"/>
                <w:lang w:eastAsia="zh-CN"/>
              </w:rPr>
            </w:pPr>
            <w:r w:rsidRPr="00B91EE1">
              <w:rPr>
                <w:szCs w:val="22"/>
              </w:rPr>
              <w:t>28</w:t>
            </w:r>
          </w:p>
        </w:tc>
        <w:tc>
          <w:tcPr>
            <w:tcW w:w="955" w:type="dxa"/>
            <w:tcBorders>
              <w:top w:val="single" w:sz="4" w:space="0" w:color="auto"/>
              <w:left w:val="single" w:sz="4" w:space="0" w:color="auto"/>
              <w:bottom w:val="single" w:sz="4" w:space="0" w:color="auto"/>
              <w:right w:val="single" w:sz="4" w:space="0" w:color="auto"/>
            </w:tcBorders>
            <w:hideMark/>
          </w:tcPr>
          <w:p w14:paraId="219AEDDC" w14:textId="77777777" w:rsidR="0031628C" w:rsidRPr="00B91EE1" w:rsidRDefault="0031628C" w:rsidP="004522B1">
            <w:pPr>
              <w:pStyle w:val="Tabletext"/>
              <w:jc w:val="center"/>
              <w:rPr>
                <w:szCs w:val="22"/>
                <w:lang w:eastAsia="zh-CN"/>
              </w:rPr>
            </w:pPr>
            <w:r w:rsidRPr="00B91EE1">
              <w:rPr>
                <w:szCs w:val="22"/>
              </w:rPr>
              <w:t>38</w:t>
            </w:r>
          </w:p>
        </w:tc>
        <w:tc>
          <w:tcPr>
            <w:tcW w:w="1705" w:type="dxa"/>
            <w:tcBorders>
              <w:top w:val="single" w:sz="4" w:space="0" w:color="auto"/>
              <w:left w:val="single" w:sz="4" w:space="0" w:color="auto"/>
              <w:bottom w:val="single" w:sz="4" w:space="0" w:color="auto"/>
              <w:right w:val="single" w:sz="4" w:space="0" w:color="auto"/>
            </w:tcBorders>
            <w:hideMark/>
          </w:tcPr>
          <w:p w14:paraId="4FA3D003" w14:textId="77777777" w:rsidR="0031628C" w:rsidRPr="00B91EE1" w:rsidRDefault="0031628C" w:rsidP="004522B1">
            <w:pPr>
              <w:pStyle w:val="Tabletext"/>
              <w:jc w:val="center"/>
              <w:rPr>
                <w:szCs w:val="22"/>
                <w:lang w:eastAsia="zh-CN"/>
              </w:rPr>
            </w:pPr>
            <w:r w:rsidRPr="00B91EE1">
              <w:rPr>
                <w:szCs w:val="22"/>
                <w:lang w:eastAsia="zh-CN"/>
              </w:rPr>
              <w:t>18</w:t>
            </w:r>
          </w:p>
        </w:tc>
        <w:tc>
          <w:tcPr>
            <w:tcW w:w="1560" w:type="dxa"/>
            <w:tcBorders>
              <w:top w:val="single" w:sz="4" w:space="0" w:color="auto"/>
              <w:left w:val="single" w:sz="4" w:space="0" w:color="auto"/>
              <w:bottom w:val="single" w:sz="4" w:space="0" w:color="auto"/>
              <w:right w:val="single" w:sz="4" w:space="0" w:color="auto"/>
            </w:tcBorders>
            <w:hideMark/>
          </w:tcPr>
          <w:p w14:paraId="5A6FDAAE" w14:textId="77777777" w:rsidR="0031628C" w:rsidRPr="00B91EE1" w:rsidRDefault="0031628C" w:rsidP="004522B1">
            <w:pPr>
              <w:pStyle w:val="Tabletext"/>
              <w:jc w:val="center"/>
              <w:rPr>
                <w:szCs w:val="22"/>
                <w:lang w:eastAsia="zh-CN"/>
              </w:rPr>
            </w:pPr>
            <w:r w:rsidRPr="00B91EE1">
              <w:rPr>
                <w:szCs w:val="22"/>
                <w:lang w:eastAsia="zh-CN"/>
              </w:rPr>
              <w:t>90%</w:t>
            </w:r>
          </w:p>
        </w:tc>
      </w:tr>
      <w:tr w:rsidR="0031628C" w:rsidRPr="00B91EE1" w14:paraId="50AFE494" w14:textId="77777777" w:rsidTr="00153B40">
        <w:trPr>
          <w:trHeight w:val="315"/>
        </w:trPr>
        <w:tc>
          <w:tcPr>
            <w:tcW w:w="1642" w:type="dxa"/>
            <w:tcBorders>
              <w:top w:val="single" w:sz="4" w:space="0" w:color="auto"/>
              <w:left w:val="single" w:sz="4" w:space="0" w:color="auto"/>
              <w:bottom w:val="single" w:sz="4" w:space="0" w:color="auto"/>
              <w:right w:val="single" w:sz="4" w:space="0" w:color="auto"/>
            </w:tcBorders>
            <w:vAlign w:val="center"/>
            <w:hideMark/>
          </w:tcPr>
          <w:p w14:paraId="7D165105" w14:textId="77777777" w:rsidR="0031628C" w:rsidRPr="00B91EE1" w:rsidRDefault="0031628C" w:rsidP="004522B1">
            <w:pPr>
              <w:pStyle w:val="Tabletext"/>
              <w:jc w:val="center"/>
              <w:rPr>
                <w:b/>
                <w:bCs/>
                <w:szCs w:val="22"/>
                <w:lang w:eastAsia="zh-CN"/>
              </w:rPr>
            </w:pPr>
            <w:r w:rsidRPr="00B91EE1">
              <w:rPr>
                <w:b/>
                <w:bCs/>
                <w:szCs w:val="22"/>
                <w:lang w:eastAsia="zh-CN"/>
              </w:rPr>
              <w:t>Établissements universitaires*</w:t>
            </w:r>
          </w:p>
        </w:tc>
        <w:tc>
          <w:tcPr>
            <w:tcW w:w="922" w:type="dxa"/>
            <w:tcBorders>
              <w:top w:val="single" w:sz="4" w:space="0" w:color="auto"/>
              <w:left w:val="single" w:sz="4" w:space="0" w:color="auto"/>
              <w:bottom w:val="single" w:sz="4" w:space="0" w:color="auto"/>
              <w:right w:val="single" w:sz="4" w:space="0" w:color="auto"/>
            </w:tcBorders>
            <w:hideMark/>
          </w:tcPr>
          <w:p w14:paraId="5C2F162A" w14:textId="77777777" w:rsidR="0031628C" w:rsidRPr="00B91EE1" w:rsidRDefault="0031628C" w:rsidP="004522B1">
            <w:pPr>
              <w:pStyle w:val="Tabletext"/>
              <w:jc w:val="center"/>
              <w:rPr>
                <w:szCs w:val="22"/>
                <w:lang w:eastAsia="zh-CN"/>
              </w:rPr>
            </w:pPr>
            <w:r w:rsidRPr="00B91EE1">
              <w:rPr>
                <w:szCs w:val="22"/>
                <w:lang w:eastAsia="zh-CN"/>
              </w:rPr>
              <w:t>147</w:t>
            </w:r>
          </w:p>
        </w:tc>
        <w:tc>
          <w:tcPr>
            <w:tcW w:w="877" w:type="dxa"/>
            <w:tcBorders>
              <w:top w:val="single" w:sz="4" w:space="0" w:color="auto"/>
              <w:left w:val="single" w:sz="4" w:space="0" w:color="auto"/>
              <w:bottom w:val="single" w:sz="4" w:space="0" w:color="auto"/>
              <w:right w:val="single" w:sz="4" w:space="0" w:color="auto"/>
            </w:tcBorders>
          </w:tcPr>
          <w:p w14:paraId="15723216" w14:textId="77777777" w:rsidR="0031628C" w:rsidRPr="00B91EE1" w:rsidRDefault="0031628C" w:rsidP="004522B1">
            <w:pPr>
              <w:pStyle w:val="Tabletext"/>
              <w:jc w:val="center"/>
              <w:rPr>
                <w:szCs w:val="22"/>
                <w:lang w:eastAsia="zh-CN"/>
              </w:rPr>
            </w:pPr>
            <w:r w:rsidRPr="00B91EE1">
              <w:rPr>
                <w:szCs w:val="22"/>
                <w:lang w:eastAsia="zh-CN"/>
              </w:rPr>
              <w:t>156</w:t>
            </w:r>
          </w:p>
        </w:tc>
        <w:tc>
          <w:tcPr>
            <w:tcW w:w="910" w:type="dxa"/>
            <w:tcBorders>
              <w:top w:val="single" w:sz="4" w:space="0" w:color="auto"/>
              <w:left w:val="single" w:sz="4" w:space="0" w:color="auto"/>
              <w:bottom w:val="single" w:sz="4" w:space="0" w:color="auto"/>
              <w:right w:val="single" w:sz="4" w:space="0" w:color="auto"/>
            </w:tcBorders>
          </w:tcPr>
          <w:p w14:paraId="58F82DE3" w14:textId="77777777" w:rsidR="0031628C" w:rsidRPr="00B91EE1" w:rsidRDefault="0031628C" w:rsidP="004522B1">
            <w:pPr>
              <w:pStyle w:val="Tabletext"/>
              <w:jc w:val="center"/>
              <w:rPr>
                <w:szCs w:val="22"/>
                <w:lang w:eastAsia="zh-CN"/>
              </w:rPr>
            </w:pPr>
            <w:r w:rsidRPr="00B91EE1">
              <w:rPr>
                <w:szCs w:val="22"/>
                <w:lang w:eastAsia="zh-CN"/>
              </w:rPr>
              <w:t>161</w:t>
            </w:r>
          </w:p>
        </w:tc>
        <w:tc>
          <w:tcPr>
            <w:tcW w:w="922" w:type="dxa"/>
            <w:tcBorders>
              <w:top w:val="single" w:sz="4" w:space="0" w:color="auto"/>
              <w:left w:val="single" w:sz="4" w:space="0" w:color="auto"/>
              <w:bottom w:val="single" w:sz="4" w:space="0" w:color="auto"/>
              <w:right w:val="single" w:sz="4" w:space="0" w:color="auto"/>
            </w:tcBorders>
            <w:hideMark/>
          </w:tcPr>
          <w:p w14:paraId="44054AA3" w14:textId="77777777" w:rsidR="0031628C" w:rsidRPr="00B91EE1" w:rsidRDefault="0031628C" w:rsidP="004522B1">
            <w:pPr>
              <w:pStyle w:val="Tabletext"/>
              <w:jc w:val="center"/>
              <w:rPr>
                <w:szCs w:val="22"/>
                <w:lang w:eastAsia="zh-CN"/>
              </w:rPr>
            </w:pPr>
            <w:r w:rsidRPr="00B91EE1">
              <w:rPr>
                <w:szCs w:val="22"/>
                <w:lang w:eastAsia="zh-CN"/>
              </w:rPr>
              <w:t>161</w:t>
            </w:r>
          </w:p>
        </w:tc>
        <w:tc>
          <w:tcPr>
            <w:tcW w:w="955" w:type="dxa"/>
            <w:tcBorders>
              <w:top w:val="single" w:sz="4" w:space="0" w:color="auto"/>
              <w:left w:val="single" w:sz="4" w:space="0" w:color="auto"/>
              <w:bottom w:val="single" w:sz="4" w:space="0" w:color="auto"/>
              <w:right w:val="single" w:sz="4" w:space="0" w:color="auto"/>
            </w:tcBorders>
            <w:hideMark/>
          </w:tcPr>
          <w:p w14:paraId="1A0D1BA5" w14:textId="77777777" w:rsidR="0031628C" w:rsidRPr="00B91EE1" w:rsidRDefault="0031628C" w:rsidP="004522B1">
            <w:pPr>
              <w:pStyle w:val="Tabletext"/>
              <w:jc w:val="center"/>
              <w:rPr>
                <w:szCs w:val="22"/>
                <w:lang w:eastAsia="zh-CN"/>
              </w:rPr>
            </w:pPr>
            <w:r w:rsidRPr="00B91EE1">
              <w:rPr>
                <w:szCs w:val="22"/>
                <w:lang w:eastAsia="zh-CN"/>
              </w:rPr>
              <w:t>171</w:t>
            </w:r>
          </w:p>
        </w:tc>
        <w:tc>
          <w:tcPr>
            <w:tcW w:w="1705" w:type="dxa"/>
            <w:tcBorders>
              <w:top w:val="single" w:sz="4" w:space="0" w:color="auto"/>
              <w:left w:val="single" w:sz="4" w:space="0" w:color="auto"/>
              <w:bottom w:val="single" w:sz="4" w:space="0" w:color="auto"/>
              <w:right w:val="single" w:sz="4" w:space="0" w:color="auto"/>
            </w:tcBorders>
            <w:hideMark/>
          </w:tcPr>
          <w:p w14:paraId="03EA46E9" w14:textId="77777777" w:rsidR="0031628C" w:rsidRPr="00B91EE1" w:rsidRDefault="0031628C" w:rsidP="004522B1">
            <w:pPr>
              <w:pStyle w:val="Tabletext"/>
              <w:jc w:val="center"/>
              <w:rPr>
                <w:szCs w:val="22"/>
                <w:lang w:eastAsia="zh-CN"/>
              </w:rPr>
            </w:pPr>
            <w:r w:rsidRPr="00B91EE1">
              <w:rPr>
                <w:szCs w:val="22"/>
                <w:lang w:eastAsia="zh-CN"/>
              </w:rPr>
              <w:t>24</w:t>
            </w:r>
          </w:p>
        </w:tc>
        <w:tc>
          <w:tcPr>
            <w:tcW w:w="1560" w:type="dxa"/>
            <w:tcBorders>
              <w:top w:val="single" w:sz="4" w:space="0" w:color="auto"/>
              <w:left w:val="single" w:sz="4" w:space="0" w:color="auto"/>
              <w:bottom w:val="single" w:sz="4" w:space="0" w:color="auto"/>
              <w:right w:val="single" w:sz="4" w:space="0" w:color="auto"/>
            </w:tcBorders>
            <w:hideMark/>
          </w:tcPr>
          <w:p w14:paraId="4DAF1470" w14:textId="77777777" w:rsidR="0031628C" w:rsidRPr="00B91EE1" w:rsidRDefault="0031628C" w:rsidP="004522B1">
            <w:pPr>
              <w:pStyle w:val="Tabletext"/>
              <w:jc w:val="center"/>
              <w:rPr>
                <w:szCs w:val="22"/>
                <w:lang w:eastAsia="zh-CN"/>
              </w:rPr>
            </w:pPr>
            <w:r w:rsidRPr="00B91EE1">
              <w:rPr>
                <w:szCs w:val="22"/>
                <w:lang w:eastAsia="zh-CN"/>
              </w:rPr>
              <w:t>16,33%</w:t>
            </w:r>
          </w:p>
        </w:tc>
      </w:tr>
    </w:tbl>
    <w:p w14:paraId="06E0DE15" w14:textId="2116ED81" w:rsidR="0031628C" w:rsidRPr="00B91EE1" w:rsidRDefault="0031628C" w:rsidP="004522B1">
      <w:pPr>
        <w:pStyle w:val="Tablelegend"/>
        <w:rPr>
          <w:b/>
        </w:rPr>
      </w:pPr>
      <w:r w:rsidRPr="00B91EE1">
        <w:t>*</w:t>
      </w:r>
      <w:r w:rsidRPr="00B91EE1">
        <w:tab/>
        <w:t>En vertu d</w:t>
      </w:r>
      <w:r w:rsidR="00392F9A" w:rsidRPr="00B91EE1">
        <w:t>'</w:t>
      </w:r>
      <w:r w:rsidRPr="00B91EE1">
        <w:t>une décision de la PP-14, les établissements universitaires participent aux travaux des trois</w:t>
      </w:r>
      <w:r w:rsidR="00436E97" w:rsidRPr="00B91EE1">
        <w:t> </w:t>
      </w:r>
      <w:r w:rsidRPr="00B91EE1">
        <w:t>Secteurs de l</w:t>
      </w:r>
      <w:r w:rsidR="00392F9A" w:rsidRPr="00B91EE1">
        <w:t>'</w:t>
      </w:r>
      <w:r w:rsidRPr="00B91EE1">
        <w:t>UIT.</w:t>
      </w:r>
    </w:p>
    <w:p w14:paraId="7BB476B6" w14:textId="77777777" w:rsidR="0031628C" w:rsidRPr="00B91EE1" w:rsidRDefault="0031628C" w:rsidP="004522B1">
      <w:pPr>
        <w:pStyle w:val="Heading2"/>
      </w:pPr>
      <w:r w:rsidRPr="00B91EE1">
        <w:t>8.6</w:t>
      </w:r>
      <w:r w:rsidRPr="00B91EE1">
        <w:tab/>
        <w:t>Communication et promotion</w:t>
      </w:r>
    </w:p>
    <w:p w14:paraId="553B0EF7" w14:textId="77777777" w:rsidR="0031628C" w:rsidRPr="00B91EE1" w:rsidRDefault="0031628C" w:rsidP="004522B1">
      <w:pPr>
        <w:pStyle w:val="Heading3"/>
      </w:pPr>
      <w:r w:rsidRPr="00B91EE1">
        <w:t>8.6.1</w:t>
      </w:r>
      <w:r w:rsidRPr="00B91EE1">
        <w:tab/>
      </w:r>
      <w:bookmarkStart w:id="200" w:name="lt_pId1431"/>
      <w:r w:rsidRPr="00B91EE1">
        <w:t>Sites web</w:t>
      </w:r>
      <w:bookmarkEnd w:id="200"/>
      <w:r w:rsidRPr="00B91EE1">
        <w:t xml:space="preserve"> et bases de données</w:t>
      </w:r>
    </w:p>
    <w:p w14:paraId="55B9F478" w14:textId="63AF7B2C" w:rsidR="0031628C" w:rsidRPr="00B91EE1" w:rsidRDefault="0031628C" w:rsidP="004522B1">
      <w:r w:rsidRPr="00B91EE1">
        <w:t>L</w:t>
      </w:r>
      <w:r w:rsidR="00392F9A" w:rsidRPr="00B91EE1">
        <w:t>'</w:t>
      </w:r>
      <w:r w:rsidRPr="00B91EE1">
        <w:t>entretien régulier des sites web de l</w:t>
      </w:r>
      <w:r w:rsidR="00392F9A" w:rsidRPr="00B91EE1">
        <w:t>'</w:t>
      </w:r>
      <w:r w:rsidRPr="00B91EE1">
        <w:t>UIT-R, y compris les bases de données connexes et d</w:t>
      </w:r>
      <w:r w:rsidR="00392F9A" w:rsidRPr="00B91EE1">
        <w:t>'</w:t>
      </w:r>
      <w:r w:rsidRPr="00B91EE1">
        <w:t>autres systèmes de gestion de l</w:t>
      </w:r>
      <w:r w:rsidR="00392F9A" w:rsidRPr="00B91EE1">
        <w:t>'</w:t>
      </w:r>
      <w:r w:rsidRPr="00B91EE1">
        <w:t>information, est assurée par l</w:t>
      </w:r>
      <w:r w:rsidR="00392F9A" w:rsidRPr="00B91EE1">
        <w:t>'</w:t>
      </w:r>
      <w:r w:rsidRPr="00B91EE1">
        <w:t>équipe BRWeb (</w:t>
      </w:r>
      <w:hyperlink r:id="rId39" w:history="1">
        <w:r w:rsidRPr="00B91EE1">
          <w:rPr>
            <w:rStyle w:val="Hyperlink"/>
          </w:rPr>
          <w:t>brweb@itu.int</w:t>
        </w:r>
      </w:hyperlink>
      <w:r w:rsidRPr="00B91EE1">
        <w:t>).</w:t>
      </w:r>
    </w:p>
    <w:p w14:paraId="59E47828" w14:textId="33EE9904" w:rsidR="0031628C" w:rsidRPr="00B91EE1" w:rsidRDefault="0031628C" w:rsidP="004522B1">
      <w:r w:rsidRPr="00B91EE1">
        <w:t>Depuis le troisième trimestre de 20</w:t>
      </w:r>
      <w:r w:rsidR="00436E97" w:rsidRPr="00B91EE1">
        <w:t>2</w:t>
      </w:r>
      <w:r w:rsidRPr="00B91EE1">
        <w:t>2, la priorité est donnée au site web de la CMR-23 ainsi qu</w:t>
      </w:r>
      <w:r w:rsidR="00392F9A" w:rsidRPr="00B91EE1">
        <w:t>'</w:t>
      </w:r>
      <w:r w:rsidRPr="00B91EE1">
        <w:t>aux activités et nouveautés qui s</w:t>
      </w:r>
      <w:r w:rsidR="00392F9A" w:rsidRPr="00B91EE1">
        <w:t>'</w:t>
      </w:r>
      <w:r w:rsidRPr="00B91EE1">
        <w:t>y rapportent.</w:t>
      </w:r>
    </w:p>
    <w:p w14:paraId="2CE28B32" w14:textId="537906A7" w:rsidR="0031628C" w:rsidRPr="00B91EE1" w:rsidRDefault="0031628C" w:rsidP="004522B1">
      <w:pPr>
        <w:pStyle w:val="Heading4"/>
      </w:pPr>
      <w:r w:rsidRPr="00B91EE1">
        <w:t>8.6.1.1</w:t>
      </w:r>
      <w:r w:rsidRPr="00B91EE1">
        <w:tab/>
        <w:t>Nouveau système de gestion des contenus (CMS) &gt; WordPress</w:t>
      </w:r>
    </w:p>
    <w:p w14:paraId="0A02CFE3" w14:textId="7E1F278A" w:rsidR="0031628C" w:rsidRPr="00B91EE1" w:rsidRDefault="0031628C" w:rsidP="004522B1">
      <w:r w:rsidRPr="00B91EE1">
        <w:t>Les sites web suivants ont été lancés au quatrième trimestre de 2022 sous WordPress CMS et dans les six langues officielles de l</w:t>
      </w:r>
      <w:r w:rsidR="00392F9A" w:rsidRPr="00B91EE1">
        <w:t>'</w:t>
      </w:r>
      <w:r w:rsidRPr="00B91EE1">
        <w:t>Union:</w:t>
      </w:r>
    </w:p>
    <w:p w14:paraId="28EDFF53" w14:textId="5FC99712" w:rsidR="0031628C" w:rsidRPr="00B91EE1" w:rsidRDefault="00FF371C" w:rsidP="004522B1">
      <w:pPr>
        <w:pStyle w:val="enumlev1"/>
      </w:pPr>
      <w:r w:rsidRPr="00B91EE1">
        <w:t>–</w:t>
      </w:r>
      <w:r w:rsidRPr="00B91EE1">
        <w:tab/>
      </w:r>
      <w:hyperlink r:id="rId40" w:history="1">
        <w:r w:rsidR="0031628C" w:rsidRPr="00B91EE1">
          <w:rPr>
            <w:rStyle w:val="Hyperlink"/>
          </w:rPr>
          <w:t>Site web de la CMR-23</w:t>
        </w:r>
      </w:hyperlink>
    </w:p>
    <w:p w14:paraId="4D68CE0C" w14:textId="179830E7" w:rsidR="0031628C" w:rsidRPr="00B91EE1" w:rsidRDefault="00FF371C" w:rsidP="004522B1">
      <w:pPr>
        <w:pStyle w:val="enumlev1"/>
        <w:rPr>
          <w:u w:val="single"/>
        </w:rPr>
      </w:pPr>
      <w:r w:rsidRPr="00B91EE1">
        <w:t>–</w:t>
      </w:r>
      <w:r w:rsidRPr="00B91EE1">
        <w:tab/>
      </w:r>
      <w:hyperlink r:id="rId41" w:history="1">
        <w:r w:rsidR="0031628C" w:rsidRPr="00B91EE1">
          <w:rPr>
            <w:rStyle w:val="Hyperlink"/>
          </w:rPr>
          <w:t>Site web de l</w:t>
        </w:r>
        <w:r w:rsidR="00392F9A" w:rsidRPr="00B91EE1">
          <w:rPr>
            <w:rStyle w:val="Hyperlink"/>
          </w:rPr>
          <w:t>'</w:t>
        </w:r>
        <w:r w:rsidR="0031628C" w:rsidRPr="00B91EE1">
          <w:rPr>
            <w:rStyle w:val="Hyperlink"/>
          </w:rPr>
          <w:t>AR-23</w:t>
        </w:r>
      </w:hyperlink>
    </w:p>
    <w:p w14:paraId="48B5735B" w14:textId="79ECCEDA" w:rsidR="0031628C" w:rsidRPr="00B91EE1" w:rsidRDefault="00FF371C" w:rsidP="00153B40">
      <w:pPr>
        <w:pStyle w:val="enumlev1"/>
        <w:keepNext/>
        <w:keepLines/>
        <w:rPr>
          <w:u w:val="single"/>
        </w:rPr>
      </w:pPr>
      <w:r w:rsidRPr="00B91EE1">
        <w:lastRenderedPageBreak/>
        <w:t>–</w:t>
      </w:r>
      <w:r w:rsidRPr="00B91EE1">
        <w:tab/>
      </w:r>
      <w:hyperlink r:id="rId42" w:history="1">
        <w:r w:rsidR="0031628C" w:rsidRPr="00B91EE1">
          <w:rPr>
            <w:rStyle w:val="Hyperlink"/>
          </w:rPr>
          <w:t>Meilleurs moments des séminaires WRS</w:t>
        </w:r>
      </w:hyperlink>
    </w:p>
    <w:p w14:paraId="74175175" w14:textId="7046DDB1" w:rsidR="0031628C" w:rsidRPr="00B91EE1" w:rsidRDefault="00FF371C" w:rsidP="00153B40">
      <w:pPr>
        <w:pStyle w:val="enumlev1"/>
        <w:keepNext/>
        <w:keepLines/>
      </w:pPr>
      <w:r w:rsidRPr="00B91EE1">
        <w:t>–</w:t>
      </w:r>
      <w:r w:rsidRPr="00B91EE1">
        <w:tab/>
      </w:r>
      <w:hyperlink r:id="rId43" w:history="1">
        <w:r w:rsidR="0031628C" w:rsidRPr="00B91EE1">
          <w:rPr>
            <w:rStyle w:val="Hyperlink"/>
          </w:rPr>
          <w:t>Réseau de femmes pour la CMR-23 (NOW4WRC23)</w:t>
        </w:r>
      </w:hyperlink>
    </w:p>
    <w:p w14:paraId="3D9CE8D2" w14:textId="3525DB82" w:rsidR="0031628C" w:rsidRPr="00B91EE1" w:rsidRDefault="0031628C" w:rsidP="004522B1">
      <w:r w:rsidRPr="00B91EE1">
        <w:t>Les informations et les documents utiles sont publiés sur ces sites web dès qu</w:t>
      </w:r>
      <w:r w:rsidR="00392F9A" w:rsidRPr="00B91EE1">
        <w:t>'</w:t>
      </w:r>
      <w:r w:rsidRPr="00B91EE1">
        <w:t>ils sont disponibles.</w:t>
      </w:r>
    </w:p>
    <w:p w14:paraId="479C88BF" w14:textId="72FDD261" w:rsidR="0031628C" w:rsidRPr="00B91EE1" w:rsidRDefault="0031628C" w:rsidP="004522B1">
      <w:pPr>
        <w:pStyle w:val="Heading4"/>
      </w:pPr>
      <w:r w:rsidRPr="00B91EE1">
        <w:t>8.6.1.2</w:t>
      </w:r>
      <w:r w:rsidRPr="00B91EE1">
        <w:tab/>
        <w:t>Situation de la traduction</w:t>
      </w:r>
    </w:p>
    <w:p w14:paraId="5B36D3AA" w14:textId="6FF556B2" w:rsidR="0031628C" w:rsidRPr="00B91EE1" w:rsidDel="0009410A" w:rsidRDefault="0031628C" w:rsidP="004522B1">
      <w:r w:rsidRPr="00B91EE1">
        <w:t>La mise à disposition des pages web dans les six langues officielles de l</w:t>
      </w:r>
      <w:r w:rsidR="00392F9A" w:rsidRPr="00B91EE1">
        <w:t>'</w:t>
      </w:r>
      <w:r w:rsidRPr="00B91EE1">
        <w:t>UIT concerne les pages d</w:t>
      </w:r>
      <w:r w:rsidR="00392F9A" w:rsidRPr="00B91EE1">
        <w:t>'</w:t>
      </w:r>
      <w:r w:rsidRPr="00B91EE1">
        <w:t>accueil des différents Départements et thèmes (niveau 0) et les pages accessibles en un seul clic (niveau 1).</w:t>
      </w:r>
    </w:p>
    <w:p w14:paraId="6162F726" w14:textId="1752F954" w:rsidR="0031628C" w:rsidRPr="00B91EE1" w:rsidRDefault="0031628C" w:rsidP="004522B1">
      <w:r w:rsidRPr="00B91EE1">
        <w:t>Aujourd</w:t>
      </w:r>
      <w:r w:rsidR="00392F9A" w:rsidRPr="00B91EE1">
        <w:t>'</w:t>
      </w:r>
      <w:r w:rsidRPr="00B91EE1">
        <w:t>hui, on compte environ 70 pour cent de pages web traduites, sachant que plus la grande partie des 30 pour cent restants correspond principalement à des pages web de manifestations (par exemple, des activités/séances des commissions d</w:t>
      </w:r>
      <w:r w:rsidR="00392F9A" w:rsidRPr="00B91EE1">
        <w:t>'</w:t>
      </w:r>
      <w:r w:rsidRPr="00B91EE1">
        <w:t>études, des ateliers ou des manifestations régionales comme les séminaires RRS), ainsi qu</w:t>
      </w:r>
      <w:r w:rsidR="00392F9A" w:rsidRPr="00B91EE1">
        <w:t>'</w:t>
      </w:r>
      <w:r w:rsidRPr="00B91EE1">
        <w:t>à des pages web du SSD (auparavant disponibles uniquement en anglais, français et espagnol, comme les pages des publications de l</w:t>
      </w:r>
      <w:r w:rsidR="00392F9A" w:rsidRPr="00B91EE1">
        <w:t>'</w:t>
      </w:r>
      <w:r w:rsidRPr="00B91EE1">
        <w:t>UIT sur le système de gestion des documents, DMS), qui ne sont pas encore traduites dans les six langues officielles.</w:t>
      </w:r>
    </w:p>
    <w:p w14:paraId="2CB05734" w14:textId="77777777" w:rsidR="0031628C" w:rsidRPr="00B91EE1" w:rsidDel="0009410A" w:rsidRDefault="0031628C" w:rsidP="004522B1">
      <w:pPr>
        <w:pStyle w:val="Heading3"/>
      </w:pPr>
      <w:r w:rsidRPr="00B91EE1">
        <w:t>8.6.2</w:t>
      </w:r>
      <w:r w:rsidRPr="00B91EE1">
        <w:tab/>
      </w:r>
      <w:bookmarkStart w:id="201" w:name="lt_pId1499"/>
      <w:r w:rsidRPr="00B91EE1">
        <w:t>Promotion et relations avec les médias</w:t>
      </w:r>
      <w:bookmarkEnd w:id="201"/>
    </w:p>
    <w:p w14:paraId="040E3D09" w14:textId="77777777" w:rsidR="0031628C" w:rsidRPr="00B91EE1" w:rsidRDefault="0031628C" w:rsidP="004522B1">
      <w:r w:rsidRPr="00B91EE1">
        <w:t>En 2022, les activités de communication du BR ont porté sur les réunions virtuelles et sur les webinaires organisés par le BR, ainsi que sur la promotion des travaux du Bureau menée en ligne et via les médias sociaux.</w:t>
      </w:r>
    </w:p>
    <w:p w14:paraId="31483F43" w14:textId="7A176C40" w:rsidR="0031628C" w:rsidRPr="00B91EE1" w:rsidRDefault="0031628C" w:rsidP="004522B1">
      <w:r w:rsidRPr="00B91EE1">
        <w:rPr>
          <w:b/>
          <w:bCs/>
        </w:rPr>
        <w:t>Conférence mondiale des radiocommunications 2023</w:t>
      </w:r>
      <w:r w:rsidRPr="00B91EE1">
        <w:t>: Les activités de promotion de la Conférence mondiale des radiocommunications 2023 (CMR-23) ont débuté au troisième trimestre de 2022 avec la présentation de l</w:t>
      </w:r>
      <w:r w:rsidR="00392F9A" w:rsidRPr="00B91EE1">
        <w:t>'</w:t>
      </w:r>
      <w:r w:rsidRPr="00B91EE1">
        <w:t xml:space="preserve">identité visuelle et du logo officiels, qui ont été conçus en collaboration avec le pays hôte, les Émirats arabes unis. En complément de ce lancement, une </w:t>
      </w:r>
      <w:hyperlink r:id="rId44" w:history="1">
        <w:r w:rsidRPr="00B91EE1">
          <w:rPr>
            <w:rStyle w:val="Hyperlink"/>
          </w:rPr>
          <w:t>Salle de presse de la CMR-23</w:t>
        </w:r>
      </w:hyperlink>
      <w:r w:rsidRPr="00B91EE1">
        <w:t xml:space="preserve"> a été créée sur WordPress pour mettre à disposition des communiqués de presse actualisés, des articles et des numéros spéciaux de la revue Nouvelles de l</w:t>
      </w:r>
      <w:r w:rsidR="00392F9A" w:rsidRPr="00B91EE1">
        <w:t>'</w:t>
      </w:r>
      <w:r w:rsidRPr="00B91EE1">
        <w:t>UIT en vue de la</w:t>
      </w:r>
      <w:r w:rsidR="00153B40" w:rsidRPr="00B91EE1">
        <w:t> </w:t>
      </w:r>
      <w:r w:rsidRPr="00B91EE1">
        <w:t>C</w:t>
      </w:r>
      <w:r w:rsidR="0077516A" w:rsidRPr="00B91EE1">
        <w:t>MR</w:t>
      </w:r>
      <w:r w:rsidR="00E52D98" w:rsidRPr="00B91EE1">
        <w:noBreakHyphen/>
      </w:r>
      <w:r w:rsidRPr="00B91EE1">
        <w:t>2023, ainsi que d</w:t>
      </w:r>
      <w:r w:rsidR="00392F9A" w:rsidRPr="00B91EE1">
        <w:t>'</w:t>
      </w:r>
      <w:r w:rsidRPr="00B91EE1">
        <w:t>autres informations et documents pertinents disponibles dans les six langues officielles de l</w:t>
      </w:r>
      <w:r w:rsidR="00392F9A" w:rsidRPr="00B91EE1">
        <w:t>'</w:t>
      </w:r>
      <w:r w:rsidRPr="00B91EE1">
        <w:t>Organisation des Nations Unies. Au cours de l</w:t>
      </w:r>
      <w:r w:rsidR="00392F9A" w:rsidRPr="00B91EE1">
        <w:t>'</w:t>
      </w:r>
      <w:r w:rsidRPr="00B91EE1">
        <w:t>année 2022, le Bureau des radiocommunications a publié les neuf communiqués de presse et communiqués aux Membres suivants:</w:t>
      </w:r>
    </w:p>
    <w:p w14:paraId="3BAFC1A2" w14:textId="7B02B5DE" w:rsidR="0031628C" w:rsidRPr="00B91EE1" w:rsidRDefault="0031628C" w:rsidP="004522B1">
      <w:pPr>
        <w:pStyle w:val="Headingb"/>
      </w:pPr>
      <w:r w:rsidRPr="00B91EE1">
        <w:t>Communiqués aux Membres</w:t>
      </w:r>
    </w:p>
    <w:p w14:paraId="60A44AF4" w14:textId="3BF2C790" w:rsidR="0031628C" w:rsidRPr="00B91EE1" w:rsidRDefault="0031628C" w:rsidP="004E669D">
      <w:pPr>
        <w:pStyle w:val="enumlev1"/>
        <w:rPr>
          <w:u w:val="single"/>
        </w:rPr>
      </w:pPr>
      <w:r w:rsidRPr="00B91EE1">
        <w:t>•</w:t>
      </w:r>
      <w:r w:rsidRPr="00B91EE1">
        <w:tab/>
        <w:t>Projet d</w:t>
      </w:r>
      <w:r w:rsidR="00392F9A" w:rsidRPr="00B91EE1">
        <w:t>'</w:t>
      </w:r>
      <w:r w:rsidRPr="00B91EE1">
        <w:t>optimisation du Plan GE84 pour l</w:t>
      </w:r>
      <w:r w:rsidR="00392F9A" w:rsidRPr="00B91EE1">
        <w:t>'</w:t>
      </w:r>
      <w:r w:rsidRPr="00B91EE1">
        <w:t xml:space="preserve">Afrique: </w:t>
      </w:r>
      <w:hyperlink r:id="rId45" w:history="1">
        <w:r w:rsidRPr="00B91EE1">
          <w:rPr>
            <w:rStyle w:val="Hyperlink"/>
          </w:rPr>
          <w:t>De nouvelles fréquences MF pour étendre la portée de la radio en Afrique</w:t>
        </w:r>
      </w:hyperlink>
    </w:p>
    <w:p w14:paraId="19DC4A16" w14:textId="118D2003" w:rsidR="0031628C" w:rsidRPr="00B91EE1" w:rsidRDefault="0031628C" w:rsidP="004E669D">
      <w:pPr>
        <w:pStyle w:val="enumlev1"/>
        <w:rPr>
          <w:u w:val="single"/>
        </w:rPr>
      </w:pPr>
      <w:r w:rsidRPr="00B91EE1">
        <w:t>•</w:t>
      </w:r>
      <w:r w:rsidRPr="00B91EE1">
        <w:tab/>
        <w:t>RRS-</w:t>
      </w:r>
      <w:r w:rsidR="00E52D98" w:rsidRPr="00B91EE1">
        <w:t>États</w:t>
      </w:r>
      <w:r w:rsidRPr="00B91EE1">
        <w:t xml:space="preserve"> arabes: </w:t>
      </w:r>
      <w:hyperlink r:id="rId46" w:history="1">
        <w:r w:rsidRPr="00B91EE1">
          <w:rPr>
            <w:rStyle w:val="Hyperlink"/>
          </w:rPr>
          <w:t>Les États arabes mettent en pratique les résultats de la CMR-19</w:t>
        </w:r>
      </w:hyperlink>
    </w:p>
    <w:p w14:paraId="3312E07F" w14:textId="1F61CD0D" w:rsidR="0031628C" w:rsidRPr="00B91EE1" w:rsidRDefault="0031628C" w:rsidP="004E669D">
      <w:pPr>
        <w:pStyle w:val="enumlev1"/>
        <w:rPr>
          <w:u w:val="single"/>
        </w:rPr>
      </w:pPr>
      <w:r w:rsidRPr="00B91EE1">
        <w:t>•</w:t>
      </w:r>
      <w:r w:rsidRPr="00B91EE1">
        <w:tab/>
        <w:t xml:space="preserve">RRS-Europe: </w:t>
      </w:r>
      <w:hyperlink r:id="rId47" w:history="1">
        <w:r w:rsidRPr="00B91EE1">
          <w:rPr>
            <w:rStyle w:val="Hyperlink"/>
          </w:rPr>
          <w:t>L</w:t>
        </w:r>
        <w:r w:rsidR="00392F9A" w:rsidRPr="00B91EE1">
          <w:rPr>
            <w:rStyle w:val="Hyperlink"/>
          </w:rPr>
          <w:t>'</w:t>
        </w:r>
        <w:r w:rsidRPr="00B91EE1">
          <w:rPr>
            <w:rStyle w:val="Hyperlink"/>
          </w:rPr>
          <w:t>Europe plaide en faveur d</w:t>
        </w:r>
        <w:r w:rsidR="00392F9A" w:rsidRPr="00B91EE1">
          <w:rPr>
            <w:rStyle w:val="Hyperlink"/>
          </w:rPr>
          <w:t>'</w:t>
        </w:r>
        <w:r w:rsidRPr="00B91EE1">
          <w:rPr>
            <w:rStyle w:val="Hyperlink"/>
          </w:rPr>
          <w:t>une utilisation rationnelle du spectre</w:t>
        </w:r>
      </w:hyperlink>
    </w:p>
    <w:p w14:paraId="763B2BF2" w14:textId="68A36862" w:rsidR="0031628C" w:rsidRPr="00B91EE1" w:rsidRDefault="0031628C" w:rsidP="004E669D">
      <w:pPr>
        <w:pStyle w:val="enumlev1"/>
        <w:rPr>
          <w:u w:val="single"/>
        </w:rPr>
      </w:pPr>
      <w:r w:rsidRPr="00B91EE1">
        <w:t>•</w:t>
      </w:r>
      <w:r w:rsidRPr="00B91EE1">
        <w:tab/>
        <w:t>WRS</w:t>
      </w:r>
      <w:r w:rsidR="004C7208" w:rsidRPr="00B91EE1">
        <w:t>-</w:t>
      </w:r>
      <w:r w:rsidRPr="00B91EE1">
        <w:t xml:space="preserve">2022: </w:t>
      </w:r>
      <w:hyperlink r:id="rId48" w:history="1">
        <w:r w:rsidRPr="00B91EE1">
          <w:rPr>
            <w:rStyle w:val="Hyperlink"/>
          </w:rPr>
          <w:t>Le Séminaire mondial des radiocommunications met en avant le rôle moteur du Règlement des radiocommunications de l</w:t>
        </w:r>
        <w:r w:rsidR="00392F9A" w:rsidRPr="00B91EE1">
          <w:rPr>
            <w:rStyle w:val="Hyperlink"/>
          </w:rPr>
          <w:t>'</w:t>
        </w:r>
        <w:r w:rsidRPr="00B91EE1">
          <w:rPr>
            <w:rStyle w:val="Hyperlink"/>
          </w:rPr>
          <w:t>UIT pour les communications mondiales</w:t>
        </w:r>
      </w:hyperlink>
    </w:p>
    <w:p w14:paraId="5711CB83" w14:textId="77777777" w:rsidR="0031628C" w:rsidRPr="00B91EE1" w:rsidRDefault="0031628C" w:rsidP="004E669D">
      <w:pPr>
        <w:pStyle w:val="enumlev1"/>
        <w:rPr>
          <w:u w:val="single"/>
        </w:rPr>
      </w:pPr>
      <w:r w:rsidRPr="00B91EE1">
        <w:t>•</w:t>
      </w:r>
      <w:r w:rsidRPr="00B91EE1">
        <w:tab/>
        <w:t xml:space="preserve">Connecter le monde depuis le ciel: </w:t>
      </w:r>
      <w:hyperlink r:id="rId49" w:history="1">
        <w:r w:rsidRPr="00B91EE1">
          <w:rPr>
            <w:rStyle w:val="Hyperlink"/>
          </w:rPr>
          <w:t>Les réseaux spatioportés et aéroportés sont essentiels pour réussir à connecter les 2,7 milliards de personnes dans le monde qui ne le sont toujours pas</w:t>
        </w:r>
      </w:hyperlink>
    </w:p>
    <w:p w14:paraId="60B9504E" w14:textId="746B69F4" w:rsidR="0031628C" w:rsidRPr="00B91EE1" w:rsidRDefault="0031628C" w:rsidP="004E669D">
      <w:pPr>
        <w:pStyle w:val="enumlev1"/>
        <w:rPr>
          <w:b/>
          <w:bCs/>
        </w:rPr>
      </w:pPr>
      <w:r w:rsidRPr="00B91EE1">
        <w:t>•</w:t>
      </w:r>
      <w:r w:rsidRPr="00B91EE1">
        <w:tab/>
      </w:r>
      <w:hyperlink r:id="rId50" w:history="1">
        <w:r w:rsidRPr="00B91EE1">
          <w:rPr>
            <w:rStyle w:val="Hyperlink"/>
          </w:rPr>
          <w:t>L</w:t>
        </w:r>
        <w:r w:rsidR="00392F9A" w:rsidRPr="00B91EE1">
          <w:rPr>
            <w:rStyle w:val="Hyperlink"/>
          </w:rPr>
          <w:t>'</w:t>
        </w:r>
        <w:r w:rsidRPr="00B91EE1">
          <w:rPr>
            <w:rStyle w:val="Hyperlink"/>
          </w:rPr>
          <w:t>attribution de bandes de fréquences et le partage du spectre figurent au premier rang des priorités en vue de la Conférence mondiale des radiocommunications de 2023</w:t>
        </w:r>
      </w:hyperlink>
    </w:p>
    <w:p w14:paraId="404AB9DF" w14:textId="53CD0341" w:rsidR="0031628C" w:rsidRPr="00B91EE1" w:rsidRDefault="0031628C" w:rsidP="004E669D">
      <w:pPr>
        <w:pStyle w:val="Headingb"/>
        <w:keepLines/>
      </w:pPr>
      <w:r w:rsidRPr="00B91EE1">
        <w:lastRenderedPageBreak/>
        <w:t>Communiqués de presse</w:t>
      </w:r>
    </w:p>
    <w:p w14:paraId="0DC96B51" w14:textId="6EA3B37B" w:rsidR="0031628C" w:rsidRPr="00B91EE1" w:rsidRDefault="0031628C" w:rsidP="004E669D">
      <w:pPr>
        <w:pStyle w:val="enumlev1"/>
        <w:keepNext/>
        <w:keepLines/>
      </w:pPr>
      <w:r w:rsidRPr="00B91EE1">
        <w:t>•</w:t>
      </w:r>
      <w:r w:rsidRPr="00B91EE1">
        <w:tab/>
      </w:r>
      <w:hyperlink r:id="rId51" w:history="1">
        <w:r w:rsidRPr="00B91EE1">
          <w:rPr>
            <w:rStyle w:val="Hyperlink"/>
          </w:rPr>
          <w:t>Ajout d</w:t>
        </w:r>
        <w:r w:rsidR="00392F9A" w:rsidRPr="00B91EE1">
          <w:rPr>
            <w:rStyle w:val="Hyperlink"/>
          </w:rPr>
          <w:t>'</w:t>
        </w:r>
        <w:r w:rsidRPr="00B91EE1">
          <w:rPr>
            <w:rStyle w:val="Hyperlink"/>
          </w:rPr>
          <w:t>une quatrième technologie d</w:t>
        </w:r>
        <w:r w:rsidR="00392F9A" w:rsidRPr="00B91EE1">
          <w:rPr>
            <w:rStyle w:val="Hyperlink"/>
          </w:rPr>
          <w:t>'</w:t>
        </w:r>
        <w:r w:rsidRPr="00B91EE1">
          <w:rPr>
            <w:rStyle w:val="Hyperlink"/>
          </w:rPr>
          <w:t>interface radioélectrique dans les normes relatives aux réseaux 5G</w:t>
        </w:r>
      </w:hyperlink>
    </w:p>
    <w:p w14:paraId="0326CAF6" w14:textId="1E6D45D3" w:rsidR="0031628C" w:rsidRPr="00B91EE1" w:rsidRDefault="0031628C" w:rsidP="004E669D">
      <w:pPr>
        <w:pStyle w:val="enumlev1"/>
        <w:keepNext/>
        <w:keepLines/>
        <w:rPr>
          <w:rStyle w:val="Hyperlink"/>
        </w:rPr>
      </w:pPr>
      <w:r w:rsidRPr="00B91EE1">
        <w:t>•</w:t>
      </w:r>
      <w:r w:rsidRPr="00B91EE1">
        <w:tab/>
      </w:r>
      <w:r w:rsidR="0077516A" w:rsidRPr="00B91EE1">
        <w:fldChar w:fldCharType="begin"/>
      </w:r>
      <w:r w:rsidR="0077516A" w:rsidRPr="00B91EE1">
        <w:instrText xml:space="preserve"> HYPERLINK "https://www.itu.int/fr/mediacentre/Pages/2022-06-29-WRC23-Host-City.aspx" </w:instrText>
      </w:r>
      <w:r w:rsidR="0077516A" w:rsidRPr="00B91EE1">
        <w:fldChar w:fldCharType="separate"/>
      </w:r>
      <w:r w:rsidRPr="00B91EE1">
        <w:rPr>
          <w:rStyle w:val="Hyperlink"/>
        </w:rPr>
        <w:t>Dubaï va accueillir la prochaine Conférence mondiale des radiocommunications (CMR-23)</w:t>
      </w:r>
    </w:p>
    <w:p w14:paraId="0244EC41" w14:textId="03123438" w:rsidR="0031628C" w:rsidRPr="00B91EE1" w:rsidRDefault="0077516A" w:rsidP="004E669D">
      <w:pPr>
        <w:pStyle w:val="enumlev1"/>
        <w:keepNext/>
        <w:keepLines/>
      </w:pPr>
      <w:r w:rsidRPr="00B91EE1">
        <w:fldChar w:fldCharType="end"/>
      </w:r>
      <w:r w:rsidR="0031628C" w:rsidRPr="00B91EE1">
        <w:t>•</w:t>
      </w:r>
      <w:r w:rsidR="0031628C" w:rsidRPr="00B91EE1">
        <w:tab/>
      </w:r>
      <w:hyperlink r:id="rId52" w:history="1">
        <w:r w:rsidR="0031628C" w:rsidRPr="00B91EE1">
          <w:rPr>
            <w:rStyle w:val="Hyperlink"/>
          </w:rPr>
          <w:t>L</w:t>
        </w:r>
        <w:r w:rsidR="00392F9A" w:rsidRPr="00B91EE1">
          <w:rPr>
            <w:rStyle w:val="Hyperlink"/>
          </w:rPr>
          <w:t>'</w:t>
        </w:r>
        <w:r w:rsidR="0031628C" w:rsidRPr="00B91EE1">
          <w:rPr>
            <w:rStyle w:val="Hyperlink"/>
          </w:rPr>
          <w:t>UIT et les Émirats arabes unis signent l</w:t>
        </w:r>
        <w:r w:rsidR="00392F9A" w:rsidRPr="00B91EE1">
          <w:rPr>
            <w:rStyle w:val="Hyperlink"/>
          </w:rPr>
          <w:t>'</w:t>
        </w:r>
        <w:r w:rsidR="0031628C" w:rsidRPr="00B91EE1">
          <w:rPr>
            <w:rStyle w:val="Hyperlink"/>
          </w:rPr>
          <w:t>accord de pays hôte pour la Conférence mondiale des radiocommunications de 2023 à Dubaï</w:t>
        </w:r>
      </w:hyperlink>
    </w:p>
    <w:p w14:paraId="29282586" w14:textId="787F9CF4" w:rsidR="0031628C" w:rsidRPr="00B91EE1" w:rsidRDefault="0031628C" w:rsidP="004522B1">
      <w:r w:rsidRPr="00B91EE1">
        <w:t>Le Bureau a aussi participé activement à plusieurs journées internationales organisées par les Nations Unies et directement liées aux travaux du BR. Parmi celles-ci, citons notamment la Journée mondiale de la radio, la Journée internationale des femmes et des filles de science, la Journée internationale des femmes, la Journée météorologique mondiale, la Journée internationale des vols spatiaux habités, la Journée mondiale des télécommunications et de la société de l</w:t>
      </w:r>
      <w:r w:rsidR="00392F9A" w:rsidRPr="00B91EE1">
        <w:t>'</w:t>
      </w:r>
      <w:r w:rsidRPr="00B91EE1">
        <w:t>information, la Journée mondiale des océans, la Journée mondiale de la mer, la Journée internationale de la Lune, la Semaine mondiale de l</w:t>
      </w:r>
      <w:r w:rsidR="00392F9A" w:rsidRPr="00B91EE1">
        <w:t>'</w:t>
      </w:r>
      <w:r w:rsidRPr="00B91EE1">
        <w:t>espace, la Journée mondiale de la télévision, la Journée mondiale de la normalisation et la journée de l</w:t>
      </w:r>
      <w:r w:rsidR="00392F9A" w:rsidRPr="00B91EE1">
        <w:t>'</w:t>
      </w:r>
      <w:r w:rsidRPr="00B91EE1">
        <w:t>aviation civile internationale. L</w:t>
      </w:r>
      <w:r w:rsidR="00392F9A" w:rsidRPr="00B91EE1">
        <w:t>'</w:t>
      </w:r>
      <w:r w:rsidRPr="00B91EE1">
        <w:t>équipe de communication du BR, en étroite collaboration avec les coordonnateurs, a rédigé des articles et des billets de blogs, publiés dans les Nouvelles de l</w:t>
      </w:r>
      <w:r w:rsidR="00392F9A" w:rsidRPr="00B91EE1">
        <w:t>'</w:t>
      </w:r>
      <w:r w:rsidRPr="00B91EE1">
        <w:t>UIT et ONU Infos.</w:t>
      </w:r>
    </w:p>
    <w:p w14:paraId="04346117" w14:textId="6AAEA62F" w:rsidR="0031628C" w:rsidRPr="00B91EE1" w:rsidRDefault="0031628C" w:rsidP="004522B1">
      <w:pPr>
        <w:pStyle w:val="Heading4"/>
      </w:pPr>
      <w:r w:rsidRPr="00B91EE1">
        <w:t>8.6.2.1</w:t>
      </w:r>
      <w:r w:rsidRPr="00B91EE1">
        <w:tab/>
      </w:r>
      <w:bookmarkStart w:id="202" w:name="lt_pId1504"/>
      <w:r w:rsidRPr="00B91EE1">
        <w:t>Questions les plus fréquemment posées, documents d</w:t>
      </w:r>
      <w:r w:rsidR="00392F9A" w:rsidRPr="00B91EE1">
        <w:t>'</w:t>
      </w:r>
      <w:r w:rsidRPr="00B91EE1">
        <w:t>information à l</w:t>
      </w:r>
      <w:r w:rsidR="00392F9A" w:rsidRPr="00B91EE1">
        <w:t>'</w:t>
      </w:r>
      <w:r w:rsidRPr="00B91EE1">
        <w:t>intention des médias et Nouvelles de l</w:t>
      </w:r>
      <w:r w:rsidR="00392F9A" w:rsidRPr="00B91EE1">
        <w:t>'</w:t>
      </w:r>
      <w:r w:rsidRPr="00B91EE1">
        <w:t>UIT</w:t>
      </w:r>
      <w:bookmarkEnd w:id="202"/>
    </w:p>
    <w:p w14:paraId="687D7244" w14:textId="19CBC696" w:rsidR="0031628C" w:rsidRPr="00B91EE1" w:rsidRDefault="0031628C" w:rsidP="004522B1">
      <w:bookmarkStart w:id="203" w:name="lt_pId1505"/>
      <w:r w:rsidRPr="00B91EE1">
        <w:t>En 2022, on a poursuivi l</w:t>
      </w:r>
      <w:r w:rsidR="00392F9A" w:rsidRPr="00B91EE1">
        <w:t>'</w:t>
      </w:r>
      <w:r w:rsidRPr="00B91EE1">
        <w:t>élaboration ou la tenue à jour des questions les plus fréquemment posées, des documents d</w:t>
      </w:r>
      <w:r w:rsidR="00392F9A" w:rsidRPr="00B91EE1">
        <w:t>'</w:t>
      </w:r>
      <w:r w:rsidRPr="00B91EE1">
        <w:t>information à l</w:t>
      </w:r>
      <w:r w:rsidR="00392F9A" w:rsidRPr="00B91EE1">
        <w:t>'</w:t>
      </w:r>
      <w:r w:rsidRPr="00B91EE1">
        <w:t>intention des médias, des articles et des numéros de la revue «Nouvelles de l</w:t>
      </w:r>
      <w:r w:rsidR="00392F9A" w:rsidRPr="00B91EE1">
        <w:t>'</w:t>
      </w:r>
      <w:r w:rsidRPr="00B91EE1">
        <w:t>UIT» ci</w:t>
      </w:r>
      <w:r w:rsidRPr="00B91EE1">
        <w:noBreakHyphen/>
        <w:t>dessous.</w:t>
      </w:r>
      <w:bookmarkEnd w:id="203"/>
    </w:p>
    <w:p w14:paraId="2F957C69" w14:textId="77777777" w:rsidR="0031628C" w:rsidRPr="00B91EE1" w:rsidRDefault="0031628C" w:rsidP="004522B1">
      <w:bookmarkStart w:id="204" w:name="lt_pId1506"/>
      <w:r w:rsidRPr="00B91EE1">
        <w:t>Questions les plus fréquemment posées (FAQ) sur les thèmes suivants:</w:t>
      </w:r>
      <w:bookmarkEnd w:id="204"/>
    </w:p>
    <w:p w14:paraId="14D29C97" w14:textId="77777777" w:rsidR="0031628C" w:rsidRPr="00B91EE1" w:rsidRDefault="0031628C" w:rsidP="004522B1">
      <w:pPr>
        <w:pStyle w:val="enumlev1"/>
      </w:pPr>
      <w:r w:rsidRPr="00B91EE1">
        <w:t>–</w:t>
      </w:r>
      <w:r w:rsidRPr="00B91EE1">
        <w:tab/>
      </w:r>
      <w:hyperlink r:id="rId53" w:tgtFrame="_blank" w:history="1">
        <w:bookmarkStart w:id="205" w:name="lt_pId1507"/>
        <w:r w:rsidRPr="00B91EE1">
          <w:rPr>
            <w:rStyle w:val="Hyperlink"/>
          </w:rPr>
          <w:t>Échelle de temps universel (UTC) – Seconde intercalaire</w:t>
        </w:r>
        <w:bookmarkEnd w:id="205"/>
      </w:hyperlink>
    </w:p>
    <w:p w14:paraId="6ECE1B87" w14:textId="77777777" w:rsidR="0031628C" w:rsidRPr="00B91EE1" w:rsidRDefault="0031628C" w:rsidP="004522B1">
      <w:pPr>
        <w:pStyle w:val="enumlev1"/>
      </w:pPr>
      <w:bookmarkStart w:id="206" w:name="lt_pId1508"/>
      <w:r w:rsidRPr="00B91EE1">
        <w:t>–</w:t>
      </w:r>
      <w:r w:rsidRPr="00B91EE1">
        <w:tab/>
      </w:r>
      <w:hyperlink r:id="rId54" w:tgtFrame="_blank" w:history="1">
        <w:r w:rsidRPr="00B91EE1">
          <w:rPr>
            <w:rStyle w:val="Hyperlink"/>
          </w:rPr>
          <w:t>Télécommunications mobiles internationales (IMT)</w:t>
        </w:r>
      </w:hyperlink>
      <w:bookmarkEnd w:id="206"/>
    </w:p>
    <w:p w14:paraId="7402FF9A" w14:textId="77777777" w:rsidR="0031628C" w:rsidRPr="00B91EE1" w:rsidRDefault="0031628C" w:rsidP="004522B1">
      <w:pPr>
        <w:pStyle w:val="enumlev1"/>
      </w:pPr>
      <w:r w:rsidRPr="00B91EE1">
        <w:t>–</w:t>
      </w:r>
      <w:r w:rsidRPr="00B91EE1">
        <w:tab/>
      </w:r>
      <w:hyperlink r:id="rId55" w:tgtFrame="_blank" w:history="1">
        <w:bookmarkStart w:id="207" w:name="lt_pId1509"/>
        <w:r w:rsidRPr="00B91EE1">
          <w:rPr>
            <w:rStyle w:val="Hyperlink"/>
          </w:rPr>
          <w:t xml:space="preserve">Dividende numérique et passage au </w:t>
        </w:r>
        <w:bookmarkEnd w:id="207"/>
        <w:r w:rsidRPr="00B91EE1">
          <w:rPr>
            <w:rStyle w:val="Hyperlink"/>
          </w:rPr>
          <w:t>numérique</w:t>
        </w:r>
      </w:hyperlink>
    </w:p>
    <w:p w14:paraId="3214B700" w14:textId="77777777" w:rsidR="0031628C" w:rsidRPr="00B91EE1" w:rsidRDefault="0031628C" w:rsidP="004522B1">
      <w:pPr>
        <w:pStyle w:val="enumlev1"/>
        <w:rPr>
          <w:u w:val="single"/>
        </w:rPr>
      </w:pPr>
      <w:r w:rsidRPr="00B91EE1">
        <w:t>–</w:t>
      </w:r>
      <w:r w:rsidRPr="00B91EE1">
        <w:tab/>
      </w:r>
      <w:hyperlink r:id="rId56" w:tgtFrame="_blank" w:history="1">
        <w:bookmarkStart w:id="208" w:name="lt_pId1510"/>
        <w:r w:rsidRPr="00B91EE1">
          <w:rPr>
            <w:rStyle w:val="Hyperlink"/>
          </w:rPr>
          <w:t>Règlement des radiocommunications</w:t>
        </w:r>
        <w:bookmarkEnd w:id="208"/>
      </w:hyperlink>
    </w:p>
    <w:p w14:paraId="5FBD3ECF" w14:textId="2A8A8AA9" w:rsidR="0031628C" w:rsidRPr="00B91EE1" w:rsidRDefault="0031628C" w:rsidP="004522B1">
      <w:pPr>
        <w:pStyle w:val="enumlev1"/>
      </w:pPr>
      <w:r w:rsidRPr="00B91EE1">
        <w:t>–</w:t>
      </w:r>
      <w:r w:rsidRPr="00B91EE1">
        <w:tab/>
        <w:t>Les documents d</w:t>
      </w:r>
      <w:r w:rsidR="00392F9A" w:rsidRPr="00B91EE1">
        <w:t>'</w:t>
      </w:r>
      <w:r w:rsidRPr="00B91EE1">
        <w:t>information à l</w:t>
      </w:r>
      <w:r w:rsidR="00392F9A" w:rsidRPr="00B91EE1">
        <w:t>'</w:t>
      </w:r>
      <w:r w:rsidRPr="00B91EE1">
        <w:t>intention des médias et du grand public ont été mis à jour au besoin:</w:t>
      </w:r>
    </w:p>
    <w:p w14:paraId="7A1F73CC" w14:textId="77777777" w:rsidR="0031628C" w:rsidRPr="00B91EE1" w:rsidRDefault="0031628C" w:rsidP="004522B1">
      <w:pPr>
        <w:pStyle w:val="enumlev1"/>
      </w:pPr>
      <w:r w:rsidRPr="00B91EE1">
        <w:t>–</w:t>
      </w:r>
      <w:r w:rsidRPr="00B91EE1">
        <w:tab/>
        <w:t>Questions relatives aux services de Terre:</w:t>
      </w:r>
    </w:p>
    <w:p w14:paraId="23AA48D4" w14:textId="77777777" w:rsidR="0031628C" w:rsidRPr="00B91EE1" w:rsidRDefault="0031628C" w:rsidP="004522B1">
      <w:pPr>
        <w:pStyle w:val="enumlev2"/>
        <w:rPr>
          <w:u w:val="single"/>
        </w:rPr>
      </w:pPr>
      <w:r w:rsidRPr="00B91EE1">
        <w:t>•</w:t>
      </w:r>
      <w:r w:rsidRPr="00B91EE1">
        <w:tab/>
      </w:r>
      <w:hyperlink r:id="rId57" w:history="1">
        <w:bookmarkStart w:id="209" w:name="lt_pId1512"/>
        <w:r w:rsidRPr="00B91EE1">
          <w:rPr>
            <w:rStyle w:val="Hyperlink"/>
          </w:rPr>
          <w:t>5G – Technologies mobiles de cinquième génération (IMT-2020 et au-</w:t>
        </w:r>
        <w:bookmarkEnd w:id="209"/>
        <w:r w:rsidRPr="00B91EE1">
          <w:rPr>
            <w:rStyle w:val="Hyperlink"/>
          </w:rPr>
          <w:t>delà)</w:t>
        </w:r>
      </w:hyperlink>
    </w:p>
    <w:p w14:paraId="56B8C043" w14:textId="77777777" w:rsidR="0031628C" w:rsidRPr="00B91EE1" w:rsidRDefault="0031628C" w:rsidP="004522B1">
      <w:pPr>
        <w:pStyle w:val="enumlev2"/>
        <w:rPr>
          <w:u w:val="single"/>
        </w:rPr>
      </w:pPr>
      <w:r w:rsidRPr="00B91EE1">
        <w:t>•</w:t>
      </w:r>
      <w:r w:rsidRPr="00B91EE1">
        <w:tab/>
      </w:r>
      <w:hyperlink r:id="rId58" w:history="1">
        <w:r w:rsidRPr="00B91EE1">
          <w:rPr>
            <w:rStyle w:val="Hyperlink"/>
          </w:rPr>
          <w:t>5G, exposition des personnes aux champs électromagnétiques et santé</w:t>
        </w:r>
      </w:hyperlink>
    </w:p>
    <w:p w14:paraId="08B49C9D" w14:textId="77777777" w:rsidR="0031628C" w:rsidRPr="00B91EE1" w:rsidRDefault="0031628C" w:rsidP="004522B1">
      <w:pPr>
        <w:pStyle w:val="enumlev2"/>
        <w:rPr>
          <w:u w:val="single"/>
        </w:rPr>
      </w:pPr>
      <w:r w:rsidRPr="00B91EE1">
        <w:t>•</w:t>
      </w:r>
      <w:r w:rsidRPr="00B91EE1">
        <w:tab/>
      </w:r>
      <w:hyperlink r:id="rId59" w:history="1">
        <w:r w:rsidRPr="00B91EE1">
          <w:rPr>
            <w:rStyle w:val="Hyperlink"/>
          </w:rPr>
          <w:t>Stations placées sur des plates-formes à haute altitude (HAPS)</w:t>
        </w:r>
      </w:hyperlink>
    </w:p>
    <w:p w14:paraId="13E8F773" w14:textId="77777777" w:rsidR="0031628C" w:rsidRPr="00B91EE1" w:rsidRDefault="0031628C" w:rsidP="004522B1">
      <w:pPr>
        <w:pStyle w:val="enumlev2"/>
        <w:rPr>
          <w:u w:val="single"/>
        </w:rPr>
      </w:pPr>
      <w:r w:rsidRPr="00B91EE1">
        <w:t>•</w:t>
      </w:r>
      <w:r w:rsidRPr="00B91EE1">
        <w:tab/>
      </w:r>
      <w:hyperlink r:id="rId60" w:history="1">
        <w:r w:rsidRPr="00B91EE1">
          <w:rPr>
            <w:rStyle w:val="Hyperlink"/>
          </w:rPr>
          <w:t>Garantir la sécurité des personnes et des navires en mer par les radiocommunications</w:t>
        </w:r>
      </w:hyperlink>
    </w:p>
    <w:p w14:paraId="6B69A408" w14:textId="19D519AF" w:rsidR="0031628C" w:rsidRPr="00B91EE1" w:rsidRDefault="0031628C" w:rsidP="004522B1">
      <w:pPr>
        <w:pStyle w:val="enumlev1"/>
        <w:rPr>
          <w:u w:val="single"/>
        </w:rPr>
      </w:pPr>
      <w:r w:rsidRPr="00B91EE1">
        <w:t>–</w:t>
      </w:r>
      <w:r w:rsidRPr="00B91EE1">
        <w:tab/>
      </w:r>
      <w:hyperlink r:id="rId61" w:history="1">
        <w:bookmarkStart w:id="210" w:name="lt_pId1514"/>
        <w:r w:rsidRPr="00B91EE1">
          <w:rPr>
            <w:rStyle w:val="Hyperlink"/>
          </w:rPr>
          <w:t>Commissions d</w:t>
        </w:r>
        <w:r w:rsidR="00392F9A" w:rsidRPr="00B91EE1">
          <w:rPr>
            <w:rStyle w:val="Hyperlink"/>
          </w:rPr>
          <w:t>'</w:t>
        </w:r>
        <w:r w:rsidRPr="00B91EE1">
          <w:rPr>
            <w:rStyle w:val="Hyperlink"/>
          </w:rPr>
          <w:t>études de l</w:t>
        </w:r>
        <w:r w:rsidR="00392F9A" w:rsidRPr="00B91EE1">
          <w:rPr>
            <w:rStyle w:val="Hyperlink"/>
          </w:rPr>
          <w:t>'</w:t>
        </w:r>
        <w:r w:rsidRPr="00B91EE1">
          <w:rPr>
            <w:rStyle w:val="Hyperlink"/>
          </w:rPr>
          <w:t>UIT</w:t>
        </w:r>
        <w:bookmarkEnd w:id="210"/>
      </w:hyperlink>
    </w:p>
    <w:p w14:paraId="4EC6BC05" w14:textId="3A21DDAC" w:rsidR="0031628C" w:rsidRPr="00B91EE1" w:rsidRDefault="0031628C" w:rsidP="004522B1">
      <w:pPr>
        <w:pStyle w:val="enumlev1"/>
        <w:rPr>
          <w:u w:val="single"/>
        </w:rPr>
      </w:pPr>
      <w:r w:rsidRPr="00B91EE1">
        <w:t>–</w:t>
      </w:r>
      <w:r w:rsidRPr="00B91EE1">
        <w:tab/>
      </w:r>
      <w:hyperlink r:id="rId62" w:history="1">
        <w:r w:rsidRPr="00B91EE1">
          <w:rPr>
            <w:rStyle w:val="Hyperlink"/>
          </w:rPr>
          <w:t>UIT-R: Gérer le spectre des fréquences radioélectriques dans l</w:t>
        </w:r>
        <w:r w:rsidR="00392F9A" w:rsidRPr="00B91EE1">
          <w:rPr>
            <w:rStyle w:val="Hyperlink"/>
          </w:rPr>
          <w:t>'</w:t>
        </w:r>
        <w:r w:rsidRPr="00B91EE1">
          <w:rPr>
            <w:rStyle w:val="Hyperlink"/>
          </w:rPr>
          <w:t>intérêt de l</w:t>
        </w:r>
        <w:r w:rsidR="00392F9A" w:rsidRPr="00B91EE1">
          <w:rPr>
            <w:rStyle w:val="Hyperlink"/>
          </w:rPr>
          <w:t>'</w:t>
        </w:r>
        <w:r w:rsidRPr="00B91EE1">
          <w:rPr>
            <w:rStyle w:val="Hyperlink"/>
          </w:rPr>
          <w:t>humanité tout entière</w:t>
        </w:r>
      </w:hyperlink>
    </w:p>
    <w:p w14:paraId="3927E20F" w14:textId="77777777" w:rsidR="0031628C" w:rsidRPr="00B91EE1" w:rsidRDefault="0031628C" w:rsidP="00153B40">
      <w:pPr>
        <w:pStyle w:val="enumlev1"/>
        <w:keepNext/>
        <w:keepLines/>
      </w:pPr>
      <w:r w:rsidRPr="00B91EE1">
        <w:lastRenderedPageBreak/>
        <w:t>–</w:t>
      </w:r>
      <w:r w:rsidRPr="00B91EE1">
        <w:tab/>
      </w:r>
      <w:bookmarkStart w:id="211" w:name="_Hlk130888828"/>
      <w:r w:rsidRPr="00B91EE1">
        <w:t>Questions relatives aux services par satellite</w:t>
      </w:r>
      <w:bookmarkEnd w:id="211"/>
      <w:r w:rsidRPr="00B91EE1">
        <w:t>:</w:t>
      </w:r>
    </w:p>
    <w:p w14:paraId="4A1835E9" w14:textId="77777777" w:rsidR="0031628C" w:rsidRPr="00B91EE1" w:rsidRDefault="0031628C" w:rsidP="00153B40">
      <w:pPr>
        <w:pStyle w:val="enumlev2"/>
        <w:keepNext/>
        <w:keepLines/>
        <w:rPr>
          <w:u w:val="single"/>
        </w:rPr>
      </w:pPr>
      <w:r w:rsidRPr="00B91EE1">
        <w:t>•</w:t>
      </w:r>
      <w:r w:rsidRPr="00B91EE1">
        <w:tab/>
      </w:r>
      <w:hyperlink r:id="rId63" w:history="1">
        <w:r w:rsidRPr="00B91EE1">
          <w:rPr>
            <w:rStyle w:val="Hyperlink"/>
          </w:rPr>
          <w:t>Stations terriennes en mouvement (ESIM)</w:t>
        </w:r>
      </w:hyperlink>
    </w:p>
    <w:p w14:paraId="1DD90B08" w14:textId="77777777" w:rsidR="0031628C" w:rsidRPr="00B91EE1" w:rsidRDefault="0031628C" w:rsidP="00153B40">
      <w:pPr>
        <w:pStyle w:val="enumlev2"/>
        <w:keepNext/>
        <w:keepLines/>
        <w:rPr>
          <w:u w:val="single"/>
        </w:rPr>
      </w:pPr>
      <w:r w:rsidRPr="00B91EE1">
        <w:t>•</w:t>
      </w:r>
      <w:r w:rsidRPr="00B91EE1">
        <w:tab/>
      </w:r>
      <w:hyperlink r:id="rId64" w:history="1">
        <w:r w:rsidRPr="00B91EE1">
          <w:rPr>
            <w:rStyle w:val="Hyperlink"/>
          </w:rPr>
          <w:t>Systèmes à satellites non OSG</w:t>
        </w:r>
      </w:hyperlink>
    </w:p>
    <w:p w14:paraId="2A88EE26" w14:textId="77777777" w:rsidR="0031628C" w:rsidRPr="00B91EE1" w:rsidRDefault="0031628C" w:rsidP="00153B40">
      <w:pPr>
        <w:pStyle w:val="enumlev2"/>
        <w:keepNext/>
        <w:keepLines/>
      </w:pPr>
      <w:r w:rsidRPr="00B91EE1">
        <w:t>•</w:t>
      </w:r>
      <w:r w:rsidRPr="00B91EE1">
        <w:tab/>
      </w:r>
      <w:hyperlink r:id="rId65" w:history="1">
        <w:r w:rsidRPr="00B91EE1">
          <w:rPr>
            <w:rStyle w:val="Hyperlink"/>
          </w:rPr>
          <w:t>Systèmes à satellites non OSG associés à des missions de courte durée</w:t>
        </w:r>
      </w:hyperlink>
    </w:p>
    <w:p w14:paraId="62250324" w14:textId="026C7B9A" w:rsidR="0031628C" w:rsidRPr="00B91EE1" w:rsidRDefault="0031628C" w:rsidP="00153B40">
      <w:pPr>
        <w:pStyle w:val="enumlev2"/>
        <w:keepNext/>
        <w:keepLines/>
      </w:pPr>
      <w:r w:rsidRPr="00B91EE1">
        <w:t>•</w:t>
      </w:r>
      <w:r w:rsidRPr="00B91EE1">
        <w:tab/>
      </w:r>
      <w:hyperlink r:id="rId66" w:history="1">
        <w:r w:rsidRPr="00B91EE1">
          <w:rPr>
            <w:rStyle w:val="Hyperlink"/>
          </w:rPr>
          <w:t>Petits satellites: nanosatellites et picosatellites – Missions de courte durée</w:t>
        </w:r>
      </w:hyperlink>
    </w:p>
    <w:p w14:paraId="40F66607" w14:textId="3C0B420A" w:rsidR="0031628C" w:rsidRPr="00B91EE1" w:rsidRDefault="0031628C" w:rsidP="00153B40">
      <w:pPr>
        <w:pStyle w:val="enumlev2"/>
        <w:keepNext/>
        <w:keepLines/>
      </w:pPr>
      <w:r w:rsidRPr="00B91EE1">
        <w:t>•</w:t>
      </w:r>
      <w:r w:rsidRPr="00B91EE1">
        <w:tab/>
      </w:r>
      <w:hyperlink r:id="rId67">
        <w:r w:rsidRPr="00B91EE1">
          <w:rPr>
            <w:rStyle w:val="Hyperlink"/>
          </w:rPr>
          <w:t>Réglementation et systèmes à satellites</w:t>
        </w:r>
      </w:hyperlink>
      <w:r w:rsidRPr="00B91EE1">
        <w:rPr>
          <w:rStyle w:val="Hyperlink"/>
        </w:rPr>
        <w:t xml:space="preserve"> (nouveau document d</w:t>
      </w:r>
      <w:r w:rsidR="00392F9A" w:rsidRPr="00B91EE1">
        <w:rPr>
          <w:rStyle w:val="Hyperlink"/>
        </w:rPr>
        <w:t>'</w:t>
      </w:r>
      <w:r w:rsidRPr="00B91EE1">
        <w:rPr>
          <w:rStyle w:val="Hyperlink"/>
        </w:rPr>
        <w:t>information)</w:t>
      </w:r>
    </w:p>
    <w:p w14:paraId="47B4EE3D" w14:textId="61EB9662" w:rsidR="0031628C" w:rsidRPr="00B91EE1" w:rsidRDefault="0031628C" w:rsidP="004522B1">
      <w:r w:rsidRPr="00B91EE1">
        <w:t>En 2022, le Bureau des radiocommunications a reçu 68 demandes émanant de revues techniques spécialisées et de médias s</w:t>
      </w:r>
      <w:r w:rsidR="00392F9A" w:rsidRPr="00B91EE1">
        <w:t>'</w:t>
      </w:r>
      <w:r w:rsidRPr="00B91EE1">
        <w:t>intéressant à nos travaux. Nous avons répondu sans tarder à chaque demande en fournissant les informations sollicitées, afin d</w:t>
      </w:r>
      <w:r w:rsidR="00392F9A" w:rsidRPr="00B91EE1">
        <w:t>'</w:t>
      </w:r>
      <w:r w:rsidRPr="00B91EE1">
        <w:t>entretenir des relations constructives avec les médias.</w:t>
      </w:r>
    </w:p>
    <w:p w14:paraId="03246FE2" w14:textId="441CEC5F" w:rsidR="0031628C" w:rsidRPr="00B91EE1" w:rsidRDefault="0031628C" w:rsidP="004522B1">
      <w:r w:rsidRPr="00B91EE1">
        <w:t>Pôle Nouvelles de l</w:t>
      </w:r>
      <w:r w:rsidR="00392F9A" w:rsidRPr="00B91EE1">
        <w:t>'</w:t>
      </w:r>
      <w:r w:rsidRPr="00B91EE1">
        <w:t>UIT:</w:t>
      </w:r>
    </w:p>
    <w:p w14:paraId="3F1CEBCD" w14:textId="5F6C17CB" w:rsidR="00D058F3" w:rsidRPr="00B91EE1" w:rsidRDefault="0031628C" w:rsidP="004522B1">
      <w:r w:rsidRPr="00B91EE1">
        <w:t>Le pôle Nouvelles de l</w:t>
      </w:r>
      <w:r w:rsidR="00392F9A" w:rsidRPr="00B91EE1">
        <w:t>'</w:t>
      </w:r>
      <w:r w:rsidRPr="00B91EE1">
        <w:t>UIT a été mis à jour avec les informations suivantes:</w:t>
      </w:r>
    </w:p>
    <w:p w14:paraId="27E4DCC9" w14:textId="48798616" w:rsidR="0031628C" w:rsidRPr="00B91EE1" w:rsidRDefault="0031628C" w:rsidP="004522B1">
      <w:r w:rsidRPr="00B91EE1">
        <w:t>En 2022, le Bureau des radiocommunications a soumis les articles ci-après pour le numéro spécial des Nouvelles de l</w:t>
      </w:r>
      <w:r w:rsidR="00392F9A" w:rsidRPr="00B91EE1">
        <w:t>'</w:t>
      </w:r>
      <w:r w:rsidRPr="00B91EE1">
        <w:t xml:space="preserve">UIT intitulé </w:t>
      </w:r>
      <w:r w:rsidR="00E53FB8" w:rsidRPr="00B91EE1">
        <w:t>«</w:t>
      </w:r>
      <w:hyperlink r:id="rId68" w:history="1">
        <w:r w:rsidRPr="00B91EE1">
          <w:rPr>
            <w:rStyle w:val="Hyperlink"/>
          </w:rPr>
          <w:t>Les technologies au service de la population et de la planète</w:t>
        </w:r>
      </w:hyperlink>
      <w:r w:rsidRPr="00B91EE1">
        <w:t xml:space="preserve"> (des solutions numériques pour les 17 Objectifs de développement durable)</w:t>
      </w:r>
      <w:r w:rsidR="00E53FB8" w:rsidRPr="00B91EE1">
        <w:t>»</w:t>
      </w:r>
      <w:r w:rsidRPr="00B91EE1">
        <w:t>:</w:t>
      </w:r>
    </w:p>
    <w:p w14:paraId="11F6E0E5" w14:textId="008F273E" w:rsidR="0031628C" w:rsidRPr="00B91EE1" w:rsidRDefault="008500C2" w:rsidP="004522B1">
      <w:pPr>
        <w:pStyle w:val="enumlev1"/>
      </w:pPr>
      <w:r>
        <w:t>•</w:t>
      </w:r>
      <w:r w:rsidR="0031628C" w:rsidRPr="00B91EE1">
        <w:tab/>
        <w:t>Célébrer la confiance accordée à la radio et l</w:t>
      </w:r>
      <w:r w:rsidR="00392F9A" w:rsidRPr="00B91EE1">
        <w:t>'</w:t>
      </w:r>
      <w:r w:rsidR="0031628C" w:rsidRPr="00B91EE1">
        <w:t>accessibilité de la radio, Mario Maniewicz, Directeur du Bureau des radiocommunications de l</w:t>
      </w:r>
      <w:r w:rsidR="00392F9A" w:rsidRPr="00B91EE1">
        <w:t>'</w:t>
      </w:r>
      <w:r w:rsidR="0031628C" w:rsidRPr="00B91EE1">
        <w:t>UIT</w:t>
      </w:r>
    </w:p>
    <w:p w14:paraId="471E5B73" w14:textId="5E02B9A8" w:rsidR="0031628C" w:rsidRPr="00B91EE1" w:rsidRDefault="008500C2" w:rsidP="004522B1">
      <w:pPr>
        <w:pStyle w:val="enumlev1"/>
      </w:pPr>
      <w:r>
        <w:t>•</w:t>
      </w:r>
      <w:r w:rsidR="0031628C" w:rsidRPr="00B91EE1">
        <w:tab/>
        <w:t>Préparer la prochaine Conférence mondiale des radiocommunications</w:t>
      </w:r>
    </w:p>
    <w:p w14:paraId="72A735B2" w14:textId="78D991D1" w:rsidR="0031628C" w:rsidRPr="00B91EE1" w:rsidRDefault="008500C2" w:rsidP="004522B1">
      <w:pPr>
        <w:pStyle w:val="enumlev1"/>
      </w:pPr>
      <w:r>
        <w:t>•</w:t>
      </w:r>
      <w:r w:rsidR="0031628C" w:rsidRPr="00B91EE1">
        <w:tab/>
        <w:t>De nouvelles fréquences MF pour étendre la portée de la radio en Afrique</w:t>
      </w:r>
    </w:p>
    <w:p w14:paraId="13C3F596" w14:textId="3D5D4796" w:rsidR="0031628C" w:rsidRPr="00B91EE1" w:rsidRDefault="008500C2" w:rsidP="004522B1">
      <w:pPr>
        <w:pStyle w:val="enumlev1"/>
      </w:pPr>
      <w:r>
        <w:t>•</w:t>
      </w:r>
      <w:r w:rsidR="0031628C" w:rsidRPr="00B91EE1">
        <w:tab/>
        <w:t>Cette édition et les éditions ultérieures ont également fait la promotion du site web et du Manuel de la CMR-23</w:t>
      </w:r>
    </w:p>
    <w:p w14:paraId="5FB14226" w14:textId="2ECC1D31" w:rsidR="0031628C" w:rsidRPr="00B91EE1" w:rsidRDefault="0031628C" w:rsidP="004522B1">
      <w:r w:rsidRPr="00B91EE1">
        <w:t>Le Directeur du Bureau des radiocommunications a régulièrement contribué aux articles des Nouvelles de l</w:t>
      </w:r>
      <w:r w:rsidR="00392F9A" w:rsidRPr="00B91EE1">
        <w:t>'</w:t>
      </w:r>
      <w:r w:rsidRPr="00B91EE1">
        <w:t>UIT, à des billets de blog et à des podcasts. Les nouveaux billets de blogs suivants ont été publiés en 2022:</w:t>
      </w:r>
    </w:p>
    <w:p w14:paraId="2E4390A9" w14:textId="36ECD5A2" w:rsidR="0031628C" w:rsidRPr="00B91EE1" w:rsidRDefault="008500C2" w:rsidP="00915E79">
      <w:pPr>
        <w:pStyle w:val="enumlev1"/>
      </w:pPr>
      <w:r>
        <w:t>•</w:t>
      </w:r>
      <w:r w:rsidR="0031628C" w:rsidRPr="00B91EE1">
        <w:tab/>
      </w:r>
      <w:hyperlink r:id="rId69" w:anchor="/fr" w:history="1">
        <w:r w:rsidR="0031628C" w:rsidRPr="00B91EE1">
          <w:rPr>
            <w:rStyle w:val="Hyperlink"/>
          </w:rPr>
          <w:t>Another step towards FM radio expansion in Africa</w:t>
        </w:r>
      </w:hyperlink>
      <w:r w:rsidR="0031628C" w:rsidRPr="00B91EE1">
        <w:rPr>
          <w:rStyle w:val="Hyperlink"/>
          <w:u w:val="none"/>
        </w:rPr>
        <w:t xml:space="preserve"> </w:t>
      </w:r>
      <w:r w:rsidR="0031628C" w:rsidRPr="00B91EE1">
        <w:t>(</w:t>
      </w:r>
      <w:r w:rsidR="0031628C" w:rsidRPr="00B91EE1">
        <w:rPr>
          <w:i/>
          <w:iCs/>
        </w:rPr>
        <w:t>Une nouvelle avancée sur la voie du développement de la radio MF en Afrique</w:t>
      </w:r>
      <w:r w:rsidR="0031628C" w:rsidRPr="00B91EE1">
        <w:t>)</w:t>
      </w:r>
    </w:p>
    <w:p w14:paraId="7111699A" w14:textId="5E5BD7B0" w:rsidR="0031628C" w:rsidRPr="00B91EE1" w:rsidRDefault="008500C2" w:rsidP="00B91EE1">
      <w:pPr>
        <w:pStyle w:val="enumlev1"/>
        <w:tabs>
          <w:tab w:val="clear" w:pos="794"/>
        </w:tabs>
        <w:ind w:left="851" w:hanging="851"/>
        <w:rPr>
          <w:u w:val="single"/>
        </w:rPr>
      </w:pPr>
      <w:r>
        <w:t>•</w:t>
      </w:r>
      <w:r w:rsidR="0031628C" w:rsidRPr="00B91EE1">
        <w:tab/>
      </w:r>
      <w:hyperlink r:id="rId70" w:anchor="/fr" w:history="1">
        <w:r w:rsidR="0031628C" w:rsidRPr="00B91EE1">
          <w:rPr>
            <w:rStyle w:val="Hyperlink"/>
          </w:rPr>
          <w:t>In radio we trust: The role of technical standards</w:t>
        </w:r>
      </w:hyperlink>
      <w:r w:rsidR="0031628C" w:rsidRPr="00B91EE1">
        <w:rPr>
          <w:rStyle w:val="Hyperlink"/>
          <w:u w:val="none"/>
        </w:rPr>
        <w:t xml:space="preserve"> </w:t>
      </w:r>
      <w:r w:rsidR="0031628C" w:rsidRPr="00B91EE1">
        <w:t>(</w:t>
      </w:r>
      <w:r w:rsidR="0031628C" w:rsidRPr="00B91EE1">
        <w:rPr>
          <w:i/>
          <w:iCs/>
        </w:rPr>
        <w:t>La radio en tant que média de confiance:</w:t>
      </w:r>
      <w:r w:rsidR="0031628C" w:rsidRPr="00B91EE1">
        <w:t xml:space="preserve"> </w:t>
      </w:r>
      <w:r w:rsidR="0031628C" w:rsidRPr="00B91EE1">
        <w:rPr>
          <w:i/>
          <w:iCs/>
        </w:rPr>
        <w:t>le rôle des normes techniques</w:t>
      </w:r>
      <w:r w:rsidR="0031628C" w:rsidRPr="00B91EE1">
        <w:t>)</w:t>
      </w:r>
    </w:p>
    <w:p w14:paraId="440D1A5A" w14:textId="191E77CD" w:rsidR="0031628C" w:rsidRPr="00B91EE1" w:rsidRDefault="008500C2" w:rsidP="00B91EE1">
      <w:pPr>
        <w:pStyle w:val="enumlev1"/>
        <w:tabs>
          <w:tab w:val="clear" w:pos="794"/>
        </w:tabs>
        <w:ind w:left="851" w:hanging="851"/>
        <w:rPr>
          <w:u w:val="single"/>
        </w:rPr>
      </w:pPr>
      <w:r>
        <w:t>•</w:t>
      </w:r>
      <w:r w:rsidR="0031628C" w:rsidRPr="00B91EE1">
        <w:tab/>
      </w:r>
      <w:bookmarkStart w:id="212" w:name="_Hlk130891283"/>
      <w:r w:rsidR="0031628C" w:rsidRPr="00B91EE1">
        <w:fldChar w:fldCharType="begin"/>
      </w:r>
      <w:r w:rsidR="001D2D74" w:rsidRPr="00B91EE1">
        <w:instrText>HYPERLINK "https://www.itu.int/hub/2022/02/space-technologies-water-systems/" \l "/fr"</w:instrText>
      </w:r>
      <w:r w:rsidR="0031628C" w:rsidRPr="00B91EE1">
        <w:fldChar w:fldCharType="separate"/>
      </w:r>
      <w:r w:rsidR="0031628C" w:rsidRPr="00B91EE1">
        <w:rPr>
          <w:rStyle w:val="Hyperlink"/>
        </w:rPr>
        <w:t>How space technologies improve our understanding of water systems</w:t>
      </w:r>
      <w:r w:rsidR="0031628C" w:rsidRPr="00B91EE1">
        <w:rPr>
          <w:rStyle w:val="Hyperlink"/>
        </w:rPr>
        <w:fldChar w:fldCharType="end"/>
      </w:r>
      <w:r w:rsidR="0031628C" w:rsidRPr="00B91EE1">
        <w:rPr>
          <w:rStyle w:val="Hyperlink"/>
          <w:u w:val="none"/>
        </w:rPr>
        <w:t xml:space="preserve"> </w:t>
      </w:r>
      <w:bookmarkEnd w:id="212"/>
      <w:r w:rsidR="0031628C" w:rsidRPr="00B91EE1">
        <w:t>(</w:t>
      </w:r>
      <w:r w:rsidR="0031628C" w:rsidRPr="00B91EE1">
        <w:rPr>
          <w:i/>
          <w:iCs/>
        </w:rPr>
        <w:t>Comment les technologies spatiales nous permettent de mieux comprendre les systèmes hydriques</w:t>
      </w:r>
      <w:r w:rsidR="0031628C" w:rsidRPr="00B91EE1">
        <w:t>)</w:t>
      </w:r>
    </w:p>
    <w:p w14:paraId="45B8CDA1" w14:textId="6ED884D5" w:rsidR="0031628C" w:rsidRPr="00B91EE1" w:rsidRDefault="008500C2" w:rsidP="00B91EE1">
      <w:pPr>
        <w:pStyle w:val="enumlev1"/>
        <w:tabs>
          <w:tab w:val="clear" w:pos="794"/>
        </w:tabs>
        <w:ind w:left="851" w:hanging="851"/>
      </w:pPr>
      <w:r>
        <w:t>•</w:t>
      </w:r>
      <w:r w:rsidR="0031628C" w:rsidRPr="00B91EE1">
        <w:tab/>
      </w:r>
      <w:hyperlink r:id="rId71" w:anchor="/fr" w:history="1">
        <w:r w:rsidR="0031628C" w:rsidRPr="00B91EE1">
          <w:rPr>
            <w:rStyle w:val="Hyperlink"/>
          </w:rPr>
          <w:t>World Radio Day: Celebrating trust and accessibility</w:t>
        </w:r>
      </w:hyperlink>
      <w:r w:rsidR="0031628C" w:rsidRPr="00B91EE1">
        <w:t xml:space="preserve"> (</w:t>
      </w:r>
      <w:r w:rsidR="0031628C" w:rsidRPr="00B91EE1">
        <w:rPr>
          <w:i/>
          <w:iCs/>
        </w:rPr>
        <w:t>Journée mondiale de la radio: célébrer la confiance et l</w:t>
      </w:r>
      <w:r w:rsidR="00392F9A" w:rsidRPr="00B91EE1">
        <w:rPr>
          <w:i/>
          <w:iCs/>
        </w:rPr>
        <w:t>'</w:t>
      </w:r>
      <w:r w:rsidR="0031628C" w:rsidRPr="00B91EE1">
        <w:rPr>
          <w:i/>
          <w:iCs/>
        </w:rPr>
        <w:t>accessibilité</w:t>
      </w:r>
      <w:r w:rsidR="0031628C" w:rsidRPr="00B91EE1">
        <w:t>)</w:t>
      </w:r>
    </w:p>
    <w:p w14:paraId="5DB578A5" w14:textId="7DF34089" w:rsidR="0031628C" w:rsidRPr="00B91EE1" w:rsidRDefault="008500C2" w:rsidP="00B91EE1">
      <w:pPr>
        <w:pStyle w:val="enumlev1"/>
        <w:tabs>
          <w:tab w:val="clear" w:pos="794"/>
        </w:tabs>
        <w:ind w:left="851" w:hanging="851"/>
        <w:rPr>
          <w:u w:val="single"/>
        </w:rPr>
      </w:pPr>
      <w:r>
        <w:t>•</w:t>
      </w:r>
      <w:r w:rsidR="0031628C" w:rsidRPr="00B91EE1">
        <w:tab/>
      </w:r>
      <w:hyperlink r:id="rId72" w:history="1">
        <w:r w:rsidR="0031628C" w:rsidRPr="00B91EE1">
          <w:rPr>
            <w:rStyle w:val="Hyperlink"/>
          </w:rPr>
          <w:t>World Radio Day 2022 Podcast with BR Director Mario Maniewicz</w:t>
        </w:r>
      </w:hyperlink>
      <w:r w:rsidR="0031628C" w:rsidRPr="00B91EE1">
        <w:rPr>
          <w:rStyle w:val="Hyperlink"/>
          <w:u w:val="none"/>
        </w:rPr>
        <w:t xml:space="preserve"> </w:t>
      </w:r>
      <w:r w:rsidR="0031628C" w:rsidRPr="00B91EE1">
        <w:t>(</w:t>
      </w:r>
      <w:r w:rsidR="0031628C" w:rsidRPr="00B91EE1">
        <w:rPr>
          <w:i/>
          <w:iCs/>
        </w:rPr>
        <w:t>Journée mondiale de la radio 2022 – Podcast avec le Directeur du BR, Mario Maniewicz</w:t>
      </w:r>
      <w:r w:rsidR="0031628C" w:rsidRPr="00B91EE1">
        <w:t>)</w:t>
      </w:r>
    </w:p>
    <w:p w14:paraId="15E24602" w14:textId="2C4DFA45" w:rsidR="0031628C" w:rsidRPr="00B91EE1" w:rsidRDefault="008500C2" w:rsidP="00B91EE1">
      <w:pPr>
        <w:pStyle w:val="enumlev1"/>
        <w:tabs>
          <w:tab w:val="clear" w:pos="794"/>
        </w:tabs>
        <w:ind w:left="851" w:hanging="851"/>
        <w:rPr>
          <w:u w:val="single"/>
        </w:rPr>
      </w:pPr>
      <w:r>
        <w:t>•</w:t>
      </w:r>
      <w:r w:rsidR="0031628C" w:rsidRPr="00B91EE1">
        <w:tab/>
      </w:r>
      <w:hyperlink r:id="rId73" w:history="1">
        <w:r w:rsidR="0031628C" w:rsidRPr="00B91EE1">
          <w:rPr>
            <w:rStyle w:val="Hyperlink"/>
          </w:rPr>
          <w:t>Radio: The universal medium that leaves no one behind</w:t>
        </w:r>
      </w:hyperlink>
      <w:r w:rsidR="0031628C" w:rsidRPr="00B91EE1">
        <w:rPr>
          <w:rStyle w:val="Hyperlink"/>
          <w:u w:val="none"/>
        </w:rPr>
        <w:t xml:space="preserve"> </w:t>
      </w:r>
      <w:r w:rsidR="0031628C" w:rsidRPr="00B91EE1">
        <w:t>(</w:t>
      </w:r>
      <w:r w:rsidR="0031628C" w:rsidRPr="00B91EE1">
        <w:rPr>
          <w:i/>
          <w:iCs/>
        </w:rPr>
        <w:t>La radio: un média universel qui ne laisse personne de côté</w:t>
      </w:r>
      <w:r w:rsidR="0031628C" w:rsidRPr="00B91EE1">
        <w:t>)</w:t>
      </w:r>
    </w:p>
    <w:p w14:paraId="24A47C11" w14:textId="42036CEC" w:rsidR="0031628C" w:rsidRPr="00B91EE1" w:rsidRDefault="008500C2" w:rsidP="00B91EE1">
      <w:pPr>
        <w:pStyle w:val="enumlev1"/>
        <w:tabs>
          <w:tab w:val="clear" w:pos="794"/>
        </w:tabs>
        <w:ind w:left="851" w:hanging="851"/>
        <w:rPr>
          <w:u w:val="single"/>
        </w:rPr>
      </w:pPr>
      <w:r>
        <w:t>•</w:t>
      </w:r>
      <w:r w:rsidR="0031628C" w:rsidRPr="00B91EE1">
        <w:tab/>
      </w:r>
      <w:hyperlink r:id="rId74" w:anchor="/fr" w:history="1">
        <w:r w:rsidR="0031628C" w:rsidRPr="00B91EE1">
          <w:rPr>
            <w:rStyle w:val="Hyperlink"/>
          </w:rPr>
          <w:t>ITU and space: Ensuring interference-free satellite orbits in LEO and beyond</w:t>
        </w:r>
      </w:hyperlink>
      <w:r w:rsidR="0031628C" w:rsidRPr="00B91EE1">
        <w:rPr>
          <w:rStyle w:val="Hyperlink"/>
          <w:u w:val="none"/>
        </w:rPr>
        <w:t xml:space="preserve"> </w:t>
      </w:r>
      <w:r w:rsidR="0031628C" w:rsidRPr="00B91EE1">
        <w:t>(</w:t>
      </w:r>
      <w:r w:rsidR="0031628C" w:rsidRPr="00B91EE1">
        <w:rPr>
          <w:i/>
          <w:iCs/>
        </w:rPr>
        <w:t>UIT et espace: garantir une exploitation exempte de brouillages des satellites sur orbite basse et au</w:t>
      </w:r>
      <w:r w:rsidR="00E50EC3" w:rsidRPr="00B91EE1">
        <w:rPr>
          <w:i/>
          <w:iCs/>
        </w:rPr>
        <w:noBreakHyphen/>
      </w:r>
      <w:r w:rsidR="0031628C" w:rsidRPr="00B91EE1">
        <w:rPr>
          <w:i/>
          <w:iCs/>
        </w:rPr>
        <w:t>delà</w:t>
      </w:r>
      <w:r w:rsidR="0031628C" w:rsidRPr="00B91EE1">
        <w:t>)</w:t>
      </w:r>
    </w:p>
    <w:p w14:paraId="55385AA3" w14:textId="13875CB7" w:rsidR="0031628C" w:rsidRPr="00B91EE1" w:rsidRDefault="008500C2" w:rsidP="00B91EE1">
      <w:pPr>
        <w:pStyle w:val="enumlev1"/>
        <w:tabs>
          <w:tab w:val="clear" w:pos="794"/>
        </w:tabs>
        <w:ind w:left="851" w:hanging="851"/>
        <w:rPr>
          <w:u w:val="single"/>
        </w:rPr>
      </w:pPr>
      <w:r>
        <w:t>•</w:t>
      </w:r>
      <w:r w:rsidR="0031628C" w:rsidRPr="00B91EE1">
        <w:tab/>
      </w:r>
      <w:hyperlink r:id="rId75" w:anchor="/fr" w:history="1">
        <w:r w:rsidR="0031628C" w:rsidRPr="00B91EE1">
          <w:rPr>
            <w:rStyle w:val="Hyperlink"/>
          </w:rPr>
          <w:t>An inside look at mobile broadband standards development</w:t>
        </w:r>
      </w:hyperlink>
      <w:r w:rsidR="0031628C" w:rsidRPr="00B91EE1">
        <w:rPr>
          <w:rStyle w:val="Hyperlink"/>
          <w:u w:val="none"/>
        </w:rPr>
        <w:t xml:space="preserve"> </w:t>
      </w:r>
      <w:r w:rsidR="0031628C" w:rsidRPr="00B91EE1">
        <w:t>(</w:t>
      </w:r>
      <w:r w:rsidR="0031628C" w:rsidRPr="00B91EE1">
        <w:rPr>
          <w:i/>
          <w:iCs/>
        </w:rPr>
        <w:t>Les normes mobiles large bande en détail</w:t>
      </w:r>
      <w:r w:rsidR="0031628C" w:rsidRPr="00B91EE1">
        <w:t>)</w:t>
      </w:r>
    </w:p>
    <w:p w14:paraId="6DF9FD79" w14:textId="56B17ABE" w:rsidR="0031628C" w:rsidRPr="00B91EE1" w:rsidRDefault="008500C2" w:rsidP="004522B1">
      <w:pPr>
        <w:pStyle w:val="enumlev1"/>
        <w:rPr>
          <w:u w:val="single"/>
        </w:rPr>
      </w:pPr>
      <w:r>
        <w:lastRenderedPageBreak/>
        <w:t>•</w:t>
      </w:r>
      <w:r w:rsidR="0031628C" w:rsidRPr="00B91EE1">
        <w:tab/>
      </w:r>
      <w:hyperlink r:id="rId76" w:anchor="/fr" w:history="1">
        <w:r w:rsidR="0031628C" w:rsidRPr="00B91EE1">
          <w:rPr>
            <w:rStyle w:val="Hyperlink"/>
          </w:rPr>
          <w:t>Why space science and spectrum are key for early warning systems and disaster risk reduction</w:t>
        </w:r>
      </w:hyperlink>
      <w:r w:rsidR="0031628C" w:rsidRPr="00B91EE1">
        <w:rPr>
          <w:rStyle w:val="Hyperlink"/>
          <w:u w:val="none"/>
        </w:rPr>
        <w:t xml:space="preserve"> </w:t>
      </w:r>
      <w:r w:rsidR="0031628C" w:rsidRPr="00B91EE1">
        <w:t>(</w:t>
      </w:r>
      <w:r w:rsidR="0031628C" w:rsidRPr="00B91EE1">
        <w:rPr>
          <w:i/>
          <w:iCs/>
        </w:rPr>
        <w:t>En quoi les sciences spatiales et les fréquences sont déterminantes pour les systèmes d</w:t>
      </w:r>
      <w:r w:rsidR="00392F9A" w:rsidRPr="00B91EE1">
        <w:rPr>
          <w:i/>
          <w:iCs/>
        </w:rPr>
        <w:t>'</w:t>
      </w:r>
      <w:r w:rsidR="0031628C" w:rsidRPr="00B91EE1">
        <w:rPr>
          <w:i/>
          <w:iCs/>
        </w:rPr>
        <w:t>alerte avancée et la réduction des risques liés aux catastrophes</w:t>
      </w:r>
      <w:r w:rsidR="0031628C" w:rsidRPr="00B91EE1">
        <w:t>)</w:t>
      </w:r>
    </w:p>
    <w:p w14:paraId="2A7DF821" w14:textId="3B31B3AA" w:rsidR="0031628C" w:rsidRPr="00B91EE1" w:rsidRDefault="008500C2" w:rsidP="004522B1">
      <w:pPr>
        <w:pStyle w:val="enumlev1"/>
        <w:rPr>
          <w:u w:val="single"/>
        </w:rPr>
      </w:pPr>
      <w:r>
        <w:t>•</w:t>
      </w:r>
      <w:r w:rsidR="0031628C" w:rsidRPr="00B91EE1">
        <w:tab/>
        <w:t xml:space="preserve">Journée mondiale des radio-amateurs: </w:t>
      </w:r>
      <w:hyperlink r:id="rId77" w:anchor="/fr" w:history="1">
        <w:r w:rsidR="0031628C" w:rsidRPr="00B91EE1">
          <w:rPr>
            <w:rStyle w:val="Hyperlink"/>
          </w:rPr>
          <w:t>Young radio amateurs light up the air: Q&amp;A with Philipp Springer</w:t>
        </w:r>
      </w:hyperlink>
      <w:r w:rsidR="0031628C" w:rsidRPr="00B91EE1">
        <w:rPr>
          <w:rStyle w:val="Hyperlink"/>
          <w:u w:val="none"/>
        </w:rPr>
        <w:t xml:space="preserve"> </w:t>
      </w:r>
      <w:r w:rsidR="0031628C" w:rsidRPr="00B91EE1">
        <w:t>(</w:t>
      </w:r>
      <w:r w:rsidR="0031628C" w:rsidRPr="00B91EE1">
        <w:rPr>
          <w:i/>
          <w:iCs/>
        </w:rPr>
        <w:t>De jeunes radio-amateurs illuminent l</w:t>
      </w:r>
      <w:r w:rsidR="00392F9A" w:rsidRPr="00B91EE1">
        <w:rPr>
          <w:i/>
          <w:iCs/>
        </w:rPr>
        <w:t>'</w:t>
      </w:r>
      <w:r w:rsidR="0031628C" w:rsidRPr="00B91EE1">
        <w:rPr>
          <w:i/>
          <w:iCs/>
        </w:rPr>
        <w:t>antenne: interview avec Philipp Springer</w:t>
      </w:r>
      <w:r w:rsidR="0031628C" w:rsidRPr="00B91EE1">
        <w:t>)</w:t>
      </w:r>
    </w:p>
    <w:p w14:paraId="3DA4D67E" w14:textId="5D699577" w:rsidR="0031628C" w:rsidRPr="00B91EE1" w:rsidRDefault="008500C2" w:rsidP="004522B1">
      <w:pPr>
        <w:pStyle w:val="enumlev1"/>
        <w:rPr>
          <w:u w:val="single"/>
        </w:rPr>
      </w:pPr>
      <w:r>
        <w:t>•</w:t>
      </w:r>
      <w:r w:rsidR="0031628C" w:rsidRPr="00B91EE1">
        <w:tab/>
        <w:t xml:space="preserve">Journée mondiale des radio-amateurs: </w:t>
      </w:r>
      <w:hyperlink r:id="rId78" w:anchor="/fr" w:history="1">
        <w:r w:rsidR="0031628C" w:rsidRPr="00B91EE1">
          <w:rPr>
            <w:rStyle w:val="Hyperlink"/>
          </w:rPr>
          <w:t xml:space="preserve">How to become a radio </w:t>
        </w:r>
        <w:r w:rsidR="00153B40" w:rsidRPr="00B91EE1">
          <w:rPr>
            <w:rStyle w:val="Hyperlink"/>
          </w:rPr>
          <w:t>«</w:t>
        </w:r>
        <w:r w:rsidR="0031628C" w:rsidRPr="00B91EE1">
          <w:rPr>
            <w:rStyle w:val="Hyperlink"/>
          </w:rPr>
          <w:t>ham</w:t>
        </w:r>
        <w:r w:rsidR="00153B40" w:rsidRPr="00B91EE1">
          <w:rPr>
            <w:rStyle w:val="Hyperlink"/>
          </w:rPr>
          <w:t>»</w:t>
        </w:r>
        <w:r w:rsidR="0031628C" w:rsidRPr="00B91EE1">
          <w:rPr>
            <w:rStyle w:val="Hyperlink"/>
          </w:rPr>
          <w:t xml:space="preserve"> in the digital era</w:t>
        </w:r>
      </w:hyperlink>
      <w:r w:rsidR="0031628C" w:rsidRPr="00B91EE1">
        <w:rPr>
          <w:rStyle w:val="Hyperlink"/>
        </w:rPr>
        <w:t xml:space="preserve"> </w:t>
      </w:r>
      <w:r w:rsidR="0031628C" w:rsidRPr="00B91EE1">
        <w:t>(</w:t>
      </w:r>
      <w:r w:rsidR="0031628C" w:rsidRPr="00B91EE1">
        <w:rPr>
          <w:i/>
          <w:iCs/>
        </w:rPr>
        <w:t>Comment devenir radioamateur à l</w:t>
      </w:r>
      <w:r w:rsidR="00392F9A" w:rsidRPr="00B91EE1">
        <w:rPr>
          <w:i/>
          <w:iCs/>
        </w:rPr>
        <w:t>'</w:t>
      </w:r>
      <w:r w:rsidR="0031628C" w:rsidRPr="00B91EE1">
        <w:rPr>
          <w:i/>
          <w:iCs/>
        </w:rPr>
        <w:t>ère numérique?</w:t>
      </w:r>
      <w:r w:rsidR="0031628C" w:rsidRPr="00B91EE1">
        <w:t>)</w:t>
      </w:r>
    </w:p>
    <w:p w14:paraId="77C564B4" w14:textId="797D8F8D" w:rsidR="0031628C" w:rsidRPr="00B91EE1" w:rsidRDefault="008500C2" w:rsidP="004522B1">
      <w:pPr>
        <w:pStyle w:val="enumlev1"/>
        <w:rPr>
          <w:u w:val="single"/>
        </w:rPr>
      </w:pPr>
      <w:r>
        <w:t>•</w:t>
      </w:r>
      <w:r w:rsidR="0031628C" w:rsidRPr="00B91EE1">
        <w:tab/>
      </w:r>
      <w:hyperlink r:id="rId79" w:anchor="/fr" w:history="1">
        <w:r w:rsidR="0031628C" w:rsidRPr="00B91EE1">
          <w:rPr>
            <w:rStyle w:val="Hyperlink"/>
          </w:rPr>
          <w:t>Safeguarding radio astronomy on the Moon</w:t>
        </w:r>
      </w:hyperlink>
      <w:r w:rsidR="0031628C" w:rsidRPr="00B91EE1">
        <w:rPr>
          <w:rStyle w:val="Hyperlink"/>
          <w:u w:val="none"/>
        </w:rPr>
        <w:t xml:space="preserve"> </w:t>
      </w:r>
      <w:r w:rsidR="00E53FB8" w:rsidRPr="00B91EE1">
        <w:t>(</w:t>
      </w:r>
      <w:r w:rsidR="0031628C" w:rsidRPr="00B91EE1">
        <w:rPr>
          <w:i/>
          <w:iCs/>
        </w:rPr>
        <w:t>Préserver les activités de radioastronomie sur la Lune</w:t>
      </w:r>
      <w:r w:rsidR="0031628C" w:rsidRPr="00B91EE1">
        <w:t>)</w:t>
      </w:r>
    </w:p>
    <w:p w14:paraId="6AB551C9" w14:textId="4F43A353" w:rsidR="0031628C" w:rsidRPr="00B91EE1" w:rsidRDefault="008500C2" w:rsidP="004522B1">
      <w:pPr>
        <w:pStyle w:val="enumlev1"/>
        <w:rPr>
          <w:u w:val="single"/>
        </w:rPr>
      </w:pPr>
      <w:r>
        <w:t>•</w:t>
      </w:r>
      <w:r w:rsidR="0031628C" w:rsidRPr="00B91EE1">
        <w:tab/>
      </w:r>
      <w:hyperlink r:id="rId80" w:anchor="/fr" w:history="1">
        <w:r w:rsidR="0031628C" w:rsidRPr="00B91EE1">
          <w:rPr>
            <w:rStyle w:val="Hyperlink"/>
          </w:rPr>
          <w:t>ITU</w:t>
        </w:r>
        <w:r w:rsidR="00392F9A" w:rsidRPr="00B91EE1">
          <w:rPr>
            <w:rStyle w:val="Hyperlink"/>
          </w:rPr>
          <w:t>'</w:t>
        </w:r>
        <w:r w:rsidR="0031628C" w:rsidRPr="00B91EE1">
          <w:rPr>
            <w:rStyle w:val="Hyperlink"/>
          </w:rPr>
          <w:t>s ham radio station celebrates 60 years on air</w:t>
        </w:r>
      </w:hyperlink>
      <w:r w:rsidR="0031628C" w:rsidRPr="00B91EE1">
        <w:rPr>
          <w:rStyle w:val="Hyperlink"/>
          <w:u w:val="none"/>
        </w:rPr>
        <w:t xml:space="preserve"> </w:t>
      </w:r>
      <w:r w:rsidR="0031628C" w:rsidRPr="00B91EE1">
        <w:t>(</w:t>
      </w:r>
      <w:r w:rsidR="0031628C" w:rsidRPr="00B91EE1">
        <w:rPr>
          <w:i/>
          <w:iCs/>
        </w:rPr>
        <w:t>La station de radioamateurs de l</w:t>
      </w:r>
      <w:r w:rsidR="00392F9A" w:rsidRPr="00B91EE1">
        <w:rPr>
          <w:i/>
          <w:iCs/>
        </w:rPr>
        <w:t>'</w:t>
      </w:r>
      <w:r w:rsidR="0031628C" w:rsidRPr="00B91EE1">
        <w:rPr>
          <w:i/>
          <w:iCs/>
        </w:rPr>
        <w:t>UIT fête ses 60 ans de diffusion</w:t>
      </w:r>
      <w:r w:rsidR="0031628C" w:rsidRPr="00B91EE1">
        <w:t>)</w:t>
      </w:r>
    </w:p>
    <w:p w14:paraId="490F8AB9" w14:textId="7F98A030" w:rsidR="0031628C" w:rsidRPr="00B91EE1" w:rsidRDefault="008500C2" w:rsidP="004522B1">
      <w:pPr>
        <w:pStyle w:val="enumlev1"/>
        <w:rPr>
          <w:u w:val="single"/>
        </w:rPr>
      </w:pPr>
      <w:r>
        <w:t>•</w:t>
      </w:r>
      <w:r w:rsidR="0031628C" w:rsidRPr="00B91EE1">
        <w:tab/>
      </w:r>
      <w:hyperlink r:id="rId81" w:anchor="/fr" w:history="1">
        <w:r w:rsidR="0031628C" w:rsidRPr="00B91EE1">
          <w:rPr>
            <w:rStyle w:val="Hyperlink"/>
          </w:rPr>
          <w:t>ITU</w:t>
        </w:r>
        <w:r w:rsidR="00392F9A" w:rsidRPr="00B91EE1">
          <w:rPr>
            <w:rStyle w:val="Hyperlink"/>
          </w:rPr>
          <w:t>'</w:t>
        </w:r>
        <w:r w:rsidR="0031628C" w:rsidRPr="00B91EE1">
          <w:rPr>
            <w:rStyle w:val="Hyperlink"/>
          </w:rPr>
          <w:t>s maritime journey: Then and now</w:t>
        </w:r>
      </w:hyperlink>
      <w:r w:rsidR="0031628C" w:rsidRPr="00B91EE1">
        <w:rPr>
          <w:rStyle w:val="Hyperlink"/>
          <w:u w:val="none"/>
        </w:rPr>
        <w:t xml:space="preserve"> </w:t>
      </w:r>
      <w:r w:rsidR="0031628C" w:rsidRPr="00B91EE1">
        <w:t>(</w:t>
      </w:r>
      <w:r w:rsidR="0031628C" w:rsidRPr="00B91EE1">
        <w:rPr>
          <w:i/>
          <w:iCs/>
        </w:rPr>
        <w:t>Action de l</w:t>
      </w:r>
      <w:r w:rsidR="00392F9A" w:rsidRPr="00B91EE1">
        <w:rPr>
          <w:i/>
          <w:iCs/>
        </w:rPr>
        <w:t>'</w:t>
      </w:r>
      <w:r w:rsidR="0031628C" w:rsidRPr="00B91EE1">
        <w:rPr>
          <w:i/>
          <w:iCs/>
        </w:rPr>
        <w:t>UIT dans le secteur maritime: rétrospective</w:t>
      </w:r>
      <w:r w:rsidR="0031628C" w:rsidRPr="00B91EE1">
        <w:t>)</w:t>
      </w:r>
    </w:p>
    <w:p w14:paraId="7449BAF6" w14:textId="2D71D56E" w:rsidR="0031628C" w:rsidRPr="00B91EE1" w:rsidRDefault="008500C2" w:rsidP="004522B1">
      <w:pPr>
        <w:pStyle w:val="enumlev1"/>
        <w:rPr>
          <w:u w:val="single"/>
        </w:rPr>
      </w:pPr>
      <w:r>
        <w:t>•</w:t>
      </w:r>
      <w:r w:rsidR="0031628C" w:rsidRPr="00B91EE1">
        <w:tab/>
      </w:r>
      <w:hyperlink r:id="rId82" w:anchor="/fr" w:history="1">
        <w:r w:rsidR="0031628C" w:rsidRPr="00B91EE1">
          <w:rPr>
            <w:rStyle w:val="Hyperlink"/>
          </w:rPr>
          <w:t>Space monitoring at the core of ITU Radiocommunication activities</w:t>
        </w:r>
      </w:hyperlink>
      <w:r w:rsidR="0031628C" w:rsidRPr="00B91EE1">
        <w:rPr>
          <w:rStyle w:val="Hyperlink"/>
          <w:u w:val="none"/>
        </w:rPr>
        <w:t xml:space="preserve"> </w:t>
      </w:r>
      <w:r w:rsidR="0031628C" w:rsidRPr="00B91EE1">
        <w:t>(</w:t>
      </w:r>
      <w:r w:rsidR="0031628C" w:rsidRPr="00B91EE1">
        <w:rPr>
          <w:i/>
          <w:iCs/>
        </w:rPr>
        <w:t>La surveillance de l</w:t>
      </w:r>
      <w:r w:rsidR="00392F9A" w:rsidRPr="00B91EE1">
        <w:rPr>
          <w:i/>
          <w:iCs/>
        </w:rPr>
        <w:t>'</w:t>
      </w:r>
      <w:r w:rsidR="0031628C" w:rsidRPr="00B91EE1">
        <w:rPr>
          <w:i/>
          <w:iCs/>
        </w:rPr>
        <w:t>espace au cœur des activités de l</w:t>
      </w:r>
      <w:r w:rsidR="00392F9A" w:rsidRPr="00B91EE1">
        <w:rPr>
          <w:i/>
          <w:iCs/>
        </w:rPr>
        <w:t>'</w:t>
      </w:r>
      <w:r w:rsidR="0031628C" w:rsidRPr="00B91EE1">
        <w:rPr>
          <w:i/>
          <w:iCs/>
        </w:rPr>
        <w:t>UIT dans le secteur des radiocommunications</w:t>
      </w:r>
      <w:r w:rsidR="0031628C" w:rsidRPr="00B91EE1">
        <w:t>)</w:t>
      </w:r>
    </w:p>
    <w:p w14:paraId="4B9674D0" w14:textId="719FD8D3" w:rsidR="0031628C" w:rsidRPr="00B91EE1" w:rsidRDefault="008500C2" w:rsidP="004522B1">
      <w:pPr>
        <w:pStyle w:val="enumlev1"/>
        <w:rPr>
          <w:u w:val="single"/>
        </w:rPr>
      </w:pPr>
      <w:r>
        <w:t>•</w:t>
      </w:r>
      <w:r w:rsidR="0031628C" w:rsidRPr="00B91EE1">
        <w:tab/>
      </w:r>
      <w:hyperlink r:id="rId83" w:anchor="/fr" w:history="1">
        <w:r w:rsidR="0031628C" w:rsidRPr="00B91EE1">
          <w:rPr>
            <w:rStyle w:val="Hyperlink"/>
          </w:rPr>
          <w:t>ITU issues warning on interference with radio navigation satellite service</w:t>
        </w:r>
      </w:hyperlink>
      <w:r w:rsidR="0031628C" w:rsidRPr="00B91EE1">
        <w:rPr>
          <w:rStyle w:val="Hyperlink"/>
          <w:u w:val="none"/>
        </w:rPr>
        <w:t xml:space="preserve"> </w:t>
      </w:r>
      <w:r w:rsidR="0031628C" w:rsidRPr="00B91EE1">
        <w:t>(</w:t>
      </w:r>
      <w:r w:rsidR="0031628C" w:rsidRPr="00B91EE1">
        <w:rPr>
          <w:i/>
          <w:iCs/>
        </w:rPr>
        <w:t>L</w:t>
      </w:r>
      <w:r w:rsidR="00392F9A" w:rsidRPr="00B91EE1">
        <w:rPr>
          <w:i/>
          <w:iCs/>
        </w:rPr>
        <w:t>'</w:t>
      </w:r>
      <w:r w:rsidR="0031628C" w:rsidRPr="00B91EE1">
        <w:rPr>
          <w:i/>
          <w:iCs/>
        </w:rPr>
        <w:t>UIT met en garde contre les brouillages causés au service de radionavigation par satellite</w:t>
      </w:r>
      <w:r w:rsidR="0031628C" w:rsidRPr="00B91EE1">
        <w:t>)</w:t>
      </w:r>
    </w:p>
    <w:p w14:paraId="660C3CBB" w14:textId="79ECA286" w:rsidR="0031628C" w:rsidRPr="00B91EE1" w:rsidRDefault="008500C2" w:rsidP="004522B1">
      <w:pPr>
        <w:pStyle w:val="enumlev1"/>
        <w:rPr>
          <w:u w:val="single"/>
        </w:rPr>
      </w:pPr>
      <w:r>
        <w:t>•</w:t>
      </w:r>
      <w:r w:rsidR="0031628C" w:rsidRPr="00B91EE1">
        <w:tab/>
      </w:r>
      <w:hyperlink r:id="rId84" w:anchor="/fr" w:history="1">
        <w:r w:rsidR="0031628C" w:rsidRPr="00B91EE1">
          <w:rPr>
            <w:rStyle w:val="Hyperlink"/>
          </w:rPr>
          <w:t>ITU SpaceExplorer: Satellite frequency data at your fingertips</w:t>
        </w:r>
      </w:hyperlink>
      <w:r w:rsidR="0031628C" w:rsidRPr="00B91EE1">
        <w:rPr>
          <w:rStyle w:val="Hyperlink"/>
          <w:u w:val="none"/>
        </w:rPr>
        <w:t xml:space="preserve"> </w:t>
      </w:r>
      <w:r w:rsidR="0031628C" w:rsidRPr="00B91EE1">
        <w:t>(</w:t>
      </w:r>
      <w:r w:rsidR="0031628C" w:rsidRPr="00B91EE1">
        <w:rPr>
          <w:i/>
          <w:iCs/>
        </w:rPr>
        <w:t>ITU SpaceExplorer: des données relatives aux fréquences utilisées par les satellites à portée de main</w:t>
      </w:r>
      <w:r w:rsidR="0031628C" w:rsidRPr="00B91EE1">
        <w:t>)</w:t>
      </w:r>
    </w:p>
    <w:p w14:paraId="7E82C4B8" w14:textId="283A6C56" w:rsidR="0031628C" w:rsidRPr="00B91EE1" w:rsidRDefault="008500C2" w:rsidP="004522B1">
      <w:pPr>
        <w:pStyle w:val="enumlev1"/>
        <w:rPr>
          <w:u w:val="single"/>
        </w:rPr>
      </w:pPr>
      <w:r>
        <w:t>•</w:t>
      </w:r>
      <w:r w:rsidR="0031628C" w:rsidRPr="00B91EE1">
        <w:tab/>
      </w:r>
      <w:hyperlink r:id="rId85" w:anchor="/fr" w:history="1">
        <w:r w:rsidR="0031628C" w:rsidRPr="00B91EE1">
          <w:rPr>
            <w:rStyle w:val="Hyperlink"/>
          </w:rPr>
          <w:t>World Maritime Day 2022: Leveraging technologies and regulations for greener shipping</w:t>
        </w:r>
      </w:hyperlink>
      <w:r w:rsidR="0031628C" w:rsidRPr="00B91EE1">
        <w:rPr>
          <w:rStyle w:val="Hyperlink"/>
        </w:rPr>
        <w:t xml:space="preserve"> </w:t>
      </w:r>
      <w:r w:rsidR="0031628C" w:rsidRPr="00B91EE1">
        <w:t>(</w:t>
      </w:r>
      <w:r w:rsidR="0031628C" w:rsidRPr="00B91EE1">
        <w:rPr>
          <w:i/>
          <w:iCs/>
        </w:rPr>
        <w:t>Journée mondiale de la mer 2022</w:t>
      </w:r>
      <w:r w:rsidR="0031628C" w:rsidRPr="00B91EE1">
        <w:rPr>
          <w:rFonts w:eastAsia="Calibri"/>
        </w:rPr>
        <w:t xml:space="preserve">: </w:t>
      </w:r>
      <w:r w:rsidR="0031628C" w:rsidRPr="00B91EE1">
        <w:rPr>
          <w:i/>
          <w:iCs/>
        </w:rPr>
        <w:t>Tirer parti des technologies et des réglementations pour un transport maritime plus respectueux de l</w:t>
      </w:r>
      <w:r w:rsidR="00392F9A" w:rsidRPr="00B91EE1">
        <w:rPr>
          <w:i/>
          <w:iCs/>
        </w:rPr>
        <w:t>'</w:t>
      </w:r>
      <w:r w:rsidR="0031628C" w:rsidRPr="00B91EE1">
        <w:rPr>
          <w:i/>
          <w:iCs/>
        </w:rPr>
        <w:t>environnement</w:t>
      </w:r>
      <w:r w:rsidR="0031628C" w:rsidRPr="00B91EE1">
        <w:t>)</w:t>
      </w:r>
    </w:p>
    <w:p w14:paraId="79C1D188" w14:textId="0CCB3D94" w:rsidR="0031628C" w:rsidRPr="00B91EE1" w:rsidRDefault="008500C2" w:rsidP="004522B1">
      <w:pPr>
        <w:pStyle w:val="enumlev1"/>
      </w:pPr>
      <w:r>
        <w:t>•</w:t>
      </w:r>
      <w:r w:rsidR="0031628C" w:rsidRPr="00B91EE1">
        <w:tab/>
        <w:t>Semaine mondiale de l</w:t>
      </w:r>
      <w:r w:rsidR="00392F9A" w:rsidRPr="00B91EE1">
        <w:t>'</w:t>
      </w:r>
      <w:r w:rsidR="0031628C" w:rsidRPr="00B91EE1">
        <w:t xml:space="preserve">espace: </w:t>
      </w:r>
      <w:hyperlink r:id="rId86" w:anchor="/fr" w:history="1">
        <w:r w:rsidR="0031628C" w:rsidRPr="00B91EE1">
          <w:rPr>
            <w:rStyle w:val="Hyperlink"/>
          </w:rPr>
          <w:t>Geospatial data reveal a changing Earth</w:t>
        </w:r>
      </w:hyperlink>
      <w:r w:rsidR="0031628C" w:rsidRPr="00B91EE1">
        <w:rPr>
          <w:rStyle w:val="Hyperlink"/>
          <w:u w:val="none"/>
        </w:rPr>
        <w:t xml:space="preserve"> </w:t>
      </w:r>
      <w:r w:rsidR="0031628C" w:rsidRPr="00B91EE1">
        <w:t>(</w:t>
      </w:r>
      <w:r w:rsidR="0031628C" w:rsidRPr="00B91EE1">
        <w:rPr>
          <w:i/>
          <w:iCs/>
        </w:rPr>
        <w:t>Les données géospatiales révèlent que la Terre est en constante évolution</w:t>
      </w:r>
      <w:r w:rsidR="0031628C" w:rsidRPr="00B91EE1">
        <w:t>)</w:t>
      </w:r>
    </w:p>
    <w:p w14:paraId="1B905701" w14:textId="3E4823C2" w:rsidR="0031628C" w:rsidRPr="00B91EE1" w:rsidRDefault="008500C2" w:rsidP="004522B1">
      <w:pPr>
        <w:pStyle w:val="enumlev1"/>
      </w:pPr>
      <w:r>
        <w:t>•</w:t>
      </w:r>
      <w:r w:rsidR="0031628C" w:rsidRPr="00B91EE1">
        <w:tab/>
      </w:r>
      <w:hyperlink r:id="rId87" w:anchor="/fr" w:history="1">
        <w:r w:rsidR="0031628C" w:rsidRPr="00B91EE1">
          <w:rPr>
            <w:rStyle w:val="Hyperlink"/>
          </w:rPr>
          <w:t>Synergies for outer space sustainability: Lessons from ITU experiences</w:t>
        </w:r>
      </w:hyperlink>
      <w:r w:rsidR="0031628C" w:rsidRPr="00B91EE1">
        <w:t xml:space="preserve"> (</w:t>
      </w:r>
      <w:r w:rsidR="0031628C" w:rsidRPr="00B91EE1">
        <w:rPr>
          <w:i/>
          <w:iCs/>
        </w:rPr>
        <w:t>Des synergies au service de la durabilité de l</w:t>
      </w:r>
      <w:r w:rsidR="00392F9A" w:rsidRPr="00B91EE1">
        <w:rPr>
          <w:i/>
          <w:iCs/>
        </w:rPr>
        <w:t>'</w:t>
      </w:r>
      <w:r w:rsidR="0031628C" w:rsidRPr="00B91EE1">
        <w:rPr>
          <w:i/>
          <w:iCs/>
        </w:rPr>
        <w:t>espace extra-atmosphérique: enseignements tirés des données d</w:t>
      </w:r>
      <w:r w:rsidR="00392F9A" w:rsidRPr="00B91EE1">
        <w:rPr>
          <w:i/>
          <w:iCs/>
        </w:rPr>
        <w:t>'</w:t>
      </w:r>
      <w:r w:rsidR="0031628C" w:rsidRPr="00B91EE1">
        <w:rPr>
          <w:i/>
          <w:iCs/>
        </w:rPr>
        <w:t>expérience de l</w:t>
      </w:r>
      <w:r w:rsidR="00392F9A" w:rsidRPr="00B91EE1">
        <w:rPr>
          <w:i/>
          <w:iCs/>
        </w:rPr>
        <w:t>'</w:t>
      </w:r>
      <w:r w:rsidR="0031628C" w:rsidRPr="00B91EE1">
        <w:rPr>
          <w:i/>
          <w:iCs/>
        </w:rPr>
        <w:t>UIT</w:t>
      </w:r>
      <w:r w:rsidR="0031628C" w:rsidRPr="00B91EE1">
        <w:t>)</w:t>
      </w:r>
    </w:p>
    <w:p w14:paraId="0B6679F0" w14:textId="759745F6" w:rsidR="0031628C" w:rsidRPr="00B91EE1" w:rsidRDefault="008500C2" w:rsidP="004522B1">
      <w:pPr>
        <w:pStyle w:val="enumlev1"/>
      </w:pPr>
      <w:r>
        <w:t>•</w:t>
      </w:r>
      <w:r w:rsidR="0031628C" w:rsidRPr="00B91EE1">
        <w:tab/>
      </w:r>
      <w:r w:rsidR="0031628C" w:rsidRPr="00B91EE1">
        <w:rPr>
          <w:rFonts w:eastAsia="Calibri"/>
          <w:szCs w:val="24"/>
        </w:rPr>
        <w:t xml:space="preserve">World TV Day 2022: </w:t>
      </w:r>
      <w:hyperlink r:id="rId88" w:anchor="/fr" w:history="1">
        <w:r w:rsidR="0031628C" w:rsidRPr="00B91EE1">
          <w:rPr>
            <w:rStyle w:val="Hyperlink"/>
          </w:rPr>
          <w:t>Why terrestrial TV broadcasting is crucial in times of crisis</w:t>
        </w:r>
      </w:hyperlink>
      <w:r w:rsidR="0031628C" w:rsidRPr="00B91EE1">
        <w:rPr>
          <w:rStyle w:val="Hyperlink"/>
          <w:u w:val="none"/>
        </w:rPr>
        <w:t xml:space="preserve"> </w:t>
      </w:r>
      <w:r w:rsidR="0031628C" w:rsidRPr="00B91EE1">
        <w:t>(</w:t>
      </w:r>
      <w:r w:rsidR="0031628C" w:rsidRPr="00B91EE1">
        <w:rPr>
          <w:i/>
          <w:iCs/>
        </w:rPr>
        <w:t>Journée mondiale de la télévision 2022:</w:t>
      </w:r>
      <w:r w:rsidR="0031628C" w:rsidRPr="00B91EE1">
        <w:t xml:space="preserve"> </w:t>
      </w:r>
      <w:r w:rsidR="0031628C" w:rsidRPr="00B91EE1">
        <w:rPr>
          <w:i/>
          <w:iCs/>
        </w:rPr>
        <w:t>Pourquoi la radiodiffusion télévisuelle de Terre revêt une importance cruciale en temps de crise?</w:t>
      </w:r>
      <w:r w:rsidR="0031628C" w:rsidRPr="00B91EE1">
        <w:t>)</w:t>
      </w:r>
    </w:p>
    <w:p w14:paraId="7560A4FB" w14:textId="77777777" w:rsidR="0031628C" w:rsidRPr="00B91EE1" w:rsidRDefault="0031628C" w:rsidP="004522B1">
      <w:r w:rsidRPr="00B91EE1">
        <w:t>Les nouveaux billets de blog suivants ont été publiés dans le cadre de la promotion du Séminaire mondial des radiocommunications (WRS-22).</w:t>
      </w:r>
    </w:p>
    <w:p w14:paraId="17A62540" w14:textId="5CC1CB72" w:rsidR="0031628C" w:rsidRPr="00B91EE1" w:rsidRDefault="008500C2" w:rsidP="004522B1">
      <w:pPr>
        <w:pStyle w:val="enumlev1"/>
        <w:rPr>
          <w:u w:val="single"/>
        </w:rPr>
      </w:pPr>
      <w:r>
        <w:t>•</w:t>
      </w:r>
      <w:r w:rsidR="0031628C" w:rsidRPr="00B91EE1">
        <w:tab/>
      </w:r>
      <w:hyperlink r:id="rId89" w:anchor="/fr" w:history="1">
        <w:r w:rsidR="0031628C" w:rsidRPr="00B91EE1">
          <w:rPr>
            <w:rStyle w:val="Hyperlink"/>
          </w:rPr>
          <w:t>Global harmonization paves road to WRC-23</w:t>
        </w:r>
      </w:hyperlink>
      <w:r w:rsidR="0031628C" w:rsidRPr="00B91EE1">
        <w:rPr>
          <w:rStyle w:val="Hyperlink"/>
          <w:u w:val="none"/>
        </w:rPr>
        <w:t xml:space="preserve"> </w:t>
      </w:r>
      <w:r w:rsidR="0031628C" w:rsidRPr="00B91EE1">
        <w:t>(</w:t>
      </w:r>
      <w:r w:rsidR="0031628C" w:rsidRPr="00B91EE1">
        <w:rPr>
          <w:i/>
          <w:iCs/>
        </w:rPr>
        <w:t>L</w:t>
      </w:r>
      <w:r w:rsidR="00392F9A" w:rsidRPr="00B91EE1">
        <w:rPr>
          <w:i/>
          <w:iCs/>
        </w:rPr>
        <w:t>'</w:t>
      </w:r>
      <w:r w:rsidR="0031628C" w:rsidRPr="00B91EE1">
        <w:rPr>
          <w:i/>
          <w:iCs/>
        </w:rPr>
        <w:t>harmonisation à l</w:t>
      </w:r>
      <w:r w:rsidR="00392F9A" w:rsidRPr="00B91EE1">
        <w:rPr>
          <w:i/>
          <w:iCs/>
        </w:rPr>
        <w:t>'</w:t>
      </w:r>
      <w:r w:rsidR="0031628C" w:rsidRPr="00B91EE1">
        <w:rPr>
          <w:i/>
          <w:iCs/>
        </w:rPr>
        <w:t>échelle mondiale ouvre la voie à la CMR-23</w:t>
      </w:r>
      <w:r w:rsidR="0031628C" w:rsidRPr="00B91EE1">
        <w:t>)</w:t>
      </w:r>
    </w:p>
    <w:p w14:paraId="5BEFC9A9" w14:textId="423B6800" w:rsidR="0031628C" w:rsidRPr="00B91EE1" w:rsidRDefault="008500C2" w:rsidP="004522B1">
      <w:pPr>
        <w:pStyle w:val="enumlev1"/>
        <w:rPr>
          <w:u w:val="single"/>
        </w:rPr>
      </w:pPr>
      <w:r>
        <w:t>•</w:t>
      </w:r>
      <w:r w:rsidR="0031628C" w:rsidRPr="00B91EE1">
        <w:tab/>
      </w:r>
      <w:hyperlink r:id="rId90" w:anchor="/fr" w:history="1">
        <w:r w:rsidR="0031628C" w:rsidRPr="00B91EE1">
          <w:rPr>
            <w:rStyle w:val="Hyperlink"/>
          </w:rPr>
          <w:t>The quest for a gender-balanced radiocommunication future</w:t>
        </w:r>
      </w:hyperlink>
      <w:r w:rsidR="0031628C" w:rsidRPr="00B91EE1">
        <w:rPr>
          <w:rStyle w:val="Hyperlink"/>
          <w:u w:val="none"/>
        </w:rPr>
        <w:t xml:space="preserve"> </w:t>
      </w:r>
      <w:r w:rsidR="0031628C" w:rsidRPr="00B91EE1">
        <w:t>(</w:t>
      </w:r>
      <w:r w:rsidR="0031628C" w:rsidRPr="00B91EE1">
        <w:rPr>
          <w:i/>
          <w:iCs/>
        </w:rPr>
        <w:t>Vers un avenir des radiocommunications placé sous le signe de l</w:t>
      </w:r>
      <w:r w:rsidR="00392F9A" w:rsidRPr="00B91EE1">
        <w:rPr>
          <w:i/>
          <w:iCs/>
        </w:rPr>
        <w:t>'</w:t>
      </w:r>
      <w:r w:rsidR="0031628C" w:rsidRPr="00B91EE1">
        <w:rPr>
          <w:i/>
          <w:iCs/>
        </w:rPr>
        <w:t>égalité hommes-femmes</w:t>
      </w:r>
      <w:r w:rsidR="0031628C" w:rsidRPr="00B91EE1">
        <w:t>)</w:t>
      </w:r>
    </w:p>
    <w:p w14:paraId="19184831" w14:textId="4CE1D69C" w:rsidR="0031628C" w:rsidRPr="00B91EE1" w:rsidRDefault="008500C2" w:rsidP="004522B1">
      <w:pPr>
        <w:pStyle w:val="enumlev1"/>
        <w:rPr>
          <w:u w:val="single"/>
        </w:rPr>
      </w:pPr>
      <w:r>
        <w:t>•</w:t>
      </w:r>
      <w:r w:rsidR="0031628C" w:rsidRPr="00B91EE1">
        <w:tab/>
      </w:r>
      <w:hyperlink r:id="rId91" w:anchor="/fr" w:history="1">
        <w:r w:rsidR="0031628C" w:rsidRPr="00B91EE1">
          <w:rPr>
            <w:rStyle w:val="Hyperlink"/>
          </w:rPr>
          <w:t>Regulation of satellites in Earth</w:t>
        </w:r>
        <w:r w:rsidR="00392F9A" w:rsidRPr="00B91EE1">
          <w:rPr>
            <w:rStyle w:val="Hyperlink"/>
          </w:rPr>
          <w:t>'</w:t>
        </w:r>
        <w:r w:rsidR="0031628C" w:rsidRPr="00B91EE1">
          <w:rPr>
            <w:rStyle w:val="Hyperlink"/>
          </w:rPr>
          <w:t>s orbit</w:t>
        </w:r>
      </w:hyperlink>
      <w:r w:rsidR="0031628C" w:rsidRPr="00B91EE1">
        <w:rPr>
          <w:rStyle w:val="Hyperlink"/>
          <w:u w:val="none"/>
        </w:rPr>
        <w:t xml:space="preserve"> </w:t>
      </w:r>
      <w:r w:rsidR="0031628C" w:rsidRPr="00B91EE1">
        <w:t>(</w:t>
      </w:r>
      <w:r w:rsidR="0031628C" w:rsidRPr="00B91EE1">
        <w:rPr>
          <w:i/>
          <w:iCs/>
        </w:rPr>
        <w:t>Réglementation des satellites en orbite autour de la Terre</w:t>
      </w:r>
      <w:r w:rsidR="0031628C" w:rsidRPr="00B91EE1">
        <w:t>)</w:t>
      </w:r>
    </w:p>
    <w:p w14:paraId="53963393" w14:textId="1D706605" w:rsidR="0031628C" w:rsidRPr="00B91EE1" w:rsidRDefault="008500C2" w:rsidP="004522B1">
      <w:pPr>
        <w:pStyle w:val="enumlev1"/>
        <w:rPr>
          <w:u w:val="single"/>
        </w:rPr>
      </w:pPr>
      <w:r>
        <w:t>•</w:t>
      </w:r>
      <w:r w:rsidR="0031628C" w:rsidRPr="00B91EE1">
        <w:tab/>
      </w:r>
      <w:hyperlink r:id="rId92" w:anchor="/fr" w:history="1">
        <w:r w:rsidR="0031628C" w:rsidRPr="00B91EE1">
          <w:rPr>
            <w:rStyle w:val="Hyperlink"/>
          </w:rPr>
          <w:t>How ITU-R study groups work</w:t>
        </w:r>
      </w:hyperlink>
      <w:r w:rsidR="0031628C" w:rsidRPr="00B91EE1">
        <w:rPr>
          <w:rStyle w:val="Hyperlink"/>
          <w:u w:val="none"/>
        </w:rPr>
        <w:t xml:space="preserve"> </w:t>
      </w:r>
      <w:r w:rsidR="0031628C" w:rsidRPr="00B91EE1">
        <w:t>(</w:t>
      </w:r>
      <w:r w:rsidR="0031628C" w:rsidRPr="00B91EE1">
        <w:rPr>
          <w:i/>
          <w:iCs/>
        </w:rPr>
        <w:t>Modalités de fonctionnement des commissions d</w:t>
      </w:r>
      <w:r w:rsidR="00392F9A" w:rsidRPr="00B91EE1">
        <w:rPr>
          <w:i/>
          <w:iCs/>
        </w:rPr>
        <w:t>'</w:t>
      </w:r>
      <w:r w:rsidR="0031628C" w:rsidRPr="00B91EE1">
        <w:rPr>
          <w:i/>
          <w:iCs/>
        </w:rPr>
        <w:t>études de l</w:t>
      </w:r>
      <w:r w:rsidR="00392F9A" w:rsidRPr="00B91EE1">
        <w:rPr>
          <w:i/>
          <w:iCs/>
        </w:rPr>
        <w:t>'</w:t>
      </w:r>
      <w:r w:rsidR="0031628C" w:rsidRPr="00B91EE1">
        <w:rPr>
          <w:i/>
          <w:iCs/>
        </w:rPr>
        <w:t>UIT-R</w:t>
      </w:r>
      <w:r w:rsidR="0031628C" w:rsidRPr="00B91EE1">
        <w:t>)</w:t>
      </w:r>
    </w:p>
    <w:p w14:paraId="44457BF3" w14:textId="20E5A88F" w:rsidR="0031628C" w:rsidRPr="00B91EE1" w:rsidRDefault="008500C2" w:rsidP="004522B1">
      <w:pPr>
        <w:pStyle w:val="enumlev1"/>
        <w:rPr>
          <w:u w:val="single"/>
        </w:rPr>
      </w:pPr>
      <w:r>
        <w:t>•</w:t>
      </w:r>
      <w:r w:rsidR="0031628C" w:rsidRPr="00B91EE1">
        <w:tab/>
      </w:r>
      <w:hyperlink r:id="rId93" w:anchor="/fr" w:history="1">
        <w:r w:rsidR="0031628C" w:rsidRPr="00B91EE1">
          <w:rPr>
            <w:rStyle w:val="Hyperlink"/>
          </w:rPr>
          <w:t>Taking stock of terrestrial services</w:t>
        </w:r>
      </w:hyperlink>
      <w:r w:rsidR="0031628C" w:rsidRPr="00B91EE1">
        <w:rPr>
          <w:rStyle w:val="Hyperlink"/>
          <w:u w:val="none"/>
        </w:rPr>
        <w:t xml:space="preserve"> </w:t>
      </w:r>
      <w:r w:rsidR="0031628C" w:rsidRPr="00B91EE1">
        <w:t>(</w:t>
      </w:r>
      <w:r w:rsidR="0031628C" w:rsidRPr="00B91EE1">
        <w:rPr>
          <w:i/>
          <w:iCs/>
        </w:rPr>
        <w:t>Point sur les services de Terre</w:t>
      </w:r>
      <w:r w:rsidR="0031628C" w:rsidRPr="00B91EE1">
        <w:t>)</w:t>
      </w:r>
    </w:p>
    <w:p w14:paraId="38B0E22F" w14:textId="41E17F56" w:rsidR="0031628C" w:rsidRPr="00B91EE1" w:rsidRDefault="008500C2" w:rsidP="004522B1">
      <w:pPr>
        <w:pStyle w:val="enumlev1"/>
        <w:rPr>
          <w:u w:val="single"/>
        </w:rPr>
      </w:pPr>
      <w:r>
        <w:t>•</w:t>
      </w:r>
      <w:r w:rsidR="0031628C" w:rsidRPr="00B91EE1">
        <w:tab/>
      </w:r>
      <w:hyperlink r:id="rId94" w:anchor="/fr" w:history="1">
        <w:r w:rsidR="0031628C" w:rsidRPr="00B91EE1">
          <w:rPr>
            <w:rStyle w:val="Hyperlink"/>
          </w:rPr>
          <w:t>Mobile broadband trends from 3G to 6G</w:t>
        </w:r>
      </w:hyperlink>
      <w:r w:rsidR="0031628C" w:rsidRPr="00B91EE1">
        <w:rPr>
          <w:rStyle w:val="Hyperlink"/>
        </w:rPr>
        <w:t xml:space="preserve"> </w:t>
      </w:r>
      <w:bookmarkStart w:id="213" w:name="_Hlk130893652"/>
      <w:r w:rsidR="0031628C" w:rsidRPr="00B91EE1">
        <w:t>(</w:t>
      </w:r>
      <w:r w:rsidR="00667931" w:rsidRPr="00B91EE1">
        <w:rPr>
          <w:i/>
          <w:iCs/>
        </w:rPr>
        <w:t>Évolutions</w:t>
      </w:r>
      <w:r w:rsidR="0031628C" w:rsidRPr="00B91EE1">
        <w:rPr>
          <w:i/>
          <w:iCs/>
        </w:rPr>
        <w:t xml:space="preserve"> du large bande mobile: de la 3G à la</w:t>
      </w:r>
      <w:r w:rsidR="00667931" w:rsidRPr="00B91EE1">
        <w:rPr>
          <w:i/>
          <w:iCs/>
        </w:rPr>
        <w:t> </w:t>
      </w:r>
      <w:r w:rsidR="0031628C" w:rsidRPr="00B91EE1">
        <w:rPr>
          <w:i/>
          <w:iCs/>
        </w:rPr>
        <w:t>6G</w:t>
      </w:r>
      <w:r w:rsidR="0031628C" w:rsidRPr="00B91EE1">
        <w:t>)</w:t>
      </w:r>
      <w:bookmarkEnd w:id="213"/>
    </w:p>
    <w:p w14:paraId="74E1F4CC" w14:textId="3CB18702" w:rsidR="0031628C" w:rsidRPr="00B91EE1" w:rsidRDefault="008500C2" w:rsidP="004522B1">
      <w:pPr>
        <w:pStyle w:val="enumlev1"/>
        <w:rPr>
          <w:u w:val="single"/>
        </w:rPr>
      </w:pPr>
      <w:r>
        <w:lastRenderedPageBreak/>
        <w:t>•</w:t>
      </w:r>
      <w:r w:rsidR="0031628C" w:rsidRPr="00B91EE1">
        <w:tab/>
      </w:r>
      <w:hyperlink r:id="rId95" w:anchor="/fr" w:history="1">
        <w:r w:rsidR="0031628C" w:rsidRPr="00B91EE1">
          <w:rPr>
            <w:rStyle w:val="Hyperlink"/>
          </w:rPr>
          <w:t>Trends in maritime communications</w:t>
        </w:r>
      </w:hyperlink>
      <w:r w:rsidR="0031628C" w:rsidRPr="00B91EE1">
        <w:rPr>
          <w:rStyle w:val="Hyperlink"/>
        </w:rPr>
        <w:t xml:space="preserve"> </w:t>
      </w:r>
      <w:r w:rsidR="0031628C" w:rsidRPr="00B91EE1">
        <w:t>(</w:t>
      </w:r>
      <w:r w:rsidR="0031628C" w:rsidRPr="00B91EE1">
        <w:rPr>
          <w:i/>
          <w:iCs/>
        </w:rPr>
        <w:t>Tendances des communications maritimes</w:t>
      </w:r>
      <w:r w:rsidR="0031628C" w:rsidRPr="00B91EE1">
        <w:t>)</w:t>
      </w:r>
    </w:p>
    <w:p w14:paraId="1B791A24" w14:textId="50769490" w:rsidR="0031628C" w:rsidRPr="00B91EE1" w:rsidRDefault="008500C2" w:rsidP="004522B1">
      <w:pPr>
        <w:pStyle w:val="enumlev1"/>
        <w:rPr>
          <w:u w:val="single"/>
        </w:rPr>
      </w:pPr>
      <w:r>
        <w:t>•</w:t>
      </w:r>
      <w:r w:rsidR="0031628C" w:rsidRPr="00B91EE1">
        <w:tab/>
      </w:r>
      <w:hyperlink r:id="rId96" w:anchor="/fr" w:history="1">
        <w:r w:rsidR="0031628C" w:rsidRPr="00B91EE1">
          <w:rPr>
            <w:rStyle w:val="Hyperlink"/>
          </w:rPr>
          <w:t>Tracking the latest broadcasting trends</w:t>
        </w:r>
      </w:hyperlink>
      <w:r w:rsidR="0031628C" w:rsidRPr="00B91EE1">
        <w:rPr>
          <w:rStyle w:val="Hyperlink"/>
          <w:u w:val="none"/>
        </w:rPr>
        <w:t xml:space="preserve"> </w:t>
      </w:r>
      <w:r w:rsidR="0031628C" w:rsidRPr="00B91EE1">
        <w:t>(</w:t>
      </w:r>
      <w:r w:rsidR="0031628C" w:rsidRPr="00B91EE1">
        <w:rPr>
          <w:i/>
          <w:iCs/>
        </w:rPr>
        <w:t>Les dernières tendances en matière de radiodiffusion</w:t>
      </w:r>
      <w:r w:rsidR="0031628C" w:rsidRPr="00B91EE1">
        <w:t>)</w:t>
      </w:r>
    </w:p>
    <w:p w14:paraId="0FEC9D70" w14:textId="364CCA8E" w:rsidR="0031628C" w:rsidRPr="00B91EE1" w:rsidRDefault="008500C2" w:rsidP="004522B1">
      <w:pPr>
        <w:pStyle w:val="enumlev1"/>
      </w:pPr>
      <w:r>
        <w:t>•</w:t>
      </w:r>
      <w:r w:rsidR="0031628C" w:rsidRPr="00B91EE1">
        <w:tab/>
      </w:r>
      <w:hyperlink r:id="rId97" w:anchor="/fr" w:history="1">
        <w:r w:rsidR="0031628C" w:rsidRPr="00B91EE1">
          <w:rPr>
            <w:rStyle w:val="Hyperlink"/>
          </w:rPr>
          <w:t>New tools to help navigate and apply the Radio Regulations</w:t>
        </w:r>
      </w:hyperlink>
      <w:r w:rsidR="0031628C" w:rsidRPr="00B91EE1">
        <w:rPr>
          <w:rStyle w:val="Hyperlink"/>
          <w:u w:val="none"/>
        </w:rPr>
        <w:t xml:space="preserve"> </w:t>
      </w:r>
      <w:r w:rsidR="0031628C" w:rsidRPr="00B91EE1">
        <w:t>(</w:t>
      </w:r>
      <w:r w:rsidR="0031628C" w:rsidRPr="00B91EE1">
        <w:rPr>
          <w:i/>
          <w:iCs/>
        </w:rPr>
        <w:t>De nouveaux outils pour faciliter la navigation dans le Règlement des radiocommunications et son application</w:t>
      </w:r>
      <w:r w:rsidR="0031628C" w:rsidRPr="00B91EE1">
        <w:t>)</w:t>
      </w:r>
    </w:p>
    <w:p w14:paraId="03609AAC" w14:textId="1D358F41" w:rsidR="0031628C" w:rsidRPr="00B91EE1" w:rsidRDefault="0031628C" w:rsidP="004522B1">
      <w:pPr>
        <w:pStyle w:val="Heading4"/>
        <w:rPr>
          <w:i/>
          <w:iCs/>
        </w:rPr>
      </w:pPr>
      <w:r w:rsidRPr="00B91EE1">
        <w:t>8.6.2.2</w:t>
      </w:r>
      <w:r w:rsidRPr="00B91EE1">
        <w:tab/>
      </w:r>
      <w:bookmarkStart w:id="214" w:name="lt_pId1522"/>
      <w:r w:rsidRPr="00B91EE1">
        <w:t>Communications pour la promotion de l</w:t>
      </w:r>
      <w:r w:rsidR="00392F9A" w:rsidRPr="00B91EE1">
        <w:t>'</w:t>
      </w:r>
      <w:r w:rsidRPr="00B91EE1">
        <w:t>image de marque</w:t>
      </w:r>
      <w:bookmarkEnd w:id="214"/>
      <w:r w:rsidRPr="00B91EE1">
        <w:t>, ventes et marketing</w:t>
      </w:r>
    </w:p>
    <w:p w14:paraId="2C1A68D1" w14:textId="09C12A24" w:rsidR="0031628C" w:rsidRPr="00B91EE1" w:rsidRDefault="0031628C" w:rsidP="004522B1">
      <w:pPr>
        <w:rPr>
          <w:u w:val="single"/>
        </w:rPr>
      </w:pPr>
      <w:r w:rsidRPr="00B91EE1">
        <w:t>En 2022, les activités de promotion de l</w:t>
      </w:r>
      <w:r w:rsidR="00392F9A" w:rsidRPr="00B91EE1">
        <w:t>'</w:t>
      </w:r>
      <w:r w:rsidRPr="00B91EE1">
        <w:t>image de marque et de communication ont porté essentiellement sur l</w:t>
      </w:r>
      <w:r w:rsidR="00392F9A" w:rsidRPr="00B91EE1">
        <w:t>'</w:t>
      </w:r>
      <w:r w:rsidRPr="00B91EE1">
        <w:t xml:space="preserve">utilisation de la nouvelle plate-forme </w:t>
      </w:r>
      <w:hyperlink r:id="rId98" w:history="1">
        <w:r w:rsidRPr="00B91EE1">
          <w:rPr>
            <w:rStyle w:val="Hyperlink"/>
          </w:rPr>
          <w:t>Nouvelles de l</w:t>
        </w:r>
        <w:r w:rsidR="00392F9A" w:rsidRPr="00B91EE1">
          <w:rPr>
            <w:rStyle w:val="Hyperlink"/>
          </w:rPr>
          <w:t>'</w:t>
        </w:r>
        <w:r w:rsidRPr="00B91EE1">
          <w:rPr>
            <w:rStyle w:val="Hyperlink"/>
          </w:rPr>
          <w:t>UIT</w:t>
        </w:r>
      </w:hyperlink>
      <w:r w:rsidRPr="00B91EE1">
        <w:t xml:space="preserve"> et ont été menées en collaboration avec la Division des ventes et du marketing, en vue d</w:t>
      </w:r>
      <w:r w:rsidR="00392F9A" w:rsidRPr="00B91EE1">
        <w:t>'</w:t>
      </w:r>
      <w:r w:rsidRPr="00B91EE1">
        <w:t>assurer la promotion des publications, des bases de données et des logiciels de l</w:t>
      </w:r>
      <w:r w:rsidR="00392F9A" w:rsidRPr="00B91EE1">
        <w:t>'</w:t>
      </w:r>
      <w:r w:rsidRPr="00B91EE1">
        <w:t>UIT-R suivants:</w:t>
      </w:r>
    </w:p>
    <w:p w14:paraId="0C33D379" w14:textId="118DB5FF" w:rsidR="0031628C" w:rsidRPr="00B91EE1" w:rsidRDefault="008500C2" w:rsidP="004522B1">
      <w:pPr>
        <w:pStyle w:val="enumlev1"/>
        <w:rPr>
          <w:u w:val="single"/>
        </w:rPr>
      </w:pPr>
      <w:r>
        <w:t>•</w:t>
      </w:r>
      <w:r w:rsidR="0031628C" w:rsidRPr="00B91EE1">
        <w:tab/>
      </w:r>
      <w:hyperlink r:id="rId99" w:history="1">
        <w:r w:rsidR="0031628C" w:rsidRPr="00B91EE1">
          <w:rPr>
            <w:rStyle w:val="Hyperlink"/>
          </w:rPr>
          <w:t>Space Explorer</w:t>
        </w:r>
      </w:hyperlink>
    </w:p>
    <w:p w14:paraId="3B448F9D" w14:textId="7DD701B4" w:rsidR="0031628C" w:rsidRPr="00B91EE1" w:rsidRDefault="008500C2" w:rsidP="004522B1">
      <w:pPr>
        <w:pStyle w:val="enumlev1"/>
        <w:rPr>
          <w:u w:val="single"/>
        </w:rPr>
      </w:pPr>
      <w:r>
        <w:t>•</w:t>
      </w:r>
      <w:r w:rsidR="0031628C" w:rsidRPr="00B91EE1">
        <w:tab/>
      </w:r>
      <w:hyperlink r:id="rId100" w:history="1">
        <w:r w:rsidR="0031628C" w:rsidRPr="00B91EE1">
          <w:rPr>
            <w:rStyle w:val="Hyperlink"/>
          </w:rPr>
          <w:t>Manuel de la CMR-23</w:t>
        </w:r>
      </w:hyperlink>
    </w:p>
    <w:p w14:paraId="50465EE3" w14:textId="2EC76701" w:rsidR="0031628C" w:rsidRPr="00B91EE1" w:rsidRDefault="008500C2" w:rsidP="004522B1">
      <w:pPr>
        <w:pStyle w:val="enumlev1"/>
        <w:rPr>
          <w:u w:val="single"/>
        </w:rPr>
      </w:pPr>
      <w:r>
        <w:t>•</w:t>
      </w:r>
      <w:r w:rsidR="0031628C" w:rsidRPr="00B91EE1">
        <w:tab/>
      </w:r>
      <w:hyperlink r:id="rId101" w:history="1">
        <w:r w:rsidR="0031628C" w:rsidRPr="00B91EE1">
          <w:rPr>
            <w:rStyle w:val="Hyperlink"/>
          </w:rPr>
          <w:t>Liste V – Nomenclature des stations de navire et des identités du service mobile maritime assignées 2022</w:t>
        </w:r>
      </w:hyperlink>
    </w:p>
    <w:p w14:paraId="36B31709" w14:textId="247A3D52" w:rsidR="0031628C" w:rsidRPr="00B91EE1" w:rsidRDefault="008500C2" w:rsidP="004522B1">
      <w:pPr>
        <w:pStyle w:val="enumlev1"/>
      </w:pPr>
      <w:r>
        <w:t>•</w:t>
      </w:r>
      <w:r w:rsidR="0031628C" w:rsidRPr="00B91EE1">
        <w:tab/>
      </w:r>
      <w:hyperlink r:id="rId102" w:anchor="/fr" w:history="1">
        <w:r w:rsidR="0031628C" w:rsidRPr="00B91EE1">
          <w:rPr>
            <w:rStyle w:val="Hyperlink"/>
          </w:rPr>
          <w:t>Outils de navigation dans le Règlement des radiocommunications</w:t>
        </w:r>
      </w:hyperlink>
    </w:p>
    <w:p w14:paraId="0F8795AE" w14:textId="77777777" w:rsidR="0031628C" w:rsidRPr="00B91EE1" w:rsidRDefault="0031628C" w:rsidP="004522B1">
      <w:pPr>
        <w:pStyle w:val="Heading4"/>
      </w:pPr>
      <w:bookmarkStart w:id="215" w:name="_Hlk65245105"/>
      <w:r w:rsidRPr="00B91EE1">
        <w:t>8.6.2.3</w:t>
      </w:r>
      <w:r w:rsidRPr="00B91EE1">
        <w:tab/>
      </w:r>
      <w:bookmarkStart w:id="216" w:name="lt_pId1525"/>
      <w:r w:rsidRPr="00B91EE1">
        <w:t>Expositions et démonstrations</w:t>
      </w:r>
      <w:bookmarkEnd w:id="215"/>
      <w:bookmarkEnd w:id="216"/>
    </w:p>
    <w:p w14:paraId="5F85ECC8" w14:textId="3AAEAE3C" w:rsidR="0031628C" w:rsidRPr="00B91EE1" w:rsidRDefault="0031628C" w:rsidP="004522B1">
      <w:r w:rsidRPr="00B91EE1">
        <w:t>Aucune exposition ni aucune démonstration n</w:t>
      </w:r>
      <w:r w:rsidR="00392F9A" w:rsidRPr="00B91EE1">
        <w:t>'</w:t>
      </w:r>
      <w:r w:rsidRPr="00B91EE1">
        <w:t>a eu lieu durant cette période.</w:t>
      </w:r>
    </w:p>
    <w:p w14:paraId="2FD993D1" w14:textId="77777777" w:rsidR="0031628C" w:rsidRPr="00B91EE1" w:rsidRDefault="0031628C" w:rsidP="004522B1">
      <w:pPr>
        <w:pStyle w:val="Heading2"/>
      </w:pPr>
      <w:bookmarkStart w:id="217" w:name="_Hlk65245130"/>
      <w:r w:rsidRPr="00B91EE1">
        <w:t>8.7</w:t>
      </w:r>
      <w:r w:rsidRPr="00B91EE1">
        <w:tab/>
      </w:r>
      <w:bookmarkEnd w:id="217"/>
      <w:r w:rsidRPr="00B91EE1">
        <w:t>Égalité hommes-femmes</w:t>
      </w:r>
    </w:p>
    <w:p w14:paraId="490886A0" w14:textId="6BA9A4F8" w:rsidR="0031628C" w:rsidRPr="00B91EE1" w:rsidRDefault="0031628C" w:rsidP="004522B1">
      <w:pPr>
        <w:rPr>
          <w:bCs/>
        </w:rPr>
      </w:pPr>
      <w:r w:rsidRPr="00B91EE1">
        <w:t>La promotion de l</w:t>
      </w:r>
      <w:r w:rsidR="00392F9A" w:rsidRPr="00B91EE1">
        <w:t>'</w:t>
      </w:r>
      <w:r w:rsidRPr="00B91EE1">
        <w:t>égalité hommes-femmes dans toutes les sphères de la société numérique actuelle n</w:t>
      </w:r>
      <w:r w:rsidR="00392F9A" w:rsidRPr="00B91EE1">
        <w:t>'</w:t>
      </w:r>
      <w:r w:rsidRPr="00B91EE1">
        <w:t>a jamais été aussi cruciale alors que débute la Décennie d</w:t>
      </w:r>
      <w:r w:rsidR="00392F9A" w:rsidRPr="00B91EE1">
        <w:t>'</w:t>
      </w:r>
      <w:r w:rsidRPr="00B91EE1">
        <w:t>action pour mettre en œuvre le Programme de développement durable à l</w:t>
      </w:r>
      <w:r w:rsidR="00392F9A" w:rsidRPr="00B91EE1">
        <w:t>'</w:t>
      </w:r>
      <w:r w:rsidRPr="00B91EE1">
        <w:t>horizon 2030. Les technologies numériques jouent un rôle essentiel dans la réalisation des 17 Objectifs de développement durable. L</w:t>
      </w:r>
      <w:r w:rsidR="00392F9A" w:rsidRPr="00B91EE1">
        <w:t>'</w:t>
      </w:r>
      <w:r w:rsidRPr="00B91EE1">
        <w:t>augmentation de la part de femmes qui ont accès aux technologies numériques et qui les utilisent en vue d</w:t>
      </w:r>
      <w:r w:rsidR="00392F9A" w:rsidRPr="00B91EE1">
        <w:t>'</w:t>
      </w:r>
      <w:r w:rsidRPr="00B91EE1">
        <w:t>améliorer leur quotidien et, par extension, celui de leur famille et de la société dans son ensemble, représente un défi sur le plan du développement qui nous concerne tous</w:t>
      </w:r>
      <w:r w:rsidRPr="00B91EE1">
        <w:rPr>
          <w:bCs/>
        </w:rPr>
        <w:t>.</w:t>
      </w:r>
    </w:p>
    <w:p w14:paraId="67218FD3" w14:textId="77777777" w:rsidR="0031628C" w:rsidRPr="00B91EE1" w:rsidRDefault="0031628C" w:rsidP="004522B1">
      <w:r w:rsidRPr="00B91EE1">
        <w:t>En 2022, des progrès ont été accomplis dans le cadre des activités suivantes:</w:t>
      </w:r>
    </w:p>
    <w:p w14:paraId="0D977A7B" w14:textId="0C63CE5E" w:rsidR="0031628C" w:rsidRPr="00B91EE1" w:rsidRDefault="0031628C" w:rsidP="004522B1">
      <w:pPr>
        <w:pStyle w:val="Heading3"/>
        <w:rPr>
          <w:bCs/>
        </w:rPr>
      </w:pPr>
      <w:r w:rsidRPr="00B91EE1">
        <w:t>8.7.1</w:t>
      </w:r>
      <w:r w:rsidRPr="00B91EE1">
        <w:tab/>
        <w:t>Groupe de travail par correspondance du GCR sur l</w:t>
      </w:r>
      <w:r w:rsidR="00392F9A" w:rsidRPr="00B91EE1">
        <w:t>'</w:t>
      </w:r>
      <w:r w:rsidRPr="00B91EE1">
        <w:t>égalité hommes-femmes</w:t>
      </w:r>
    </w:p>
    <w:p w14:paraId="07427895" w14:textId="0B9292FF" w:rsidR="0031628C" w:rsidRPr="00B91EE1" w:rsidRDefault="0031628C" w:rsidP="004522B1">
      <w:r w:rsidRPr="00B91EE1">
        <w:t>Les activités du Groupe de travail par correspondance du GCR sur l</w:t>
      </w:r>
      <w:r w:rsidR="00392F9A" w:rsidRPr="00B91EE1">
        <w:t>'</w:t>
      </w:r>
      <w:r w:rsidRPr="00B91EE1">
        <w:t xml:space="preserve">égalité hommes-femmes qui se sont déroulées lors de la dernière réunion du GCR sont décrites dans un rapport distinct </w:t>
      </w:r>
      <w:r w:rsidRPr="00B91EE1">
        <w:rPr>
          <w:rFonts w:eastAsia="Calibri"/>
          <w:szCs w:val="24"/>
        </w:rPr>
        <w:t>(document</w:t>
      </w:r>
      <w:r w:rsidR="00E50EC3" w:rsidRPr="00B91EE1">
        <w:rPr>
          <w:rFonts w:eastAsia="Calibri"/>
          <w:szCs w:val="24"/>
        </w:rPr>
        <w:t> </w:t>
      </w:r>
      <w:hyperlink r:id="rId103" w:history="1">
        <w:r w:rsidRPr="00B91EE1">
          <w:rPr>
            <w:rStyle w:val="Hyperlink"/>
          </w:rPr>
          <w:t>RAG/60</w:t>
        </w:r>
      </w:hyperlink>
      <w:r w:rsidRPr="00B91EE1">
        <w:rPr>
          <w:rFonts w:eastAsia="Calibri"/>
          <w:szCs w:val="24"/>
        </w:rPr>
        <w:t xml:space="preserve">) </w:t>
      </w:r>
      <w:r w:rsidRPr="00B91EE1">
        <w:t>de celui de la présente réunion du GCR.</w:t>
      </w:r>
    </w:p>
    <w:p w14:paraId="1C18B2F0" w14:textId="77777777" w:rsidR="0031628C" w:rsidRPr="00B91EE1" w:rsidRDefault="0031628C" w:rsidP="004522B1">
      <w:pPr>
        <w:pStyle w:val="Heading3"/>
      </w:pPr>
      <w:r w:rsidRPr="00B91EE1">
        <w:t>8.7.2</w:t>
      </w:r>
      <w:r w:rsidRPr="00B91EE1">
        <w:tab/>
        <w:t>Réseau de femmes pour la CMR-23 (NOW4WRC23)</w:t>
      </w:r>
    </w:p>
    <w:p w14:paraId="7A956D9C" w14:textId="50F27488" w:rsidR="0031628C" w:rsidRPr="00B91EE1" w:rsidRDefault="0031628C" w:rsidP="004522B1">
      <w:r w:rsidRPr="00B91EE1">
        <w:t>À l</w:t>
      </w:r>
      <w:r w:rsidR="00392F9A" w:rsidRPr="00B91EE1">
        <w:t>'</w:t>
      </w:r>
      <w:r w:rsidRPr="00B91EE1">
        <w:t>échelle mondiale, l</w:t>
      </w:r>
      <w:r w:rsidR="00392F9A" w:rsidRPr="00B91EE1">
        <w:t>'</w:t>
      </w:r>
      <w:r w:rsidRPr="00B91EE1">
        <w:t>initiative NOW4WRC23 comprend un programme de mentorat associant des mentors et des bénéficiaires du programme, qui participent aux travaux de l</w:t>
      </w:r>
      <w:r w:rsidR="00392F9A" w:rsidRPr="00B91EE1">
        <w:t>'</w:t>
      </w:r>
      <w:r w:rsidRPr="00B91EE1">
        <w:t>UIT-R et partagent des domaines d</w:t>
      </w:r>
      <w:r w:rsidR="00392F9A" w:rsidRPr="00B91EE1">
        <w:t>'</w:t>
      </w:r>
      <w:r w:rsidRPr="00B91EE1">
        <w:t>intérêt. Au niveau régional, l</w:t>
      </w:r>
      <w:r w:rsidR="00392F9A" w:rsidRPr="00B91EE1">
        <w:t>'</w:t>
      </w:r>
      <w:r w:rsidRPr="00B91EE1">
        <w:t>initiative NOW4WRC23 est menée par ses coprésidents régionaux, qui organisent des programmes de mentorat et des ateliers en parallèle des réunions des organisations régionales de télécommunication auxquelles ils sont associés.</w:t>
      </w:r>
    </w:p>
    <w:p w14:paraId="519B045D" w14:textId="0FAF511D" w:rsidR="0031628C" w:rsidRPr="00B91EE1" w:rsidRDefault="0031628C" w:rsidP="004522B1">
      <w:r w:rsidRPr="00B91EE1">
        <w:t>Un</w:t>
      </w:r>
      <w:r w:rsidR="008C7E3A" w:rsidRPr="00B91EE1">
        <w:t>e</w:t>
      </w:r>
      <w:r w:rsidRPr="00B91EE1">
        <w:t xml:space="preserve"> réunion de l</w:t>
      </w:r>
      <w:r w:rsidR="00392F9A" w:rsidRPr="00B91EE1">
        <w:t>'</w:t>
      </w:r>
      <w:r w:rsidRPr="00B91EE1">
        <w:t>initiative NOW4WRC23 s</w:t>
      </w:r>
      <w:r w:rsidR="00392F9A" w:rsidRPr="00B91EE1">
        <w:t>'</w:t>
      </w:r>
      <w:r w:rsidRPr="00B91EE1">
        <w:t>est tenue à l</w:t>
      </w:r>
      <w:r w:rsidR="00392F9A" w:rsidRPr="00B91EE1">
        <w:t>'</w:t>
      </w:r>
      <w:r w:rsidRPr="00B91EE1">
        <w:t>occasion du deuxième atelier interrégional de l</w:t>
      </w:r>
      <w:r w:rsidR="00392F9A" w:rsidRPr="00B91EE1">
        <w:t>'</w:t>
      </w:r>
      <w:r w:rsidRPr="00B91EE1">
        <w:t>UIT sur les travaux préparatoires en vue de la CMR-23. Cette réunion, qui présentait les activités régionales menées dans chaque région, a reçu un accueil chaleureux.</w:t>
      </w:r>
    </w:p>
    <w:p w14:paraId="43034604" w14:textId="281DE6E2" w:rsidR="0031628C" w:rsidRPr="00B91EE1" w:rsidRDefault="0031628C" w:rsidP="004522B1">
      <w:pPr>
        <w:pStyle w:val="Headingb"/>
      </w:pPr>
      <w:r w:rsidRPr="00B91EE1">
        <w:lastRenderedPageBreak/>
        <w:t>Programme de mentorat de l</w:t>
      </w:r>
      <w:r w:rsidR="00392F9A" w:rsidRPr="00B91EE1">
        <w:t>'</w:t>
      </w:r>
      <w:r w:rsidRPr="00B91EE1">
        <w:t>initiative NOW4WRC23</w:t>
      </w:r>
    </w:p>
    <w:p w14:paraId="6FA1E64F" w14:textId="1A19D08E" w:rsidR="0031628C" w:rsidRPr="00B91EE1" w:rsidRDefault="0031628C" w:rsidP="004522B1">
      <w:r w:rsidRPr="00B91EE1">
        <w:t>Les coordonnateurs de l</w:t>
      </w:r>
      <w:r w:rsidR="00392F9A" w:rsidRPr="00B91EE1">
        <w:t>'</w:t>
      </w:r>
      <w:r w:rsidRPr="00B91EE1">
        <w:t xml:space="preserve">initiative </w:t>
      </w:r>
      <w:r w:rsidRPr="00B91EE1">
        <w:rPr>
          <w:rFonts w:eastAsia="Calibri"/>
          <w:szCs w:val="24"/>
        </w:rPr>
        <w:t>NOW4WRC23 ont signalé qu</w:t>
      </w:r>
      <w:r w:rsidR="00392F9A" w:rsidRPr="00B91EE1">
        <w:rPr>
          <w:rFonts w:eastAsia="Calibri"/>
          <w:szCs w:val="24"/>
        </w:rPr>
        <w:t>'</w:t>
      </w:r>
      <w:r w:rsidRPr="00B91EE1">
        <w:rPr>
          <w:rFonts w:eastAsia="Calibri"/>
          <w:szCs w:val="24"/>
        </w:rPr>
        <w:t>un grand nombre d</w:t>
      </w:r>
      <w:r w:rsidR="00392F9A" w:rsidRPr="00B91EE1">
        <w:rPr>
          <w:rFonts w:eastAsia="Calibri"/>
          <w:szCs w:val="24"/>
        </w:rPr>
        <w:t>'</w:t>
      </w:r>
      <w:r w:rsidRPr="00B91EE1">
        <w:rPr>
          <w:rFonts w:eastAsia="Calibri"/>
          <w:szCs w:val="24"/>
        </w:rPr>
        <w:t>activités avaient été menées dans les Régions. En ce qui concerne l</w:t>
      </w:r>
      <w:r w:rsidR="00392F9A" w:rsidRPr="00B91EE1">
        <w:rPr>
          <w:rFonts w:eastAsia="Calibri"/>
          <w:szCs w:val="24"/>
        </w:rPr>
        <w:t>'</w:t>
      </w:r>
      <w:r w:rsidRPr="00B91EE1">
        <w:rPr>
          <w:rFonts w:eastAsia="Calibri"/>
          <w:szCs w:val="24"/>
        </w:rPr>
        <w:t xml:space="preserve">UIT, ils ont fait </w:t>
      </w:r>
      <w:r w:rsidR="008C7E3A" w:rsidRPr="00B91EE1">
        <w:rPr>
          <w:rFonts w:eastAsia="Calibri"/>
          <w:szCs w:val="24"/>
        </w:rPr>
        <w:t>présenter</w:t>
      </w:r>
      <w:r w:rsidRPr="00B91EE1">
        <w:rPr>
          <w:rFonts w:eastAsia="Calibri"/>
          <w:szCs w:val="24"/>
        </w:rPr>
        <w:t xml:space="preserve"> deux exposé</w:t>
      </w:r>
      <w:r w:rsidR="008C7E3A" w:rsidRPr="00B91EE1">
        <w:rPr>
          <w:rFonts w:eastAsia="Calibri"/>
          <w:szCs w:val="24"/>
        </w:rPr>
        <w:t>s</w:t>
      </w:r>
      <w:r w:rsidRPr="00B91EE1">
        <w:rPr>
          <w:rFonts w:eastAsia="Calibri"/>
          <w:szCs w:val="24"/>
        </w:rPr>
        <w:t xml:space="preserve"> au cours du WRS-22, auxquels ont assisté un grand nombre de participants.</w:t>
      </w:r>
    </w:p>
    <w:p w14:paraId="310D6341" w14:textId="0EB73DAF" w:rsidR="0031628C" w:rsidRPr="00B91EE1" w:rsidRDefault="0031628C" w:rsidP="004522B1">
      <w:r w:rsidRPr="00B91EE1">
        <w:t>S</w:t>
      </w:r>
      <w:r w:rsidR="00392F9A" w:rsidRPr="00B91EE1">
        <w:t>'</w:t>
      </w:r>
      <w:r w:rsidRPr="00B91EE1">
        <w:t>agissant du programme de mentorat, aucune augmentation notable du nombre de mentors n</w:t>
      </w:r>
      <w:r w:rsidR="00392F9A" w:rsidRPr="00B91EE1">
        <w:t>'</w:t>
      </w:r>
      <w:r w:rsidRPr="00B91EE1">
        <w:t>a été constatée. À ce stade, il serait préférable de mener des activités lors des manifestations dans le but de recueillir les observations des participants. Certains binômes sont très productifs, d</w:t>
      </w:r>
      <w:r w:rsidR="00392F9A" w:rsidRPr="00B91EE1">
        <w:t>'</w:t>
      </w:r>
      <w:r w:rsidRPr="00B91EE1">
        <w:t>autres sont moins dynamiques. On pourrait envisager d</w:t>
      </w:r>
      <w:r w:rsidR="00392F9A" w:rsidRPr="00B91EE1">
        <w:t>'</w:t>
      </w:r>
      <w:r w:rsidRPr="00B91EE1">
        <w:t>aider les participants à résoudre les problèmes qu</w:t>
      </w:r>
      <w:r w:rsidR="00392F9A" w:rsidRPr="00B91EE1">
        <w:t>'</w:t>
      </w:r>
      <w:r w:rsidRPr="00B91EE1">
        <w:t>ils rencontrent et à trouver des moyens d</w:t>
      </w:r>
      <w:r w:rsidR="00392F9A" w:rsidRPr="00B91EE1">
        <w:t>'</w:t>
      </w:r>
      <w:r w:rsidRPr="00B91EE1">
        <w:t>améliorer la relation mentor/bénéficiaire. Un fichier Excel a été créé pour la gestion des binômes.</w:t>
      </w:r>
    </w:p>
    <w:p w14:paraId="69A58682" w14:textId="1BC0FA6F" w:rsidR="0031628C" w:rsidRPr="00B91EE1" w:rsidRDefault="0031628C" w:rsidP="004522B1">
      <w:r w:rsidRPr="00B91EE1">
        <w:t>Une enquête a été organisée pour interroger les bénéficiaires sur leur expérience en ce qui concerne la représentation des femmes au sein d</w:t>
      </w:r>
      <w:r w:rsidR="00392F9A" w:rsidRPr="00B91EE1">
        <w:t>'</w:t>
      </w:r>
      <w:r w:rsidRPr="00B91EE1">
        <w:t>autres organes.</w:t>
      </w:r>
    </w:p>
    <w:p w14:paraId="0E261786" w14:textId="77777777" w:rsidR="0031628C" w:rsidRPr="00B91EE1" w:rsidRDefault="0031628C" w:rsidP="004522B1">
      <w:pPr>
        <w:pStyle w:val="Heading1"/>
      </w:pPr>
      <w:r w:rsidRPr="00B91EE1">
        <w:t>9</w:t>
      </w:r>
      <w:r w:rsidRPr="00B91EE1">
        <w:tab/>
        <w:t>Mesures de suivi restantes demandées par le GCR à sa réunion en 2022</w:t>
      </w:r>
    </w:p>
    <w:p w14:paraId="6661318A" w14:textId="101FC334" w:rsidR="0031628C" w:rsidRPr="00B91EE1" w:rsidRDefault="0031628C" w:rsidP="004522B1">
      <w:r w:rsidRPr="00B91EE1">
        <w:t>Le Département des Commissions d</w:t>
      </w:r>
      <w:r w:rsidR="00392F9A" w:rsidRPr="00B91EE1">
        <w:t>'</w:t>
      </w:r>
      <w:r w:rsidRPr="00B91EE1">
        <w:t>études du BR a donné suite aux demandes formulées par le</w:t>
      </w:r>
      <w:r w:rsidR="00153B40" w:rsidRPr="00B91EE1">
        <w:t> </w:t>
      </w:r>
      <w:r w:rsidRPr="00B91EE1">
        <w:t xml:space="preserve">GCR à sa réunion de 2022, qui sont reproduites dans le résumé des conclusions (Circulaire administrative </w:t>
      </w:r>
      <w:hyperlink r:id="rId104" w:history="1">
        <w:r w:rsidR="00A61DFC" w:rsidRPr="00B91EE1">
          <w:rPr>
            <w:rStyle w:val="Hyperlink"/>
          </w:rPr>
          <w:t>CA/260</w:t>
        </w:r>
      </w:hyperlink>
      <w:r w:rsidRPr="00B91EE1">
        <w:t>). Sa réponse figure dans la Section 9 de l</w:t>
      </w:r>
      <w:r w:rsidR="00392F9A" w:rsidRPr="00B91EE1">
        <w:t>'</w:t>
      </w:r>
      <w:r w:rsidRPr="00B91EE1">
        <w:t>Addendum 1 au présent document.</w:t>
      </w:r>
    </w:p>
    <w:p w14:paraId="26B51A4A" w14:textId="77777777" w:rsidR="0031628C" w:rsidRPr="00B91EE1" w:rsidRDefault="0031628C" w:rsidP="004522B1">
      <w:pPr>
        <w:jc w:val="center"/>
      </w:pPr>
      <w:r w:rsidRPr="00B91EE1">
        <w:t>______________</w:t>
      </w:r>
    </w:p>
    <w:sectPr w:rsidR="0031628C" w:rsidRPr="00B91EE1" w:rsidSect="00C20A78">
      <w:headerReference w:type="even" r:id="rId105"/>
      <w:headerReference w:type="default" r:id="rId106"/>
      <w:footerReference w:type="even" r:id="rId107"/>
      <w:footerReference w:type="default" r:id="rId108"/>
      <w:headerReference w:type="first" r:id="rId109"/>
      <w:footerReference w:type="first" r:id="rId11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2A2A" w14:textId="77777777" w:rsidR="007A1CFE" w:rsidRDefault="007A1CFE">
      <w:r>
        <w:separator/>
      </w:r>
    </w:p>
  </w:endnote>
  <w:endnote w:type="continuationSeparator" w:id="0">
    <w:p w14:paraId="57C72F99" w14:textId="77777777" w:rsidR="007A1CFE" w:rsidRDefault="007A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3D90" w14:textId="3E709DBB" w:rsidR="0031628C" w:rsidRDefault="0031628C">
    <w:pPr>
      <w:pStyle w:val="Footer"/>
      <w:rPr>
        <w:lang w:val="en-US"/>
      </w:rPr>
    </w:pPr>
    <w:r>
      <w:fldChar w:fldCharType="begin"/>
    </w:r>
    <w:r w:rsidRPr="00A9055C">
      <w:rPr>
        <w:lang w:val="en-US"/>
      </w:rPr>
      <w:instrText xml:space="preserve"> FILENAME \p \* MERGEFORMAT </w:instrText>
    </w:r>
    <w:r>
      <w:fldChar w:fldCharType="separate"/>
    </w:r>
    <w:r w:rsidR="00915E79">
      <w:rPr>
        <w:lang w:val="en-US"/>
      </w:rPr>
      <w:t>P:\FRA\ITU-R\AG\RAG\RAG23\000\058REV1F.docx</w:t>
    </w:r>
    <w:r>
      <w:rPr>
        <w:lang w:val="en-US"/>
      </w:rPr>
      <w:fldChar w:fldCharType="end"/>
    </w:r>
    <w:r>
      <w:rPr>
        <w:lang w:val="en-US"/>
      </w:rPr>
      <w:tab/>
    </w:r>
    <w:r>
      <w:fldChar w:fldCharType="begin"/>
    </w:r>
    <w:r>
      <w:instrText xml:space="preserve"> savedate \@ dd.MM.yy </w:instrText>
    </w:r>
    <w:r>
      <w:fldChar w:fldCharType="separate"/>
    </w:r>
    <w:r w:rsidR="00915E79">
      <w:t>26.04.23</w:t>
    </w:r>
    <w:r>
      <w:fldChar w:fldCharType="end"/>
    </w:r>
    <w:r>
      <w:rPr>
        <w:lang w:val="en-US"/>
      </w:rPr>
      <w:tab/>
    </w:r>
    <w:r>
      <w:fldChar w:fldCharType="begin"/>
    </w:r>
    <w:r>
      <w:instrText xml:space="preserve"> printdate \@ dd.MM.yy </w:instrText>
    </w:r>
    <w:r>
      <w:fldChar w:fldCharType="separate"/>
    </w:r>
    <w:r w:rsidR="00915E79">
      <w:t>24.03.23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9054" w14:textId="5757E6C4" w:rsidR="0031628C" w:rsidRPr="00C302C4" w:rsidRDefault="00E24893" w:rsidP="006C33D7">
    <w:pPr>
      <w:pStyle w:val="Footer"/>
      <w:rPr>
        <w:lang w:val="en-US"/>
      </w:rPr>
    </w:pPr>
    <w:r>
      <w:fldChar w:fldCharType="begin"/>
    </w:r>
    <w:r w:rsidRPr="00D1790D">
      <w:rPr>
        <w:lang w:val="en-GB"/>
      </w:rPr>
      <w:instrText xml:space="preserve"> FILENAME \p  \* MERGEFORMAT </w:instrText>
    </w:r>
    <w:r>
      <w:fldChar w:fldCharType="separate"/>
    </w:r>
    <w:r w:rsidR="00915E79">
      <w:rPr>
        <w:lang w:val="en-GB"/>
      </w:rPr>
      <w:t>P:\FRA\ITU-R\AG\RAG\RAG23\000\058REV1F.docx</w:t>
    </w:r>
    <w:r>
      <w:fldChar w:fldCharType="end"/>
    </w:r>
    <w:r w:rsidRPr="00D1790D">
      <w:rPr>
        <w:lang w:val="en-GB"/>
      </w:rPr>
      <w:t xml:space="preserve"> (</w:t>
    </w:r>
    <w:r>
      <w:rPr>
        <w:lang w:val="en-GB"/>
      </w:rPr>
      <w:t>521559</w:t>
    </w:r>
    <w:r w:rsidRPr="00D1790D">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D9C3" w14:textId="506AB11B" w:rsidR="0031628C" w:rsidRDefault="002A3133" w:rsidP="007711EA">
    <w:pPr>
      <w:pStyle w:val="Footer"/>
      <w:rPr>
        <w:lang w:val="en-US"/>
      </w:rPr>
    </w:pPr>
    <w:r>
      <w:fldChar w:fldCharType="begin"/>
    </w:r>
    <w:r w:rsidRPr="00C302C4">
      <w:rPr>
        <w:lang w:val="en-US"/>
      </w:rPr>
      <w:instrText xml:space="preserve"> FILENAME \p  \* MERGEFORMAT </w:instrText>
    </w:r>
    <w:r>
      <w:fldChar w:fldCharType="separate"/>
    </w:r>
    <w:r w:rsidR="00915E79">
      <w:rPr>
        <w:lang w:val="en-US"/>
      </w:rPr>
      <w:t>P:\FRA\ITU-R\AG\RAG\RAG23\000\058REV1F.docx</w:t>
    </w:r>
    <w:r>
      <w:fldChar w:fldCharType="end"/>
    </w:r>
    <w:r w:rsidRPr="00C302C4">
      <w:rPr>
        <w:lang w:val="en-US"/>
      </w:rPr>
      <w:t xml:space="preserve"> (5</w:t>
    </w:r>
    <w:r>
      <w:rPr>
        <w:lang w:val="en-US"/>
      </w:rPr>
      <w:t>21559</w:t>
    </w:r>
    <w:r w:rsidRPr="00C302C4">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F329" w14:textId="6B28CB6C" w:rsidR="009C5C79" w:rsidRPr="00C302C4" w:rsidRDefault="008500C2" w:rsidP="006C33D7">
    <w:pPr>
      <w:pStyle w:val="Footer"/>
      <w:rPr>
        <w:lang w:val="en-US"/>
      </w:rPr>
    </w:pPr>
    <w:r>
      <w:fldChar w:fldCharType="begin"/>
    </w:r>
    <w:r w:rsidRPr="00D1790D">
      <w:rPr>
        <w:lang w:val="en-GB"/>
      </w:rPr>
      <w:instrText xml:space="preserve"> FILENAME \p  \* MERGEFORMAT </w:instrText>
    </w:r>
    <w:r>
      <w:fldChar w:fldCharType="separate"/>
    </w:r>
    <w:r w:rsidR="00915E79">
      <w:rPr>
        <w:lang w:val="en-GB"/>
      </w:rPr>
      <w:t>P:\FRA\ITU-R\AG\RAG\RAG23\000\058REV1F.docx</w:t>
    </w:r>
    <w:r>
      <w:fldChar w:fldCharType="end"/>
    </w:r>
    <w:r w:rsidRPr="00D1790D">
      <w:rPr>
        <w:lang w:val="en-GB"/>
      </w:rPr>
      <w:t xml:space="preserve"> (</w:t>
    </w:r>
    <w:r>
      <w:rPr>
        <w:lang w:val="en-GB"/>
      </w:rPr>
      <w:t>521559</w:t>
    </w:r>
    <w:r w:rsidRPr="00D1790D">
      <w:rPr>
        <w:lang w:val="en-GB"/>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2CFD" w14:textId="7B3702DE" w:rsidR="009C5C79" w:rsidRPr="00AA7EF4" w:rsidRDefault="008500C2" w:rsidP="00E24893">
    <w:pPr>
      <w:pStyle w:val="Footer"/>
      <w:rPr>
        <w:lang w:val="en-GB"/>
      </w:rPr>
    </w:pPr>
    <w:r>
      <w:fldChar w:fldCharType="begin"/>
    </w:r>
    <w:r w:rsidRPr="00D1790D">
      <w:rPr>
        <w:lang w:val="en-GB"/>
      </w:rPr>
      <w:instrText xml:space="preserve"> FILENAME \p  \* MERGEFORMAT </w:instrText>
    </w:r>
    <w:r>
      <w:fldChar w:fldCharType="separate"/>
    </w:r>
    <w:r w:rsidR="00915E79">
      <w:rPr>
        <w:lang w:val="en-GB"/>
      </w:rPr>
      <w:t>P:\FRA\ITU-R\AG\RAG\RAG23\000\058REV1F.docx</w:t>
    </w:r>
    <w:r>
      <w:fldChar w:fldCharType="end"/>
    </w:r>
    <w:r w:rsidRPr="00D1790D">
      <w:rPr>
        <w:lang w:val="en-GB"/>
      </w:rPr>
      <w:t xml:space="preserve"> (</w:t>
    </w:r>
    <w:r>
      <w:rPr>
        <w:lang w:val="en-GB"/>
      </w:rPr>
      <w:t>521559</w:t>
    </w:r>
    <w:r w:rsidRPr="00D1790D">
      <w:rPr>
        <w:lang w:val="en-GB"/>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C9E1" w14:textId="3CE7D32F" w:rsidR="008257AF" w:rsidRDefault="008257AF">
    <w:pPr>
      <w:pStyle w:val="Footer"/>
      <w:rPr>
        <w:lang w:val="en-US"/>
      </w:rPr>
    </w:pPr>
    <w:r>
      <w:fldChar w:fldCharType="begin"/>
    </w:r>
    <w:r w:rsidRPr="00A9055C">
      <w:rPr>
        <w:lang w:val="en-US"/>
      </w:rPr>
      <w:instrText xml:space="preserve"> FILENAME \p \* MERGEFORMAT </w:instrText>
    </w:r>
    <w:r>
      <w:fldChar w:fldCharType="separate"/>
    </w:r>
    <w:r w:rsidR="00915E79">
      <w:rPr>
        <w:lang w:val="en-US"/>
      </w:rPr>
      <w:t>P:\FRA\ITU-R\AG\RAG\RAG23\000\058REV1F.docx</w:t>
    </w:r>
    <w:r>
      <w:rPr>
        <w:lang w:val="en-US"/>
      </w:rPr>
      <w:fldChar w:fldCharType="end"/>
    </w:r>
    <w:r>
      <w:rPr>
        <w:lang w:val="en-US"/>
      </w:rPr>
      <w:tab/>
    </w:r>
    <w:r>
      <w:fldChar w:fldCharType="begin"/>
    </w:r>
    <w:r>
      <w:instrText xml:space="preserve"> savedate \@ dd.MM.yy </w:instrText>
    </w:r>
    <w:r>
      <w:fldChar w:fldCharType="separate"/>
    </w:r>
    <w:r w:rsidR="00915E79">
      <w:t>26.04.23</w:t>
    </w:r>
    <w:r>
      <w:fldChar w:fldCharType="end"/>
    </w:r>
    <w:r>
      <w:rPr>
        <w:lang w:val="en-US"/>
      </w:rPr>
      <w:tab/>
    </w:r>
    <w:r>
      <w:fldChar w:fldCharType="begin"/>
    </w:r>
    <w:r>
      <w:instrText xml:space="preserve"> printdate \@ dd.MM.yy </w:instrText>
    </w:r>
    <w:r>
      <w:fldChar w:fldCharType="separate"/>
    </w:r>
    <w:r w:rsidR="00915E79">
      <w:t>24.03.23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0879" w14:textId="49CB702A" w:rsidR="008257AF" w:rsidRPr="00D1790D" w:rsidRDefault="008257AF" w:rsidP="006C33D7">
    <w:pPr>
      <w:pStyle w:val="Footer"/>
      <w:rPr>
        <w:lang w:val="en-GB"/>
      </w:rPr>
    </w:pPr>
    <w:r>
      <w:fldChar w:fldCharType="begin"/>
    </w:r>
    <w:r w:rsidRPr="00D1790D">
      <w:rPr>
        <w:lang w:val="en-GB"/>
      </w:rPr>
      <w:instrText xml:space="preserve"> FILENAME \p  \* MERGEFORMAT </w:instrText>
    </w:r>
    <w:r>
      <w:fldChar w:fldCharType="separate"/>
    </w:r>
    <w:r w:rsidR="00915E79">
      <w:rPr>
        <w:lang w:val="en-GB"/>
      </w:rPr>
      <w:t>P:\FRA\ITU-R\AG\RAG\RAG23\000\058REV1F.docx</w:t>
    </w:r>
    <w:r>
      <w:fldChar w:fldCharType="end"/>
    </w:r>
    <w:r w:rsidRPr="00D1790D">
      <w:rPr>
        <w:lang w:val="en-GB"/>
      </w:rPr>
      <w:t xml:space="preserve"> (</w:t>
    </w:r>
    <w:r w:rsidR="00E24893">
      <w:rPr>
        <w:lang w:val="en-GB"/>
      </w:rPr>
      <w:t>521559</w:t>
    </w:r>
    <w:r w:rsidRPr="00D1790D">
      <w:rPr>
        <w:lang w:val="en-GB"/>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A1B6" w14:textId="7B0AB075" w:rsidR="008257AF" w:rsidRDefault="008500C2" w:rsidP="007711EA">
    <w:pPr>
      <w:pStyle w:val="Footer"/>
      <w:rPr>
        <w:lang w:val="en-US"/>
      </w:rPr>
    </w:pPr>
    <w:r>
      <w:fldChar w:fldCharType="begin"/>
    </w:r>
    <w:r w:rsidRPr="00D1790D">
      <w:rPr>
        <w:lang w:val="en-GB"/>
      </w:rPr>
      <w:instrText xml:space="preserve"> FILENAME \p  \* MERGEFORMAT </w:instrText>
    </w:r>
    <w:r>
      <w:fldChar w:fldCharType="separate"/>
    </w:r>
    <w:r w:rsidR="00915E79">
      <w:rPr>
        <w:lang w:val="en-GB"/>
      </w:rPr>
      <w:t>P:\FRA\ITU-R\AG\RAG\RAG23\000\058REV1F.docx</w:t>
    </w:r>
    <w:r>
      <w:fldChar w:fldCharType="end"/>
    </w:r>
    <w:r w:rsidRPr="00D1790D">
      <w:rPr>
        <w:lang w:val="en-GB"/>
      </w:rPr>
      <w:t xml:space="preserve"> (</w:t>
    </w:r>
    <w:r>
      <w:rPr>
        <w:lang w:val="en-GB"/>
      </w:rPr>
      <w:t>521559</w:t>
    </w:r>
    <w:r w:rsidRPr="00D1790D">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B592" w14:textId="77777777" w:rsidR="007A1CFE" w:rsidRDefault="007A1CFE">
      <w:r>
        <w:t>____________________</w:t>
      </w:r>
    </w:p>
  </w:footnote>
  <w:footnote w:type="continuationSeparator" w:id="0">
    <w:p w14:paraId="3D2E2072" w14:textId="77777777" w:rsidR="007A1CFE" w:rsidRDefault="007A1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BC6D" w14:textId="77777777" w:rsidR="0031628C" w:rsidRDefault="0031628C">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C7CE" w14:textId="77777777" w:rsidR="0031628C" w:rsidRDefault="0031628C" w:rsidP="00925627">
    <w:pPr>
      <w:pStyle w:val="Header"/>
      <w:rPr>
        <w:lang w:val="es-ES"/>
      </w:rPr>
    </w:pPr>
    <w:r>
      <w:fldChar w:fldCharType="begin"/>
    </w:r>
    <w:r>
      <w:instrText xml:space="preserve"> PAGE </w:instrText>
    </w:r>
    <w:r>
      <w:fldChar w:fldCharType="separate"/>
    </w:r>
    <w:r>
      <w:rPr>
        <w:noProof/>
      </w:rPr>
      <w:t>26</w:t>
    </w:r>
    <w:r>
      <w:rPr>
        <w:noProof/>
      </w:rPr>
      <w:fldChar w:fldCharType="end"/>
    </w:r>
  </w:p>
  <w:p w14:paraId="03141E81" w14:textId="2F83400E" w:rsidR="0031628C" w:rsidRDefault="0031628C" w:rsidP="007711EA">
    <w:pPr>
      <w:pStyle w:val="Header"/>
      <w:rPr>
        <w:lang w:val="es-ES"/>
      </w:rPr>
    </w:pPr>
    <w:r>
      <w:rPr>
        <w:lang w:val="es-ES"/>
      </w:rPr>
      <w:t>RAG/58</w:t>
    </w:r>
    <w:r w:rsidR="002A3133">
      <w:rPr>
        <w:lang w:val="es-ES"/>
      </w:rPr>
      <w:t>(Rév.1)</w:t>
    </w:r>
    <w:r>
      <w:rPr>
        <w:lang w:val="es-ES"/>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82EE" w14:textId="77777777" w:rsidR="009C5C79" w:rsidRDefault="009C5C79" w:rsidP="009C5C79">
    <w:pPr>
      <w:pStyle w:val="Header"/>
      <w:rPr>
        <w:lang w:val="es-ES"/>
      </w:rPr>
    </w:pPr>
    <w:r>
      <w:fldChar w:fldCharType="begin"/>
    </w:r>
    <w:r>
      <w:instrText xml:space="preserve"> PAGE </w:instrText>
    </w:r>
    <w:r>
      <w:fldChar w:fldCharType="separate"/>
    </w:r>
    <w:r>
      <w:t>25</w:t>
    </w:r>
    <w:r>
      <w:rPr>
        <w:noProof/>
      </w:rPr>
      <w:fldChar w:fldCharType="end"/>
    </w:r>
  </w:p>
  <w:p w14:paraId="19E0626C" w14:textId="05ECB4A3" w:rsidR="009C5C79" w:rsidRDefault="009C5C79" w:rsidP="009C5C79">
    <w:pPr>
      <w:pStyle w:val="Header"/>
    </w:pPr>
    <w:r>
      <w:rPr>
        <w:lang w:val="es-ES"/>
      </w:rPr>
      <w:t>RAG/58</w:t>
    </w:r>
    <w:r w:rsidR="00E24893">
      <w:rPr>
        <w:lang w:val="es-ES"/>
      </w:rPr>
      <w:t>(Rév.1)</w:t>
    </w:r>
    <w:r>
      <w:rPr>
        <w:lang w:val="es-ES"/>
      </w:rPr>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7587" w14:textId="77777777" w:rsidR="008257AF" w:rsidRDefault="008257AF">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D627" w14:textId="237C8FD4" w:rsidR="008257AF" w:rsidRDefault="008257AF" w:rsidP="00925627">
    <w:pPr>
      <w:pStyle w:val="Header"/>
      <w:rPr>
        <w:lang w:val="es-ES"/>
      </w:rPr>
    </w:pPr>
    <w:r>
      <w:fldChar w:fldCharType="begin"/>
    </w:r>
    <w:r>
      <w:instrText xml:space="preserve"> PAGE </w:instrText>
    </w:r>
    <w:r>
      <w:fldChar w:fldCharType="separate"/>
    </w:r>
    <w:r w:rsidR="007F550B">
      <w:rPr>
        <w:noProof/>
      </w:rPr>
      <w:t>21</w:t>
    </w:r>
    <w:r>
      <w:rPr>
        <w:noProof/>
      </w:rPr>
      <w:fldChar w:fldCharType="end"/>
    </w:r>
  </w:p>
  <w:p w14:paraId="4E667481" w14:textId="69975226" w:rsidR="008257AF" w:rsidRDefault="008257AF" w:rsidP="007711EA">
    <w:pPr>
      <w:pStyle w:val="Header"/>
      <w:rPr>
        <w:lang w:val="es-ES"/>
      </w:rPr>
    </w:pPr>
    <w:r>
      <w:rPr>
        <w:lang w:val="es-ES"/>
      </w:rPr>
      <w:t>RAG/58</w:t>
    </w:r>
    <w:r w:rsidR="00E24893">
      <w:rPr>
        <w:lang w:val="es-ES"/>
      </w:rPr>
      <w:t>(Rév.1)</w:t>
    </w:r>
    <w:r>
      <w:rPr>
        <w:lang w:val="es-ES"/>
      </w:rPr>
      <w:t>-F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3E36" w14:textId="77777777" w:rsidR="009C5C79" w:rsidRDefault="009C5C79" w:rsidP="009C5C79">
    <w:pPr>
      <w:pStyle w:val="Header"/>
      <w:rPr>
        <w:lang w:val="es-ES"/>
      </w:rPr>
    </w:pPr>
    <w:r>
      <w:fldChar w:fldCharType="begin"/>
    </w:r>
    <w:r>
      <w:instrText xml:space="preserve"> PAGE </w:instrText>
    </w:r>
    <w:r>
      <w:fldChar w:fldCharType="separate"/>
    </w:r>
    <w:r>
      <w:t>25</w:t>
    </w:r>
    <w:r>
      <w:rPr>
        <w:noProof/>
      </w:rPr>
      <w:fldChar w:fldCharType="end"/>
    </w:r>
  </w:p>
  <w:p w14:paraId="6EB66180" w14:textId="4D2294FD" w:rsidR="009C5C79" w:rsidRDefault="009C5C79" w:rsidP="009C5C79">
    <w:pPr>
      <w:pStyle w:val="Header"/>
    </w:pPr>
    <w:r>
      <w:rPr>
        <w:lang w:val="es-ES"/>
      </w:rPr>
      <w:t>RAG/58</w:t>
    </w:r>
    <w:r w:rsidR="002C59AB">
      <w:rPr>
        <w:lang w:val="es-ES"/>
      </w:rPr>
      <w:t>(Rév.1)</w:t>
    </w:r>
    <w:r>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59CA8"/>
    <w:multiLevelType w:val="hybridMultilevel"/>
    <w:tmpl w:val="FFFFFFFF"/>
    <w:lvl w:ilvl="0" w:tplc="2EC0C408">
      <w:start w:val="1"/>
      <w:numFmt w:val="bullet"/>
      <w:lvlText w:val="·"/>
      <w:lvlJc w:val="left"/>
      <w:pPr>
        <w:ind w:left="720" w:hanging="360"/>
      </w:pPr>
      <w:rPr>
        <w:rFonts w:ascii="Symbol" w:hAnsi="Symbol" w:hint="default"/>
      </w:rPr>
    </w:lvl>
    <w:lvl w:ilvl="1" w:tplc="E438FDE0">
      <w:start w:val="1"/>
      <w:numFmt w:val="bullet"/>
      <w:lvlText w:val="o"/>
      <w:lvlJc w:val="left"/>
      <w:pPr>
        <w:ind w:left="1440" w:hanging="360"/>
      </w:pPr>
      <w:rPr>
        <w:rFonts w:ascii="Courier New" w:hAnsi="Courier New" w:hint="default"/>
      </w:rPr>
    </w:lvl>
    <w:lvl w:ilvl="2" w:tplc="3BA233A8">
      <w:start w:val="1"/>
      <w:numFmt w:val="bullet"/>
      <w:lvlText w:val=""/>
      <w:lvlJc w:val="left"/>
      <w:pPr>
        <w:ind w:left="2160" w:hanging="360"/>
      </w:pPr>
      <w:rPr>
        <w:rFonts w:ascii="Wingdings" w:hAnsi="Wingdings" w:hint="default"/>
      </w:rPr>
    </w:lvl>
    <w:lvl w:ilvl="3" w:tplc="3C5611BC">
      <w:start w:val="1"/>
      <w:numFmt w:val="bullet"/>
      <w:lvlText w:val=""/>
      <w:lvlJc w:val="left"/>
      <w:pPr>
        <w:ind w:left="2880" w:hanging="360"/>
      </w:pPr>
      <w:rPr>
        <w:rFonts w:ascii="Symbol" w:hAnsi="Symbol" w:hint="default"/>
      </w:rPr>
    </w:lvl>
    <w:lvl w:ilvl="4" w:tplc="A7AE2AE0">
      <w:start w:val="1"/>
      <w:numFmt w:val="bullet"/>
      <w:lvlText w:val="o"/>
      <w:lvlJc w:val="left"/>
      <w:pPr>
        <w:ind w:left="3600" w:hanging="360"/>
      </w:pPr>
      <w:rPr>
        <w:rFonts w:ascii="Courier New" w:hAnsi="Courier New" w:hint="default"/>
      </w:rPr>
    </w:lvl>
    <w:lvl w:ilvl="5" w:tplc="25A0F7C8">
      <w:start w:val="1"/>
      <w:numFmt w:val="bullet"/>
      <w:lvlText w:val=""/>
      <w:lvlJc w:val="left"/>
      <w:pPr>
        <w:ind w:left="4320" w:hanging="360"/>
      </w:pPr>
      <w:rPr>
        <w:rFonts w:ascii="Wingdings" w:hAnsi="Wingdings" w:hint="default"/>
      </w:rPr>
    </w:lvl>
    <w:lvl w:ilvl="6" w:tplc="38BE4344">
      <w:start w:val="1"/>
      <w:numFmt w:val="bullet"/>
      <w:lvlText w:val=""/>
      <w:lvlJc w:val="left"/>
      <w:pPr>
        <w:ind w:left="5040" w:hanging="360"/>
      </w:pPr>
      <w:rPr>
        <w:rFonts w:ascii="Symbol" w:hAnsi="Symbol" w:hint="default"/>
      </w:rPr>
    </w:lvl>
    <w:lvl w:ilvl="7" w:tplc="D6866FF2">
      <w:start w:val="1"/>
      <w:numFmt w:val="bullet"/>
      <w:lvlText w:val="o"/>
      <w:lvlJc w:val="left"/>
      <w:pPr>
        <w:ind w:left="5760" w:hanging="360"/>
      </w:pPr>
      <w:rPr>
        <w:rFonts w:ascii="Courier New" w:hAnsi="Courier New" w:hint="default"/>
      </w:rPr>
    </w:lvl>
    <w:lvl w:ilvl="8" w:tplc="0F9AC47E">
      <w:start w:val="1"/>
      <w:numFmt w:val="bullet"/>
      <w:lvlText w:val=""/>
      <w:lvlJc w:val="left"/>
      <w:pPr>
        <w:ind w:left="6480" w:hanging="360"/>
      </w:pPr>
      <w:rPr>
        <w:rFonts w:ascii="Wingdings" w:hAnsi="Wingdings" w:hint="default"/>
      </w:rPr>
    </w:lvl>
  </w:abstractNum>
  <w:abstractNum w:abstractNumId="3"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D20BB7"/>
    <w:multiLevelType w:val="hybridMultilevel"/>
    <w:tmpl w:val="3D30BF54"/>
    <w:lvl w:ilvl="0" w:tplc="FFFFFFFF">
      <w:start w:val="1"/>
      <w:numFmt w:val="bullet"/>
      <w:lvlText w:val=""/>
      <w:lvlJc w:val="left"/>
      <w:pPr>
        <w:ind w:left="720" w:hanging="360"/>
      </w:pPr>
      <w:rPr>
        <w:rFonts w:ascii="Symbol" w:hAnsi="Symbol" w:hint="default"/>
        <w:color w:val="000000" w:themeColor="text1"/>
      </w:rPr>
    </w:lvl>
    <w:lvl w:ilvl="1" w:tplc="2D547A30">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2629E2"/>
    <w:multiLevelType w:val="hybridMultilevel"/>
    <w:tmpl w:val="1A9E69D8"/>
    <w:lvl w:ilvl="0" w:tplc="97D68A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9" w15:restartNumberingAfterBreak="0">
    <w:nsid w:val="6AA93635"/>
    <w:multiLevelType w:val="hybridMultilevel"/>
    <w:tmpl w:val="9AA06462"/>
    <w:lvl w:ilvl="0" w:tplc="97D68AF4">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594517">
    <w:abstractNumId w:val="7"/>
  </w:num>
  <w:num w:numId="2" w16cid:durableId="1596815723">
    <w:abstractNumId w:val="2"/>
  </w:num>
  <w:num w:numId="3" w16cid:durableId="1794330031">
    <w:abstractNumId w:val="8"/>
  </w:num>
  <w:num w:numId="4" w16cid:durableId="1144201265">
    <w:abstractNumId w:val="1"/>
  </w:num>
  <w:num w:numId="5" w16cid:durableId="740756742">
    <w:abstractNumId w:val="5"/>
  </w:num>
  <w:num w:numId="6" w16cid:durableId="1782724708">
    <w:abstractNumId w:val="0"/>
  </w:num>
  <w:num w:numId="7" w16cid:durableId="941035010">
    <w:abstractNumId w:val="4"/>
  </w:num>
  <w:num w:numId="8" w16cid:durableId="1870489512">
    <w:abstractNumId w:val="3"/>
  </w:num>
  <w:num w:numId="9" w16cid:durableId="1509245538">
    <w:abstractNumId w:val="9"/>
  </w:num>
  <w:num w:numId="10" w16cid:durableId="49156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89"/>
    <w:rsid w:val="00011E8D"/>
    <w:rsid w:val="00022ECA"/>
    <w:rsid w:val="00040B1A"/>
    <w:rsid w:val="00040BDE"/>
    <w:rsid w:val="000410C9"/>
    <w:rsid w:val="00051461"/>
    <w:rsid w:val="0005177D"/>
    <w:rsid w:val="00064BEE"/>
    <w:rsid w:val="0007408E"/>
    <w:rsid w:val="00085F84"/>
    <w:rsid w:val="000C06D8"/>
    <w:rsid w:val="000D10FC"/>
    <w:rsid w:val="000D129C"/>
    <w:rsid w:val="000F3662"/>
    <w:rsid w:val="000F5933"/>
    <w:rsid w:val="0010283E"/>
    <w:rsid w:val="00120611"/>
    <w:rsid w:val="00130174"/>
    <w:rsid w:val="00140AE6"/>
    <w:rsid w:val="00140EEA"/>
    <w:rsid w:val="001505A4"/>
    <w:rsid w:val="00153B40"/>
    <w:rsid w:val="0018002E"/>
    <w:rsid w:val="00190B0D"/>
    <w:rsid w:val="00191245"/>
    <w:rsid w:val="001A312A"/>
    <w:rsid w:val="001C2BFC"/>
    <w:rsid w:val="001D2D74"/>
    <w:rsid w:val="001E3C1F"/>
    <w:rsid w:val="002029DE"/>
    <w:rsid w:val="002115D1"/>
    <w:rsid w:val="00212DE0"/>
    <w:rsid w:val="0021359F"/>
    <w:rsid w:val="002148E9"/>
    <w:rsid w:val="00222A1C"/>
    <w:rsid w:val="00226E5F"/>
    <w:rsid w:val="00252E9A"/>
    <w:rsid w:val="00282792"/>
    <w:rsid w:val="002A3133"/>
    <w:rsid w:val="002A3453"/>
    <w:rsid w:val="002B33B0"/>
    <w:rsid w:val="002C44EF"/>
    <w:rsid w:val="002C59AB"/>
    <w:rsid w:val="002D238A"/>
    <w:rsid w:val="002F1CFE"/>
    <w:rsid w:val="003055CD"/>
    <w:rsid w:val="00307272"/>
    <w:rsid w:val="00312178"/>
    <w:rsid w:val="0031628C"/>
    <w:rsid w:val="00337893"/>
    <w:rsid w:val="00344BF5"/>
    <w:rsid w:val="00351893"/>
    <w:rsid w:val="0035581D"/>
    <w:rsid w:val="00363365"/>
    <w:rsid w:val="00365C4F"/>
    <w:rsid w:val="00392F9A"/>
    <w:rsid w:val="003945EF"/>
    <w:rsid w:val="003A6CEE"/>
    <w:rsid w:val="003A7201"/>
    <w:rsid w:val="003B25B3"/>
    <w:rsid w:val="003C20FA"/>
    <w:rsid w:val="003E1B17"/>
    <w:rsid w:val="0040383F"/>
    <w:rsid w:val="00405FBE"/>
    <w:rsid w:val="00425799"/>
    <w:rsid w:val="00436E97"/>
    <w:rsid w:val="00437385"/>
    <w:rsid w:val="00443261"/>
    <w:rsid w:val="00450764"/>
    <w:rsid w:val="004522B1"/>
    <w:rsid w:val="004564F8"/>
    <w:rsid w:val="0047018F"/>
    <w:rsid w:val="004710C9"/>
    <w:rsid w:val="00475A49"/>
    <w:rsid w:val="00475E7D"/>
    <w:rsid w:val="004906C0"/>
    <w:rsid w:val="004C5756"/>
    <w:rsid w:val="004C7208"/>
    <w:rsid w:val="004D0665"/>
    <w:rsid w:val="004E1CCF"/>
    <w:rsid w:val="004E669D"/>
    <w:rsid w:val="004E76DF"/>
    <w:rsid w:val="004E7754"/>
    <w:rsid w:val="005031C8"/>
    <w:rsid w:val="00507E6D"/>
    <w:rsid w:val="005207F5"/>
    <w:rsid w:val="005378F4"/>
    <w:rsid w:val="00537BED"/>
    <w:rsid w:val="005430E4"/>
    <w:rsid w:val="005556F1"/>
    <w:rsid w:val="005624E2"/>
    <w:rsid w:val="005A234C"/>
    <w:rsid w:val="005B4BC8"/>
    <w:rsid w:val="005B74A3"/>
    <w:rsid w:val="005F3640"/>
    <w:rsid w:val="0061421B"/>
    <w:rsid w:val="00622A53"/>
    <w:rsid w:val="00624E16"/>
    <w:rsid w:val="006356CB"/>
    <w:rsid w:val="00642E29"/>
    <w:rsid w:val="006532DA"/>
    <w:rsid w:val="00654C00"/>
    <w:rsid w:val="00661A3C"/>
    <w:rsid w:val="00667931"/>
    <w:rsid w:val="0067019B"/>
    <w:rsid w:val="00677EE5"/>
    <w:rsid w:val="006803A3"/>
    <w:rsid w:val="00694DEF"/>
    <w:rsid w:val="006A1D2C"/>
    <w:rsid w:val="006A2911"/>
    <w:rsid w:val="006A6119"/>
    <w:rsid w:val="006C2CD3"/>
    <w:rsid w:val="006C33D7"/>
    <w:rsid w:val="006E42D1"/>
    <w:rsid w:val="00716A77"/>
    <w:rsid w:val="00745423"/>
    <w:rsid w:val="007711EA"/>
    <w:rsid w:val="00772063"/>
    <w:rsid w:val="00773E5E"/>
    <w:rsid w:val="0077516A"/>
    <w:rsid w:val="007817B8"/>
    <w:rsid w:val="007A1CFE"/>
    <w:rsid w:val="007A7ECA"/>
    <w:rsid w:val="007B324D"/>
    <w:rsid w:val="007F550B"/>
    <w:rsid w:val="007F5767"/>
    <w:rsid w:val="008069E9"/>
    <w:rsid w:val="00824101"/>
    <w:rsid w:val="008257AF"/>
    <w:rsid w:val="00827A28"/>
    <w:rsid w:val="00843271"/>
    <w:rsid w:val="00846DA3"/>
    <w:rsid w:val="00847AAC"/>
    <w:rsid w:val="00847CC1"/>
    <w:rsid w:val="008500C2"/>
    <w:rsid w:val="008645FE"/>
    <w:rsid w:val="00866D95"/>
    <w:rsid w:val="008720F2"/>
    <w:rsid w:val="00893479"/>
    <w:rsid w:val="0089384F"/>
    <w:rsid w:val="008C4C3E"/>
    <w:rsid w:val="008C7260"/>
    <w:rsid w:val="008C7E3A"/>
    <w:rsid w:val="008F3DFB"/>
    <w:rsid w:val="00902253"/>
    <w:rsid w:val="00915E79"/>
    <w:rsid w:val="00923287"/>
    <w:rsid w:val="00925627"/>
    <w:rsid w:val="0093101F"/>
    <w:rsid w:val="00946024"/>
    <w:rsid w:val="009547F6"/>
    <w:rsid w:val="0096317A"/>
    <w:rsid w:val="0097156E"/>
    <w:rsid w:val="00971617"/>
    <w:rsid w:val="00992DC1"/>
    <w:rsid w:val="009B0675"/>
    <w:rsid w:val="009B6029"/>
    <w:rsid w:val="009B78F1"/>
    <w:rsid w:val="009C5C79"/>
    <w:rsid w:val="009E552B"/>
    <w:rsid w:val="009F6AF7"/>
    <w:rsid w:val="00A04D20"/>
    <w:rsid w:val="00A05A19"/>
    <w:rsid w:val="00A61DFC"/>
    <w:rsid w:val="00A67113"/>
    <w:rsid w:val="00A67D43"/>
    <w:rsid w:val="00A9055C"/>
    <w:rsid w:val="00A96654"/>
    <w:rsid w:val="00AA7EF4"/>
    <w:rsid w:val="00AB7F92"/>
    <w:rsid w:val="00AC2D4A"/>
    <w:rsid w:val="00AC39EE"/>
    <w:rsid w:val="00AD6ED6"/>
    <w:rsid w:val="00AE20B7"/>
    <w:rsid w:val="00AF0829"/>
    <w:rsid w:val="00AF2EDC"/>
    <w:rsid w:val="00AF5C8C"/>
    <w:rsid w:val="00B10589"/>
    <w:rsid w:val="00B17433"/>
    <w:rsid w:val="00B33D03"/>
    <w:rsid w:val="00B41D84"/>
    <w:rsid w:val="00B46EB0"/>
    <w:rsid w:val="00B47634"/>
    <w:rsid w:val="00B52A2E"/>
    <w:rsid w:val="00B72AA4"/>
    <w:rsid w:val="00B76D10"/>
    <w:rsid w:val="00B91EE1"/>
    <w:rsid w:val="00BA0C7B"/>
    <w:rsid w:val="00BA5C2D"/>
    <w:rsid w:val="00BB5FB4"/>
    <w:rsid w:val="00BC1BDF"/>
    <w:rsid w:val="00BC4591"/>
    <w:rsid w:val="00BD2043"/>
    <w:rsid w:val="00BD6131"/>
    <w:rsid w:val="00BE6FF5"/>
    <w:rsid w:val="00C20A78"/>
    <w:rsid w:val="00C20AFF"/>
    <w:rsid w:val="00C23E57"/>
    <w:rsid w:val="00C40D0B"/>
    <w:rsid w:val="00C45A54"/>
    <w:rsid w:val="00C530E8"/>
    <w:rsid w:val="00C64197"/>
    <w:rsid w:val="00C72A86"/>
    <w:rsid w:val="00C77D5C"/>
    <w:rsid w:val="00CA0B36"/>
    <w:rsid w:val="00CC5B9E"/>
    <w:rsid w:val="00CC7208"/>
    <w:rsid w:val="00CC7E04"/>
    <w:rsid w:val="00CD2720"/>
    <w:rsid w:val="00CD3536"/>
    <w:rsid w:val="00CD643A"/>
    <w:rsid w:val="00CD6F40"/>
    <w:rsid w:val="00CE6184"/>
    <w:rsid w:val="00D058F3"/>
    <w:rsid w:val="00D113F1"/>
    <w:rsid w:val="00D1790D"/>
    <w:rsid w:val="00D228F7"/>
    <w:rsid w:val="00D34E1C"/>
    <w:rsid w:val="00D54B00"/>
    <w:rsid w:val="00D57535"/>
    <w:rsid w:val="00D609A4"/>
    <w:rsid w:val="00D63D18"/>
    <w:rsid w:val="00D667A8"/>
    <w:rsid w:val="00D7259F"/>
    <w:rsid w:val="00D72CB1"/>
    <w:rsid w:val="00D72DB8"/>
    <w:rsid w:val="00D76570"/>
    <w:rsid w:val="00D95965"/>
    <w:rsid w:val="00DD37F3"/>
    <w:rsid w:val="00DD55EB"/>
    <w:rsid w:val="00DE7CF3"/>
    <w:rsid w:val="00DF0209"/>
    <w:rsid w:val="00E1047B"/>
    <w:rsid w:val="00E24893"/>
    <w:rsid w:val="00E2659D"/>
    <w:rsid w:val="00E33B82"/>
    <w:rsid w:val="00E50EC3"/>
    <w:rsid w:val="00E51EA8"/>
    <w:rsid w:val="00E52D98"/>
    <w:rsid w:val="00E53FB8"/>
    <w:rsid w:val="00E6420E"/>
    <w:rsid w:val="00E868A4"/>
    <w:rsid w:val="00EA4240"/>
    <w:rsid w:val="00EB0D7E"/>
    <w:rsid w:val="00EB273B"/>
    <w:rsid w:val="00EB61FB"/>
    <w:rsid w:val="00EB63FC"/>
    <w:rsid w:val="00EB6751"/>
    <w:rsid w:val="00EC0F12"/>
    <w:rsid w:val="00EC29F7"/>
    <w:rsid w:val="00EC4861"/>
    <w:rsid w:val="00EC7306"/>
    <w:rsid w:val="00ED1B53"/>
    <w:rsid w:val="00ED59FA"/>
    <w:rsid w:val="00F029DF"/>
    <w:rsid w:val="00F15EEA"/>
    <w:rsid w:val="00F16909"/>
    <w:rsid w:val="00F25132"/>
    <w:rsid w:val="00F32E8A"/>
    <w:rsid w:val="00F52E16"/>
    <w:rsid w:val="00F54299"/>
    <w:rsid w:val="00F73C19"/>
    <w:rsid w:val="00F775D5"/>
    <w:rsid w:val="00F80BD5"/>
    <w:rsid w:val="00FB64E5"/>
    <w:rsid w:val="00FC7696"/>
    <w:rsid w:val="00FF3244"/>
    <w:rsid w:val="00FF371C"/>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31FE06"/>
  <w15:docId w15:val="{05A85EF8-D1E7-4E8C-9198-408ADE89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A5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unhideWhenUsed/>
    <w:rsid w:val="006C33D7"/>
    <w:rPr>
      <w:color w:val="0000FF" w:themeColor="hyperlink"/>
      <w:u w:val="single"/>
    </w:rPr>
  </w:style>
  <w:style w:type="character" w:customStyle="1" w:styleId="UnresolvedMention1">
    <w:name w:val="Unresolved Mention1"/>
    <w:basedOn w:val="DefaultParagraphFont"/>
    <w:uiPriority w:val="99"/>
    <w:semiHidden/>
    <w:unhideWhenUsed/>
    <w:rsid w:val="006C33D7"/>
    <w:rPr>
      <w:color w:val="605E5C"/>
      <w:shd w:val="clear" w:color="auto" w:fill="E1DFDD"/>
    </w:rPr>
  </w:style>
  <w:style w:type="character" w:customStyle="1" w:styleId="TabletextChar">
    <w:name w:val="Table_text Char"/>
    <w:basedOn w:val="DefaultParagraphFont"/>
    <w:link w:val="Tabletext"/>
    <w:qFormat/>
    <w:locked/>
    <w:rsid w:val="00D57535"/>
    <w:rPr>
      <w:rFonts w:ascii="Times New Roman" w:hAnsi="Times New Roman"/>
      <w:sz w:val="22"/>
      <w:lang w:val="fr-FR" w:eastAsia="en-US"/>
    </w:rPr>
  </w:style>
  <w:style w:type="table" w:customStyle="1" w:styleId="GridTable5Dark-Accent11">
    <w:name w:val="Grid Table 5 Dark - Accent 11"/>
    <w:basedOn w:val="TableNormal"/>
    <w:next w:val="GridTable5Dark-Accent1"/>
    <w:uiPriority w:val="50"/>
    <w:rsid w:val="00D575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1">
    <w:name w:val="Grid Table 5 Dark Accent 1"/>
    <w:basedOn w:val="TableNormal"/>
    <w:uiPriority w:val="50"/>
    <w:rsid w:val="00D575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ableheadChar">
    <w:name w:val="Table_head Char"/>
    <w:basedOn w:val="DefaultParagraphFont"/>
    <w:link w:val="Tablehead"/>
    <w:rsid w:val="00642E29"/>
    <w:rPr>
      <w:rFonts w:ascii="Times New Roman" w:hAnsi="Times New Roman"/>
      <w:b/>
      <w:sz w:val="22"/>
      <w:lang w:val="fr-FR" w:eastAsia="en-US"/>
    </w:rPr>
  </w:style>
  <w:style w:type="table" w:customStyle="1" w:styleId="GridTable4-Accent122">
    <w:name w:val="Grid Table 4 - Accent 122"/>
    <w:basedOn w:val="TableNormal"/>
    <w:uiPriority w:val="49"/>
    <w:rsid w:val="00642E2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D7259F"/>
    <w:pPr>
      <w:spacing w:line="480" w:lineRule="auto"/>
    </w:pPr>
  </w:style>
  <w:style w:type="paragraph" w:styleId="Revision">
    <w:name w:val="Revision"/>
    <w:hidden/>
    <w:uiPriority w:val="99"/>
    <w:semiHidden/>
    <w:rsid w:val="0010283E"/>
    <w:rPr>
      <w:rFonts w:ascii="Times New Roman" w:hAnsi="Times New Roman"/>
      <w:sz w:val="24"/>
      <w:lang w:val="fr-FR" w:eastAsia="en-US"/>
    </w:rPr>
  </w:style>
  <w:style w:type="character" w:styleId="CommentReference">
    <w:name w:val="annotation reference"/>
    <w:basedOn w:val="DefaultParagraphFont"/>
    <w:semiHidden/>
    <w:unhideWhenUsed/>
    <w:rsid w:val="00AD6ED6"/>
    <w:rPr>
      <w:sz w:val="16"/>
      <w:szCs w:val="16"/>
    </w:rPr>
  </w:style>
  <w:style w:type="paragraph" w:styleId="CommentText">
    <w:name w:val="annotation text"/>
    <w:basedOn w:val="Normal"/>
    <w:link w:val="CommentTextChar"/>
    <w:unhideWhenUsed/>
    <w:rsid w:val="00AD6ED6"/>
    <w:rPr>
      <w:sz w:val="20"/>
    </w:rPr>
  </w:style>
  <w:style w:type="character" w:customStyle="1" w:styleId="CommentTextChar">
    <w:name w:val="Comment Text Char"/>
    <w:basedOn w:val="DefaultParagraphFont"/>
    <w:link w:val="CommentText"/>
    <w:rsid w:val="00AD6ED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D6ED6"/>
    <w:rPr>
      <w:b/>
      <w:bCs/>
    </w:rPr>
  </w:style>
  <w:style w:type="character" w:customStyle="1" w:styleId="CommentSubjectChar">
    <w:name w:val="Comment Subject Char"/>
    <w:basedOn w:val="CommentTextChar"/>
    <w:link w:val="CommentSubject"/>
    <w:semiHidden/>
    <w:rsid w:val="00AD6ED6"/>
    <w:rPr>
      <w:rFonts w:ascii="Times New Roman" w:hAnsi="Times New Roman"/>
      <w:b/>
      <w:bCs/>
      <w:lang w:val="fr-FR" w:eastAsia="en-US"/>
    </w:rPr>
  </w:style>
  <w:style w:type="character" w:customStyle="1" w:styleId="Heading3Char">
    <w:name w:val="Heading 3 Char"/>
    <w:basedOn w:val="DefaultParagraphFont"/>
    <w:link w:val="Heading3"/>
    <w:rsid w:val="00EB63FC"/>
    <w:rPr>
      <w:rFonts w:ascii="Times New Roman" w:hAnsi="Times New Roman"/>
      <w:b/>
      <w:sz w:val="24"/>
      <w:lang w:val="fr-FR" w:eastAsia="en-US"/>
    </w:rPr>
  </w:style>
  <w:style w:type="character" w:styleId="FollowedHyperlink">
    <w:name w:val="FollowedHyperlink"/>
    <w:basedOn w:val="DefaultParagraphFont"/>
    <w:semiHidden/>
    <w:unhideWhenUsed/>
    <w:rsid w:val="00130174"/>
    <w:rPr>
      <w:color w:val="800080" w:themeColor="followedHyperlink"/>
      <w:u w:val="single"/>
    </w:rPr>
  </w:style>
  <w:style w:type="character" w:styleId="UnresolvedMention">
    <w:name w:val="Unresolved Mention"/>
    <w:basedOn w:val="DefaultParagraphFont"/>
    <w:uiPriority w:val="99"/>
    <w:semiHidden/>
    <w:unhideWhenUsed/>
    <w:rsid w:val="00F80BD5"/>
    <w:rPr>
      <w:color w:val="605E5C"/>
      <w:shd w:val="clear" w:color="auto" w:fill="E1DFDD"/>
    </w:rPr>
  </w:style>
  <w:style w:type="character" w:customStyle="1" w:styleId="Heading1Char">
    <w:name w:val="Heading 1 Char"/>
    <w:basedOn w:val="DefaultParagraphFont"/>
    <w:link w:val="Heading1"/>
    <w:rsid w:val="0031628C"/>
    <w:rPr>
      <w:rFonts w:ascii="Times New Roman" w:hAnsi="Times New Roman"/>
      <w:b/>
      <w:sz w:val="24"/>
      <w:lang w:val="fr-FR" w:eastAsia="en-US"/>
    </w:rPr>
  </w:style>
  <w:style w:type="character" w:customStyle="1" w:styleId="Heading2Char">
    <w:name w:val="Heading 2 Char"/>
    <w:basedOn w:val="DefaultParagraphFont"/>
    <w:link w:val="Heading2"/>
    <w:rsid w:val="0031628C"/>
    <w:rPr>
      <w:rFonts w:ascii="Times New Roman" w:hAnsi="Times New Roman"/>
      <w:b/>
      <w:sz w:val="24"/>
      <w:lang w:val="fr-FR" w:eastAsia="en-US"/>
    </w:rPr>
  </w:style>
  <w:style w:type="character" w:customStyle="1" w:styleId="Heading4Char">
    <w:name w:val="Heading 4 Char"/>
    <w:basedOn w:val="DefaultParagraphFont"/>
    <w:link w:val="Heading4"/>
    <w:rsid w:val="0031628C"/>
    <w:rPr>
      <w:rFonts w:ascii="Times New Roman" w:hAnsi="Times New Roman"/>
      <w:b/>
      <w:sz w:val="24"/>
      <w:lang w:val="fr-FR" w:eastAsia="en-US"/>
    </w:rPr>
  </w:style>
  <w:style w:type="character" w:customStyle="1" w:styleId="Heading5Char">
    <w:name w:val="Heading 5 Char"/>
    <w:basedOn w:val="DefaultParagraphFont"/>
    <w:link w:val="Heading5"/>
    <w:rsid w:val="0031628C"/>
    <w:rPr>
      <w:rFonts w:ascii="Times New Roman" w:hAnsi="Times New Roman"/>
      <w:b/>
      <w:sz w:val="24"/>
      <w:lang w:val="fr-FR" w:eastAsia="en-US"/>
    </w:rPr>
  </w:style>
  <w:style w:type="character" w:customStyle="1" w:styleId="Heading6Char">
    <w:name w:val="Heading 6 Char"/>
    <w:basedOn w:val="DefaultParagraphFont"/>
    <w:link w:val="Heading6"/>
    <w:rsid w:val="0031628C"/>
    <w:rPr>
      <w:rFonts w:ascii="Times New Roman" w:hAnsi="Times New Roman"/>
      <w:b/>
      <w:sz w:val="24"/>
      <w:lang w:val="fr-FR" w:eastAsia="en-US"/>
    </w:rPr>
  </w:style>
  <w:style w:type="character" w:customStyle="1" w:styleId="Heading7Char">
    <w:name w:val="Heading 7 Char"/>
    <w:basedOn w:val="DefaultParagraphFont"/>
    <w:link w:val="Heading7"/>
    <w:rsid w:val="0031628C"/>
    <w:rPr>
      <w:rFonts w:ascii="Times New Roman" w:hAnsi="Times New Roman"/>
      <w:b/>
      <w:sz w:val="24"/>
      <w:lang w:val="fr-FR" w:eastAsia="en-US"/>
    </w:rPr>
  </w:style>
  <w:style w:type="character" w:customStyle="1" w:styleId="Heading8Char">
    <w:name w:val="Heading 8 Char"/>
    <w:basedOn w:val="DefaultParagraphFont"/>
    <w:link w:val="Heading8"/>
    <w:rsid w:val="0031628C"/>
    <w:rPr>
      <w:rFonts w:ascii="Times New Roman" w:hAnsi="Times New Roman"/>
      <w:b/>
      <w:sz w:val="24"/>
      <w:lang w:val="fr-FR" w:eastAsia="en-US"/>
    </w:rPr>
  </w:style>
  <w:style w:type="character" w:customStyle="1" w:styleId="Heading9Char">
    <w:name w:val="Heading 9 Char"/>
    <w:basedOn w:val="DefaultParagraphFont"/>
    <w:link w:val="Heading9"/>
    <w:rsid w:val="0031628C"/>
    <w:rPr>
      <w:rFonts w:ascii="Times New Roman" w:hAnsi="Times New Roman"/>
      <w:b/>
      <w:sz w:val="24"/>
      <w:lang w:val="fr-FR" w:eastAsia="en-US"/>
    </w:rPr>
  </w:style>
  <w:style w:type="character" w:customStyle="1" w:styleId="FooterChar">
    <w:name w:val="Footer Char"/>
    <w:basedOn w:val="DefaultParagraphFont"/>
    <w:link w:val="Footer"/>
    <w:rsid w:val="0031628C"/>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31628C"/>
    <w:rPr>
      <w:rFonts w:ascii="Times New Roman" w:hAnsi="Times New Roman"/>
      <w:sz w:val="24"/>
      <w:lang w:val="fr-FR" w:eastAsia="en-US"/>
    </w:rPr>
  </w:style>
  <w:style w:type="character" w:customStyle="1" w:styleId="HeaderChar">
    <w:name w:val="Header Char"/>
    <w:basedOn w:val="DefaultParagraphFont"/>
    <w:link w:val="Header"/>
    <w:rsid w:val="0031628C"/>
    <w:rPr>
      <w:rFonts w:ascii="Times New Roman" w:hAnsi="Times New Roman"/>
      <w:sz w:val="18"/>
      <w:lang w:val="fr-FR" w:eastAsia="en-US"/>
    </w:rPr>
  </w:style>
  <w:style w:type="paragraph" w:styleId="ListParagraph">
    <w:name w:val="List Paragraph"/>
    <w:basedOn w:val="Normal"/>
    <w:link w:val="ListParagraphChar"/>
    <w:uiPriority w:val="34"/>
    <w:qFormat/>
    <w:rsid w:val="0031628C"/>
    <w:pPr>
      <w:ind w:left="720"/>
      <w:contextualSpacing/>
    </w:pPr>
  </w:style>
  <w:style w:type="character" w:customStyle="1" w:styleId="ListParagraphChar">
    <w:name w:val="List Paragraph Char"/>
    <w:basedOn w:val="DefaultParagraphFont"/>
    <w:link w:val="ListParagraph"/>
    <w:uiPriority w:val="34"/>
    <w:locked/>
    <w:rsid w:val="0031628C"/>
    <w:rPr>
      <w:rFonts w:ascii="Times New Roman" w:hAnsi="Times New Roman"/>
      <w:sz w:val="24"/>
      <w:lang w:val="fr-FR" w:eastAsia="en-US"/>
    </w:rPr>
  </w:style>
  <w:style w:type="paragraph" w:customStyle="1" w:styleId="TableNo">
    <w:name w:val="Table_No"/>
    <w:basedOn w:val="Normal"/>
    <w:next w:val="Normal"/>
    <w:rsid w:val="0031628C"/>
    <w:pPr>
      <w:keepNext/>
      <w:tabs>
        <w:tab w:val="clear" w:pos="794"/>
        <w:tab w:val="clear" w:pos="1191"/>
        <w:tab w:val="clear" w:pos="1588"/>
        <w:tab w:val="clear" w:pos="1985"/>
        <w:tab w:val="left" w:pos="1134"/>
        <w:tab w:val="left" w:pos="1871"/>
        <w:tab w:val="left" w:pos="2268"/>
      </w:tabs>
      <w:spacing w:before="560" w:after="120"/>
      <w:jc w:val="center"/>
    </w:pPr>
    <w:rPr>
      <w:caps/>
      <w:lang w:val="en-GB"/>
    </w:rPr>
  </w:style>
  <w:style w:type="paragraph" w:customStyle="1" w:styleId="Figure-l">
    <w:name w:val="Figure-l"/>
    <w:basedOn w:val="Normal"/>
    <w:rsid w:val="006E42D1"/>
  </w:style>
  <w:style w:type="paragraph" w:customStyle="1" w:styleId="Tabletitle">
    <w:name w:val="Table_title"/>
    <w:basedOn w:val="Normal"/>
    <w:next w:val="Tabletext"/>
    <w:rsid w:val="00C23E57"/>
    <w:pPr>
      <w:keepNext/>
      <w:spacing w:before="0" w:after="113"/>
      <w:jc w:val="center"/>
    </w:pPr>
    <w:rPr>
      <w:rFonts w:asciiTheme="minorHAnsi" w:hAnsiTheme="minorHAnsi"/>
      <w:b/>
      <w:sz w:val="22"/>
      <w:lang w:val="en-GB"/>
    </w:rPr>
  </w:style>
  <w:style w:type="table" w:styleId="TableGrid">
    <w:name w:val="Table Grid"/>
    <w:basedOn w:val="TableNormal"/>
    <w:rsid w:val="00C23E57"/>
    <w:pPr>
      <w:tabs>
        <w:tab w:val="left" w:pos="1276"/>
      </w:tabs>
      <w:overflowPunct w:val="0"/>
      <w:autoSpaceDE w:val="0"/>
      <w:autoSpaceDN w:val="0"/>
      <w:adjustRightInd w:val="0"/>
      <w:spacing w:before="2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89812">
      <w:bodyDiv w:val="1"/>
      <w:marLeft w:val="0"/>
      <w:marRight w:val="0"/>
      <w:marTop w:val="0"/>
      <w:marBottom w:val="0"/>
      <w:divBdr>
        <w:top w:val="none" w:sz="0" w:space="0" w:color="auto"/>
        <w:left w:val="none" w:sz="0" w:space="0" w:color="auto"/>
        <w:bottom w:val="none" w:sz="0" w:space="0" w:color="auto"/>
        <w:right w:val="none" w:sz="0" w:space="0" w:color="auto"/>
      </w:divBdr>
    </w:div>
    <w:div w:id="519703117">
      <w:bodyDiv w:val="1"/>
      <w:marLeft w:val="0"/>
      <w:marRight w:val="0"/>
      <w:marTop w:val="0"/>
      <w:marBottom w:val="0"/>
      <w:divBdr>
        <w:top w:val="none" w:sz="0" w:space="0" w:color="auto"/>
        <w:left w:val="none" w:sz="0" w:space="0" w:color="auto"/>
        <w:bottom w:val="none" w:sz="0" w:space="0" w:color="auto"/>
        <w:right w:val="none" w:sz="0" w:space="0" w:color="auto"/>
      </w:divBdr>
    </w:div>
    <w:div w:id="524828325">
      <w:bodyDiv w:val="1"/>
      <w:marLeft w:val="0"/>
      <w:marRight w:val="0"/>
      <w:marTop w:val="0"/>
      <w:marBottom w:val="0"/>
      <w:divBdr>
        <w:top w:val="none" w:sz="0" w:space="0" w:color="auto"/>
        <w:left w:val="none" w:sz="0" w:space="0" w:color="auto"/>
        <w:bottom w:val="none" w:sz="0" w:space="0" w:color="auto"/>
        <w:right w:val="none" w:sz="0" w:space="0" w:color="auto"/>
      </w:divBdr>
    </w:div>
    <w:div w:id="529605322">
      <w:bodyDiv w:val="1"/>
      <w:marLeft w:val="0"/>
      <w:marRight w:val="0"/>
      <w:marTop w:val="0"/>
      <w:marBottom w:val="0"/>
      <w:divBdr>
        <w:top w:val="none" w:sz="0" w:space="0" w:color="auto"/>
        <w:left w:val="none" w:sz="0" w:space="0" w:color="auto"/>
        <w:bottom w:val="none" w:sz="0" w:space="0" w:color="auto"/>
        <w:right w:val="none" w:sz="0" w:space="0" w:color="auto"/>
      </w:divBdr>
    </w:div>
    <w:div w:id="714503037">
      <w:bodyDiv w:val="1"/>
      <w:marLeft w:val="0"/>
      <w:marRight w:val="0"/>
      <w:marTop w:val="0"/>
      <w:marBottom w:val="0"/>
      <w:divBdr>
        <w:top w:val="none" w:sz="0" w:space="0" w:color="auto"/>
        <w:left w:val="none" w:sz="0" w:space="0" w:color="auto"/>
        <w:bottom w:val="none" w:sz="0" w:space="0" w:color="auto"/>
        <w:right w:val="none" w:sz="0" w:space="0" w:color="auto"/>
      </w:divBdr>
    </w:div>
    <w:div w:id="718818184">
      <w:bodyDiv w:val="1"/>
      <w:marLeft w:val="0"/>
      <w:marRight w:val="0"/>
      <w:marTop w:val="0"/>
      <w:marBottom w:val="0"/>
      <w:divBdr>
        <w:top w:val="none" w:sz="0" w:space="0" w:color="auto"/>
        <w:left w:val="none" w:sz="0" w:space="0" w:color="auto"/>
        <w:bottom w:val="none" w:sz="0" w:space="0" w:color="auto"/>
        <w:right w:val="none" w:sz="0" w:space="0" w:color="auto"/>
      </w:divBdr>
    </w:div>
    <w:div w:id="736588963">
      <w:bodyDiv w:val="1"/>
      <w:marLeft w:val="0"/>
      <w:marRight w:val="0"/>
      <w:marTop w:val="0"/>
      <w:marBottom w:val="0"/>
      <w:divBdr>
        <w:top w:val="none" w:sz="0" w:space="0" w:color="auto"/>
        <w:left w:val="none" w:sz="0" w:space="0" w:color="auto"/>
        <w:bottom w:val="none" w:sz="0" w:space="0" w:color="auto"/>
        <w:right w:val="none" w:sz="0" w:space="0" w:color="auto"/>
      </w:divBdr>
    </w:div>
    <w:div w:id="1015689002">
      <w:bodyDiv w:val="1"/>
      <w:marLeft w:val="0"/>
      <w:marRight w:val="0"/>
      <w:marTop w:val="0"/>
      <w:marBottom w:val="0"/>
      <w:divBdr>
        <w:top w:val="none" w:sz="0" w:space="0" w:color="auto"/>
        <w:left w:val="none" w:sz="0" w:space="0" w:color="auto"/>
        <w:bottom w:val="none" w:sz="0" w:space="0" w:color="auto"/>
        <w:right w:val="none" w:sz="0" w:space="0" w:color="auto"/>
      </w:divBdr>
    </w:div>
    <w:div w:id="1074932257">
      <w:bodyDiv w:val="1"/>
      <w:marLeft w:val="0"/>
      <w:marRight w:val="0"/>
      <w:marTop w:val="0"/>
      <w:marBottom w:val="0"/>
      <w:divBdr>
        <w:top w:val="none" w:sz="0" w:space="0" w:color="auto"/>
        <w:left w:val="none" w:sz="0" w:space="0" w:color="auto"/>
        <w:bottom w:val="none" w:sz="0" w:space="0" w:color="auto"/>
        <w:right w:val="none" w:sz="0" w:space="0" w:color="auto"/>
      </w:divBdr>
    </w:div>
    <w:div w:id="1183671270">
      <w:bodyDiv w:val="1"/>
      <w:marLeft w:val="0"/>
      <w:marRight w:val="0"/>
      <w:marTop w:val="0"/>
      <w:marBottom w:val="0"/>
      <w:divBdr>
        <w:top w:val="none" w:sz="0" w:space="0" w:color="auto"/>
        <w:left w:val="none" w:sz="0" w:space="0" w:color="auto"/>
        <w:bottom w:val="none" w:sz="0" w:space="0" w:color="auto"/>
        <w:right w:val="none" w:sz="0" w:space="0" w:color="auto"/>
      </w:divBdr>
    </w:div>
    <w:div w:id="1345084340">
      <w:bodyDiv w:val="1"/>
      <w:marLeft w:val="0"/>
      <w:marRight w:val="0"/>
      <w:marTop w:val="0"/>
      <w:marBottom w:val="0"/>
      <w:divBdr>
        <w:top w:val="none" w:sz="0" w:space="0" w:color="auto"/>
        <w:left w:val="none" w:sz="0" w:space="0" w:color="auto"/>
        <w:bottom w:val="none" w:sz="0" w:space="0" w:color="auto"/>
        <w:right w:val="none" w:sz="0" w:space="0" w:color="auto"/>
      </w:divBdr>
    </w:div>
    <w:div w:id="1475374343">
      <w:bodyDiv w:val="1"/>
      <w:marLeft w:val="0"/>
      <w:marRight w:val="0"/>
      <w:marTop w:val="0"/>
      <w:marBottom w:val="0"/>
      <w:divBdr>
        <w:top w:val="none" w:sz="0" w:space="0" w:color="auto"/>
        <w:left w:val="none" w:sz="0" w:space="0" w:color="auto"/>
        <w:bottom w:val="none" w:sz="0" w:space="0" w:color="auto"/>
        <w:right w:val="none" w:sz="0" w:space="0" w:color="auto"/>
      </w:divBdr>
    </w:div>
    <w:div w:id="1559902843">
      <w:bodyDiv w:val="1"/>
      <w:marLeft w:val="0"/>
      <w:marRight w:val="0"/>
      <w:marTop w:val="0"/>
      <w:marBottom w:val="0"/>
      <w:divBdr>
        <w:top w:val="none" w:sz="0" w:space="0" w:color="auto"/>
        <w:left w:val="none" w:sz="0" w:space="0" w:color="auto"/>
        <w:bottom w:val="none" w:sz="0" w:space="0" w:color="auto"/>
        <w:right w:val="none" w:sz="0" w:space="0" w:color="auto"/>
      </w:divBdr>
    </w:div>
    <w:div w:id="1569878022">
      <w:bodyDiv w:val="1"/>
      <w:marLeft w:val="0"/>
      <w:marRight w:val="0"/>
      <w:marTop w:val="0"/>
      <w:marBottom w:val="0"/>
      <w:divBdr>
        <w:top w:val="none" w:sz="0" w:space="0" w:color="auto"/>
        <w:left w:val="none" w:sz="0" w:space="0" w:color="auto"/>
        <w:bottom w:val="none" w:sz="0" w:space="0" w:color="auto"/>
        <w:right w:val="none" w:sz="0" w:space="0" w:color="auto"/>
      </w:divBdr>
    </w:div>
    <w:div w:id="1616785019">
      <w:bodyDiv w:val="1"/>
      <w:marLeft w:val="0"/>
      <w:marRight w:val="0"/>
      <w:marTop w:val="0"/>
      <w:marBottom w:val="0"/>
      <w:divBdr>
        <w:top w:val="none" w:sz="0" w:space="0" w:color="auto"/>
        <w:left w:val="none" w:sz="0" w:space="0" w:color="auto"/>
        <w:bottom w:val="none" w:sz="0" w:space="0" w:color="auto"/>
        <w:right w:val="none" w:sz="0" w:space="0" w:color="auto"/>
      </w:divBdr>
    </w:div>
    <w:div w:id="1732540869">
      <w:bodyDiv w:val="1"/>
      <w:marLeft w:val="0"/>
      <w:marRight w:val="0"/>
      <w:marTop w:val="0"/>
      <w:marBottom w:val="0"/>
      <w:divBdr>
        <w:top w:val="none" w:sz="0" w:space="0" w:color="auto"/>
        <w:left w:val="none" w:sz="0" w:space="0" w:color="auto"/>
        <w:bottom w:val="none" w:sz="0" w:space="0" w:color="auto"/>
        <w:right w:val="none" w:sz="0" w:space="0" w:color="auto"/>
      </w:divBdr>
    </w:div>
    <w:div w:id="1914924305">
      <w:bodyDiv w:val="1"/>
      <w:marLeft w:val="0"/>
      <w:marRight w:val="0"/>
      <w:marTop w:val="0"/>
      <w:marBottom w:val="0"/>
      <w:divBdr>
        <w:top w:val="none" w:sz="0" w:space="0" w:color="auto"/>
        <w:left w:val="none" w:sz="0" w:space="0" w:color="auto"/>
        <w:bottom w:val="none" w:sz="0" w:space="0" w:color="auto"/>
        <w:right w:val="none" w:sz="0" w:space="0" w:color="auto"/>
      </w:divBdr>
    </w:div>
    <w:div w:id="207653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www.itu.int/md/R00-CA-CIR-0265/en" TargetMode="External"/><Relationship Id="rId42" Type="http://schemas.openxmlformats.org/officeDocument/2006/relationships/hyperlink" Target="https://www.itu.int/bestofwrs/fr/" TargetMode="External"/><Relationship Id="rId47" Type="http://schemas.openxmlformats.org/officeDocument/2006/relationships/hyperlink" Target="https://www.itu.int/fr/mediacentre/Pages/MC-2022-09-12-Europe-efficient-spectrum.aspx" TargetMode="External"/><Relationship Id="rId63" Type="http://schemas.openxmlformats.org/officeDocument/2006/relationships/hyperlink" Target="https://www.itu.int/fr/mediacentre/backgrounders/Pages/Earth-stations-in-motion-satellite-issues.aspx" TargetMode="External"/><Relationship Id="rId68" Type="http://schemas.openxmlformats.org/officeDocument/2006/relationships/hyperlink" Target="https://www.itu.int/hub/publication/s-gen-news-2022-1/" TargetMode="External"/><Relationship Id="rId84" Type="http://schemas.openxmlformats.org/officeDocument/2006/relationships/hyperlink" Target="https://www.itu.int/hub/2022/09/itu-space-explorer-satellite-data-dashboards/" TargetMode="External"/><Relationship Id="rId89" Type="http://schemas.openxmlformats.org/officeDocument/2006/relationships/hyperlink" Target="https://www.itu.int/hub/2023/01/global-spectrum-harmonization-wrc-process/" TargetMode="External"/><Relationship Id="rId112" Type="http://schemas.openxmlformats.org/officeDocument/2006/relationships/theme" Target="theme/theme1.xml"/><Relationship Id="rId16" Type="http://schemas.openxmlformats.org/officeDocument/2006/relationships/hyperlink" Target="https://www.itu.int/en/ITU-R/conferences/wrc/2023/irwsp/Pages/default.aspx" TargetMode="External"/><Relationship Id="rId107" Type="http://schemas.openxmlformats.org/officeDocument/2006/relationships/footer" Target="footer6.xml"/><Relationship Id="rId11" Type="http://schemas.openxmlformats.org/officeDocument/2006/relationships/hyperlink" Target="https://www.itu.int/fr/ITU-R/conferences/RRB/Pages/default.aspx" TargetMode="External"/><Relationship Id="rId32" Type="http://schemas.openxmlformats.org/officeDocument/2006/relationships/hyperlink" Target="https://www.infrastructure.gov.au/" TargetMode="External"/><Relationship Id="rId37" Type="http://schemas.openxmlformats.org/officeDocument/2006/relationships/image" Target="media/image3.png"/><Relationship Id="rId53" Type="http://schemas.openxmlformats.org/officeDocument/2006/relationships/hyperlink" Target="https://www.itu.int/en/ITU-R/Documents/ITU-R-FAQ-UTC.pdf" TargetMode="External"/><Relationship Id="rId58" Type="http://schemas.openxmlformats.org/officeDocument/2006/relationships/hyperlink" Target="https://www.itu.int/fr/mediacentre/backgrounders/Pages/5G-EMF-health.aspx" TargetMode="External"/><Relationship Id="rId74" Type="http://schemas.openxmlformats.org/officeDocument/2006/relationships/hyperlink" Target="https://www.itu.int/hub/2022/02/itu-space-interference-free-satellite-orbits-leo/" TargetMode="External"/><Relationship Id="rId79" Type="http://schemas.openxmlformats.org/officeDocument/2006/relationships/hyperlink" Target="https://www.itu.int/hub/2022/05/moon-based-radio-astronomy-spectrum/" TargetMode="External"/><Relationship Id="rId102" Type="http://schemas.openxmlformats.org/officeDocument/2006/relationships/hyperlink" Target="https://www.itu.int/hub/2022/11/wrs-radio-regulations-software-tools/" TargetMode="External"/><Relationship Id="rId5" Type="http://schemas.openxmlformats.org/officeDocument/2006/relationships/webSettings" Target="webSettings.xml"/><Relationship Id="rId90" Type="http://schemas.openxmlformats.org/officeDocument/2006/relationships/hyperlink" Target="https://www.itu.int/hub/2023/01/wrs-22-the-quest-for-a-gender-balanced-radiocommunication-future/" TargetMode="External"/><Relationship Id="rId95" Type="http://schemas.openxmlformats.org/officeDocument/2006/relationships/hyperlink" Target="https://www.itu.int/hub/2022/12/wrs-22-trends-in-maritime-communications/" TargetMode="External"/><Relationship Id="rId22" Type="http://schemas.openxmlformats.org/officeDocument/2006/relationships/hyperlink" Target="https://www.itu.int/en/ITU-R/space/support/Pages/GuideforNotificationwithSpacecap.aspx" TargetMode="External"/><Relationship Id="rId27" Type="http://schemas.openxmlformats.org/officeDocument/2006/relationships/footer" Target="footer1.xml"/><Relationship Id="rId43" Type="http://schemas.openxmlformats.org/officeDocument/2006/relationships/hyperlink" Target="https://www.itu.int/now4wrc23/fr/" TargetMode="External"/><Relationship Id="rId48" Type="http://schemas.openxmlformats.org/officeDocument/2006/relationships/hyperlink" Target="https://www.itu.int/fr/mediacentre/Pages/MC-2022-10-31-WRS.aspx" TargetMode="External"/><Relationship Id="rId64" Type="http://schemas.openxmlformats.org/officeDocument/2006/relationships/hyperlink" Target="https://www.itu.int/fr/mediacentre/backgrounders/Pages/Non-geostationary-satellite-systems.aspx" TargetMode="External"/><Relationship Id="rId69" Type="http://schemas.openxmlformats.org/officeDocument/2006/relationships/hyperlink" Target="https://www.itu.int/hub/2022/02/fm-radio-expansion-africa-ge84-plan/" TargetMode="External"/><Relationship Id="rId80" Type="http://schemas.openxmlformats.org/officeDocument/2006/relationships/hyperlink" Target="https://www.itu.int/hub/2022/06/4u1itu-ham-radio-amateur-station-60-years/" TargetMode="External"/><Relationship Id="rId85" Type="http://schemas.openxmlformats.org/officeDocument/2006/relationships/hyperlink" Target="https://www.itu.int/hub/2022/09/world-maritime-day-greener-shipping-regulations-technology/" TargetMode="External"/><Relationship Id="rId12" Type="http://schemas.openxmlformats.org/officeDocument/2006/relationships/hyperlink" Target="https://www.itu.int/fr/council/2021/Pages/default.aspx" TargetMode="External"/><Relationship Id="rId17" Type="http://schemas.openxmlformats.org/officeDocument/2006/relationships/hyperlink" Target="https://www.itu.int/wrc-23/fr/" TargetMode="External"/><Relationship Id="rId33" Type="http://schemas.openxmlformats.org/officeDocument/2006/relationships/footer" Target="footer4.xml"/><Relationship Id="rId38" Type="http://schemas.openxmlformats.org/officeDocument/2006/relationships/image" Target="media/image4.png"/><Relationship Id="rId59" Type="http://schemas.openxmlformats.org/officeDocument/2006/relationships/hyperlink" Target="https://www.itu.int/fr/mediacentre/backgrounders/Pages/High-altitude-platform-systems.aspx" TargetMode="External"/><Relationship Id="rId103" Type="http://schemas.openxmlformats.org/officeDocument/2006/relationships/hyperlink" Target="https://www.itu.int/md/R20-RAG-C-0060/en" TargetMode="External"/><Relationship Id="rId108" Type="http://schemas.openxmlformats.org/officeDocument/2006/relationships/footer" Target="footer7.xml"/><Relationship Id="rId54" Type="http://schemas.openxmlformats.org/officeDocument/2006/relationships/hyperlink" Target="https://www.itu.int/en/ITU-R/Documents/ITU-R-FAQ-IMT.pdf" TargetMode="External"/><Relationship Id="rId70" Type="http://schemas.openxmlformats.org/officeDocument/2006/relationships/hyperlink" Target="https://www.itu.int/hub/2022/02/radio-broadcast-technical-standards-itu-r/" TargetMode="External"/><Relationship Id="rId75" Type="http://schemas.openxmlformats.org/officeDocument/2006/relationships/hyperlink" Target="https://www.itu.int/hub/2022/02/mobile-broadband-standards-imt-5g/" TargetMode="External"/><Relationship Id="rId91" Type="http://schemas.openxmlformats.org/officeDocument/2006/relationships/hyperlink" Target="https://www.itu.int/hub/2023/01/satellite-regulation-leo-geo-wrs/" TargetMode="External"/><Relationship Id="rId96" Type="http://schemas.openxmlformats.org/officeDocument/2006/relationships/hyperlink" Target="https://www.itu.int/hub/2022/11/broadcasting-trends-tv-radio-w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go/wrc-23-regional" TargetMode="External"/><Relationship Id="rId23" Type="http://schemas.openxmlformats.org/officeDocument/2006/relationships/hyperlink" Target="https://www.itu.int/hub/publication/r-reg-rr-2020/" TargetMode="External"/><Relationship Id="rId28" Type="http://schemas.openxmlformats.org/officeDocument/2006/relationships/footer" Target="footer2.xml"/><Relationship Id="rId36" Type="http://schemas.openxmlformats.org/officeDocument/2006/relationships/image" Target="media/image2.png"/><Relationship Id="rId49" Type="http://schemas.openxmlformats.org/officeDocument/2006/relationships/hyperlink" Target="https://www.itu.int/fr/mediacentre/Pages/MC-2022-11-16-Space-air-based-networks-to-reach-unconnected-people.aspx" TargetMode="External"/><Relationship Id="rId57" Type="http://schemas.openxmlformats.org/officeDocument/2006/relationships/hyperlink" Target="https://www.itu.int/fr/mediacentre/backgrounders/Pages/5G-fifth-generation-of-mobile-technologies.aspx" TargetMode="External"/><Relationship Id="rId106" Type="http://schemas.openxmlformats.org/officeDocument/2006/relationships/header" Target="header5.xml"/><Relationship Id="rId10" Type="http://schemas.openxmlformats.org/officeDocument/2006/relationships/hyperlink" Target="https://www.itu.int/fr/council/Pages/overview.aspx" TargetMode="External"/><Relationship Id="rId31" Type="http://schemas.openxmlformats.org/officeDocument/2006/relationships/hyperlink" Target="https://www.pita.org.fj/" TargetMode="External"/><Relationship Id="rId44" Type="http://schemas.openxmlformats.org/officeDocument/2006/relationships/hyperlink" Target="https://www.itu.int/wrc-23/fr/booklet-wrc-23/" TargetMode="External"/><Relationship Id="rId52" Type="http://schemas.openxmlformats.org/officeDocument/2006/relationships/hyperlink" Target="https://www.itu.int/fr/mediacentre/Pages/PR-2022-09-30-ITU-WRC-2023.aspx" TargetMode="External"/><Relationship Id="rId60" Type="http://schemas.openxmlformats.org/officeDocument/2006/relationships/hyperlink" Target="https://www.itu.int/fr/mediacentre/backgrounders/Pages/Radiocommunications-for-keeping-ships-and-people-safe-at-sea.aspx" TargetMode="External"/><Relationship Id="rId65" Type="http://schemas.openxmlformats.org/officeDocument/2006/relationships/hyperlink" Target="https://www.itu.int/en/mediacentre/backgrounders/Pages/non-GSO-satellite-systems-with-short-duration-missions.aspx" TargetMode="External"/><Relationship Id="rId73" Type="http://schemas.openxmlformats.org/officeDocument/2006/relationships/hyperlink" Target="https://news.un.org/en/story/2022/02/1111882" TargetMode="External"/><Relationship Id="rId78" Type="http://schemas.openxmlformats.org/officeDocument/2006/relationships/hyperlink" Target="https://www.itu.int/hub/2022/04/how-to-become-a-radio-ham-in-the-digital-era/" TargetMode="External"/><Relationship Id="rId81" Type="http://schemas.openxmlformats.org/officeDocument/2006/relationships/hyperlink" Target="https://www.itu.int/hub/2022/06/seafarer-day-itu-maritime-publications/" TargetMode="External"/><Relationship Id="rId86" Type="http://schemas.openxmlformats.org/officeDocument/2006/relationships/hyperlink" Target="https://www.itu.int/hub/2022/10/geospatial-data-reveal-a-changing-earth/" TargetMode="External"/><Relationship Id="rId94" Type="http://schemas.openxmlformats.org/officeDocument/2006/relationships/hyperlink" Target="https://www.itu.int/hub/2022/12/wrs-22-mobile-broadband-trends-from-3g-to-6g/" TargetMode="External"/><Relationship Id="rId99" Type="http://schemas.openxmlformats.org/officeDocument/2006/relationships/hyperlink" Target="https://www.itu.int/itu-r/space/apps/public/spaceexplorer/networks-explorer" TargetMode="External"/><Relationship Id="rId101" Type="http://schemas.openxmlformats.org/officeDocument/2006/relationships/hyperlink" Target="https://www.itu.int/hub/publication/r-sp-lm-v-2022/" TargetMode="External"/><Relationship Id="rId4" Type="http://schemas.openxmlformats.org/officeDocument/2006/relationships/settings" Target="settings.xml"/><Relationship Id="rId9" Type="http://schemas.openxmlformats.org/officeDocument/2006/relationships/hyperlink" Target="https://www.itu.int/md/R00-CA-CIR-0264/en" TargetMode="External"/><Relationship Id="rId13" Type="http://schemas.openxmlformats.org/officeDocument/2006/relationships/hyperlink" Target="https://www.itu.int/md/S22-CL-C-0016/en" TargetMode="External"/><Relationship Id="rId18" Type="http://schemas.openxmlformats.org/officeDocument/2006/relationships/hyperlink" Target="https://www.itu.int/wrc-23/fr/booklet-wrc-23/" TargetMode="External"/><Relationship Id="rId39" Type="http://schemas.openxmlformats.org/officeDocument/2006/relationships/hyperlink" Target="mailto:brweb@itu.int" TargetMode="External"/><Relationship Id="rId109" Type="http://schemas.openxmlformats.org/officeDocument/2006/relationships/header" Target="header6.xml"/><Relationship Id="rId34" Type="http://schemas.openxmlformats.org/officeDocument/2006/relationships/header" Target="header3.xml"/><Relationship Id="rId50" Type="http://schemas.openxmlformats.org/officeDocument/2006/relationships/hyperlink" Target="https://www.itu.int/fr/mediacentre/Pages/MC-2022-12-7-sharing-spectrum-agenda-ahead-of-WRC-2023.aspx" TargetMode="External"/><Relationship Id="rId55" Type="http://schemas.openxmlformats.org/officeDocument/2006/relationships/hyperlink" Target="https://www.itu.int/en/ITU-R/Documents/ITU-R-FAQ-DD-DSO.pdf" TargetMode="External"/><Relationship Id="rId76" Type="http://schemas.openxmlformats.org/officeDocument/2006/relationships/hyperlink" Target="https://www.itu.int/hub/2022/03/spectrum-key-for-early-warning-systems/" TargetMode="External"/><Relationship Id="rId97" Type="http://schemas.openxmlformats.org/officeDocument/2006/relationships/hyperlink" Target="https://www.itu.int/hub/2022/11/wrs-radio-regulations-software-tools/" TargetMode="External"/><Relationship Id="rId104" Type="http://schemas.openxmlformats.org/officeDocument/2006/relationships/hyperlink" Target="https://www.itu.int/md/R00-CA-CIR-0260/en" TargetMode="External"/><Relationship Id="rId7" Type="http://schemas.openxmlformats.org/officeDocument/2006/relationships/endnotes" Target="endnotes.xml"/><Relationship Id="rId71" Type="http://schemas.openxmlformats.org/officeDocument/2006/relationships/hyperlink" Target="https://www.itu.int/hub/2022/02/world-radio-day-trust-accessibility/" TargetMode="External"/><Relationship Id="rId92" Type="http://schemas.openxmlformats.org/officeDocument/2006/relationships/hyperlink" Target="https://www.itu.int/hub/2022/12/wrs-22-how-itu-r-study-groups-work/" TargetMode="External"/><Relationship Id="rId2" Type="http://schemas.openxmlformats.org/officeDocument/2006/relationships/numbering" Target="numbering.xml"/><Relationship Id="rId29" Type="http://schemas.openxmlformats.org/officeDocument/2006/relationships/footer" Target="footer3.xml"/><Relationship Id="rId24" Type="http://schemas.openxmlformats.org/officeDocument/2006/relationships/hyperlink" Target="https://www.itu.int/hub/publication/r-reg-rr-2020/" TargetMode="External"/><Relationship Id="rId40" Type="http://schemas.openxmlformats.org/officeDocument/2006/relationships/hyperlink" Target="https://www.itu.int/wrc-23/fr/" TargetMode="External"/><Relationship Id="rId45" Type="http://schemas.openxmlformats.org/officeDocument/2006/relationships/hyperlink" Target="https://www.itu.int/fr/mediacentre/Pages/MC-2022-01-31-FM-Frequencies-Africa.aspx" TargetMode="External"/><Relationship Id="rId66" Type="http://schemas.openxmlformats.org/officeDocument/2006/relationships/hyperlink" Target="https://www.itu.int/en/mediacentre/backgrounders/Pages/non-GSO-satellite-systems-with-short-duration-missions.aspx" TargetMode="External"/><Relationship Id="rId87" Type="http://schemas.openxmlformats.org/officeDocument/2006/relationships/hyperlink" Target="https://www.itu.int/hub/2022/10/space-sustainability-synergies/" TargetMode="External"/><Relationship Id="rId110" Type="http://schemas.openxmlformats.org/officeDocument/2006/relationships/footer" Target="footer8.xml"/><Relationship Id="rId61" Type="http://schemas.openxmlformats.org/officeDocument/2006/relationships/hyperlink" Target="https://www.itu.int/fr/mediacentre/backgrounders/Pages/itu-study-groups.aspx" TargetMode="External"/><Relationship Id="rId82" Type="http://schemas.openxmlformats.org/officeDocument/2006/relationships/hyperlink" Target="https://www.itu.int/hub/2022/07/space-monitoring-facilities-oman-radiocommunication/" TargetMode="External"/><Relationship Id="rId19" Type="http://schemas.openxmlformats.org/officeDocument/2006/relationships/hyperlink" Target="https://www.itu.int/wrc-23/newsroom/wrc-news/" TargetMode="External"/><Relationship Id="rId14" Type="http://schemas.openxmlformats.org/officeDocument/2006/relationships/hyperlink" Target="http://www.itu.int/go/ITU-R/CPM" TargetMode="External"/><Relationship Id="rId30" Type="http://schemas.openxmlformats.org/officeDocument/2006/relationships/hyperlink" Target="https://www.fiji.gov.fj/Home" TargetMode="External"/><Relationship Id="rId35" Type="http://schemas.openxmlformats.org/officeDocument/2006/relationships/footer" Target="footer5.xml"/><Relationship Id="rId56" Type="http://schemas.openxmlformats.org/officeDocument/2006/relationships/hyperlink" Target="https://www.itu.int/en/ITU-R/terrestrial/Pages/by-categories-faq.aspx?maincategorizedby=1" TargetMode="External"/><Relationship Id="rId77" Type="http://schemas.openxmlformats.org/officeDocument/2006/relationships/hyperlink" Target="https://www.itu.int/hub/2022/04/young-radio-amateurs-philipp-springer-yota/" TargetMode="External"/><Relationship Id="rId100" Type="http://schemas.openxmlformats.org/officeDocument/2006/relationships/hyperlink" Target="https://www.itu.int/wrc-23/fr/booklet-wrc-23/" TargetMode="External"/><Relationship Id="rId105"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https://www.itu.int/fr/mediacentre/Pages/PR-2022-02-24-5G-Standards.aspx" TargetMode="External"/><Relationship Id="rId72" Type="http://schemas.openxmlformats.org/officeDocument/2006/relationships/hyperlink" Target="https://soundcloud.com/ituproduction/itu-technologized-interview-with-mario-maniewicz-director-itu-radiocommunication-bureau-1" TargetMode="External"/><Relationship Id="rId93" Type="http://schemas.openxmlformats.org/officeDocument/2006/relationships/hyperlink" Target="https://www.itu.int/hub/2022/12/taking-stock-of-terrestrial-services/" TargetMode="External"/><Relationship Id="rId98" Type="http://schemas.openxmlformats.org/officeDocument/2006/relationships/hyperlink" Target="https://www.itu.int/hub/2022/02/fm-radio-expansion-africa-ge84-plan/" TargetMode="External"/><Relationship Id="rId3" Type="http://schemas.openxmlformats.org/officeDocument/2006/relationships/styles" Target="styles.xml"/><Relationship Id="rId25" Type="http://schemas.openxmlformats.org/officeDocument/2006/relationships/header" Target="header1.xml"/><Relationship Id="rId46" Type="http://schemas.openxmlformats.org/officeDocument/2006/relationships/hyperlink" Target="https://www.itu.int/fr/mediacentre/Pages/MC-2022-04-04-Arab-States-WRC-19-outcomes-.aspx" TargetMode="External"/><Relationship Id="rId67" Type="http://schemas.openxmlformats.org/officeDocument/2006/relationships/hyperlink" Target="https://www.itu.int/fr/mediacentre/backgrounders/Pages/Regulation-of-Satellite-Systems.aspx" TargetMode="External"/><Relationship Id="rId20" Type="http://schemas.openxmlformats.org/officeDocument/2006/relationships/hyperlink" Target="https://www.itu.int/md/R00-CACE-CIR-1050/en" TargetMode="External"/><Relationship Id="rId41" Type="http://schemas.openxmlformats.org/officeDocument/2006/relationships/hyperlink" Target="https://www.itu.int/ra-23/fr/" TargetMode="External"/><Relationship Id="rId62" Type="http://schemas.openxmlformats.org/officeDocument/2006/relationships/hyperlink" Target="https://www.itu.int/fr/mediacentre/backgrounders/Pages/itu-r-managing-the-radio-frequency-spectrum-for-the-world.aspx" TargetMode="External"/><Relationship Id="rId83" Type="http://schemas.openxmlformats.org/officeDocument/2006/relationships/hyperlink" Target="https://www.itu.int/hub/2022/08/warning-harmful-interference-rnss/" TargetMode="External"/><Relationship Id="rId88" Type="http://schemas.openxmlformats.org/officeDocument/2006/relationships/hyperlink" Target="https://www.itu.int/hub/2022/11/world-tv-day-television-emergency-broadcasting/"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1902-8B86-45C2-95FE-1D59C428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38</Pages>
  <Words>16018</Words>
  <Characters>88101</Characters>
  <Application>Microsoft Office Word</Application>
  <DocSecurity>0</DocSecurity>
  <Lines>734</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À LA TRENTIÈME RÉUNION DU GROUPE CONSULTATIF DES RADIOCOMMUNICATIONS</vt:lpstr>
      <vt:lpstr>RAPPORT À LA TRENTIÈME RÉUNION DU GROUPE CONSULTATIF DES RADIOCOMMUNICATIONS</vt:lpstr>
    </vt:vector>
  </TitlesOfParts>
  <Manager>General Secretariat - Pool</Manager>
  <Company>International Telecommunication Union (ITU)</Company>
  <LinksUpToDate>false</LinksUpToDate>
  <CharactersWithSpaces>103912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TRENTIÈME RÉUNION DU GROUPE CONSULTATIF DES RADIOCOMMUNICATIONS</dc:title>
  <dc:subject>GROUPE CONSULTATIF DES RADIOCOMMUNICATIONS</dc:subject>
  <dc:creator>Directeur du Bureau des radiocommunications</dc:creator>
  <cp:keywords>RAG03-1</cp:keywords>
  <dc:description>Document RAG/58-F  For: _x000d_Document date: 22 mars 2023_x000d_Saved by ITU51014352 at 11:03:10 on 30.03.2023</dc:description>
  <cp:lastModifiedBy>French</cp:lastModifiedBy>
  <cp:revision>10</cp:revision>
  <cp:lastPrinted>2023-03-24T15:18:00Z</cp:lastPrinted>
  <dcterms:created xsi:type="dcterms:W3CDTF">2023-04-26T06:44:00Z</dcterms:created>
  <dcterms:modified xsi:type="dcterms:W3CDTF">2023-04-26T10:50:00Z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RAG/58-F</vt:lpwstr>
  </property>
  <property fmtid="{D5CDD505-2E9C-101B-9397-08002B2CF9AE}" pid="3" name="Docdate">
    <vt:lpwstr>22 mars 2023</vt:lpwstr>
  </property>
  <property fmtid="{D5CDD505-2E9C-101B-9397-08002B2CF9AE}" pid="4" name="Docorlang">
    <vt:lpwstr>Original: anglais</vt:lpwstr>
  </property>
  <property fmtid="{D5CDD505-2E9C-101B-9397-08002B2CF9AE}" pid="5" name="Docauthor">
    <vt:lpwstr>Directeur du Bureau des radiocommunications</vt:lpwstr>
  </property>
</Properties>
</file>