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515348" w14:paraId="44E53422" w14:textId="77777777" w:rsidTr="005A715D">
        <w:trPr>
          <w:cantSplit/>
        </w:trPr>
        <w:tc>
          <w:tcPr>
            <w:tcW w:w="6772" w:type="dxa"/>
            <w:vAlign w:val="center"/>
          </w:tcPr>
          <w:p w14:paraId="7D5FFE73" w14:textId="77777777" w:rsidR="0057336B" w:rsidRPr="00515348" w:rsidRDefault="0057336B" w:rsidP="005A715D">
            <w:pPr>
              <w:shd w:val="solid" w:color="FFFFFF" w:fill="FFFFFF"/>
              <w:tabs>
                <w:tab w:val="left" w:pos="568"/>
              </w:tabs>
              <w:spacing w:before="360" w:after="240"/>
              <w:rPr>
                <w:b/>
                <w:caps/>
                <w:sz w:val="32"/>
              </w:rPr>
            </w:pPr>
            <w:r w:rsidRPr="00515348">
              <w:rPr>
                <w:rFonts w:ascii="Verdana" w:hAnsi="Verdana" w:cs="Times New Roman Bold"/>
                <w:b/>
                <w:sz w:val="26"/>
                <w:szCs w:val="26"/>
              </w:rPr>
              <w:t>Grupo Asesor de Radiocomunicaciones</w:t>
            </w:r>
            <w:r w:rsidRPr="00515348">
              <w:rPr>
                <w:b/>
                <w:caps/>
                <w:sz w:val="32"/>
              </w:rPr>
              <w:br/>
            </w:r>
          </w:p>
        </w:tc>
        <w:tc>
          <w:tcPr>
            <w:tcW w:w="3117" w:type="dxa"/>
            <w:vAlign w:val="center"/>
          </w:tcPr>
          <w:p w14:paraId="66B18FC4" w14:textId="77777777" w:rsidR="0057336B" w:rsidRPr="00515348" w:rsidRDefault="00AB4BAD" w:rsidP="005A715D">
            <w:pPr>
              <w:shd w:val="solid" w:color="FFFFFF" w:fill="FFFFFF"/>
              <w:spacing w:before="0"/>
            </w:pPr>
            <w:r w:rsidRPr="00515348">
              <w:rPr>
                <w:noProof/>
                <w:lang w:eastAsia="es-ES"/>
              </w:rPr>
              <w:drawing>
                <wp:inline distT="0" distB="0" distL="0" distR="0" wp14:anchorId="36590B98" wp14:editId="111E9160">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515348" w14:paraId="6E5285B6" w14:textId="77777777" w:rsidTr="005A715D">
        <w:trPr>
          <w:cantSplit/>
        </w:trPr>
        <w:tc>
          <w:tcPr>
            <w:tcW w:w="6772" w:type="dxa"/>
            <w:tcBorders>
              <w:bottom w:val="single" w:sz="12" w:space="0" w:color="auto"/>
            </w:tcBorders>
          </w:tcPr>
          <w:p w14:paraId="280DE5B4" w14:textId="77777777" w:rsidR="006E291F" w:rsidRPr="00515348" w:rsidRDefault="006E291F" w:rsidP="005A715D">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14:paraId="3831ECB4" w14:textId="77777777" w:rsidR="006E291F" w:rsidRPr="00515348" w:rsidRDefault="006E291F" w:rsidP="005A715D">
            <w:pPr>
              <w:shd w:val="solid" w:color="FFFFFF" w:fill="FFFFFF"/>
              <w:spacing w:before="0" w:after="48"/>
              <w:rPr>
                <w:sz w:val="22"/>
                <w:szCs w:val="22"/>
              </w:rPr>
            </w:pPr>
          </w:p>
        </w:tc>
      </w:tr>
      <w:tr w:rsidR="006E291F" w:rsidRPr="00515348" w14:paraId="2C7835F3" w14:textId="77777777" w:rsidTr="005A715D">
        <w:trPr>
          <w:cantSplit/>
        </w:trPr>
        <w:tc>
          <w:tcPr>
            <w:tcW w:w="6772" w:type="dxa"/>
            <w:tcBorders>
              <w:top w:val="single" w:sz="12" w:space="0" w:color="auto"/>
            </w:tcBorders>
          </w:tcPr>
          <w:p w14:paraId="6EE08C87" w14:textId="77777777" w:rsidR="006E291F" w:rsidRPr="00515348" w:rsidRDefault="006E291F" w:rsidP="005A715D">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14:paraId="377C0929" w14:textId="77777777" w:rsidR="006E291F" w:rsidRPr="00515348" w:rsidRDefault="006E291F" w:rsidP="005A715D">
            <w:pPr>
              <w:shd w:val="solid" w:color="FFFFFF" w:fill="FFFFFF"/>
              <w:spacing w:before="0" w:after="48"/>
              <w:rPr>
                <w:rFonts w:ascii="Verdana" w:hAnsi="Verdana"/>
                <w:sz w:val="22"/>
                <w:szCs w:val="22"/>
              </w:rPr>
            </w:pPr>
          </w:p>
        </w:tc>
      </w:tr>
      <w:tr w:rsidR="005A715D" w:rsidRPr="00515348" w14:paraId="6E8BC8F6" w14:textId="77777777" w:rsidTr="005A715D">
        <w:trPr>
          <w:cantSplit/>
        </w:trPr>
        <w:tc>
          <w:tcPr>
            <w:tcW w:w="6772" w:type="dxa"/>
            <w:vMerge w:val="restart"/>
          </w:tcPr>
          <w:p w14:paraId="1ABA6CC4" w14:textId="77777777" w:rsidR="005A715D" w:rsidRPr="00515348" w:rsidRDefault="005A715D" w:rsidP="005A715D">
            <w:pPr>
              <w:shd w:val="solid" w:color="FFFFFF" w:fill="FFFFFF"/>
              <w:spacing w:after="240"/>
              <w:rPr>
                <w:sz w:val="20"/>
              </w:rPr>
            </w:pPr>
            <w:bookmarkStart w:id="0" w:name="dnum" w:colFirst="1" w:colLast="1"/>
          </w:p>
        </w:tc>
        <w:tc>
          <w:tcPr>
            <w:tcW w:w="3117" w:type="dxa"/>
          </w:tcPr>
          <w:p w14:paraId="7CEB6B99" w14:textId="063766D7" w:rsidR="005A715D" w:rsidRPr="00515348" w:rsidRDefault="005A715D" w:rsidP="008B221D">
            <w:pPr>
              <w:shd w:val="solid" w:color="FFFFFF" w:fill="FFFFFF"/>
              <w:spacing w:before="0"/>
              <w:rPr>
                <w:rFonts w:ascii="Verdana" w:hAnsi="Verdana"/>
                <w:sz w:val="20"/>
              </w:rPr>
            </w:pPr>
            <w:proofErr w:type="spellStart"/>
            <w:r w:rsidRPr="00515348">
              <w:rPr>
                <w:rFonts w:ascii="Verdana" w:hAnsi="Verdana"/>
                <w:b/>
                <w:bCs/>
                <w:sz w:val="20"/>
              </w:rPr>
              <w:t>Addéndum</w:t>
            </w:r>
            <w:proofErr w:type="spellEnd"/>
            <w:r w:rsidRPr="00515348">
              <w:rPr>
                <w:rFonts w:ascii="Verdana" w:hAnsi="Verdana"/>
                <w:b/>
                <w:bCs/>
                <w:sz w:val="20"/>
              </w:rPr>
              <w:t xml:space="preserve"> 1 al</w:t>
            </w:r>
            <w:r w:rsidRPr="00515348">
              <w:rPr>
                <w:rFonts w:ascii="Verdana" w:hAnsi="Verdana"/>
                <w:b/>
                <w:bCs/>
                <w:sz w:val="20"/>
              </w:rPr>
              <w:br/>
              <w:t xml:space="preserve">Documento </w:t>
            </w:r>
            <w:proofErr w:type="spellStart"/>
            <w:r w:rsidRPr="00515348">
              <w:rPr>
                <w:rFonts w:ascii="Verdana" w:hAnsi="Verdana"/>
                <w:b/>
                <w:bCs/>
                <w:sz w:val="20"/>
              </w:rPr>
              <w:t>RAG</w:t>
            </w:r>
            <w:proofErr w:type="spellEnd"/>
            <w:r w:rsidRPr="00515348">
              <w:rPr>
                <w:rFonts w:ascii="Verdana" w:hAnsi="Verdana"/>
                <w:b/>
                <w:bCs/>
                <w:sz w:val="20"/>
              </w:rPr>
              <w:t>/</w:t>
            </w:r>
            <w:r w:rsidR="008B221D" w:rsidRPr="00515348">
              <w:rPr>
                <w:rFonts w:ascii="Verdana" w:hAnsi="Verdana"/>
                <w:b/>
                <w:bCs/>
                <w:sz w:val="20"/>
              </w:rPr>
              <w:t>58</w:t>
            </w:r>
            <w:r w:rsidRPr="00515348">
              <w:rPr>
                <w:rFonts w:ascii="Verdana" w:hAnsi="Verdana"/>
                <w:b/>
                <w:bCs/>
                <w:sz w:val="20"/>
              </w:rPr>
              <w:t>-S</w:t>
            </w:r>
          </w:p>
        </w:tc>
      </w:tr>
      <w:tr w:rsidR="005A715D" w:rsidRPr="00515348" w14:paraId="445F290E" w14:textId="77777777" w:rsidTr="005A715D">
        <w:trPr>
          <w:cantSplit/>
        </w:trPr>
        <w:tc>
          <w:tcPr>
            <w:tcW w:w="6772" w:type="dxa"/>
            <w:vMerge/>
          </w:tcPr>
          <w:p w14:paraId="03A9734A" w14:textId="77777777" w:rsidR="005A715D" w:rsidRPr="00515348" w:rsidRDefault="005A715D" w:rsidP="005A715D">
            <w:pPr>
              <w:spacing w:before="60"/>
              <w:jc w:val="center"/>
              <w:rPr>
                <w:b/>
                <w:smallCaps/>
                <w:sz w:val="32"/>
              </w:rPr>
            </w:pPr>
            <w:bookmarkStart w:id="1" w:name="ddate" w:colFirst="1" w:colLast="1"/>
            <w:bookmarkEnd w:id="0"/>
          </w:p>
        </w:tc>
        <w:tc>
          <w:tcPr>
            <w:tcW w:w="3117" w:type="dxa"/>
          </w:tcPr>
          <w:p w14:paraId="16B8A358" w14:textId="3DC47546" w:rsidR="005A715D" w:rsidRPr="00515348" w:rsidRDefault="008B221D" w:rsidP="008B221D">
            <w:pPr>
              <w:shd w:val="solid" w:color="FFFFFF" w:fill="FFFFFF"/>
              <w:spacing w:before="0"/>
              <w:rPr>
                <w:rFonts w:ascii="Verdana" w:hAnsi="Verdana"/>
                <w:sz w:val="20"/>
              </w:rPr>
            </w:pPr>
            <w:r w:rsidRPr="00515348">
              <w:rPr>
                <w:rFonts w:ascii="Verdana" w:hAnsi="Verdana"/>
                <w:b/>
                <w:bCs/>
                <w:sz w:val="20"/>
              </w:rPr>
              <w:t>22</w:t>
            </w:r>
            <w:r w:rsidR="005A715D" w:rsidRPr="00515348">
              <w:rPr>
                <w:rFonts w:ascii="Verdana" w:hAnsi="Verdana"/>
                <w:b/>
                <w:bCs/>
                <w:sz w:val="20"/>
              </w:rPr>
              <w:t xml:space="preserve"> de marzo de 202</w:t>
            </w:r>
            <w:r w:rsidRPr="00515348">
              <w:rPr>
                <w:rFonts w:ascii="Verdana" w:hAnsi="Verdana"/>
                <w:b/>
                <w:bCs/>
                <w:sz w:val="20"/>
              </w:rPr>
              <w:t>3</w:t>
            </w:r>
          </w:p>
        </w:tc>
      </w:tr>
      <w:tr w:rsidR="005A715D" w:rsidRPr="00515348" w14:paraId="1FC8E75E" w14:textId="77777777" w:rsidTr="005A715D">
        <w:trPr>
          <w:cantSplit/>
        </w:trPr>
        <w:tc>
          <w:tcPr>
            <w:tcW w:w="6772" w:type="dxa"/>
            <w:vMerge/>
          </w:tcPr>
          <w:p w14:paraId="11B6DFDF" w14:textId="77777777" w:rsidR="005A715D" w:rsidRPr="00515348" w:rsidRDefault="005A715D" w:rsidP="005A715D">
            <w:pPr>
              <w:spacing w:before="60"/>
              <w:jc w:val="center"/>
              <w:rPr>
                <w:b/>
                <w:smallCaps/>
                <w:sz w:val="32"/>
              </w:rPr>
            </w:pPr>
            <w:bookmarkStart w:id="2" w:name="dorlang" w:colFirst="1" w:colLast="1"/>
            <w:bookmarkEnd w:id="1"/>
          </w:p>
        </w:tc>
        <w:tc>
          <w:tcPr>
            <w:tcW w:w="3117" w:type="dxa"/>
          </w:tcPr>
          <w:p w14:paraId="2FB72310" w14:textId="7DC35D4D" w:rsidR="005A715D" w:rsidRPr="00515348" w:rsidRDefault="005A715D" w:rsidP="005A715D">
            <w:pPr>
              <w:shd w:val="solid" w:color="FFFFFF" w:fill="FFFFFF"/>
              <w:spacing w:before="0" w:after="120"/>
              <w:rPr>
                <w:rFonts w:ascii="Verdana" w:hAnsi="Verdana"/>
                <w:sz w:val="20"/>
              </w:rPr>
            </w:pPr>
            <w:r w:rsidRPr="00515348">
              <w:rPr>
                <w:rFonts w:ascii="Verdana" w:hAnsi="Verdana"/>
                <w:b/>
                <w:bCs/>
                <w:sz w:val="20"/>
              </w:rPr>
              <w:t>Original: inglés</w:t>
            </w:r>
          </w:p>
        </w:tc>
      </w:tr>
      <w:tr w:rsidR="005A715D" w:rsidRPr="00515348" w14:paraId="12341F4E" w14:textId="77777777" w:rsidTr="008F0106">
        <w:trPr>
          <w:cantSplit/>
        </w:trPr>
        <w:tc>
          <w:tcPr>
            <w:tcW w:w="9889" w:type="dxa"/>
            <w:gridSpan w:val="2"/>
          </w:tcPr>
          <w:p w14:paraId="7960D0B8" w14:textId="7C27FE40" w:rsidR="005A715D" w:rsidRPr="00515348" w:rsidRDefault="005A715D" w:rsidP="005A715D">
            <w:pPr>
              <w:pStyle w:val="Source"/>
            </w:pPr>
            <w:bookmarkStart w:id="3" w:name="dsource" w:colFirst="0" w:colLast="0"/>
            <w:bookmarkEnd w:id="2"/>
            <w:r w:rsidRPr="00515348">
              <w:t>Director de la Oficina de Radiocomunicaciones</w:t>
            </w:r>
          </w:p>
        </w:tc>
      </w:tr>
      <w:tr w:rsidR="005A715D" w:rsidRPr="00515348" w14:paraId="76DA1EA1" w14:textId="77777777" w:rsidTr="008F0106">
        <w:trPr>
          <w:cantSplit/>
        </w:trPr>
        <w:tc>
          <w:tcPr>
            <w:tcW w:w="9889" w:type="dxa"/>
            <w:gridSpan w:val="2"/>
          </w:tcPr>
          <w:p w14:paraId="4453C8AF" w14:textId="5C1C1953" w:rsidR="005A715D" w:rsidRPr="00515348" w:rsidRDefault="005A715D" w:rsidP="005A715D">
            <w:pPr>
              <w:pStyle w:val="Title1"/>
            </w:pPr>
            <w:bookmarkStart w:id="4" w:name="dtitle1" w:colFirst="0" w:colLast="0"/>
            <w:bookmarkEnd w:id="3"/>
            <w:r w:rsidRPr="00515348">
              <w:t xml:space="preserve">INFORME A LA </w:t>
            </w:r>
            <w:r w:rsidR="00267E8B" w:rsidRPr="00515348">
              <w:t>TRIGÉSIMA</w:t>
            </w:r>
            <w:r w:rsidRPr="00515348">
              <w:t xml:space="preserve"> REUNIÓN DEL</w:t>
            </w:r>
            <w:r w:rsidRPr="00515348">
              <w:br/>
              <w:t>GRUPO ASESOR DE RADIOCOMUNICACIONES</w:t>
            </w:r>
          </w:p>
          <w:p w14:paraId="74A19B92" w14:textId="5D46CB83" w:rsidR="005A715D" w:rsidRPr="00515348" w:rsidRDefault="005A715D" w:rsidP="005A715D">
            <w:pPr>
              <w:pStyle w:val="Title1"/>
            </w:pPr>
            <w:r w:rsidRPr="00515348">
              <w:t>ACTIVIDADES DE LAS COMISIONES DE ESTUDIO</w:t>
            </w:r>
          </w:p>
        </w:tc>
      </w:tr>
      <w:tr w:rsidR="00357002" w:rsidRPr="00515348" w14:paraId="1222338E" w14:textId="77777777" w:rsidTr="008F0106">
        <w:trPr>
          <w:cantSplit/>
        </w:trPr>
        <w:tc>
          <w:tcPr>
            <w:tcW w:w="9889" w:type="dxa"/>
            <w:gridSpan w:val="2"/>
          </w:tcPr>
          <w:p w14:paraId="5CF3DAEA" w14:textId="77777777" w:rsidR="00357002" w:rsidRPr="00515348" w:rsidRDefault="00357002" w:rsidP="00357002">
            <w:pPr>
              <w:pStyle w:val="Title2"/>
            </w:pPr>
          </w:p>
        </w:tc>
      </w:tr>
    </w:tbl>
    <w:p w14:paraId="6581BCFC" w14:textId="40598EA6" w:rsidR="005A715D" w:rsidRPr="00515348" w:rsidRDefault="005A715D" w:rsidP="005A715D">
      <w:pPr>
        <w:pStyle w:val="Heading1"/>
      </w:pPr>
      <w:bookmarkStart w:id="5" w:name="_Toc445972779"/>
      <w:bookmarkEnd w:id="4"/>
      <w:r w:rsidRPr="00515348">
        <w:t>1</w:t>
      </w:r>
      <w:r w:rsidRPr="00515348">
        <w:tab/>
      </w:r>
      <w:bookmarkEnd w:id="5"/>
      <w:proofErr w:type="gramStart"/>
      <w:r w:rsidRPr="00515348">
        <w:t>Métodos</w:t>
      </w:r>
      <w:proofErr w:type="gramEnd"/>
      <w:r w:rsidRPr="00515348">
        <w:t xml:space="preserve"> de trabajo</w:t>
      </w:r>
    </w:p>
    <w:p w14:paraId="3D3C0A5B" w14:textId="256B273D" w:rsidR="005A715D" w:rsidRPr="00515348" w:rsidRDefault="00267E8B" w:rsidP="005A715D">
      <w:r w:rsidRPr="00515348">
        <w:t xml:space="preserve">Los métodos de trabajo para </w:t>
      </w:r>
      <w:r w:rsidR="005A715D" w:rsidRPr="00515348">
        <w:t xml:space="preserve">las Comisiones de Estudio (CE) y </w:t>
      </w:r>
      <w:r w:rsidRPr="00515348">
        <w:t xml:space="preserve">los Grupos de Trabajo (GT) </w:t>
      </w:r>
      <w:r w:rsidR="005A715D" w:rsidRPr="00515348">
        <w:t xml:space="preserve">se aplicaron </w:t>
      </w:r>
      <w:r w:rsidR="00A91557" w:rsidRPr="00515348">
        <w:t>de manera satisfactoria</w:t>
      </w:r>
      <w:r w:rsidR="005A715D" w:rsidRPr="00515348">
        <w:t xml:space="preserve"> de acuerdo con la Resolución UIT</w:t>
      </w:r>
      <w:r w:rsidRPr="00515348">
        <w:t>-</w:t>
      </w:r>
      <w:r w:rsidR="005A715D" w:rsidRPr="00515348">
        <w:t>R 1 y las Directrices asociadas para los métodos de trabajo, que se actualizaron en 2020.</w:t>
      </w:r>
    </w:p>
    <w:p w14:paraId="436613BC" w14:textId="77777777" w:rsidR="005A715D" w:rsidRPr="00515348" w:rsidRDefault="005A715D" w:rsidP="005A715D">
      <w:pPr>
        <w:pStyle w:val="Heading1"/>
      </w:pPr>
      <w:bookmarkStart w:id="6" w:name="_Toc445972780"/>
      <w:r w:rsidRPr="00515348">
        <w:t>2</w:t>
      </w:r>
      <w:r w:rsidRPr="00515348">
        <w:tab/>
      </w:r>
      <w:bookmarkEnd w:id="6"/>
      <w:proofErr w:type="gramStart"/>
      <w:r w:rsidRPr="00515348">
        <w:t>Acceso</w:t>
      </w:r>
      <w:proofErr w:type="gramEnd"/>
      <w:r w:rsidRPr="00515348">
        <w:t xml:space="preserve"> a los documentos de la reunión</w:t>
      </w:r>
    </w:p>
    <w:p w14:paraId="3E0FE27F" w14:textId="1F53ABCA" w:rsidR="005A715D" w:rsidRPr="00515348" w:rsidRDefault="005A715D" w:rsidP="005A715D">
      <w:r w:rsidRPr="00515348">
        <w:t>De conformidad con lo dispuesto en la Resolución UIT-R 1, el personal de</w:t>
      </w:r>
      <w:r w:rsidR="00267E8B" w:rsidRPr="00515348">
        <w:t>l</w:t>
      </w:r>
      <w:r w:rsidRPr="00515348">
        <w:t xml:space="preserve"> </w:t>
      </w:r>
      <w:r w:rsidR="00872B57" w:rsidRPr="00515348">
        <w:t>Departamento de Comisiones de Estudio (</w:t>
      </w:r>
      <w:proofErr w:type="spellStart"/>
      <w:r w:rsidR="00872B57" w:rsidRPr="00515348">
        <w:t>SGD</w:t>
      </w:r>
      <w:proofErr w:type="spellEnd"/>
      <w:r w:rsidR="00872B57" w:rsidRPr="00515348">
        <w:t xml:space="preserve">) </w:t>
      </w:r>
      <w:r w:rsidRPr="00515348">
        <w:t>publica en el plazo de un día hábil los documentos de la reunión «tal como se reciben» en la página web creada al efecto y las versiones oficiales se incluyen en la dirección web en el plazo de tres días hábiles.</w:t>
      </w:r>
    </w:p>
    <w:p w14:paraId="17C3E6DF" w14:textId="209C329B" w:rsidR="00267E8B" w:rsidRPr="00515348" w:rsidRDefault="00267E8B" w:rsidP="005A715D">
      <w:r w:rsidRPr="00515348">
        <w:t xml:space="preserve">El </w:t>
      </w:r>
      <w:proofErr w:type="spellStart"/>
      <w:r w:rsidRPr="00515348">
        <w:t>SGD</w:t>
      </w:r>
      <w:proofErr w:type="spellEnd"/>
      <w:r w:rsidRPr="00515348">
        <w:t xml:space="preserve"> de la BR</w:t>
      </w:r>
      <w:r w:rsidR="0086628C" w:rsidRPr="00515348">
        <w:t xml:space="preserve"> está analizando formas de publicar automáticamente las contribuciones </w:t>
      </w:r>
      <w:r w:rsidR="003C48D8" w:rsidRPr="00515348">
        <w:t>«</w:t>
      </w:r>
      <w:r w:rsidR="0086628C" w:rsidRPr="00515348">
        <w:t xml:space="preserve">tal como se </w:t>
      </w:r>
      <w:r w:rsidR="00F5438B" w:rsidRPr="00515348">
        <w:t>reciben</w:t>
      </w:r>
      <w:r w:rsidR="003C48D8" w:rsidRPr="00515348">
        <w:t>»</w:t>
      </w:r>
      <w:r w:rsidR="0086628C" w:rsidRPr="00515348">
        <w:t>. La automatización de esta tarea liberará recursos que podrían dedicarse a otras actividades, lo que redundar</w:t>
      </w:r>
      <w:r w:rsidR="00872B57" w:rsidRPr="00515348">
        <w:t>ía</w:t>
      </w:r>
      <w:r w:rsidR="0086628C" w:rsidRPr="00515348">
        <w:t xml:space="preserve"> en una gestión más eficaz de la documentación y del soporte a las reuniones.</w:t>
      </w:r>
    </w:p>
    <w:p w14:paraId="0270FBC1" w14:textId="77777777" w:rsidR="005A715D" w:rsidRPr="00515348" w:rsidRDefault="005A715D" w:rsidP="005A715D">
      <w:pPr>
        <w:pStyle w:val="Heading1"/>
      </w:pPr>
      <w:bookmarkStart w:id="7" w:name="_Toc445972781"/>
      <w:r w:rsidRPr="00515348">
        <w:t>3</w:t>
      </w:r>
      <w:r w:rsidRPr="00515348">
        <w:tab/>
      </w:r>
      <w:bookmarkEnd w:id="7"/>
      <w:proofErr w:type="gramStart"/>
      <w:r w:rsidRPr="00515348">
        <w:t>Medios</w:t>
      </w:r>
      <w:proofErr w:type="gramEnd"/>
      <w:r w:rsidRPr="00515348">
        <w:t xml:space="preserve"> de trabajo electrónicos</w:t>
      </w:r>
    </w:p>
    <w:p w14:paraId="4376D7E1" w14:textId="29222269" w:rsidR="005A715D" w:rsidRPr="00515348" w:rsidRDefault="005A715D" w:rsidP="005A715D">
      <w:r w:rsidRPr="00515348">
        <w:t>Se continúa haciendo hincapié en la utiliza</w:t>
      </w:r>
      <w:r w:rsidR="00A91557" w:rsidRPr="00515348">
        <w:t>ción de los medios electrónicos</w:t>
      </w:r>
      <w:r w:rsidRPr="00515348">
        <w:t xml:space="preserve"> que ha</w:t>
      </w:r>
      <w:r w:rsidR="00A91557" w:rsidRPr="00515348">
        <w:t>n</w:t>
      </w:r>
      <w:r w:rsidRPr="00515348">
        <w:t xml:space="preserve"> aportado ventajas </w:t>
      </w:r>
      <w:r w:rsidR="00A91557" w:rsidRPr="00515348">
        <w:t xml:space="preserve">considerables </w:t>
      </w:r>
      <w:r w:rsidRPr="00515348">
        <w:t>a los delegados y una importante reducción del consumo de papel.</w:t>
      </w:r>
    </w:p>
    <w:p w14:paraId="4144B87E" w14:textId="77777777" w:rsidR="005A715D" w:rsidRPr="00515348" w:rsidRDefault="005A715D" w:rsidP="005A715D">
      <w:pPr>
        <w:pStyle w:val="Heading2"/>
      </w:pPr>
      <w:bookmarkStart w:id="8" w:name="_Toc445972782"/>
      <w:r w:rsidRPr="00515348">
        <w:t>3.1</w:t>
      </w:r>
      <w:r w:rsidRPr="00515348">
        <w:tab/>
      </w:r>
      <w:bookmarkEnd w:id="8"/>
      <w:r w:rsidRPr="00515348">
        <w:t>Sitio web SharePoint</w:t>
      </w:r>
    </w:p>
    <w:p w14:paraId="04669DE2" w14:textId="45207B51" w:rsidR="005A715D" w:rsidRPr="00515348" w:rsidRDefault="005A715D" w:rsidP="005A715D">
      <w:r w:rsidRPr="00515348">
        <w:t>La práctica habitual es acceder a la documentación durante las reuniones a través de un sitio web SharePoint.</w:t>
      </w:r>
    </w:p>
    <w:p w14:paraId="6FC38DFD" w14:textId="7119542E" w:rsidR="005A715D" w:rsidRPr="00515348" w:rsidRDefault="005A715D" w:rsidP="005A715D">
      <w:r w:rsidRPr="00515348">
        <w:t xml:space="preserve">Los sitios web SharePoint de los Grupos por </w:t>
      </w:r>
      <w:r w:rsidR="008D6185" w:rsidRPr="00515348">
        <w:t>c</w:t>
      </w:r>
      <w:r w:rsidRPr="00515348">
        <w:t xml:space="preserve">orrespondencia y de Relator </w:t>
      </w:r>
      <w:r w:rsidR="00A91557" w:rsidRPr="00515348">
        <w:t xml:space="preserve">también </w:t>
      </w:r>
      <w:r w:rsidRPr="00515348">
        <w:t>se utiliza</w:t>
      </w:r>
      <w:r w:rsidR="00A91557" w:rsidRPr="00515348">
        <w:t>n</w:t>
      </w:r>
      <w:r w:rsidRPr="00515348">
        <w:t xml:space="preserve"> </w:t>
      </w:r>
      <w:r w:rsidR="00A91557" w:rsidRPr="00515348">
        <w:t>intensamente</w:t>
      </w:r>
      <w:r w:rsidRPr="00515348">
        <w:t xml:space="preserve"> en los periodos entre reuniones de los GT.</w:t>
      </w:r>
    </w:p>
    <w:p w14:paraId="3C2B072A" w14:textId="77777777" w:rsidR="005A715D" w:rsidRPr="00515348" w:rsidRDefault="005A715D" w:rsidP="005A715D">
      <w:pPr>
        <w:pStyle w:val="Heading2"/>
      </w:pPr>
      <w:bookmarkStart w:id="9" w:name="_Toc445972783"/>
      <w:r w:rsidRPr="00515348">
        <w:lastRenderedPageBreak/>
        <w:t>3.2</w:t>
      </w:r>
      <w:r w:rsidRPr="00515348">
        <w:tab/>
      </w:r>
      <w:bookmarkEnd w:id="9"/>
      <w:r w:rsidRPr="00515348">
        <w:t>Sincronización de ficheros</w:t>
      </w:r>
    </w:p>
    <w:p w14:paraId="59BEB198" w14:textId="4470C10C" w:rsidR="005A715D" w:rsidRPr="00515348" w:rsidRDefault="005A715D" w:rsidP="005A715D">
      <w:r w:rsidRPr="00515348">
        <w:t xml:space="preserve">Se ha actualizado </w:t>
      </w:r>
      <w:r w:rsidR="00A91557" w:rsidRPr="00515348">
        <w:t>el</w:t>
      </w:r>
      <w:r w:rsidRPr="00515348">
        <w:t xml:space="preserve"> sistema de sincronización de ficheros para todas las reuniones de </w:t>
      </w:r>
      <w:r w:rsidR="00A91557" w:rsidRPr="00515348">
        <w:t xml:space="preserve">las CE y los </w:t>
      </w:r>
      <w:r w:rsidRPr="00515348">
        <w:t xml:space="preserve">GT a fin de facilitar durante las reuniones el acceso a las versiones más recientes de los documentos y a las </w:t>
      </w:r>
      <w:r w:rsidR="00A91557" w:rsidRPr="00515348">
        <w:t>asignaciones</w:t>
      </w:r>
      <w:r w:rsidRPr="00515348">
        <w:t xml:space="preserve"> de </w:t>
      </w:r>
      <w:r w:rsidR="00A91557" w:rsidRPr="00515348">
        <w:t xml:space="preserve">las </w:t>
      </w:r>
      <w:r w:rsidRPr="00515348">
        <w:t>salas de reunión.</w:t>
      </w:r>
    </w:p>
    <w:p w14:paraId="03AFFE2C" w14:textId="177247FD" w:rsidR="005A715D" w:rsidRPr="00515348" w:rsidRDefault="005A715D" w:rsidP="005A715D">
      <w:pPr>
        <w:pStyle w:val="Heading2"/>
      </w:pPr>
      <w:bookmarkStart w:id="10" w:name="_Toc445972784"/>
      <w:r w:rsidRPr="00515348">
        <w:t>3.3</w:t>
      </w:r>
      <w:r w:rsidRPr="00515348">
        <w:tab/>
      </w:r>
      <w:bookmarkEnd w:id="10"/>
      <w:r w:rsidR="0086628C" w:rsidRPr="00515348">
        <w:t>Reuniones presenciales con participación a distancia</w:t>
      </w:r>
    </w:p>
    <w:p w14:paraId="2FCC9472" w14:textId="7559055B" w:rsidR="0086628C" w:rsidRPr="00515348" w:rsidRDefault="0086628C" w:rsidP="005A715D">
      <w:r w:rsidRPr="00515348">
        <w:t xml:space="preserve">Como se indica en el Resumen de </w:t>
      </w:r>
      <w:r w:rsidR="00A91557" w:rsidRPr="00515348">
        <w:t xml:space="preserve">las </w:t>
      </w:r>
      <w:r w:rsidRPr="00515348">
        <w:t xml:space="preserve">Conclusiones de la 29ª reunión del GAR celebrada del 11 al 14 de abril de 2022 (véase la Circular Administrativa </w:t>
      </w:r>
      <w:hyperlink r:id="rId8" w:history="1">
        <w:r w:rsidRPr="00515348">
          <w:rPr>
            <w:rStyle w:val="Hyperlink"/>
          </w:rPr>
          <w:t>CA/2</w:t>
        </w:r>
        <w:r w:rsidRPr="00515348">
          <w:rPr>
            <w:rStyle w:val="Hyperlink"/>
          </w:rPr>
          <w:t>6</w:t>
        </w:r>
        <w:r w:rsidRPr="00515348">
          <w:rPr>
            <w:rStyle w:val="Hyperlink"/>
          </w:rPr>
          <w:t>0</w:t>
        </w:r>
      </w:hyperlink>
      <w:r w:rsidRPr="00515348">
        <w:t xml:space="preserve">), las CE y los GT del UIT-R reanudaron las reuniones presenciales con participación a distancia a partir de abril de 2022. La plataforma utilizada para estas reuniones presenciales con participación a distancia es </w:t>
      </w:r>
      <w:proofErr w:type="gramStart"/>
      <w:r w:rsidRPr="00515348">
        <w:t>Zoom</w:t>
      </w:r>
      <w:proofErr w:type="gramEnd"/>
      <w:r w:rsidRPr="00515348">
        <w:t xml:space="preserve"> y permite la participación interactiva a distancia de los presidentes y los delegados</w:t>
      </w:r>
      <w:r w:rsidR="00515348" w:rsidRPr="00515348">
        <w:t>.</w:t>
      </w:r>
    </w:p>
    <w:p w14:paraId="5B24D676" w14:textId="2B87B01B" w:rsidR="0086628C" w:rsidRPr="00515348" w:rsidRDefault="005A715D" w:rsidP="005A715D">
      <w:r w:rsidRPr="00515348">
        <w:t xml:space="preserve">Todas las reuniones </w:t>
      </w:r>
      <w:r w:rsidR="0086628C" w:rsidRPr="00515348">
        <w:t xml:space="preserve">se organizaron de acuerdo con los equipos de dirección de las </w:t>
      </w:r>
      <w:r w:rsidR="00A91557" w:rsidRPr="00515348">
        <w:t xml:space="preserve">respectivas </w:t>
      </w:r>
      <w:r w:rsidR="0086628C" w:rsidRPr="00515348">
        <w:t xml:space="preserve">CE. La reanudación de las reuniones presenciales ha ayudado a avanzar en los trabajos y ha contribuido a finalizar el proyecto de Informe de la RPC </w:t>
      </w:r>
      <w:r w:rsidR="00872B57" w:rsidRPr="00515348">
        <w:t>antes de la fecha límite del</w:t>
      </w:r>
      <w:r w:rsidR="00EB1DA3" w:rsidRPr="00515348">
        <w:t xml:space="preserve"> 21 de octubre de 2022.</w:t>
      </w:r>
    </w:p>
    <w:p w14:paraId="52E1B58E" w14:textId="114E3D68" w:rsidR="00EB1DA3" w:rsidRPr="00515348" w:rsidRDefault="00EB1DA3" w:rsidP="005A715D">
      <w:r w:rsidRPr="00515348">
        <w:t xml:space="preserve">El </w:t>
      </w:r>
      <w:proofErr w:type="spellStart"/>
      <w:r w:rsidRPr="00515348">
        <w:t>SGD</w:t>
      </w:r>
      <w:proofErr w:type="spellEnd"/>
      <w:r w:rsidRPr="00515348">
        <w:t xml:space="preserve"> de la BR también colaboró estrechamente con los equipos del Departamento de servicios informáticos (IS) y de inscripci</w:t>
      </w:r>
      <w:r w:rsidR="00872B57" w:rsidRPr="00515348">
        <w:t>ones</w:t>
      </w:r>
      <w:r w:rsidRPr="00515348">
        <w:t xml:space="preserve"> del UIT-R para hacer uso del sistema de CRM en los procedimientos de inscripción, identificando si los delegados tenían intención de participar a distancia o de asistir presencialmente a la reunión. Este procedimiento fue útil para </w:t>
      </w:r>
      <w:r w:rsidR="003869FE" w:rsidRPr="00515348">
        <w:t>definir</w:t>
      </w:r>
      <w:r w:rsidRPr="00515348">
        <w:t xml:space="preserve"> el tamaño </w:t>
      </w:r>
      <w:r w:rsidR="00A91557" w:rsidRPr="00515348">
        <w:t xml:space="preserve">necesario </w:t>
      </w:r>
      <w:r w:rsidRPr="00515348">
        <w:t>de las salas de reunión para cada grupo.</w:t>
      </w:r>
    </w:p>
    <w:p w14:paraId="2ADF1416" w14:textId="20B6B2FA" w:rsidR="005A715D" w:rsidRPr="00515348" w:rsidRDefault="005A715D" w:rsidP="00357002">
      <w:r w:rsidRPr="00515348">
        <w:t>Durante las sesiones plenarias de todas las reuniones de las CE y los GT se facilitó la transmisión del audio por la web en todos los idiomas disponibles</w:t>
      </w:r>
      <w:bookmarkStart w:id="11" w:name="lt_pId053"/>
      <w:r w:rsidRPr="00515348">
        <w:t>.</w:t>
      </w:r>
      <w:bookmarkEnd w:id="11"/>
    </w:p>
    <w:p w14:paraId="1BFCEDC6" w14:textId="4C2C0B0F" w:rsidR="00EB1DA3" w:rsidRPr="00515348" w:rsidRDefault="00EB1DA3" w:rsidP="00357002">
      <w:r w:rsidRPr="00515348">
        <w:t xml:space="preserve">También se proporcionó interpretación </w:t>
      </w:r>
      <w:r w:rsidR="00A91557" w:rsidRPr="00515348">
        <w:t>en</w:t>
      </w:r>
      <w:r w:rsidRPr="00515348">
        <w:t xml:space="preserve"> las seis lenguas oficiales de la Unión para las reuniones presenciales con participación a distancia de las CE.</w:t>
      </w:r>
    </w:p>
    <w:p w14:paraId="4B125633" w14:textId="1B116A96" w:rsidR="005A715D" w:rsidRPr="00515348" w:rsidRDefault="005A715D" w:rsidP="005A715D">
      <w:pPr>
        <w:pStyle w:val="Heading2"/>
      </w:pPr>
      <w:bookmarkStart w:id="12" w:name="_Toc445972786"/>
      <w:r w:rsidRPr="00515348">
        <w:t>3.</w:t>
      </w:r>
      <w:r w:rsidR="00EB1DA3" w:rsidRPr="00515348">
        <w:t>4</w:t>
      </w:r>
      <w:r w:rsidRPr="00515348">
        <w:tab/>
      </w:r>
      <w:bookmarkEnd w:id="12"/>
      <w:r w:rsidRPr="002B0E41">
        <w:t>Páginas web</w:t>
      </w:r>
      <w:r w:rsidRPr="00515348">
        <w:t xml:space="preserve"> de las Comisiones de Estudio</w:t>
      </w:r>
    </w:p>
    <w:p w14:paraId="1981C3F0" w14:textId="2939E80A" w:rsidR="005A715D" w:rsidRPr="00515348" w:rsidRDefault="003869FE" w:rsidP="005A715D">
      <w:r w:rsidRPr="00515348">
        <w:t>De acuerdo</w:t>
      </w:r>
      <w:r w:rsidR="005A715D" w:rsidRPr="00515348">
        <w:t xml:space="preserve"> con la política de la UIT, las páginas web se actualizan continuamente para proporcionar la información necesaria a los delegados.</w:t>
      </w:r>
    </w:p>
    <w:p w14:paraId="06AC9FA4" w14:textId="4212E9E7" w:rsidR="005A715D" w:rsidRPr="00515348" w:rsidRDefault="005A715D" w:rsidP="000C480A">
      <w:r w:rsidRPr="00515348">
        <w:t>La lista de G</w:t>
      </w:r>
      <w:r w:rsidR="003D5ACB" w:rsidRPr="00515348">
        <w:t>rupos por correspondencia (</w:t>
      </w:r>
      <w:proofErr w:type="spellStart"/>
      <w:r w:rsidR="003D5ACB" w:rsidRPr="00515348">
        <w:t>GC</w:t>
      </w:r>
      <w:proofErr w:type="spellEnd"/>
      <w:r w:rsidR="003D5ACB" w:rsidRPr="00515348">
        <w:t xml:space="preserve">) y de Grupos de Relator (GR) </w:t>
      </w:r>
      <w:r w:rsidRPr="00515348">
        <w:t>figura en un enlace específico de la página principal de cada CE y están armonizados para todas las CE.</w:t>
      </w:r>
      <w:r w:rsidR="000C480A" w:rsidRPr="00515348">
        <w:t xml:space="preserve"> </w:t>
      </w:r>
      <w:r w:rsidRPr="00515348">
        <w:t xml:space="preserve">En el enlace de cada </w:t>
      </w:r>
      <w:proofErr w:type="spellStart"/>
      <w:r w:rsidRPr="00515348">
        <w:t>GC</w:t>
      </w:r>
      <w:proofErr w:type="spellEnd"/>
      <w:r w:rsidRPr="00515348">
        <w:t>/GR, el usuario puede acceder a la información sobre el nombre del grupo, la página de SharePoint, el Relator/</w:t>
      </w:r>
      <w:proofErr w:type="gramStart"/>
      <w:r w:rsidRPr="00515348">
        <w:t>Presidente</w:t>
      </w:r>
      <w:proofErr w:type="gramEnd"/>
      <w:r w:rsidRPr="00515348">
        <w:t>/Convocante, la lista de correo, el archivo, etc. y otra información necesaria.</w:t>
      </w:r>
    </w:p>
    <w:p w14:paraId="2774FDEB" w14:textId="4B87580E" w:rsidR="005A715D" w:rsidRPr="00515348" w:rsidRDefault="005A715D" w:rsidP="005A715D">
      <w:pPr>
        <w:pStyle w:val="Heading2"/>
      </w:pPr>
      <w:bookmarkStart w:id="13" w:name="_Toc445972789"/>
      <w:r w:rsidRPr="00515348">
        <w:t>3</w:t>
      </w:r>
      <w:r w:rsidR="00EB1DA3" w:rsidRPr="00515348">
        <w:t>.5</w:t>
      </w:r>
      <w:r w:rsidRPr="00515348">
        <w:tab/>
      </w:r>
      <w:bookmarkEnd w:id="13"/>
      <w:r w:rsidRPr="00515348">
        <w:t>Subtitulado</w:t>
      </w:r>
    </w:p>
    <w:p w14:paraId="4E3DE1B5" w14:textId="17F014F0" w:rsidR="005A715D" w:rsidRPr="00515348" w:rsidRDefault="005A715D" w:rsidP="005A715D">
      <w:r w:rsidRPr="00515348">
        <w:t xml:space="preserve">Desde diciembre de 2013, todas las reuniones de las CE están dotadas con subtitulado en directo en inglés. </w:t>
      </w:r>
      <w:r w:rsidR="00EB1DA3" w:rsidRPr="00515348">
        <w:t>Sin embargo, esta prestación tiene repercusión sobre el coste de la reunión, en particular si las reuniones se celebran fuera de la Sede de la UIT.</w:t>
      </w:r>
    </w:p>
    <w:p w14:paraId="3708C594" w14:textId="77777777" w:rsidR="005A715D" w:rsidRPr="00515348" w:rsidRDefault="005A715D" w:rsidP="005A715D">
      <w:pPr>
        <w:pStyle w:val="Heading1"/>
      </w:pPr>
      <w:r w:rsidRPr="00515348">
        <w:t>4</w:t>
      </w:r>
      <w:r w:rsidRPr="00515348">
        <w:tab/>
      </w:r>
      <w:proofErr w:type="gramStart"/>
      <w:r w:rsidRPr="00515348">
        <w:t>Participación</w:t>
      </w:r>
      <w:proofErr w:type="gramEnd"/>
    </w:p>
    <w:p w14:paraId="66909D06" w14:textId="0A5372CE" w:rsidR="005A715D" w:rsidRPr="00515348" w:rsidRDefault="005A715D" w:rsidP="005A715D">
      <w:r w:rsidRPr="00515348">
        <w:t>El nivel de participación en las reuniones de las Comisiones de Estudio y los Grupos de Trabajo del</w:t>
      </w:r>
      <w:r w:rsidR="00824C15" w:rsidRPr="00515348">
        <w:t> </w:t>
      </w:r>
      <w:r w:rsidRPr="00515348">
        <w:t>UIT-R ha aumentado considerablemente desde 2003, sobre todo en 2020</w:t>
      </w:r>
      <w:r w:rsidR="00834EBB" w:rsidRPr="00515348">
        <w:t xml:space="preserve">, </w:t>
      </w:r>
      <w:r w:rsidRPr="00515348">
        <w:t>2021</w:t>
      </w:r>
      <w:r w:rsidR="00834EBB" w:rsidRPr="00515348">
        <w:t xml:space="preserve"> y 2022</w:t>
      </w:r>
      <w:r w:rsidRPr="00515348">
        <w:t>, cuando todas las reuniones se han celebrado por medios electrónicos</w:t>
      </w:r>
      <w:r w:rsidR="003D5ACB" w:rsidRPr="00515348">
        <w:t>,</w:t>
      </w:r>
      <w:r w:rsidR="00834EBB" w:rsidRPr="00515348">
        <w:t xml:space="preserve"> o presencialmente con participación a distancia</w:t>
      </w:r>
      <w:r w:rsidRPr="00515348">
        <w:t>. Esto resulta muy alentador, pero al mismo tiempo puede crear algunas dificultades si esas cifras se utilizan para estimar la futura participación en las reuniones presenciales.</w:t>
      </w:r>
    </w:p>
    <w:p w14:paraId="54E4DC59" w14:textId="144FCA0B" w:rsidR="005A715D" w:rsidRPr="00515348" w:rsidRDefault="005A715D" w:rsidP="005A715D">
      <w:r w:rsidRPr="00515348">
        <w:lastRenderedPageBreak/>
        <w:t>El número de participantes en los grupos más grandes puede rebasar ahora los 600</w:t>
      </w:r>
      <w:r w:rsidR="00824C15" w:rsidRPr="00515348">
        <w:t> </w:t>
      </w:r>
      <w:r w:rsidRPr="00515348">
        <w:t xml:space="preserve">participantes. La participación media por reunión es </w:t>
      </w:r>
      <w:r w:rsidR="003869FE" w:rsidRPr="00515348">
        <w:t>en este momento</w:t>
      </w:r>
      <w:r w:rsidRPr="00515348">
        <w:t xml:space="preserve"> del orden de 2</w:t>
      </w:r>
      <w:r w:rsidR="00834EBB" w:rsidRPr="00515348">
        <w:t>56</w:t>
      </w:r>
      <w:r w:rsidRPr="00515348">
        <w:t xml:space="preserve"> participantes </w:t>
      </w:r>
      <w:r w:rsidR="00834EBB" w:rsidRPr="00515348">
        <w:t xml:space="preserve">presenciales </w:t>
      </w:r>
      <w:r w:rsidRPr="00515348">
        <w:t xml:space="preserve">(véase la </w:t>
      </w:r>
      <w:r w:rsidR="000C480A" w:rsidRPr="00515348">
        <w:t>Figura</w:t>
      </w:r>
      <w:r w:rsidR="00824C15" w:rsidRPr="00515348">
        <w:t> </w:t>
      </w:r>
      <w:r w:rsidRPr="00515348">
        <w:t>1).</w:t>
      </w:r>
    </w:p>
    <w:p w14:paraId="6AE6351F" w14:textId="77777777" w:rsidR="005A715D" w:rsidRPr="00515348" w:rsidRDefault="005A715D" w:rsidP="000C480A">
      <w:pPr>
        <w:pStyle w:val="FigureNoBR"/>
        <w:rPr>
          <w:b/>
        </w:rPr>
      </w:pPr>
      <w:r w:rsidRPr="00515348">
        <w:t>Figura 1</w:t>
      </w:r>
    </w:p>
    <w:p w14:paraId="1C90CA98" w14:textId="77777777" w:rsidR="005A715D" w:rsidRPr="00515348" w:rsidRDefault="005A715D" w:rsidP="00A30E39">
      <w:pPr>
        <w:pStyle w:val="FiguretitleBR"/>
        <w:keepNext/>
        <w:spacing w:after="120"/>
        <w:rPr>
          <w:sz w:val="22"/>
          <w:szCs w:val="22"/>
        </w:rPr>
      </w:pPr>
      <w:r w:rsidRPr="00515348">
        <w:rPr>
          <w:sz w:val="22"/>
          <w:szCs w:val="22"/>
        </w:rPr>
        <w:t xml:space="preserve">Participación general media en reuniones de Comisiones de </w:t>
      </w:r>
      <w:r w:rsidRPr="00515348">
        <w:rPr>
          <w:sz w:val="22"/>
          <w:szCs w:val="22"/>
        </w:rPr>
        <w:br/>
        <w:t>Estudio/Grupos de Trabajo del UIT-R por año desde 2003</w:t>
      </w:r>
    </w:p>
    <w:p w14:paraId="50B1FE8F" w14:textId="7DC38829" w:rsidR="000C480A" w:rsidRPr="00515348" w:rsidRDefault="00834EBB" w:rsidP="000C480A">
      <w:pPr>
        <w:pStyle w:val="Figure"/>
      </w:pPr>
      <w:r w:rsidRPr="00515348">
        <w:rPr>
          <w:noProof/>
          <w:lang w:eastAsia="es-ES"/>
        </w:rPr>
        <w:drawing>
          <wp:inline distT="0" distB="0" distL="0" distR="0" wp14:anchorId="01A9AEB5" wp14:editId="3E49F3A9">
            <wp:extent cx="5800725" cy="3505201"/>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4859289" w14:textId="5936CA6E" w:rsidR="005A715D" w:rsidRPr="00515348" w:rsidRDefault="005A715D" w:rsidP="000C480A">
      <w:pPr>
        <w:pStyle w:val="Figurelegend"/>
        <w:tabs>
          <w:tab w:val="left" w:pos="426"/>
        </w:tabs>
      </w:pPr>
      <w:r w:rsidRPr="00515348">
        <w:t>*</w:t>
      </w:r>
      <w:r w:rsidR="000C480A" w:rsidRPr="00515348">
        <w:tab/>
      </w:r>
      <w:r w:rsidRPr="00515348">
        <w:t xml:space="preserve">Los valores más altos corresponden a los años en los que hay menos </w:t>
      </w:r>
      <w:r w:rsidR="006239F0" w:rsidRPr="00515348">
        <w:t>reuniones,</w:t>
      </w:r>
      <w:r w:rsidRPr="00515348">
        <w:t xml:space="preserve"> </w:t>
      </w:r>
      <w:r w:rsidR="00834EBB" w:rsidRPr="00515348">
        <w:t>pero con más</w:t>
      </w:r>
      <w:r w:rsidRPr="00515348">
        <w:t xml:space="preserve"> participantes,</w:t>
      </w:r>
      <w:r w:rsidR="000C480A" w:rsidRPr="00515348">
        <w:t xml:space="preserve"> </w:t>
      </w:r>
      <w:r w:rsidRPr="00515348">
        <w:t>como la RPC-2.</w:t>
      </w:r>
    </w:p>
    <w:p w14:paraId="53537187" w14:textId="710ED66F" w:rsidR="005A715D" w:rsidRPr="00515348" w:rsidRDefault="005A715D" w:rsidP="00E04501">
      <w:pPr>
        <w:pStyle w:val="Figurelegend"/>
        <w:tabs>
          <w:tab w:val="left" w:pos="426"/>
        </w:tabs>
        <w:ind w:left="426" w:hanging="426"/>
      </w:pPr>
      <w:r w:rsidRPr="00515348">
        <w:t>**</w:t>
      </w:r>
      <w:r w:rsidR="000C480A" w:rsidRPr="00515348">
        <w:tab/>
      </w:r>
      <w:r w:rsidRPr="00515348">
        <w:t xml:space="preserve">Los valores más elevados corresponden </w:t>
      </w:r>
      <w:r w:rsidR="003D5ACB" w:rsidRPr="00515348">
        <w:t xml:space="preserve">a </w:t>
      </w:r>
      <w:r w:rsidR="003869FE" w:rsidRPr="00515348">
        <w:t xml:space="preserve">los </w:t>
      </w:r>
      <w:r w:rsidRPr="00515348">
        <w:t>año</w:t>
      </w:r>
      <w:r w:rsidR="003869FE" w:rsidRPr="00515348">
        <w:t>s</w:t>
      </w:r>
      <w:r w:rsidRPr="00515348">
        <w:t xml:space="preserve"> en </w:t>
      </w:r>
      <w:r w:rsidR="003869FE" w:rsidRPr="00515348">
        <w:t xml:space="preserve">los </w:t>
      </w:r>
      <w:r w:rsidRPr="00515348">
        <w:t>que la mayoría de las reuniones se celebraron por medios electrónicos</w:t>
      </w:r>
      <w:r w:rsidR="00834EBB" w:rsidRPr="00515348">
        <w:t xml:space="preserve"> o hubo reuniones presenciales con participación a distancia</w:t>
      </w:r>
      <w:r w:rsidRPr="00515348">
        <w:t>.</w:t>
      </w:r>
    </w:p>
    <w:p w14:paraId="43372721" w14:textId="77777777" w:rsidR="005A715D" w:rsidRPr="00515348" w:rsidRDefault="005A715D" w:rsidP="005A715D">
      <w:pPr>
        <w:pStyle w:val="Heading1"/>
      </w:pPr>
      <w:r w:rsidRPr="00515348">
        <w:t>5</w:t>
      </w:r>
      <w:r w:rsidRPr="00515348">
        <w:tab/>
        <w:t>Salas de reunión</w:t>
      </w:r>
    </w:p>
    <w:p w14:paraId="35E4E3B9" w14:textId="19908938" w:rsidR="005A715D" w:rsidRPr="00515348" w:rsidRDefault="005A715D" w:rsidP="005A715D">
      <w:pPr>
        <w:keepNext/>
        <w:keepLines/>
      </w:pPr>
      <w:r w:rsidRPr="00515348">
        <w:t xml:space="preserve">La escasez de salas de reunión en la Sede de la UIT sigue </w:t>
      </w:r>
      <w:r w:rsidR="003D5ACB" w:rsidRPr="00515348">
        <w:t>dificultando</w:t>
      </w:r>
      <w:r w:rsidRPr="00515348">
        <w:t xml:space="preserve"> la planificación </w:t>
      </w:r>
      <w:r w:rsidR="003D5ACB" w:rsidRPr="00515348">
        <w:t>adecuada</w:t>
      </w:r>
      <w:r w:rsidRPr="00515348">
        <w:t xml:space="preserve"> de las reuniones. Este problema se ha visto agravado por los siguientes factores:</w:t>
      </w:r>
    </w:p>
    <w:p w14:paraId="2900F5AB" w14:textId="77777777" w:rsidR="005A715D" w:rsidRPr="00515348" w:rsidRDefault="005A715D" w:rsidP="005A715D">
      <w:pPr>
        <w:pStyle w:val="enumlev1"/>
      </w:pPr>
      <w:r w:rsidRPr="00515348">
        <w:t>–</w:t>
      </w:r>
      <w:r w:rsidRPr="00515348">
        <w:tab/>
        <w:t>el creciente número de reuniones previstas por los tres Sectores y la Secretaría General;</w:t>
      </w:r>
    </w:p>
    <w:p w14:paraId="24DD6336" w14:textId="5EE8AD79" w:rsidR="005A715D" w:rsidRPr="00515348" w:rsidRDefault="005A715D" w:rsidP="005A715D">
      <w:pPr>
        <w:pStyle w:val="enumlev1"/>
      </w:pPr>
      <w:r w:rsidRPr="00515348">
        <w:t>–</w:t>
      </w:r>
      <w:r w:rsidRPr="00515348">
        <w:tab/>
        <w:t xml:space="preserve">la escasez de salas de reunión con </w:t>
      </w:r>
      <w:r w:rsidR="003D5ACB" w:rsidRPr="00515348">
        <w:t xml:space="preserve">un </w:t>
      </w:r>
      <w:r w:rsidRPr="00515348">
        <w:t>aforo de más de 120 participantes;</w:t>
      </w:r>
    </w:p>
    <w:p w14:paraId="5C33CA09" w14:textId="77777777" w:rsidR="005A715D" w:rsidRPr="00515348" w:rsidRDefault="005A715D" w:rsidP="005A715D">
      <w:pPr>
        <w:pStyle w:val="enumlev1"/>
      </w:pPr>
      <w:r w:rsidRPr="00515348">
        <w:t>–</w:t>
      </w:r>
      <w:r w:rsidRPr="00515348">
        <w:tab/>
        <w:t>la necesidad de evitar que las fechas de las reuniones se solapen o coincidan con las de otras;</w:t>
      </w:r>
    </w:p>
    <w:p w14:paraId="49DA96AF" w14:textId="5BA730E9" w:rsidR="005A715D" w:rsidRPr="00515348" w:rsidRDefault="005A715D" w:rsidP="005A715D">
      <w:pPr>
        <w:pStyle w:val="enumlev1"/>
      </w:pPr>
      <w:r w:rsidRPr="00515348">
        <w:t>–</w:t>
      </w:r>
      <w:r w:rsidRPr="00515348">
        <w:tab/>
        <w:t>la limitada disponibilidad y la gran antelación necesaria para reservar instalaciones</w:t>
      </w:r>
      <w:r w:rsidR="003D5ACB" w:rsidRPr="00515348">
        <w:t xml:space="preserve"> en otros edificios, como el </w:t>
      </w:r>
      <w:proofErr w:type="spellStart"/>
      <w:r w:rsidR="003D5ACB" w:rsidRPr="00515348">
        <w:t>CICG</w:t>
      </w:r>
      <w:proofErr w:type="spellEnd"/>
      <w:r w:rsidRPr="00515348">
        <w:t>;</w:t>
      </w:r>
    </w:p>
    <w:p w14:paraId="61D38220" w14:textId="4D5DF295" w:rsidR="005A715D" w:rsidRPr="00515348" w:rsidRDefault="005A715D" w:rsidP="000C480A">
      <w:pPr>
        <w:pStyle w:val="enumlev1"/>
      </w:pPr>
      <w:r w:rsidRPr="00515348">
        <w:t>–</w:t>
      </w:r>
      <w:r w:rsidRPr="00515348">
        <w:tab/>
      </w:r>
      <w:bookmarkStart w:id="14" w:name="lt_pId088"/>
      <w:r w:rsidRPr="00515348">
        <w:t xml:space="preserve">la demolición del edificio </w:t>
      </w:r>
      <w:r w:rsidR="003D5ACB" w:rsidRPr="00515348">
        <w:t xml:space="preserve">de </w:t>
      </w:r>
      <w:proofErr w:type="spellStart"/>
      <w:r w:rsidRPr="00515348">
        <w:t>Varembé</w:t>
      </w:r>
      <w:proofErr w:type="spellEnd"/>
      <w:r w:rsidRPr="00515348">
        <w:t xml:space="preserve"> y la construcci</w:t>
      </w:r>
      <w:r w:rsidR="003D5ACB" w:rsidRPr="00515348">
        <w:t>ón del nuevo edificio de la UIT, que afectará a</w:t>
      </w:r>
      <w:r w:rsidRPr="00515348">
        <w:t xml:space="preserve"> un gran número de salas de reunión, pues durante la demolición las salas de reunión de los edificios </w:t>
      </w:r>
      <w:r w:rsidR="000C480A" w:rsidRPr="00515348">
        <w:t xml:space="preserve">de la </w:t>
      </w:r>
      <w:r w:rsidRPr="00515348">
        <w:t xml:space="preserve">Torre y </w:t>
      </w:r>
      <w:proofErr w:type="spellStart"/>
      <w:r w:rsidRPr="00515348">
        <w:t>Montbrillant</w:t>
      </w:r>
      <w:proofErr w:type="spellEnd"/>
      <w:r w:rsidRPr="00515348">
        <w:t xml:space="preserve"> no podrán utilizarse debido al ruido.</w:t>
      </w:r>
      <w:bookmarkEnd w:id="14"/>
    </w:p>
    <w:p w14:paraId="0A33FB91" w14:textId="2703EBCA" w:rsidR="005A715D" w:rsidRPr="00515348" w:rsidRDefault="005A715D" w:rsidP="00CD10C3">
      <w:pPr>
        <w:keepLines/>
        <w:rPr>
          <w:sz w:val="22"/>
        </w:rPr>
      </w:pPr>
      <w:r w:rsidRPr="00515348">
        <w:lastRenderedPageBreak/>
        <w:t xml:space="preserve">Por consiguiente, </w:t>
      </w:r>
      <w:r w:rsidR="00834EBB" w:rsidRPr="00515348">
        <w:t>a partir de enero de 202</w:t>
      </w:r>
      <w:r w:rsidR="003D5ACB" w:rsidRPr="00515348">
        <w:t>4</w:t>
      </w:r>
      <w:r w:rsidRPr="00515348">
        <w:t xml:space="preserve"> será necesario celebrar un mayor número de reuniones fuera de la Sede de la UIT</w:t>
      </w:r>
      <w:r w:rsidR="00F83D9C" w:rsidRPr="00515348">
        <w:t xml:space="preserve">, o </w:t>
      </w:r>
      <w:r w:rsidRPr="00515348">
        <w:t xml:space="preserve">combinando la participación </w:t>
      </w:r>
      <w:r w:rsidR="00F83D9C" w:rsidRPr="00515348">
        <w:t xml:space="preserve">presencial con la participación </w:t>
      </w:r>
      <w:r w:rsidRPr="00515348">
        <w:t xml:space="preserve">a distancia. A tal efecto, durante este periodo, se agradecerán </w:t>
      </w:r>
      <w:r w:rsidR="00F83D9C" w:rsidRPr="00515348">
        <w:t>particularmente</w:t>
      </w:r>
      <w:r w:rsidRPr="00515348">
        <w:t xml:space="preserve"> las ofertas de los </w:t>
      </w:r>
      <w:r w:rsidR="00834EBB" w:rsidRPr="00515348">
        <w:t xml:space="preserve">Miembros </w:t>
      </w:r>
      <w:r w:rsidRPr="00515348">
        <w:t xml:space="preserve">para acoger reuniones de </w:t>
      </w:r>
      <w:r w:rsidR="00F83D9C" w:rsidRPr="00515348">
        <w:t xml:space="preserve">las CE y los </w:t>
      </w:r>
      <w:r w:rsidRPr="00515348">
        <w:t>GT.</w:t>
      </w:r>
    </w:p>
    <w:p w14:paraId="07469969" w14:textId="77777777" w:rsidR="005A715D" w:rsidRPr="00515348" w:rsidRDefault="005A715D" w:rsidP="005A715D">
      <w:pPr>
        <w:pStyle w:val="Heading1"/>
      </w:pPr>
      <w:r w:rsidRPr="00515348">
        <w:t>6</w:t>
      </w:r>
      <w:r w:rsidRPr="00515348">
        <w:tab/>
      </w:r>
      <w:proofErr w:type="gramStart"/>
      <w:r w:rsidRPr="00515348">
        <w:t>Actividades</w:t>
      </w:r>
      <w:proofErr w:type="gramEnd"/>
      <w:r w:rsidRPr="00515348">
        <w:t xml:space="preserve"> de las Comisiones de Estudio</w:t>
      </w:r>
    </w:p>
    <w:p w14:paraId="3A77F94F" w14:textId="366CF105" w:rsidR="005A715D" w:rsidRPr="00515348" w:rsidRDefault="005A715D" w:rsidP="00824C15">
      <w:pPr>
        <w:spacing w:after="120"/>
      </w:pPr>
      <w:r w:rsidRPr="00515348">
        <w:t>A continuación, se describen algunas de las actividades realizadas por cada CE. En el siguiente Cuadro</w:t>
      </w:r>
      <w:r w:rsidR="00F83D9C" w:rsidRPr="00515348">
        <w:t>,</w:t>
      </w:r>
      <w:r w:rsidRPr="00515348">
        <w:t xml:space="preserve"> se resume los estudios </w:t>
      </w:r>
      <w:r w:rsidR="00F83D9C" w:rsidRPr="00515348">
        <w:t xml:space="preserve">llevados a cabo </w:t>
      </w:r>
      <w:r w:rsidRPr="00515348">
        <w:t>desde el GAR-2</w:t>
      </w:r>
      <w:r w:rsidR="00834EBB" w:rsidRPr="00515348">
        <w:t>2</w:t>
      </w:r>
      <w:r w:rsidRPr="00515348">
        <w:t>, así como la producción de Recomendaciones UIT-R e Informes UIT-R aprobados desde entonces.</w:t>
      </w:r>
    </w:p>
    <w:tbl>
      <w:tblPr>
        <w:tblStyle w:val="TableGrid1"/>
        <w:tblW w:w="0" w:type="auto"/>
        <w:jc w:val="center"/>
        <w:tblLook w:val="04A0" w:firstRow="1" w:lastRow="0" w:firstColumn="1" w:lastColumn="0" w:noHBand="0" w:noVBand="1"/>
      </w:tblPr>
      <w:tblGrid>
        <w:gridCol w:w="1255"/>
        <w:gridCol w:w="2114"/>
        <w:gridCol w:w="2268"/>
        <w:gridCol w:w="1399"/>
        <w:gridCol w:w="1386"/>
        <w:gridCol w:w="1207"/>
      </w:tblGrid>
      <w:tr w:rsidR="00F90FDF" w:rsidRPr="00515348" w14:paraId="63A73586" w14:textId="77777777" w:rsidTr="00E70115">
        <w:trPr>
          <w:trHeight w:val="287"/>
          <w:tblHeader/>
          <w:jc w:val="center"/>
        </w:trPr>
        <w:tc>
          <w:tcPr>
            <w:tcW w:w="1255" w:type="dxa"/>
            <w:vMerge w:val="restart"/>
            <w:tcBorders>
              <w:right w:val="single" w:sz="4" w:space="0" w:color="000000"/>
            </w:tcBorders>
            <w:shd w:val="clear" w:color="auto" w:fill="DBE5F1" w:themeFill="accent1" w:themeFillTint="33"/>
            <w:vAlign w:val="center"/>
          </w:tcPr>
          <w:p w14:paraId="74580D6E" w14:textId="6D0E4F11" w:rsidR="00F90FDF" w:rsidRPr="00515348" w:rsidRDefault="00F90FDF" w:rsidP="003C48D8">
            <w:pPr>
              <w:pStyle w:val="Tablehead"/>
            </w:pPr>
            <w:r w:rsidRPr="00515348">
              <w:t>Comisión de Estudio</w:t>
            </w:r>
          </w:p>
        </w:tc>
        <w:tc>
          <w:tcPr>
            <w:tcW w:w="8374" w:type="dxa"/>
            <w:gridSpan w:val="5"/>
            <w:tcBorders>
              <w:left w:val="single" w:sz="4" w:space="0" w:color="000000"/>
            </w:tcBorders>
            <w:shd w:val="clear" w:color="auto" w:fill="DBE5F1" w:themeFill="accent1" w:themeFillTint="33"/>
          </w:tcPr>
          <w:p w14:paraId="71083A08" w14:textId="4CF20E43" w:rsidR="00F90FDF" w:rsidRPr="00515348" w:rsidRDefault="00F90FDF" w:rsidP="00F90FDF">
            <w:pPr>
              <w:pStyle w:val="Tablehead"/>
            </w:pPr>
            <w:r w:rsidRPr="00515348">
              <w:t>Situación de los estudios</w:t>
            </w:r>
          </w:p>
        </w:tc>
      </w:tr>
      <w:tr w:rsidR="00E70115" w:rsidRPr="00515348" w14:paraId="2D54BCDA" w14:textId="77777777" w:rsidTr="00E70115">
        <w:trPr>
          <w:trHeight w:val="270"/>
          <w:tblHeader/>
          <w:jc w:val="center"/>
        </w:trPr>
        <w:tc>
          <w:tcPr>
            <w:tcW w:w="1255" w:type="dxa"/>
            <w:vMerge/>
            <w:tcBorders>
              <w:bottom w:val="single" w:sz="4" w:space="0" w:color="000000"/>
              <w:right w:val="single" w:sz="4" w:space="0" w:color="000000"/>
            </w:tcBorders>
            <w:shd w:val="clear" w:color="auto" w:fill="DBE5F1" w:themeFill="accent1" w:themeFillTint="33"/>
            <w:vAlign w:val="center"/>
          </w:tcPr>
          <w:p w14:paraId="20BD2FD2" w14:textId="77777777" w:rsidR="00F90FDF" w:rsidRPr="00515348" w:rsidDel="00A14716" w:rsidRDefault="00F90FDF" w:rsidP="00F90FDF">
            <w:pPr>
              <w:pStyle w:val="Tablehead"/>
            </w:pPr>
          </w:p>
        </w:tc>
        <w:tc>
          <w:tcPr>
            <w:tcW w:w="2114" w:type="dxa"/>
            <w:tcBorders>
              <w:left w:val="single" w:sz="4" w:space="0" w:color="000000"/>
            </w:tcBorders>
            <w:shd w:val="clear" w:color="auto" w:fill="DBE5F1" w:themeFill="accent1" w:themeFillTint="33"/>
          </w:tcPr>
          <w:p w14:paraId="14E05279" w14:textId="39D7286F" w:rsidR="00F90FDF" w:rsidRPr="00515348" w:rsidRDefault="00F90FDF" w:rsidP="00F90FDF">
            <w:pPr>
              <w:pStyle w:val="Tablehead"/>
            </w:pPr>
            <w:r w:rsidRPr="00515348">
              <w:t>Recomendaciones UIT</w:t>
            </w:r>
            <w:r w:rsidRPr="00515348">
              <w:noBreakHyphen/>
              <w:t xml:space="preserve">R </w:t>
            </w:r>
            <w:r w:rsidRPr="00515348">
              <w:br/>
              <w:t>aprobadas</w:t>
            </w:r>
          </w:p>
        </w:tc>
        <w:tc>
          <w:tcPr>
            <w:tcW w:w="2268" w:type="dxa"/>
            <w:tcBorders>
              <w:left w:val="single" w:sz="4" w:space="0" w:color="000000"/>
            </w:tcBorders>
            <w:shd w:val="clear" w:color="auto" w:fill="DBE5F1" w:themeFill="accent1" w:themeFillTint="33"/>
          </w:tcPr>
          <w:p w14:paraId="7CC8B4DC" w14:textId="3216BF35" w:rsidR="00F90FDF" w:rsidRPr="00515348" w:rsidRDefault="00F90FDF" w:rsidP="00F90FDF">
            <w:pPr>
              <w:pStyle w:val="Tablehead"/>
            </w:pPr>
            <w:r w:rsidRPr="00515348">
              <w:t xml:space="preserve">Informes </w:t>
            </w:r>
            <w:r w:rsidRPr="00515348">
              <w:br/>
              <w:t>UIT-R aprobados</w:t>
            </w:r>
          </w:p>
        </w:tc>
        <w:tc>
          <w:tcPr>
            <w:tcW w:w="1399" w:type="dxa"/>
            <w:tcBorders>
              <w:bottom w:val="single" w:sz="4" w:space="0" w:color="000000"/>
              <w:right w:val="single" w:sz="4" w:space="0" w:color="000000"/>
            </w:tcBorders>
            <w:shd w:val="clear" w:color="auto" w:fill="DBE5F1" w:themeFill="accent1" w:themeFillTint="33"/>
            <w:vAlign w:val="center"/>
          </w:tcPr>
          <w:p w14:paraId="3ACF5202" w14:textId="08BFEF08" w:rsidR="00F90FDF" w:rsidRPr="00515348" w:rsidRDefault="00F90FDF" w:rsidP="00F90FDF">
            <w:pPr>
              <w:pStyle w:val="Tablehead"/>
            </w:pPr>
            <w:r w:rsidRPr="00515348">
              <w:t>Cuestiones UIT-R aprobadas</w:t>
            </w:r>
          </w:p>
        </w:tc>
        <w:tc>
          <w:tcPr>
            <w:tcW w:w="1386" w:type="dxa"/>
            <w:tcBorders>
              <w:left w:val="single" w:sz="4" w:space="0" w:color="000000"/>
            </w:tcBorders>
            <w:shd w:val="clear" w:color="auto" w:fill="DBE5F1" w:themeFill="accent1" w:themeFillTint="33"/>
          </w:tcPr>
          <w:p w14:paraId="3E89FAC2" w14:textId="337A34B3" w:rsidR="00F90FDF" w:rsidRPr="00515348" w:rsidRDefault="00F90FDF" w:rsidP="006D6AB1">
            <w:pPr>
              <w:pStyle w:val="Tablehead"/>
            </w:pPr>
            <w:r w:rsidRPr="00515348">
              <w:t xml:space="preserve">Manuales </w:t>
            </w:r>
            <w:r w:rsidRPr="00515348">
              <w:br/>
              <w:t>UIT</w:t>
            </w:r>
            <w:r w:rsidRPr="00515348">
              <w:noBreakHyphen/>
              <w:t xml:space="preserve">R </w:t>
            </w:r>
            <w:r w:rsidRPr="00515348">
              <w:br/>
              <w:t>aprobad</w:t>
            </w:r>
            <w:r w:rsidR="006D6AB1" w:rsidRPr="00515348">
              <w:t>o</w:t>
            </w:r>
            <w:r w:rsidRPr="00515348">
              <w:t>s</w:t>
            </w:r>
          </w:p>
        </w:tc>
        <w:tc>
          <w:tcPr>
            <w:tcW w:w="1207" w:type="dxa"/>
            <w:tcBorders>
              <w:left w:val="single" w:sz="4" w:space="0" w:color="000000" w:themeColor="text1"/>
            </w:tcBorders>
            <w:shd w:val="clear" w:color="auto" w:fill="DBE5F1" w:themeFill="accent1" w:themeFillTint="33"/>
          </w:tcPr>
          <w:p w14:paraId="4E65AAC2" w14:textId="064EE6F0" w:rsidR="00F90FDF" w:rsidRPr="00515348" w:rsidRDefault="00F90FDF" w:rsidP="00F90FDF">
            <w:pPr>
              <w:pStyle w:val="Tablehead"/>
            </w:pPr>
            <w:r w:rsidRPr="00515348">
              <w:t>Opiniones UIT-R aprobadas</w:t>
            </w:r>
          </w:p>
        </w:tc>
      </w:tr>
      <w:tr w:rsidR="00F90FDF" w:rsidRPr="00515348" w14:paraId="370E8435" w14:textId="77777777" w:rsidTr="00E70115">
        <w:trPr>
          <w:trHeight w:val="270"/>
          <w:jc w:val="center"/>
        </w:trPr>
        <w:tc>
          <w:tcPr>
            <w:tcW w:w="1255" w:type="dxa"/>
            <w:tcBorders>
              <w:right w:val="single" w:sz="4" w:space="0" w:color="000000"/>
            </w:tcBorders>
            <w:shd w:val="clear" w:color="auto" w:fill="auto"/>
          </w:tcPr>
          <w:p w14:paraId="26DDD203" w14:textId="6A3D67B9" w:rsidR="00F90FDF" w:rsidRPr="00515348" w:rsidDel="00A14716" w:rsidRDefault="00F90FDF" w:rsidP="00F90FDF">
            <w:pPr>
              <w:pStyle w:val="Tabletext"/>
              <w:jc w:val="center"/>
              <w:rPr>
                <w:b/>
                <w:bCs/>
              </w:rPr>
            </w:pPr>
            <w:r w:rsidRPr="00515348">
              <w:rPr>
                <w:b/>
                <w:bCs/>
              </w:rPr>
              <w:t>CE 1</w:t>
            </w:r>
          </w:p>
        </w:tc>
        <w:tc>
          <w:tcPr>
            <w:tcW w:w="2114" w:type="dxa"/>
            <w:tcBorders>
              <w:left w:val="single" w:sz="4" w:space="0" w:color="000000" w:themeColor="text1"/>
            </w:tcBorders>
            <w:shd w:val="clear" w:color="auto" w:fill="auto"/>
          </w:tcPr>
          <w:p w14:paraId="26CE7643" w14:textId="77777777" w:rsidR="00F90FDF" w:rsidRPr="00515348" w:rsidRDefault="00F90FDF" w:rsidP="00F90FDF">
            <w:pPr>
              <w:pStyle w:val="Tabletext"/>
            </w:pPr>
            <w:proofErr w:type="spellStart"/>
            <w:r w:rsidRPr="00515348">
              <w:rPr>
                <w:rFonts w:asciiTheme="majorBidi" w:hAnsiTheme="majorBidi" w:cstheme="majorBidi"/>
                <w:sz w:val="20"/>
                <w:lang w:eastAsia="ja-JP"/>
              </w:rPr>
              <w:t>SM.1875</w:t>
            </w:r>
            <w:proofErr w:type="spellEnd"/>
            <w:r w:rsidRPr="00515348">
              <w:rPr>
                <w:rFonts w:asciiTheme="majorBidi" w:hAnsiTheme="majorBidi" w:cstheme="majorBidi"/>
                <w:sz w:val="20"/>
                <w:lang w:eastAsia="ja-JP"/>
              </w:rPr>
              <w:noBreakHyphen/>
              <w:t xml:space="preserve">4, </w:t>
            </w:r>
            <w:proofErr w:type="spellStart"/>
            <w:r w:rsidRPr="00515348">
              <w:rPr>
                <w:rFonts w:asciiTheme="majorBidi" w:hAnsiTheme="majorBidi" w:cstheme="majorBidi"/>
                <w:sz w:val="20"/>
                <w:lang w:eastAsia="ja-JP"/>
              </w:rPr>
              <w:t>SM.2149</w:t>
            </w:r>
            <w:proofErr w:type="spellEnd"/>
            <w:r w:rsidRPr="00515348">
              <w:rPr>
                <w:rFonts w:asciiTheme="majorBidi" w:hAnsiTheme="majorBidi" w:cstheme="majorBidi"/>
                <w:sz w:val="20"/>
                <w:lang w:eastAsia="ja-JP"/>
              </w:rPr>
              <w:noBreakHyphen/>
              <w:t xml:space="preserve">0, </w:t>
            </w:r>
            <w:proofErr w:type="spellStart"/>
            <w:r w:rsidRPr="00515348">
              <w:rPr>
                <w:rFonts w:asciiTheme="majorBidi" w:hAnsiTheme="majorBidi" w:cstheme="majorBidi"/>
                <w:sz w:val="20"/>
                <w:lang w:eastAsia="ja-JP"/>
              </w:rPr>
              <w:t>SM.2151</w:t>
            </w:r>
            <w:proofErr w:type="spellEnd"/>
            <w:r w:rsidRPr="00515348">
              <w:rPr>
                <w:rFonts w:asciiTheme="majorBidi" w:hAnsiTheme="majorBidi" w:cstheme="majorBidi"/>
                <w:sz w:val="20"/>
                <w:lang w:eastAsia="ja-JP"/>
              </w:rPr>
              <w:noBreakHyphen/>
              <w:t xml:space="preserve">0, </w:t>
            </w:r>
            <w:proofErr w:type="spellStart"/>
            <w:r w:rsidRPr="00515348">
              <w:rPr>
                <w:rFonts w:asciiTheme="majorBidi" w:hAnsiTheme="majorBidi" w:cstheme="majorBidi"/>
                <w:sz w:val="20"/>
                <w:lang w:eastAsia="ja-JP"/>
              </w:rPr>
              <w:t>SM.2152</w:t>
            </w:r>
            <w:proofErr w:type="spellEnd"/>
            <w:r w:rsidRPr="00515348">
              <w:rPr>
                <w:rFonts w:asciiTheme="majorBidi" w:hAnsiTheme="majorBidi" w:cstheme="majorBidi"/>
                <w:sz w:val="20"/>
                <w:lang w:eastAsia="ja-JP"/>
              </w:rPr>
              <w:noBreakHyphen/>
              <w:t>0</w:t>
            </w:r>
          </w:p>
        </w:tc>
        <w:tc>
          <w:tcPr>
            <w:tcW w:w="2268" w:type="dxa"/>
            <w:tcBorders>
              <w:left w:val="single" w:sz="4" w:space="0" w:color="000000" w:themeColor="text1"/>
            </w:tcBorders>
            <w:shd w:val="clear" w:color="auto" w:fill="auto"/>
          </w:tcPr>
          <w:p w14:paraId="599BB285" w14:textId="77777777" w:rsidR="00F90FDF" w:rsidRPr="00E70115" w:rsidRDefault="00F90FDF" w:rsidP="00F90FDF">
            <w:pPr>
              <w:pStyle w:val="Tabletext"/>
              <w:rPr>
                <w:lang w:val="en-GB"/>
              </w:rPr>
            </w:pPr>
            <w:proofErr w:type="spellStart"/>
            <w:r w:rsidRPr="00E70115">
              <w:rPr>
                <w:sz w:val="20"/>
                <w:lang w:val="en-GB"/>
              </w:rPr>
              <w:t>SM.2015</w:t>
            </w:r>
            <w:proofErr w:type="spellEnd"/>
            <w:r w:rsidRPr="00E70115">
              <w:rPr>
                <w:sz w:val="20"/>
                <w:lang w:val="en-GB"/>
              </w:rPr>
              <w:t xml:space="preserve">-2, </w:t>
            </w:r>
            <w:proofErr w:type="spellStart"/>
            <w:r w:rsidRPr="00E70115">
              <w:rPr>
                <w:sz w:val="20"/>
                <w:lang w:val="en-GB"/>
              </w:rPr>
              <w:t>SM.2153</w:t>
            </w:r>
            <w:proofErr w:type="spellEnd"/>
            <w:r w:rsidRPr="00E70115">
              <w:rPr>
                <w:sz w:val="20"/>
                <w:lang w:val="en-GB"/>
              </w:rPr>
              <w:t xml:space="preserve">-9, </w:t>
            </w:r>
            <w:proofErr w:type="spellStart"/>
            <w:r w:rsidRPr="00E70115">
              <w:rPr>
                <w:sz w:val="20"/>
                <w:lang w:val="en-GB"/>
              </w:rPr>
              <w:t>SM.2179</w:t>
            </w:r>
            <w:proofErr w:type="spellEnd"/>
            <w:r w:rsidRPr="00E70115">
              <w:rPr>
                <w:sz w:val="20"/>
                <w:lang w:val="en-GB"/>
              </w:rPr>
              <w:t xml:space="preserve">-1, </w:t>
            </w:r>
            <w:proofErr w:type="spellStart"/>
            <w:r w:rsidRPr="00E70115">
              <w:rPr>
                <w:sz w:val="20"/>
                <w:lang w:val="en-GB"/>
              </w:rPr>
              <w:t>SM.2257</w:t>
            </w:r>
            <w:proofErr w:type="spellEnd"/>
            <w:r w:rsidRPr="00E70115">
              <w:rPr>
                <w:sz w:val="20"/>
                <w:lang w:val="en-GB"/>
              </w:rPr>
              <w:t xml:space="preserve">-6, </w:t>
            </w:r>
            <w:proofErr w:type="spellStart"/>
            <w:r w:rsidRPr="00E70115">
              <w:rPr>
                <w:sz w:val="20"/>
                <w:lang w:val="en-GB"/>
              </w:rPr>
              <w:t>SM.2352</w:t>
            </w:r>
            <w:proofErr w:type="spellEnd"/>
            <w:r w:rsidRPr="00E70115">
              <w:rPr>
                <w:sz w:val="20"/>
                <w:lang w:val="en-GB"/>
              </w:rPr>
              <w:t xml:space="preserve">-1, </w:t>
            </w:r>
            <w:proofErr w:type="spellStart"/>
            <w:r w:rsidRPr="00E70115">
              <w:rPr>
                <w:sz w:val="20"/>
                <w:lang w:val="en-GB"/>
              </w:rPr>
              <w:t>SM.2422</w:t>
            </w:r>
            <w:proofErr w:type="spellEnd"/>
            <w:r w:rsidRPr="00E70115">
              <w:rPr>
                <w:sz w:val="20"/>
                <w:lang w:val="en-GB"/>
              </w:rPr>
              <w:t xml:space="preserve">-2, </w:t>
            </w:r>
            <w:proofErr w:type="spellStart"/>
            <w:r w:rsidRPr="00E70115">
              <w:rPr>
                <w:sz w:val="20"/>
                <w:lang w:val="en-GB"/>
              </w:rPr>
              <w:t>SM.2451</w:t>
            </w:r>
            <w:proofErr w:type="spellEnd"/>
            <w:r w:rsidRPr="00E70115">
              <w:rPr>
                <w:sz w:val="20"/>
                <w:lang w:val="en-GB"/>
              </w:rPr>
              <w:t xml:space="preserve">-1, </w:t>
            </w:r>
            <w:proofErr w:type="spellStart"/>
            <w:r w:rsidRPr="00E70115">
              <w:rPr>
                <w:sz w:val="20"/>
                <w:lang w:val="en-GB"/>
              </w:rPr>
              <w:t>SM.2452</w:t>
            </w:r>
            <w:proofErr w:type="spellEnd"/>
            <w:r w:rsidRPr="00E70115">
              <w:rPr>
                <w:sz w:val="20"/>
                <w:lang w:val="en-GB"/>
              </w:rPr>
              <w:t xml:space="preserve">-1, </w:t>
            </w:r>
            <w:proofErr w:type="spellStart"/>
            <w:r w:rsidRPr="00E70115">
              <w:rPr>
                <w:sz w:val="20"/>
                <w:lang w:val="en-GB"/>
              </w:rPr>
              <w:t>SM.2503</w:t>
            </w:r>
            <w:proofErr w:type="spellEnd"/>
            <w:r w:rsidRPr="00E70115">
              <w:rPr>
                <w:sz w:val="20"/>
                <w:lang w:val="en-GB"/>
              </w:rPr>
              <w:t xml:space="preserve">-0, </w:t>
            </w:r>
            <w:proofErr w:type="spellStart"/>
            <w:r w:rsidRPr="00E70115">
              <w:rPr>
                <w:sz w:val="20"/>
                <w:lang w:val="en-GB"/>
              </w:rPr>
              <w:t>SM.2504</w:t>
            </w:r>
            <w:proofErr w:type="spellEnd"/>
            <w:r w:rsidRPr="00E70115">
              <w:rPr>
                <w:sz w:val="20"/>
                <w:lang w:val="en-GB"/>
              </w:rPr>
              <w:t xml:space="preserve">-0, </w:t>
            </w:r>
            <w:proofErr w:type="spellStart"/>
            <w:r w:rsidRPr="00E70115">
              <w:rPr>
                <w:sz w:val="20"/>
                <w:lang w:val="en-GB"/>
              </w:rPr>
              <w:t>SM.2505</w:t>
            </w:r>
            <w:proofErr w:type="spellEnd"/>
            <w:r w:rsidRPr="00E70115">
              <w:rPr>
                <w:sz w:val="20"/>
                <w:lang w:val="en-GB"/>
              </w:rPr>
              <w:t>-0</w:t>
            </w:r>
          </w:p>
        </w:tc>
        <w:tc>
          <w:tcPr>
            <w:tcW w:w="1399" w:type="dxa"/>
            <w:tcBorders>
              <w:left w:val="single" w:sz="4" w:space="0" w:color="000000" w:themeColor="text1"/>
            </w:tcBorders>
            <w:shd w:val="clear" w:color="auto" w:fill="auto"/>
          </w:tcPr>
          <w:p w14:paraId="451C6B69" w14:textId="77777777" w:rsidR="00F90FDF" w:rsidRPr="00515348" w:rsidRDefault="00F90FDF" w:rsidP="00F90FDF">
            <w:pPr>
              <w:pStyle w:val="Tabletext"/>
            </w:pPr>
            <w:r w:rsidRPr="00515348">
              <w:rPr>
                <w:sz w:val="20"/>
              </w:rPr>
              <w:t>210-4/1, 243/1</w:t>
            </w:r>
          </w:p>
        </w:tc>
        <w:tc>
          <w:tcPr>
            <w:tcW w:w="1386" w:type="dxa"/>
            <w:tcBorders>
              <w:left w:val="single" w:sz="4" w:space="0" w:color="000000" w:themeColor="text1"/>
            </w:tcBorders>
          </w:tcPr>
          <w:p w14:paraId="6E5185D7" w14:textId="77777777" w:rsidR="00F90FDF" w:rsidRPr="00515348" w:rsidRDefault="00F90FDF" w:rsidP="00F90FDF">
            <w:pPr>
              <w:pStyle w:val="Tabletext"/>
              <w:rPr>
                <w:sz w:val="20"/>
              </w:rPr>
            </w:pPr>
          </w:p>
        </w:tc>
        <w:tc>
          <w:tcPr>
            <w:tcW w:w="1207" w:type="dxa"/>
            <w:tcBorders>
              <w:left w:val="single" w:sz="4" w:space="0" w:color="000000" w:themeColor="text1"/>
            </w:tcBorders>
          </w:tcPr>
          <w:p w14:paraId="48887C1F" w14:textId="77777777" w:rsidR="00F90FDF" w:rsidRPr="00515348" w:rsidRDefault="00F90FDF" w:rsidP="00F90FDF">
            <w:pPr>
              <w:pStyle w:val="Tabletext"/>
              <w:rPr>
                <w:sz w:val="20"/>
              </w:rPr>
            </w:pPr>
          </w:p>
        </w:tc>
      </w:tr>
      <w:tr w:rsidR="00F90FDF" w:rsidRPr="00515348" w14:paraId="06B5C161" w14:textId="77777777" w:rsidTr="00E70115">
        <w:trPr>
          <w:trHeight w:val="270"/>
          <w:jc w:val="center"/>
        </w:trPr>
        <w:tc>
          <w:tcPr>
            <w:tcW w:w="1255" w:type="dxa"/>
            <w:tcBorders>
              <w:right w:val="single" w:sz="4" w:space="0" w:color="000000"/>
            </w:tcBorders>
            <w:shd w:val="clear" w:color="auto" w:fill="auto"/>
          </w:tcPr>
          <w:p w14:paraId="42F2C204" w14:textId="1CF7BDCF" w:rsidR="00F90FDF" w:rsidRPr="00515348" w:rsidDel="00A14716" w:rsidRDefault="00F90FDF" w:rsidP="00F90FDF">
            <w:pPr>
              <w:pStyle w:val="Tabletext"/>
              <w:jc w:val="center"/>
              <w:rPr>
                <w:b/>
                <w:bCs/>
              </w:rPr>
            </w:pPr>
            <w:r w:rsidRPr="00515348">
              <w:rPr>
                <w:b/>
                <w:bCs/>
              </w:rPr>
              <w:t>CE 3</w:t>
            </w:r>
          </w:p>
        </w:tc>
        <w:tc>
          <w:tcPr>
            <w:tcW w:w="2114" w:type="dxa"/>
            <w:tcBorders>
              <w:left w:val="single" w:sz="4" w:space="0" w:color="000000" w:themeColor="text1"/>
            </w:tcBorders>
            <w:shd w:val="clear" w:color="auto" w:fill="auto"/>
          </w:tcPr>
          <w:p w14:paraId="7609E858" w14:textId="77777777" w:rsidR="00F90FDF" w:rsidRPr="00515348" w:rsidRDefault="00F90FDF" w:rsidP="00F90FDF">
            <w:pPr>
              <w:pStyle w:val="Tabletext"/>
            </w:pPr>
            <w:proofErr w:type="spellStart"/>
            <w:r w:rsidRPr="00515348">
              <w:rPr>
                <w:sz w:val="20"/>
              </w:rPr>
              <w:t>P.368</w:t>
            </w:r>
            <w:proofErr w:type="spellEnd"/>
            <w:r w:rsidRPr="00515348">
              <w:rPr>
                <w:sz w:val="20"/>
              </w:rPr>
              <w:t xml:space="preserve">-10, </w:t>
            </w:r>
            <w:proofErr w:type="spellStart"/>
            <w:r w:rsidRPr="00515348">
              <w:rPr>
                <w:sz w:val="20"/>
              </w:rPr>
              <w:t>P.372</w:t>
            </w:r>
            <w:proofErr w:type="spellEnd"/>
            <w:r w:rsidRPr="00515348">
              <w:rPr>
                <w:sz w:val="20"/>
              </w:rPr>
              <w:t xml:space="preserve">-16, </w:t>
            </w:r>
            <w:proofErr w:type="spellStart"/>
            <w:r w:rsidRPr="00515348">
              <w:rPr>
                <w:sz w:val="20"/>
              </w:rPr>
              <w:t>P.581</w:t>
            </w:r>
            <w:proofErr w:type="spellEnd"/>
            <w:r w:rsidRPr="00515348">
              <w:rPr>
                <w:sz w:val="20"/>
              </w:rPr>
              <w:t xml:space="preserve">-3, </w:t>
            </w:r>
            <w:proofErr w:type="spellStart"/>
            <w:r w:rsidRPr="00515348">
              <w:rPr>
                <w:sz w:val="20"/>
              </w:rPr>
              <w:t>P.676</w:t>
            </w:r>
            <w:proofErr w:type="spellEnd"/>
            <w:r w:rsidRPr="00515348">
              <w:rPr>
                <w:sz w:val="20"/>
              </w:rPr>
              <w:t xml:space="preserve">-13, </w:t>
            </w:r>
            <w:proofErr w:type="spellStart"/>
            <w:r w:rsidRPr="00515348">
              <w:rPr>
                <w:sz w:val="20"/>
              </w:rPr>
              <w:t>P.680</w:t>
            </w:r>
            <w:proofErr w:type="spellEnd"/>
            <w:r w:rsidRPr="00515348">
              <w:rPr>
                <w:sz w:val="20"/>
              </w:rPr>
              <w:t xml:space="preserve">-4, </w:t>
            </w:r>
            <w:proofErr w:type="spellStart"/>
            <w:r w:rsidRPr="00515348">
              <w:rPr>
                <w:sz w:val="20"/>
              </w:rPr>
              <w:t>P.682</w:t>
            </w:r>
            <w:proofErr w:type="spellEnd"/>
            <w:r w:rsidRPr="00515348">
              <w:rPr>
                <w:sz w:val="20"/>
              </w:rPr>
              <w:t xml:space="preserve">-4, </w:t>
            </w:r>
            <w:proofErr w:type="spellStart"/>
            <w:r w:rsidRPr="00515348">
              <w:rPr>
                <w:sz w:val="20"/>
              </w:rPr>
              <w:t>P.684</w:t>
            </w:r>
            <w:proofErr w:type="spellEnd"/>
            <w:r w:rsidRPr="00515348">
              <w:rPr>
                <w:sz w:val="20"/>
                <w:szCs w:val="18"/>
              </w:rPr>
              <w:noBreakHyphen/>
            </w:r>
            <w:r w:rsidRPr="00515348">
              <w:rPr>
                <w:sz w:val="20"/>
              </w:rPr>
              <w:t xml:space="preserve">8, </w:t>
            </w:r>
            <w:proofErr w:type="spellStart"/>
            <w:r w:rsidRPr="00515348">
              <w:rPr>
                <w:sz w:val="20"/>
              </w:rPr>
              <w:t>P.841</w:t>
            </w:r>
            <w:proofErr w:type="spellEnd"/>
            <w:r w:rsidRPr="00515348">
              <w:rPr>
                <w:sz w:val="20"/>
              </w:rPr>
              <w:t xml:space="preserve">-7, </w:t>
            </w:r>
            <w:proofErr w:type="spellStart"/>
            <w:r w:rsidRPr="00515348">
              <w:rPr>
                <w:sz w:val="20"/>
              </w:rPr>
              <w:t>P.1057</w:t>
            </w:r>
            <w:proofErr w:type="spellEnd"/>
            <w:r w:rsidRPr="00515348">
              <w:rPr>
                <w:sz w:val="20"/>
              </w:rPr>
              <w:t xml:space="preserve">-7, </w:t>
            </w:r>
            <w:proofErr w:type="spellStart"/>
            <w:r w:rsidRPr="00515348">
              <w:rPr>
                <w:sz w:val="20"/>
              </w:rPr>
              <w:t>P.1622</w:t>
            </w:r>
            <w:proofErr w:type="spellEnd"/>
            <w:r w:rsidRPr="00515348">
              <w:rPr>
                <w:sz w:val="20"/>
              </w:rPr>
              <w:t xml:space="preserve">-1, </w:t>
            </w:r>
            <w:proofErr w:type="spellStart"/>
            <w:r w:rsidRPr="00515348">
              <w:rPr>
                <w:sz w:val="20"/>
              </w:rPr>
              <w:t>P.2145</w:t>
            </w:r>
            <w:proofErr w:type="spellEnd"/>
            <w:r w:rsidRPr="00515348">
              <w:rPr>
                <w:sz w:val="20"/>
              </w:rPr>
              <w:t xml:space="preserve">-0, </w:t>
            </w:r>
            <w:proofErr w:type="spellStart"/>
            <w:r w:rsidRPr="00515348">
              <w:rPr>
                <w:sz w:val="20"/>
              </w:rPr>
              <w:t>P.2146</w:t>
            </w:r>
            <w:proofErr w:type="spellEnd"/>
            <w:r w:rsidRPr="00515348">
              <w:rPr>
                <w:sz w:val="20"/>
              </w:rPr>
              <w:t xml:space="preserve">-0, </w:t>
            </w:r>
            <w:proofErr w:type="spellStart"/>
            <w:r w:rsidRPr="00515348">
              <w:rPr>
                <w:sz w:val="20"/>
              </w:rPr>
              <w:t>P.2147</w:t>
            </w:r>
            <w:proofErr w:type="spellEnd"/>
            <w:r w:rsidRPr="00515348">
              <w:rPr>
                <w:sz w:val="20"/>
              </w:rPr>
              <w:t xml:space="preserve">-0, </w:t>
            </w:r>
            <w:proofErr w:type="spellStart"/>
            <w:r w:rsidRPr="00515348">
              <w:rPr>
                <w:sz w:val="20"/>
              </w:rPr>
              <w:t>P.2148</w:t>
            </w:r>
            <w:proofErr w:type="spellEnd"/>
            <w:r w:rsidRPr="00515348">
              <w:rPr>
                <w:sz w:val="20"/>
              </w:rPr>
              <w:t>-0</w:t>
            </w:r>
          </w:p>
        </w:tc>
        <w:tc>
          <w:tcPr>
            <w:tcW w:w="2268" w:type="dxa"/>
            <w:tcBorders>
              <w:left w:val="single" w:sz="4" w:space="0" w:color="000000" w:themeColor="text1"/>
            </w:tcBorders>
            <w:shd w:val="clear" w:color="auto" w:fill="auto"/>
          </w:tcPr>
          <w:p w14:paraId="75237073" w14:textId="77777777" w:rsidR="00F90FDF" w:rsidRPr="00515348" w:rsidRDefault="00F90FDF" w:rsidP="00F90FDF">
            <w:pPr>
              <w:pStyle w:val="Tabletext"/>
              <w:rPr>
                <w:rFonts w:asciiTheme="majorBidi" w:hAnsiTheme="majorBidi" w:cstheme="majorBidi"/>
                <w:sz w:val="20"/>
                <w:lang w:eastAsia="ja-JP"/>
              </w:rPr>
            </w:pPr>
          </w:p>
        </w:tc>
        <w:tc>
          <w:tcPr>
            <w:tcW w:w="1399" w:type="dxa"/>
            <w:tcBorders>
              <w:left w:val="single" w:sz="4" w:space="0" w:color="000000" w:themeColor="text1"/>
            </w:tcBorders>
            <w:shd w:val="clear" w:color="auto" w:fill="auto"/>
          </w:tcPr>
          <w:p w14:paraId="6B9DEEF9" w14:textId="77777777" w:rsidR="00F90FDF" w:rsidRPr="00515348" w:rsidRDefault="00F90FDF" w:rsidP="00F90FDF">
            <w:pPr>
              <w:pStyle w:val="Tabletext"/>
            </w:pPr>
            <w:r w:rsidRPr="00515348">
              <w:rPr>
                <w:rFonts w:asciiTheme="majorBidi" w:hAnsiTheme="majorBidi" w:cstheme="majorBidi"/>
                <w:sz w:val="20"/>
                <w:lang w:eastAsia="ja-JP"/>
              </w:rPr>
              <w:t>202-5/3</w:t>
            </w:r>
          </w:p>
        </w:tc>
        <w:tc>
          <w:tcPr>
            <w:tcW w:w="1386" w:type="dxa"/>
            <w:tcBorders>
              <w:left w:val="single" w:sz="4" w:space="0" w:color="000000" w:themeColor="text1"/>
            </w:tcBorders>
          </w:tcPr>
          <w:p w14:paraId="24E5C8C2" w14:textId="77777777" w:rsidR="00F90FDF" w:rsidRPr="00515348" w:rsidRDefault="00F90FDF" w:rsidP="00F90FDF">
            <w:pPr>
              <w:pStyle w:val="Tabletext"/>
            </w:pPr>
          </w:p>
        </w:tc>
        <w:tc>
          <w:tcPr>
            <w:tcW w:w="1207" w:type="dxa"/>
            <w:tcBorders>
              <w:left w:val="single" w:sz="4" w:space="0" w:color="000000" w:themeColor="text1"/>
            </w:tcBorders>
          </w:tcPr>
          <w:p w14:paraId="1E538F86" w14:textId="77777777" w:rsidR="00F90FDF" w:rsidRPr="00515348" w:rsidRDefault="00F90FDF" w:rsidP="00F90FDF">
            <w:pPr>
              <w:pStyle w:val="Tabletext"/>
            </w:pPr>
          </w:p>
        </w:tc>
      </w:tr>
      <w:tr w:rsidR="00F90FDF" w:rsidRPr="00515348" w14:paraId="50FB4082" w14:textId="77777777" w:rsidTr="00E70115">
        <w:trPr>
          <w:trHeight w:val="270"/>
          <w:jc w:val="center"/>
        </w:trPr>
        <w:tc>
          <w:tcPr>
            <w:tcW w:w="1255" w:type="dxa"/>
            <w:tcBorders>
              <w:right w:val="single" w:sz="4" w:space="0" w:color="000000"/>
            </w:tcBorders>
            <w:shd w:val="clear" w:color="auto" w:fill="auto"/>
          </w:tcPr>
          <w:p w14:paraId="05C85479" w14:textId="232DAFF0" w:rsidR="00F90FDF" w:rsidRPr="00515348" w:rsidDel="00A14716" w:rsidRDefault="00F90FDF" w:rsidP="00F90FDF">
            <w:pPr>
              <w:pStyle w:val="Tabletext"/>
              <w:jc w:val="center"/>
              <w:rPr>
                <w:b/>
                <w:bCs/>
              </w:rPr>
            </w:pPr>
            <w:r w:rsidRPr="00515348">
              <w:rPr>
                <w:b/>
                <w:bCs/>
              </w:rPr>
              <w:t>CE 4</w:t>
            </w:r>
          </w:p>
        </w:tc>
        <w:tc>
          <w:tcPr>
            <w:tcW w:w="2114" w:type="dxa"/>
            <w:tcBorders>
              <w:left w:val="single" w:sz="4" w:space="0" w:color="000000" w:themeColor="text1"/>
            </w:tcBorders>
            <w:shd w:val="clear" w:color="auto" w:fill="auto"/>
          </w:tcPr>
          <w:p w14:paraId="715D5C34" w14:textId="77777777" w:rsidR="00F90FDF" w:rsidRPr="00515348" w:rsidRDefault="00F90FDF" w:rsidP="00F90FDF">
            <w:pPr>
              <w:pStyle w:val="Tabletext"/>
              <w:rPr>
                <w:sz w:val="20"/>
              </w:rPr>
            </w:pPr>
          </w:p>
        </w:tc>
        <w:tc>
          <w:tcPr>
            <w:tcW w:w="2268" w:type="dxa"/>
            <w:tcBorders>
              <w:left w:val="single" w:sz="4" w:space="0" w:color="000000" w:themeColor="text1"/>
            </w:tcBorders>
            <w:shd w:val="clear" w:color="auto" w:fill="auto"/>
          </w:tcPr>
          <w:p w14:paraId="25A72437" w14:textId="77777777" w:rsidR="00F90FDF" w:rsidRPr="00515348" w:rsidRDefault="00F90FDF" w:rsidP="00F90FDF">
            <w:pPr>
              <w:pStyle w:val="Tabletext"/>
            </w:pPr>
            <w:proofErr w:type="spellStart"/>
            <w:r w:rsidRPr="00515348">
              <w:rPr>
                <w:sz w:val="20"/>
              </w:rPr>
              <w:t>BO.2397</w:t>
            </w:r>
            <w:proofErr w:type="spellEnd"/>
            <w:r w:rsidRPr="00515348">
              <w:rPr>
                <w:sz w:val="20"/>
              </w:rPr>
              <w:t xml:space="preserve">-1, </w:t>
            </w:r>
            <w:proofErr w:type="spellStart"/>
            <w:r w:rsidRPr="00515348">
              <w:rPr>
                <w:sz w:val="20"/>
              </w:rPr>
              <w:t>M.2513</w:t>
            </w:r>
            <w:proofErr w:type="spellEnd"/>
            <w:r w:rsidRPr="00515348">
              <w:rPr>
                <w:sz w:val="20"/>
                <w:szCs w:val="18"/>
              </w:rPr>
              <w:noBreakHyphen/>
            </w:r>
            <w:r w:rsidRPr="00515348">
              <w:rPr>
                <w:sz w:val="20"/>
              </w:rPr>
              <w:t xml:space="preserve">0, </w:t>
            </w:r>
            <w:proofErr w:type="spellStart"/>
            <w:r w:rsidRPr="00515348">
              <w:rPr>
                <w:sz w:val="20"/>
              </w:rPr>
              <w:t>M.2514</w:t>
            </w:r>
            <w:proofErr w:type="spellEnd"/>
            <w:r w:rsidRPr="00515348">
              <w:rPr>
                <w:sz w:val="20"/>
                <w:szCs w:val="18"/>
              </w:rPr>
              <w:noBreakHyphen/>
            </w:r>
            <w:r w:rsidRPr="00515348">
              <w:rPr>
                <w:sz w:val="20"/>
              </w:rPr>
              <w:t xml:space="preserve">0, </w:t>
            </w:r>
            <w:proofErr w:type="spellStart"/>
            <w:r w:rsidRPr="00515348">
              <w:rPr>
                <w:sz w:val="20"/>
              </w:rPr>
              <w:t>S.2515</w:t>
            </w:r>
            <w:proofErr w:type="spellEnd"/>
            <w:r w:rsidRPr="00515348">
              <w:rPr>
                <w:sz w:val="20"/>
              </w:rPr>
              <w:t>-0</w:t>
            </w:r>
          </w:p>
        </w:tc>
        <w:tc>
          <w:tcPr>
            <w:tcW w:w="1399" w:type="dxa"/>
            <w:tcBorders>
              <w:left w:val="single" w:sz="4" w:space="0" w:color="000000" w:themeColor="text1"/>
            </w:tcBorders>
            <w:shd w:val="clear" w:color="auto" w:fill="auto"/>
          </w:tcPr>
          <w:p w14:paraId="1825060F" w14:textId="77777777" w:rsidR="00F90FDF" w:rsidRPr="00515348" w:rsidRDefault="00F90FDF" w:rsidP="00F90FDF">
            <w:pPr>
              <w:pStyle w:val="Tabletext"/>
            </w:pPr>
          </w:p>
        </w:tc>
        <w:tc>
          <w:tcPr>
            <w:tcW w:w="1386" w:type="dxa"/>
            <w:tcBorders>
              <w:left w:val="single" w:sz="4" w:space="0" w:color="000000" w:themeColor="text1"/>
            </w:tcBorders>
          </w:tcPr>
          <w:p w14:paraId="5F662A24" w14:textId="77777777" w:rsidR="00F90FDF" w:rsidRPr="00515348" w:rsidRDefault="00F90FDF" w:rsidP="00F90FDF">
            <w:pPr>
              <w:pStyle w:val="Tabletext"/>
            </w:pPr>
          </w:p>
        </w:tc>
        <w:tc>
          <w:tcPr>
            <w:tcW w:w="1207" w:type="dxa"/>
            <w:tcBorders>
              <w:left w:val="single" w:sz="4" w:space="0" w:color="000000" w:themeColor="text1"/>
            </w:tcBorders>
          </w:tcPr>
          <w:p w14:paraId="6D6B85DC" w14:textId="77777777" w:rsidR="00F90FDF" w:rsidRPr="00515348" w:rsidRDefault="00F90FDF" w:rsidP="00F90FDF">
            <w:pPr>
              <w:pStyle w:val="Tabletext"/>
            </w:pPr>
          </w:p>
        </w:tc>
      </w:tr>
      <w:tr w:rsidR="00F90FDF" w:rsidRPr="00515348" w14:paraId="02135EE1" w14:textId="77777777" w:rsidTr="00E70115">
        <w:trPr>
          <w:trHeight w:val="270"/>
          <w:jc w:val="center"/>
        </w:trPr>
        <w:tc>
          <w:tcPr>
            <w:tcW w:w="1255" w:type="dxa"/>
            <w:tcBorders>
              <w:right w:val="single" w:sz="4" w:space="0" w:color="000000"/>
            </w:tcBorders>
            <w:shd w:val="clear" w:color="auto" w:fill="auto"/>
          </w:tcPr>
          <w:p w14:paraId="51E6912B" w14:textId="23A7E050" w:rsidR="00F90FDF" w:rsidRPr="00515348" w:rsidDel="00A14716" w:rsidRDefault="00F90FDF" w:rsidP="00F90FDF">
            <w:pPr>
              <w:pStyle w:val="Tabletext"/>
              <w:jc w:val="center"/>
              <w:rPr>
                <w:b/>
                <w:bCs/>
              </w:rPr>
            </w:pPr>
            <w:r w:rsidRPr="00515348">
              <w:rPr>
                <w:b/>
                <w:bCs/>
              </w:rPr>
              <w:t>CE 5</w:t>
            </w:r>
          </w:p>
        </w:tc>
        <w:tc>
          <w:tcPr>
            <w:tcW w:w="2114" w:type="dxa"/>
            <w:tcBorders>
              <w:left w:val="single" w:sz="4" w:space="0" w:color="000000" w:themeColor="text1"/>
            </w:tcBorders>
            <w:shd w:val="clear" w:color="auto" w:fill="auto"/>
          </w:tcPr>
          <w:p w14:paraId="155C0593" w14:textId="77777777" w:rsidR="00F90FDF" w:rsidRPr="00515348" w:rsidRDefault="00F90FDF" w:rsidP="00F90FDF">
            <w:pPr>
              <w:pStyle w:val="Tabletext"/>
            </w:pPr>
            <w:proofErr w:type="spellStart"/>
            <w:r w:rsidRPr="00515348">
              <w:rPr>
                <w:rFonts w:asciiTheme="majorBidi" w:hAnsiTheme="majorBidi" w:cstheme="majorBidi"/>
                <w:sz w:val="20"/>
                <w:lang w:eastAsia="ja-JP"/>
              </w:rPr>
              <w:t>M.585</w:t>
            </w:r>
            <w:proofErr w:type="spellEnd"/>
            <w:r w:rsidRPr="00515348">
              <w:rPr>
                <w:rFonts w:asciiTheme="majorBidi" w:hAnsiTheme="majorBidi" w:cstheme="majorBidi"/>
                <w:sz w:val="20"/>
                <w:lang w:eastAsia="ja-JP"/>
              </w:rPr>
              <w:t xml:space="preserve">-9, </w:t>
            </w:r>
            <w:proofErr w:type="spellStart"/>
            <w:r w:rsidRPr="00515348">
              <w:rPr>
                <w:rFonts w:asciiTheme="majorBidi" w:hAnsiTheme="majorBidi" w:cstheme="majorBidi"/>
                <w:sz w:val="20"/>
                <w:lang w:eastAsia="ja-JP"/>
              </w:rPr>
              <w:t>F.1520</w:t>
            </w:r>
            <w:proofErr w:type="spellEnd"/>
            <w:r w:rsidRPr="00515348">
              <w:rPr>
                <w:rFonts w:asciiTheme="majorBidi" w:hAnsiTheme="majorBidi" w:cstheme="majorBidi"/>
                <w:sz w:val="20"/>
                <w:lang w:eastAsia="ja-JP"/>
              </w:rPr>
              <w:t xml:space="preserve">-4, </w:t>
            </w:r>
            <w:proofErr w:type="spellStart"/>
            <w:r w:rsidRPr="00515348">
              <w:rPr>
                <w:rFonts w:asciiTheme="majorBidi" w:hAnsiTheme="majorBidi" w:cstheme="majorBidi"/>
                <w:sz w:val="20"/>
                <w:lang w:eastAsia="ja-JP"/>
              </w:rPr>
              <w:t>M.1730</w:t>
            </w:r>
            <w:proofErr w:type="spellEnd"/>
            <w:r w:rsidRPr="00515348">
              <w:rPr>
                <w:rFonts w:asciiTheme="majorBidi" w:hAnsiTheme="majorBidi" w:cstheme="majorBidi"/>
                <w:sz w:val="20"/>
                <w:lang w:eastAsia="ja-JP"/>
              </w:rPr>
              <w:t xml:space="preserve">-2, </w:t>
            </w:r>
            <w:proofErr w:type="spellStart"/>
            <w:r w:rsidRPr="00515348">
              <w:rPr>
                <w:rFonts w:asciiTheme="majorBidi" w:hAnsiTheme="majorBidi" w:cstheme="majorBidi"/>
                <w:sz w:val="20"/>
                <w:lang w:eastAsia="ja-JP"/>
              </w:rPr>
              <w:t>M.1732</w:t>
            </w:r>
            <w:proofErr w:type="spellEnd"/>
            <w:r w:rsidRPr="00515348">
              <w:rPr>
                <w:rFonts w:asciiTheme="majorBidi" w:hAnsiTheme="majorBidi" w:cstheme="majorBidi"/>
                <w:sz w:val="20"/>
                <w:lang w:eastAsia="ja-JP"/>
              </w:rPr>
              <w:t xml:space="preserve">-3, </w:t>
            </w:r>
            <w:proofErr w:type="spellStart"/>
            <w:r w:rsidRPr="00515348">
              <w:rPr>
                <w:rFonts w:asciiTheme="majorBidi" w:hAnsiTheme="majorBidi" w:cstheme="majorBidi"/>
                <w:sz w:val="20"/>
                <w:lang w:eastAsia="ja-JP"/>
              </w:rPr>
              <w:t>M.1849</w:t>
            </w:r>
            <w:proofErr w:type="spellEnd"/>
            <w:r w:rsidRPr="00515348">
              <w:rPr>
                <w:rFonts w:asciiTheme="majorBidi" w:hAnsiTheme="majorBidi" w:cstheme="majorBidi"/>
                <w:sz w:val="20"/>
                <w:lang w:eastAsia="ja-JP"/>
              </w:rPr>
              <w:t xml:space="preserve">-3, </w:t>
            </w:r>
            <w:proofErr w:type="spellStart"/>
            <w:r w:rsidRPr="00515348">
              <w:rPr>
                <w:rFonts w:asciiTheme="majorBidi" w:hAnsiTheme="majorBidi" w:cstheme="majorBidi"/>
                <w:sz w:val="20"/>
                <w:lang w:eastAsia="ja-JP"/>
              </w:rPr>
              <w:t>M.2010</w:t>
            </w:r>
            <w:proofErr w:type="spellEnd"/>
            <w:r w:rsidRPr="00515348">
              <w:rPr>
                <w:rFonts w:asciiTheme="majorBidi" w:hAnsiTheme="majorBidi" w:cstheme="majorBidi"/>
                <w:sz w:val="20"/>
                <w:lang w:eastAsia="ja-JP"/>
              </w:rPr>
              <w:t xml:space="preserve">-2, </w:t>
            </w:r>
            <w:proofErr w:type="spellStart"/>
            <w:r w:rsidRPr="00515348">
              <w:rPr>
                <w:rFonts w:asciiTheme="majorBidi" w:hAnsiTheme="majorBidi" w:cstheme="majorBidi"/>
                <w:sz w:val="20"/>
                <w:lang w:eastAsia="ja-JP"/>
              </w:rPr>
              <w:t>M.2058</w:t>
            </w:r>
            <w:proofErr w:type="spellEnd"/>
            <w:r w:rsidRPr="00515348">
              <w:rPr>
                <w:rFonts w:asciiTheme="majorBidi" w:hAnsiTheme="majorBidi" w:cstheme="majorBidi"/>
                <w:sz w:val="20"/>
                <w:lang w:eastAsia="ja-JP"/>
              </w:rPr>
              <w:t xml:space="preserve">-1, </w:t>
            </w:r>
            <w:proofErr w:type="spellStart"/>
            <w:r w:rsidRPr="00515348">
              <w:rPr>
                <w:rFonts w:asciiTheme="majorBidi" w:hAnsiTheme="majorBidi" w:cstheme="majorBidi"/>
                <w:sz w:val="20"/>
                <w:lang w:eastAsia="ja-JP"/>
              </w:rPr>
              <w:t>M.2135</w:t>
            </w:r>
            <w:proofErr w:type="spellEnd"/>
            <w:r w:rsidRPr="00515348">
              <w:rPr>
                <w:rFonts w:asciiTheme="majorBidi" w:hAnsiTheme="majorBidi" w:cstheme="majorBidi"/>
                <w:sz w:val="20"/>
                <w:lang w:eastAsia="ja-JP"/>
              </w:rPr>
              <w:t>-1</w:t>
            </w:r>
          </w:p>
        </w:tc>
        <w:tc>
          <w:tcPr>
            <w:tcW w:w="2268" w:type="dxa"/>
            <w:tcBorders>
              <w:left w:val="single" w:sz="4" w:space="0" w:color="000000" w:themeColor="text1"/>
            </w:tcBorders>
            <w:shd w:val="clear" w:color="auto" w:fill="auto"/>
          </w:tcPr>
          <w:p w14:paraId="064EA1E9" w14:textId="77777777" w:rsidR="00F90FDF" w:rsidRPr="00515348" w:rsidRDefault="00F90FDF" w:rsidP="00F90FDF">
            <w:pPr>
              <w:pStyle w:val="Tabletext"/>
            </w:pPr>
            <w:proofErr w:type="spellStart"/>
            <w:r w:rsidRPr="00515348">
              <w:rPr>
                <w:rFonts w:asciiTheme="majorBidi" w:hAnsiTheme="majorBidi" w:cstheme="majorBidi"/>
                <w:sz w:val="20"/>
                <w:lang w:eastAsia="ja-JP"/>
              </w:rPr>
              <w:t>M.2417</w:t>
            </w:r>
            <w:proofErr w:type="spellEnd"/>
            <w:r w:rsidRPr="00515348">
              <w:rPr>
                <w:rFonts w:asciiTheme="majorBidi" w:hAnsiTheme="majorBidi" w:cstheme="majorBidi"/>
                <w:sz w:val="20"/>
                <w:lang w:eastAsia="ja-JP"/>
              </w:rPr>
              <w:t xml:space="preserve">-1, </w:t>
            </w:r>
            <w:proofErr w:type="spellStart"/>
            <w:r w:rsidRPr="00515348">
              <w:rPr>
                <w:rFonts w:asciiTheme="majorBidi" w:hAnsiTheme="majorBidi" w:cstheme="majorBidi"/>
                <w:sz w:val="20"/>
                <w:lang w:eastAsia="ja-JP"/>
              </w:rPr>
              <w:t>M.2516</w:t>
            </w:r>
            <w:proofErr w:type="spellEnd"/>
            <w:r w:rsidRPr="00515348">
              <w:rPr>
                <w:rFonts w:asciiTheme="majorBidi" w:hAnsiTheme="majorBidi" w:cstheme="majorBidi"/>
                <w:sz w:val="20"/>
                <w:lang w:eastAsia="ja-JP"/>
              </w:rPr>
              <w:noBreakHyphen/>
              <w:t xml:space="preserve">0, </w:t>
            </w:r>
            <w:proofErr w:type="spellStart"/>
            <w:r w:rsidRPr="00515348">
              <w:rPr>
                <w:rFonts w:asciiTheme="majorBidi" w:hAnsiTheme="majorBidi" w:cstheme="majorBidi"/>
                <w:sz w:val="20"/>
                <w:lang w:eastAsia="ja-JP"/>
              </w:rPr>
              <w:t>M.2517</w:t>
            </w:r>
            <w:proofErr w:type="spellEnd"/>
            <w:r w:rsidRPr="00515348">
              <w:rPr>
                <w:rFonts w:asciiTheme="majorBidi" w:hAnsiTheme="majorBidi" w:cstheme="majorBidi"/>
                <w:sz w:val="20"/>
                <w:lang w:eastAsia="ja-JP"/>
              </w:rPr>
              <w:noBreakHyphen/>
              <w:t xml:space="preserve">0, </w:t>
            </w:r>
            <w:proofErr w:type="spellStart"/>
            <w:r w:rsidRPr="00515348">
              <w:rPr>
                <w:rFonts w:asciiTheme="majorBidi" w:hAnsiTheme="majorBidi" w:cstheme="majorBidi"/>
                <w:sz w:val="20"/>
                <w:lang w:eastAsia="ja-JP"/>
              </w:rPr>
              <w:t>M.2518</w:t>
            </w:r>
            <w:proofErr w:type="spellEnd"/>
            <w:r w:rsidRPr="00515348">
              <w:rPr>
                <w:rFonts w:asciiTheme="majorBidi" w:hAnsiTheme="majorBidi" w:cstheme="majorBidi"/>
                <w:sz w:val="20"/>
                <w:lang w:eastAsia="ja-JP"/>
              </w:rPr>
              <w:noBreakHyphen/>
              <w:t xml:space="preserve">0, </w:t>
            </w:r>
            <w:proofErr w:type="spellStart"/>
            <w:r w:rsidRPr="00515348">
              <w:rPr>
                <w:rFonts w:asciiTheme="majorBidi" w:hAnsiTheme="majorBidi" w:cstheme="majorBidi"/>
                <w:sz w:val="20"/>
                <w:lang w:eastAsia="ja-JP"/>
              </w:rPr>
              <w:t>M.2519</w:t>
            </w:r>
            <w:proofErr w:type="spellEnd"/>
            <w:r w:rsidRPr="00515348">
              <w:rPr>
                <w:rFonts w:asciiTheme="majorBidi" w:hAnsiTheme="majorBidi" w:cstheme="majorBidi"/>
                <w:sz w:val="20"/>
                <w:lang w:eastAsia="ja-JP"/>
              </w:rPr>
              <w:noBreakHyphen/>
              <w:t xml:space="preserve">0, </w:t>
            </w:r>
            <w:proofErr w:type="spellStart"/>
            <w:r w:rsidRPr="00515348">
              <w:rPr>
                <w:rFonts w:asciiTheme="majorBidi" w:hAnsiTheme="majorBidi" w:cstheme="majorBidi"/>
                <w:sz w:val="20"/>
                <w:lang w:eastAsia="ja-JP"/>
              </w:rPr>
              <w:t>M.2520</w:t>
            </w:r>
            <w:proofErr w:type="spellEnd"/>
            <w:r w:rsidRPr="00515348">
              <w:rPr>
                <w:rFonts w:asciiTheme="majorBidi" w:hAnsiTheme="majorBidi" w:cstheme="majorBidi"/>
                <w:sz w:val="20"/>
                <w:lang w:eastAsia="ja-JP"/>
              </w:rPr>
              <w:t>-0</w:t>
            </w:r>
          </w:p>
        </w:tc>
        <w:tc>
          <w:tcPr>
            <w:tcW w:w="1399" w:type="dxa"/>
            <w:tcBorders>
              <w:left w:val="single" w:sz="4" w:space="0" w:color="000000" w:themeColor="text1"/>
            </w:tcBorders>
            <w:shd w:val="clear" w:color="auto" w:fill="auto"/>
          </w:tcPr>
          <w:p w14:paraId="11A62264" w14:textId="77777777" w:rsidR="00F90FDF" w:rsidRPr="00515348" w:rsidRDefault="00F90FDF" w:rsidP="00F90FDF">
            <w:pPr>
              <w:pStyle w:val="Tabletext"/>
            </w:pPr>
          </w:p>
        </w:tc>
        <w:tc>
          <w:tcPr>
            <w:tcW w:w="1386" w:type="dxa"/>
            <w:tcBorders>
              <w:left w:val="single" w:sz="4" w:space="0" w:color="000000" w:themeColor="text1"/>
            </w:tcBorders>
          </w:tcPr>
          <w:p w14:paraId="2D821964" w14:textId="4AB3B59E" w:rsidR="00F90FDF" w:rsidRPr="00515348" w:rsidRDefault="007658E6" w:rsidP="007658E6">
            <w:pPr>
              <w:pStyle w:val="Tabletext"/>
              <w:rPr>
                <w:sz w:val="20"/>
              </w:rPr>
            </w:pPr>
            <w:r w:rsidRPr="00515348">
              <w:rPr>
                <w:sz w:val="20"/>
              </w:rPr>
              <w:t>Cu</w:t>
            </w:r>
            <w:r w:rsidR="00915CBF" w:rsidRPr="00515348">
              <w:rPr>
                <w:sz w:val="20"/>
              </w:rPr>
              <w:t>rs</w:t>
            </w:r>
            <w:r w:rsidR="00F90FDF" w:rsidRPr="00515348">
              <w:rPr>
                <w:sz w:val="20"/>
              </w:rPr>
              <w:t xml:space="preserve">o sobre sistemas de comunicación adaptativos en las bandas de frecuencias </w:t>
            </w:r>
            <w:proofErr w:type="spellStart"/>
            <w:r w:rsidR="00F90FDF" w:rsidRPr="00515348">
              <w:rPr>
                <w:sz w:val="20"/>
              </w:rPr>
              <w:t>decamétricas</w:t>
            </w:r>
            <w:proofErr w:type="spellEnd"/>
            <w:r w:rsidR="00F90FDF" w:rsidRPr="00515348">
              <w:rPr>
                <w:sz w:val="20"/>
              </w:rPr>
              <w:t xml:space="preserve"> </w:t>
            </w:r>
          </w:p>
        </w:tc>
        <w:tc>
          <w:tcPr>
            <w:tcW w:w="1207" w:type="dxa"/>
            <w:tcBorders>
              <w:left w:val="single" w:sz="4" w:space="0" w:color="000000" w:themeColor="text1"/>
            </w:tcBorders>
          </w:tcPr>
          <w:p w14:paraId="7314DA9B" w14:textId="77777777" w:rsidR="00F90FDF" w:rsidRPr="00515348" w:rsidRDefault="00F90FDF" w:rsidP="00F90FDF">
            <w:pPr>
              <w:pStyle w:val="Tabletext"/>
              <w:rPr>
                <w:sz w:val="20"/>
                <w:szCs w:val="18"/>
              </w:rPr>
            </w:pPr>
          </w:p>
        </w:tc>
      </w:tr>
      <w:tr w:rsidR="00F90FDF" w:rsidRPr="00515348" w14:paraId="57EF37FD" w14:textId="77777777" w:rsidTr="00E70115">
        <w:trPr>
          <w:trHeight w:val="270"/>
          <w:jc w:val="center"/>
        </w:trPr>
        <w:tc>
          <w:tcPr>
            <w:tcW w:w="1255" w:type="dxa"/>
            <w:tcBorders>
              <w:right w:val="single" w:sz="4" w:space="0" w:color="000000"/>
            </w:tcBorders>
            <w:shd w:val="clear" w:color="auto" w:fill="auto"/>
          </w:tcPr>
          <w:p w14:paraId="3C2B86E0" w14:textId="306A81A3" w:rsidR="00F90FDF" w:rsidRPr="00515348" w:rsidDel="00A14716" w:rsidRDefault="00F90FDF" w:rsidP="00F90FDF">
            <w:pPr>
              <w:pStyle w:val="Tabletext"/>
              <w:jc w:val="center"/>
              <w:rPr>
                <w:b/>
                <w:bCs/>
              </w:rPr>
            </w:pPr>
            <w:r w:rsidRPr="00515348">
              <w:rPr>
                <w:b/>
                <w:bCs/>
              </w:rPr>
              <w:t>CE 6</w:t>
            </w:r>
          </w:p>
        </w:tc>
        <w:tc>
          <w:tcPr>
            <w:tcW w:w="2114" w:type="dxa"/>
            <w:tcBorders>
              <w:left w:val="single" w:sz="4" w:space="0" w:color="000000" w:themeColor="text1"/>
            </w:tcBorders>
            <w:shd w:val="clear" w:color="auto" w:fill="auto"/>
          </w:tcPr>
          <w:p w14:paraId="6CE20E80" w14:textId="77777777" w:rsidR="00F90FDF" w:rsidRPr="00515348" w:rsidRDefault="00F90FDF" w:rsidP="00F90FDF">
            <w:pPr>
              <w:pStyle w:val="Tabletext"/>
            </w:pPr>
            <w:proofErr w:type="spellStart"/>
            <w:r w:rsidRPr="00515348">
              <w:rPr>
                <w:rFonts w:asciiTheme="majorBidi" w:hAnsiTheme="majorBidi" w:cstheme="majorBidi"/>
                <w:sz w:val="20"/>
                <w:lang w:eastAsia="ja-JP"/>
              </w:rPr>
              <w:t>BS.643</w:t>
            </w:r>
            <w:proofErr w:type="spellEnd"/>
            <w:r w:rsidRPr="00515348">
              <w:rPr>
                <w:rFonts w:asciiTheme="majorBidi" w:hAnsiTheme="majorBidi" w:cstheme="majorBidi"/>
                <w:sz w:val="20"/>
                <w:lang w:eastAsia="ja-JP"/>
              </w:rPr>
              <w:t xml:space="preserve">-4, </w:t>
            </w:r>
            <w:proofErr w:type="spellStart"/>
            <w:r w:rsidRPr="00515348">
              <w:rPr>
                <w:rFonts w:asciiTheme="majorBidi" w:hAnsiTheme="majorBidi" w:cstheme="majorBidi"/>
                <w:sz w:val="20"/>
                <w:lang w:eastAsia="ja-JP"/>
              </w:rPr>
              <w:t>BS.775</w:t>
            </w:r>
            <w:proofErr w:type="spellEnd"/>
            <w:r w:rsidRPr="00515348">
              <w:rPr>
                <w:rFonts w:asciiTheme="majorBidi" w:hAnsiTheme="majorBidi" w:cstheme="majorBidi"/>
                <w:sz w:val="20"/>
                <w:lang w:eastAsia="ja-JP"/>
              </w:rPr>
              <w:t xml:space="preserve">-4, </w:t>
            </w:r>
            <w:proofErr w:type="spellStart"/>
            <w:r w:rsidRPr="00515348">
              <w:rPr>
                <w:rFonts w:asciiTheme="majorBidi" w:hAnsiTheme="majorBidi" w:cstheme="majorBidi"/>
                <w:sz w:val="20"/>
                <w:lang w:eastAsia="ja-JP"/>
              </w:rPr>
              <w:t>BS.1660</w:t>
            </w:r>
            <w:proofErr w:type="spellEnd"/>
            <w:r w:rsidRPr="00515348">
              <w:rPr>
                <w:rFonts w:asciiTheme="majorBidi" w:hAnsiTheme="majorBidi" w:cstheme="majorBidi"/>
                <w:sz w:val="20"/>
                <w:lang w:eastAsia="ja-JP"/>
              </w:rPr>
              <w:t xml:space="preserve">-9, </w:t>
            </w:r>
            <w:proofErr w:type="spellStart"/>
            <w:r w:rsidRPr="00515348">
              <w:rPr>
                <w:rFonts w:asciiTheme="majorBidi" w:hAnsiTheme="majorBidi" w:cstheme="majorBidi"/>
                <w:sz w:val="20"/>
                <w:lang w:eastAsia="ja-JP"/>
              </w:rPr>
              <w:t>BS.2125</w:t>
            </w:r>
            <w:proofErr w:type="spellEnd"/>
            <w:r w:rsidRPr="00515348">
              <w:rPr>
                <w:rFonts w:asciiTheme="majorBidi" w:hAnsiTheme="majorBidi" w:cstheme="majorBidi"/>
                <w:sz w:val="20"/>
                <w:lang w:eastAsia="ja-JP"/>
              </w:rPr>
              <w:noBreakHyphen/>
              <w:t xml:space="preserve">1, </w:t>
            </w:r>
            <w:proofErr w:type="spellStart"/>
            <w:r w:rsidRPr="00515348">
              <w:rPr>
                <w:rFonts w:asciiTheme="majorBidi" w:hAnsiTheme="majorBidi" w:cstheme="majorBidi"/>
                <w:sz w:val="20"/>
                <w:lang w:eastAsia="ja-JP"/>
              </w:rPr>
              <w:t>BS.2051</w:t>
            </w:r>
            <w:proofErr w:type="spellEnd"/>
            <w:r w:rsidRPr="00515348">
              <w:rPr>
                <w:rFonts w:asciiTheme="majorBidi" w:hAnsiTheme="majorBidi" w:cstheme="majorBidi"/>
                <w:sz w:val="20"/>
                <w:lang w:eastAsia="ja-JP"/>
              </w:rPr>
              <w:noBreakHyphen/>
              <w:t xml:space="preserve">3, </w:t>
            </w:r>
            <w:proofErr w:type="spellStart"/>
            <w:r w:rsidRPr="00515348">
              <w:rPr>
                <w:rFonts w:asciiTheme="majorBidi" w:hAnsiTheme="majorBidi" w:cstheme="majorBidi"/>
                <w:sz w:val="20"/>
                <w:lang w:eastAsia="ja-JP"/>
              </w:rPr>
              <w:t>BT.1790</w:t>
            </w:r>
            <w:proofErr w:type="spellEnd"/>
            <w:r w:rsidRPr="00515348">
              <w:rPr>
                <w:rFonts w:asciiTheme="majorBidi" w:hAnsiTheme="majorBidi" w:cstheme="majorBidi"/>
                <w:sz w:val="20"/>
                <w:lang w:eastAsia="ja-JP"/>
              </w:rPr>
              <w:noBreakHyphen/>
              <w:t xml:space="preserve">1, </w:t>
            </w:r>
            <w:proofErr w:type="spellStart"/>
            <w:r w:rsidRPr="00515348">
              <w:rPr>
                <w:rFonts w:asciiTheme="majorBidi" w:hAnsiTheme="majorBidi" w:cstheme="majorBidi"/>
                <w:sz w:val="20"/>
                <w:lang w:eastAsia="ja-JP"/>
              </w:rPr>
              <w:t>BT.1833</w:t>
            </w:r>
            <w:proofErr w:type="spellEnd"/>
            <w:r w:rsidRPr="00515348">
              <w:rPr>
                <w:rFonts w:asciiTheme="majorBidi" w:hAnsiTheme="majorBidi" w:cstheme="majorBidi"/>
                <w:sz w:val="20"/>
                <w:lang w:eastAsia="ja-JP"/>
              </w:rPr>
              <w:noBreakHyphen/>
              <w:t xml:space="preserve">4, </w:t>
            </w:r>
            <w:proofErr w:type="spellStart"/>
            <w:r w:rsidRPr="00515348">
              <w:rPr>
                <w:rFonts w:asciiTheme="majorBidi" w:hAnsiTheme="majorBidi" w:cstheme="majorBidi"/>
                <w:sz w:val="20"/>
                <w:lang w:eastAsia="ja-JP"/>
              </w:rPr>
              <w:t>BT.2016</w:t>
            </w:r>
            <w:proofErr w:type="spellEnd"/>
            <w:r w:rsidRPr="00515348">
              <w:rPr>
                <w:rFonts w:asciiTheme="majorBidi" w:hAnsiTheme="majorBidi" w:cstheme="majorBidi"/>
                <w:sz w:val="20"/>
                <w:lang w:eastAsia="ja-JP"/>
              </w:rPr>
              <w:noBreakHyphen/>
              <w:t xml:space="preserve">3, </w:t>
            </w:r>
            <w:proofErr w:type="spellStart"/>
            <w:r w:rsidRPr="00515348">
              <w:rPr>
                <w:rFonts w:asciiTheme="majorBidi" w:hAnsiTheme="majorBidi" w:cstheme="majorBidi"/>
                <w:sz w:val="20"/>
                <w:lang w:eastAsia="ja-JP"/>
              </w:rPr>
              <w:t>BS.2107</w:t>
            </w:r>
            <w:proofErr w:type="spellEnd"/>
            <w:r w:rsidRPr="00515348">
              <w:rPr>
                <w:rFonts w:asciiTheme="majorBidi" w:hAnsiTheme="majorBidi" w:cstheme="majorBidi"/>
                <w:sz w:val="20"/>
                <w:lang w:eastAsia="ja-JP"/>
              </w:rPr>
              <w:noBreakHyphen/>
              <w:t xml:space="preserve">1, </w:t>
            </w:r>
            <w:proofErr w:type="spellStart"/>
            <w:r w:rsidRPr="00515348">
              <w:rPr>
                <w:rFonts w:asciiTheme="majorBidi" w:hAnsiTheme="majorBidi" w:cstheme="majorBidi"/>
                <w:sz w:val="20"/>
                <w:lang w:eastAsia="ja-JP"/>
              </w:rPr>
              <w:t>BT.2144</w:t>
            </w:r>
            <w:proofErr w:type="spellEnd"/>
            <w:r w:rsidRPr="00515348">
              <w:rPr>
                <w:rFonts w:asciiTheme="majorBidi" w:hAnsiTheme="majorBidi" w:cstheme="majorBidi"/>
                <w:sz w:val="20"/>
                <w:lang w:eastAsia="ja-JP"/>
              </w:rPr>
              <w:noBreakHyphen/>
              <w:t xml:space="preserve">0, </w:t>
            </w:r>
            <w:proofErr w:type="spellStart"/>
            <w:r w:rsidRPr="00515348">
              <w:rPr>
                <w:rFonts w:asciiTheme="majorBidi" w:hAnsiTheme="majorBidi" w:cstheme="majorBidi"/>
                <w:sz w:val="20"/>
                <w:lang w:eastAsia="ja-JP"/>
              </w:rPr>
              <w:t>BT.2153</w:t>
            </w:r>
            <w:proofErr w:type="spellEnd"/>
            <w:r w:rsidRPr="00515348">
              <w:rPr>
                <w:rFonts w:asciiTheme="majorBidi" w:hAnsiTheme="majorBidi" w:cstheme="majorBidi"/>
                <w:sz w:val="20"/>
                <w:lang w:eastAsia="ja-JP"/>
              </w:rPr>
              <w:noBreakHyphen/>
              <w:t xml:space="preserve">0, </w:t>
            </w:r>
            <w:proofErr w:type="spellStart"/>
            <w:r w:rsidRPr="00515348">
              <w:rPr>
                <w:rFonts w:asciiTheme="majorBidi" w:hAnsiTheme="majorBidi" w:cstheme="majorBidi"/>
                <w:sz w:val="20"/>
                <w:lang w:eastAsia="ja-JP"/>
              </w:rPr>
              <w:t>BT.2154</w:t>
            </w:r>
            <w:proofErr w:type="spellEnd"/>
            <w:r w:rsidRPr="00515348">
              <w:rPr>
                <w:rFonts w:asciiTheme="majorBidi" w:hAnsiTheme="majorBidi" w:cstheme="majorBidi"/>
                <w:sz w:val="20"/>
                <w:lang w:eastAsia="ja-JP"/>
              </w:rPr>
              <w:t>-0</w:t>
            </w:r>
          </w:p>
        </w:tc>
        <w:tc>
          <w:tcPr>
            <w:tcW w:w="2268" w:type="dxa"/>
            <w:tcBorders>
              <w:left w:val="single" w:sz="4" w:space="0" w:color="000000" w:themeColor="text1"/>
            </w:tcBorders>
            <w:shd w:val="clear" w:color="auto" w:fill="auto"/>
          </w:tcPr>
          <w:p w14:paraId="37532E26" w14:textId="77777777" w:rsidR="00F90FDF" w:rsidRPr="00515348" w:rsidRDefault="00F90FDF" w:rsidP="00F90FDF">
            <w:pPr>
              <w:pStyle w:val="Tabletext"/>
            </w:pPr>
            <w:proofErr w:type="spellStart"/>
            <w:r w:rsidRPr="00515348">
              <w:rPr>
                <w:sz w:val="20"/>
              </w:rPr>
              <w:t>BS.2159</w:t>
            </w:r>
            <w:proofErr w:type="spellEnd"/>
            <w:r w:rsidRPr="00515348">
              <w:rPr>
                <w:sz w:val="20"/>
              </w:rPr>
              <w:t xml:space="preserve">-9, </w:t>
            </w:r>
            <w:proofErr w:type="spellStart"/>
            <w:r w:rsidRPr="00515348">
              <w:rPr>
                <w:sz w:val="20"/>
              </w:rPr>
              <w:t>BS.2214</w:t>
            </w:r>
            <w:proofErr w:type="spellEnd"/>
            <w:r w:rsidRPr="00515348">
              <w:rPr>
                <w:sz w:val="20"/>
              </w:rPr>
              <w:t xml:space="preserve">-6, </w:t>
            </w:r>
            <w:proofErr w:type="spellStart"/>
            <w:r w:rsidRPr="00515348">
              <w:rPr>
                <w:sz w:val="20"/>
              </w:rPr>
              <w:t>BS.2388</w:t>
            </w:r>
            <w:proofErr w:type="spellEnd"/>
            <w:r w:rsidRPr="00515348">
              <w:rPr>
                <w:sz w:val="20"/>
              </w:rPr>
              <w:t xml:space="preserve">-4, </w:t>
            </w:r>
            <w:proofErr w:type="spellStart"/>
            <w:r w:rsidRPr="00515348">
              <w:rPr>
                <w:sz w:val="20"/>
              </w:rPr>
              <w:t>BS.2466</w:t>
            </w:r>
            <w:proofErr w:type="spellEnd"/>
            <w:r w:rsidRPr="00515348">
              <w:rPr>
                <w:sz w:val="20"/>
              </w:rPr>
              <w:t xml:space="preserve">-1, </w:t>
            </w:r>
            <w:proofErr w:type="spellStart"/>
            <w:r w:rsidRPr="00515348">
              <w:rPr>
                <w:sz w:val="20"/>
              </w:rPr>
              <w:t>BS.2502</w:t>
            </w:r>
            <w:proofErr w:type="spellEnd"/>
            <w:r w:rsidRPr="00515348">
              <w:rPr>
                <w:sz w:val="20"/>
              </w:rPr>
              <w:t xml:space="preserve">-0, </w:t>
            </w:r>
            <w:proofErr w:type="spellStart"/>
            <w:r w:rsidRPr="00515348">
              <w:rPr>
                <w:sz w:val="20"/>
              </w:rPr>
              <w:t>BS.2503</w:t>
            </w:r>
            <w:proofErr w:type="spellEnd"/>
            <w:r w:rsidRPr="00515348">
              <w:rPr>
                <w:sz w:val="20"/>
              </w:rPr>
              <w:t xml:space="preserve">-0, </w:t>
            </w:r>
            <w:proofErr w:type="spellStart"/>
            <w:r w:rsidRPr="00515348">
              <w:rPr>
                <w:sz w:val="20"/>
              </w:rPr>
              <w:t>BT.2049</w:t>
            </w:r>
            <w:proofErr w:type="spellEnd"/>
            <w:r w:rsidRPr="00515348">
              <w:rPr>
                <w:sz w:val="20"/>
              </w:rPr>
              <w:t xml:space="preserve">-8, </w:t>
            </w:r>
            <w:proofErr w:type="spellStart"/>
            <w:r w:rsidRPr="00515348">
              <w:rPr>
                <w:sz w:val="20"/>
              </w:rPr>
              <w:t>BT.2207</w:t>
            </w:r>
            <w:proofErr w:type="spellEnd"/>
            <w:r w:rsidRPr="00515348">
              <w:rPr>
                <w:sz w:val="20"/>
              </w:rPr>
              <w:t xml:space="preserve">-6, </w:t>
            </w:r>
            <w:proofErr w:type="spellStart"/>
            <w:r w:rsidRPr="00515348">
              <w:rPr>
                <w:sz w:val="20"/>
              </w:rPr>
              <w:t>BT.2245</w:t>
            </w:r>
            <w:proofErr w:type="spellEnd"/>
            <w:r w:rsidRPr="00515348">
              <w:rPr>
                <w:sz w:val="20"/>
              </w:rPr>
              <w:t xml:space="preserve">-10, </w:t>
            </w:r>
            <w:proofErr w:type="spellStart"/>
            <w:r w:rsidRPr="00515348">
              <w:rPr>
                <w:sz w:val="20"/>
              </w:rPr>
              <w:t>BT.2295</w:t>
            </w:r>
            <w:proofErr w:type="spellEnd"/>
            <w:r w:rsidRPr="00515348">
              <w:rPr>
                <w:sz w:val="20"/>
              </w:rPr>
              <w:t xml:space="preserve">-4, </w:t>
            </w:r>
            <w:proofErr w:type="spellStart"/>
            <w:r w:rsidRPr="00515348">
              <w:rPr>
                <w:sz w:val="20"/>
              </w:rPr>
              <w:t>BT.2299</w:t>
            </w:r>
            <w:proofErr w:type="spellEnd"/>
            <w:r w:rsidRPr="00515348">
              <w:rPr>
                <w:sz w:val="20"/>
              </w:rPr>
              <w:t xml:space="preserve">-3, </w:t>
            </w:r>
            <w:proofErr w:type="spellStart"/>
            <w:r w:rsidRPr="00515348">
              <w:rPr>
                <w:sz w:val="20"/>
              </w:rPr>
              <w:t>BT.2301</w:t>
            </w:r>
            <w:proofErr w:type="spellEnd"/>
            <w:r w:rsidRPr="00515348">
              <w:rPr>
                <w:sz w:val="20"/>
              </w:rPr>
              <w:t xml:space="preserve">-4, </w:t>
            </w:r>
            <w:proofErr w:type="spellStart"/>
            <w:r w:rsidRPr="00515348">
              <w:rPr>
                <w:sz w:val="20"/>
              </w:rPr>
              <w:t>BT.2383</w:t>
            </w:r>
            <w:proofErr w:type="spellEnd"/>
            <w:r w:rsidRPr="00515348">
              <w:rPr>
                <w:sz w:val="20"/>
              </w:rPr>
              <w:t xml:space="preserve">-4, </w:t>
            </w:r>
            <w:proofErr w:type="spellStart"/>
            <w:r w:rsidRPr="00515348">
              <w:rPr>
                <w:sz w:val="20"/>
              </w:rPr>
              <w:t>BT.2385</w:t>
            </w:r>
            <w:proofErr w:type="spellEnd"/>
            <w:r w:rsidRPr="00515348">
              <w:rPr>
                <w:sz w:val="20"/>
              </w:rPr>
              <w:t xml:space="preserve">-1, </w:t>
            </w:r>
            <w:proofErr w:type="spellStart"/>
            <w:r w:rsidRPr="00515348">
              <w:rPr>
                <w:sz w:val="20"/>
              </w:rPr>
              <w:t>BT.2408</w:t>
            </w:r>
            <w:proofErr w:type="spellEnd"/>
            <w:r w:rsidRPr="00515348">
              <w:rPr>
                <w:sz w:val="20"/>
              </w:rPr>
              <w:t xml:space="preserve">-5, </w:t>
            </w:r>
            <w:proofErr w:type="spellStart"/>
            <w:r w:rsidRPr="00515348">
              <w:rPr>
                <w:sz w:val="20"/>
              </w:rPr>
              <w:t>BT.2420</w:t>
            </w:r>
            <w:proofErr w:type="spellEnd"/>
            <w:r w:rsidRPr="00515348">
              <w:rPr>
                <w:sz w:val="20"/>
              </w:rPr>
              <w:t xml:space="preserve">-5, </w:t>
            </w:r>
            <w:proofErr w:type="spellStart"/>
            <w:r w:rsidRPr="00515348">
              <w:rPr>
                <w:sz w:val="20"/>
              </w:rPr>
              <w:t>BT.2485</w:t>
            </w:r>
            <w:proofErr w:type="spellEnd"/>
            <w:r w:rsidRPr="00515348">
              <w:rPr>
                <w:sz w:val="20"/>
              </w:rPr>
              <w:t xml:space="preserve">-1, </w:t>
            </w:r>
            <w:proofErr w:type="spellStart"/>
            <w:r w:rsidRPr="00515348">
              <w:rPr>
                <w:sz w:val="20"/>
              </w:rPr>
              <w:t>BT.2506</w:t>
            </w:r>
            <w:proofErr w:type="spellEnd"/>
            <w:r w:rsidRPr="00515348">
              <w:rPr>
                <w:sz w:val="20"/>
              </w:rPr>
              <w:t>-0</w:t>
            </w:r>
          </w:p>
        </w:tc>
        <w:tc>
          <w:tcPr>
            <w:tcW w:w="1399" w:type="dxa"/>
            <w:tcBorders>
              <w:left w:val="single" w:sz="4" w:space="0" w:color="000000" w:themeColor="text1"/>
            </w:tcBorders>
            <w:shd w:val="clear" w:color="auto" w:fill="auto"/>
          </w:tcPr>
          <w:p w14:paraId="0D1E4625" w14:textId="77777777" w:rsidR="00F90FDF" w:rsidRPr="00515348" w:rsidRDefault="00F90FDF" w:rsidP="00F90FDF">
            <w:pPr>
              <w:pStyle w:val="Tabletext"/>
            </w:pPr>
            <w:r w:rsidRPr="00515348">
              <w:rPr>
                <w:rFonts w:asciiTheme="majorBidi" w:hAnsiTheme="majorBidi" w:cstheme="majorBidi"/>
                <w:sz w:val="20"/>
                <w:lang w:eastAsia="ja-JP"/>
              </w:rPr>
              <w:t>147/6</w:t>
            </w:r>
          </w:p>
        </w:tc>
        <w:tc>
          <w:tcPr>
            <w:tcW w:w="1386" w:type="dxa"/>
            <w:tcBorders>
              <w:left w:val="single" w:sz="4" w:space="0" w:color="000000" w:themeColor="text1"/>
            </w:tcBorders>
          </w:tcPr>
          <w:p w14:paraId="5D75A0DA" w14:textId="77777777" w:rsidR="00F90FDF" w:rsidRPr="00515348" w:rsidRDefault="00F90FDF" w:rsidP="00F90FDF">
            <w:pPr>
              <w:pStyle w:val="Tabletext"/>
              <w:rPr>
                <w:rFonts w:asciiTheme="majorBidi" w:hAnsiTheme="majorBidi" w:cstheme="majorBidi"/>
                <w:sz w:val="20"/>
                <w:lang w:eastAsia="ja-JP"/>
              </w:rPr>
            </w:pPr>
          </w:p>
        </w:tc>
        <w:tc>
          <w:tcPr>
            <w:tcW w:w="1207" w:type="dxa"/>
            <w:tcBorders>
              <w:left w:val="single" w:sz="4" w:space="0" w:color="000000" w:themeColor="text1"/>
            </w:tcBorders>
          </w:tcPr>
          <w:p w14:paraId="04A8B9DE" w14:textId="77777777" w:rsidR="00F90FDF" w:rsidRPr="00515348" w:rsidRDefault="00F90FDF" w:rsidP="00F90FDF">
            <w:pPr>
              <w:pStyle w:val="Tabletext"/>
              <w:rPr>
                <w:rFonts w:asciiTheme="majorBidi" w:hAnsiTheme="majorBidi" w:cstheme="majorBidi"/>
                <w:sz w:val="20"/>
                <w:lang w:eastAsia="ja-JP"/>
              </w:rPr>
            </w:pPr>
            <w:r w:rsidRPr="00515348">
              <w:rPr>
                <w:rFonts w:asciiTheme="majorBidi" w:hAnsiTheme="majorBidi" w:cstheme="majorBidi"/>
                <w:sz w:val="20"/>
                <w:lang w:eastAsia="ja-JP"/>
              </w:rPr>
              <w:t>104/6</w:t>
            </w:r>
          </w:p>
        </w:tc>
      </w:tr>
      <w:tr w:rsidR="00F90FDF" w:rsidRPr="00515348" w14:paraId="135CB2E2" w14:textId="77777777" w:rsidTr="00E70115">
        <w:trPr>
          <w:trHeight w:val="270"/>
          <w:jc w:val="center"/>
        </w:trPr>
        <w:tc>
          <w:tcPr>
            <w:tcW w:w="1255" w:type="dxa"/>
            <w:tcBorders>
              <w:bottom w:val="single" w:sz="4" w:space="0" w:color="000000"/>
              <w:right w:val="single" w:sz="4" w:space="0" w:color="000000"/>
            </w:tcBorders>
            <w:shd w:val="clear" w:color="auto" w:fill="auto"/>
          </w:tcPr>
          <w:p w14:paraId="0F43C38C" w14:textId="61EF168D" w:rsidR="00F90FDF" w:rsidRPr="00515348" w:rsidRDefault="00F90FDF" w:rsidP="00F90FDF">
            <w:pPr>
              <w:pStyle w:val="Tabletext"/>
              <w:jc w:val="center"/>
              <w:rPr>
                <w:b/>
                <w:bCs/>
              </w:rPr>
            </w:pPr>
            <w:r w:rsidRPr="00515348">
              <w:rPr>
                <w:b/>
                <w:bCs/>
              </w:rPr>
              <w:t>CE 7</w:t>
            </w:r>
          </w:p>
        </w:tc>
        <w:tc>
          <w:tcPr>
            <w:tcW w:w="2114" w:type="dxa"/>
            <w:tcBorders>
              <w:left w:val="single" w:sz="4" w:space="0" w:color="000000" w:themeColor="text1"/>
            </w:tcBorders>
            <w:shd w:val="clear" w:color="auto" w:fill="auto"/>
          </w:tcPr>
          <w:p w14:paraId="35B19525" w14:textId="77777777" w:rsidR="00F90FDF" w:rsidRPr="00515348" w:rsidRDefault="00F90FDF" w:rsidP="00F90FDF">
            <w:pPr>
              <w:pStyle w:val="Tabletext"/>
              <w:rPr>
                <w:sz w:val="20"/>
              </w:rPr>
            </w:pPr>
            <w:proofErr w:type="spellStart"/>
            <w:r w:rsidRPr="00515348">
              <w:rPr>
                <w:sz w:val="20"/>
              </w:rPr>
              <w:t>SA.2155</w:t>
            </w:r>
            <w:proofErr w:type="spellEnd"/>
            <w:r w:rsidRPr="00515348">
              <w:rPr>
                <w:sz w:val="20"/>
              </w:rPr>
              <w:t xml:space="preserve">-0, </w:t>
            </w:r>
            <w:proofErr w:type="spellStart"/>
            <w:r w:rsidRPr="00515348">
              <w:rPr>
                <w:sz w:val="20"/>
              </w:rPr>
              <w:t>SA.2156</w:t>
            </w:r>
            <w:proofErr w:type="spellEnd"/>
            <w:r w:rsidRPr="00515348">
              <w:rPr>
                <w:sz w:val="20"/>
              </w:rPr>
              <w:noBreakHyphen/>
              <w:t>0</w:t>
            </w:r>
          </w:p>
        </w:tc>
        <w:tc>
          <w:tcPr>
            <w:tcW w:w="2268" w:type="dxa"/>
            <w:tcBorders>
              <w:left w:val="single" w:sz="4" w:space="0" w:color="000000" w:themeColor="text1"/>
            </w:tcBorders>
            <w:shd w:val="clear" w:color="auto" w:fill="auto"/>
          </w:tcPr>
          <w:p w14:paraId="78B38AA0" w14:textId="77777777" w:rsidR="00F90FDF" w:rsidRPr="00515348" w:rsidRDefault="00F90FDF" w:rsidP="00F90FDF">
            <w:pPr>
              <w:pStyle w:val="Tabletext"/>
              <w:rPr>
                <w:sz w:val="20"/>
              </w:rPr>
            </w:pPr>
            <w:proofErr w:type="spellStart"/>
            <w:r w:rsidRPr="00515348">
              <w:rPr>
                <w:sz w:val="20"/>
              </w:rPr>
              <w:t>RA.2188</w:t>
            </w:r>
            <w:proofErr w:type="spellEnd"/>
            <w:r w:rsidRPr="00515348">
              <w:rPr>
                <w:sz w:val="20"/>
              </w:rPr>
              <w:t xml:space="preserve">-1, </w:t>
            </w:r>
            <w:proofErr w:type="spellStart"/>
            <w:r w:rsidRPr="00515348">
              <w:rPr>
                <w:sz w:val="20"/>
              </w:rPr>
              <w:t>RA.2507</w:t>
            </w:r>
            <w:proofErr w:type="spellEnd"/>
            <w:r w:rsidRPr="00515348">
              <w:rPr>
                <w:sz w:val="20"/>
              </w:rPr>
              <w:t xml:space="preserve">-0, </w:t>
            </w:r>
            <w:proofErr w:type="spellStart"/>
            <w:r w:rsidRPr="00515348">
              <w:rPr>
                <w:sz w:val="20"/>
              </w:rPr>
              <w:t>RA.2508</w:t>
            </w:r>
            <w:proofErr w:type="spellEnd"/>
            <w:r w:rsidRPr="00515348">
              <w:rPr>
                <w:sz w:val="20"/>
              </w:rPr>
              <w:t xml:space="preserve">-0, </w:t>
            </w:r>
            <w:proofErr w:type="spellStart"/>
            <w:r w:rsidRPr="00515348">
              <w:rPr>
                <w:sz w:val="20"/>
              </w:rPr>
              <w:t>RA.2509</w:t>
            </w:r>
            <w:proofErr w:type="spellEnd"/>
            <w:r w:rsidRPr="00515348">
              <w:rPr>
                <w:sz w:val="20"/>
              </w:rPr>
              <w:t xml:space="preserve">-0, </w:t>
            </w:r>
            <w:proofErr w:type="spellStart"/>
            <w:r w:rsidRPr="00515348">
              <w:rPr>
                <w:sz w:val="20"/>
              </w:rPr>
              <w:t>RA.2510</w:t>
            </w:r>
            <w:proofErr w:type="spellEnd"/>
            <w:r w:rsidRPr="00515348">
              <w:rPr>
                <w:sz w:val="20"/>
              </w:rPr>
              <w:t xml:space="preserve">-0, </w:t>
            </w:r>
            <w:proofErr w:type="spellStart"/>
            <w:r w:rsidRPr="00515348">
              <w:rPr>
                <w:sz w:val="20"/>
              </w:rPr>
              <w:t>RA.2512</w:t>
            </w:r>
            <w:proofErr w:type="spellEnd"/>
            <w:r w:rsidRPr="00515348">
              <w:rPr>
                <w:sz w:val="20"/>
              </w:rPr>
              <w:t xml:space="preserve">-0, </w:t>
            </w:r>
            <w:proofErr w:type="spellStart"/>
            <w:r w:rsidRPr="00515348">
              <w:rPr>
                <w:sz w:val="20"/>
              </w:rPr>
              <w:t>TF.2511</w:t>
            </w:r>
            <w:proofErr w:type="spellEnd"/>
            <w:r w:rsidRPr="00515348">
              <w:rPr>
                <w:sz w:val="20"/>
              </w:rPr>
              <w:t>-0</w:t>
            </w:r>
          </w:p>
        </w:tc>
        <w:tc>
          <w:tcPr>
            <w:tcW w:w="1399" w:type="dxa"/>
            <w:tcBorders>
              <w:left w:val="single" w:sz="4" w:space="0" w:color="000000" w:themeColor="text1"/>
            </w:tcBorders>
            <w:shd w:val="clear" w:color="auto" w:fill="auto"/>
          </w:tcPr>
          <w:p w14:paraId="1ADA0254" w14:textId="77777777" w:rsidR="00F90FDF" w:rsidRPr="00515348" w:rsidRDefault="00F90FDF" w:rsidP="00F90FDF">
            <w:pPr>
              <w:pStyle w:val="Tabletext"/>
              <w:rPr>
                <w:sz w:val="20"/>
              </w:rPr>
            </w:pPr>
            <w:r w:rsidRPr="00515348">
              <w:rPr>
                <w:sz w:val="20"/>
              </w:rPr>
              <w:t>260/7</w:t>
            </w:r>
          </w:p>
        </w:tc>
        <w:tc>
          <w:tcPr>
            <w:tcW w:w="1386" w:type="dxa"/>
            <w:tcBorders>
              <w:left w:val="single" w:sz="4" w:space="0" w:color="000000" w:themeColor="text1"/>
            </w:tcBorders>
          </w:tcPr>
          <w:p w14:paraId="38982110" w14:textId="77777777" w:rsidR="00F90FDF" w:rsidRPr="00515348" w:rsidRDefault="00F90FDF" w:rsidP="00F90FDF">
            <w:pPr>
              <w:pStyle w:val="Tabletext"/>
              <w:rPr>
                <w:sz w:val="20"/>
                <w:highlight w:val="lightGray"/>
              </w:rPr>
            </w:pPr>
          </w:p>
        </w:tc>
        <w:tc>
          <w:tcPr>
            <w:tcW w:w="1207" w:type="dxa"/>
            <w:tcBorders>
              <w:left w:val="single" w:sz="4" w:space="0" w:color="000000" w:themeColor="text1"/>
            </w:tcBorders>
          </w:tcPr>
          <w:p w14:paraId="3F3946C4" w14:textId="77777777" w:rsidR="00F90FDF" w:rsidRPr="00515348" w:rsidRDefault="00F90FDF" w:rsidP="00F90FDF">
            <w:pPr>
              <w:pStyle w:val="Tabletext"/>
              <w:rPr>
                <w:sz w:val="20"/>
                <w:highlight w:val="lightGray"/>
              </w:rPr>
            </w:pPr>
          </w:p>
        </w:tc>
      </w:tr>
    </w:tbl>
    <w:p w14:paraId="2FD13320" w14:textId="6315DFC3" w:rsidR="005A715D" w:rsidRPr="00515348" w:rsidRDefault="005A715D" w:rsidP="00E51B5F">
      <w:pPr>
        <w:pStyle w:val="Heading2"/>
        <w:tabs>
          <w:tab w:val="center" w:pos="4819"/>
        </w:tabs>
      </w:pPr>
      <w:bookmarkStart w:id="15" w:name="_Toc445972792"/>
      <w:r w:rsidRPr="00515348">
        <w:lastRenderedPageBreak/>
        <w:t>6.1</w:t>
      </w:r>
      <w:r w:rsidRPr="00515348">
        <w:tab/>
        <w:t>Comisión de Estudio 1</w:t>
      </w:r>
      <w:bookmarkEnd w:id="15"/>
    </w:p>
    <w:p w14:paraId="07A31A8F" w14:textId="00AF5C1C" w:rsidR="005A715D" w:rsidRPr="00515348" w:rsidRDefault="005A715D" w:rsidP="00E70115">
      <w:pPr>
        <w:keepLines/>
      </w:pPr>
      <w:r w:rsidRPr="00515348">
        <w:t xml:space="preserve">La </w:t>
      </w:r>
      <w:r w:rsidR="00F90FDF" w:rsidRPr="00515348">
        <w:t>Comisión de Estudio</w:t>
      </w:r>
      <w:r w:rsidRPr="00515348">
        <w:t> 1 sigue elaborando Recomendaciones, Informes y Manuales del UIT</w:t>
      </w:r>
      <w:r w:rsidRPr="00515348">
        <w:noBreakHyphen/>
        <w:t>R relativos a principios y técnicas de gestión del espectro, principios generales de compartición, supervisión del espectro, estrategias a largo plazo para la utilización del espectro, enfoques económicos de la gestión nacional del espectro, técnicas automatizadas y asistencia a países en desarrollo en cooperación con el Sector de Desarrollo de las Telecomunicaciones. Sus estudios incluyen métodos para la identificación y eliminación de interferencias, las emisiones no deseadas, el mantenimiento del diccionario de datos, la reorganización del espectro, la medición de la utilización del espectro, las utilizaciones sin licencia y compartidas del espectro, el acceso dinámico al espectro, las redes</w:t>
      </w:r>
      <w:r w:rsidR="00F83D9C" w:rsidRPr="00515348">
        <w:t xml:space="preserve"> eléctricas</w:t>
      </w:r>
      <w:r w:rsidRPr="00515348">
        <w:t xml:space="preserve"> inteligentes y la transmisión inalámbrica de potencia.</w:t>
      </w:r>
    </w:p>
    <w:p w14:paraId="6F7301B8" w14:textId="1B2EB6F7" w:rsidR="00B712E2" w:rsidRPr="00515348" w:rsidRDefault="00B712E2" w:rsidP="003E5909">
      <w:r w:rsidRPr="00515348">
        <w:t xml:space="preserve">Los Grupos de Trabajo </w:t>
      </w:r>
      <w:proofErr w:type="spellStart"/>
      <w:r w:rsidRPr="00515348">
        <w:t>1A</w:t>
      </w:r>
      <w:proofErr w:type="spellEnd"/>
      <w:r w:rsidRPr="00515348">
        <w:t xml:space="preserve">, </w:t>
      </w:r>
      <w:proofErr w:type="spellStart"/>
      <w:r w:rsidRPr="00515348">
        <w:t>1B</w:t>
      </w:r>
      <w:proofErr w:type="spellEnd"/>
      <w:r w:rsidRPr="00515348">
        <w:t xml:space="preserve"> y </w:t>
      </w:r>
      <w:proofErr w:type="spellStart"/>
      <w:r w:rsidRPr="00515348">
        <w:t>1C</w:t>
      </w:r>
      <w:proofErr w:type="spellEnd"/>
      <w:r w:rsidRPr="00515348">
        <w:t xml:space="preserve"> celebraron una reunión presencial con participación a distancia en junio-julio de 2022 y la CE 1 se reunió en julio de 2022. Desde el GAR-22, se elaboraron y posteriormente se adoptaron y aprobaron una Cuestión UIT-R nueva y una revisada, tres Recomendaciones UIT-R nuevas y una revisada. La CE 1 también aprobó tres Informes UIT-R nuevos y ocho revisados. También se modificó la redacción de una Recomendación UIT-R. </w:t>
      </w:r>
    </w:p>
    <w:p w14:paraId="5DA61F6D" w14:textId="0F9F6759" w:rsidR="00A61286" w:rsidRPr="00515348" w:rsidRDefault="00A61286" w:rsidP="003C48D8">
      <w:pPr>
        <w:pStyle w:val="Headingb"/>
      </w:pPr>
      <w:bookmarkStart w:id="16" w:name="lt_pId137"/>
      <w:r w:rsidRPr="00515348">
        <w:t>Cuestiones UIT-R:</w:t>
      </w:r>
    </w:p>
    <w:p w14:paraId="49107D00" w14:textId="79E3B113" w:rsidR="00A61286" w:rsidRPr="00515348" w:rsidRDefault="00A61286" w:rsidP="00F5438B">
      <w:pPr>
        <w:pStyle w:val="enumlev1"/>
      </w:pPr>
      <w:r w:rsidRPr="00515348">
        <w:t>–</w:t>
      </w:r>
      <w:r w:rsidRPr="00515348">
        <w:tab/>
        <w:t xml:space="preserve">210-4/1 </w:t>
      </w:r>
      <w:r w:rsidR="003C48D8" w:rsidRPr="00515348">
        <w:t>«</w:t>
      </w:r>
      <w:r w:rsidRPr="00515348">
        <w:t>Transmisión inalámbrica de potencia</w:t>
      </w:r>
      <w:r w:rsidR="003C48D8" w:rsidRPr="00515348">
        <w:t>»</w:t>
      </w:r>
    </w:p>
    <w:p w14:paraId="18985221" w14:textId="6ADC342D" w:rsidR="00A61286" w:rsidRPr="00515348" w:rsidRDefault="00A61286" w:rsidP="00F5438B">
      <w:pPr>
        <w:pStyle w:val="enumlev1"/>
      </w:pPr>
      <w:r w:rsidRPr="00515348">
        <w:t>–</w:t>
      </w:r>
      <w:r w:rsidRPr="00515348">
        <w:tab/>
        <w:t xml:space="preserve">243/1 </w:t>
      </w:r>
      <w:r w:rsidR="003C48D8" w:rsidRPr="00515348">
        <w:t>«</w:t>
      </w:r>
      <w:r w:rsidR="006B1D22" w:rsidRPr="00515348">
        <w:t xml:space="preserve">Efectos de la energía radioeléctrica involuntaria generada por aparatos eléctricos o electrónicos sobre los servicios de </w:t>
      </w:r>
      <w:r w:rsidR="00AA1858" w:rsidRPr="00515348">
        <w:t>radiocomunicaciones</w:t>
      </w:r>
      <w:r w:rsidR="003C48D8" w:rsidRPr="00515348">
        <w:t>»</w:t>
      </w:r>
      <w:r w:rsidR="00F5438B" w:rsidRPr="00515348">
        <w:t>.</w:t>
      </w:r>
    </w:p>
    <w:p w14:paraId="26936966" w14:textId="4087B579" w:rsidR="00A61286" w:rsidRPr="00515348" w:rsidRDefault="00A61286" w:rsidP="003C48D8">
      <w:pPr>
        <w:pStyle w:val="Headingb"/>
      </w:pPr>
      <w:r w:rsidRPr="00515348">
        <w:t>Recomendaciones UIT-R:</w:t>
      </w:r>
    </w:p>
    <w:p w14:paraId="003F2462" w14:textId="2DDBF066" w:rsidR="00A61286" w:rsidRPr="00515348" w:rsidRDefault="00A61286" w:rsidP="00F5438B">
      <w:pPr>
        <w:pStyle w:val="enumlev1"/>
      </w:pPr>
      <w:r w:rsidRPr="00515348">
        <w:t>–</w:t>
      </w:r>
      <w:r w:rsidRPr="00515348">
        <w:tab/>
      </w:r>
      <w:proofErr w:type="spellStart"/>
      <w:r w:rsidRPr="00515348">
        <w:t>SM.1875</w:t>
      </w:r>
      <w:proofErr w:type="spellEnd"/>
      <w:r w:rsidRPr="00515348">
        <w:t xml:space="preserve">-4 </w:t>
      </w:r>
      <w:r w:rsidR="003C48D8" w:rsidRPr="00515348">
        <w:t>«</w:t>
      </w:r>
      <w:r w:rsidR="006B1D22" w:rsidRPr="00515348">
        <w:t xml:space="preserve">Mediciones de la cobertura de la </w:t>
      </w:r>
      <w:proofErr w:type="spellStart"/>
      <w:r w:rsidR="006B1D22" w:rsidRPr="00515348">
        <w:t>DVB</w:t>
      </w:r>
      <w:proofErr w:type="spellEnd"/>
      <w:r w:rsidR="006B1D22" w:rsidRPr="00515348">
        <w:t>-T/</w:t>
      </w:r>
      <w:proofErr w:type="spellStart"/>
      <w:r w:rsidR="006B1D22" w:rsidRPr="00515348">
        <w:t>T2</w:t>
      </w:r>
      <w:proofErr w:type="spellEnd"/>
      <w:r w:rsidR="006B1D22" w:rsidRPr="00515348">
        <w:t xml:space="preserve"> y verificación de los criterios</w:t>
      </w:r>
      <w:r w:rsidR="003C48D8" w:rsidRPr="00515348">
        <w:t>»</w:t>
      </w:r>
    </w:p>
    <w:p w14:paraId="11636B2B" w14:textId="1139650D" w:rsidR="00A61286" w:rsidRPr="00515348" w:rsidRDefault="00A61286" w:rsidP="00F5438B">
      <w:pPr>
        <w:pStyle w:val="enumlev1"/>
      </w:pPr>
      <w:r w:rsidRPr="00515348">
        <w:t>–</w:t>
      </w:r>
      <w:r w:rsidRPr="00515348">
        <w:tab/>
      </w:r>
      <w:proofErr w:type="spellStart"/>
      <w:r w:rsidRPr="00515348">
        <w:t>SM.2149</w:t>
      </w:r>
      <w:proofErr w:type="spellEnd"/>
      <w:r w:rsidRPr="00515348">
        <w:t xml:space="preserve">-0 </w:t>
      </w:r>
      <w:r w:rsidR="003C48D8" w:rsidRPr="00515348">
        <w:t>«</w:t>
      </w:r>
      <w:r w:rsidR="006B1D22" w:rsidRPr="00515348">
        <w:t xml:space="preserve">Orientación sobre los elementos suplementarios relativos a la utilización del Apéndice 10 del Reglamento de Radiocomunicaciones para comunicar información relacionada con la interferencia perjudicial causada a servicios de radiocomunicaciones </w:t>
      </w:r>
      <w:r w:rsidR="00AA1858" w:rsidRPr="00515348">
        <w:t>espaciales</w:t>
      </w:r>
      <w:r w:rsidR="003C48D8" w:rsidRPr="00515348">
        <w:t>»</w:t>
      </w:r>
    </w:p>
    <w:p w14:paraId="2E130081" w14:textId="5D1C2C27" w:rsidR="00A61286" w:rsidRPr="00515348" w:rsidRDefault="00A61286" w:rsidP="00F5438B">
      <w:pPr>
        <w:pStyle w:val="enumlev1"/>
      </w:pPr>
      <w:r w:rsidRPr="00515348">
        <w:t>–</w:t>
      </w:r>
      <w:r w:rsidRPr="00515348">
        <w:tab/>
      </w:r>
      <w:proofErr w:type="spellStart"/>
      <w:r w:rsidRPr="00515348">
        <w:t>SM.2151</w:t>
      </w:r>
      <w:proofErr w:type="spellEnd"/>
      <w:r w:rsidRPr="00515348">
        <w:t xml:space="preserve">-0 </w:t>
      </w:r>
      <w:r w:rsidR="003C48D8" w:rsidRPr="00515348">
        <w:t>«</w:t>
      </w:r>
      <w:r w:rsidR="006B1D22" w:rsidRPr="00515348">
        <w:t>Directrices sobre las gamas de frecuencias para la explotación de la transmisión inalámbrica de potencia por medio de haces de radiofrecuencias para dispositivos móviles y portátiles y redes de sensores</w:t>
      </w:r>
      <w:r w:rsidR="003C48D8" w:rsidRPr="00515348">
        <w:t>»</w:t>
      </w:r>
    </w:p>
    <w:p w14:paraId="2A071955" w14:textId="1CCAA447" w:rsidR="00A61286" w:rsidRPr="00515348" w:rsidRDefault="00A61286" w:rsidP="00F5438B">
      <w:pPr>
        <w:pStyle w:val="enumlev1"/>
      </w:pPr>
      <w:r w:rsidRPr="00515348">
        <w:t>–</w:t>
      </w:r>
      <w:r w:rsidRPr="00515348">
        <w:tab/>
      </w:r>
      <w:proofErr w:type="spellStart"/>
      <w:r w:rsidRPr="00515348">
        <w:t>SM.2152</w:t>
      </w:r>
      <w:proofErr w:type="spellEnd"/>
      <w:r w:rsidRPr="00515348">
        <w:t xml:space="preserve">-0 </w:t>
      </w:r>
      <w:r w:rsidR="003C48D8" w:rsidRPr="00515348">
        <w:t>«</w:t>
      </w:r>
      <w:r w:rsidR="000910D2" w:rsidRPr="00515348">
        <w:t>Complemento de los actuales mecanismos de distribución de radiofrecuencias utilizando la comunicación óptica inalámbrica</w:t>
      </w:r>
      <w:r w:rsidR="003C48D8" w:rsidRPr="00515348">
        <w:t>»</w:t>
      </w:r>
      <w:r w:rsidR="00F5438B" w:rsidRPr="00515348">
        <w:t>.</w:t>
      </w:r>
    </w:p>
    <w:p w14:paraId="6D638DF8" w14:textId="6B098379" w:rsidR="00A61286" w:rsidRPr="00515348" w:rsidRDefault="00A61286" w:rsidP="00A61286">
      <w:pPr>
        <w:keepNext/>
        <w:spacing w:before="160"/>
        <w:rPr>
          <w:b/>
        </w:rPr>
      </w:pPr>
      <w:r w:rsidRPr="00515348">
        <w:rPr>
          <w:b/>
        </w:rPr>
        <w:t>Informes UIT-R:</w:t>
      </w:r>
    </w:p>
    <w:p w14:paraId="1F4A56DC" w14:textId="484212F7" w:rsidR="00A61286" w:rsidRPr="00515348" w:rsidRDefault="00A61286" w:rsidP="00F5438B">
      <w:pPr>
        <w:pStyle w:val="enumlev1"/>
      </w:pPr>
      <w:r w:rsidRPr="00515348">
        <w:t>–</w:t>
      </w:r>
      <w:r w:rsidRPr="00515348">
        <w:tab/>
      </w:r>
      <w:proofErr w:type="spellStart"/>
      <w:r w:rsidRPr="00515348">
        <w:t>SM.2015</w:t>
      </w:r>
      <w:proofErr w:type="spellEnd"/>
      <w:r w:rsidRPr="00515348">
        <w:t xml:space="preserve">-2 </w:t>
      </w:r>
      <w:r w:rsidR="003C48D8" w:rsidRPr="00515348">
        <w:t>«</w:t>
      </w:r>
      <w:r w:rsidR="000910D2" w:rsidRPr="00515348">
        <w:t>Métodos para la determinación de estrategias nacionales a largo plazo para la utilización del espectro radioeléctrico</w:t>
      </w:r>
      <w:r w:rsidR="003C48D8" w:rsidRPr="00515348">
        <w:t>»</w:t>
      </w:r>
    </w:p>
    <w:p w14:paraId="01F301D4" w14:textId="24FE29C4" w:rsidR="00A61286" w:rsidRPr="00515348" w:rsidRDefault="00A61286" w:rsidP="00F5438B">
      <w:pPr>
        <w:pStyle w:val="enumlev1"/>
      </w:pPr>
      <w:r w:rsidRPr="00515348">
        <w:t>–</w:t>
      </w:r>
      <w:r w:rsidRPr="00515348">
        <w:tab/>
      </w:r>
      <w:proofErr w:type="spellStart"/>
      <w:r w:rsidRPr="00515348">
        <w:t>SM.2153</w:t>
      </w:r>
      <w:proofErr w:type="spellEnd"/>
      <w:r w:rsidRPr="00515348">
        <w:t xml:space="preserve">-9 </w:t>
      </w:r>
      <w:r w:rsidR="003C48D8" w:rsidRPr="00515348">
        <w:t>«</w:t>
      </w:r>
      <w:r w:rsidR="000910D2" w:rsidRPr="00515348">
        <w:t>Parámetros técnicos y de funcionamiento de los dispositivos de radiocomunicaciones de corto alcance y utilización del espectro por los mismos</w:t>
      </w:r>
      <w:r w:rsidR="003C48D8" w:rsidRPr="00515348">
        <w:t>»</w:t>
      </w:r>
    </w:p>
    <w:p w14:paraId="6299D591" w14:textId="019C9346" w:rsidR="00A61286" w:rsidRPr="00515348" w:rsidRDefault="00A61286" w:rsidP="00F5438B">
      <w:pPr>
        <w:pStyle w:val="enumlev1"/>
      </w:pPr>
      <w:r w:rsidRPr="00515348">
        <w:t>–</w:t>
      </w:r>
      <w:r w:rsidRPr="00515348">
        <w:tab/>
      </w:r>
      <w:proofErr w:type="spellStart"/>
      <w:r w:rsidRPr="00515348">
        <w:t>SM.2179</w:t>
      </w:r>
      <w:proofErr w:type="spellEnd"/>
      <w:r w:rsidRPr="00515348">
        <w:t xml:space="preserve">-1 </w:t>
      </w:r>
      <w:r w:rsidR="003C48D8" w:rsidRPr="00515348">
        <w:t>«</w:t>
      </w:r>
      <w:r w:rsidR="000910D2" w:rsidRPr="00515348">
        <w:t>Mediciones de dispositivos de radiocomunicaciones de corto alcance</w:t>
      </w:r>
      <w:r w:rsidR="003C48D8" w:rsidRPr="00515348">
        <w:t>»</w:t>
      </w:r>
    </w:p>
    <w:p w14:paraId="42A2F452" w14:textId="5AE45770" w:rsidR="00A61286" w:rsidRPr="00515348" w:rsidRDefault="00A61286" w:rsidP="00F5438B">
      <w:pPr>
        <w:pStyle w:val="enumlev1"/>
      </w:pPr>
      <w:r w:rsidRPr="00515348">
        <w:t>–</w:t>
      </w:r>
      <w:r w:rsidRPr="00515348">
        <w:tab/>
      </w:r>
      <w:proofErr w:type="spellStart"/>
      <w:r w:rsidRPr="00515348">
        <w:t>SM.2257</w:t>
      </w:r>
      <w:proofErr w:type="spellEnd"/>
      <w:r w:rsidRPr="00515348">
        <w:t xml:space="preserve">-6 </w:t>
      </w:r>
      <w:r w:rsidR="003C48D8" w:rsidRPr="00515348">
        <w:t>«</w:t>
      </w:r>
      <w:r w:rsidR="000910D2" w:rsidRPr="00515348">
        <w:t>Gestión y control del espectro durante grandes acontecimientos</w:t>
      </w:r>
      <w:r w:rsidR="003C48D8" w:rsidRPr="00515348">
        <w:t>»</w:t>
      </w:r>
    </w:p>
    <w:p w14:paraId="0083B3B4" w14:textId="34E75C0E" w:rsidR="00A61286" w:rsidRPr="00515348" w:rsidRDefault="00A61286" w:rsidP="00F5438B">
      <w:pPr>
        <w:pStyle w:val="enumlev1"/>
      </w:pPr>
      <w:r w:rsidRPr="00515348">
        <w:t>–</w:t>
      </w:r>
      <w:r w:rsidRPr="00515348">
        <w:tab/>
      </w:r>
      <w:proofErr w:type="spellStart"/>
      <w:r w:rsidRPr="00515348">
        <w:t>SM.2352</w:t>
      </w:r>
      <w:proofErr w:type="spellEnd"/>
      <w:r w:rsidRPr="00515348">
        <w:t xml:space="preserve">-1 </w:t>
      </w:r>
      <w:r w:rsidR="003C48D8" w:rsidRPr="00515348">
        <w:t>«</w:t>
      </w:r>
      <w:r w:rsidR="000910D2" w:rsidRPr="00515348">
        <w:t>Tendencias tecnológicas de los servicios activos en la gama de frecuencias 275-3 000 GHz</w:t>
      </w:r>
      <w:r w:rsidR="003C48D8" w:rsidRPr="00515348">
        <w:t>»</w:t>
      </w:r>
    </w:p>
    <w:p w14:paraId="57919F8F" w14:textId="1FD08D4E" w:rsidR="00A61286" w:rsidRPr="00515348" w:rsidRDefault="00A61286" w:rsidP="00F5438B">
      <w:pPr>
        <w:pStyle w:val="enumlev1"/>
      </w:pPr>
      <w:r w:rsidRPr="00515348">
        <w:t>–</w:t>
      </w:r>
      <w:r w:rsidRPr="00515348">
        <w:tab/>
      </w:r>
      <w:proofErr w:type="spellStart"/>
      <w:r w:rsidRPr="00515348">
        <w:t>SM.2422</w:t>
      </w:r>
      <w:proofErr w:type="spellEnd"/>
      <w:r w:rsidRPr="00515348">
        <w:t xml:space="preserve">-2 </w:t>
      </w:r>
      <w:r w:rsidR="003C48D8" w:rsidRPr="00515348">
        <w:t>«</w:t>
      </w:r>
      <w:r w:rsidR="000910D2" w:rsidRPr="00515348">
        <w:t>Luz visible para las comunicaciones de banda ancha</w:t>
      </w:r>
      <w:r w:rsidR="003C48D8" w:rsidRPr="00515348">
        <w:t>»</w:t>
      </w:r>
    </w:p>
    <w:p w14:paraId="08A3205F" w14:textId="38524092" w:rsidR="00A61286" w:rsidRPr="00515348" w:rsidRDefault="00A61286" w:rsidP="00F5438B">
      <w:pPr>
        <w:pStyle w:val="enumlev1"/>
      </w:pPr>
      <w:r w:rsidRPr="00515348">
        <w:t>–</w:t>
      </w:r>
      <w:r w:rsidRPr="00515348">
        <w:tab/>
      </w:r>
      <w:proofErr w:type="spellStart"/>
      <w:r w:rsidRPr="00515348">
        <w:t>SM.2451</w:t>
      </w:r>
      <w:proofErr w:type="spellEnd"/>
      <w:r w:rsidRPr="00515348">
        <w:t xml:space="preserve">-1 </w:t>
      </w:r>
      <w:r w:rsidR="003C48D8" w:rsidRPr="00515348">
        <w:t>«</w:t>
      </w:r>
      <w:r w:rsidR="000910D2" w:rsidRPr="00515348">
        <w:t>Evaluación de los efectos de la transmisión inalámbrica de potencia para vehículos eléctricos</w:t>
      </w:r>
      <w:r w:rsidR="00DD350D" w:rsidRPr="00515348">
        <w:t xml:space="preserve"> </w:t>
      </w:r>
      <w:r w:rsidR="000910D2" w:rsidRPr="00515348">
        <w:t>sobre los servicios de radiocomunicacione</w:t>
      </w:r>
      <w:r w:rsidR="00DD350D" w:rsidRPr="00515348">
        <w:t>s</w:t>
      </w:r>
      <w:r w:rsidR="000910D2" w:rsidRPr="00515348">
        <w:t xml:space="preserve"> </w:t>
      </w:r>
      <w:r w:rsidR="00DD350D" w:rsidRPr="00515348">
        <w:t>que funcionan por debajo de 30 MHz</w:t>
      </w:r>
      <w:r w:rsidR="003C48D8" w:rsidRPr="00515348">
        <w:t>»</w:t>
      </w:r>
    </w:p>
    <w:p w14:paraId="751D9F45" w14:textId="4F08C93F" w:rsidR="00A61286" w:rsidRPr="00515348" w:rsidRDefault="00A61286" w:rsidP="00F5438B">
      <w:pPr>
        <w:pStyle w:val="enumlev1"/>
      </w:pPr>
      <w:r w:rsidRPr="00515348">
        <w:lastRenderedPageBreak/>
        <w:t>–</w:t>
      </w:r>
      <w:r w:rsidRPr="00515348">
        <w:tab/>
      </w:r>
      <w:proofErr w:type="spellStart"/>
      <w:r w:rsidRPr="00515348">
        <w:t>SM.2452</w:t>
      </w:r>
      <w:proofErr w:type="spellEnd"/>
      <w:r w:rsidRPr="00515348">
        <w:t xml:space="preserve">-1 </w:t>
      </w:r>
      <w:r w:rsidR="003C48D8" w:rsidRPr="00515348">
        <w:t>«</w:t>
      </w:r>
      <w:r w:rsidR="00DD350D" w:rsidRPr="00515348">
        <w:t>Medición de campos electromagnéticos para la evaluación de la exposición de las personas</w:t>
      </w:r>
      <w:r w:rsidR="003C48D8" w:rsidRPr="00515348">
        <w:t>»</w:t>
      </w:r>
    </w:p>
    <w:p w14:paraId="61BFC87D" w14:textId="454E644C" w:rsidR="00DD350D" w:rsidRPr="00515348" w:rsidRDefault="00A61286" w:rsidP="00F5438B">
      <w:pPr>
        <w:pStyle w:val="enumlev1"/>
      </w:pPr>
      <w:r w:rsidRPr="00515348">
        <w:t>–</w:t>
      </w:r>
      <w:r w:rsidRPr="00515348">
        <w:tab/>
      </w:r>
      <w:proofErr w:type="spellStart"/>
      <w:r w:rsidRPr="00515348">
        <w:t>SM.2503</w:t>
      </w:r>
      <w:proofErr w:type="spellEnd"/>
      <w:r w:rsidRPr="00515348">
        <w:t xml:space="preserve">-0 </w:t>
      </w:r>
      <w:r w:rsidR="003C48D8" w:rsidRPr="00515348">
        <w:t>«</w:t>
      </w:r>
      <w:r w:rsidR="00DD350D" w:rsidRPr="00515348">
        <w:t xml:space="preserve">Evaluación de las perturbaciones electromagnéticas radiadas </w:t>
      </w:r>
      <w:r w:rsidR="00AA1858" w:rsidRPr="00515348">
        <w:t>por</w:t>
      </w:r>
      <w:r w:rsidR="00DD350D" w:rsidRPr="00515348">
        <w:t xml:space="preserve"> los electrodomésticos y sus interferencias sobre una red de la Internet de las cosas (</w:t>
      </w:r>
      <w:proofErr w:type="spellStart"/>
      <w:r w:rsidR="00DD350D" w:rsidRPr="00515348">
        <w:t>IoT</w:t>
      </w:r>
      <w:proofErr w:type="spellEnd"/>
      <w:r w:rsidR="00AA1858" w:rsidRPr="00515348">
        <w:t>) en la banda de frecuencias de 915 MHz</w:t>
      </w:r>
      <w:r w:rsidR="003C48D8" w:rsidRPr="00515348">
        <w:t>»</w:t>
      </w:r>
    </w:p>
    <w:p w14:paraId="5C37C55D" w14:textId="74F87C50" w:rsidR="00A61286" w:rsidRPr="00515348" w:rsidRDefault="00A61286" w:rsidP="00F5438B">
      <w:pPr>
        <w:pStyle w:val="enumlev1"/>
      </w:pPr>
      <w:r w:rsidRPr="00515348">
        <w:t>–</w:t>
      </w:r>
      <w:r w:rsidRPr="00515348">
        <w:tab/>
      </w:r>
      <w:proofErr w:type="spellStart"/>
      <w:r w:rsidRPr="00515348">
        <w:t>SM.2504</w:t>
      </w:r>
      <w:proofErr w:type="spellEnd"/>
      <w:r w:rsidRPr="00515348">
        <w:t xml:space="preserve">-0 </w:t>
      </w:r>
      <w:r w:rsidR="003C48D8" w:rsidRPr="00515348">
        <w:t>«</w:t>
      </w:r>
      <w:r w:rsidR="00AA1858" w:rsidRPr="00515348">
        <w:t>Métodos para la estimación de la cobertura de los servicios terrenales de radiocomunicaciones, basados en la población</w:t>
      </w:r>
      <w:r w:rsidR="003C48D8" w:rsidRPr="00515348">
        <w:t>»</w:t>
      </w:r>
    </w:p>
    <w:p w14:paraId="629B5CA5" w14:textId="250CEA12" w:rsidR="00A61286" w:rsidRPr="00515348" w:rsidRDefault="00A61286" w:rsidP="00F5438B">
      <w:pPr>
        <w:pStyle w:val="enumlev1"/>
      </w:pPr>
      <w:r w:rsidRPr="00515348">
        <w:t>–</w:t>
      </w:r>
      <w:r w:rsidRPr="00515348">
        <w:tab/>
      </w:r>
      <w:proofErr w:type="spellStart"/>
      <w:r w:rsidRPr="00515348">
        <w:t>SM.2505</w:t>
      </w:r>
      <w:proofErr w:type="spellEnd"/>
      <w:r w:rsidRPr="00515348">
        <w:t xml:space="preserve">-0 </w:t>
      </w:r>
      <w:r w:rsidR="003C48D8" w:rsidRPr="00515348">
        <w:t>«</w:t>
      </w:r>
      <w:r w:rsidR="00AA1858" w:rsidRPr="00515348">
        <w:t>Estudio de los efectos y aspectos peligrosos para el ser humano de la transmisión inalámbrica de potencia a través de haces de radiofrecuencias</w:t>
      </w:r>
      <w:r w:rsidR="003C48D8" w:rsidRPr="00515348">
        <w:t>»</w:t>
      </w:r>
      <w:r w:rsidR="00F5438B" w:rsidRPr="00515348">
        <w:t>.</w:t>
      </w:r>
    </w:p>
    <w:p w14:paraId="71E0915D" w14:textId="6CF0848A" w:rsidR="005A715D" w:rsidRPr="00515348" w:rsidRDefault="006B1D22" w:rsidP="005A715D">
      <w:r w:rsidRPr="00515348">
        <w:t xml:space="preserve">Las siguientes reuniones de los Grupos de Trabajo </w:t>
      </w:r>
      <w:proofErr w:type="spellStart"/>
      <w:r w:rsidRPr="00515348">
        <w:t>1A</w:t>
      </w:r>
      <w:proofErr w:type="spellEnd"/>
      <w:r w:rsidRPr="00515348">
        <w:t xml:space="preserve">, </w:t>
      </w:r>
      <w:proofErr w:type="spellStart"/>
      <w:r w:rsidRPr="00515348">
        <w:t>1B</w:t>
      </w:r>
      <w:proofErr w:type="spellEnd"/>
      <w:r w:rsidRPr="00515348">
        <w:t xml:space="preserve"> y </w:t>
      </w:r>
      <w:proofErr w:type="spellStart"/>
      <w:r w:rsidRPr="00515348">
        <w:t>1C</w:t>
      </w:r>
      <w:proofErr w:type="spellEnd"/>
      <w:r w:rsidRPr="00515348">
        <w:t xml:space="preserve"> están previstos fuera de Ginebra del</w:t>
      </w:r>
      <w:r w:rsidR="002B6C28">
        <w:t> </w:t>
      </w:r>
      <w:r w:rsidRPr="00515348">
        <w:t xml:space="preserve">29 de mayo al 2 de junio de 2023. La reunión del GT 1 está prevista en Ginebra </w:t>
      </w:r>
      <w:r w:rsidR="000F423F" w:rsidRPr="00515348">
        <w:t>el</w:t>
      </w:r>
      <w:r w:rsidRPr="00515348">
        <w:t xml:space="preserve"> 5 y 6 de junio de 2023. </w:t>
      </w:r>
      <w:r w:rsidR="00876FA1" w:rsidRPr="00515348">
        <w:t>Este será el último bloque de reuniones de la CE 1 para el periodo de estudios 2019-2023.</w:t>
      </w:r>
      <w:bookmarkEnd w:id="16"/>
    </w:p>
    <w:p w14:paraId="4F3596C5" w14:textId="77777777" w:rsidR="005A715D" w:rsidRPr="00515348" w:rsidRDefault="005A715D" w:rsidP="005A715D">
      <w:pPr>
        <w:pStyle w:val="Heading2"/>
      </w:pPr>
      <w:bookmarkStart w:id="17" w:name="_Toc445972793"/>
      <w:r w:rsidRPr="00515348">
        <w:t>6.2</w:t>
      </w:r>
      <w:r w:rsidRPr="00515348">
        <w:tab/>
        <w:t>Comisión de Estudio 3</w:t>
      </w:r>
      <w:bookmarkEnd w:id="17"/>
    </w:p>
    <w:p w14:paraId="70379BC2" w14:textId="5EA24E85" w:rsidR="005A715D" w:rsidRPr="00515348" w:rsidRDefault="005A715D" w:rsidP="005A715D">
      <w:r w:rsidRPr="00515348">
        <w:t>Al continuar sus trabajos sobre medición de la propagación, análisis de datos, modelización y predicción en diversas partes del espectro hasta 375 THz y, de este modo, sentar las bases del diseño de sistemas de radiocomunicaciones y la evaluación de interferencias, la CE 3 sigue revisando o elaborando nuev</w:t>
      </w:r>
      <w:r w:rsidR="000F423F" w:rsidRPr="00515348">
        <w:t>a</w:t>
      </w:r>
      <w:r w:rsidRPr="00515348">
        <w:t>s recomendaciones</w:t>
      </w:r>
      <w:r w:rsidR="000F423F" w:rsidRPr="00515348">
        <w:t>,</w:t>
      </w:r>
      <w:r w:rsidRPr="00515348">
        <w:t xml:space="preserve"> </w:t>
      </w:r>
      <w:r w:rsidR="000F423F" w:rsidRPr="00515348">
        <w:t xml:space="preserve">informes </w:t>
      </w:r>
      <w:r w:rsidRPr="00515348">
        <w:t xml:space="preserve">y manuales en el marco de su mandato. La CE 3 y sus Grupos de Trabajo también siguen prestando asistencia a las demás CE del UIT-R en relación los aspectos de predicción de la propagación de ondas radioeléctricas, más concretamente los relativos a el diseño de sistemas y los estudios de compartición, que a menudo se necesitan para los trabajos relativos a los puntos del orden del día de la </w:t>
      </w:r>
      <w:proofErr w:type="spellStart"/>
      <w:r w:rsidRPr="00515348">
        <w:t>CMR</w:t>
      </w:r>
      <w:proofErr w:type="spellEnd"/>
      <w:r w:rsidRPr="00515348">
        <w:t>.</w:t>
      </w:r>
    </w:p>
    <w:p w14:paraId="65C80455" w14:textId="7DFD3FF6" w:rsidR="00AA1858" w:rsidRPr="00515348" w:rsidRDefault="00AA1858" w:rsidP="005A715D">
      <w:r w:rsidRPr="00515348">
        <w:t xml:space="preserve">Desde el GAR-22, se adoptaron y aprobaron </w:t>
      </w:r>
      <w:r w:rsidR="003059B0" w:rsidRPr="00515348">
        <w:t xml:space="preserve">cuatro </w:t>
      </w:r>
      <w:r w:rsidRPr="00515348">
        <w:t xml:space="preserve">Recomendaciones UIT-R nuevas y </w:t>
      </w:r>
      <w:r w:rsidR="003059B0" w:rsidRPr="00515348">
        <w:t>diez</w:t>
      </w:r>
      <w:r w:rsidRPr="00515348">
        <w:t xml:space="preserve"> revisada</w:t>
      </w:r>
      <w:r w:rsidR="003059B0" w:rsidRPr="00515348">
        <w:t>s</w:t>
      </w:r>
      <w:r w:rsidRPr="00515348">
        <w:t xml:space="preserve">. </w:t>
      </w:r>
      <w:r w:rsidR="003059B0" w:rsidRPr="00515348">
        <w:t xml:space="preserve">Se modificó </w:t>
      </w:r>
      <w:r w:rsidR="005E3D71" w:rsidRPr="00515348">
        <w:t xml:space="preserve">también </w:t>
      </w:r>
      <w:r w:rsidR="003059B0" w:rsidRPr="00515348">
        <w:t>la redacción de siete Recomendaciones UIT-R.</w:t>
      </w:r>
      <w:r w:rsidR="005E3D71" w:rsidRPr="00515348">
        <w:t xml:space="preserve"> Además, l</w:t>
      </w:r>
      <w:r w:rsidRPr="00515348">
        <w:t xml:space="preserve">a CE </w:t>
      </w:r>
      <w:r w:rsidR="003059B0" w:rsidRPr="00515348">
        <w:t>3</w:t>
      </w:r>
      <w:r w:rsidR="005E3D71" w:rsidRPr="00515348">
        <w:t xml:space="preserve"> del</w:t>
      </w:r>
      <w:r w:rsidR="00947F06">
        <w:t> </w:t>
      </w:r>
      <w:r w:rsidR="005E3D71" w:rsidRPr="00515348">
        <w:t>UIT-R</w:t>
      </w:r>
      <w:r w:rsidRPr="00515348">
        <w:t xml:space="preserve"> aprobó </w:t>
      </w:r>
      <w:r w:rsidR="003059B0" w:rsidRPr="00515348">
        <w:t xml:space="preserve">una nueva Cuestión </w:t>
      </w:r>
      <w:r w:rsidRPr="00515348">
        <w:t>UIT-R.</w:t>
      </w:r>
    </w:p>
    <w:p w14:paraId="205F5A0A" w14:textId="001791B3" w:rsidR="005A715D" w:rsidRPr="00515348" w:rsidRDefault="005A715D" w:rsidP="003E5909">
      <w:bookmarkStart w:id="18" w:name="lt_pId170"/>
      <w:r w:rsidRPr="00515348">
        <w:t xml:space="preserve">A fin de avanzar en sus trabajos, los GT </w:t>
      </w:r>
      <w:proofErr w:type="spellStart"/>
      <w:r w:rsidRPr="00515348">
        <w:t>3J</w:t>
      </w:r>
      <w:proofErr w:type="spellEnd"/>
      <w:r w:rsidRPr="00515348">
        <w:t xml:space="preserve">, </w:t>
      </w:r>
      <w:proofErr w:type="spellStart"/>
      <w:r w:rsidRPr="00515348">
        <w:t>3K</w:t>
      </w:r>
      <w:proofErr w:type="spellEnd"/>
      <w:r w:rsidRPr="00515348">
        <w:t xml:space="preserve">, </w:t>
      </w:r>
      <w:proofErr w:type="spellStart"/>
      <w:r w:rsidRPr="00515348">
        <w:t>3L</w:t>
      </w:r>
      <w:proofErr w:type="spellEnd"/>
      <w:r w:rsidRPr="00515348">
        <w:t xml:space="preserve"> y </w:t>
      </w:r>
      <w:proofErr w:type="spellStart"/>
      <w:r w:rsidRPr="00515348">
        <w:t>3M</w:t>
      </w:r>
      <w:proofErr w:type="spellEnd"/>
      <w:r w:rsidRPr="00515348">
        <w:t xml:space="preserve"> crearon varios Grupos por </w:t>
      </w:r>
      <w:r w:rsidR="008D6185" w:rsidRPr="00515348">
        <w:t>c</w:t>
      </w:r>
      <w:r w:rsidRPr="00515348">
        <w:t>orrespondencia adicionales</w:t>
      </w:r>
      <w:r w:rsidR="003059B0" w:rsidRPr="00515348">
        <w:t xml:space="preserve"> (actualmente existen 33 Grupos por correspondencia activos)</w:t>
      </w:r>
      <w:r w:rsidRPr="00515348">
        <w:t xml:space="preserve">, lo que aumentó considerablemente el número de horas </w:t>
      </w:r>
      <w:r w:rsidR="000F423F" w:rsidRPr="00515348">
        <w:t>trabajadas</w:t>
      </w:r>
      <w:r w:rsidRPr="00515348">
        <w:t xml:space="preserve"> entre </w:t>
      </w:r>
      <w:r w:rsidR="000F423F" w:rsidRPr="00515348">
        <w:t xml:space="preserve">las </w:t>
      </w:r>
      <w:r w:rsidRPr="00515348">
        <w:t xml:space="preserve">reuniones oficiales. </w:t>
      </w:r>
      <w:r w:rsidR="000F423F" w:rsidRPr="00515348">
        <w:t>Es</w:t>
      </w:r>
      <w:r w:rsidRPr="00515348">
        <w:t xml:space="preserve"> </w:t>
      </w:r>
      <w:r w:rsidR="000F423F" w:rsidRPr="00515348">
        <w:t>un</w:t>
      </w:r>
      <w:r w:rsidRPr="00515348">
        <w:t xml:space="preserve">a práctica habitual de estos Grupos de Trabajo, que han </w:t>
      </w:r>
      <w:r w:rsidR="000F423F" w:rsidRPr="00515348">
        <w:t>utilizado</w:t>
      </w:r>
      <w:r w:rsidRPr="00515348">
        <w:t xml:space="preserve"> los Grupos por </w:t>
      </w:r>
      <w:r w:rsidR="008D6185" w:rsidRPr="00515348">
        <w:t>c</w:t>
      </w:r>
      <w:r w:rsidRPr="00515348">
        <w:t xml:space="preserve">orrespondencia desde hace más de diez años, sobre todo porque esos Grupos de Trabajo generalmente sólo se reúnen una vez al año y el estudio de algunos de los temas que les corresponden a veces se prolonga durante más de cinco, </w:t>
      </w:r>
      <w:r w:rsidR="0030651E" w:rsidRPr="00515348">
        <w:t xml:space="preserve">o </w:t>
      </w:r>
      <w:r w:rsidRPr="00515348">
        <w:t xml:space="preserve">incluso diez, años. Por </w:t>
      </w:r>
      <w:r w:rsidR="0030651E" w:rsidRPr="00515348">
        <w:t>tanto</w:t>
      </w:r>
      <w:r w:rsidRPr="00515348">
        <w:t xml:space="preserve">, no debe entenderse que esa utilización de los Grupos por </w:t>
      </w:r>
      <w:r w:rsidR="008D6185" w:rsidRPr="00515348">
        <w:t>c</w:t>
      </w:r>
      <w:r w:rsidRPr="00515348">
        <w:t>orrespondencia responde única y exclusivamente a la situación creada por la pandemia de</w:t>
      </w:r>
      <w:bookmarkStart w:id="19" w:name="lt_pId172"/>
      <w:bookmarkEnd w:id="18"/>
      <w:r w:rsidRPr="00515348">
        <w:t xml:space="preserve"> COVID-19.</w:t>
      </w:r>
      <w:bookmarkEnd w:id="19"/>
    </w:p>
    <w:p w14:paraId="050DEF27" w14:textId="108B4AAF" w:rsidR="005A715D" w:rsidRPr="00515348" w:rsidRDefault="003059B0" w:rsidP="005A715D">
      <w:pPr>
        <w:rPr>
          <w:szCs w:val="24"/>
        </w:rPr>
      </w:pPr>
      <w:r w:rsidRPr="00515348">
        <w:rPr>
          <w:szCs w:val="24"/>
        </w:rPr>
        <w:t>En 2022, l</w:t>
      </w:r>
      <w:r w:rsidR="005A715D" w:rsidRPr="00515348">
        <w:rPr>
          <w:szCs w:val="24"/>
        </w:rPr>
        <w:t xml:space="preserve">as Recomendaciones de la serie P </w:t>
      </w:r>
      <w:r w:rsidR="005E3D71" w:rsidRPr="00515348">
        <w:rPr>
          <w:szCs w:val="24"/>
        </w:rPr>
        <w:t>han seguido</w:t>
      </w:r>
      <w:r w:rsidR="005A715D" w:rsidRPr="00515348">
        <w:rPr>
          <w:szCs w:val="24"/>
        </w:rPr>
        <w:t xml:space="preserve"> siendo las más populares de todas las series de Recomendaciones del UIT-R, pues </w:t>
      </w:r>
      <w:r w:rsidR="0030651E" w:rsidRPr="00515348">
        <w:rPr>
          <w:szCs w:val="24"/>
        </w:rPr>
        <w:t>contabilizaron</w:t>
      </w:r>
      <w:r w:rsidR="005A715D" w:rsidRPr="00515348">
        <w:rPr>
          <w:szCs w:val="24"/>
        </w:rPr>
        <w:t xml:space="preserve"> </w:t>
      </w:r>
      <w:r w:rsidRPr="00515348">
        <w:rPr>
          <w:szCs w:val="24"/>
        </w:rPr>
        <w:t>33 000</w:t>
      </w:r>
      <w:r w:rsidR="005A715D" w:rsidRPr="00515348">
        <w:rPr>
          <w:szCs w:val="24"/>
        </w:rPr>
        <w:t xml:space="preserve"> descargas </w:t>
      </w:r>
      <w:r w:rsidRPr="00515348">
        <w:rPr>
          <w:szCs w:val="24"/>
        </w:rPr>
        <w:t xml:space="preserve">más que </w:t>
      </w:r>
      <w:r w:rsidR="005A715D" w:rsidRPr="00515348">
        <w:rPr>
          <w:szCs w:val="24"/>
        </w:rPr>
        <w:t>la segunda serie más popular, lo que revela su importancia para todos los usuarios de sistemas de radiocomunicaciones en la UIT y en la comunidad de radiocomunicaciones en general.</w:t>
      </w:r>
    </w:p>
    <w:p w14:paraId="029C6385" w14:textId="1B9C0A64" w:rsidR="005A715D" w:rsidRPr="00515348" w:rsidDel="009934C4" w:rsidRDefault="005A715D" w:rsidP="005A715D">
      <w:pPr>
        <w:pStyle w:val="Headingb"/>
      </w:pPr>
      <w:r w:rsidRPr="00515348">
        <w:t>Recomendaci</w:t>
      </w:r>
      <w:r w:rsidR="003C000A" w:rsidRPr="00515348">
        <w:t>o</w:t>
      </w:r>
      <w:r w:rsidRPr="00515348">
        <w:t>n</w:t>
      </w:r>
      <w:r w:rsidR="003C000A" w:rsidRPr="00515348">
        <w:t>es</w:t>
      </w:r>
      <w:r w:rsidRPr="00515348">
        <w:t xml:space="preserve"> UIT-R:</w:t>
      </w:r>
    </w:p>
    <w:p w14:paraId="7D3D8E9E" w14:textId="77A78FB5" w:rsidR="00B33E97" w:rsidRPr="00515348" w:rsidRDefault="00B33E97" w:rsidP="00F5438B">
      <w:pPr>
        <w:pStyle w:val="enumlev1"/>
      </w:pPr>
      <w:bookmarkStart w:id="20" w:name="_Toc445972794"/>
      <w:r w:rsidRPr="00515348">
        <w:t>–</w:t>
      </w:r>
      <w:r w:rsidRPr="00515348">
        <w:tab/>
      </w:r>
      <w:proofErr w:type="spellStart"/>
      <w:r w:rsidRPr="00515348">
        <w:t>P.368</w:t>
      </w:r>
      <w:proofErr w:type="spellEnd"/>
      <w:r w:rsidRPr="00515348">
        <w:t xml:space="preserve">-10 </w:t>
      </w:r>
      <w:r w:rsidR="003C48D8" w:rsidRPr="00515348">
        <w:t>«</w:t>
      </w:r>
      <w:r w:rsidR="0073634F" w:rsidRPr="00515348">
        <w:t>Método de predicción de la propagación por onda de superficie para frecuencias comprendidas entre 10 kHz y 30 MHz</w:t>
      </w:r>
      <w:r w:rsidR="003C48D8" w:rsidRPr="00515348">
        <w:t>»</w:t>
      </w:r>
    </w:p>
    <w:p w14:paraId="3D95439A" w14:textId="42EED071" w:rsidR="00B33E97" w:rsidRPr="00515348" w:rsidRDefault="00B33E97" w:rsidP="00F5438B">
      <w:pPr>
        <w:pStyle w:val="enumlev1"/>
      </w:pPr>
      <w:r w:rsidRPr="00515348">
        <w:t>–</w:t>
      </w:r>
      <w:r w:rsidRPr="00515348">
        <w:tab/>
      </w:r>
      <w:proofErr w:type="spellStart"/>
      <w:r w:rsidRPr="00515348">
        <w:t>P.372</w:t>
      </w:r>
      <w:proofErr w:type="spellEnd"/>
      <w:r w:rsidRPr="00515348">
        <w:t xml:space="preserve">-16 </w:t>
      </w:r>
      <w:r w:rsidR="003C48D8" w:rsidRPr="00515348">
        <w:t>«</w:t>
      </w:r>
      <w:r w:rsidR="0073634F" w:rsidRPr="00515348">
        <w:t>Ruido radioeléctrico</w:t>
      </w:r>
      <w:r w:rsidR="003C48D8" w:rsidRPr="00515348">
        <w:t>»</w:t>
      </w:r>
    </w:p>
    <w:p w14:paraId="224F3CB2" w14:textId="6D7CF79A" w:rsidR="00B33E97" w:rsidRPr="00515348" w:rsidRDefault="00B33E97" w:rsidP="00F5438B">
      <w:pPr>
        <w:pStyle w:val="enumlev1"/>
      </w:pPr>
      <w:r w:rsidRPr="00515348">
        <w:t>–</w:t>
      </w:r>
      <w:r w:rsidRPr="00515348">
        <w:tab/>
      </w:r>
      <w:proofErr w:type="spellStart"/>
      <w:r w:rsidRPr="00515348">
        <w:t>P.581</w:t>
      </w:r>
      <w:proofErr w:type="spellEnd"/>
      <w:r w:rsidRPr="00515348">
        <w:t xml:space="preserve">-3 </w:t>
      </w:r>
      <w:r w:rsidR="003C48D8" w:rsidRPr="00515348">
        <w:t>«</w:t>
      </w:r>
      <w:r w:rsidR="0073634F" w:rsidRPr="00515348">
        <w:t>Noción de «mes más desfavorable»</w:t>
      </w:r>
      <w:r w:rsidR="003C48D8" w:rsidRPr="00515348">
        <w:t>»</w:t>
      </w:r>
    </w:p>
    <w:p w14:paraId="54D832A8" w14:textId="52209343" w:rsidR="00B33E97" w:rsidRPr="00515348" w:rsidRDefault="00B33E97" w:rsidP="00F5438B">
      <w:pPr>
        <w:pStyle w:val="enumlev1"/>
      </w:pPr>
      <w:r w:rsidRPr="00515348">
        <w:t>–</w:t>
      </w:r>
      <w:r w:rsidRPr="00515348">
        <w:tab/>
      </w:r>
      <w:proofErr w:type="spellStart"/>
      <w:r w:rsidRPr="00515348">
        <w:t>P.676</w:t>
      </w:r>
      <w:proofErr w:type="spellEnd"/>
      <w:r w:rsidRPr="00515348">
        <w:t xml:space="preserve">-13 </w:t>
      </w:r>
      <w:r w:rsidR="003C48D8" w:rsidRPr="00515348">
        <w:t>«</w:t>
      </w:r>
      <w:r w:rsidR="0073634F" w:rsidRPr="00515348">
        <w:t>Atenuación debida a los gases atmosféricos y efectos conexos</w:t>
      </w:r>
      <w:r w:rsidR="003C48D8" w:rsidRPr="00515348">
        <w:t>»</w:t>
      </w:r>
    </w:p>
    <w:p w14:paraId="051C4781" w14:textId="0D73B418" w:rsidR="00B33E97" w:rsidRPr="00515348" w:rsidRDefault="00B33E97" w:rsidP="00F5438B">
      <w:pPr>
        <w:pStyle w:val="enumlev1"/>
      </w:pPr>
      <w:r w:rsidRPr="00515348">
        <w:lastRenderedPageBreak/>
        <w:t>–</w:t>
      </w:r>
      <w:r w:rsidRPr="00515348">
        <w:tab/>
      </w:r>
      <w:proofErr w:type="spellStart"/>
      <w:r w:rsidRPr="00515348">
        <w:t>P.680</w:t>
      </w:r>
      <w:proofErr w:type="spellEnd"/>
      <w:r w:rsidRPr="00515348">
        <w:t xml:space="preserve">-4 </w:t>
      </w:r>
      <w:r w:rsidR="003C48D8" w:rsidRPr="00515348">
        <w:t>«</w:t>
      </w:r>
      <w:r w:rsidR="00251FEA" w:rsidRPr="00515348">
        <w:t>Datos de propagación necesarios para el diseño de sistemas de telecomunicación móviles marítimos Tierra-espacio</w:t>
      </w:r>
      <w:r w:rsidR="003C48D8" w:rsidRPr="00515348">
        <w:t>»</w:t>
      </w:r>
    </w:p>
    <w:p w14:paraId="28EFC5A1" w14:textId="2285C587" w:rsidR="00B33E97" w:rsidRPr="00515348" w:rsidRDefault="00B33E97" w:rsidP="00F5438B">
      <w:pPr>
        <w:pStyle w:val="enumlev1"/>
      </w:pPr>
      <w:r w:rsidRPr="00515348">
        <w:t>–</w:t>
      </w:r>
      <w:r w:rsidRPr="00515348">
        <w:tab/>
      </w:r>
      <w:proofErr w:type="spellStart"/>
      <w:r w:rsidRPr="00515348">
        <w:t>P.682</w:t>
      </w:r>
      <w:proofErr w:type="spellEnd"/>
      <w:r w:rsidRPr="00515348">
        <w:t xml:space="preserve">-4 </w:t>
      </w:r>
      <w:r w:rsidR="003C48D8" w:rsidRPr="00515348">
        <w:t>«</w:t>
      </w:r>
      <w:r w:rsidR="00251FEA" w:rsidRPr="00515348">
        <w:t>Datos de propagación necesarios para el diseño de sistemas de telecomunicación móviles aeronáuticos Tierra-espacio</w:t>
      </w:r>
      <w:r w:rsidR="003C48D8" w:rsidRPr="00515348">
        <w:t>»</w:t>
      </w:r>
    </w:p>
    <w:p w14:paraId="117D79F2" w14:textId="35FFF3A8" w:rsidR="00B33E97" w:rsidRPr="00515348" w:rsidRDefault="00B33E97" w:rsidP="00F5438B">
      <w:pPr>
        <w:pStyle w:val="enumlev1"/>
      </w:pPr>
      <w:r w:rsidRPr="00515348">
        <w:t>–</w:t>
      </w:r>
      <w:r w:rsidRPr="00515348">
        <w:tab/>
      </w:r>
      <w:proofErr w:type="spellStart"/>
      <w:r w:rsidRPr="00515348">
        <w:t>P.684</w:t>
      </w:r>
      <w:proofErr w:type="spellEnd"/>
      <w:r w:rsidRPr="00515348">
        <w:t xml:space="preserve">-8 </w:t>
      </w:r>
      <w:r w:rsidR="003C48D8" w:rsidRPr="00515348">
        <w:t>«</w:t>
      </w:r>
      <w:r w:rsidR="00251FEA" w:rsidRPr="00515348">
        <w:t>Predicción de la intensidad de campo en frecuencias por debajo de unos 150 kHz</w:t>
      </w:r>
      <w:r w:rsidR="003C48D8" w:rsidRPr="00515348">
        <w:t>»</w:t>
      </w:r>
    </w:p>
    <w:p w14:paraId="15BC0532" w14:textId="445C56E0" w:rsidR="00B33E97" w:rsidRPr="00515348" w:rsidRDefault="00B33E97" w:rsidP="00F5438B">
      <w:pPr>
        <w:pStyle w:val="enumlev1"/>
      </w:pPr>
      <w:r w:rsidRPr="00515348">
        <w:t>–</w:t>
      </w:r>
      <w:r w:rsidRPr="00515348">
        <w:tab/>
      </w:r>
      <w:proofErr w:type="spellStart"/>
      <w:r w:rsidRPr="00515348">
        <w:t>P.841</w:t>
      </w:r>
      <w:proofErr w:type="spellEnd"/>
      <w:r w:rsidRPr="00515348">
        <w:t xml:space="preserve">-7 </w:t>
      </w:r>
      <w:r w:rsidR="003C48D8" w:rsidRPr="00515348">
        <w:t>«</w:t>
      </w:r>
      <w:r w:rsidR="00961C88" w:rsidRPr="00515348">
        <w:t>Conversión de las estadísticas anuales en estadísticas del mes más desfavorable</w:t>
      </w:r>
      <w:r w:rsidR="003C48D8" w:rsidRPr="00515348">
        <w:t>»</w:t>
      </w:r>
    </w:p>
    <w:p w14:paraId="691FFF31" w14:textId="5FD1A029" w:rsidR="00B33E97" w:rsidRPr="00515348" w:rsidRDefault="00B33E97" w:rsidP="00F5438B">
      <w:pPr>
        <w:pStyle w:val="enumlev1"/>
      </w:pPr>
      <w:r w:rsidRPr="00515348">
        <w:t>–</w:t>
      </w:r>
      <w:r w:rsidRPr="00515348">
        <w:tab/>
      </w:r>
      <w:proofErr w:type="spellStart"/>
      <w:r w:rsidRPr="00515348">
        <w:t>P.1057</w:t>
      </w:r>
      <w:proofErr w:type="spellEnd"/>
      <w:r w:rsidRPr="00515348">
        <w:t xml:space="preserve">-7 </w:t>
      </w:r>
      <w:r w:rsidR="003C48D8" w:rsidRPr="00515348">
        <w:t>«</w:t>
      </w:r>
      <w:r w:rsidR="00961C88" w:rsidRPr="00515348">
        <w:t>Distribuciones de probabilidad para establecer modelos de propagación de las ondas radioeléctricas</w:t>
      </w:r>
      <w:r w:rsidR="003C48D8" w:rsidRPr="00515348">
        <w:t>»</w:t>
      </w:r>
    </w:p>
    <w:p w14:paraId="0B8DE534" w14:textId="24A19FA1" w:rsidR="00B33E97" w:rsidRPr="00515348" w:rsidRDefault="00B33E97" w:rsidP="00F5438B">
      <w:pPr>
        <w:pStyle w:val="enumlev1"/>
      </w:pPr>
      <w:r w:rsidRPr="00515348">
        <w:t>–</w:t>
      </w:r>
      <w:r w:rsidRPr="00515348">
        <w:tab/>
      </w:r>
      <w:proofErr w:type="spellStart"/>
      <w:r w:rsidRPr="00515348">
        <w:t>P.1622</w:t>
      </w:r>
      <w:proofErr w:type="spellEnd"/>
      <w:r w:rsidRPr="00515348">
        <w:t xml:space="preserve">-1 </w:t>
      </w:r>
      <w:r w:rsidR="003C48D8" w:rsidRPr="00515348">
        <w:t>«</w:t>
      </w:r>
      <w:r w:rsidR="00961C88" w:rsidRPr="00515348">
        <w:t>Métodos de predicción requeridos para el diseño de sistemas Tierra-espacio que funcionan entre 20 THz y 375 THz</w:t>
      </w:r>
      <w:r w:rsidR="003C48D8" w:rsidRPr="00515348">
        <w:t>»</w:t>
      </w:r>
    </w:p>
    <w:p w14:paraId="5D9EACAB" w14:textId="29CABE40" w:rsidR="00B33E97" w:rsidRPr="00515348" w:rsidRDefault="00B33E97" w:rsidP="00F5438B">
      <w:pPr>
        <w:pStyle w:val="enumlev1"/>
      </w:pPr>
      <w:r w:rsidRPr="00515348">
        <w:t>–</w:t>
      </w:r>
      <w:r w:rsidRPr="00515348">
        <w:tab/>
      </w:r>
      <w:proofErr w:type="spellStart"/>
      <w:r w:rsidRPr="00515348">
        <w:t>P.2145</w:t>
      </w:r>
      <w:proofErr w:type="spellEnd"/>
      <w:r w:rsidRPr="00515348">
        <w:t xml:space="preserve">-0 </w:t>
      </w:r>
      <w:r w:rsidR="003C48D8" w:rsidRPr="00515348">
        <w:t>«</w:t>
      </w:r>
      <w:r w:rsidR="00961C88" w:rsidRPr="00515348">
        <w:t>Mapas digitales relacionados con el cálculo de la atenuación producida por los gases y los efectos conexos</w:t>
      </w:r>
      <w:r w:rsidR="003C48D8" w:rsidRPr="00515348">
        <w:t>»</w:t>
      </w:r>
    </w:p>
    <w:p w14:paraId="2B52FF7A" w14:textId="0683E9C4" w:rsidR="00B33E97" w:rsidRPr="00515348" w:rsidRDefault="00B33E97" w:rsidP="00F5438B">
      <w:pPr>
        <w:pStyle w:val="enumlev1"/>
      </w:pPr>
      <w:r w:rsidRPr="00515348">
        <w:t>–</w:t>
      </w:r>
      <w:r w:rsidRPr="00515348">
        <w:tab/>
      </w:r>
      <w:proofErr w:type="spellStart"/>
      <w:r w:rsidRPr="00515348">
        <w:t>P.2146</w:t>
      </w:r>
      <w:proofErr w:type="spellEnd"/>
      <w:r w:rsidRPr="00515348">
        <w:t xml:space="preserve">-0 </w:t>
      </w:r>
      <w:r w:rsidR="003C48D8" w:rsidRPr="00515348">
        <w:t>«</w:t>
      </w:r>
      <w:r w:rsidR="00961C88" w:rsidRPr="00515348">
        <w:t xml:space="preserve">Dispersión </w:t>
      </w:r>
      <w:proofErr w:type="spellStart"/>
      <w:r w:rsidR="00961C88" w:rsidRPr="00515348">
        <w:t>biestática</w:t>
      </w:r>
      <w:proofErr w:type="spellEnd"/>
      <w:r w:rsidR="00961C88" w:rsidRPr="00515348">
        <w:t xml:space="preserve"> en la superficie del mar</w:t>
      </w:r>
      <w:r w:rsidR="003C48D8" w:rsidRPr="00515348">
        <w:t>»</w:t>
      </w:r>
    </w:p>
    <w:p w14:paraId="2A1FBF9E" w14:textId="7F62FA14" w:rsidR="00B33E97" w:rsidRPr="0054619F" w:rsidRDefault="00B33E97" w:rsidP="00F5438B">
      <w:pPr>
        <w:pStyle w:val="enumlev1"/>
      </w:pPr>
      <w:r w:rsidRPr="00515348">
        <w:t>–</w:t>
      </w:r>
      <w:r w:rsidRPr="00515348">
        <w:tab/>
      </w:r>
      <w:proofErr w:type="spellStart"/>
      <w:r w:rsidRPr="00515348">
        <w:t>P.2147</w:t>
      </w:r>
      <w:proofErr w:type="spellEnd"/>
      <w:r w:rsidRPr="00515348">
        <w:t xml:space="preserve">-0 </w:t>
      </w:r>
      <w:r w:rsidR="003C48D8" w:rsidRPr="00515348">
        <w:t>«</w:t>
      </w:r>
      <w:r w:rsidR="00961C88" w:rsidRPr="00515348">
        <w:t>Recopilación, presentación, análisis y utilización de productos digitales en los estudios relativos a la propagación de las ondas radioeléctricas</w:t>
      </w:r>
      <w:r w:rsidR="003C48D8" w:rsidRPr="00515348">
        <w:t>»</w:t>
      </w:r>
    </w:p>
    <w:p w14:paraId="3D06CF6D" w14:textId="7B7C89CE" w:rsidR="00B33E97" w:rsidRPr="00515348" w:rsidRDefault="00B33E97" w:rsidP="00F5438B">
      <w:pPr>
        <w:pStyle w:val="enumlev1"/>
      </w:pPr>
      <w:r w:rsidRPr="00515348">
        <w:t>–</w:t>
      </w:r>
      <w:r w:rsidRPr="00515348">
        <w:tab/>
      </w:r>
      <w:proofErr w:type="spellStart"/>
      <w:r w:rsidRPr="00515348">
        <w:t>P.2148</w:t>
      </w:r>
      <w:proofErr w:type="spellEnd"/>
      <w:r w:rsidRPr="00515348">
        <w:t xml:space="preserve">-0 </w:t>
      </w:r>
      <w:r w:rsidR="003C48D8" w:rsidRPr="00515348">
        <w:t>«</w:t>
      </w:r>
      <w:r w:rsidR="00961C88" w:rsidRPr="00515348">
        <w:t>Mapas digitales relacionados con las estadísticas sobre la velocidad del viento en la superficie</w:t>
      </w:r>
      <w:r w:rsidR="003C48D8" w:rsidRPr="00515348">
        <w:t>»</w:t>
      </w:r>
      <w:r w:rsidR="00F5438B" w:rsidRPr="00515348">
        <w:t>.</w:t>
      </w:r>
      <w:r w:rsidRPr="00515348">
        <w:t xml:space="preserve"> </w:t>
      </w:r>
    </w:p>
    <w:p w14:paraId="0C3CD784" w14:textId="5636B0A2" w:rsidR="005A715D" w:rsidRPr="00515348" w:rsidRDefault="00961C88" w:rsidP="00B33E97">
      <w:pPr>
        <w:pStyle w:val="Headingb"/>
      </w:pPr>
      <w:r w:rsidRPr="00515348">
        <w:t>Cuestión</w:t>
      </w:r>
      <w:r w:rsidR="005A715D" w:rsidRPr="00515348">
        <w:t xml:space="preserve"> UIT-R:</w:t>
      </w:r>
    </w:p>
    <w:p w14:paraId="61A7E4C1" w14:textId="2DB17748" w:rsidR="00961C88" w:rsidRPr="0054619F" w:rsidRDefault="00961C88" w:rsidP="0054619F">
      <w:pPr>
        <w:pStyle w:val="enumlev1"/>
      </w:pPr>
      <w:r w:rsidRPr="00515348">
        <w:t>–</w:t>
      </w:r>
      <w:r w:rsidRPr="00515348">
        <w:tab/>
        <w:t xml:space="preserve">202/5 </w:t>
      </w:r>
      <w:r w:rsidR="003C48D8" w:rsidRPr="00515348">
        <w:t>«</w:t>
      </w:r>
      <w:r w:rsidRPr="00515348">
        <w:t>Métodos de predicción de la propagación sobre la superficie de la Tierra</w:t>
      </w:r>
      <w:r w:rsidR="003C48D8" w:rsidRPr="00515348">
        <w:t>»</w:t>
      </w:r>
      <w:r w:rsidR="00F5438B" w:rsidRPr="00515348">
        <w:t>.</w:t>
      </w:r>
    </w:p>
    <w:p w14:paraId="0F53138D" w14:textId="30A45C0B" w:rsidR="005A715D" w:rsidRPr="00515348" w:rsidRDefault="005A715D" w:rsidP="005A715D">
      <w:r w:rsidRPr="00515348">
        <w:t>El próximo bloque de reuniones de los GT</w:t>
      </w:r>
      <w:r w:rsidR="003C6725" w:rsidRPr="00515348">
        <w:t> </w:t>
      </w:r>
      <w:proofErr w:type="spellStart"/>
      <w:r w:rsidRPr="00515348">
        <w:t>3J</w:t>
      </w:r>
      <w:proofErr w:type="spellEnd"/>
      <w:r w:rsidRPr="00515348">
        <w:t xml:space="preserve">, </w:t>
      </w:r>
      <w:proofErr w:type="spellStart"/>
      <w:r w:rsidRPr="00515348">
        <w:t>3K</w:t>
      </w:r>
      <w:proofErr w:type="spellEnd"/>
      <w:r w:rsidRPr="00515348">
        <w:t xml:space="preserve">, </w:t>
      </w:r>
      <w:proofErr w:type="spellStart"/>
      <w:r w:rsidRPr="00515348">
        <w:t>3L</w:t>
      </w:r>
      <w:proofErr w:type="spellEnd"/>
      <w:r w:rsidRPr="00515348">
        <w:t xml:space="preserve"> y </w:t>
      </w:r>
      <w:proofErr w:type="spellStart"/>
      <w:r w:rsidRPr="00515348">
        <w:t>3M</w:t>
      </w:r>
      <w:proofErr w:type="spellEnd"/>
      <w:r w:rsidRPr="00515348">
        <w:t xml:space="preserve"> está previsto del </w:t>
      </w:r>
      <w:r w:rsidR="00961C88" w:rsidRPr="00515348">
        <w:t>22</w:t>
      </w:r>
      <w:r w:rsidRPr="00515348">
        <w:t xml:space="preserve"> de mayo al 1 de junio de 202</w:t>
      </w:r>
      <w:r w:rsidR="00961C88" w:rsidRPr="00515348">
        <w:t>3</w:t>
      </w:r>
      <w:r w:rsidRPr="00515348">
        <w:t xml:space="preserve"> y </w:t>
      </w:r>
      <w:r w:rsidR="005E3D71" w:rsidRPr="00515348">
        <w:t xml:space="preserve">la reunión </w:t>
      </w:r>
      <w:r w:rsidRPr="00515348">
        <w:t>de la CE</w:t>
      </w:r>
      <w:r w:rsidR="003C6725" w:rsidRPr="00515348">
        <w:t> </w:t>
      </w:r>
      <w:r w:rsidRPr="00515348">
        <w:t xml:space="preserve">3 el </w:t>
      </w:r>
      <w:r w:rsidR="00961C88" w:rsidRPr="00515348">
        <w:t>2</w:t>
      </w:r>
      <w:r w:rsidRPr="00515348">
        <w:t xml:space="preserve"> de junio de 202</w:t>
      </w:r>
      <w:r w:rsidR="00961C88" w:rsidRPr="00515348">
        <w:t>3</w:t>
      </w:r>
      <w:r w:rsidRPr="00515348">
        <w:t>.</w:t>
      </w:r>
      <w:r w:rsidR="00961C88" w:rsidRPr="00515348">
        <w:t xml:space="preserve"> Est</w:t>
      </w:r>
      <w:r w:rsidR="00876FA1" w:rsidRPr="00515348">
        <w:t>e</w:t>
      </w:r>
      <w:r w:rsidR="00961C88" w:rsidRPr="00515348">
        <w:t xml:space="preserve"> será el </w:t>
      </w:r>
      <w:r w:rsidR="00876FA1" w:rsidRPr="00515348">
        <w:t xml:space="preserve">último bloque de reuniones de la CE 3 </w:t>
      </w:r>
      <w:r w:rsidR="00961C88" w:rsidRPr="00515348">
        <w:t xml:space="preserve">para </w:t>
      </w:r>
      <w:r w:rsidR="00876FA1" w:rsidRPr="00515348">
        <w:t>el periodo de estudios 2019-2023.</w:t>
      </w:r>
    </w:p>
    <w:p w14:paraId="0121BB67" w14:textId="77777777" w:rsidR="005A715D" w:rsidRPr="00515348" w:rsidRDefault="005A715D" w:rsidP="005A715D">
      <w:pPr>
        <w:pStyle w:val="Heading2"/>
      </w:pPr>
      <w:r w:rsidRPr="00515348">
        <w:t>6.3</w:t>
      </w:r>
      <w:r w:rsidRPr="00515348">
        <w:tab/>
        <w:t>Comisión de Estudio 4</w:t>
      </w:r>
      <w:bookmarkEnd w:id="20"/>
    </w:p>
    <w:p w14:paraId="061F1438" w14:textId="51B7F4FB" w:rsidR="005A715D" w:rsidRPr="00515348" w:rsidRDefault="005A715D" w:rsidP="005A715D">
      <w:r w:rsidRPr="00515348">
        <w:t xml:space="preserve">La </w:t>
      </w:r>
      <w:r w:rsidR="0030651E" w:rsidRPr="00515348">
        <w:t xml:space="preserve">Comisión de Estudio </w:t>
      </w:r>
      <w:r w:rsidRPr="00515348">
        <w:t xml:space="preserve">4 sigue estudiando sistemas fijos, móviles, de radiodifusión y de </w:t>
      </w:r>
      <w:proofErr w:type="spellStart"/>
      <w:r w:rsidRPr="00515348">
        <w:t>radiodeterminación</w:t>
      </w:r>
      <w:proofErr w:type="spellEnd"/>
      <w:r w:rsidRPr="00515348">
        <w:t xml:space="preserve"> por satélite, características de red, interfaces radioeléctricas, objetivos de calidad de funcionamiento y disponibilidad, así como compartición de recursos órbita/espectro entre sistemas de satélite </w:t>
      </w:r>
      <w:proofErr w:type="spellStart"/>
      <w:r w:rsidRPr="00515348">
        <w:t>OSG</w:t>
      </w:r>
      <w:proofErr w:type="spellEnd"/>
      <w:r w:rsidRPr="00515348">
        <w:t xml:space="preserve"> y no </w:t>
      </w:r>
      <w:proofErr w:type="spellStart"/>
      <w:r w:rsidRPr="00515348">
        <w:t>OSG</w:t>
      </w:r>
      <w:proofErr w:type="spellEnd"/>
      <w:r w:rsidRPr="00515348">
        <w:t>, que permitan el desarrollo sostenible del ecosistema espacial.</w:t>
      </w:r>
    </w:p>
    <w:p w14:paraId="71576BDA" w14:textId="4564D0CD" w:rsidR="005A715D" w:rsidRPr="00515348" w:rsidRDefault="005A715D" w:rsidP="003E5909">
      <w:pPr>
        <w:rPr>
          <w:szCs w:val="24"/>
        </w:rPr>
      </w:pPr>
      <w:r w:rsidRPr="00515348">
        <w:t xml:space="preserve">Los Grupos de Trabajo de la Comisión de Estudio 4 siguen adelante con los preparativos para la </w:t>
      </w:r>
      <w:proofErr w:type="spellStart"/>
      <w:r w:rsidRPr="00515348">
        <w:t>CMR</w:t>
      </w:r>
      <w:proofErr w:type="spellEnd"/>
      <w:r w:rsidRPr="00515348">
        <w:t>-23 en relación con los puntos del orden del día de los que son los responsables, así como con otros puntos del orden del día para los que son grupos colaboradores.</w:t>
      </w:r>
      <w:r w:rsidRPr="00515348">
        <w:rPr>
          <w:szCs w:val="24"/>
        </w:rPr>
        <w:t xml:space="preserve"> </w:t>
      </w:r>
      <w:bookmarkStart w:id="21" w:name="lt_pId221"/>
      <w:r w:rsidRPr="00515348">
        <w:rPr>
          <w:szCs w:val="24"/>
        </w:rPr>
        <w:t xml:space="preserve">También se ha avanzado la elaboración del proyecto de nuevo </w:t>
      </w:r>
      <w:r w:rsidR="0030651E" w:rsidRPr="00515348">
        <w:rPr>
          <w:szCs w:val="24"/>
        </w:rPr>
        <w:t>Manual</w:t>
      </w:r>
      <w:r w:rsidRPr="00515348">
        <w:rPr>
          <w:szCs w:val="24"/>
        </w:rPr>
        <w:t xml:space="preserve"> sobre satélites pequeños.</w:t>
      </w:r>
      <w:bookmarkEnd w:id="21"/>
    </w:p>
    <w:p w14:paraId="41D188C8" w14:textId="1B5D9342" w:rsidR="005A715D" w:rsidRPr="00515348" w:rsidRDefault="005A715D" w:rsidP="003E5909">
      <w:bookmarkStart w:id="22" w:name="lt_pId222"/>
      <w:r w:rsidRPr="00515348">
        <w:t>Los GT</w:t>
      </w:r>
      <w:r w:rsidR="00C0536E" w:rsidRPr="00515348">
        <w:t> </w:t>
      </w:r>
      <w:proofErr w:type="spellStart"/>
      <w:r w:rsidRPr="00515348">
        <w:t>4A</w:t>
      </w:r>
      <w:proofErr w:type="spellEnd"/>
      <w:r w:rsidRPr="00515348">
        <w:t xml:space="preserve">, </w:t>
      </w:r>
      <w:proofErr w:type="spellStart"/>
      <w:r w:rsidRPr="00515348">
        <w:t>4B</w:t>
      </w:r>
      <w:proofErr w:type="spellEnd"/>
      <w:r w:rsidRPr="00515348">
        <w:t xml:space="preserve"> y </w:t>
      </w:r>
      <w:proofErr w:type="spellStart"/>
      <w:r w:rsidRPr="00515348">
        <w:t>4C</w:t>
      </w:r>
      <w:proofErr w:type="spellEnd"/>
      <w:r w:rsidRPr="00515348">
        <w:t xml:space="preserve"> han creado varios Grupos por </w:t>
      </w:r>
      <w:r w:rsidR="008D6185" w:rsidRPr="00515348">
        <w:t>c</w:t>
      </w:r>
      <w:r w:rsidRPr="00515348">
        <w:t xml:space="preserve">orrespondencia para avanzar sus trabajos entre reuniones oficiales. </w:t>
      </w:r>
      <w:bookmarkEnd w:id="22"/>
    </w:p>
    <w:p w14:paraId="250B3881" w14:textId="515A984D" w:rsidR="00E5563F" w:rsidRPr="00515348" w:rsidRDefault="005A715D" w:rsidP="003E5909">
      <w:bookmarkStart w:id="23" w:name="lt_pId224"/>
      <w:r w:rsidRPr="00515348">
        <w:t>Desde la celebración del GAR-2</w:t>
      </w:r>
      <w:r w:rsidR="00E5563F" w:rsidRPr="00515348">
        <w:t>2</w:t>
      </w:r>
      <w:r w:rsidRPr="00515348">
        <w:t xml:space="preserve">, </w:t>
      </w:r>
      <w:r w:rsidR="00E5563F" w:rsidRPr="00515348">
        <w:t xml:space="preserve">la CE 4 ha </w:t>
      </w:r>
      <w:r w:rsidRPr="00515348">
        <w:t xml:space="preserve">aprobado </w:t>
      </w:r>
      <w:r w:rsidR="00E5563F" w:rsidRPr="00515348">
        <w:t>tres</w:t>
      </w:r>
      <w:r w:rsidRPr="00515348">
        <w:t xml:space="preserve"> </w:t>
      </w:r>
      <w:r w:rsidR="00E5563F" w:rsidRPr="00515348">
        <w:t>Inform</w:t>
      </w:r>
      <w:r w:rsidRPr="00515348">
        <w:t>es UIT-R</w:t>
      </w:r>
      <w:r w:rsidR="00E5563F" w:rsidRPr="00515348">
        <w:t xml:space="preserve"> nuevos y uno revisado</w:t>
      </w:r>
      <w:r w:rsidRPr="00515348">
        <w:t xml:space="preserve">. </w:t>
      </w:r>
      <w:bookmarkEnd w:id="23"/>
    </w:p>
    <w:p w14:paraId="2CD41FA7" w14:textId="1318958C" w:rsidR="005A715D" w:rsidRPr="00515348" w:rsidDel="009934C4" w:rsidRDefault="00E5563F" w:rsidP="005A715D">
      <w:pPr>
        <w:pStyle w:val="Headingb"/>
      </w:pPr>
      <w:r w:rsidRPr="00515348">
        <w:t>Informes</w:t>
      </w:r>
      <w:r w:rsidR="005A715D" w:rsidRPr="00515348">
        <w:t xml:space="preserve"> UIT-R:</w:t>
      </w:r>
    </w:p>
    <w:p w14:paraId="35191BCA" w14:textId="4DB4D772" w:rsidR="00E5563F" w:rsidRPr="00515348" w:rsidRDefault="005A715D" w:rsidP="00F5438B">
      <w:pPr>
        <w:pStyle w:val="enumlev1"/>
      </w:pPr>
      <w:r w:rsidRPr="00515348">
        <w:t>–</w:t>
      </w:r>
      <w:r w:rsidRPr="00515348">
        <w:tab/>
      </w:r>
      <w:proofErr w:type="spellStart"/>
      <w:r w:rsidR="00E5563F" w:rsidRPr="00515348">
        <w:t>BO.2397</w:t>
      </w:r>
      <w:proofErr w:type="spellEnd"/>
      <w:r w:rsidR="00E5563F" w:rsidRPr="00515348">
        <w:t xml:space="preserve">-1 </w:t>
      </w:r>
      <w:r w:rsidR="003C48D8" w:rsidRPr="00515348">
        <w:t>«</w:t>
      </w:r>
      <w:r w:rsidR="00E5563F" w:rsidRPr="00515348">
        <w:t xml:space="preserve">Transmisión por satélite para la radiodifusión de </w:t>
      </w:r>
      <w:proofErr w:type="spellStart"/>
      <w:r w:rsidR="00E5563F" w:rsidRPr="00515348">
        <w:t>TVUAD</w:t>
      </w:r>
      <w:proofErr w:type="spellEnd"/>
      <w:r w:rsidR="00E5563F" w:rsidRPr="00515348">
        <w:t xml:space="preserve"> por satélite</w:t>
      </w:r>
      <w:r w:rsidR="003C48D8" w:rsidRPr="00515348">
        <w:t>»</w:t>
      </w:r>
    </w:p>
    <w:p w14:paraId="1F4BD74C" w14:textId="57EE3157" w:rsidR="00E5563F" w:rsidRPr="00515348" w:rsidRDefault="00E5563F" w:rsidP="00F5438B">
      <w:pPr>
        <w:pStyle w:val="enumlev1"/>
      </w:pPr>
      <w:r w:rsidRPr="00515348">
        <w:t>–</w:t>
      </w:r>
      <w:r w:rsidRPr="00515348">
        <w:tab/>
      </w:r>
      <w:proofErr w:type="spellStart"/>
      <w:r w:rsidRPr="00515348">
        <w:t>M.2513</w:t>
      </w:r>
      <w:proofErr w:type="spellEnd"/>
      <w:r w:rsidRPr="00515348">
        <w:t xml:space="preserve">-0 </w:t>
      </w:r>
      <w:r w:rsidR="003C48D8" w:rsidRPr="00515348">
        <w:t>«</w:t>
      </w:r>
      <w:r w:rsidRPr="00515348">
        <w:t>Estudios sobre la protección del servicio de radionavegación por satélite primario (espacio-Tierra) contra el servicio secundario de aficionados y de aficionados por satélite en la banda de frecuencias 1 240-1 300 MHz</w:t>
      </w:r>
      <w:r w:rsidR="003C48D8" w:rsidRPr="00515348">
        <w:t>»</w:t>
      </w:r>
    </w:p>
    <w:p w14:paraId="149CA2E8" w14:textId="3526A0E8" w:rsidR="00E5563F" w:rsidRPr="00515348" w:rsidRDefault="00E5563F" w:rsidP="00F5438B">
      <w:pPr>
        <w:pStyle w:val="enumlev1"/>
      </w:pPr>
      <w:r w:rsidRPr="00515348">
        <w:t>–</w:t>
      </w:r>
      <w:r w:rsidRPr="00515348">
        <w:tab/>
      </w:r>
      <w:proofErr w:type="spellStart"/>
      <w:r w:rsidRPr="00515348">
        <w:t>M.2514</w:t>
      </w:r>
      <w:proofErr w:type="spellEnd"/>
      <w:r w:rsidRPr="00515348">
        <w:t xml:space="preserve">-0 </w:t>
      </w:r>
      <w:r w:rsidR="003C48D8" w:rsidRPr="00515348">
        <w:t>«</w:t>
      </w:r>
      <w:r w:rsidRPr="00515348">
        <w:t xml:space="preserve">Visión, requisitos y directrices </w:t>
      </w:r>
      <w:r w:rsidR="00A03D61" w:rsidRPr="00515348">
        <w:t xml:space="preserve">de </w:t>
      </w:r>
      <w:r w:rsidRPr="00515348">
        <w:t xml:space="preserve">evaluación </w:t>
      </w:r>
      <w:r w:rsidR="00A03D61" w:rsidRPr="00515348">
        <w:t>para las interfaces radioeléctricas de los satélites de las IMT-</w:t>
      </w:r>
      <w:r w:rsidRPr="00515348">
        <w:t xml:space="preserve"> 2020</w:t>
      </w:r>
      <w:r w:rsidR="003C48D8" w:rsidRPr="00515348">
        <w:t>»</w:t>
      </w:r>
    </w:p>
    <w:p w14:paraId="00AF1A17" w14:textId="1855B8C8" w:rsidR="00E5563F" w:rsidRPr="00515348" w:rsidRDefault="00E5563F" w:rsidP="00F5438B">
      <w:pPr>
        <w:pStyle w:val="enumlev1"/>
      </w:pPr>
      <w:r w:rsidRPr="00515348">
        <w:lastRenderedPageBreak/>
        <w:t>–</w:t>
      </w:r>
      <w:r w:rsidRPr="00515348">
        <w:tab/>
      </w:r>
      <w:proofErr w:type="spellStart"/>
      <w:r w:rsidRPr="00515348">
        <w:t>S.2515</w:t>
      </w:r>
      <w:proofErr w:type="spellEnd"/>
      <w:r w:rsidRPr="00515348">
        <w:t xml:space="preserve">-0 </w:t>
      </w:r>
      <w:r w:rsidR="003C48D8" w:rsidRPr="00515348">
        <w:t>«</w:t>
      </w:r>
      <w:r w:rsidR="00A03D61" w:rsidRPr="00515348">
        <w:t>Consideraciones sobre las interferencias al enlace ascendente</w:t>
      </w:r>
      <w:r w:rsidRPr="00515348">
        <w:t xml:space="preserve"> </w:t>
      </w:r>
      <w:r w:rsidR="00A03D61" w:rsidRPr="00515348">
        <w:t>en la banda de frecuencias 7 025-7 125 MHz de</w:t>
      </w:r>
      <w:r w:rsidR="00C17340" w:rsidRPr="00515348">
        <w:t xml:space="preserve"> un </w:t>
      </w:r>
      <w:r w:rsidR="00A03D61" w:rsidRPr="00515348">
        <w:t>servicio de radiodifusión por satélite (sonora) en la Región</w:t>
      </w:r>
      <w:r w:rsidRPr="00515348">
        <w:t xml:space="preserve"> 2</w:t>
      </w:r>
      <w:r w:rsidR="003C48D8" w:rsidRPr="00515348">
        <w:t>»</w:t>
      </w:r>
      <w:r w:rsidR="00F5438B" w:rsidRPr="00515348">
        <w:t>.</w:t>
      </w:r>
    </w:p>
    <w:p w14:paraId="321E4BDE" w14:textId="4FA480C9" w:rsidR="00C17340" w:rsidRPr="00515348" w:rsidRDefault="00C17340" w:rsidP="00E5563F">
      <w:pPr>
        <w:tabs>
          <w:tab w:val="clear" w:pos="794"/>
          <w:tab w:val="clear" w:pos="1191"/>
          <w:tab w:val="clear" w:pos="1588"/>
          <w:tab w:val="clear" w:pos="1985"/>
        </w:tabs>
        <w:overflowPunct/>
        <w:autoSpaceDE/>
        <w:autoSpaceDN/>
        <w:adjustRightInd/>
        <w:spacing w:before="100" w:after="100" w:line="240" w:lineRule="atLeast"/>
        <w:textAlignment w:val="auto"/>
        <w:rPr>
          <w:szCs w:val="24"/>
        </w:rPr>
      </w:pPr>
      <w:r w:rsidRPr="00515348">
        <w:rPr>
          <w:szCs w:val="24"/>
        </w:rPr>
        <w:t xml:space="preserve">Los GT </w:t>
      </w:r>
      <w:proofErr w:type="spellStart"/>
      <w:r w:rsidRPr="00515348">
        <w:rPr>
          <w:szCs w:val="24"/>
        </w:rPr>
        <w:t>4A</w:t>
      </w:r>
      <w:proofErr w:type="spellEnd"/>
      <w:r w:rsidRPr="00515348">
        <w:rPr>
          <w:szCs w:val="24"/>
        </w:rPr>
        <w:t xml:space="preserve"> y </w:t>
      </w:r>
      <w:proofErr w:type="spellStart"/>
      <w:r w:rsidRPr="00515348">
        <w:rPr>
          <w:szCs w:val="24"/>
        </w:rPr>
        <w:t>4C</w:t>
      </w:r>
      <w:proofErr w:type="spellEnd"/>
      <w:r w:rsidRPr="00515348">
        <w:rPr>
          <w:szCs w:val="24"/>
        </w:rPr>
        <w:t xml:space="preserve"> finalizaron el proyecto de Informe de la RPC para los puntos del orden del día de la </w:t>
      </w:r>
      <w:proofErr w:type="spellStart"/>
      <w:r w:rsidRPr="00515348">
        <w:rPr>
          <w:szCs w:val="24"/>
        </w:rPr>
        <w:t>CMR</w:t>
      </w:r>
      <w:proofErr w:type="spellEnd"/>
      <w:r w:rsidRPr="00515348">
        <w:rPr>
          <w:szCs w:val="24"/>
        </w:rPr>
        <w:t xml:space="preserve">-23 de los cuales eran responsables, </w:t>
      </w:r>
      <w:r w:rsidR="00872B57" w:rsidRPr="00515348">
        <w:rPr>
          <w:szCs w:val="24"/>
        </w:rPr>
        <w:t>antes de la fecha límite del</w:t>
      </w:r>
      <w:r w:rsidRPr="00515348">
        <w:rPr>
          <w:szCs w:val="24"/>
        </w:rPr>
        <w:t xml:space="preserve"> 21 de octubre de 2022</w:t>
      </w:r>
    </w:p>
    <w:p w14:paraId="09894B53" w14:textId="5D686C29" w:rsidR="00E5563F" w:rsidRPr="00515348" w:rsidRDefault="00C17340" w:rsidP="00C91638">
      <w:pPr>
        <w:tabs>
          <w:tab w:val="clear" w:pos="794"/>
          <w:tab w:val="clear" w:pos="1191"/>
          <w:tab w:val="clear" w:pos="1588"/>
          <w:tab w:val="clear" w:pos="1985"/>
        </w:tabs>
        <w:overflowPunct/>
        <w:autoSpaceDE/>
        <w:autoSpaceDN/>
        <w:adjustRightInd/>
        <w:spacing w:before="100" w:after="100" w:line="240" w:lineRule="atLeast"/>
        <w:textAlignment w:val="auto"/>
        <w:rPr>
          <w:rFonts w:ascii="Verdana" w:eastAsia="SimSun" w:hAnsi="Verdana"/>
          <w:sz w:val="18"/>
          <w:szCs w:val="18"/>
        </w:rPr>
      </w:pPr>
      <w:r w:rsidRPr="00515348">
        <w:rPr>
          <w:szCs w:val="24"/>
        </w:rPr>
        <w:t xml:space="preserve">El proceso de elaboración de los productos del UIT-R para la componente de satélite de las interfaces radioeléctricas de las IMT se inició en el GT </w:t>
      </w:r>
      <w:proofErr w:type="spellStart"/>
      <w:r w:rsidRPr="00515348">
        <w:rPr>
          <w:szCs w:val="24"/>
        </w:rPr>
        <w:t>4B</w:t>
      </w:r>
      <w:proofErr w:type="spellEnd"/>
      <w:r w:rsidRPr="00515348">
        <w:rPr>
          <w:szCs w:val="24"/>
        </w:rPr>
        <w:t xml:space="preserve"> con la invitación a presentar propuestas de candidatura de tecnologías de la interfaz radioeléctrica (</w:t>
      </w:r>
      <w:proofErr w:type="spellStart"/>
      <w:r w:rsidRPr="00515348">
        <w:rPr>
          <w:szCs w:val="24"/>
        </w:rPr>
        <w:t>RIT</w:t>
      </w:r>
      <w:proofErr w:type="spellEnd"/>
      <w:r w:rsidRPr="00515348">
        <w:rPr>
          <w:szCs w:val="24"/>
        </w:rPr>
        <w:t xml:space="preserve">) o de un conjunto de </w:t>
      </w:r>
      <w:proofErr w:type="spellStart"/>
      <w:r w:rsidRPr="00515348">
        <w:rPr>
          <w:szCs w:val="24"/>
        </w:rPr>
        <w:t>RIT</w:t>
      </w:r>
      <w:proofErr w:type="spellEnd"/>
      <w:r w:rsidRPr="00515348">
        <w:rPr>
          <w:szCs w:val="24"/>
        </w:rPr>
        <w:t xml:space="preserve"> (</w:t>
      </w:r>
      <w:proofErr w:type="spellStart"/>
      <w:r w:rsidRPr="00515348">
        <w:rPr>
          <w:szCs w:val="24"/>
        </w:rPr>
        <w:t>SRIT</w:t>
      </w:r>
      <w:proofErr w:type="spellEnd"/>
      <w:r w:rsidRPr="00515348">
        <w:rPr>
          <w:szCs w:val="24"/>
        </w:rPr>
        <w:t>)</w:t>
      </w:r>
      <w:r w:rsidR="00C91638" w:rsidRPr="00515348">
        <w:rPr>
          <w:szCs w:val="24"/>
        </w:rPr>
        <w:t xml:space="preserve"> </w:t>
      </w:r>
      <w:r w:rsidRPr="00515348">
        <w:rPr>
          <w:szCs w:val="24"/>
        </w:rPr>
        <w:t xml:space="preserve">para la </w:t>
      </w:r>
      <w:r w:rsidR="00C91638" w:rsidRPr="00515348">
        <w:rPr>
          <w:szCs w:val="24"/>
        </w:rPr>
        <w:t>componente</w:t>
      </w:r>
      <w:r w:rsidRPr="00515348">
        <w:rPr>
          <w:szCs w:val="24"/>
        </w:rPr>
        <w:t xml:space="preserve"> </w:t>
      </w:r>
      <w:r w:rsidR="00C91638" w:rsidRPr="00515348">
        <w:rPr>
          <w:szCs w:val="24"/>
        </w:rPr>
        <w:t>de satélite</w:t>
      </w:r>
      <w:r w:rsidRPr="00515348">
        <w:rPr>
          <w:szCs w:val="24"/>
        </w:rPr>
        <w:t xml:space="preserve"> de las IMT-</w:t>
      </w:r>
      <w:r w:rsidR="00E5563F" w:rsidRPr="00515348">
        <w:rPr>
          <w:szCs w:val="24"/>
        </w:rPr>
        <w:t>2020.</w:t>
      </w:r>
    </w:p>
    <w:p w14:paraId="38F1C0F0" w14:textId="0C39D482" w:rsidR="005A715D" w:rsidRPr="00515348" w:rsidRDefault="005A715D" w:rsidP="00E5563F">
      <w:pPr>
        <w:rPr>
          <w:lang w:eastAsia="ja-JP"/>
        </w:rPr>
      </w:pPr>
      <w:r w:rsidRPr="00515348">
        <w:rPr>
          <w:lang w:eastAsia="ja-JP"/>
        </w:rPr>
        <w:t>La próxima reunión de los GT</w:t>
      </w:r>
      <w:r w:rsidR="003C000A" w:rsidRPr="00515348">
        <w:rPr>
          <w:lang w:eastAsia="ja-JP"/>
        </w:rPr>
        <w:t> </w:t>
      </w:r>
      <w:proofErr w:type="spellStart"/>
      <w:r w:rsidRPr="00515348">
        <w:rPr>
          <w:lang w:eastAsia="ja-JP"/>
        </w:rPr>
        <w:t>4A</w:t>
      </w:r>
      <w:proofErr w:type="spellEnd"/>
      <w:r w:rsidRPr="00515348">
        <w:rPr>
          <w:lang w:eastAsia="ja-JP"/>
        </w:rPr>
        <w:t xml:space="preserve">, </w:t>
      </w:r>
      <w:proofErr w:type="spellStart"/>
      <w:r w:rsidRPr="00515348">
        <w:rPr>
          <w:lang w:eastAsia="ja-JP"/>
        </w:rPr>
        <w:t>4B</w:t>
      </w:r>
      <w:proofErr w:type="spellEnd"/>
      <w:r w:rsidRPr="00515348">
        <w:rPr>
          <w:lang w:eastAsia="ja-JP"/>
        </w:rPr>
        <w:t xml:space="preserve"> y </w:t>
      </w:r>
      <w:proofErr w:type="spellStart"/>
      <w:r w:rsidRPr="00515348">
        <w:rPr>
          <w:lang w:eastAsia="ja-JP"/>
        </w:rPr>
        <w:t>4C</w:t>
      </w:r>
      <w:proofErr w:type="spellEnd"/>
      <w:r w:rsidRPr="00515348">
        <w:rPr>
          <w:lang w:eastAsia="ja-JP"/>
        </w:rPr>
        <w:t xml:space="preserve"> tendrá lugar del </w:t>
      </w:r>
      <w:r w:rsidR="00E5563F" w:rsidRPr="00515348">
        <w:rPr>
          <w:lang w:eastAsia="ja-JP"/>
        </w:rPr>
        <w:t>21</w:t>
      </w:r>
      <w:r w:rsidR="0054619F">
        <w:rPr>
          <w:lang w:eastAsia="ja-JP"/>
        </w:rPr>
        <w:t xml:space="preserve"> </w:t>
      </w:r>
      <w:r w:rsidR="00E5563F" w:rsidRPr="00515348">
        <w:rPr>
          <w:lang w:eastAsia="ja-JP"/>
        </w:rPr>
        <w:t>de junio</w:t>
      </w:r>
      <w:r w:rsidRPr="00515348">
        <w:rPr>
          <w:lang w:eastAsia="ja-JP"/>
        </w:rPr>
        <w:t xml:space="preserve"> al </w:t>
      </w:r>
      <w:r w:rsidR="00E5563F" w:rsidRPr="00515348">
        <w:rPr>
          <w:lang w:eastAsia="ja-JP"/>
        </w:rPr>
        <w:t>6</w:t>
      </w:r>
      <w:r w:rsidRPr="00515348">
        <w:rPr>
          <w:lang w:eastAsia="ja-JP"/>
        </w:rPr>
        <w:t xml:space="preserve"> de </w:t>
      </w:r>
      <w:r w:rsidR="00E5563F" w:rsidRPr="00515348">
        <w:rPr>
          <w:lang w:eastAsia="ja-JP"/>
        </w:rPr>
        <w:t>julio.</w:t>
      </w:r>
      <w:r w:rsidRPr="00515348">
        <w:rPr>
          <w:lang w:eastAsia="ja-JP"/>
        </w:rPr>
        <w:t xml:space="preserve"> La reunión de la CE</w:t>
      </w:r>
      <w:r w:rsidR="00614459" w:rsidRPr="00515348">
        <w:rPr>
          <w:lang w:eastAsia="ja-JP"/>
        </w:rPr>
        <w:t> </w:t>
      </w:r>
      <w:r w:rsidRPr="00515348">
        <w:rPr>
          <w:lang w:eastAsia="ja-JP"/>
        </w:rPr>
        <w:t xml:space="preserve">4 está prevista el </w:t>
      </w:r>
      <w:r w:rsidR="00E5563F" w:rsidRPr="00515348">
        <w:rPr>
          <w:lang w:eastAsia="ja-JP"/>
        </w:rPr>
        <w:t>7 de julio de 2023</w:t>
      </w:r>
      <w:r w:rsidRPr="00515348">
        <w:rPr>
          <w:lang w:eastAsia="ja-JP"/>
        </w:rPr>
        <w:t>.</w:t>
      </w:r>
      <w:r w:rsidR="00E5563F" w:rsidRPr="00515348">
        <w:t xml:space="preserve"> </w:t>
      </w:r>
      <w:r w:rsidR="00E5563F" w:rsidRPr="00515348">
        <w:rPr>
          <w:lang w:eastAsia="ja-JP"/>
        </w:rPr>
        <w:t>Este será el último bloque de reuniones de la CE 4 para el periodo de estudios 2019-2023.</w:t>
      </w:r>
    </w:p>
    <w:p w14:paraId="2D83778D" w14:textId="77777777" w:rsidR="005A715D" w:rsidRPr="00515348" w:rsidRDefault="005A715D" w:rsidP="005A715D">
      <w:pPr>
        <w:pStyle w:val="Heading2"/>
      </w:pPr>
      <w:bookmarkStart w:id="24" w:name="_Toc445972795"/>
      <w:r w:rsidRPr="00515348">
        <w:t>6.4</w:t>
      </w:r>
      <w:r w:rsidRPr="00515348">
        <w:tab/>
        <w:t>Comisión de Estudio 5</w:t>
      </w:r>
      <w:bookmarkEnd w:id="24"/>
    </w:p>
    <w:p w14:paraId="278E3730" w14:textId="3F14FAB9" w:rsidR="005A715D" w:rsidRPr="00515348" w:rsidRDefault="005A715D" w:rsidP="005A715D">
      <w:r w:rsidRPr="00515348">
        <w:t xml:space="preserve">La </w:t>
      </w:r>
      <w:r w:rsidR="00C91638" w:rsidRPr="00515348">
        <w:t>Comisión de Estudio</w:t>
      </w:r>
      <w:r w:rsidRPr="00515348">
        <w:t xml:space="preserve"> 5 sigue estudiando sistemas y redes para los servicios fijo, móvil</w:t>
      </w:r>
      <w:r w:rsidR="00C91638" w:rsidRPr="00515348">
        <w:t xml:space="preserve"> (terrenal, marítimo y aeronáutico)</w:t>
      </w:r>
      <w:r w:rsidRPr="00515348">
        <w:t xml:space="preserve">, de </w:t>
      </w:r>
      <w:proofErr w:type="spellStart"/>
      <w:r w:rsidRPr="00515348">
        <w:t>radiodeterminación</w:t>
      </w:r>
      <w:proofErr w:type="spellEnd"/>
      <w:r w:rsidR="00C91638" w:rsidRPr="00515348">
        <w:t xml:space="preserve"> (incluidos tanto radiolocalización como radionavegación)</w:t>
      </w:r>
      <w:r w:rsidRPr="00515348">
        <w:t xml:space="preserve">, de aficionados y de aficionados por satélite, abriendo camino a la continuación del desarrollo de todos esos servicios y, en particular, IMT, </w:t>
      </w:r>
      <w:proofErr w:type="spellStart"/>
      <w:r w:rsidRPr="00515348">
        <w:t>HAPS</w:t>
      </w:r>
      <w:proofErr w:type="spellEnd"/>
      <w:r w:rsidRPr="00515348">
        <w:t xml:space="preserve">, </w:t>
      </w:r>
      <w:proofErr w:type="spellStart"/>
      <w:r w:rsidRPr="00515348">
        <w:t>STI</w:t>
      </w:r>
      <w:proofErr w:type="spellEnd"/>
      <w:r w:rsidRPr="00515348">
        <w:t xml:space="preserve"> y </w:t>
      </w:r>
      <w:proofErr w:type="spellStart"/>
      <w:r w:rsidRPr="00515348">
        <w:t>PPDR</w:t>
      </w:r>
      <w:proofErr w:type="spellEnd"/>
      <w:r w:rsidRPr="00515348">
        <w:t>.</w:t>
      </w:r>
    </w:p>
    <w:p w14:paraId="36D97CF4" w14:textId="19ECC75F" w:rsidR="005A715D" w:rsidRPr="00515348" w:rsidRDefault="005A715D" w:rsidP="00AC2775">
      <w:pPr>
        <w:keepNext/>
        <w:keepLines/>
      </w:pPr>
      <w:r w:rsidRPr="00515348">
        <w:t xml:space="preserve">Se aprobaron </w:t>
      </w:r>
      <w:r w:rsidR="00C91638" w:rsidRPr="00515348">
        <w:t xml:space="preserve">ocho </w:t>
      </w:r>
      <w:r w:rsidRPr="00515348">
        <w:t xml:space="preserve">Recomendaciones revisadas, así como </w:t>
      </w:r>
      <w:r w:rsidR="00C91638" w:rsidRPr="00515348">
        <w:t>cinco</w:t>
      </w:r>
      <w:r w:rsidRPr="00515348">
        <w:t xml:space="preserve"> Informes UIT-R nuevos y </w:t>
      </w:r>
      <w:r w:rsidR="00C91638" w:rsidRPr="00515348">
        <w:t>uno</w:t>
      </w:r>
      <w:r w:rsidRPr="00515348">
        <w:t xml:space="preserve"> revisado </w:t>
      </w:r>
      <w:r w:rsidR="005E3D71" w:rsidRPr="00515348">
        <w:t>dentro del</w:t>
      </w:r>
      <w:r w:rsidRPr="00515348">
        <w:t xml:space="preserve"> ámbito de competencia de la CE 5. El</w:t>
      </w:r>
      <w:r w:rsidR="00AC2775" w:rsidRPr="00515348">
        <w:t> </w:t>
      </w:r>
      <w:r w:rsidRPr="00515348">
        <w:t>GT</w:t>
      </w:r>
      <w:r w:rsidR="00AC2775" w:rsidRPr="00515348">
        <w:t> </w:t>
      </w:r>
      <w:proofErr w:type="spellStart"/>
      <w:r w:rsidRPr="00515348">
        <w:t>5</w:t>
      </w:r>
      <w:r w:rsidR="00C91638" w:rsidRPr="00515348">
        <w:t>C</w:t>
      </w:r>
      <w:proofErr w:type="spellEnd"/>
      <w:r w:rsidRPr="00515348">
        <w:t xml:space="preserve"> </w:t>
      </w:r>
      <w:r w:rsidR="00C91638" w:rsidRPr="00515348">
        <w:t>aprob</w:t>
      </w:r>
      <w:r w:rsidR="00915CBF" w:rsidRPr="00515348">
        <w:t>ó un nuevo Manual,</w:t>
      </w:r>
      <w:r w:rsidR="00C91638" w:rsidRPr="00515348">
        <w:t xml:space="preserve"> </w:t>
      </w:r>
      <w:r w:rsidR="003C48D8" w:rsidRPr="00515348">
        <w:t>«</w:t>
      </w:r>
      <w:r w:rsidR="00915CBF" w:rsidRPr="00515348">
        <w:t xml:space="preserve">Curso sobre sistemas de comunicación adaptativos en las bandas de frecuencias </w:t>
      </w:r>
      <w:proofErr w:type="spellStart"/>
      <w:r w:rsidR="00915CBF" w:rsidRPr="00515348">
        <w:t>decamétricas</w:t>
      </w:r>
      <w:proofErr w:type="spellEnd"/>
      <w:r w:rsidR="003C48D8" w:rsidRPr="00515348">
        <w:t>»</w:t>
      </w:r>
      <w:r w:rsidR="00915CBF" w:rsidRPr="00515348">
        <w:t xml:space="preserve">. En este Manual se explica el desarrollo y el despliegue de los sistemas adaptativos en las bandas de frecuencias </w:t>
      </w:r>
      <w:proofErr w:type="spellStart"/>
      <w:r w:rsidR="00915CBF" w:rsidRPr="00515348">
        <w:t>decamétricas</w:t>
      </w:r>
      <w:proofErr w:type="spellEnd"/>
      <w:r w:rsidR="00915CBF" w:rsidRPr="00515348">
        <w:t>, describe las partes esenciales de una red adaptativa y aborda las consideraciones reglamentarias y operacionales más relevantes</w:t>
      </w:r>
    </w:p>
    <w:p w14:paraId="45DA142F" w14:textId="7F6B0D07" w:rsidR="00C91638" w:rsidRPr="00515348" w:rsidRDefault="00915CBF" w:rsidP="00AC2775">
      <w:pPr>
        <w:keepNext/>
        <w:keepLines/>
      </w:pPr>
      <w:r w:rsidRPr="00515348">
        <w:t xml:space="preserve">Además, se suprimió una Recomendación UIT-R (Recomendación UIT-R </w:t>
      </w:r>
      <w:proofErr w:type="spellStart"/>
      <w:r w:rsidRPr="00515348">
        <w:t>M.1307</w:t>
      </w:r>
      <w:proofErr w:type="spellEnd"/>
      <w:r w:rsidRPr="00515348">
        <w:t>).</w:t>
      </w:r>
    </w:p>
    <w:p w14:paraId="0F70FC05" w14:textId="77777777" w:rsidR="005A715D" w:rsidRPr="00515348" w:rsidRDefault="005A715D" w:rsidP="005A715D">
      <w:pPr>
        <w:pStyle w:val="Headingb"/>
      </w:pPr>
      <w:r w:rsidRPr="00515348">
        <w:t>Recomendaciones UIT-R:</w:t>
      </w:r>
    </w:p>
    <w:p w14:paraId="023E4FA4" w14:textId="15D5D2C2" w:rsidR="00915CBF" w:rsidRPr="00515348" w:rsidRDefault="00915CBF" w:rsidP="00F5438B">
      <w:pPr>
        <w:pStyle w:val="enumlev1"/>
      </w:pPr>
      <w:bookmarkStart w:id="25" w:name="lt_pId301"/>
      <w:r w:rsidRPr="00515348">
        <w:rPr>
          <w:lang w:eastAsia="ja-JP"/>
        </w:rPr>
        <w:t>–</w:t>
      </w:r>
      <w:r w:rsidRPr="00515348">
        <w:tab/>
      </w:r>
      <w:proofErr w:type="spellStart"/>
      <w:r w:rsidRPr="00515348">
        <w:t>F.1520</w:t>
      </w:r>
      <w:proofErr w:type="spellEnd"/>
      <w:r w:rsidRPr="00515348">
        <w:t xml:space="preserve">-4 </w:t>
      </w:r>
      <w:r w:rsidR="003C48D8" w:rsidRPr="00515348">
        <w:rPr>
          <w:lang w:eastAsia="ja-JP"/>
        </w:rPr>
        <w:t>«</w:t>
      </w:r>
      <w:r w:rsidRPr="00515348">
        <w:t>Disposiciones de radiofrecuencias para los sistemas del servicio fijo que funcionan en la banda 31,8-33,4 GHz</w:t>
      </w:r>
      <w:r w:rsidR="003C48D8" w:rsidRPr="00515348">
        <w:rPr>
          <w:lang w:eastAsia="ja-JP"/>
        </w:rPr>
        <w:t>»</w:t>
      </w:r>
    </w:p>
    <w:p w14:paraId="2B8200F3" w14:textId="5D2B826E" w:rsidR="00915CBF" w:rsidRPr="00515348" w:rsidRDefault="00915CBF" w:rsidP="00F5438B">
      <w:pPr>
        <w:pStyle w:val="enumlev1"/>
      </w:pPr>
      <w:r w:rsidRPr="00515348">
        <w:rPr>
          <w:lang w:eastAsia="ja-JP"/>
        </w:rPr>
        <w:t>–</w:t>
      </w:r>
      <w:r w:rsidRPr="00515348">
        <w:tab/>
      </w:r>
      <w:proofErr w:type="spellStart"/>
      <w:r w:rsidRPr="00515348">
        <w:t>M.585</w:t>
      </w:r>
      <w:proofErr w:type="spellEnd"/>
      <w:r w:rsidRPr="00515348">
        <w:t xml:space="preserve">-9 </w:t>
      </w:r>
      <w:r w:rsidR="003C48D8" w:rsidRPr="00515348">
        <w:rPr>
          <w:lang w:eastAsia="ja-JP"/>
        </w:rPr>
        <w:t>«</w:t>
      </w:r>
      <w:r w:rsidRPr="00515348">
        <w:t>Asignación y uso de identidades del servicio móvil marítimo</w:t>
      </w:r>
      <w:r w:rsidR="003C48D8" w:rsidRPr="00515348">
        <w:rPr>
          <w:lang w:eastAsia="ja-JP"/>
        </w:rPr>
        <w:t>»</w:t>
      </w:r>
    </w:p>
    <w:p w14:paraId="356B30DD" w14:textId="1554E8F9" w:rsidR="00915CBF" w:rsidRPr="00515348" w:rsidRDefault="00915CBF" w:rsidP="00F5438B">
      <w:pPr>
        <w:pStyle w:val="enumlev1"/>
      </w:pPr>
      <w:r w:rsidRPr="00515348">
        <w:rPr>
          <w:lang w:eastAsia="ja-JP"/>
        </w:rPr>
        <w:t>–</w:t>
      </w:r>
      <w:r w:rsidRPr="00515348">
        <w:tab/>
      </w:r>
      <w:proofErr w:type="spellStart"/>
      <w:r w:rsidRPr="00515348">
        <w:t>M.1730</w:t>
      </w:r>
      <w:proofErr w:type="spellEnd"/>
      <w:r w:rsidRPr="00515348">
        <w:t xml:space="preserve">-2 </w:t>
      </w:r>
      <w:r w:rsidR="003C48D8" w:rsidRPr="00515348">
        <w:t>«</w:t>
      </w:r>
      <w:r w:rsidR="00580AB6" w:rsidRPr="00515348">
        <w:t>Características y criterios de protección del servicio de radiolocalización en la banda de frecuencias 15,4-17,3 GHz</w:t>
      </w:r>
      <w:r w:rsidR="003C48D8" w:rsidRPr="00515348">
        <w:t>»</w:t>
      </w:r>
      <w:r w:rsidRPr="00515348">
        <w:t xml:space="preserve"> </w:t>
      </w:r>
    </w:p>
    <w:p w14:paraId="6C3E5CCF" w14:textId="7113123C" w:rsidR="00915CBF" w:rsidRPr="00515348" w:rsidRDefault="00915CBF" w:rsidP="00F5438B">
      <w:pPr>
        <w:pStyle w:val="enumlev1"/>
      </w:pPr>
      <w:r w:rsidRPr="00515348">
        <w:rPr>
          <w:lang w:eastAsia="ja-JP"/>
        </w:rPr>
        <w:t>–</w:t>
      </w:r>
      <w:r w:rsidRPr="00515348">
        <w:tab/>
      </w:r>
      <w:proofErr w:type="spellStart"/>
      <w:r w:rsidRPr="00515348">
        <w:t>M.1732</w:t>
      </w:r>
      <w:proofErr w:type="spellEnd"/>
      <w:r w:rsidRPr="00515348">
        <w:t xml:space="preserve">-3 </w:t>
      </w:r>
      <w:r w:rsidR="003C48D8" w:rsidRPr="00515348">
        <w:rPr>
          <w:lang w:eastAsia="ja-JP"/>
        </w:rPr>
        <w:t>«</w:t>
      </w:r>
      <w:r w:rsidR="00580AB6" w:rsidRPr="00515348">
        <w:t>Características de los sistemas que funcionan en el servicio de aficionados y de aficionados por satélite para utilizarlas en estudios de compartición</w:t>
      </w:r>
      <w:r w:rsidR="003C48D8" w:rsidRPr="00515348">
        <w:rPr>
          <w:lang w:eastAsia="ja-JP"/>
        </w:rPr>
        <w:t>»</w:t>
      </w:r>
    </w:p>
    <w:p w14:paraId="2F7B58D4" w14:textId="7C0D6744" w:rsidR="00915CBF" w:rsidRPr="00515348" w:rsidRDefault="00915CBF" w:rsidP="00F5438B">
      <w:pPr>
        <w:pStyle w:val="enumlev1"/>
      </w:pPr>
      <w:r w:rsidRPr="00515348">
        <w:rPr>
          <w:lang w:eastAsia="ja-JP"/>
        </w:rPr>
        <w:t>–</w:t>
      </w:r>
      <w:r w:rsidRPr="00515348">
        <w:tab/>
      </w:r>
      <w:proofErr w:type="spellStart"/>
      <w:r w:rsidRPr="00515348">
        <w:t>M.1849</w:t>
      </w:r>
      <w:proofErr w:type="spellEnd"/>
      <w:r w:rsidRPr="00515348">
        <w:t xml:space="preserve">-3 </w:t>
      </w:r>
      <w:r w:rsidR="003C48D8" w:rsidRPr="00515348">
        <w:rPr>
          <w:lang w:eastAsia="ja-JP"/>
        </w:rPr>
        <w:t>«</w:t>
      </w:r>
      <w:r w:rsidR="00580AB6" w:rsidRPr="00515348">
        <w:t>Aspectos técnicos y operacionales de los radares meteorológicos en tierra</w:t>
      </w:r>
      <w:r w:rsidR="003C48D8" w:rsidRPr="00515348">
        <w:rPr>
          <w:lang w:eastAsia="ja-JP"/>
        </w:rPr>
        <w:t>»</w:t>
      </w:r>
    </w:p>
    <w:p w14:paraId="35589E44" w14:textId="08330645" w:rsidR="00580AB6" w:rsidRPr="00515348" w:rsidRDefault="00915CBF" w:rsidP="00F5438B">
      <w:pPr>
        <w:pStyle w:val="enumlev1"/>
        <w:rPr>
          <w:lang w:eastAsia="ja-JP"/>
        </w:rPr>
      </w:pPr>
      <w:r w:rsidRPr="00515348">
        <w:rPr>
          <w:lang w:eastAsia="ja-JP"/>
        </w:rPr>
        <w:t>–</w:t>
      </w:r>
      <w:r w:rsidRPr="00515348">
        <w:tab/>
      </w:r>
      <w:proofErr w:type="spellStart"/>
      <w:r w:rsidRPr="00515348">
        <w:t>M.2010</w:t>
      </w:r>
      <w:proofErr w:type="spellEnd"/>
      <w:r w:rsidRPr="00515348">
        <w:t xml:space="preserve">-2 </w:t>
      </w:r>
      <w:r w:rsidR="003C48D8" w:rsidRPr="00515348">
        <w:rPr>
          <w:lang w:eastAsia="ja-JP"/>
        </w:rPr>
        <w:t>«</w:t>
      </w:r>
      <w:r w:rsidR="00580AB6" w:rsidRPr="00515348">
        <w:rPr>
          <w:lang w:eastAsia="ja-JP"/>
        </w:rPr>
        <w:t>Características del sistema digital denominado: Datos de navegación para difundir información de seguridad marítima e información de seguridad conexa de costa a barco en la banda de 500 kHz</w:t>
      </w:r>
      <w:r w:rsidR="003C48D8" w:rsidRPr="00515348">
        <w:rPr>
          <w:lang w:eastAsia="ja-JP"/>
        </w:rPr>
        <w:t>»</w:t>
      </w:r>
    </w:p>
    <w:p w14:paraId="151DD57B" w14:textId="754E8916" w:rsidR="00915CBF" w:rsidRPr="00515348" w:rsidRDefault="00915CBF" w:rsidP="00F5438B">
      <w:pPr>
        <w:pStyle w:val="enumlev1"/>
      </w:pPr>
      <w:r w:rsidRPr="00515348">
        <w:rPr>
          <w:lang w:eastAsia="ja-JP"/>
        </w:rPr>
        <w:t>–</w:t>
      </w:r>
      <w:r w:rsidRPr="00515348">
        <w:tab/>
      </w:r>
      <w:proofErr w:type="spellStart"/>
      <w:r w:rsidRPr="00515348">
        <w:t>M.2058</w:t>
      </w:r>
      <w:proofErr w:type="spellEnd"/>
      <w:r w:rsidRPr="00515348">
        <w:t xml:space="preserve">-1 </w:t>
      </w:r>
      <w:r w:rsidR="003C48D8" w:rsidRPr="00515348">
        <w:rPr>
          <w:lang w:eastAsia="ja-JP"/>
        </w:rPr>
        <w:t>«</w:t>
      </w:r>
      <w:r w:rsidR="004236BF" w:rsidRPr="00515348">
        <w:t xml:space="preserve">Características del sistema digital denominado: Datos de navegación para difundir información de seguridad marítima e información de seguridad conexa de costa a barco en la banda marítima de ondas </w:t>
      </w:r>
      <w:proofErr w:type="spellStart"/>
      <w:r w:rsidR="004236BF" w:rsidRPr="00515348">
        <w:t>decamétricas</w:t>
      </w:r>
      <w:proofErr w:type="spellEnd"/>
      <w:r w:rsidR="003C48D8" w:rsidRPr="00515348">
        <w:rPr>
          <w:lang w:eastAsia="ja-JP"/>
        </w:rPr>
        <w:t>»</w:t>
      </w:r>
    </w:p>
    <w:p w14:paraId="349391FF" w14:textId="2B9E8F13" w:rsidR="00915CBF" w:rsidRPr="00515348" w:rsidRDefault="00915CBF" w:rsidP="00F5438B">
      <w:pPr>
        <w:pStyle w:val="enumlev1"/>
      </w:pPr>
      <w:r w:rsidRPr="00515348">
        <w:rPr>
          <w:lang w:eastAsia="ja-JP"/>
        </w:rPr>
        <w:t>–</w:t>
      </w:r>
      <w:r w:rsidRPr="00515348">
        <w:tab/>
      </w:r>
      <w:proofErr w:type="spellStart"/>
      <w:r w:rsidRPr="00515348">
        <w:t>M.2135</w:t>
      </w:r>
      <w:proofErr w:type="spellEnd"/>
      <w:r w:rsidRPr="00515348">
        <w:t xml:space="preserve">-1 </w:t>
      </w:r>
      <w:r w:rsidR="003C48D8" w:rsidRPr="00515348">
        <w:rPr>
          <w:lang w:eastAsia="ja-JP"/>
        </w:rPr>
        <w:t>«</w:t>
      </w:r>
      <w:r w:rsidR="004236BF" w:rsidRPr="00515348">
        <w:t>Características técnicas de los dispositivos autónomos de radiocomunicaciones marítimas que funcionan en la banda de frecuencias 156-162,05 MHz</w:t>
      </w:r>
      <w:r w:rsidR="003C48D8" w:rsidRPr="00515348">
        <w:rPr>
          <w:lang w:eastAsia="ja-JP"/>
        </w:rPr>
        <w:t>»</w:t>
      </w:r>
      <w:r w:rsidR="00F5438B" w:rsidRPr="00515348">
        <w:rPr>
          <w:lang w:eastAsia="ja-JP"/>
        </w:rPr>
        <w:t>.</w:t>
      </w:r>
    </w:p>
    <w:p w14:paraId="1C54B3F6" w14:textId="26D9EBF0" w:rsidR="00915CBF" w:rsidRPr="00515348" w:rsidRDefault="004236BF" w:rsidP="00915CBF">
      <w:pPr>
        <w:keepNext/>
        <w:spacing w:before="160"/>
        <w:rPr>
          <w:b/>
        </w:rPr>
      </w:pPr>
      <w:r w:rsidRPr="00515348">
        <w:rPr>
          <w:b/>
        </w:rPr>
        <w:lastRenderedPageBreak/>
        <w:t>Informes</w:t>
      </w:r>
      <w:r w:rsidR="00915CBF" w:rsidRPr="00515348">
        <w:rPr>
          <w:b/>
        </w:rPr>
        <w:t xml:space="preserve"> </w:t>
      </w:r>
      <w:r w:rsidRPr="00515348">
        <w:rPr>
          <w:b/>
        </w:rPr>
        <w:t>UIT</w:t>
      </w:r>
      <w:r w:rsidR="00915CBF" w:rsidRPr="00515348">
        <w:rPr>
          <w:b/>
        </w:rPr>
        <w:t>-R:</w:t>
      </w:r>
    </w:p>
    <w:p w14:paraId="7888B36A" w14:textId="4BE0FB70" w:rsidR="00915CBF" w:rsidRPr="00515348" w:rsidRDefault="00915CBF" w:rsidP="00F5438B">
      <w:pPr>
        <w:pStyle w:val="enumlev1"/>
        <w:rPr>
          <w:lang w:eastAsia="ja-JP"/>
        </w:rPr>
      </w:pPr>
      <w:r w:rsidRPr="00515348">
        <w:rPr>
          <w:lang w:eastAsia="ja-JP"/>
        </w:rPr>
        <w:t>–</w:t>
      </w:r>
      <w:r w:rsidRPr="00515348">
        <w:tab/>
      </w:r>
      <w:proofErr w:type="spellStart"/>
      <w:r w:rsidRPr="00515348">
        <w:rPr>
          <w:lang w:eastAsia="ja-JP"/>
        </w:rPr>
        <w:t>M.2417</w:t>
      </w:r>
      <w:proofErr w:type="spellEnd"/>
      <w:r w:rsidRPr="00515348">
        <w:rPr>
          <w:lang w:eastAsia="ja-JP"/>
        </w:rPr>
        <w:t xml:space="preserve">-1 </w:t>
      </w:r>
      <w:r w:rsidR="003C48D8" w:rsidRPr="00515348">
        <w:t>«</w:t>
      </w:r>
      <w:r w:rsidRPr="00515348">
        <w:rPr>
          <w:lang w:eastAsia="ja-JP"/>
        </w:rPr>
        <w:t>Características técnicas y operativas de las aplicaciones del servicio móvil terrestre en la gama de frecuencias 275-450 GHz</w:t>
      </w:r>
      <w:r w:rsidR="003C48D8" w:rsidRPr="00515348">
        <w:t>»</w:t>
      </w:r>
    </w:p>
    <w:p w14:paraId="2F57DB8D" w14:textId="4DB9B025" w:rsidR="00915CBF" w:rsidRPr="00515348" w:rsidRDefault="00915CBF" w:rsidP="00F5438B">
      <w:pPr>
        <w:pStyle w:val="enumlev1"/>
        <w:rPr>
          <w:lang w:eastAsia="ja-JP"/>
        </w:rPr>
      </w:pPr>
      <w:r w:rsidRPr="00515348">
        <w:rPr>
          <w:lang w:eastAsia="ja-JP"/>
        </w:rPr>
        <w:t>–</w:t>
      </w:r>
      <w:r w:rsidRPr="00515348">
        <w:tab/>
      </w:r>
      <w:proofErr w:type="spellStart"/>
      <w:r w:rsidRPr="00515348">
        <w:rPr>
          <w:lang w:eastAsia="ja-JP"/>
        </w:rPr>
        <w:t>M.2516</w:t>
      </w:r>
      <w:proofErr w:type="spellEnd"/>
      <w:r w:rsidRPr="00515348">
        <w:rPr>
          <w:lang w:eastAsia="ja-JP"/>
        </w:rPr>
        <w:t xml:space="preserve">-0 </w:t>
      </w:r>
      <w:r w:rsidR="003C48D8" w:rsidRPr="00515348">
        <w:t>«</w:t>
      </w:r>
      <w:r w:rsidR="004236BF" w:rsidRPr="00515348">
        <w:rPr>
          <w:lang w:eastAsia="ja-JP"/>
        </w:rPr>
        <w:t>Futuras tendencias tecnológicas para los sistemas de las telecomunicaciones móviles internacionales (IMT) terrenales</w:t>
      </w:r>
      <w:r w:rsidRPr="00515348">
        <w:rPr>
          <w:lang w:eastAsia="ja-JP"/>
        </w:rPr>
        <w:t xml:space="preserve"> </w:t>
      </w:r>
      <w:r w:rsidR="004236BF" w:rsidRPr="00515348">
        <w:rPr>
          <w:lang w:eastAsia="ja-JP"/>
        </w:rPr>
        <w:t>para 2030 y en adelante</w:t>
      </w:r>
      <w:r w:rsidR="003C48D8" w:rsidRPr="00515348">
        <w:t>»</w:t>
      </w:r>
    </w:p>
    <w:p w14:paraId="588E7561" w14:textId="19B8FA3F" w:rsidR="00915CBF" w:rsidRPr="00515348" w:rsidRDefault="00915CBF" w:rsidP="00F5438B">
      <w:pPr>
        <w:pStyle w:val="enumlev1"/>
        <w:rPr>
          <w:lang w:eastAsia="ja-JP"/>
        </w:rPr>
      </w:pPr>
      <w:r w:rsidRPr="00515348">
        <w:rPr>
          <w:lang w:eastAsia="ja-JP"/>
        </w:rPr>
        <w:t>–</w:t>
      </w:r>
      <w:r w:rsidRPr="00515348">
        <w:tab/>
      </w:r>
      <w:proofErr w:type="spellStart"/>
      <w:r w:rsidRPr="00515348">
        <w:rPr>
          <w:lang w:eastAsia="ja-JP"/>
        </w:rPr>
        <w:t>M.2517</w:t>
      </w:r>
      <w:proofErr w:type="spellEnd"/>
      <w:r w:rsidRPr="00515348">
        <w:rPr>
          <w:lang w:eastAsia="ja-JP"/>
        </w:rPr>
        <w:t xml:space="preserve">-0 </w:t>
      </w:r>
      <w:r w:rsidR="003C48D8" w:rsidRPr="00515348">
        <w:t>«</w:t>
      </w:r>
      <w:r w:rsidR="004236BF" w:rsidRPr="00515348">
        <w:t xml:space="preserve">Coexistencia entre las aplicaciones del servicio móvil terrestre y el servicio fijo que funcionan en la gama de frecuencias </w:t>
      </w:r>
      <w:r w:rsidRPr="00515348">
        <w:rPr>
          <w:lang w:eastAsia="ja-JP"/>
        </w:rPr>
        <w:t>252-296 GHz</w:t>
      </w:r>
      <w:r w:rsidR="003C48D8" w:rsidRPr="00515348">
        <w:t>»</w:t>
      </w:r>
    </w:p>
    <w:p w14:paraId="356C202D" w14:textId="03606A11" w:rsidR="00B05BDD" w:rsidRPr="00515348" w:rsidRDefault="00915CBF" w:rsidP="00F5438B">
      <w:pPr>
        <w:pStyle w:val="enumlev1"/>
      </w:pPr>
      <w:r w:rsidRPr="00515348">
        <w:rPr>
          <w:lang w:eastAsia="ja-JP"/>
        </w:rPr>
        <w:t>–</w:t>
      </w:r>
      <w:r w:rsidRPr="00515348">
        <w:tab/>
      </w:r>
      <w:proofErr w:type="spellStart"/>
      <w:r w:rsidRPr="00515348">
        <w:rPr>
          <w:lang w:eastAsia="ja-JP"/>
        </w:rPr>
        <w:t>M.2518</w:t>
      </w:r>
      <w:proofErr w:type="spellEnd"/>
      <w:r w:rsidRPr="00515348">
        <w:rPr>
          <w:lang w:eastAsia="ja-JP"/>
        </w:rPr>
        <w:t xml:space="preserve">-0 </w:t>
      </w:r>
      <w:r w:rsidR="003C48D8" w:rsidRPr="00515348">
        <w:t>«</w:t>
      </w:r>
      <w:r w:rsidR="00B05BDD" w:rsidRPr="00515348">
        <w:t>Telecomunicaciones móviles internacionales (IMT) terrenales para zonas distantes escasamente pobladas que ofrecen cobertura de datos a alta velocidad</w:t>
      </w:r>
      <w:r w:rsidR="003C48D8" w:rsidRPr="00515348">
        <w:t>»</w:t>
      </w:r>
      <w:r w:rsidR="00B05BDD" w:rsidRPr="00515348">
        <w:t xml:space="preserve"> </w:t>
      </w:r>
    </w:p>
    <w:p w14:paraId="3183A2B9" w14:textId="1CD402CB" w:rsidR="00B05BDD" w:rsidRPr="00515348" w:rsidRDefault="00915CBF" w:rsidP="00F5438B">
      <w:pPr>
        <w:pStyle w:val="enumlev1"/>
        <w:rPr>
          <w:lang w:eastAsia="ja-JP"/>
        </w:rPr>
      </w:pPr>
      <w:r w:rsidRPr="00515348">
        <w:rPr>
          <w:lang w:eastAsia="ja-JP"/>
        </w:rPr>
        <w:t>–</w:t>
      </w:r>
      <w:r w:rsidRPr="00515348">
        <w:tab/>
      </w:r>
      <w:proofErr w:type="spellStart"/>
      <w:r w:rsidRPr="00515348">
        <w:rPr>
          <w:lang w:eastAsia="ja-JP"/>
        </w:rPr>
        <w:t>M.2519</w:t>
      </w:r>
      <w:proofErr w:type="spellEnd"/>
      <w:r w:rsidRPr="00515348">
        <w:rPr>
          <w:lang w:eastAsia="ja-JP"/>
        </w:rPr>
        <w:t xml:space="preserve">-0 </w:t>
      </w:r>
      <w:r w:rsidR="003C48D8" w:rsidRPr="00515348">
        <w:t>«</w:t>
      </w:r>
      <w:r w:rsidR="00B05BDD" w:rsidRPr="00515348">
        <w:t>Protección de los receptores de radiocomunicaciones</w:t>
      </w:r>
      <w:r w:rsidRPr="00515348">
        <w:rPr>
          <w:lang w:eastAsia="ja-JP"/>
        </w:rPr>
        <w:t xml:space="preserve"> </w:t>
      </w:r>
      <w:r w:rsidR="00B05BDD" w:rsidRPr="00515348">
        <w:rPr>
          <w:lang w:eastAsia="ja-JP"/>
        </w:rPr>
        <w:t>instalados a bordo de navíos frente a la interferencia electromagnética de los sistemas de iluminación con diodos emisores de luz y de otros sistemas interferentes</w:t>
      </w:r>
      <w:r w:rsidR="003C48D8" w:rsidRPr="00515348">
        <w:rPr>
          <w:lang w:eastAsia="ja-JP"/>
        </w:rPr>
        <w:t>»</w:t>
      </w:r>
      <w:r w:rsidR="00B05BDD" w:rsidRPr="00515348">
        <w:rPr>
          <w:lang w:eastAsia="ja-JP"/>
        </w:rPr>
        <w:t xml:space="preserve"> </w:t>
      </w:r>
    </w:p>
    <w:p w14:paraId="69BBF606" w14:textId="1F85CB7D" w:rsidR="00915CBF" w:rsidRPr="00515348" w:rsidRDefault="00915CBF" w:rsidP="00F5438B">
      <w:pPr>
        <w:pStyle w:val="enumlev1"/>
        <w:rPr>
          <w:lang w:eastAsia="ja-JP"/>
        </w:rPr>
      </w:pPr>
      <w:r w:rsidRPr="00515348">
        <w:rPr>
          <w:lang w:eastAsia="ja-JP"/>
        </w:rPr>
        <w:t>–</w:t>
      </w:r>
      <w:r w:rsidRPr="00515348">
        <w:tab/>
      </w:r>
      <w:proofErr w:type="spellStart"/>
      <w:r w:rsidRPr="00515348">
        <w:rPr>
          <w:lang w:eastAsia="ja-JP"/>
        </w:rPr>
        <w:t>M.2520</w:t>
      </w:r>
      <w:proofErr w:type="spellEnd"/>
      <w:r w:rsidRPr="00515348">
        <w:rPr>
          <w:lang w:eastAsia="ja-JP"/>
        </w:rPr>
        <w:t xml:space="preserve">-0 </w:t>
      </w:r>
      <w:r w:rsidR="003C48D8" w:rsidRPr="00515348">
        <w:t>«</w:t>
      </w:r>
      <w:r w:rsidR="00B05BDD" w:rsidRPr="00515348">
        <w:t>Utilización del componente terrenal de las telecomunicaciones móviles internacionales para la comunicación celular entre el vehículo y su entorno</w:t>
      </w:r>
      <w:r w:rsidR="003C48D8" w:rsidRPr="00515348">
        <w:t>»</w:t>
      </w:r>
      <w:r w:rsidR="00F5438B" w:rsidRPr="00515348">
        <w:t>.</w:t>
      </w:r>
    </w:p>
    <w:p w14:paraId="3C8AB5C9" w14:textId="2C13001D" w:rsidR="00915CBF" w:rsidRPr="00515348" w:rsidRDefault="00915CBF" w:rsidP="00915CBF">
      <w:pPr>
        <w:keepNext/>
        <w:spacing w:before="160"/>
        <w:rPr>
          <w:b/>
        </w:rPr>
      </w:pPr>
      <w:r w:rsidRPr="00515348">
        <w:rPr>
          <w:b/>
        </w:rPr>
        <w:t>Manual UIT-R:</w:t>
      </w:r>
    </w:p>
    <w:p w14:paraId="306CC45A" w14:textId="7FEB324E" w:rsidR="00915CBF" w:rsidRPr="00515348" w:rsidRDefault="00915CBF" w:rsidP="00F5438B">
      <w:pPr>
        <w:pStyle w:val="enumlev1"/>
        <w:rPr>
          <w:lang w:eastAsia="ja-JP"/>
        </w:rPr>
      </w:pPr>
      <w:r w:rsidRPr="00515348">
        <w:rPr>
          <w:lang w:eastAsia="ja-JP"/>
        </w:rPr>
        <w:t>–</w:t>
      </w:r>
      <w:r w:rsidRPr="00515348">
        <w:tab/>
      </w:r>
      <w:r w:rsidR="00B05BDD" w:rsidRPr="00515348">
        <w:t xml:space="preserve">Curso sobre sistemas de comunicación adaptativos en las bandas de frecuencias </w:t>
      </w:r>
      <w:proofErr w:type="spellStart"/>
      <w:r w:rsidR="00B05BDD" w:rsidRPr="00515348">
        <w:t>decamétricas</w:t>
      </w:r>
      <w:proofErr w:type="spellEnd"/>
      <w:r w:rsidR="00F5438B" w:rsidRPr="00515348">
        <w:t>.</w:t>
      </w:r>
    </w:p>
    <w:bookmarkEnd w:id="25"/>
    <w:p w14:paraId="509D4A7F" w14:textId="0445AC2F" w:rsidR="00B05BDD" w:rsidRPr="00515348" w:rsidRDefault="00B05BDD" w:rsidP="00B05BDD">
      <w:pPr>
        <w:tabs>
          <w:tab w:val="clear" w:pos="794"/>
          <w:tab w:val="clear" w:pos="1191"/>
          <w:tab w:val="clear" w:pos="1588"/>
          <w:tab w:val="clear" w:pos="1985"/>
        </w:tabs>
        <w:overflowPunct/>
        <w:autoSpaceDE/>
        <w:autoSpaceDN/>
        <w:adjustRightInd/>
        <w:spacing w:before="100" w:after="100" w:line="240" w:lineRule="atLeast"/>
        <w:textAlignment w:val="auto"/>
        <w:rPr>
          <w:szCs w:val="24"/>
        </w:rPr>
      </w:pPr>
      <w:r w:rsidRPr="00515348">
        <w:rPr>
          <w:szCs w:val="24"/>
        </w:rPr>
        <w:t>Los G</w:t>
      </w:r>
      <w:r w:rsidR="007658E6" w:rsidRPr="00515348">
        <w:rPr>
          <w:szCs w:val="24"/>
        </w:rPr>
        <w:t xml:space="preserve">rupos de </w:t>
      </w:r>
      <w:r w:rsidRPr="00515348">
        <w:rPr>
          <w:szCs w:val="24"/>
        </w:rPr>
        <w:t>T</w:t>
      </w:r>
      <w:r w:rsidR="007658E6" w:rsidRPr="00515348">
        <w:rPr>
          <w:szCs w:val="24"/>
        </w:rPr>
        <w:t>rabajo</w:t>
      </w:r>
      <w:r w:rsidRPr="00515348">
        <w:rPr>
          <w:szCs w:val="24"/>
        </w:rPr>
        <w:t xml:space="preserve"> </w:t>
      </w:r>
      <w:proofErr w:type="spellStart"/>
      <w:r w:rsidRPr="00515348">
        <w:rPr>
          <w:szCs w:val="24"/>
        </w:rPr>
        <w:t>5A</w:t>
      </w:r>
      <w:proofErr w:type="spellEnd"/>
      <w:r w:rsidRPr="00515348">
        <w:rPr>
          <w:szCs w:val="24"/>
        </w:rPr>
        <w:t xml:space="preserve">, </w:t>
      </w:r>
      <w:proofErr w:type="spellStart"/>
      <w:r w:rsidRPr="00515348">
        <w:rPr>
          <w:szCs w:val="24"/>
        </w:rPr>
        <w:t>5B</w:t>
      </w:r>
      <w:proofErr w:type="spellEnd"/>
      <w:r w:rsidR="007658E6" w:rsidRPr="00515348">
        <w:rPr>
          <w:szCs w:val="24"/>
        </w:rPr>
        <w:t xml:space="preserve">, </w:t>
      </w:r>
      <w:proofErr w:type="spellStart"/>
      <w:r w:rsidR="007658E6" w:rsidRPr="00515348">
        <w:rPr>
          <w:szCs w:val="24"/>
        </w:rPr>
        <w:t>5C</w:t>
      </w:r>
      <w:proofErr w:type="spellEnd"/>
      <w:r w:rsidRPr="00515348">
        <w:rPr>
          <w:szCs w:val="24"/>
        </w:rPr>
        <w:t xml:space="preserve"> y </w:t>
      </w:r>
      <w:proofErr w:type="spellStart"/>
      <w:r w:rsidRPr="00515348">
        <w:rPr>
          <w:szCs w:val="24"/>
        </w:rPr>
        <w:t>5</w:t>
      </w:r>
      <w:r w:rsidR="007658E6" w:rsidRPr="00515348">
        <w:rPr>
          <w:szCs w:val="24"/>
        </w:rPr>
        <w:t>D</w:t>
      </w:r>
      <w:proofErr w:type="spellEnd"/>
      <w:r w:rsidRPr="00515348">
        <w:rPr>
          <w:szCs w:val="24"/>
        </w:rPr>
        <w:t xml:space="preserve"> finalizaron el proyecto de Informe de la RPC para los puntos del orden del día de la </w:t>
      </w:r>
      <w:proofErr w:type="spellStart"/>
      <w:r w:rsidRPr="00515348">
        <w:rPr>
          <w:szCs w:val="24"/>
        </w:rPr>
        <w:t>CMR</w:t>
      </w:r>
      <w:proofErr w:type="spellEnd"/>
      <w:r w:rsidRPr="00515348">
        <w:rPr>
          <w:szCs w:val="24"/>
        </w:rPr>
        <w:t xml:space="preserve">-23 de los cuales eran responsables, </w:t>
      </w:r>
      <w:r w:rsidR="00872B57" w:rsidRPr="00515348">
        <w:rPr>
          <w:szCs w:val="24"/>
        </w:rPr>
        <w:t>antes de la fecha límite del</w:t>
      </w:r>
      <w:r w:rsidRPr="00515348">
        <w:rPr>
          <w:szCs w:val="24"/>
        </w:rPr>
        <w:t xml:space="preserve"> 21 de octubre de 2022</w:t>
      </w:r>
      <w:r w:rsidR="00F5438B" w:rsidRPr="00515348">
        <w:rPr>
          <w:szCs w:val="24"/>
        </w:rPr>
        <w:t>.</w:t>
      </w:r>
    </w:p>
    <w:p w14:paraId="47F489ED" w14:textId="1AB9B258" w:rsidR="00B05BDD" w:rsidRPr="00515348" w:rsidRDefault="00836DA2" w:rsidP="005A715D">
      <w:r w:rsidRPr="00515348">
        <w:t xml:space="preserve">Durante la 41ª reunión del GT </w:t>
      </w:r>
      <w:proofErr w:type="spellStart"/>
      <w:r w:rsidRPr="00515348">
        <w:t>5D</w:t>
      </w:r>
      <w:proofErr w:type="spellEnd"/>
      <w:r w:rsidRPr="00515348">
        <w:t xml:space="preserve">, se celebró un taller sobre </w:t>
      </w:r>
      <w:r w:rsidR="003C48D8" w:rsidRPr="00515348">
        <w:t>«</w:t>
      </w:r>
      <w:r w:rsidRPr="00515348">
        <w:t>IMT para 2030 y en adelante</w:t>
      </w:r>
      <w:r w:rsidR="003C48D8" w:rsidRPr="00515348">
        <w:t>»</w:t>
      </w:r>
      <w:r w:rsidRPr="00515348">
        <w:t xml:space="preserve"> el 14 de junio de 2022 para </w:t>
      </w:r>
      <w:r w:rsidR="007658E6" w:rsidRPr="00515348">
        <w:t>ofrecer</w:t>
      </w:r>
      <w:r w:rsidRPr="00515348">
        <w:t xml:space="preserve"> a los delegados del GT </w:t>
      </w:r>
      <w:proofErr w:type="spellStart"/>
      <w:r w:rsidRPr="00515348">
        <w:t>5D</w:t>
      </w:r>
      <w:proofErr w:type="spellEnd"/>
      <w:r w:rsidRPr="00515348">
        <w:t xml:space="preserve"> una visión general y una comprensión de las actividades e iniciativas de investigación </w:t>
      </w:r>
      <w:r w:rsidR="007658E6" w:rsidRPr="00515348">
        <w:t>que se están realizando</w:t>
      </w:r>
      <w:r w:rsidRPr="00515348">
        <w:t xml:space="preserve"> en todo el mundo sobre las futuras comunicaciones móviles con vistas a 2030 y en adelante.</w:t>
      </w:r>
    </w:p>
    <w:p w14:paraId="75D1E37C" w14:textId="2E09591B" w:rsidR="00836DA2" w:rsidRPr="00515348" w:rsidRDefault="00836DA2" w:rsidP="005A715D">
      <w:r w:rsidRPr="00515348">
        <w:t xml:space="preserve">En cuanto a los estudios en curso a los que se hace referencia en el Documento </w:t>
      </w:r>
      <w:hyperlink r:id="rId10" w:history="1">
        <w:r w:rsidRPr="00515348">
          <w:rPr>
            <w:rStyle w:val="Hyperlink"/>
          </w:rPr>
          <w:t>55</w:t>
        </w:r>
        <w:r w:rsidRPr="00515348">
          <w:rPr>
            <w:rStyle w:val="Hyperlink"/>
          </w:rPr>
          <w:t>0</w:t>
        </w:r>
      </w:hyperlink>
      <w:r w:rsidRPr="00515348">
        <w:t xml:space="preserve"> de la </w:t>
      </w:r>
      <w:proofErr w:type="spellStart"/>
      <w:r w:rsidRPr="00515348">
        <w:t>CMR</w:t>
      </w:r>
      <w:proofErr w:type="spellEnd"/>
      <w:r w:rsidRPr="00515348">
        <w:t xml:space="preserve">-19 para la </w:t>
      </w:r>
      <w:r w:rsidR="003C48D8" w:rsidRPr="00515348">
        <w:t>«</w:t>
      </w:r>
      <w:r w:rsidRPr="00515348">
        <w:t xml:space="preserve">Verificación del número </w:t>
      </w:r>
      <w:r w:rsidRPr="00515348">
        <w:rPr>
          <w:b/>
        </w:rPr>
        <w:t>21.5</w:t>
      </w:r>
      <w:r w:rsidRPr="00515348">
        <w:t xml:space="preserve"> del </w:t>
      </w:r>
      <w:proofErr w:type="spellStart"/>
      <w:r w:rsidRPr="00515348">
        <w:t>RR</w:t>
      </w:r>
      <w:proofErr w:type="spellEnd"/>
      <w:r w:rsidRPr="00515348">
        <w:t xml:space="preserve"> para la notificación de estaciones IMT que funcionan en la banda de frecuencias 24,45-27,5 GHz y que utilizan una antena integrada por un conjunto de elementos activos</w:t>
      </w:r>
      <w:r w:rsidR="003C48D8" w:rsidRPr="00515348">
        <w:t>»</w:t>
      </w:r>
      <w:r w:rsidRPr="00515348">
        <w:t xml:space="preserve">, el GT </w:t>
      </w:r>
      <w:proofErr w:type="spellStart"/>
      <w:r w:rsidRPr="00515348">
        <w:t>5D</w:t>
      </w:r>
      <w:proofErr w:type="spellEnd"/>
      <w:r w:rsidRPr="00515348">
        <w:t xml:space="preserve">, en su 43ª reunión (31 de enero a 9 de febrero de 2023), envió una </w:t>
      </w:r>
      <w:r w:rsidR="00305236" w:rsidRPr="00515348">
        <w:t>n</w:t>
      </w:r>
      <w:r w:rsidRPr="00515348">
        <w:t xml:space="preserve">ota preliminar al Director de la BR informándole de que el GT </w:t>
      </w:r>
      <w:proofErr w:type="spellStart"/>
      <w:r w:rsidRPr="00515348">
        <w:t>5D</w:t>
      </w:r>
      <w:proofErr w:type="spellEnd"/>
      <w:r w:rsidRPr="00515348">
        <w:t xml:space="preserve"> prosigue sus trabajos sobre este tema.</w:t>
      </w:r>
    </w:p>
    <w:p w14:paraId="37215C62" w14:textId="12643555" w:rsidR="005A715D" w:rsidRPr="00515348" w:rsidRDefault="005A715D" w:rsidP="005A715D">
      <w:r w:rsidRPr="00515348">
        <w:t xml:space="preserve">Está previsto celebrar las reuniones de los </w:t>
      </w:r>
      <w:r w:rsidR="00305236" w:rsidRPr="00515348">
        <w:t xml:space="preserve">Grupos de Trabajo </w:t>
      </w:r>
      <w:proofErr w:type="spellStart"/>
      <w:r w:rsidRPr="00515348">
        <w:t>5A</w:t>
      </w:r>
      <w:proofErr w:type="spellEnd"/>
      <w:r w:rsidRPr="00515348">
        <w:t xml:space="preserve"> y </w:t>
      </w:r>
      <w:proofErr w:type="spellStart"/>
      <w:r w:rsidRPr="00515348">
        <w:t>5C</w:t>
      </w:r>
      <w:proofErr w:type="spellEnd"/>
      <w:r w:rsidRPr="00515348">
        <w:t xml:space="preserve"> del </w:t>
      </w:r>
      <w:r w:rsidR="00836DA2" w:rsidRPr="00515348">
        <w:t>9 al 18</w:t>
      </w:r>
      <w:r w:rsidRPr="00515348">
        <w:t xml:space="preserve"> de mayo de 202</w:t>
      </w:r>
      <w:r w:rsidR="00836DA2" w:rsidRPr="00515348">
        <w:t>3</w:t>
      </w:r>
      <w:r w:rsidRPr="00515348">
        <w:t xml:space="preserve"> y la del GT</w:t>
      </w:r>
      <w:r w:rsidR="009F1D73" w:rsidRPr="00515348">
        <w:t> </w:t>
      </w:r>
      <w:proofErr w:type="spellStart"/>
      <w:r w:rsidRPr="00515348">
        <w:t>5B</w:t>
      </w:r>
      <w:proofErr w:type="spellEnd"/>
      <w:r w:rsidRPr="00515348">
        <w:t xml:space="preserve"> </w:t>
      </w:r>
      <w:r w:rsidR="00836DA2" w:rsidRPr="00515348">
        <w:t xml:space="preserve">está programada </w:t>
      </w:r>
      <w:r w:rsidRPr="00515348">
        <w:t xml:space="preserve">del </w:t>
      </w:r>
      <w:r w:rsidR="00836DA2" w:rsidRPr="00515348">
        <w:t>10 al 21 de julio de 2023</w:t>
      </w:r>
      <w:r w:rsidRPr="00515348">
        <w:t>. La 4</w:t>
      </w:r>
      <w:r w:rsidR="00836DA2" w:rsidRPr="00515348">
        <w:t>3</w:t>
      </w:r>
      <w:r w:rsidRPr="00515348">
        <w:t>ª reunión del GT</w:t>
      </w:r>
      <w:r w:rsidR="009F1D73" w:rsidRPr="00515348">
        <w:t> </w:t>
      </w:r>
      <w:proofErr w:type="spellStart"/>
      <w:r w:rsidRPr="00515348">
        <w:t>5D</w:t>
      </w:r>
      <w:proofErr w:type="spellEnd"/>
      <w:r w:rsidRPr="00515348">
        <w:t xml:space="preserve"> se celebrará del 1</w:t>
      </w:r>
      <w:r w:rsidR="00836DA2" w:rsidRPr="00515348">
        <w:t>2</w:t>
      </w:r>
      <w:r w:rsidRPr="00515348">
        <w:t xml:space="preserve"> al 2</w:t>
      </w:r>
      <w:r w:rsidR="00836DA2" w:rsidRPr="00515348">
        <w:t>2</w:t>
      </w:r>
      <w:r w:rsidRPr="00515348">
        <w:t xml:space="preserve"> de junio de 202</w:t>
      </w:r>
      <w:r w:rsidR="00836DA2" w:rsidRPr="00515348">
        <w:t>3</w:t>
      </w:r>
      <w:r w:rsidRPr="00515348">
        <w:t xml:space="preserve">. La reunión </w:t>
      </w:r>
      <w:r w:rsidR="006239F0" w:rsidRPr="00515348">
        <w:t>de</w:t>
      </w:r>
      <w:r w:rsidR="009F1D73" w:rsidRPr="00515348">
        <w:t xml:space="preserve"> </w:t>
      </w:r>
      <w:r w:rsidR="006239F0" w:rsidRPr="00515348">
        <w:t>l</w:t>
      </w:r>
      <w:r w:rsidR="009F1D73" w:rsidRPr="00515348">
        <w:t>a</w:t>
      </w:r>
      <w:r w:rsidRPr="00515348">
        <w:t xml:space="preserve"> CE</w:t>
      </w:r>
      <w:r w:rsidR="009F1D73" w:rsidRPr="00515348">
        <w:t> </w:t>
      </w:r>
      <w:r w:rsidRPr="00515348">
        <w:t>5 está prevista para los días 2</w:t>
      </w:r>
      <w:r w:rsidR="00836DA2" w:rsidRPr="00515348">
        <w:t>5</w:t>
      </w:r>
      <w:r w:rsidRPr="00515348">
        <w:t xml:space="preserve"> y 2</w:t>
      </w:r>
      <w:r w:rsidR="00836DA2" w:rsidRPr="00515348">
        <w:t>6</w:t>
      </w:r>
      <w:r w:rsidRPr="00515348">
        <w:t xml:space="preserve"> de </w:t>
      </w:r>
      <w:r w:rsidR="00836DA2" w:rsidRPr="00515348">
        <w:t>septiembre</w:t>
      </w:r>
      <w:r w:rsidRPr="00515348">
        <w:t xml:space="preserve"> de 202</w:t>
      </w:r>
      <w:r w:rsidR="00836DA2" w:rsidRPr="00515348">
        <w:t>3</w:t>
      </w:r>
      <w:r w:rsidRPr="00515348">
        <w:t>.</w:t>
      </w:r>
    </w:p>
    <w:p w14:paraId="15E1F2E5" w14:textId="77777777" w:rsidR="005A715D" w:rsidRPr="00515348" w:rsidRDefault="005A715D" w:rsidP="005A715D">
      <w:pPr>
        <w:pStyle w:val="Heading2"/>
      </w:pPr>
      <w:bookmarkStart w:id="26" w:name="_Toc445972796"/>
      <w:r w:rsidRPr="00515348">
        <w:t>6.5</w:t>
      </w:r>
      <w:r w:rsidRPr="00515348">
        <w:tab/>
        <w:t>Comisión de Estudio 6</w:t>
      </w:r>
      <w:bookmarkEnd w:id="26"/>
    </w:p>
    <w:p w14:paraId="1830061F" w14:textId="4F8CF1AC" w:rsidR="005A715D" w:rsidRPr="00515348" w:rsidRDefault="005A715D" w:rsidP="005A715D">
      <w:r w:rsidRPr="00515348">
        <w:t xml:space="preserve">La </w:t>
      </w:r>
      <w:r w:rsidR="00836DA2" w:rsidRPr="00515348">
        <w:t>Comisión de Estudio</w:t>
      </w:r>
      <w:r w:rsidRPr="00515348">
        <w:t xml:space="preserve"> 6 prosigue los estudios sobre radiodifusión de comunicaciones, en particular en nuevos aspectos como las tecnologías avanzadas para la radiodifusión digital terrenal, una plataforma mundial para los servicios de radiodifusión, la televisión de elevada gama dinámica (</w:t>
      </w:r>
      <w:proofErr w:type="spellStart"/>
      <w:r w:rsidRPr="00515348">
        <w:t>HDR</w:t>
      </w:r>
      <w:proofErr w:type="spellEnd"/>
      <w:r w:rsidRPr="00515348">
        <w:t>-TV), los sistemas de radiodifusión y banda ancha integradas (</w:t>
      </w:r>
      <w:proofErr w:type="spellStart"/>
      <w:r w:rsidRPr="00515348">
        <w:t>IBB</w:t>
      </w:r>
      <w:proofErr w:type="spellEnd"/>
      <w:r w:rsidRPr="00515348">
        <w:t>), nuevos códec de audio y vídeo para la radiodifusión digital, los sistemas audiovisuales de inmersión avanzados (</w:t>
      </w:r>
      <w:proofErr w:type="spellStart"/>
      <w:r w:rsidRPr="00515348">
        <w:t>AIAV</w:t>
      </w:r>
      <w:proofErr w:type="spellEnd"/>
      <w:r w:rsidRPr="00515348">
        <w:t>), especificaciones de reproductor para los sistemas los sistemas avanzados de sonido, las aplicaciones de inteligencia artificial para la radiodifusión la accesibilidad audiovisual (</w:t>
      </w:r>
      <w:proofErr w:type="spellStart"/>
      <w:r w:rsidRPr="00515348">
        <w:t>AVA</w:t>
      </w:r>
      <w:proofErr w:type="spellEnd"/>
      <w:r w:rsidRPr="00515348">
        <w:t xml:space="preserve">) y la preparación de los puntos y temas del orden del día de la </w:t>
      </w:r>
      <w:proofErr w:type="spellStart"/>
      <w:r w:rsidRPr="00515348">
        <w:t>CMR</w:t>
      </w:r>
      <w:proofErr w:type="spellEnd"/>
      <w:r w:rsidRPr="00515348">
        <w:t>-23 relacionados con los servicios de radiodifusión.</w:t>
      </w:r>
    </w:p>
    <w:p w14:paraId="05679F51" w14:textId="6F608E34" w:rsidR="005A715D" w:rsidRPr="00515348" w:rsidRDefault="005A715D" w:rsidP="005A715D">
      <w:r w:rsidRPr="00515348">
        <w:lastRenderedPageBreak/>
        <w:t xml:space="preserve">La </w:t>
      </w:r>
      <w:r w:rsidR="005F3B22" w:rsidRPr="00515348">
        <w:t>Comisión de Estudio</w:t>
      </w:r>
      <w:r w:rsidR="009F1D73" w:rsidRPr="00515348">
        <w:t> </w:t>
      </w:r>
      <w:r w:rsidRPr="00515348">
        <w:t>6 también ha coordinado de manera activa los trabajos de interés común con las CE</w:t>
      </w:r>
      <w:r w:rsidR="009F1D73" w:rsidRPr="00515348">
        <w:t> </w:t>
      </w:r>
      <w:r w:rsidRPr="00515348">
        <w:t xml:space="preserve">9 y 16 del UIT-T </w:t>
      </w:r>
      <w:r w:rsidR="00305236" w:rsidRPr="00515348">
        <w:t>a través d</w:t>
      </w:r>
      <w:r w:rsidR="005F3B22" w:rsidRPr="00515348">
        <w:t>el Grupo de Relator intersectorial</w:t>
      </w:r>
      <w:r w:rsidRPr="00515348">
        <w:t xml:space="preserve"> (GRI) sobre accesibilidad audiovisual (GRI</w:t>
      </w:r>
      <w:r w:rsidRPr="00515348">
        <w:noBreakHyphen/>
      </w:r>
      <w:proofErr w:type="spellStart"/>
      <w:r w:rsidRPr="00515348">
        <w:t>AVA</w:t>
      </w:r>
      <w:proofErr w:type="spellEnd"/>
      <w:r w:rsidRPr="00515348">
        <w:t>).</w:t>
      </w:r>
    </w:p>
    <w:p w14:paraId="7357A7E9" w14:textId="60A6F9C6" w:rsidR="005A715D" w:rsidRPr="00515348" w:rsidRDefault="005A715D" w:rsidP="005A715D">
      <w:pPr>
        <w:rPr>
          <w:spacing w:val="-2"/>
        </w:rPr>
      </w:pPr>
      <w:r w:rsidRPr="00515348">
        <w:t xml:space="preserve">Se aprobaron una Cuestión UIT-R nueva, </w:t>
      </w:r>
      <w:r w:rsidR="005F3B22" w:rsidRPr="00515348">
        <w:t>tres</w:t>
      </w:r>
      <w:r w:rsidRPr="00515348">
        <w:t xml:space="preserve"> </w:t>
      </w:r>
      <w:r w:rsidR="00713B0B" w:rsidRPr="00515348">
        <w:t>Recomendaci</w:t>
      </w:r>
      <w:r w:rsidR="005F3B22" w:rsidRPr="00515348">
        <w:t>ones</w:t>
      </w:r>
      <w:r w:rsidRPr="00515348">
        <w:t xml:space="preserve"> UIT-R nueva</w:t>
      </w:r>
      <w:r w:rsidR="005F3B22" w:rsidRPr="00515348">
        <w:t>s</w:t>
      </w:r>
      <w:r w:rsidRPr="00515348">
        <w:t xml:space="preserve"> y </w:t>
      </w:r>
      <w:r w:rsidR="005F3B22" w:rsidRPr="00515348">
        <w:t>nueve</w:t>
      </w:r>
      <w:r w:rsidRPr="00515348">
        <w:t xml:space="preserve"> revisadas, y </w:t>
      </w:r>
      <w:r w:rsidR="005F3B22" w:rsidRPr="00515348">
        <w:t>tres</w:t>
      </w:r>
      <w:r w:rsidRPr="00515348">
        <w:t xml:space="preserve"> Informes nuevos y 1</w:t>
      </w:r>
      <w:r w:rsidR="005F3B22" w:rsidRPr="00515348">
        <w:t>5</w:t>
      </w:r>
      <w:r w:rsidRPr="00515348">
        <w:t xml:space="preserve"> revisados. Además, se aportaron modificaciones de edición en </w:t>
      </w:r>
      <w:r w:rsidR="005F3B22" w:rsidRPr="00515348">
        <w:t>una</w:t>
      </w:r>
      <w:r w:rsidRPr="00515348">
        <w:t xml:space="preserve"> Recomendaci</w:t>
      </w:r>
      <w:r w:rsidR="005F3B22" w:rsidRPr="00515348">
        <w:t>ón</w:t>
      </w:r>
      <w:r w:rsidRPr="00515348">
        <w:t xml:space="preserve"> UIT-R.</w:t>
      </w:r>
      <w:r w:rsidR="005F3B22" w:rsidRPr="00515348">
        <w:t xml:space="preserve"> Los Grupos de Trabajo </w:t>
      </w:r>
      <w:proofErr w:type="spellStart"/>
      <w:r w:rsidR="005F3B22" w:rsidRPr="00515348">
        <w:t>6A</w:t>
      </w:r>
      <w:proofErr w:type="spellEnd"/>
      <w:r w:rsidR="005F3B22" w:rsidRPr="00515348">
        <w:t xml:space="preserve">, </w:t>
      </w:r>
      <w:proofErr w:type="spellStart"/>
      <w:r w:rsidR="005F3B22" w:rsidRPr="00515348">
        <w:t>6B</w:t>
      </w:r>
      <w:proofErr w:type="spellEnd"/>
      <w:r w:rsidR="005F3B22" w:rsidRPr="00515348">
        <w:t xml:space="preserve"> y </w:t>
      </w:r>
      <w:proofErr w:type="spellStart"/>
      <w:r w:rsidR="005F3B22" w:rsidRPr="00515348">
        <w:t>6C</w:t>
      </w:r>
      <w:proofErr w:type="spellEnd"/>
      <w:r w:rsidR="005F3B22" w:rsidRPr="00515348">
        <w:t xml:space="preserve"> también aprobaron el nuevo Ruego UIT-R 104 </w:t>
      </w:r>
      <w:r w:rsidR="003C48D8" w:rsidRPr="00515348">
        <w:t>«</w:t>
      </w:r>
      <w:r w:rsidR="005F3B22" w:rsidRPr="00515348">
        <w:t>Consejos para estrategias de sostenibilidad en las que se incorporen políticas de compensación de carbono</w:t>
      </w:r>
      <w:r w:rsidR="003C48D8" w:rsidRPr="00515348">
        <w:t>»</w:t>
      </w:r>
      <w:r w:rsidR="005F3B22" w:rsidRPr="00515348">
        <w:t>.</w:t>
      </w:r>
    </w:p>
    <w:p w14:paraId="04D18C69" w14:textId="653432AB" w:rsidR="005A715D" w:rsidRPr="00515348" w:rsidRDefault="005A715D" w:rsidP="005A715D">
      <w:pPr>
        <w:pStyle w:val="Headingb"/>
      </w:pPr>
      <w:r w:rsidRPr="00515348">
        <w:t>Cuesti</w:t>
      </w:r>
      <w:r w:rsidR="00521586" w:rsidRPr="00515348">
        <w:t>ó</w:t>
      </w:r>
      <w:r w:rsidRPr="00515348">
        <w:t>n UIT-R:</w:t>
      </w:r>
    </w:p>
    <w:p w14:paraId="0249E57A" w14:textId="7CE38B23" w:rsidR="005F3B22" w:rsidRPr="00515348" w:rsidRDefault="005F3B22" w:rsidP="00F5438B">
      <w:pPr>
        <w:pStyle w:val="enumlev1"/>
      </w:pPr>
      <w:r w:rsidRPr="00515348">
        <w:t>–</w:t>
      </w:r>
      <w:r w:rsidRPr="00515348">
        <w:tab/>
        <w:t xml:space="preserve">147/6 </w:t>
      </w:r>
      <w:r w:rsidR="003C48D8" w:rsidRPr="00515348">
        <w:t>«</w:t>
      </w:r>
      <w:r w:rsidRPr="00515348">
        <w:t>Sistemas de radiodifusión sensibles al consumo energético</w:t>
      </w:r>
      <w:r w:rsidR="003C48D8" w:rsidRPr="00515348">
        <w:t>»</w:t>
      </w:r>
      <w:r w:rsidR="00F5438B" w:rsidRPr="00515348">
        <w:t>.</w:t>
      </w:r>
    </w:p>
    <w:p w14:paraId="1D462AE7" w14:textId="77777777" w:rsidR="005A715D" w:rsidRPr="00515348" w:rsidRDefault="005A715D" w:rsidP="003E5909">
      <w:pPr>
        <w:pStyle w:val="Headingb"/>
      </w:pPr>
      <w:r w:rsidRPr="00515348">
        <w:t>Recomendaciones UIT-R:</w:t>
      </w:r>
    </w:p>
    <w:p w14:paraId="107AF25E" w14:textId="3F877B12" w:rsidR="005F3B22" w:rsidRPr="00515348" w:rsidRDefault="005F3B22" w:rsidP="00F5438B">
      <w:pPr>
        <w:pStyle w:val="enumlev1"/>
        <w:rPr>
          <w:lang w:eastAsia="ja-JP"/>
        </w:rPr>
      </w:pPr>
      <w:r w:rsidRPr="00515348">
        <w:rPr>
          <w:lang w:eastAsia="ja-JP"/>
        </w:rPr>
        <w:t>–</w:t>
      </w:r>
      <w:r w:rsidRPr="00515348">
        <w:tab/>
      </w:r>
      <w:proofErr w:type="spellStart"/>
      <w:r w:rsidRPr="00515348">
        <w:t>BS.643</w:t>
      </w:r>
      <w:proofErr w:type="spellEnd"/>
      <w:r w:rsidRPr="00515348">
        <w:t xml:space="preserve">-4 </w:t>
      </w:r>
      <w:r w:rsidR="003C48D8" w:rsidRPr="00515348">
        <w:rPr>
          <w:lang w:eastAsia="ja-JP"/>
        </w:rPr>
        <w:t>«</w:t>
      </w:r>
      <w:r w:rsidRPr="00515348">
        <w:t>Sistema de radiocomunicaciones de datos para la sintonía automática y otras aplicaciones en los receptores radiofónicos con modulación de frecuencia para su utilización con el sistema de frecuencia piloto</w:t>
      </w:r>
      <w:r w:rsidR="003C48D8" w:rsidRPr="00515348">
        <w:rPr>
          <w:lang w:eastAsia="ja-JP"/>
        </w:rPr>
        <w:t>»</w:t>
      </w:r>
    </w:p>
    <w:p w14:paraId="57B0C72E" w14:textId="68C68048" w:rsidR="005F3B22" w:rsidRPr="00515348" w:rsidRDefault="005F3B22" w:rsidP="00F5438B">
      <w:pPr>
        <w:pStyle w:val="enumlev1"/>
      </w:pPr>
      <w:r w:rsidRPr="00515348">
        <w:rPr>
          <w:lang w:eastAsia="ja-JP"/>
        </w:rPr>
        <w:t>–</w:t>
      </w:r>
      <w:r w:rsidRPr="00515348">
        <w:tab/>
      </w:r>
      <w:proofErr w:type="spellStart"/>
      <w:r w:rsidRPr="00515348">
        <w:t>BS.775</w:t>
      </w:r>
      <w:proofErr w:type="spellEnd"/>
      <w:r w:rsidRPr="00515348">
        <w:t xml:space="preserve">-4 </w:t>
      </w:r>
      <w:r w:rsidR="003C48D8" w:rsidRPr="00515348">
        <w:rPr>
          <w:lang w:eastAsia="ja-JP"/>
        </w:rPr>
        <w:t>«</w:t>
      </w:r>
      <w:r w:rsidRPr="00515348">
        <w:t>Sistema de sonido estereofónico multicanal con y sin acompañamiento de imagen</w:t>
      </w:r>
      <w:r w:rsidR="003C48D8" w:rsidRPr="00515348">
        <w:rPr>
          <w:lang w:eastAsia="ja-JP"/>
        </w:rPr>
        <w:t>»</w:t>
      </w:r>
    </w:p>
    <w:p w14:paraId="33D6110B" w14:textId="489FF96A" w:rsidR="005F3B22" w:rsidRPr="00515348" w:rsidRDefault="005F3B22" w:rsidP="00F5438B">
      <w:pPr>
        <w:pStyle w:val="enumlev1"/>
      </w:pPr>
      <w:r w:rsidRPr="00515348">
        <w:rPr>
          <w:lang w:eastAsia="ja-JP"/>
        </w:rPr>
        <w:t>–</w:t>
      </w:r>
      <w:r w:rsidRPr="00515348">
        <w:tab/>
      </w:r>
      <w:proofErr w:type="spellStart"/>
      <w:r w:rsidRPr="00515348">
        <w:t>BS.1660</w:t>
      </w:r>
      <w:proofErr w:type="spellEnd"/>
      <w:r w:rsidRPr="00515348">
        <w:t xml:space="preserve">-9 </w:t>
      </w:r>
      <w:r w:rsidR="003C48D8" w:rsidRPr="00515348">
        <w:rPr>
          <w:lang w:eastAsia="ja-JP"/>
        </w:rPr>
        <w:t>«</w:t>
      </w:r>
      <w:r w:rsidRPr="00515348">
        <w:t>Bases técnicas para la planificación de la radiodifusión sonora digital terrenal en la banda de ondas métricas</w:t>
      </w:r>
      <w:r w:rsidR="003C48D8" w:rsidRPr="00515348">
        <w:rPr>
          <w:lang w:eastAsia="ja-JP"/>
        </w:rPr>
        <w:t>»</w:t>
      </w:r>
    </w:p>
    <w:p w14:paraId="3658AAF6" w14:textId="22D5F2FE" w:rsidR="005F3B22" w:rsidRPr="00515348" w:rsidRDefault="005F3B22" w:rsidP="00F5438B">
      <w:pPr>
        <w:pStyle w:val="enumlev1"/>
      </w:pPr>
      <w:r w:rsidRPr="00515348">
        <w:rPr>
          <w:lang w:eastAsia="ja-JP"/>
        </w:rPr>
        <w:t>–</w:t>
      </w:r>
      <w:r w:rsidRPr="00515348">
        <w:tab/>
      </w:r>
      <w:proofErr w:type="spellStart"/>
      <w:r w:rsidRPr="00515348">
        <w:t>BS.2051</w:t>
      </w:r>
      <w:proofErr w:type="spellEnd"/>
      <w:r w:rsidRPr="00515348">
        <w:t xml:space="preserve">-3 </w:t>
      </w:r>
      <w:r w:rsidR="003C48D8" w:rsidRPr="00515348">
        <w:rPr>
          <w:lang w:eastAsia="ja-JP"/>
        </w:rPr>
        <w:t>«</w:t>
      </w:r>
      <w:r w:rsidRPr="00515348">
        <w:t>Sistemas de sonido avanzados para la producción de programas</w:t>
      </w:r>
      <w:r w:rsidR="003C48D8" w:rsidRPr="00515348">
        <w:rPr>
          <w:lang w:eastAsia="ja-JP"/>
        </w:rPr>
        <w:t>»</w:t>
      </w:r>
    </w:p>
    <w:p w14:paraId="02A382A7" w14:textId="656D1FAA" w:rsidR="005F3B22" w:rsidRPr="00515348" w:rsidRDefault="005F3B22" w:rsidP="00F5438B">
      <w:pPr>
        <w:pStyle w:val="enumlev1"/>
      </w:pPr>
      <w:r w:rsidRPr="00515348">
        <w:rPr>
          <w:lang w:eastAsia="ja-JP"/>
        </w:rPr>
        <w:t>–</w:t>
      </w:r>
      <w:r w:rsidRPr="00515348">
        <w:tab/>
      </w:r>
      <w:proofErr w:type="spellStart"/>
      <w:r w:rsidRPr="00515348">
        <w:t>BS.2107</w:t>
      </w:r>
      <w:proofErr w:type="spellEnd"/>
      <w:r w:rsidRPr="00515348">
        <w:t xml:space="preserve">-1 </w:t>
      </w:r>
      <w:r w:rsidR="003C48D8" w:rsidRPr="00515348">
        <w:rPr>
          <w:lang w:eastAsia="ja-JP"/>
        </w:rPr>
        <w:t>«</w:t>
      </w:r>
      <w:r w:rsidR="000B12ED" w:rsidRPr="00515348">
        <w:rPr>
          <w:lang w:eastAsia="ja-JP"/>
        </w:rPr>
        <w:t>Utilización de las frecuencias de Radiocomunicaciones Internacionales para Operaciones de Socorro (</w:t>
      </w:r>
      <w:proofErr w:type="spellStart"/>
      <w:r w:rsidR="000B12ED" w:rsidRPr="00515348">
        <w:rPr>
          <w:lang w:eastAsia="ja-JP"/>
        </w:rPr>
        <w:t>IRDR</w:t>
      </w:r>
      <w:proofErr w:type="spellEnd"/>
      <w:r w:rsidR="000B12ED" w:rsidRPr="00515348">
        <w:rPr>
          <w:lang w:eastAsia="ja-JP"/>
        </w:rPr>
        <w:t xml:space="preserve">) para la radiodifusión de emergencia en las bandas de ondas </w:t>
      </w:r>
      <w:proofErr w:type="spellStart"/>
      <w:r w:rsidR="000B12ED" w:rsidRPr="00515348">
        <w:rPr>
          <w:lang w:eastAsia="ja-JP"/>
        </w:rPr>
        <w:t>decamétricas</w:t>
      </w:r>
      <w:proofErr w:type="spellEnd"/>
      <w:r w:rsidR="003C48D8" w:rsidRPr="00515348">
        <w:rPr>
          <w:lang w:eastAsia="ja-JP"/>
        </w:rPr>
        <w:t>»</w:t>
      </w:r>
    </w:p>
    <w:p w14:paraId="55D7E7A1" w14:textId="7EC3BCCA" w:rsidR="005F3B22" w:rsidRPr="00515348" w:rsidRDefault="005F3B22" w:rsidP="00F5438B">
      <w:pPr>
        <w:pStyle w:val="enumlev1"/>
      </w:pPr>
      <w:r w:rsidRPr="00515348">
        <w:rPr>
          <w:lang w:eastAsia="ja-JP"/>
        </w:rPr>
        <w:t>–</w:t>
      </w:r>
      <w:r w:rsidRPr="00515348">
        <w:tab/>
      </w:r>
      <w:proofErr w:type="spellStart"/>
      <w:r w:rsidRPr="00515348">
        <w:t>BS.2125</w:t>
      </w:r>
      <w:proofErr w:type="spellEnd"/>
      <w:r w:rsidRPr="00515348">
        <w:t xml:space="preserve">-1 </w:t>
      </w:r>
      <w:r w:rsidR="003C48D8" w:rsidRPr="00515348">
        <w:rPr>
          <w:lang w:eastAsia="ja-JP"/>
        </w:rPr>
        <w:t>«</w:t>
      </w:r>
      <w:r w:rsidR="000B12ED" w:rsidRPr="00515348">
        <w:t>Representación en serie del modelo de definición de audio</w:t>
      </w:r>
      <w:r w:rsidR="003C48D8" w:rsidRPr="00515348">
        <w:rPr>
          <w:lang w:eastAsia="ja-JP"/>
        </w:rPr>
        <w:t>»</w:t>
      </w:r>
    </w:p>
    <w:p w14:paraId="56DDF6B6" w14:textId="33B9577C" w:rsidR="005F3B22" w:rsidRPr="00515348" w:rsidRDefault="005F3B22" w:rsidP="00F5438B">
      <w:pPr>
        <w:pStyle w:val="enumlev1"/>
        <w:rPr>
          <w:lang w:eastAsia="ja-JP"/>
        </w:rPr>
      </w:pPr>
      <w:r w:rsidRPr="00515348">
        <w:rPr>
          <w:lang w:eastAsia="ja-JP"/>
        </w:rPr>
        <w:t>–</w:t>
      </w:r>
      <w:r w:rsidRPr="00515348">
        <w:tab/>
      </w:r>
      <w:proofErr w:type="spellStart"/>
      <w:r w:rsidRPr="00515348">
        <w:t>BT.1790</w:t>
      </w:r>
      <w:proofErr w:type="spellEnd"/>
      <w:r w:rsidRPr="00515348">
        <w:t xml:space="preserve">-1 </w:t>
      </w:r>
      <w:r w:rsidR="003C48D8" w:rsidRPr="00515348">
        <w:rPr>
          <w:lang w:eastAsia="ja-JP"/>
        </w:rPr>
        <w:t>«</w:t>
      </w:r>
      <w:r w:rsidR="000B12ED" w:rsidRPr="00515348">
        <w:t>Requisitos para la supervisión de las cadenas de radiodifusión durante el funcionamiento</w:t>
      </w:r>
      <w:r w:rsidR="003C48D8" w:rsidRPr="00515348">
        <w:rPr>
          <w:lang w:eastAsia="ja-JP"/>
        </w:rPr>
        <w:t>»</w:t>
      </w:r>
    </w:p>
    <w:p w14:paraId="1C4E9230" w14:textId="7855562A" w:rsidR="005F3B22" w:rsidRPr="00515348" w:rsidRDefault="005F3B22" w:rsidP="00F5438B">
      <w:pPr>
        <w:pStyle w:val="enumlev1"/>
      </w:pPr>
      <w:r w:rsidRPr="00515348">
        <w:rPr>
          <w:lang w:eastAsia="ja-JP"/>
        </w:rPr>
        <w:t>–</w:t>
      </w:r>
      <w:r w:rsidRPr="00515348">
        <w:tab/>
      </w:r>
      <w:proofErr w:type="spellStart"/>
      <w:r w:rsidRPr="00515348">
        <w:t>BT.1833</w:t>
      </w:r>
      <w:proofErr w:type="spellEnd"/>
      <w:r w:rsidRPr="00515348">
        <w:t xml:space="preserve">-4 </w:t>
      </w:r>
      <w:r w:rsidR="003C48D8" w:rsidRPr="00515348">
        <w:rPr>
          <w:lang w:eastAsia="ja-JP"/>
        </w:rPr>
        <w:t>«</w:t>
      </w:r>
      <w:r w:rsidR="000B12ED" w:rsidRPr="00515348">
        <w:t>Radiodifusión de aplicaciones multimedios y de datos para recepción móvil mediante receptores de bolsillo</w:t>
      </w:r>
      <w:r w:rsidR="003C48D8" w:rsidRPr="00515348">
        <w:rPr>
          <w:lang w:eastAsia="ja-JP"/>
        </w:rPr>
        <w:t>»</w:t>
      </w:r>
    </w:p>
    <w:p w14:paraId="0D4B0EC3" w14:textId="70884AA7" w:rsidR="005F3B22" w:rsidRPr="00515348" w:rsidRDefault="005F3B22" w:rsidP="00F5438B">
      <w:pPr>
        <w:pStyle w:val="enumlev1"/>
      </w:pPr>
      <w:bookmarkStart w:id="27" w:name="_Hlk128571474"/>
      <w:r w:rsidRPr="00515348">
        <w:rPr>
          <w:lang w:eastAsia="ja-JP"/>
        </w:rPr>
        <w:t>–</w:t>
      </w:r>
      <w:r w:rsidRPr="00515348">
        <w:tab/>
      </w:r>
      <w:proofErr w:type="spellStart"/>
      <w:r w:rsidRPr="00515348">
        <w:t>BT.2016</w:t>
      </w:r>
      <w:proofErr w:type="spellEnd"/>
      <w:r w:rsidRPr="00515348">
        <w:t xml:space="preserve">-3 </w:t>
      </w:r>
      <w:r w:rsidR="003C48D8" w:rsidRPr="00515348">
        <w:rPr>
          <w:lang w:eastAsia="ja-JP"/>
        </w:rPr>
        <w:t>«</w:t>
      </w:r>
      <w:r w:rsidR="000B12ED" w:rsidRPr="00515348">
        <w:rPr>
          <w:lang w:eastAsia="ja-JP"/>
        </w:rPr>
        <w:t>Métodos de corrección de errores, configuración de la trama de datos, modulación y emisión para la radiodifusión terrenal de multimedios a efectos de la recepción móvil mediante receptores manuales en las bandas de ondas métricas/</w:t>
      </w:r>
      <w:proofErr w:type="spellStart"/>
      <w:r w:rsidR="000B12ED" w:rsidRPr="00515348">
        <w:rPr>
          <w:lang w:eastAsia="ja-JP"/>
        </w:rPr>
        <w:t>decimétricas</w:t>
      </w:r>
      <w:proofErr w:type="spellEnd"/>
      <w:r w:rsidR="003C48D8" w:rsidRPr="00515348">
        <w:rPr>
          <w:lang w:eastAsia="ja-JP"/>
        </w:rPr>
        <w:t>»</w:t>
      </w:r>
    </w:p>
    <w:bookmarkEnd w:id="27"/>
    <w:p w14:paraId="138201B8" w14:textId="4B47AE21" w:rsidR="005F3B22" w:rsidRPr="00515348" w:rsidRDefault="005F3B22" w:rsidP="00F5438B">
      <w:pPr>
        <w:pStyle w:val="enumlev1"/>
      </w:pPr>
      <w:r w:rsidRPr="00515348">
        <w:rPr>
          <w:lang w:eastAsia="ja-JP"/>
        </w:rPr>
        <w:t>–</w:t>
      </w:r>
      <w:r w:rsidRPr="00515348">
        <w:tab/>
      </w:r>
      <w:proofErr w:type="spellStart"/>
      <w:r w:rsidRPr="00515348">
        <w:t>BT.2144</w:t>
      </w:r>
      <w:proofErr w:type="spellEnd"/>
      <w:r w:rsidRPr="00515348">
        <w:t xml:space="preserve">-0 </w:t>
      </w:r>
      <w:r w:rsidR="003C48D8" w:rsidRPr="00515348">
        <w:rPr>
          <w:lang w:eastAsia="ja-JP"/>
        </w:rPr>
        <w:t>«</w:t>
      </w:r>
      <w:r w:rsidR="000B12ED" w:rsidRPr="00515348">
        <w:t>Directrices para la introducción de nuevos sistemas, tecnologías y aplicaciones de radiodifusión de televisión digital terrenal (</w:t>
      </w:r>
      <w:proofErr w:type="spellStart"/>
      <w:r w:rsidR="000B12ED" w:rsidRPr="00515348">
        <w:t>DTTB</w:t>
      </w:r>
      <w:proofErr w:type="spellEnd"/>
      <w:r w:rsidR="000B12ED" w:rsidRPr="00515348">
        <w:t>) en el servicio de radiodifusión</w:t>
      </w:r>
      <w:r w:rsidR="00E04501">
        <w:rPr>
          <w:lang w:eastAsia="ja-JP"/>
        </w:rPr>
        <w:t xml:space="preserve">»  </w:t>
      </w:r>
    </w:p>
    <w:p w14:paraId="7D88B021" w14:textId="4B7E10A8" w:rsidR="005F3B22" w:rsidRPr="00515348" w:rsidRDefault="005F3B22" w:rsidP="00F5438B">
      <w:pPr>
        <w:pStyle w:val="enumlev1"/>
      </w:pPr>
      <w:r w:rsidRPr="00515348">
        <w:rPr>
          <w:lang w:eastAsia="ja-JP"/>
        </w:rPr>
        <w:t>–</w:t>
      </w:r>
      <w:r w:rsidRPr="00515348">
        <w:tab/>
      </w:r>
      <w:proofErr w:type="spellStart"/>
      <w:r w:rsidRPr="00515348">
        <w:t>BT.2153</w:t>
      </w:r>
      <w:proofErr w:type="spellEnd"/>
      <w:r w:rsidRPr="00515348">
        <w:t xml:space="preserve">-0 </w:t>
      </w:r>
      <w:r w:rsidR="003C48D8" w:rsidRPr="00515348">
        <w:rPr>
          <w:lang w:eastAsia="ja-JP"/>
        </w:rPr>
        <w:t>«</w:t>
      </w:r>
      <w:r w:rsidR="000B12ED" w:rsidRPr="00515348">
        <w:t>Utilización de los flujos de trabajo por componentes en el intercambio de programas de televisión en diferido</w:t>
      </w:r>
      <w:r w:rsidR="003C48D8" w:rsidRPr="00515348">
        <w:rPr>
          <w:lang w:eastAsia="ja-JP"/>
        </w:rPr>
        <w:t>»</w:t>
      </w:r>
    </w:p>
    <w:p w14:paraId="7FD9DC58" w14:textId="405DC99B" w:rsidR="005F3B22" w:rsidRPr="00515348" w:rsidRDefault="005F3B22" w:rsidP="00F5438B">
      <w:pPr>
        <w:pStyle w:val="enumlev1"/>
        <w:rPr>
          <w:lang w:eastAsia="ja-JP"/>
        </w:rPr>
      </w:pPr>
      <w:r w:rsidRPr="00515348">
        <w:rPr>
          <w:lang w:eastAsia="ja-JP"/>
        </w:rPr>
        <w:t>–</w:t>
      </w:r>
      <w:r w:rsidRPr="00515348">
        <w:tab/>
      </w:r>
      <w:proofErr w:type="spellStart"/>
      <w:r w:rsidRPr="00515348">
        <w:t>BT.2154</w:t>
      </w:r>
      <w:proofErr w:type="spellEnd"/>
      <w:r w:rsidRPr="00515348">
        <w:t xml:space="preserve">-0 </w:t>
      </w:r>
      <w:r w:rsidR="003C48D8" w:rsidRPr="00515348">
        <w:rPr>
          <w:lang w:eastAsia="ja-JP"/>
        </w:rPr>
        <w:t>«</w:t>
      </w:r>
      <w:r w:rsidR="000B12ED" w:rsidRPr="00515348">
        <w:t>Arquitectura de sistema de alto nivel para la presentación de vídeo inmersivo en diversos tipos de dispositivos de visualización</w:t>
      </w:r>
      <w:r w:rsidR="003C48D8" w:rsidRPr="00515348">
        <w:rPr>
          <w:lang w:eastAsia="ja-JP"/>
        </w:rPr>
        <w:t>»</w:t>
      </w:r>
      <w:r w:rsidR="00F5438B" w:rsidRPr="00515348">
        <w:rPr>
          <w:lang w:eastAsia="ja-JP"/>
        </w:rPr>
        <w:t>.</w:t>
      </w:r>
    </w:p>
    <w:p w14:paraId="1F2E1596" w14:textId="77777777" w:rsidR="005A715D" w:rsidRPr="00515348" w:rsidRDefault="005A715D" w:rsidP="005A715D">
      <w:pPr>
        <w:pStyle w:val="Headingb"/>
      </w:pPr>
      <w:r w:rsidRPr="00515348">
        <w:t>Informes UIT-R:</w:t>
      </w:r>
    </w:p>
    <w:p w14:paraId="638829AC" w14:textId="647E1B6E" w:rsidR="005F3B22" w:rsidRPr="00515348" w:rsidRDefault="005F3B22" w:rsidP="00F5438B">
      <w:pPr>
        <w:pStyle w:val="enumlev1"/>
      </w:pPr>
      <w:bookmarkStart w:id="28" w:name="lt_pId387"/>
      <w:bookmarkStart w:id="29" w:name="_Hlk35349188"/>
      <w:r w:rsidRPr="00515348">
        <w:t>–</w:t>
      </w:r>
      <w:r w:rsidRPr="00515348">
        <w:tab/>
      </w:r>
      <w:proofErr w:type="spellStart"/>
      <w:r w:rsidRPr="00515348">
        <w:t>BS.2159</w:t>
      </w:r>
      <w:proofErr w:type="spellEnd"/>
      <w:r w:rsidRPr="00515348">
        <w:t xml:space="preserve">-9 </w:t>
      </w:r>
      <w:r w:rsidR="003C48D8" w:rsidRPr="00515348">
        <w:t>«</w:t>
      </w:r>
      <w:r w:rsidR="000B12ED" w:rsidRPr="00515348">
        <w:t>Tecnología de sonido multicanal en aplicaciones domésticas y de radiodifusión</w:t>
      </w:r>
      <w:r w:rsidR="003C48D8" w:rsidRPr="00515348">
        <w:t>»</w:t>
      </w:r>
    </w:p>
    <w:p w14:paraId="79B39FB2" w14:textId="764993CC" w:rsidR="005F3B22" w:rsidRPr="00515348" w:rsidRDefault="005F3B22" w:rsidP="00F5438B">
      <w:pPr>
        <w:pStyle w:val="enumlev1"/>
        <w:rPr>
          <w:lang w:eastAsia="ja-JP"/>
        </w:rPr>
      </w:pPr>
      <w:r w:rsidRPr="00515348">
        <w:t>–</w:t>
      </w:r>
      <w:r w:rsidRPr="00515348">
        <w:tab/>
      </w:r>
      <w:proofErr w:type="spellStart"/>
      <w:r w:rsidRPr="00515348">
        <w:t>BS.2214</w:t>
      </w:r>
      <w:proofErr w:type="spellEnd"/>
      <w:r w:rsidRPr="00515348">
        <w:t xml:space="preserve">-6 </w:t>
      </w:r>
      <w:r w:rsidR="003C48D8" w:rsidRPr="00515348">
        <w:t>«</w:t>
      </w:r>
      <w:r w:rsidR="000B12ED" w:rsidRPr="00515348">
        <w:t>Parámetros de planificación para los sistemas de radiodifusión sonora digital terrenal en bandas de ondas métricas</w:t>
      </w:r>
      <w:r w:rsidR="003C48D8" w:rsidRPr="00515348">
        <w:t>»</w:t>
      </w:r>
    </w:p>
    <w:p w14:paraId="7B02654C" w14:textId="4C692BE6" w:rsidR="005F3B22" w:rsidRPr="00515348" w:rsidRDefault="005F3B22" w:rsidP="00F5438B">
      <w:pPr>
        <w:pStyle w:val="enumlev1"/>
        <w:rPr>
          <w:lang w:eastAsia="ja-JP"/>
        </w:rPr>
      </w:pPr>
      <w:r w:rsidRPr="00515348">
        <w:lastRenderedPageBreak/>
        <w:t>–</w:t>
      </w:r>
      <w:r w:rsidRPr="00515348">
        <w:tab/>
      </w:r>
      <w:proofErr w:type="spellStart"/>
      <w:r w:rsidRPr="00515348">
        <w:rPr>
          <w:lang w:eastAsia="ja-JP"/>
        </w:rPr>
        <w:t>BS.2388</w:t>
      </w:r>
      <w:proofErr w:type="spellEnd"/>
      <w:r w:rsidRPr="00515348">
        <w:rPr>
          <w:lang w:eastAsia="ja-JP"/>
        </w:rPr>
        <w:t xml:space="preserve">-4 </w:t>
      </w:r>
      <w:r w:rsidR="003C48D8" w:rsidRPr="00515348">
        <w:t>«</w:t>
      </w:r>
      <w:r w:rsidR="000B12ED" w:rsidRPr="00515348">
        <w:rPr>
          <w:lang w:eastAsia="ja-JP"/>
        </w:rPr>
        <w:t>Directrices de utilización del modelo de definición de audio y de los ficheros de audio de canales múltiples</w:t>
      </w:r>
      <w:r w:rsidR="003C48D8" w:rsidRPr="00515348">
        <w:t>»</w:t>
      </w:r>
    </w:p>
    <w:p w14:paraId="25F51BB5" w14:textId="3C5BC511" w:rsidR="005F3B22" w:rsidRPr="00515348" w:rsidRDefault="005F3B22" w:rsidP="00F5438B">
      <w:pPr>
        <w:pStyle w:val="enumlev1"/>
        <w:rPr>
          <w:lang w:eastAsia="ja-JP"/>
        </w:rPr>
      </w:pPr>
      <w:r w:rsidRPr="00515348">
        <w:t>–</w:t>
      </w:r>
      <w:r w:rsidRPr="00515348">
        <w:tab/>
      </w:r>
      <w:proofErr w:type="spellStart"/>
      <w:r w:rsidRPr="00515348">
        <w:rPr>
          <w:lang w:eastAsia="ja-JP"/>
        </w:rPr>
        <w:t>BS.2466</w:t>
      </w:r>
      <w:proofErr w:type="spellEnd"/>
      <w:r w:rsidRPr="00515348">
        <w:rPr>
          <w:lang w:eastAsia="ja-JP"/>
        </w:rPr>
        <w:t xml:space="preserve">-1 </w:t>
      </w:r>
      <w:r w:rsidR="003C48D8" w:rsidRPr="00515348">
        <w:t>«</w:t>
      </w:r>
      <w:r w:rsidR="000B12ED" w:rsidRPr="00515348">
        <w:rPr>
          <w:lang w:eastAsia="ja-JP"/>
        </w:rPr>
        <w:t>Directrices para la utilización del reproductor ADM del UIT-R</w:t>
      </w:r>
      <w:r w:rsidR="003C48D8" w:rsidRPr="00515348">
        <w:rPr>
          <w:lang w:eastAsia="ja-JP"/>
        </w:rPr>
        <w:t>»</w:t>
      </w:r>
    </w:p>
    <w:p w14:paraId="4734B569" w14:textId="583CA6A4" w:rsidR="005F3B22" w:rsidRPr="00515348" w:rsidRDefault="005F3B22" w:rsidP="00F5438B">
      <w:pPr>
        <w:pStyle w:val="enumlev1"/>
      </w:pPr>
      <w:r w:rsidRPr="00515348">
        <w:t>–</w:t>
      </w:r>
      <w:r w:rsidRPr="00515348">
        <w:tab/>
      </w:r>
      <w:proofErr w:type="spellStart"/>
      <w:r w:rsidRPr="00515348">
        <w:t>BS.2502</w:t>
      </w:r>
      <w:proofErr w:type="spellEnd"/>
      <w:r w:rsidRPr="00515348">
        <w:t xml:space="preserve">-0 </w:t>
      </w:r>
      <w:r w:rsidR="003C48D8" w:rsidRPr="00515348">
        <w:t>«</w:t>
      </w:r>
      <w:r w:rsidR="00437136" w:rsidRPr="00515348">
        <w:t>Técnicas de medición del alcance de la cobertura de la radiodifusión de audio digital</w:t>
      </w:r>
      <w:r w:rsidR="003C48D8" w:rsidRPr="00515348">
        <w:t>»</w:t>
      </w:r>
    </w:p>
    <w:p w14:paraId="4C2061FF" w14:textId="7076EDDD" w:rsidR="005F3B22" w:rsidRPr="00515348" w:rsidRDefault="005F3B22" w:rsidP="00F5438B">
      <w:pPr>
        <w:pStyle w:val="enumlev1"/>
        <w:rPr>
          <w:lang w:eastAsia="ja-JP"/>
        </w:rPr>
      </w:pPr>
      <w:r w:rsidRPr="00515348">
        <w:t>–</w:t>
      </w:r>
      <w:r w:rsidRPr="00515348">
        <w:tab/>
      </w:r>
      <w:proofErr w:type="spellStart"/>
      <w:r w:rsidRPr="00515348">
        <w:t>BS.2503</w:t>
      </w:r>
      <w:proofErr w:type="spellEnd"/>
      <w:r w:rsidRPr="00515348">
        <w:t xml:space="preserve">-0 </w:t>
      </w:r>
      <w:r w:rsidR="003C48D8" w:rsidRPr="00515348">
        <w:t>«</w:t>
      </w:r>
      <w:r w:rsidR="00437136" w:rsidRPr="00515348">
        <w:t xml:space="preserve">Sistemas de transmisión sonora digital por canal dentro de banda </w:t>
      </w:r>
      <w:r w:rsidRPr="00515348">
        <w:t>(S</w:t>
      </w:r>
      <w:r w:rsidR="00437136" w:rsidRPr="00515348">
        <w:t>i</w:t>
      </w:r>
      <w:r w:rsidRPr="00515348">
        <w:t>stem</w:t>
      </w:r>
      <w:r w:rsidR="00437136" w:rsidRPr="00515348">
        <w:t>a</w:t>
      </w:r>
      <w:r w:rsidRPr="00515348">
        <w:t xml:space="preserve"> C):</w:t>
      </w:r>
      <w:r w:rsidRPr="00515348">
        <w:rPr>
          <w:lang w:eastAsia="ja-JP"/>
        </w:rPr>
        <w:t xml:space="preserve"> </w:t>
      </w:r>
      <w:r w:rsidR="00437136" w:rsidRPr="00515348">
        <w:rPr>
          <w:lang w:eastAsia="ja-JP"/>
        </w:rPr>
        <w:t>Consideraciones</w:t>
      </w:r>
      <w:r w:rsidRPr="00515348">
        <w:rPr>
          <w:lang w:eastAsia="ja-JP"/>
        </w:rPr>
        <w:t xml:space="preserve"> </w:t>
      </w:r>
      <w:r w:rsidR="00437136" w:rsidRPr="00515348">
        <w:rPr>
          <w:lang w:eastAsia="ja-JP"/>
        </w:rPr>
        <w:t>para las instalaciones operativas</w:t>
      </w:r>
      <w:r w:rsidR="003C48D8" w:rsidRPr="00515348">
        <w:t>»</w:t>
      </w:r>
    </w:p>
    <w:p w14:paraId="115C6036" w14:textId="40AD8828" w:rsidR="005F3B22" w:rsidRPr="00515348" w:rsidRDefault="005F3B22" w:rsidP="00F5438B">
      <w:pPr>
        <w:pStyle w:val="enumlev1"/>
        <w:rPr>
          <w:lang w:eastAsia="ja-JP"/>
        </w:rPr>
      </w:pPr>
      <w:r w:rsidRPr="00515348">
        <w:t>–</w:t>
      </w:r>
      <w:r w:rsidRPr="00515348">
        <w:tab/>
      </w:r>
      <w:proofErr w:type="spellStart"/>
      <w:r w:rsidRPr="00515348">
        <w:rPr>
          <w:lang w:eastAsia="ja-JP"/>
        </w:rPr>
        <w:t>BT.2049</w:t>
      </w:r>
      <w:proofErr w:type="spellEnd"/>
      <w:r w:rsidRPr="00515348">
        <w:rPr>
          <w:lang w:eastAsia="ja-JP"/>
        </w:rPr>
        <w:t xml:space="preserve">-8 </w:t>
      </w:r>
      <w:r w:rsidR="003C48D8" w:rsidRPr="00515348">
        <w:t>«</w:t>
      </w:r>
      <w:r w:rsidR="00437136" w:rsidRPr="00515348">
        <w:rPr>
          <w:lang w:eastAsia="ja-JP"/>
        </w:rPr>
        <w:t>Radiodifusión de aplicaciones multimedios y de datos para recepción móvil</w:t>
      </w:r>
      <w:r w:rsidR="003C48D8" w:rsidRPr="00515348">
        <w:rPr>
          <w:lang w:eastAsia="ja-JP"/>
        </w:rPr>
        <w:t>»</w:t>
      </w:r>
    </w:p>
    <w:p w14:paraId="1FE3B2AA" w14:textId="23311BC0" w:rsidR="005F3B22" w:rsidRPr="00515348" w:rsidRDefault="005F3B22" w:rsidP="00F5438B">
      <w:pPr>
        <w:pStyle w:val="enumlev1"/>
        <w:rPr>
          <w:lang w:eastAsia="ja-JP"/>
        </w:rPr>
      </w:pPr>
      <w:r w:rsidRPr="00515348">
        <w:t>–</w:t>
      </w:r>
      <w:r w:rsidRPr="00515348">
        <w:tab/>
      </w:r>
      <w:proofErr w:type="spellStart"/>
      <w:r w:rsidRPr="00515348">
        <w:rPr>
          <w:lang w:eastAsia="ja-JP"/>
        </w:rPr>
        <w:t>BT.2207</w:t>
      </w:r>
      <w:proofErr w:type="spellEnd"/>
      <w:r w:rsidRPr="00515348">
        <w:rPr>
          <w:lang w:eastAsia="ja-JP"/>
        </w:rPr>
        <w:t xml:space="preserve">-6 </w:t>
      </w:r>
      <w:r w:rsidR="003C48D8" w:rsidRPr="00515348">
        <w:t>«</w:t>
      </w:r>
      <w:r w:rsidR="00437136" w:rsidRPr="00515348">
        <w:rPr>
          <w:lang w:eastAsia="ja-JP"/>
        </w:rPr>
        <w:t>Accesibilidad de personas con discapacidad a los servicios de radiodifusión</w:t>
      </w:r>
    </w:p>
    <w:p w14:paraId="7D49DC53" w14:textId="1BA562EF" w:rsidR="005F3B22" w:rsidRPr="00515348" w:rsidRDefault="005F3B22" w:rsidP="00F5438B">
      <w:pPr>
        <w:pStyle w:val="enumlev1"/>
        <w:rPr>
          <w:lang w:eastAsia="ja-JP"/>
        </w:rPr>
      </w:pPr>
      <w:r w:rsidRPr="00515348">
        <w:t>–</w:t>
      </w:r>
      <w:r w:rsidRPr="00515348">
        <w:tab/>
      </w:r>
      <w:proofErr w:type="spellStart"/>
      <w:r w:rsidRPr="00515348">
        <w:rPr>
          <w:lang w:eastAsia="ja-JP"/>
        </w:rPr>
        <w:t>BT.2245</w:t>
      </w:r>
      <w:proofErr w:type="spellEnd"/>
      <w:r w:rsidRPr="00515348">
        <w:rPr>
          <w:lang w:eastAsia="ja-JP"/>
        </w:rPr>
        <w:t xml:space="preserve">-10 </w:t>
      </w:r>
      <w:r w:rsidR="003C48D8" w:rsidRPr="00515348">
        <w:t>«</w:t>
      </w:r>
      <w:r w:rsidR="00BE5D5A" w:rsidRPr="00515348">
        <w:rPr>
          <w:lang w:eastAsia="ja-JP"/>
        </w:rPr>
        <w:t xml:space="preserve">Material de pruebas de la </w:t>
      </w:r>
      <w:proofErr w:type="spellStart"/>
      <w:r w:rsidR="00BE5D5A" w:rsidRPr="00515348">
        <w:rPr>
          <w:lang w:eastAsia="ja-JP"/>
        </w:rPr>
        <w:t>TVAD</w:t>
      </w:r>
      <w:proofErr w:type="spellEnd"/>
      <w:r w:rsidR="00BE5D5A" w:rsidRPr="00515348">
        <w:rPr>
          <w:lang w:eastAsia="ja-JP"/>
        </w:rPr>
        <w:t xml:space="preserve"> y la </w:t>
      </w:r>
      <w:proofErr w:type="spellStart"/>
      <w:r w:rsidR="00BE5D5A" w:rsidRPr="00515348">
        <w:rPr>
          <w:lang w:eastAsia="ja-JP"/>
        </w:rPr>
        <w:t>TVUAD</w:t>
      </w:r>
      <w:proofErr w:type="spellEnd"/>
      <w:r w:rsidR="00BE5D5A" w:rsidRPr="00515348">
        <w:rPr>
          <w:lang w:eastAsia="ja-JP"/>
        </w:rPr>
        <w:t xml:space="preserve"> para la evaluación de la calidad de la imagen</w:t>
      </w:r>
      <w:r w:rsidR="003C48D8" w:rsidRPr="00515348">
        <w:t>»</w:t>
      </w:r>
    </w:p>
    <w:p w14:paraId="159661AD" w14:textId="1F35F719" w:rsidR="005F3B22" w:rsidRPr="00515348" w:rsidRDefault="005F3B22" w:rsidP="00F5438B">
      <w:pPr>
        <w:pStyle w:val="enumlev1"/>
        <w:rPr>
          <w:lang w:eastAsia="ja-JP"/>
        </w:rPr>
      </w:pPr>
      <w:r w:rsidRPr="00515348">
        <w:t>–</w:t>
      </w:r>
      <w:r w:rsidRPr="00515348">
        <w:tab/>
      </w:r>
      <w:proofErr w:type="spellStart"/>
      <w:r w:rsidRPr="00515348">
        <w:rPr>
          <w:lang w:eastAsia="ja-JP"/>
        </w:rPr>
        <w:t>BT.2295</w:t>
      </w:r>
      <w:proofErr w:type="spellEnd"/>
      <w:r w:rsidRPr="00515348">
        <w:rPr>
          <w:lang w:eastAsia="ja-JP"/>
        </w:rPr>
        <w:t xml:space="preserve">-4 </w:t>
      </w:r>
      <w:r w:rsidR="003C48D8" w:rsidRPr="00515348">
        <w:t>«</w:t>
      </w:r>
      <w:r w:rsidR="00BE5D5A" w:rsidRPr="00515348">
        <w:rPr>
          <w:lang w:eastAsia="ja-JP"/>
        </w:rPr>
        <w:t xml:space="preserve">Sistemas de </w:t>
      </w:r>
      <w:r w:rsidR="00305236" w:rsidRPr="00515348">
        <w:rPr>
          <w:lang w:eastAsia="ja-JP"/>
        </w:rPr>
        <w:t>radiodifusión</w:t>
      </w:r>
      <w:r w:rsidR="00BE5D5A" w:rsidRPr="00515348">
        <w:rPr>
          <w:lang w:eastAsia="ja-JP"/>
        </w:rPr>
        <w:t xml:space="preserve"> digital terrenal</w:t>
      </w:r>
      <w:r w:rsidR="003C48D8" w:rsidRPr="00515348">
        <w:t>»</w:t>
      </w:r>
    </w:p>
    <w:p w14:paraId="452DF7B3" w14:textId="06790DD1" w:rsidR="005F3B22" w:rsidRPr="00515348" w:rsidRDefault="005F3B22" w:rsidP="00F5438B">
      <w:pPr>
        <w:pStyle w:val="enumlev1"/>
      </w:pPr>
      <w:r w:rsidRPr="00515348">
        <w:t>–</w:t>
      </w:r>
      <w:r w:rsidRPr="00515348">
        <w:tab/>
      </w:r>
      <w:proofErr w:type="spellStart"/>
      <w:r w:rsidRPr="00515348">
        <w:t>BT.2299</w:t>
      </w:r>
      <w:proofErr w:type="spellEnd"/>
      <w:r w:rsidRPr="00515348">
        <w:t xml:space="preserve">-3 </w:t>
      </w:r>
      <w:r w:rsidR="003C48D8" w:rsidRPr="00515348">
        <w:t>«</w:t>
      </w:r>
      <w:r w:rsidR="00BE5D5A" w:rsidRPr="00515348">
        <w:t>Radiodifusión para la alerta pública, la mitigación de los efectos de las catástrofes y las operaciones de socorro</w:t>
      </w:r>
      <w:r w:rsidR="003C48D8" w:rsidRPr="00515348">
        <w:t>»</w:t>
      </w:r>
    </w:p>
    <w:p w14:paraId="0F845D4E" w14:textId="2BFA6A62" w:rsidR="005F3B22" w:rsidRPr="00515348" w:rsidRDefault="005F3B22" w:rsidP="00F5438B">
      <w:pPr>
        <w:pStyle w:val="enumlev1"/>
        <w:rPr>
          <w:lang w:eastAsia="ja-JP"/>
        </w:rPr>
      </w:pPr>
      <w:r w:rsidRPr="00515348">
        <w:t>–</w:t>
      </w:r>
      <w:r w:rsidRPr="00515348">
        <w:tab/>
      </w:r>
      <w:proofErr w:type="spellStart"/>
      <w:r w:rsidRPr="00515348">
        <w:t>BT.2301</w:t>
      </w:r>
      <w:proofErr w:type="spellEnd"/>
      <w:r w:rsidRPr="00515348">
        <w:t xml:space="preserve">-4 </w:t>
      </w:r>
      <w:r w:rsidR="003C48D8" w:rsidRPr="00515348">
        <w:t>«</w:t>
      </w:r>
      <w:r w:rsidR="00BE5D5A" w:rsidRPr="00515348">
        <w:t xml:space="preserve">Informes nacionales sobre el terreno sobre la introducción de las IMT en las bandas con atribución a título </w:t>
      </w:r>
      <w:proofErr w:type="spellStart"/>
      <w:r w:rsidR="00BE5D5A" w:rsidRPr="00515348">
        <w:t>coprimario</w:t>
      </w:r>
      <w:proofErr w:type="spellEnd"/>
      <w:r w:rsidR="00BE5D5A" w:rsidRPr="00515348">
        <w:t xml:space="preserve"> a los servicios de radiodifusión y móvil</w:t>
      </w:r>
      <w:r w:rsidR="003C48D8" w:rsidRPr="00515348">
        <w:t>»</w:t>
      </w:r>
    </w:p>
    <w:p w14:paraId="63FC338E" w14:textId="0362F8A1" w:rsidR="005F3B22" w:rsidRPr="00515348" w:rsidRDefault="005F3B22" w:rsidP="00F5438B">
      <w:pPr>
        <w:pStyle w:val="enumlev1"/>
        <w:rPr>
          <w:lang w:eastAsia="ja-JP"/>
        </w:rPr>
      </w:pPr>
      <w:r w:rsidRPr="00515348">
        <w:t>–</w:t>
      </w:r>
      <w:r w:rsidRPr="00515348">
        <w:tab/>
      </w:r>
      <w:proofErr w:type="spellStart"/>
      <w:r w:rsidRPr="00515348">
        <w:rPr>
          <w:lang w:eastAsia="ja-JP"/>
        </w:rPr>
        <w:t>BT.2383</w:t>
      </w:r>
      <w:proofErr w:type="spellEnd"/>
      <w:r w:rsidRPr="00515348">
        <w:rPr>
          <w:lang w:eastAsia="ja-JP"/>
        </w:rPr>
        <w:t xml:space="preserve">-4 </w:t>
      </w:r>
      <w:r w:rsidR="003C48D8" w:rsidRPr="00515348">
        <w:t>«</w:t>
      </w:r>
      <w:r w:rsidR="00BE5D5A" w:rsidRPr="00515348">
        <w:rPr>
          <w:lang w:eastAsia="ja-JP"/>
        </w:rPr>
        <w:t>Características típicas de la compartición de frecuencias de los sistemas de radiodifusión de televisión digital terrenal en la banda de frecuencias 470-862 MHz</w:t>
      </w:r>
      <w:r w:rsidR="003C48D8" w:rsidRPr="00515348">
        <w:t>»</w:t>
      </w:r>
    </w:p>
    <w:p w14:paraId="5D52AD98" w14:textId="3226E397" w:rsidR="005F3B22" w:rsidRPr="00515348" w:rsidRDefault="005F3B22" w:rsidP="00F5438B">
      <w:pPr>
        <w:pStyle w:val="enumlev1"/>
      </w:pPr>
      <w:r w:rsidRPr="00515348">
        <w:t>–</w:t>
      </w:r>
      <w:r w:rsidRPr="00515348">
        <w:tab/>
      </w:r>
      <w:proofErr w:type="spellStart"/>
      <w:r w:rsidRPr="00515348">
        <w:t>BT.2385</w:t>
      </w:r>
      <w:proofErr w:type="spellEnd"/>
      <w:r w:rsidRPr="00515348">
        <w:t xml:space="preserve">-1 </w:t>
      </w:r>
      <w:r w:rsidR="003C48D8" w:rsidRPr="00515348">
        <w:t>«</w:t>
      </w:r>
      <w:r w:rsidR="00BE5D5A" w:rsidRPr="00515348">
        <w:t>Reducción del impacto medioambiental de los sistemas de radiodifusión terrenal</w:t>
      </w:r>
      <w:r w:rsidR="003C48D8" w:rsidRPr="00515348">
        <w:t>»</w:t>
      </w:r>
    </w:p>
    <w:p w14:paraId="47DA8659" w14:textId="2E6889C9" w:rsidR="005F3B22" w:rsidRPr="00515348" w:rsidRDefault="005F3B22" w:rsidP="00F5438B">
      <w:pPr>
        <w:pStyle w:val="enumlev1"/>
      </w:pPr>
      <w:r w:rsidRPr="00515348">
        <w:t>–</w:t>
      </w:r>
      <w:r w:rsidRPr="00515348">
        <w:tab/>
      </w:r>
      <w:proofErr w:type="spellStart"/>
      <w:r w:rsidRPr="00515348">
        <w:t>BT.2408</w:t>
      </w:r>
      <w:proofErr w:type="spellEnd"/>
      <w:r w:rsidRPr="00515348">
        <w:t xml:space="preserve">-5 </w:t>
      </w:r>
      <w:r w:rsidR="003C48D8" w:rsidRPr="00515348">
        <w:t>«</w:t>
      </w:r>
      <w:r w:rsidR="00A5577A" w:rsidRPr="00515348">
        <w:t xml:space="preserve">Orientaciones de prácticas operativas en la producción de televisión </w:t>
      </w:r>
      <w:proofErr w:type="spellStart"/>
      <w:r w:rsidR="00A5577A" w:rsidRPr="00515348">
        <w:t>HDR</w:t>
      </w:r>
      <w:proofErr w:type="spellEnd"/>
      <w:r w:rsidR="003C48D8" w:rsidRPr="00515348">
        <w:t>»</w:t>
      </w:r>
    </w:p>
    <w:p w14:paraId="2560CDEA" w14:textId="2D17C683" w:rsidR="005F3B22" w:rsidRPr="00515348" w:rsidRDefault="005F3B22" w:rsidP="00F5438B">
      <w:pPr>
        <w:pStyle w:val="enumlev1"/>
      </w:pPr>
      <w:r w:rsidRPr="00515348">
        <w:t>–</w:t>
      </w:r>
      <w:r w:rsidRPr="00515348">
        <w:tab/>
      </w:r>
      <w:proofErr w:type="spellStart"/>
      <w:r w:rsidRPr="00515348">
        <w:t>BT.2420</w:t>
      </w:r>
      <w:proofErr w:type="spellEnd"/>
      <w:r w:rsidRPr="00515348">
        <w:t xml:space="preserve">-5 </w:t>
      </w:r>
      <w:r w:rsidR="003C48D8" w:rsidRPr="00515348">
        <w:t>«</w:t>
      </w:r>
      <w:r w:rsidR="00BE5D5A" w:rsidRPr="00515348">
        <w:t xml:space="preserve">Recopilación de casos de utilización de </w:t>
      </w:r>
      <w:r w:rsidR="00A5577A" w:rsidRPr="00515348">
        <w:t xml:space="preserve">los </w:t>
      </w:r>
      <w:r w:rsidR="00BE5D5A" w:rsidRPr="00515348">
        <w:t>sistemas de</w:t>
      </w:r>
      <w:r w:rsidRPr="00515348">
        <w:t xml:space="preserve"> </w:t>
      </w:r>
      <w:r w:rsidR="00BE5D5A" w:rsidRPr="00515348">
        <w:t>medios sensoriales de inmersión avanzados</w:t>
      </w:r>
      <w:r w:rsidR="003C48D8" w:rsidRPr="00515348">
        <w:t>»</w:t>
      </w:r>
    </w:p>
    <w:p w14:paraId="0DC84BB9" w14:textId="745291AB" w:rsidR="005F3B22" w:rsidRPr="00515348" w:rsidRDefault="005F3B22" w:rsidP="00F5438B">
      <w:pPr>
        <w:pStyle w:val="enumlev1"/>
        <w:rPr>
          <w:lang w:eastAsia="ja-JP"/>
        </w:rPr>
      </w:pPr>
      <w:r w:rsidRPr="00515348">
        <w:t>–</w:t>
      </w:r>
      <w:r w:rsidRPr="00515348">
        <w:tab/>
      </w:r>
      <w:proofErr w:type="spellStart"/>
      <w:r w:rsidRPr="00515348">
        <w:rPr>
          <w:lang w:eastAsia="ja-JP"/>
        </w:rPr>
        <w:t>BT.2485</w:t>
      </w:r>
      <w:proofErr w:type="spellEnd"/>
      <w:r w:rsidRPr="00515348">
        <w:rPr>
          <w:lang w:eastAsia="ja-JP"/>
        </w:rPr>
        <w:t xml:space="preserve">-1 </w:t>
      </w:r>
      <w:r w:rsidR="003C48D8" w:rsidRPr="00515348">
        <w:t>«</w:t>
      </w:r>
      <w:r w:rsidR="00BE5D5A" w:rsidRPr="00515348">
        <w:rPr>
          <w:lang w:eastAsia="ja-JP"/>
        </w:rPr>
        <w:t>Planificación avanzada de redes y métodos de transmisión para la mejora de la radiodifusión de televisión digital terrenal</w:t>
      </w:r>
      <w:r w:rsidR="003C48D8" w:rsidRPr="00515348">
        <w:t>»</w:t>
      </w:r>
    </w:p>
    <w:p w14:paraId="219507FF" w14:textId="0213AA36" w:rsidR="00BE5D5A" w:rsidRPr="00515348" w:rsidRDefault="005F3B22" w:rsidP="00F5438B">
      <w:pPr>
        <w:pStyle w:val="enumlev1"/>
      </w:pPr>
      <w:r w:rsidRPr="00515348">
        <w:t>–</w:t>
      </w:r>
      <w:r w:rsidRPr="00515348">
        <w:tab/>
      </w:r>
      <w:proofErr w:type="spellStart"/>
      <w:r w:rsidRPr="00515348">
        <w:rPr>
          <w:lang w:eastAsia="ja-JP"/>
        </w:rPr>
        <w:t>BT.2506</w:t>
      </w:r>
      <w:proofErr w:type="spellEnd"/>
      <w:r w:rsidRPr="00515348">
        <w:rPr>
          <w:lang w:eastAsia="ja-JP"/>
        </w:rPr>
        <w:t xml:space="preserve">-0 </w:t>
      </w:r>
      <w:r w:rsidR="003C48D8" w:rsidRPr="00515348">
        <w:t>«</w:t>
      </w:r>
      <w:r w:rsidR="00BE5D5A" w:rsidRPr="00515348">
        <w:t>Requisitos de las características espaciales de un</w:t>
      </w:r>
      <w:r w:rsidR="00D01F6A" w:rsidRPr="00515348">
        <w:t xml:space="preserve"> sistema ideal de presentación montado en la cabeza </w:t>
      </w:r>
      <w:r w:rsidR="00D01F6A" w:rsidRPr="001B448D">
        <w:t xml:space="preserve">para </w:t>
      </w:r>
      <w:r w:rsidR="00515348" w:rsidRPr="001B448D">
        <w:t>vídeo</w:t>
      </w:r>
      <w:r w:rsidR="00D01F6A" w:rsidRPr="00515348">
        <w:t xml:space="preserve"> inmersivo</w:t>
      </w:r>
      <w:r w:rsidR="003C48D8" w:rsidRPr="00515348">
        <w:t>»</w:t>
      </w:r>
      <w:r w:rsidR="00D01F6A" w:rsidRPr="00515348">
        <w:t>.</w:t>
      </w:r>
    </w:p>
    <w:bookmarkEnd w:id="28"/>
    <w:p w14:paraId="21E14E2C" w14:textId="233C6724" w:rsidR="00D01F6A" w:rsidRPr="00515348" w:rsidRDefault="00D01F6A" w:rsidP="00812A93">
      <w:pPr>
        <w:rPr>
          <w:lang w:eastAsia="ja-JP"/>
        </w:rPr>
      </w:pPr>
      <w:r w:rsidRPr="00515348">
        <w:rPr>
          <w:lang w:eastAsia="ja-JP"/>
        </w:rPr>
        <w:t xml:space="preserve">El Grupo de Tareas Especiales 6/1 se reunió del 5 al 16 de septiembre de 2022 y finalizó el proyecto de Informe de la RPC en respuesta </w:t>
      </w:r>
      <w:r w:rsidR="00B844E7" w:rsidRPr="00515348">
        <w:rPr>
          <w:lang w:eastAsia="ja-JP"/>
        </w:rPr>
        <w:t>al punto</w:t>
      </w:r>
      <w:r w:rsidRPr="00515348">
        <w:rPr>
          <w:lang w:eastAsia="ja-JP"/>
        </w:rPr>
        <w:t xml:space="preserve"> 1.5 del orden del día de la </w:t>
      </w:r>
      <w:proofErr w:type="spellStart"/>
      <w:r w:rsidRPr="00515348">
        <w:rPr>
          <w:lang w:eastAsia="ja-JP"/>
        </w:rPr>
        <w:t>CMR</w:t>
      </w:r>
      <w:proofErr w:type="spellEnd"/>
      <w:r w:rsidRPr="00515348">
        <w:rPr>
          <w:lang w:eastAsia="ja-JP"/>
        </w:rPr>
        <w:t xml:space="preserve">-23 </w:t>
      </w:r>
      <w:r w:rsidR="00872B57" w:rsidRPr="00515348">
        <w:rPr>
          <w:lang w:eastAsia="ja-JP"/>
        </w:rPr>
        <w:t>antes de la fecha límite del</w:t>
      </w:r>
      <w:r w:rsidRPr="00515348">
        <w:rPr>
          <w:lang w:eastAsia="ja-JP"/>
        </w:rPr>
        <w:t xml:space="preserve"> 21 de octubre de 2022.</w:t>
      </w:r>
      <w:r w:rsidRPr="00515348">
        <w:t xml:space="preserve"> </w:t>
      </w:r>
      <w:r w:rsidRPr="00515348">
        <w:rPr>
          <w:lang w:eastAsia="ja-JP"/>
        </w:rPr>
        <w:t>Por tanto, en la reunión de septiembre de 2022, la CE 6 decidió disolver el Grupo de Tareas Especiales 6/1.</w:t>
      </w:r>
    </w:p>
    <w:p w14:paraId="3A4E1E0A" w14:textId="4C71082F" w:rsidR="005A715D" w:rsidRPr="00515348" w:rsidRDefault="005A715D" w:rsidP="00812A93">
      <w:pPr>
        <w:rPr>
          <w:lang w:eastAsia="ja-JP"/>
        </w:rPr>
      </w:pPr>
      <w:r w:rsidRPr="00515348">
        <w:rPr>
          <w:lang w:eastAsia="ja-JP"/>
        </w:rPr>
        <w:t xml:space="preserve">Las reuniones de la </w:t>
      </w:r>
      <w:r w:rsidR="00A5577A" w:rsidRPr="00515348">
        <w:rPr>
          <w:lang w:eastAsia="ja-JP"/>
        </w:rPr>
        <w:t xml:space="preserve">Comisión de </w:t>
      </w:r>
      <w:r w:rsidR="00F83D9C" w:rsidRPr="00515348">
        <w:rPr>
          <w:lang w:eastAsia="ja-JP"/>
        </w:rPr>
        <w:t>Estudio 6</w:t>
      </w:r>
      <w:r w:rsidRPr="00515348">
        <w:rPr>
          <w:lang w:eastAsia="ja-JP"/>
        </w:rPr>
        <w:t xml:space="preserve"> y sus GT </w:t>
      </w:r>
      <w:r w:rsidR="00D01F6A" w:rsidRPr="00515348">
        <w:rPr>
          <w:lang w:eastAsia="ja-JP"/>
        </w:rPr>
        <w:t>están previstas</w:t>
      </w:r>
      <w:r w:rsidRPr="00515348">
        <w:rPr>
          <w:lang w:eastAsia="ja-JP"/>
        </w:rPr>
        <w:t xml:space="preserve"> del </w:t>
      </w:r>
      <w:r w:rsidR="00D01F6A" w:rsidRPr="00515348">
        <w:rPr>
          <w:lang w:eastAsia="ja-JP"/>
        </w:rPr>
        <w:t>6</w:t>
      </w:r>
      <w:r w:rsidRPr="00515348">
        <w:rPr>
          <w:lang w:eastAsia="ja-JP"/>
        </w:rPr>
        <w:t xml:space="preserve"> al </w:t>
      </w:r>
      <w:r w:rsidR="00D01F6A" w:rsidRPr="00515348">
        <w:rPr>
          <w:lang w:eastAsia="ja-JP"/>
        </w:rPr>
        <w:t>17</w:t>
      </w:r>
      <w:r w:rsidRPr="00515348">
        <w:rPr>
          <w:lang w:eastAsia="ja-JP"/>
        </w:rPr>
        <w:t xml:space="preserve"> de marzo </w:t>
      </w:r>
      <w:r w:rsidR="00247FD1" w:rsidRPr="00515348">
        <w:rPr>
          <w:lang w:eastAsia="ja-JP"/>
        </w:rPr>
        <w:t xml:space="preserve">de </w:t>
      </w:r>
      <w:r w:rsidR="00D01F6A" w:rsidRPr="00515348">
        <w:rPr>
          <w:lang w:eastAsia="ja-JP"/>
        </w:rPr>
        <w:t>2023</w:t>
      </w:r>
      <w:r w:rsidRPr="00515348">
        <w:rPr>
          <w:lang w:eastAsia="ja-JP"/>
        </w:rPr>
        <w:t xml:space="preserve">. </w:t>
      </w:r>
      <w:r w:rsidR="00D01F6A" w:rsidRPr="00515348">
        <w:rPr>
          <w:lang w:eastAsia="ja-JP"/>
        </w:rPr>
        <w:t xml:space="preserve">Durante el bloque de reuniones de la CE 6 </w:t>
      </w:r>
      <w:r w:rsidR="00F869ED" w:rsidRPr="00515348">
        <w:rPr>
          <w:lang w:eastAsia="ja-JP"/>
        </w:rPr>
        <w:t xml:space="preserve">en marzo de 2023, se organizó un taller </w:t>
      </w:r>
      <w:r w:rsidR="003C48D8" w:rsidRPr="00515348">
        <w:rPr>
          <w:lang w:eastAsia="ja-JP"/>
        </w:rPr>
        <w:t>«</w:t>
      </w:r>
      <w:r w:rsidR="00F869ED" w:rsidRPr="00515348">
        <w:rPr>
          <w:lang w:eastAsia="ja-JP"/>
        </w:rPr>
        <w:t>Radiodifusión en tiempos de crisis</w:t>
      </w:r>
      <w:r w:rsidR="003C48D8" w:rsidRPr="00515348">
        <w:rPr>
          <w:lang w:eastAsia="ja-JP"/>
        </w:rPr>
        <w:t>»</w:t>
      </w:r>
      <w:r w:rsidR="00F869ED" w:rsidRPr="00515348">
        <w:rPr>
          <w:lang w:eastAsia="ja-JP"/>
        </w:rPr>
        <w:t xml:space="preserve"> así como demostraciones de tecnologías avanzadas de radiodifusión</w:t>
      </w:r>
      <w:r w:rsidRPr="00515348">
        <w:rPr>
          <w:lang w:eastAsia="ja-JP"/>
        </w:rPr>
        <w:t>.</w:t>
      </w:r>
    </w:p>
    <w:bookmarkEnd w:id="29"/>
    <w:p w14:paraId="61E32791" w14:textId="77777777" w:rsidR="005A715D" w:rsidRPr="00515348" w:rsidRDefault="005A715D" w:rsidP="00F5438B">
      <w:pPr>
        <w:pStyle w:val="Heading2"/>
      </w:pPr>
      <w:r w:rsidRPr="00515348">
        <w:t>6.6</w:t>
      </w:r>
      <w:r w:rsidRPr="00515348">
        <w:tab/>
      </w:r>
      <w:bookmarkStart w:id="30" w:name="lt_pId393"/>
      <w:r w:rsidRPr="00515348">
        <w:t>Comisión de Estudio 7</w:t>
      </w:r>
      <w:bookmarkEnd w:id="30"/>
    </w:p>
    <w:p w14:paraId="6271DFE2" w14:textId="3777FB75" w:rsidR="005A715D" w:rsidRPr="00515348" w:rsidRDefault="005A715D" w:rsidP="005A715D">
      <w:bookmarkStart w:id="31" w:name="lt_pId394"/>
      <w:r w:rsidRPr="00515348">
        <w:t xml:space="preserve">La </w:t>
      </w:r>
      <w:r w:rsidR="009D4FE4" w:rsidRPr="00515348">
        <w:t>Comisión de Estudio</w:t>
      </w:r>
      <w:r w:rsidRPr="00515348">
        <w:t xml:space="preserve"> 7 sigue elaborando Recomendaciones, Informes y Manuales del UIT-R utilizados para desarrollar y garantizar el funcionamiento sin interferencias de los sistemas para operaciones espaciales, investigación espacial, exploración de la Tierra y meteorología (incluida la utilización </w:t>
      </w:r>
      <w:r w:rsidR="00A5577A" w:rsidRPr="00515348">
        <w:t>asociada</w:t>
      </w:r>
      <w:r w:rsidRPr="00515348">
        <w:t xml:space="preserve"> de enlaces en el servicio entre satélites), la radioastro</w:t>
      </w:r>
      <w:r w:rsidR="007D27A3" w:rsidRPr="00515348">
        <w:t>nomía y la astronomía por radar; y para</w:t>
      </w:r>
      <w:r w:rsidRPr="00515348">
        <w:t xml:space="preserve"> la difusión, recepción y la coordinación de servicios de frecuencias patrón y señales horarias (incluida la aplicación de técnicas de satélite</w:t>
      </w:r>
      <w:r w:rsidR="00286571" w:rsidRPr="00515348">
        <w:t>s</w:t>
      </w:r>
      <w:r w:rsidRPr="00515348">
        <w:t>) a escala mundial.</w:t>
      </w:r>
    </w:p>
    <w:p w14:paraId="45A6C4C2" w14:textId="7B4F4BFA" w:rsidR="005A715D" w:rsidRPr="00515348" w:rsidRDefault="005A715D" w:rsidP="005A715D">
      <w:bookmarkStart w:id="32" w:name="lt_pId395"/>
      <w:bookmarkEnd w:id="31"/>
      <w:r w:rsidRPr="00515348">
        <w:t>Los sistemas vinculados con la CE</w:t>
      </w:r>
      <w:r w:rsidR="0007559C" w:rsidRPr="00515348">
        <w:t> </w:t>
      </w:r>
      <w:r w:rsidRPr="00515348">
        <w:t>7 se emplean en actividades que constituyen una parte crítica en nuestra vida cotidiana, tales como:</w:t>
      </w:r>
    </w:p>
    <w:p w14:paraId="7FD56F09" w14:textId="75D85ADC" w:rsidR="007D27A3" w:rsidRPr="00515348" w:rsidRDefault="005A715D" w:rsidP="005A715D">
      <w:pPr>
        <w:pStyle w:val="enumlev1"/>
      </w:pPr>
      <w:r w:rsidRPr="00515348">
        <w:lastRenderedPageBreak/>
        <w:t>–</w:t>
      </w:r>
      <w:r w:rsidRPr="00515348">
        <w:tab/>
      </w:r>
      <w:r w:rsidR="007D27A3" w:rsidRPr="00515348">
        <w:t>definición y difusión del tiempo universal coordinado</w:t>
      </w:r>
      <w:r w:rsidR="00A5577A" w:rsidRPr="00515348">
        <w:t>;</w:t>
      </w:r>
    </w:p>
    <w:p w14:paraId="29D71048" w14:textId="584C29EE" w:rsidR="005A715D" w:rsidRPr="00515348" w:rsidRDefault="007D27A3" w:rsidP="005A715D">
      <w:pPr>
        <w:pStyle w:val="enumlev1"/>
      </w:pPr>
      <w:r w:rsidRPr="00515348">
        <w:t>–</w:t>
      </w:r>
      <w:r w:rsidRPr="00515348">
        <w:tab/>
      </w:r>
      <w:r w:rsidR="005A715D" w:rsidRPr="00515348">
        <w:t>supervisión de medio ambiente a nivel mundial – la atmosfera (incluida la emisión de gases de efecto invernadero), los océanos, la superficie terrestre, la biomasa, etc.;</w:t>
      </w:r>
    </w:p>
    <w:p w14:paraId="3A9870C6" w14:textId="77777777" w:rsidR="005A715D" w:rsidRPr="00515348" w:rsidRDefault="005A715D" w:rsidP="005A715D">
      <w:pPr>
        <w:pStyle w:val="enumlev1"/>
      </w:pPr>
      <w:r w:rsidRPr="00515348">
        <w:t>–</w:t>
      </w:r>
      <w:r w:rsidRPr="00515348">
        <w:tab/>
        <w:t>previsiones meteorológicas y supervisión y predicción del cambio climático;</w:t>
      </w:r>
    </w:p>
    <w:p w14:paraId="052B34E0" w14:textId="078D92F9" w:rsidR="005A715D" w:rsidRPr="00515348" w:rsidRDefault="005A715D" w:rsidP="005A715D">
      <w:pPr>
        <w:pStyle w:val="enumlev1"/>
      </w:pPr>
      <w:r w:rsidRPr="00515348">
        <w:t>–</w:t>
      </w:r>
      <w:r w:rsidRPr="00515348">
        <w:tab/>
        <w:t xml:space="preserve">detección y seguimiento de diversas catástrofes naturales </w:t>
      </w:r>
      <w:r w:rsidR="007D27A3" w:rsidRPr="00515348">
        <w:t>o</w:t>
      </w:r>
      <w:r w:rsidRPr="00515348">
        <w:t xml:space="preserve"> </w:t>
      </w:r>
      <w:r w:rsidR="007D27A3" w:rsidRPr="00515348">
        <w:t>producidas por el hombre</w:t>
      </w:r>
      <w:r w:rsidRPr="00515348">
        <w:t xml:space="preserve"> (terremotos, maremotos, huracanes, incendios forestales, derrames de crudo, etc.);</w:t>
      </w:r>
    </w:p>
    <w:p w14:paraId="659819CA" w14:textId="3C5682B8" w:rsidR="005A715D" w:rsidRPr="00515348" w:rsidRDefault="005A715D" w:rsidP="005A715D">
      <w:pPr>
        <w:pStyle w:val="enumlev1"/>
      </w:pPr>
      <w:r w:rsidRPr="00515348">
        <w:t>–</w:t>
      </w:r>
      <w:r w:rsidR="00A5577A" w:rsidRPr="00515348">
        <w:tab/>
        <w:t>información de alerta/avisos;</w:t>
      </w:r>
    </w:p>
    <w:p w14:paraId="17223EDD" w14:textId="668A93D0" w:rsidR="005A715D" w:rsidRPr="00515348" w:rsidRDefault="005A715D" w:rsidP="005A715D">
      <w:pPr>
        <w:pStyle w:val="enumlev1"/>
      </w:pPr>
      <w:r w:rsidRPr="00515348">
        <w:t>–</w:t>
      </w:r>
      <w:r w:rsidRPr="00515348">
        <w:tab/>
        <w:t>evaluación de daños y planificació</w:t>
      </w:r>
      <w:r w:rsidR="00A5577A" w:rsidRPr="00515348">
        <w:t>n de las operaciones de socorro;</w:t>
      </w:r>
    </w:p>
    <w:p w14:paraId="5970A776" w14:textId="51D9D2B6" w:rsidR="007D27A3" w:rsidRPr="00515348" w:rsidRDefault="007D27A3" w:rsidP="004C071B">
      <w:pPr>
        <w:pStyle w:val="enumlev1"/>
      </w:pPr>
      <w:bookmarkStart w:id="33" w:name="lt_pId406"/>
      <w:bookmarkStart w:id="34" w:name="_Toc445972798"/>
      <w:bookmarkEnd w:id="32"/>
      <w:r w:rsidRPr="00515348">
        <w:t>–</w:t>
      </w:r>
      <w:r w:rsidRPr="00515348">
        <w:tab/>
        <w:t>supervisión de los eventos meteorológicos espaciales y mitigación de sus efectos</w:t>
      </w:r>
      <w:r w:rsidR="00A5577A" w:rsidRPr="00515348">
        <w:t>.</w:t>
      </w:r>
    </w:p>
    <w:p w14:paraId="7ED35F19" w14:textId="24830569" w:rsidR="005A715D" w:rsidRPr="00515348" w:rsidRDefault="005A715D" w:rsidP="00812A93">
      <w:bookmarkStart w:id="35" w:name="lt_pId409"/>
      <w:bookmarkEnd w:id="33"/>
      <w:r w:rsidRPr="00515348">
        <w:t xml:space="preserve">Se aprobaron dos </w:t>
      </w:r>
      <w:r w:rsidR="00713B0B" w:rsidRPr="00515348">
        <w:t>Recomendaciones</w:t>
      </w:r>
      <w:r w:rsidRPr="00515348">
        <w:t xml:space="preserve"> UIT-R nuevas, </w:t>
      </w:r>
      <w:r w:rsidR="00B844E7" w:rsidRPr="00515348">
        <w:t>una</w:t>
      </w:r>
      <w:r w:rsidRPr="00515348">
        <w:t xml:space="preserve"> Cuesti</w:t>
      </w:r>
      <w:r w:rsidR="00B844E7" w:rsidRPr="00515348">
        <w:t>ón</w:t>
      </w:r>
      <w:r w:rsidRPr="00515348">
        <w:t xml:space="preserve"> UIT-R nueva y seis Informes</w:t>
      </w:r>
      <w:r w:rsidR="004C071B">
        <w:t> </w:t>
      </w:r>
      <w:r w:rsidR="00B844E7" w:rsidRPr="00515348">
        <w:t xml:space="preserve">UIT-R </w:t>
      </w:r>
      <w:r w:rsidRPr="00515348">
        <w:t xml:space="preserve">nuevos y </w:t>
      </w:r>
      <w:r w:rsidR="00B844E7" w:rsidRPr="00515348">
        <w:t>uno</w:t>
      </w:r>
      <w:r w:rsidRPr="00515348">
        <w:t xml:space="preserve"> revisado.</w:t>
      </w:r>
      <w:bookmarkEnd w:id="35"/>
    </w:p>
    <w:p w14:paraId="0DF44582" w14:textId="7ABF2B98" w:rsidR="005A715D" w:rsidRPr="00515348" w:rsidRDefault="005A715D" w:rsidP="005A715D">
      <w:pPr>
        <w:pStyle w:val="Headingb"/>
      </w:pPr>
      <w:bookmarkStart w:id="36" w:name="lt_pId410"/>
      <w:r w:rsidRPr="00515348">
        <w:t>Cuesti</w:t>
      </w:r>
      <w:r w:rsidR="00B844E7" w:rsidRPr="00515348">
        <w:t>ón</w:t>
      </w:r>
      <w:r w:rsidRPr="00515348">
        <w:t xml:space="preserve"> UIT-R:</w:t>
      </w:r>
      <w:bookmarkEnd w:id="36"/>
    </w:p>
    <w:p w14:paraId="29E5FDEA" w14:textId="2C757652" w:rsidR="00B844E7" w:rsidRPr="00515348" w:rsidRDefault="00B844E7" w:rsidP="00F5438B">
      <w:pPr>
        <w:pStyle w:val="enumlev1"/>
        <w:rPr>
          <w:color w:val="000000" w:themeColor="text1"/>
        </w:rPr>
      </w:pPr>
      <w:bookmarkStart w:id="37" w:name="lt_pId415"/>
      <w:r w:rsidRPr="00515348">
        <w:t>–</w:t>
      </w:r>
      <w:r w:rsidRPr="00515348">
        <w:tab/>
        <w:t xml:space="preserve">260/7 </w:t>
      </w:r>
      <w:r w:rsidR="003C48D8" w:rsidRPr="00515348">
        <w:t>«</w:t>
      </w:r>
      <w:r w:rsidRPr="00515348">
        <w:t>Radioastronomía en la zona oculta de la Luna</w:t>
      </w:r>
      <w:r w:rsidR="003C48D8" w:rsidRPr="00515348">
        <w:rPr>
          <w:color w:val="000000" w:themeColor="text1"/>
        </w:rPr>
        <w:t>»</w:t>
      </w:r>
      <w:r w:rsidR="00F5438B" w:rsidRPr="00515348">
        <w:rPr>
          <w:color w:val="000000" w:themeColor="text1"/>
        </w:rPr>
        <w:t>.</w:t>
      </w:r>
    </w:p>
    <w:p w14:paraId="6844DBAD" w14:textId="2D9570FF" w:rsidR="005A715D" w:rsidRPr="00515348" w:rsidRDefault="005A715D" w:rsidP="005A715D">
      <w:pPr>
        <w:pStyle w:val="Headingb"/>
      </w:pPr>
      <w:r w:rsidRPr="00515348">
        <w:t>Recomendaciones UIT-R:</w:t>
      </w:r>
      <w:bookmarkEnd w:id="37"/>
    </w:p>
    <w:p w14:paraId="0160DE77" w14:textId="11352D72" w:rsidR="00B844E7" w:rsidRPr="00515348" w:rsidRDefault="005A715D" w:rsidP="00B844E7">
      <w:pPr>
        <w:pStyle w:val="enumlev1"/>
        <w:rPr>
          <w:lang w:eastAsia="ja-JP"/>
        </w:rPr>
      </w:pPr>
      <w:r w:rsidRPr="00515348">
        <w:t>–</w:t>
      </w:r>
      <w:r w:rsidRPr="00515348">
        <w:tab/>
      </w:r>
      <w:bookmarkStart w:id="38" w:name="lt_pId426"/>
      <w:proofErr w:type="spellStart"/>
      <w:r w:rsidR="00B844E7" w:rsidRPr="00515348">
        <w:rPr>
          <w:lang w:eastAsia="ja-JP"/>
        </w:rPr>
        <w:t>SA.2155</w:t>
      </w:r>
      <w:proofErr w:type="spellEnd"/>
      <w:r w:rsidR="00B844E7" w:rsidRPr="00515348">
        <w:rPr>
          <w:lang w:eastAsia="ja-JP"/>
        </w:rPr>
        <w:t xml:space="preserve">-0 </w:t>
      </w:r>
      <w:r w:rsidR="003C48D8" w:rsidRPr="00515348">
        <w:rPr>
          <w:lang w:eastAsia="ja-JP"/>
        </w:rPr>
        <w:t>«</w:t>
      </w:r>
      <w:r w:rsidR="00B844E7" w:rsidRPr="00515348">
        <w:rPr>
          <w:lang w:eastAsia="ja-JP"/>
        </w:rPr>
        <w:t>Directrices sobre la utilización de la banda de frecuencias 2 200-2 290 MHz por redes o sistemas de satélites que no utilizan modulación de espectro ensanchado del servicio de exploración de la Tierra por satélite/servicio de investigación espacial/servicio de operaciones espaciales</w:t>
      </w:r>
      <w:r w:rsidR="003C48D8" w:rsidRPr="00515348">
        <w:rPr>
          <w:sz w:val="22"/>
          <w:szCs w:val="22"/>
        </w:rPr>
        <w:t>»</w:t>
      </w:r>
    </w:p>
    <w:p w14:paraId="7C432689" w14:textId="3148F857" w:rsidR="00B844E7" w:rsidRPr="00515348" w:rsidRDefault="00B844E7" w:rsidP="00F5438B">
      <w:pPr>
        <w:pStyle w:val="enumlev1"/>
        <w:rPr>
          <w:lang w:eastAsia="ja-JP"/>
        </w:rPr>
      </w:pPr>
      <w:r w:rsidRPr="00515348">
        <w:rPr>
          <w:lang w:eastAsia="ja-JP"/>
        </w:rPr>
        <w:t>–</w:t>
      </w:r>
      <w:r w:rsidRPr="00515348">
        <w:tab/>
      </w:r>
      <w:proofErr w:type="spellStart"/>
      <w:r w:rsidRPr="00515348">
        <w:rPr>
          <w:lang w:eastAsia="ja-JP"/>
        </w:rPr>
        <w:t>SA.2156</w:t>
      </w:r>
      <w:proofErr w:type="spellEnd"/>
      <w:r w:rsidRPr="00515348">
        <w:rPr>
          <w:lang w:eastAsia="ja-JP"/>
        </w:rPr>
        <w:t xml:space="preserve">-0 </w:t>
      </w:r>
      <w:r w:rsidR="003C48D8" w:rsidRPr="00515348">
        <w:rPr>
          <w:lang w:eastAsia="ja-JP"/>
        </w:rPr>
        <w:t>«</w:t>
      </w:r>
      <w:r w:rsidR="006642DE" w:rsidRPr="00515348">
        <w:rPr>
          <w:lang w:eastAsia="ja-JP"/>
        </w:rPr>
        <w:t>Directrices sobre la utilización de la banda de frecuencias 2 025-2 110 MHz por redes o sistemas de satélites que no utilizan modulación de espectro ensanchado del servicio de exploración de la Tierra por satélite/servicio de investigación espacial/servicio de operaciones espaciales</w:t>
      </w:r>
      <w:r w:rsidR="003C48D8" w:rsidRPr="00515348">
        <w:rPr>
          <w:lang w:eastAsia="ja-JP"/>
        </w:rPr>
        <w:t>»</w:t>
      </w:r>
      <w:r w:rsidR="00F5438B" w:rsidRPr="00515348">
        <w:rPr>
          <w:lang w:eastAsia="ja-JP"/>
        </w:rPr>
        <w:t>.</w:t>
      </w:r>
    </w:p>
    <w:p w14:paraId="036FAEAC" w14:textId="6AAE21CD" w:rsidR="005A715D" w:rsidRPr="00515348" w:rsidRDefault="005A715D" w:rsidP="00F5438B">
      <w:pPr>
        <w:pStyle w:val="Headingb"/>
      </w:pPr>
      <w:r w:rsidRPr="00515348">
        <w:t>Informes UIT-R:</w:t>
      </w:r>
      <w:bookmarkEnd w:id="38"/>
    </w:p>
    <w:p w14:paraId="2BB5B38E" w14:textId="1EED56EB" w:rsidR="00B844E7" w:rsidRPr="00515348" w:rsidRDefault="00B844E7" w:rsidP="00F5438B">
      <w:pPr>
        <w:pStyle w:val="enumlev1"/>
        <w:rPr>
          <w:color w:val="000000" w:themeColor="text1"/>
        </w:rPr>
      </w:pPr>
      <w:bookmarkStart w:id="39" w:name="lt_pId443"/>
      <w:r w:rsidRPr="00515348">
        <w:rPr>
          <w:lang w:eastAsia="ja-JP"/>
        </w:rPr>
        <w:t>–</w:t>
      </w:r>
      <w:r w:rsidRPr="00515348">
        <w:tab/>
      </w:r>
      <w:proofErr w:type="spellStart"/>
      <w:r w:rsidRPr="00515348">
        <w:rPr>
          <w:color w:val="000000" w:themeColor="text1"/>
        </w:rPr>
        <w:t>RA.2188</w:t>
      </w:r>
      <w:proofErr w:type="spellEnd"/>
      <w:r w:rsidRPr="00515348">
        <w:rPr>
          <w:color w:val="000000" w:themeColor="text1"/>
        </w:rPr>
        <w:t xml:space="preserve">-1 </w:t>
      </w:r>
      <w:r w:rsidR="003C48D8" w:rsidRPr="00515348">
        <w:rPr>
          <w:lang w:eastAsia="ja-JP"/>
        </w:rPr>
        <w:t>«</w:t>
      </w:r>
      <w:r w:rsidR="006642DE" w:rsidRPr="00515348">
        <w:rPr>
          <w:color w:val="000000" w:themeColor="text1"/>
        </w:rPr>
        <w:t xml:space="preserve">Niveles de densidad de flujo de potencia y </w:t>
      </w:r>
      <w:proofErr w:type="spellStart"/>
      <w:r w:rsidR="006642DE" w:rsidRPr="00515348">
        <w:rPr>
          <w:color w:val="000000" w:themeColor="text1"/>
        </w:rPr>
        <w:t>p.i.r.e</w:t>
      </w:r>
      <w:proofErr w:type="spellEnd"/>
      <w:r w:rsidR="006642DE" w:rsidRPr="00515348">
        <w:rPr>
          <w:color w:val="000000" w:themeColor="text1"/>
        </w:rPr>
        <w:t>. potencialmente perjudiciales para los receptores de radioastronomía</w:t>
      </w:r>
      <w:r w:rsidR="003C48D8" w:rsidRPr="00515348">
        <w:rPr>
          <w:sz w:val="22"/>
          <w:szCs w:val="22"/>
        </w:rPr>
        <w:t>»</w:t>
      </w:r>
    </w:p>
    <w:p w14:paraId="74B61ED5" w14:textId="44E56A75" w:rsidR="00B844E7" w:rsidRPr="00515348" w:rsidRDefault="00B844E7" w:rsidP="00F5438B">
      <w:pPr>
        <w:pStyle w:val="enumlev1"/>
        <w:rPr>
          <w:color w:val="000000" w:themeColor="text1"/>
        </w:rPr>
      </w:pPr>
      <w:r w:rsidRPr="00515348">
        <w:rPr>
          <w:lang w:eastAsia="ja-JP"/>
        </w:rPr>
        <w:t>–</w:t>
      </w:r>
      <w:r w:rsidRPr="00515348">
        <w:tab/>
      </w:r>
      <w:proofErr w:type="spellStart"/>
      <w:r w:rsidRPr="00515348">
        <w:rPr>
          <w:color w:val="000000" w:themeColor="text1"/>
        </w:rPr>
        <w:t>RA.2507</w:t>
      </w:r>
      <w:proofErr w:type="spellEnd"/>
      <w:r w:rsidRPr="00515348">
        <w:rPr>
          <w:color w:val="000000" w:themeColor="text1"/>
        </w:rPr>
        <w:t xml:space="preserve">-0 </w:t>
      </w:r>
      <w:r w:rsidR="003C48D8" w:rsidRPr="00515348">
        <w:rPr>
          <w:lang w:eastAsia="ja-JP"/>
        </w:rPr>
        <w:t>«</w:t>
      </w:r>
      <w:r w:rsidR="006642DE" w:rsidRPr="00515348">
        <w:rPr>
          <w:color w:val="000000" w:themeColor="text1"/>
        </w:rPr>
        <w:t>Características técnicas y operacionales de la</w:t>
      </w:r>
      <w:r w:rsidR="006642DE" w:rsidRPr="00515348">
        <w:t xml:space="preserve"> </w:t>
      </w:r>
      <w:r w:rsidR="006642DE" w:rsidRPr="00515348">
        <w:rPr>
          <w:color w:val="000000" w:themeColor="text1"/>
        </w:rPr>
        <w:t>interferometría de muy larga línea de base (</w:t>
      </w:r>
      <w:proofErr w:type="spellStart"/>
      <w:r w:rsidR="006642DE" w:rsidRPr="00515348">
        <w:rPr>
          <w:color w:val="000000" w:themeColor="text1"/>
        </w:rPr>
        <w:t>VLBI</w:t>
      </w:r>
      <w:proofErr w:type="spellEnd"/>
      <w:r w:rsidR="006642DE" w:rsidRPr="00515348">
        <w:rPr>
          <w:color w:val="000000" w:themeColor="text1"/>
        </w:rPr>
        <w:t>)</w:t>
      </w:r>
      <w:r w:rsidRPr="00515348">
        <w:rPr>
          <w:color w:val="000000" w:themeColor="text1"/>
        </w:rPr>
        <w:t xml:space="preserve"> </w:t>
      </w:r>
      <w:r w:rsidR="006642DE" w:rsidRPr="00515348">
        <w:rPr>
          <w:color w:val="000000" w:themeColor="text1"/>
        </w:rPr>
        <w:t>geodésica existente y prevista</w:t>
      </w:r>
      <w:r w:rsidR="003C48D8" w:rsidRPr="00515348">
        <w:rPr>
          <w:sz w:val="22"/>
          <w:szCs w:val="22"/>
        </w:rPr>
        <w:t>»</w:t>
      </w:r>
    </w:p>
    <w:p w14:paraId="2BF50406" w14:textId="07031F45" w:rsidR="006642DE" w:rsidRPr="00515348" w:rsidRDefault="00B844E7" w:rsidP="00F5438B">
      <w:pPr>
        <w:pStyle w:val="enumlev1"/>
        <w:rPr>
          <w:lang w:eastAsia="ja-JP"/>
        </w:rPr>
      </w:pPr>
      <w:r w:rsidRPr="00515348">
        <w:rPr>
          <w:lang w:eastAsia="ja-JP"/>
        </w:rPr>
        <w:t>–</w:t>
      </w:r>
      <w:r w:rsidRPr="00515348">
        <w:tab/>
      </w:r>
      <w:proofErr w:type="spellStart"/>
      <w:r w:rsidRPr="00515348">
        <w:rPr>
          <w:color w:val="000000" w:themeColor="text1"/>
        </w:rPr>
        <w:t>RA.2508</w:t>
      </w:r>
      <w:proofErr w:type="spellEnd"/>
      <w:r w:rsidRPr="00515348">
        <w:rPr>
          <w:color w:val="000000" w:themeColor="text1"/>
        </w:rPr>
        <w:t>-</w:t>
      </w:r>
      <w:r w:rsidRPr="00515348">
        <w:t xml:space="preserve">0 </w:t>
      </w:r>
      <w:r w:rsidR="003C48D8" w:rsidRPr="00515348">
        <w:rPr>
          <w:lang w:eastAsia="ja-JP"/>
        </w:rPr>
        <w:t>«</w:t>
      </w:r>
      <w:r w:rsidR="006642DE" w:rsidRPr="00515348">
        <w:rPr>
          <w:lang w:eastAsia="ja-JP"/>
        </w:rPr>
        <w:t xml:space="preserve">Sistemas </w:t>
      </w:r>
      <w:r w:rsidR="00FA743E" w:rsidRPr="00515348">
        <w:rPr>
          <w:lang w:eastAsia="ja-JP"/>
        </w:rPr>
        <w:t>matriciales de</w:t>
      </w:r>
      <w:r w:rsidR="006642DE" w:rsidRPr="00515348">
        <w:rPr>
          <w:lang w:eastAsia="ja-JP"/>
        </w:rPr>
        <w:t xml:space="preserve"> radioastronomía con una amplia </w:t>
      </w:r>
      <w:r w:rsidR="00FA743E" w:rsidRPr="00515348">
        <w:rPr>
          <w:lang w:eastAsia="ja-JP"/>
        </w:rPr>
        <w:t xml:space="preserve">distribución </w:t>
      </w:r>
      <w:r w:rsidR="006642DE" w:rsidRPr="00515348">
        <w:rPr>
          <w:lang w:eastAsia="ja-JP"/>
        </w:rPr>
        <w:t>que funcionan por encima de 200 GHz</w:t>
      </w:r>
      <w:r w:rsidR="003C48D8" w:rsidRPr="00515348">
        <w:rPr>
          <w:lang w:eastAsia="ja-JP"/>
        </w:rPr>
        <w:t>»</w:t>
      </w:r>
    </w:p>
    <w:p w14:paraId="1BD0D19A" w14:textId="50A5A466" w:rsidR="00B844E7" w:rsidRPr="00515348" w:rsidRDefault="00B844E7" w:rsidP="00F5438B">
      <w:pPr>
        <w:pStyle w:val="enumlev1"/>
        <w:rPr>
          <w:color w:val="000000" w:themeColor="text1"/>
        </w:rPr>
      </w:pPr>
      <w:r w:rsidRPr="00515348">
        <w:rPr>
          <w:lang w:eastAsia="ja-JP"/>
        </w:rPr>
        <w:t>–</w:t>
      </w:r>
      <w:r w:rsidRPr="00515348">
        <w:tab/>
      </w:r>
      <w:proofErr w:type="spellStart"/>
      <w:r w:rsidRPr="00515348">
        <w:rPr>
          <w:color w:val="000000" w:themeColor="text1"/>
        </w:rPr>
        <w:t>RA.2509</w:t>
      </w:r>
      <w:proofErr w:type="spellEnd"/>
      <w:r w:rsidRPr="00515348">
        <w:rPr>
          <w:color w:val="000000" w:themeColor="text1"/>
        </w:rPr>
        <w:t xml:space="preserve">-0 </w:t>
      </w:r>
      <w:r w:rsidR="003C48D8" w:rsidRPr="00515348">
        <w:rPr>
          <w:lang w:eastAsia="ja-JP"/>
        </w:rPr>
        <w:t>«</w:t>
      </w:r>
      <w:r w:rsidR="00FA743E" w:rsidRPr="00515348">
        <w:rPr>
          <w:color w:val="000000" w:themeColor="text1"/>
        </w:rPr>
        <w:t xml:space="preserve">Características técnicas y operacionales de los sistemas de radioastronomía que funcionan por debajo de </w:t>
      </w:r>
      <w:r w:rsidRPr="00515348">
        <w:rPr>
          <w:color w:val="000000" w:themeColor="text1"/>
        </w:rPr>
        <w:t>350 MHz (85 cm)</w:t>
      </w:r>
      <w:r w:rsidR="003C48D8" w:rsidRPr="00515348">
        <w:rPr>
          <w:sz w:val="22"/>
          <w:szCs w:val="22"/>
        </w:rPr>
        <w:t>»</w:t>
      </w:r>
    </w:p>
    <w:p w14:paraId="3505D384" w14:textId="1828314A" w:rsidR="00B844E7" w:rsidRPr="00515348" w:rsidRDefault="00B844E7" w:rsidP="00F5438B">
      <w:pPr>
        <w:pStyle w:val="enumlev1"/>
        <w:rPr>
          <w:color w:val="000000" w:themeColor="text1"/>
        </w:rPr>
      </w:pPr>
      <w:r w:rsidRPr="00515348">
        <w:rPr>
          <w:lang w:eastAsia="ja-JP"/>
        </w:rPr>
        <w:t>–</w:t>
      </w:r>
      <w:r w:rsidRPr="00515348">
        <w:tab/>
      </w:r>
      <w:proofErr w:type="spellStart"/>
      <w:r w:rsidRPr="00515348">
        <w:t>RA</w:t>
      </w:r>
      <w:r w:rsidRPr="00515348">
        <w:rPr>
          <w:color w:val="000000" w:themeColor="text1"/>
        </w:rPr>
        <w:t>.2510</w:t>
      </w:r>
      <w:proofErr w:type="spellEnd"/>
      <w:r w:rsidRPr="00515348">
        <w:rPr>
          <w:color w:val="000000" w:themeColor="text1"/>
        </w:rPr>
        <w:t xml:space="preserve">-0 </w:t>
      </w:r>
      <w:r w:rsidR="003C48D8" w:rsidRPr="00515348">
        <w:rPr>
          <w:lang w:eastAsia="ja-JP"/>
        </w:rPr>
        <w:t>«</w:t>
      </w:r>
      <w:r w:rsidR="00FA743E" w:rsidRPr="00515348">
        <w:rPr>
          <w:color w:val="000000" w:themeColor="text1"/>
        </w:rPr>
        <w:t>Características técnicas y operacionales de los sistemas de radioastronomía en la gama de frecuencias 67-116 GHz (3-4 mm)</w:t>
      </w:r>
      <w:r w:rsidR="003C48D8" w:rsidRPr="00515348">
        <w:rPr>
          <w:sz w:val="22"/>
          <w:szCs w:val="22"/>
        </w:rPr>
        <w:t>»</w:t>
      </w:r>
    </w:p>
    <w:p w14:paraId="7288E589" w14:textId="3119CC32" w:rsidR="004136D9" w:rsidRPr="00515348" w:rsidRDefault="00B844E7" w:rsidP="00F5438B">
      <w:pPr>
        <w:pStyle w:val="enumlev1"/>
        <w:rPr>
          <w:color w:val="000000" w:themeColor="text1"/>
        </w:rPr>
      </w:pPr>
      <w:r w:rsidRPr="00515348">
        <w:rPr>
          <w:lang w:eastAsia="ja-JP"/>
        </w:rPr>
        <w:t>–</w:t>
      </w:r>
      <w:r w:rsidRPr="00515348">
        <w:tab/>
      </w:r>
      <w:proofErr w:type="spellStart"/>
      <w:r w:rsidRPr="00515348">
        <w:t>RA</w:t>
      </w:r>
      <w:r w:rsidRPr="00515348">
        <w:rPr>
          <w:color w:val="000000" w:themeColor="text1"/>
        </w:rPr>
        <w:t>.2512</w:t>
      </w:r>
      <w:proofErr w:type="spellEnd"/>
      <w:r w:rsidRPr="00515348">
        <w:rPr>
          <w:color w:val="000000" w:themeColor="text1"/>
        </w:rPr>
        <w:t xml:space="preserve">-0 </w:t>
      </w:r>
      <w:r w:rsidR="003C48D8" w:rsidRPr="00515348">
        <w:rPr>
          <w:lang w:eastAsia="ja-JP"/>
        </w:rPr>
        <w:t>«</w:t>
      </w:r>
      <w:r w:rsidR="00FA743E" w:rsidRPr="00515348">
        <w:rPr>
          <w:color w:val="000000" w:themeColor="text1"/>
        </w:rPr>
        <w:t>Características técnicas y operacionales de los detector</w:t>
      </w:r>
      <w:r w:rsidR="004136D9" w:rsidRPr="00515348">
        <w:rPr>
          <w:color w:val="000000" w:themeColor="text1"/>
        </w:rPr>
        <w:t>es</w:t>
      </w:r>
      <w:r w:rsidR="00F4262F" w:rsidRPr="00515348">
        <w:rPr>
          <w:color w:val="000000" w:themeColor="text1"/>
        </w:rPr>
        <w:t xml:space="preserve"> de banda ancha,</w:t>
      </w:r>
      <w:r w:rsidR="004136D9" w:rsidRPr="00515348">
        <w:rPr>
          <w:color w:val="000000" w:themeColor="text1"/>
        </w:rPr>
        <w:t xml:space="preserve"> limitados </w:t>
      </w:r>
      <w:r w:rsidR="00286571" w:rsidRPr="00515348">
        <w:rPr>
          <w:color w:val="000000" w:themeColor="text1"/>
        </w:rPr>
        <w:t>al</w:t>
      </w:r>
      <w:r w:rsidR="004136D9" w:rsidRPr="00515348">
        <w:rPr>
          <w:color w:val="000000" w:themeColor="text1"/>
        </w:rPr>
        <w:t xml:space="preserve"> fondo, que funcionan en la gama de ondas milimétricas</w:t>
      </w:r>
      <w:r w:rsidR="003C48D8" w:rsidRPr="00515348">
        <w:rPr>
          <w:color w:val="000000" w:themeColor="text1"/>
        </w:rPr>
        <w:t>»</w:t>
      </w:r>
    </w:p>
    <w:p w14:paraId="62194274" w14:textId="576BDF32" w:rsidR="00286571" w:rsidRPr="00515348" w:rsidRDefault="00B844E7" w:rsidP="00F5438B">
      <w:pPr>
        <w:pStyle w:val="enumlev1"/>
        <w:rPr>
          <w:lang w:eastAsia="ja-JP"/>
        </w:rPr>
      </w:pPr>
      <w:r w:rsidRPr="00515348">
        <w:rPr>
          <w:lang w:eastAsia="ja-JP"/>
        </w:rPr>
        <w:t>–</w:t>
      </w:r>
      <w:r w:rsidRPr="00515348">
        <w:tab/>
      </w:r>
      <w:proofErr w:type="spellStart"/>
      <w:r w:rsidRPr="00515348">
        <w:rPr>
          <w:color w:val="000000" w:themeColor="text1"/>
        </w:rPr>
        <w:t>TF.2511</w:t>
      </w:r>
      <w:proofErr w:type="spellEnd"/>
      <w:r w:rsidRPr="00515348">
        <w:rPr>
          <w:color w:val="000000" w:themeColor="text1"/>
        </w:rPr>
        <w:t xml:space="preserve">-0 </w:t>
      </w:r>
      <w:r w:rsidR="003C48D8" w:rsidRPr="00515348">
        <w:rPr>
          <w:lang w:eastAsia="ja-JP"/>
        </w:rPr>
        <w:t>«</w:t>
      </w:r>
      <w:r w:rsidR="00286571" w:rsidRPr="00515348">
        <w:rPr>
          <w:lang w:eastAsia="ja-JP"/>
        </w:rPr>
        <w:t xml:space="preserve">Contenido y estructura de las señales horarias </w:t>
      </w:r>
      <w:r w:rsidR="00430B56" w:rsidRPr="00515348">
        <w:rPr>
          <w:lang w:eastAsia="ja-JP"/>
        </w:rPr>
        <w:t>que difundirán los</w:t>
      </w:r>
      <w:r w:rsidR="00286571" w:rsidRPr="00515348">
        <w:rPr>
          <w:lang w:eastAsia="ja-JP"/>
        </w:rPr>
        <w:t xml:space="preserve"> sistemas de radiocomunicaciones y </w:t>
      </w:r>
      <w:r w:rsidR="00430B56" w:rsidRPr="00515348">
        <w:rPr>
          <w:lang w:eastAsia="ja-JP"/>
        </w:rPr>
        <w:t>distintos aspectos de las escalas de tiempo de referencia actual</w:t>
      </w:r>
      <w:r w:rsidR="00B756CD" w:rsidRPr="00515348">
        <w:rPr>
          <w:lang w:eastAsia="ja-JP"/>
        </w:rPr>
        <w:t>es</w:t>
      </w:r>
      <w:r w:rsidR="00430B56" w:rsidRPr="00515348">
        <w:rPr>
          <w:lang w:eastAsia="ja-JP"/>
        </w:rPr>
        <w:t xml:space="preserve"> y</w:t>
      </w:r>
      <w:r w:rsidR="00B756CD" w:rsidRPr="00515348">
        <w:rPr>
          <w:lang w:eastAsia="ja-JP"/>
        </w:rPr>
        <w:t xml:space="preserve"> posibles en el futuro</w:t>
      </w:r>
      <w:r w:rsidR="00430B56" w:rsidRPr="00515348">
        <w:rPr>
          <w:lang w:eastAsia="ja-JP"/>
        </w:rPr>
        <w:t>, incluidas sus repercusiones y aplicaciones</w:t>
      </w:r>
      <w:r w:rsidR="003C48D8" w:rsidRPr="00515348">
        <w:rPr>
          <w:lang w:eastAsia="ja-JP"/>
        </w:rPr>
        <w:t>»</w:t>
      </w:r>
      <w:r w:rsidR="00F5438B" w:rsidRPr="00515348">
        <w:rPr>
          <w:lang w:eastAsia="ja-JP"/>
        </w:rPr>
        <w:t>.</w:t>
      </w:r>
    </w:p>
    <w:p w14:paraId="27AC11C0" w14:textId="151678E7" w:rsidR="00B844E7" w:rsidRPr="00515348" w:rsidRDefault="00B844E7" w:rsidP="00B844E7">
      <w:pPr>
        <w:tabs>
          <w:tab w:val="clear" w:pos="794"/>
          <w:tab w:val="clear" w:pos="1191"/>
          <w:tab w:val="clear" w:pos="1588"/>
          <w:tab w:val="clear" w:pos="1985"/>
        </w:tabs>
        <w:overflowPunct/>
        <w:autoSpaceDE/>
        <w:autoSpaceDN/>
        <w:adjustRightInd/>
        <w:spacing w:before="100" w:after="100" w:line="240" w:lineRule="atLeast"/>
        <w:textAlignment w:val="auto"/>
        <w:rPr>
          <w:szCs w:val="24"/>
        </w:rPr>
      </w:pPr>
      <w:r w:rsidRPr="00515348">
        <w:rPr>
          <w:szCs w:val="24"/>
        </w:rPr>
        <w:t xml:space="preserve">Los </w:t>
      </w:r>
      <w:r w:rsidR="00B756CD" w:rsidRPr="00515348">
        <w:rPr>
          <w:szCs w:val="24"/>
        </w:rPr>
        <w:t>Grupos de Trabajo</w:t>
      </w:r>
      <w:r w:rsidRPr="00515348">
        <w:rPr>
          <w:szCs w:val="24"/>
        </w:rPr>
        <w:t xml:space="preserve"> </w:t>
      </w:r>
      <w:proofErr w:type="spellStart"/>
      <w:r w:rsidRPr="00515348">
        <w:rPr>
          <w:szCs w:val="24"/>
        </w:rPr>
        <w:t>7B</w:t>
      </w:r>
      <w:proofErr w:type="spellEnd"/>
      <w:r w:rsidRPr="00515348">
        <w:rPr>
          <w:szCs w:val="24"/>
        </w:rPr>
        <w:t xml:space="preserve"> y </w:t>
      </w:r>
      <w:proofErr w:type="spellStart"/>
      <w:r w:rsidRPr="00515348">
        <w:rPr>
          <w:szCs w:val="24"/>
        </w:rPr>
        <w:t>7C</w:t>
      </w:r>
      <w:proofErr w:type="spellEnd"/>
      <w:r w:rsidRPr="00515348">
        <w:rPr>
          <w:szCs w:val="24"/>
        </w:rPr>
        <w:t xml:space="preserve"> finalizaron el proyecto de Informe de la RPC para los puntos del orden del día de la </w:t>
      </w:r>
      <w:proofErr w:type="spellStart"/>
      <w:r w:rsidRPr="00515348">
        <w:rPr>
          <w:szCs w:val="24"/>
        </w:rPr>
        <w:t>CMR</w:t>
      </w:r>
      <w:proofErr w:type="spellEnd"/>
      <w:r w:rsidRPr="00515348">
        <w:rPr>
          <w:szCs w:val="24"/>
        </w:rPr>
        <w:t xml:space="preserve">-23 de los cuales eran responsables, </w:t>
      </w:r>
      <w:r w:rsidR="00872B57" w:rsidRPr="00515348">
        <w:rPr>
          <w:szCs w:val="24"/>
        </w:rPr>
        <w:t>antes de la fecha límite del</w:t>
      </w:r>
      <w:r w:rsidRPr="00515348">
        <w:rPr>
          <w:szCs w:val="24"/>
        </w:rPr>
        <w:t xml:space="preserve"> 21 de octubre de 2022</w:t>
      </w:r>
    </w:p>
    <w:p w14:paraId="7BEA850D" w14:textId="59A692A5" w:rsidR="005A715D" w:rsidRPr="00515348" w:rsidRDefault="00430B56" w:rsidP="005B5575">
      <w:pPr>
        <w:keepLines/>
      </w:pPr>
      <w:r w:rsidRPr="00515348">
        <w:lastRenderedPageBreak/>
        <w:t xml:space="preserve">El Grupo de Trabajo </w:t>
      </w:r>
      <w:proofErr w:type="spellStart"/>
      <w:r w:rsidRPr="00515348">
        <w:t>7A</w:t>
      </w:r>
      <w:proofErr w:type="spellEnd"/>
      <w:r w:rsidRPr="00515348">
        <w:t xml:space="preserve"> se reunirá del 26 al 30 de junio de 2023, mientras que los </w:t>
      </w:r>
      <w:r w:rsidR="005A715D" w:rsidRPr="00515348">
        <w:t>GT</w:t>
      </w:r>
      <w:r w:rsidR="00C50B8C" w:rsidRPr="00515348">
        <w:t> </w:t>
      </w:r>
      <w:proofErr w:type="spellStart"/>
      <w:r w:rsidR="005A715D" w:rsidRPr="00515348">
        <w:t>7B</w:t>
      </w:r>
      <w:proofErr w:type="spellEnd"/>
      <w:r w:rsidR="005A715D" w:rsidRPr="00515348">
        <w:t xml:space="preserve">, </w:t>
      </w:r>
      <w:proofErr w:type="spellStart"/>
      <w:r w:rsidR="005A715D" w:rsidRPr="00515348">
        <w:t>7C</w:t>
      </w:r>
      <w:proofErr w:type="spellEnd"/>
      <w:r w:rsidR="005A715D" w:rsidRPr="00515348">
        <w:t xml:space="preserve"> y </w:t>
      </w:r>
      <w:proofErr w:type="spellStart"/>
      <w:r w:rsidR="005A715D" w:rsidRPr="00515348">
        <w:t>7D</w:t>
      </w:r>
      <w:proofErr w:type="spellEnd"/>
      <w:r w:rsidR="005A715D" w:rsidRPr="00515348">
        <w:t xml:space="preserve"> </w:t>
      </w:r>
      <w:r w:rsidRPr="00515348">
        <w:t>tienen previsto reunirse del 2 al 12 de octubre d</w:t>
      </w:r>
      <w:r w:rsidR="005A715D" w:rsidRPr="00515348">
        <w:t>e 202</w:t>
      </w:r>
      <w:r w:rsidRPr="00515348">
        <w:t>3</w:t>
      </w:r>
      <w:r w:rsidR="005A715D" w:rsidRPr="00515348">
        <w:t>.</w:t>
      </w:r>
      <w:bookmarkEnd w:id="39"/>
      <w:r w:rsidR="005A715D" w:rsidRPr="00515348">
        <w:t xml:space="preserve"> </w:t>
      </w:r>
      <w:bookmarkStart w:id="40" w:name="lt_pId444"/>
      <w:r w:rsidR="005A715D" w:rsidRPr="00515348">
        <w:t xml:space="preserve">Se prevé celebrar la próxima reunión de la Comisión de Estudio 7 </w:t>
      </w:r>
      <w:r w:rsidRPr="00515348">
        <w:t>el 13</w:t>
      </w:r>
      <w:r w:rsidR="005A715D" w:rsidRPr="00515348">
        <w:t xml:space="preserve"> de octubre de 202</w:t>
      </w:r>
      <w:r w:rsidRPr="00515348">
        <w:t>3</w:t>
      </w:r>
      <w:r w:rsidR="005A715D" w:rsidRPr="00515348">
        <w:t>.</w:t>
      </w:r>
      <w:bookmarkEnd w:id="40"/>
      <w:r w:rsidRPr="00515348">
        <w:t xml:space="preserve"> Este será el último bloque de reuniones de la CE 7 para el periodo de estudios 2019-2023.</w:t>
      </w:r>
    </w:p>
    <w:p w14:paraId="4E993267" w14:textId="77777777" w:rsidR="005A715D" w:rsidRPr="00515348" w:rsidRDefault="005A715D" w:rsidP="005A715D">
      <w:pPr>
        <w:pStyle w:val="Heading2"/>
      </w:pPr>
      <w:r w:rsidRPr="00515348">
        <w:t>6.7</w:t>
      </w:r>
      <w:r w:rsidRPr="00515348">
        <w:tab/>
      </w:r>
      <w:bookmarkEnd w:id="34"/>
      <w:r w:rsidRPr="00B561C3">
        <w:t>Comité de Coordinación</w:t>
      </w:r>
      <w:r w:rsidRPr="00515348">
        <w:t xml:space="preserve"> del Vocabulario</w:t>
      </w:r>
    </w:p>
    <w:p w14:paraId="662F7CD9" w14:textId="14733511" w:rsidR="005A715D" w:rsidRPr="00515348" w:rsidRDefault="00B756CD" w:rsidP="00812A93">
      <w:r w:rsidRPr="00515348">
        <w:t>El</w:t>
      </w:r>
      <w:r w:rsidR="005A715D" w:rsidRPr="00515348">
        <w:t xml:space="preserve"> Comité de Coordinación del Vocabulario (CCV) seguirá </w:t>
      </w:r>
      <w:r w:rsidRPr="00515348">
        <w:t>prestando asistencia</w:t>
      </w:r>
      <w:r w:rsidR="005A715D" w:rsidRPr="00515348">
        <w:t xml:space="preserve"> para garantizar la coherencia entre los distintos términos y definiciones</w:t>
      </w:r>
      <w:r w:rsidRPr="00515348">
        <w:t xml:space="preserve"> del UIT-R</w:t>
      </w:r>
      <w:r w:rsidR="005A715D" w:rsidRPr="00515348">
        <w:t xml:space="preserve">, filtrar todas las propuestas procedentes de las Comisiones de Estudio de Radiocomunicaciones y validar los términos y definiciones antes de incorporarlos a la </w:t>
      </w:r>
      <w:hyperlink r:id="rId11" w:anchor="/" w:history="1">
        <w:r w:rsidR="00EB6094" w:rsidRPr="00515348">
          <w:rPr>
            <w:rStyle w:val="Hyperlink"/>
          </w:rPr>
          <w:t>Base de datos de términos y d</w:t>
        </w:r>
        <w:r w:rsidR="00EB6094" w:rsidRPr="00515348">
          <w:rPr>
            <w:rStyle w:val="Hyperlink"/>
          </w:rPr>
          <w:t>e</w:t>
        </w:r>
        <w:r w:rsidR="00EB6094" w:rsidRPr="00515348">
          <w:rPr>
            <w:rStyle w:val="Hyperlink"/>
          </w:rPr>
          <w:t>finiciones de la UIT</w:t>
        </w:r>
      </w:hyperlink>
      <w:r w:rsidR="005A715D" w:rsidRPr="00515348">
        <w:t>.</w:t>
      </w:r>
      <w:r w:rsidR="00EB6094" w:rsidRPr="00515348">
        <w:t xml:space="preserve"> El CCV se encarga de la coordinación y aprobación en lo relativo a:</w:t>
      </w:r>
    </w:p>
    <w:p w14:paraId="2789C627" w14:textId="6CB3FD5F" w:rsidR="00EB6094" w:rsidRPr="00515348" w:rsidRDefault="00EB6094" w:rsidP="00F5438B">
      <w:pPr>
        <w:pStyle w:val="enumlev1"/>
      </w:pPr>
      <w:r w:rsidRPr="00515348">
        <w:t>−</w:t>
      </w:r>
      <w:r w:rsidRPr="00515348">
        <w:tab/>
        <w:t xml:space="preserve">vocabulario, incluidas </w:t>
      </w:r>
      <w:r w:rsidR="00B756CD" w:rsidRPr="00515348">
        <w:t>las abreviaturas</w:t>
      </w:r>
      <w:r w:rsidRPr="00515348">
        <w:t xml:space="preserve"> y las siglas;</w:t>
      </w:r>
    </w:p>
    <w:p w14:paraId="4937B16E" w14:textId="7EC810EC" w:rsidR="00EB6094" w:rsidRPr="00515348" w:rsidRDefault="00EB6094" w:rsidP="00F5438B">
      <w:pPr>
        <w:pStyle w:val="enumlev1"/>
      </w:pPr>
      <w:r w:rsidRPr="00515348">
        <w:t>−</w:t>
      </w:r>
      <w:r w:rsidRPr="00515348">
        <w:tab/>
        <w:t>cuestiones afines (magnitudes y unidades, símbolos gráficos y literales</w:t>
      </w:r>
      <w:r w:rsidR="00872B57" w:rsidRPr="00515348">
        <w:t>).</w:t>
      </w:r>
    </w:p>
    <w:p w14:paraId="0FC16EEE" w14:textId="5E40348E" w:rsidR="00EB6094" w:rsidRPr="00515348" w:rsidRDefault="00EB6094" w:rsidP="005B5575">
      <w:r w:rsidRPr="00515348">
        <w:t>El CCV del UIT-R es responsable de seguir revisando</w:t>
      </w:r>
      <w:r w:rsidR="00144D2F" w:rsidRPr="00515348">
        <w:t xml:space="preserve"> y modificando</w:t>
      </w:r>
      <w:r w:rsidRPr="00515348">
        <w:t xml:space="preserve"> cuando sea necesario las Recomendaciones </w:t>
      </w:r>
      <w:r w:rsidR="00144D2F" w:rsidRPr="00515348">
        <w:t xml:space="preserve">existentes </w:t>
      </w:r>
      <w:r w:rsidRPr="00515348">
        <w:t>de la Serie V. Las nuevas Recomendaciones y las revisadas deben ser</w:t>
      </w:r>
      <w:r w:rsidR="005B5575">
        <w:t> </w:t>
      </w:r>
      <w:r w:rsidRPr="00515348">
        <w:t>adoptadas por el CCV del UIT-R y sometidas para aprobación de acuerdo con la Resolución</w:t>
      </w:r>
      <w:r w:rsidR="005B5575">
        <w:t> </w:t>
      </w:r>
      <w:r w:rsidRPr="00515348">
        <w:t xml:space="preserve">UIT-R 1, a través del </w:t>
      </w:r>
      <w:proofErr w:type="gramStart"/>
      <w:r w:rsidRPr="00515348">
        <w:t>Director</w:t>
      </w:r>
      <w:proofErr w:type="gramEnd"/>
      <w:r w:rsidRPr="00515348">
        <w:t xml:space="preserve"> de la BR</w:t>
      </w:r>
      <w:r w:rsidR="00F5438B" w:rsidRPr="00515348">
        <w:t>.</w:t>
      </w:r>
    </w:p>
    <w:p w14:paraId="46D56C18" w14:textId="6BAF52DC" w:rsidR="005A715D" w:rsidRPr="00515348" w:rsidRDefault="005A715D" w:rsidP="005B5575">
      <w:pPr>
        <w:rPr>
          <w:bCs/>
          <w:iCs/>
          <w:lang w:bidi="en-US"/>
        </w:rPr>
      </w:pPr>
      <w:r w:rsidRPr="00515348">
        <w:t xml:space="preserve">Después de la aprobación de la </w:t>
      </w:r>
      <w:hyperlink r:id="rId12" w:history="1">
        <w:r w:rsidRPr="00515348">
          <w:rPr>
            <w:rStyle w:val="Hyperlink"/>
          </w:rPr>
          <w:t>Resolución 1386</w:t>
        </w:r>
      </w:hyperlink>
      <w:r w:rsidRPr="00515348">
        <w:t xml:space="preserve"> del Consejo: </w:t>
      </w:r>
      <w:r w:rsidR="003C48D8" w:rsidRPr="00515348">
        <w:t>«</w:t>
      </w:r>
      <w:r w:rsidRPr="00515348">
        <w:t>Comité de Coordinación de Terminología de la UIT (CCT UIT)</w:t>
      </w:r>
      <w:r w:rsidR="003C48D8" w:rsidRPr="00515348">
        <w:t>»</w:t>
      </w:r>
      <w:r w:rsidRPr="00515348">
        <w:t xml:space="preserve">, las reuniones del CCT UIT se celebran haciendo </w:t>
      </w:r>
      <w:r w:rsidR="00943B24" w:rsidRPr="00515348">
        <w:t xml:space="preserve">un </w:t>
      </w:r>
      <w:r w:rsidRPr="00515348">
        <w:t xml:space="preserve">amplio uso de los métodos electrónicos. </w:t>
      </w:r>
      <w:r w:rsidR="00EB6094" w:rsidRPr="00515348">
        <w:t xml:space="preserve">Los trabajos están avanzando </w:t>
      </w:r>
      <w:r w:rsidR="00943B24" w:rsidRPr="00515348">
        <w:t>en las mejoras</w:t>
      </w:r>
      <w:r w:rsidRPr="00515348">
        <w:t xml:space="preserve"> de la base de datos terminológica de la UIT.</w:t>
      </w:r>
    </w:p>
    <w:p w14:paraId="24B0E09B" w14:textId="39034F33" w:rsidR="00EB6094" w:rsidRPr="00515348" w:rsidRDefault="00EB6094" w:rsidP="00EB6094">
      <w:bookmarkStart w:id="41" w:name="lt_pId452"/>
      <w:bookmarkStart w:id="42" w:name="_Toc445972799"/>
      <w:r w:rsidRPr="00515348">
        <w:t>E</w:t>
      </w:r>
      <w:r w:rsidR="00943B24" w:rsidRPr="00515348">
        <w:t>l</w:t>
      </w:r>
      <w:r w:rsidRPr="00515348">
        <w:t xml:space="preserve"> CCT UIT está compuesto por:</w:t>
      </w:r>
    </w:p>
    <w:p w14:paraId="30A55F8B" w14:textId="5C113FB2" w:rsidR="00EB6094" w:rsidRPr="00515348" w:rsidRDefault="00EB6094" w:rsidP="00F5438B">
      <w:pPr>
        <w:pStyle w:val="enumlev1"/>
      </w:pPr>
      <w:r w:rsidRPr="00515348">
        <w:t>−</w:t>
      </w:r>
      <w:r w:rsidRPr="00515348">
        <w:tab/>
        <w:t>el CCV del UIT-R, cuyo funcionamiento se rige por la Resolución UIT-R 36;</w:t>
      </w:r>
    </w:p>
    <w:p w14:paraId="1BC54EAF" w14:textId="130E05F9" w:rsidR="00955256" w:rsidRPr="00515348" w:rsidRDefault="00EB6094" w:rsidP="00F5438B">
      <w:pPr>
        <w:pStyle w:val="enumlev1"/>
      </w:pPr>
      <w:r w:rsidRPr="00515348">
        <w:t>−</w:t>
      </w:r>
      <w:r w:rsidRPr="00515348">
        <w:tab/>
      </w:r>
      <w:r w:rsidR="00955256" w:rsidRPr="00515348">
        <w:t xml:space="preserve">el </w:t>
      </w:r>
      <w:proofErr w:type="spellStart"/>
      <w:r w:rsidR="00955256" w:rsidRPr="00515348">
        <w:t>CNV</w:t>
      </w:r>
      <w:proofErr w:type="spellEnd"/>
      <w:r w:rsidR="00955256" w:rsidRPr="00515348">
        <w:t xml:space="preserve"> del UIT-T, cuyo funcionamiento se rige por la Resolución 67 (Rev. Ginebra, 2022)</w:t>
      </w:r>
      <w:r w:rsidR="000F423F" w:rsidRPr="00515348">
        <w:t xml:space="preserve"> de la </w:t>
      </w:r>
      <w:proofErr w:type="spellStart"/>
      <w:r w:rsidR="0030651E" w:rsidRPr="00515348">
        <w:t>AMNT</w:t>
      </w:r>
      <w:proofErr w:type="spellEnd"/>
      <w:r w:rsidR="0030651E" w:rsidRPr="00515348">
        <w:t>; y</w:t>
      </w:r>
    </w:p>
    <w:p w14:paraId="534F2B0A" w14:textId="42A882EB" w:rsidR="00EB6094" w:rsidRPr="00515348" w:rsidRDefault="00EB6094" w:rsidP="00F5438B">
      <w:pPr>
        <w:pStyle w:val="enumlev1"/>
      </w:pPr>
      <w:r w:rsidRPr="00515348">
        <w:t>−</w:t>
      </w:r>
      <w:r w:rsidRPr="00515348">
        <w:tab/>
      </w:r>
      <w:r w:rsidR="00955256" w:rsidRPr="00515348">
        <w:t>representantes del UIT</w:t>
      </w:r>
      <w:r w:rsidRPr="00515348">
        <w:t>-D.</w:t>
      </w:r>
    </w:p>
    <w:p w14:paraId="68E45F94" w14:textId="06B930D1" w:rsidR="00955256" w:rsidRPr="00515348" w:rsidRDefault="0030651E" w:rsidP="00EB6094">
      <w:r w:rsidRPr="00515348">
        <w:t>Todos trabajan</w:t>
      </w:r>
      <w:r w:rsidR="00CC5A34" w:rsidRPr="00515348">
        <w:t xml:space="preserve"> </w:t>
      </w:r>
      <w:r w:rsidR="00955256" w:rsidRPr="00515348">
        <w:t>en estrecha colaboración con la Secretaría General de la UIT (Departamento de Conferencias y Publicaciones) y los editores de las Oficinas.</w:t>
      </w:r>
    </w:p>
    <w:p w14:paraId="02682A0D" w14:textId="02697593" w:rsidR="00955256" w:rsidRPr="00515348" w:rsidRDefault="00CC5A34" w:rsidP="00EB6094">
      <w:r w:rsidRPr="00515348">
        <w:t xml:space="preserve">Las </w:t>
      </w:r>
      <w:r w:rsidR="00955256" w:rsidRPr="00515348">
        <w:t xml:space="preserve">Comisiones de Estudio del UIT-R y el UIT-T, en el marco de sus mandatos, deben proseguir su labor </w:t>
      </w:r>
      <w:r w:rsidR="00740074" w:rsidRPr="00515348">
        <w:t>sobre</w:t>
      </w:r>
      <w:r w:rsidR="00955256" w:rsidRPr="00515348">
        <w:t xml:space="preserve"> los términos técnicos y de explotación</w:t>
      </w:r>
      <w:r w:rsidR="00ED12CE">
        <w:t>,</w:t>
      </w:r>
      <w:r w:rsidR="00955256" w:rsidRPr="00515348">
        <w:t xml:space="preserve"> </w:t>
      </w:r>
      <w:r w:rsidR="00740074" w:rsidRPr="00515348">
        <w:t>así como</w:t>
      </w:r>
      <w:r w:rsidR="00955256" w:rsidRPr="00515348">
        <w:t xml:space="preserve"> sus definiciones, únicamente en inglés;</w:t>
      </w:r>
    </w:p>
    <w:p w14:paraId="28100C86" w14:textId="7752C27D" w:rsidR="00955256" w:rsidRPr="00515348" w:rsidRDefault="00955256" w:rsidP="00EB6094">
      <w:r w:rsidRPr="00515348">
        <w:t xml:space="preserve">La próxima </w:t>
      </w:r>
      <w:r w:rsidR="00047BC4" w:rsidRPr="00515348">
        <w:t>reunión</w:t>
      </w:r>
      <w:r w:rsidRPr="00515348">
        <w:t xml:space="preserve"> del CCT está prevista el 18 de abril de </w:t>
      </w:r>
      <w:r w:rsidR="00EB6094" w:rsidRPr="00515348">
        <w:t>2023.</w:t>
      </w:r>
    </w:p>
    <w:p w14:paraId="39CE84EA" w14:textId="5834F2AF" w:rsidR="00EB6094" w:rsidRPr="00515348" w:rsidRDefault="00EB6094" w:rsidP="00F5438B">
      <w:pPr>
        <w:pStyle w:val="Heading2"/>
      </w:pPr>
      <w:r w:rsidRPr="00515348">
        <w:t>6.8</w:t>
      </w:r>
      <w:r w:rsidRPr="00515348">
        <w:tab/>
      </w:r>
      <w:r w:rsidR="00955256" w:rsidRPr="00515348">
        <w:t xml:space="preserve">Preparativos para la AR-23, la </w:t>
      </w:r>
      <w:proofErr w:type="spellStart"/>
      <w:r w:rsidR="00955256" w:rsidRPr="00515348">
        <w:t>CMR</w:t>
      </w:r>
      <w:proofErr w:type="spellEnd"/>
      <w:r w:rsidR="00955256" w:rsidRPr="00515348">
        <w:t xml:space="preserve">-23 y la </w:t>
      </w:r>
      <w:proofErr w:type="spellStart"/>
      <w:r w:rsidR="00955256" w:rsidRPr="00515348">
        <w:t>RPC27</w:t>
      </w:r>
      <w:proofErr w:type="spellEnd"/>
      <w:r w:rsidR="00955256" w:rsidRPr="00515348">
        <w:t>-1</w:t>
      </w:r>
    </w:p>
    <w:p w14:paraId="24B425D8" w14:textId="530B563A" w:rsidR="005A715D" w:rsidRPr="00515348" w:rsidRDefault="005A715D" w:rsidP="00812A93">
      <w:r w:rsidRPr="00515348">
        <w:t xml:space="preserve">Véase la sección 5 del Documento </w:t>
      </w:r>
      <w:hyperlink r:id="rId13" w:history="1">
        <w:proofErr w:type="spellStart"/>
        <w:r w:rsidRPr="00515348">
          <w:rPr>
            <w:rStyle w:val="Hyperlink"/>
          </w:rPr>
          <w:t>RAG</w:t>
        </w:r>
        <w:proofErr w:type="spellEnd"/>
        <w:r w:rsidRPr="00515348">
          <w:rPr>
            <w:rStyle w:val="Hyperlink"/>
          </w:rPr>
          <w:t>/</w:t>
        </w:r>
        <w:r w:rsidR="00955256" w:rsidRPr="00515348">
          <w:rPr>
            <w:rStyle w:val="Hyperlink"/>
          </w:rPr>
          <w:t>58</w:t>
        </w:r>
      </w:hyperlink>
      <w:r w:rsidRPr="00515348">
        <w:t>.</w:t>
      </w:r>
      <w:bookmarkEnd w:id="41"/>
    </w:p>
    <w:p w14:paraId="2E1CA4D0" w14:textId="77777777" w:rsidR="005A715D" w:rsidRPr="00515348" w:rsidRDefault="005A715D" w:rsidP="005A715D">
      <w:pPr>
        <w:pStyle w:val="Heading1"/>
      </w:pPr>
      <w:r w:rsidRPr="00515348">
        <w:t>7</w:t>
      </w:r>
      <w:r w:rsidRPr="00515348">
        <w:tab/>
      </w:r>
      <w:bookmarkEnd w:id="42"/>
      <w:proofErr w:type="gramStart"/>
      <w:r w:rsidRPr="00515348">
        <w:t>Coordinación</w:t>
      </w:r>
      <w:proofErr w:type="gramEnd"/>
      <w:r w:rsidRPr="00515348">
        <w:t xml:space="preserve"> y colaboración con el UIT-D y el UIT-T y con otras organizaciones</w:t>
      </w:r>
    </w:p>
    <w:p w14:paraId="1BEB9522" w14:textId="77777777" w:rsidR="005A715D" w:rsidRPr="00515348" w:rsidRDefault="005A715D" w:rsidP="005A715D">
      <w:r w:rsidRPr="00515348">
        <w:t>Las actividades intersectoriales han continuado durante el periodo, centrándose especialmente en los temas prioritarios de la UIT del cambio climático, las comunicaciones de emergencia y la accesibilidad.</w:t>
      </w:r>
    </w:p>
    <w:p w14:paraId="37C4FD76" w14:textId="77777777" w:rsidR="005A715D" w:rsidRPr="00515348" w:rsidRDefault="005A715D" w:rsidP="00C50B8C">
      <w:pPr>
        <w:pStyle w:val="Headingi"/>
      </w:pPr>
      <w:r w:rsidRPr="00515348">
        <w:t>•</w:t>
      </w:r>
      <w:r w:rsidRPr="00515348">
        <w:tab/>
        <w:t>UIT-D</w:t>
      </w:r>
    </w:p>
    <w:p w14:paraId="1B3C75FB" w14:textId="7E3B9A45" w:rsidR="005A715D" w:rsidRPr="00515348" w:rsidRDefault="005A715D" w:rsidP="005A715D">
      <w:r w:rsidRPr="00515348">
        <w:t>La BR sigue contribuyendo a los diversos talleres y seminarios de la BDT.</w:t>
      </w:r>
    </w:p>
    <w:p w14:paraId="7986D70D" w14:textId="4F9A3BB5" w:rsidR="005A715D" w:rsidRPr="00515348" w:rsidRDefault="005A715D" w:rsidP="004E02A1">
      <w:pPr>
        <w:keepLines/>
      </w:pPr>
      <w:r w:rsidRPr="00515348">
        <w:lastRenderedPageBreak/>
        <w:t>La BR participó activamente en las reuniones de las CE del UIT-D para presentar las últimas evoluciones de los trabajos de las CE del UIT-R, así como orientaciones sobre las Recomendaciones, los Informes y los Manuales del UIT-R de especial interés para los países en desarrollo).</w:t>
      </w:r>
    </w:p>
    <w:p w14:paraId="44F508C1" w14:textId="77777777" w:rsidR="005A715D" w:rsidRPr="00515348" w:rsidRDefault="005A715D" w:rsidP="00C50B8C">
      <w:pPr>
        <w:pStyle w:val="Headingi"/>
      </w:pPr>
      <w:r w:rsidRPr="00515348">
        <w:t>•</w:t>
      </w:r>
      <w:r w:rsidRPr="00515348">
        <w:tab/>
        <w:t>UIT-T</w:t>
      </w:r>
    </w:p>
    <w:p w14:paraId="075DB7D9" w14:textId="069C715C" w:rsidR="005A715D" w:rsidRPr="00515348" w:rsidRDefault="005A715D" w:rsidP="005A715D">
      <w:r w:rsidRPr="00515348">
        <w:t>Además del cambio climático y las comunicaciones de emergencia, los temas de interés tanto para el UIT-R como para el UIT-T comprenden las IMT, los efectos de la exposición de las personas a las frecuencias radioeléctricas, los sistemas de transmisión por líneas eléctricas, la red eléctrica inteligente, las ciudades inteligentes, EMC/EMI, los sistemas de transporte inteligentes, la accesibilidad de los medios audiovisuales, la política común de patentes y los derechos de propiedad intelectual.</w:t>
      </w:r>
    </w:p>
    <w:p w14:paraId="3129DF05" w14:textId="77777777" w:rsidR="005A715D" w:rsidRPr="00515348" w:rsidRDefault="005A715D" w:rsidP="00C50B8C">
      <w:pPr>
        <w:pStyle w:val="Headingi"/>
      </w:pPr>
      <w:bookmarkStart w:id="43" w:name="_Toc445972800"/>
      <w:r w:rsidRPr="00515348">
        <w:t>•</w:t>
      </w:r>
      <w:r w:rsidRPr="00515348">
        <w:tab/>
        <w:t>Otras organizaciones</w:t>
      </w:r>
    </w:p>
    <w:p w14:paraId="2E5D9C22" w14:textId="560F32CA" w:rsidR="005A715D" w:rsidRPr="00515348" w:rsidRDefault="005A715D" w:rsidP="005A715D">
      <w:pPr>
        <w:rPr>
          <w:spacing w:val="-2"/>
        </w:rPr>
      </w:pPr>
      <w:r w:rsidRPr="00515348">
        <w:t xml:space="preserve">Ha continuado la colaboración activa entre las CE del UIT-R y otras organizaciones, haciendo la correspondiente referencia, cuando ha sido necesario, a la Resolución </w:t>
      </w:r>
      <w:hyperlink r:id="rId14" w:history="1">
        <w:r w:rsidRPr="00515348">
          <w:rPr>
            <w:rStyle w:val="Hyperlink"/>
          </w:rPr>
          <w:t>UIT-R 9</w:t>
        </w:r>
      </w:hyperlink>
      <w:r w:rsidRPr="00515348">
        <w:t>.</w:t>
      </w:r>
    </w:p>
    <w:p w14:paraId="583B8B9B" w14:textId="28D15B88" w:rsidR="005A715D" w:rsidRPr="00515348" w:rsidRDefault="005A715D" w:rsidP="00812A93">
      <w:bookmarkStart w:id="44" w:name="_Hlk34147600"/>
      <w:r w:rsidRPr="00515348">
        <w:t>La Oficina siguió manteniendo una estrecha cooperación con numerosas organizaciones, con los objetivos siguientes:</w:t>
      </w:r>
    </w:p>
    <w:p w14:paraId="7F67AF8B" w14:textId="77777777" w:rsidR="005A715D" w:rsidRPr="00515348" w:rsidRDefault="005A715D" w:rsidP="005A715D">
      <w:pPr>
        <w:pStyle w:val="enumlev1"/>
      </w:pPr>
      <w:r w:rsidRPr="00515348">
        <w:t>1)</w:t>
      </w:r>
      <w:r w:rsidRPr="00515348">
        <w:tab/>
        <w:t>promover el diálogo entre organismos que tienen intereses comunes;</w:t>
      </w:r>
    </w:p>
    <w:p w14:paraId="47C65976" w14:textId="77777777" w:rsidR="005A715D" w:rsidRPr="00515348" w:rsidRDefault="005A715D" w:rsidP="005A715D">
      <w:pPr>
        <w:pStyle w:val="enumlev1"/>
      </w:pPr>
      <w:r w:rsidRPr="00515348">
        <w:t>2)</w:t>
      </w:r>
      <w:r w:rsidRPr="00515348">
        <w:tab/>
        <w:t xml:space="preserve">mejorar la coordinación de tal forma que conduzca a una preparación más eficaz de eventos tales como las </w:t>
      </w:r>
      <w:proofErr w:type="spellStart"/>
      <w:r w:rsidRPr="00515348">
        <w:t>CMR</w:t>
      </w:r>
      <w:proofErr w:type="spellEnd"/>
      <w:r w:rsidRPr="00515348">
        <w:t>; y</w:t>
      </w:r>
    </w:p>
    <w:p w14:paraId="1F62E859" w14:textId="77777777" w:rsidR="005A715D" w:rsidRPr="00515348" w:rsidRDefault="005A715D" w:rsidP="005A715D">
      <w:pPr>
        <w:pStyle w:val="enumlev1"/>
      </w:pPr>
      <w:r w:rsidRPr="00515348">
        <w:t>3)</w:t>
      </w:r>
      <w:r w:rsidRPr="00515348">
        <w:tab/>
        <w:t>mantener al UIT</w:t>
      </w:r>
      <w:r w:rsidRPr="00515348">
        <w:noBreakHyphen/>
        <w:t>R al tanto de las actividades pertinentes realizadas en otras organizaciones, a fin de planificar de manera más estratégica los programas de trabajo.</w:t>
      </w:r>
    </w:p>
    <w:p w14:paraId="7B3541E3" w14:textId="2FAC5007" w:rsidR="004E6B0B" w:rsidRPr="00515348" w:rsidRDefault="005A715D" w:rsidP="004E6B0B">
      <w:r w:rsidRPr="00515348">
        <w:t>La Oficina continua su estrecha colaboración con las organizaciones internacionales y regionales pertinentes, incluidas</w:t>
      </w:r>
      <w:r w:rsidR="004E6B0B" w:rsidRPr="00515348">
        <w:t>, entre otras</w:t>
      </w:r>
      <w:r w:rsidR="004F752D">
        <w:t>:</w:t>
      </w:r>
    </w:p>
    <w:p w14:paraId="51565DF4" w14:textId="3373E988" w:rsidR="004E6B0B" w:rsidRPr="00515348" w:rsidRDefault="004E6B0B" w:rsidP="00F5438B">
      <w:pPr>
        <w:pStyle w:val="enumlev1"/>
      </w:pPr>
      <w:r w:rsidRPr="00515348">
        <w:t>−</w:t>
      </w:r>
      <w:r w:rsidRPr="00515348">
        <w:tab/>
      </w:r>
      <w:r w:rsidR="005A715D" w:rsidRPr="00515348">
        <w:t xml:space="preserve">la </w:t>
      </w:r>
      <w:proofErr w:type="spellStart"/>
      <w:r w:rsidR="005A715D" w:rsidRPr="00515348">
        <w:t>APT</w:t>
      </w:r>
      <w:proofErr w:type="spellEnd"/>
      <w:r w:rsidR="005A715D" w:rsidRPr="00515348">
        <w:t xml:space="preserve">, el </w:t>
      </w:r>
      <w:proofErr w:type="spellStart"/>
      <w:r w:rsidR="005A715D" w:rsidRPr="00515348">
        <w:t>ASMG</w:t>
      </w:r>
      <w:proofErr w:type="spellEnd"/>
      <w:r w:rsidR="005A715D" w:rsidRPr="00515348">
        <w:t>, la </w:t>
      </w:r>
      <w:proofErr w:type="spellStart"/>
      <w:r w:rsidR="005A715D" w:rsidRPr="00515348">
        <w:t>ATU</w:t>
      </w:r>
      <w:proofErr w:type="spellEnd"/>
      <w:r w:rsidR="005A715D" w:rsidRPr="00515348">
        <w:t>, la </w:t>
      </w:r>
      <w:proofErr w:type="spellStart"/>
      <w:r w:rsidR="005A715D" w:rsidRPr="00515348">
        <w:t>CEPT</w:t>
      </w:r>
      <w:proofErr w:type="spellEnd"/>
      <w:r w:rsidR="005A715D" w:rsidRPr="00515348">
        <w:t xml:space="preserve">, la </w:t>
      </w:r>
      <w:proofErr w:type="spellStart"/>
      <w:r w:rsidR="005A715D" w:rsidRPr="00515348">
        <w:t>CITEL</w:t>
      </w:r>
      <w:proofErr w:type="spellEnd"/>
      <w:r w:rsidR="005A715D" w:rsidRPr="00515348">
        <w:t xml:space="preserve"> y la CRC</w:t>
      </w:r>
      <w:r w:rsidRPr="00515348">
        <w:t xml:space="preserve"> para la coordinación regional;</w:t>
      </w:r>
      <w:r w:rsidR="005A715D" w:rsidRPr="00515348">
        <w:t xml:space="preserve"> </w:t>
      </w:r>
    </w:p>
    <w:p w14:paraId="72A77A5B" w14:textId="0086D664" w:rsidR="004E6B0B" w:rsidRPr="00515348" w:rsidRDefault="004E6B0B" w:rsidP="00F5438B">
      <w:pPr>
        <w:pStyle w:val="enumlev1"/>
      </w:pPr>
      <w:r w:rsidRPr="00515348">
        <w:t>−</w:t>
      </w:r>
      <w:r w:rsidRPr="00515348">
        <w:tab/>
        <w:t xml:space="preserve">la </w:t>
      </w:r>
      <w:r w:rsidR="005A715D" w:rsidRPr="00515348">
        <w:t xml:space="preserve">ABU, </w:t>
      </w:r>
      <w:r w:rsidRPr="00515348">
        <w:t xml:space="preserve">la </w:t>
      </w:r>
      <w:proofErr w:type="spellStart"/>
      <w:r w:rsidR="005A715D" w:rsidRPr="00515348">
        <w:t>ASBU</w:t>
      </w:r>
      <w:proofErr w:type="spellEnd"/>
      <w:r w:rsidR="005A715D" w:rsidRPr="00515348">
        <w:t xml:space="preserve">, </w:t>
      </w:r>
      <w:r w:rsidRPr="00515348">
        <w:t xml:space="preserve">la </w:t>
      </w:r>
      <w:proofErr w:type="spellStart"/>
      <w:r w:rsidR="005A715D" w:rsidRPr="00515348">
        <w:t>EBU</w:t>
      </w:r>
      <w:proofErr w:type="spellEnd"/>
      <w:r w:rsidR="00CC5A34" w:rsidRPr="00515348">
        <w:t xml:space="preserve">, la </w:t>
      </w:r>
      <w:proofErr w:type="spellStart"/>
      <w:r w:rsidR="00CC5A34" w:rsidRPr="00515348">
        <w:t>SMPT</w:t>
      </w:r>
      <w:proofErr w:type="spellEnd"/>
      <w:r w:rsidR="00CC5A34" w:rsidRPr="00515348">
        <w:t>, el ETSI</w:t>
      </w:r>
      <w:r w:rsidR="005A715D" w:rsidRPr="00515348">
        <w:t xml:space="preserve"> y </w:t>
      </w:r>
      <w:r w:rsidRPr="00515348">
        <w:t xml:space="preserve">la </w:t>
      </w:r>
      <w:proofErr w:type="spellStart"/>
      <w:r w:rsidRPr="00515348">
        <w:t>HFCC</w:t>
      </w:r>
      <w:proofErr w:type="spellEnd"/>
      <w:r w:rsidRPr="00515348">
        <w:t xml:space="preserve"> para cuestiones relativas a la radiodifusión;</w:t>
      </w:r>
    </w:p>
    <w:p w14:paraId="4F6A5E80" w14:textId="42E8929D" w:rsidR="004E6B0B" w:rsidRPr="00515348" w:rsidRDefault="004E6B0B" w:rsidP="00F5438B">
      <w:pPr>
        <w:pStyle w:val="enumlev1"/>
      </w:pPr>
      <w:r w:rsidRPr="00515348">
        <w:t>−</w:t>
      </w:r>
      <w:r w:rsidRPr="00515348">
        <w:tab/>
        <w:t xml:space="preserve">la </w:t>
      </w:r>
      <w:proofErr w:type="spellStart"/>
      <w:r w:rsidRPr="00515348">
        <w:t>ITSO</w:t>
      </w:r>
      <w:proofErr w:type="spellEnd"/>
      <w:r w:rsidRPr="00515348">
        <w:t xml:space="preserve">, la </w:t>
      </w:r>
      <w:proofErr w:type="spellStart"/>
      <w:r w:rsidRPr="00515348">
        <w:t>ESOA</w:t>
      </w:r>
      <w:proofErr w:type="spellEnd"/>
      <w:r w:rsidRPr="00515348">
        <w:t xml:space="preserve">, el </w:t>
      </w:r>
      <w:proofErr w:type="spellStart"/>
      <w:r w:rsidRPr="00515348">
        <w:t>GVF</w:t>
      </w:r>
      <w:proofErr w:type="spellEnd"/>
      <w:r w:rsidRPr="00515348">
        <w:t xml:space="preserve">, la </w:t>
      </w:r>
      <w:proofErr w:type="spellStart"/>
      <w:r w:rsidRPr="00515348">
        <w:t>GSMA</w:t>
      </w:r>
      <w:proofErr w:type="spellEnd"/>
      <w:r w:rsidRPr="00515348">
        <w:t xml:space="preserve"> para</w:t>
      </w:r>
      <w:r w:rsidR="005A715D" w:rsidRPr="00515348">
        <w:t xml:space="preserve"> la utilización de </w:t>
      </w:r>
      <w:r w:rsidRPr="00515348">
        <w:t xml:space="preserve">sistemas y </w:t>
      </w:r>
      <w:r w:rsidR="005A715D" w:rsidRPr="00515348">
        <w:t>servicios de radiocomunicaciones específicos</w:t>
      </w:r>
      <w:r w:rsidRPr="00515348">
        <w:t>;</w:t>
      </w:r>
    </w:p>
    <w:p w14:paraId="78CF6715" w14:textId="5108A753" w:rsidR="004E6B0B" w:rsidRPr="00515348" w:rsidRDefault="004E6B0B" w:rsidP="00F5438B">
      <w:pPr>
        <w:pStyle w:val="enumlev1"/>
      </w:pPr>
      <w:r w:rsidRPr="00515348">
        <w:t>−</w:t>
      </w:r>
      <w:r w:rsidRPr="00515348">
        <w:tab/>
        <w:t xml:space="preserve">la </w:t>
      </w:r>
      <w:proofErr w:type="spellStart"/>
      <w:r w:rsidR="005A715D" w:rsidRPr="00515348">
        <w:t>3GPP</w:t>
      </w:r>
      <w:proofErr w:type="spellEnd"/>
      <w:r w:rsidRPr="00515348">
        <w:t xml:space="preserve">, el IEEE y varias organizaciones de </w:t>
      </w:r>
      <w:r w:rsidR="00047BC4" w:rsidRPr="00515348">
        <w:t>normalización regionales</w:t>
      </w:r>
      <w:r w:rsidRPr="00515348">
        <w:t xml:space="preserve"> para las actividades relacionadas con la Colaboración Mundial en materia de Normalización (</w:t>
      </w:r>
      <w:proofErr w:type="spellStart"/>
      <w:r w:rsidRPr="00515348">
        <w:t>GSC</w:t>
      </w:r>
      <w:proofErr w:type="spellEnd"/>
      <w:r w:rsidRPr="00515348">
        <w:t>);</w:t>
      </w:r>
    </w:p>
    <w:p w14:paraId="163CFD77" w14:textId="0919FB04" w:rsidR="005A715D" w:rsidRPr="00515348" w:rsidRDefault="004E6B0B" w:rsidP="00F5438B">
      <w:pPr>
        <w:pStyle w:val="enumlev1"/>
      </w:pPr>
      <w:r w:rsidRPr="00515348">
        <w:t>−</w:t>
      </w:r>
      <w:r w:rsidRPr="00515348">
        <w:tab/>
      </w:r>
      <w:r w:rsidR="005A715D" w:rsidRPr="00515348">
        <w:t>la Organización Meteorológica Mundial, la Organización Mundial de la Salud, la ISO, la CEI (incluido el CISPR), el Grupo de Coordinación de Frecuencias Espaciales</w:t>
      </w:r>
      <w:r w:rsidR="00047BC4" w:rsidRPr="00515348">
        <w:t>, la</w:t>
      </w:r>
      <w:r w:rsidR="005A715D" w:rsidRPr="00515348">
        <w:t xml:space="preserve"> </w:t>
      </w:r>
      <w:r w:rsidR="00047BC4" w:rsidRPr="00515348">
        <w:t>Unión Internacional de Ciencias Radioeléctricas (</w:t>
      </w:r>
      <w:proofErr w:type="spellStart"/>
      <w:r w:rsidR="00047BC4" w:rsidRPr="00515348">
        <w:t>URSI</w:t>
      </w:r>
      <w:proofErr w:type="spellEnd"/>
      <w:r w:rsidR="00047BC4" w:rsidRPr="00515348">
        <w:t xml:space="preserve">) </w:t>
      </w:r>
      <w:r w:rsidR="005A715D" w:rsidRPr="00515348">
        <w:t xml:space="preserve">y varias otras organizaciones en función </w:t>
      </w:r>
      <w:r w:rsidR="00047BC4" w:rsidRPr="00515348">
        <w:t>de las necesidades para la coordinación con respecto a las actividades de las CE.</w:t>
      </w:r>
    </w:p>
    <w:p w14:paraId="3CD474EE" w14:textId="10D722D2" w:rsidR="005A715D" w:rsidRPr="00515348" w:rsidRDefault="00047BC4" w:rsidP="00F5438B">
      <w:pPr>
        <w:pStyle w:val="enumlev1"/>
      </w:pPr>
      <w:r w:rsidRPr="00515348">
        <w:t>−</w:t>
      </w:r>
      <w:r w:rsidRPr="00515348">
        <w:tab/>
        <w:t>La</w:t>
      </w:r>
      <w:r w:rsidR="005A715D" w:rsidRPr="00515348">
        <w:t xml:space="preserve"> Comisión de las Naciones Unidas sobre la Utilización del Espacio Ultraterrestre con Fines Pacíficos (UN </w:t>
      </w:r>
      <w:proofErr w:type="spellStart"/>
      <w:r w:rsidR="005A715D" w:rsidRPr="00515348">
        <w:t>COPUOS</w:t>
      </w:r>
      <w:proofErr w:type="spellEnd"/>
      <w:r w:rsidR="005A715D" w:rsidRPr="00515348">
        <w:t>),</w:t>
      </w:r>
      <w:r w:rsidRPr="00515348">
        <w:t xml:space="preserve"> la Comisión Económica para Europa (CEPE) de las Naciones Unidas, </w:t>
      </w:r>
      <w:r w:rsidR="005A715D" w:rsidRPr="00515348">
        <w:t>la Organización Marítima Internacional (OMI), la Organización Internacional de Telecomunicaciones Móviles Satélite (</w:t>
      </w:r>
      <w:proofErr w:type="spellStart"/>
      <w:r w:rsidR="005A715D" w:rsidRPr="00515348">
        <w:t>IMSO</w:t>
      </w:r>
      <w:proofErr w:type="spellEnd"/>
      <w:r w:rsidR="005A715D" w:rsidRPr="00515348">
        <w:t>), la Oficina Internacional de Pesos y Medidas (</w:t>
      </w:r>
      <w:proofErr w:type="spellStart"/>
      <w:r w:rsidR="005A715D" w:rsidRPr="00515348">
        <w:t>BIPM</w:t>
      </w:r>
      <w:proofErr w:type="spellEnd"/>
      <w:r w:rsidR="005A715D" w:rsidRPr="00515348">
        <w:t>), la Organización Internacional de Telecomunicaciones por Satélite (</w:t>
      </w:r>
      <w:proofErr w:type="spellStart"/>
      <w:r w:rsidR="005A715D" w:rsidRPr="00515348">
        <w:t>ITSO</w:t>
      </w:r>
      <w:proofErr w:type="spellEnd"/>
      <w:r w:rsidR="005A715D" w:rsidRPr="00515348">
        <w:t xml:space="preserve">), </w:t>
      </w:r>
      <w:proofErr w:type="spellStart"/>
      <w:r w:rsidR="005A715D" w:rsidRPr="00515348">
        <w:t>COSPAS</w:t>
      </w:r>
      <w:proofErr w:type="spellEnd"/>
      <w:r w:rsidR="005A715D" w:rsidRPr="00515348">
        <w:t xml:space="preserve"> </w:t>
      </w:r>
      <w:proofErr w:type="spellStart"/>
      <w:r w:rsidR="005A715D" w:rsidRPr="00515348">
        <w:t>SARSAT</w:t>
      </w:r>
      <w:proofErr w:type="spellEnd"/>
      <w:r w:rsidR="005A715D" w:rsidRPr="00515348">
        <w:t>, el Comité Internacional de la Cruz Roja (CICR) y la Organización de Aviación Civil Internacional (OACI) con respecto a la aplicación de los textos de la UIT con carácter de tratado.</w:t>
      </w:r>
    </w:p>
    <w:bookmarkEnd w:id="44"/>
    <w:p w14:paraId="69A92355" w14:textId="77777777" w:rsidR="005A715D" w:rsidRPr="00515348" w:rsidRDefault="005A715D" w:rsidP="005A715D">
      <w:pPr>
        <w:pStyle w:val="Heading1"/>
      </w:pPr>
      <w:r w:rsidRPr="00515348">
        <w:lastRenderedPageBreak/>
        <w:t>8</w:t>
      </w:r>
      <w:r w:rsidRPr="00515348">
        <w:tab/>
      </w:r>
      <w:bookmarkEnd w:id="43"/>
      <w:proofErr w:type="gramStart"/>
      <w:r w:rsidRPr="00515348">
        <w:t>Otras</w:t>
      </w:r>
      <w:proofErr w:type="gramEnd"/>
      <w:r w:rsidRPr="00515348">
        <w:t xml:space="preserve"> actividades intersectoriales</w:t>
      </w:r>
    </w:p>
    <w:p w14:paraId="18BD628D" w14:textId="77777777" w:rsidR="005A715D" w:rsidRPr="00515348" w:rsidRDefault="005A715D" w:rsidP="005A715D">
      <w:r w:rsidRPr="00515348">
        <w:t>La BR ha participado activamente en otras actividades intersectoriales referentes a los trabajos de las CE del UIT-R, a saber:</w:t>
      </w:r>
    </w:p>
    <w:p w14:paraId="347A7990" w14:textId="73C8E065" w:rsidR="005A715D" w:rsidRPr="00515348" w:rsidRDefault="005A715D" w:rsidP="005A715D">
      <w:pPr>
        <w:pStyle w:val="enumlev1"/>
      </w:pPr>
      <w:r w:rsidRPr="00515348">
        <w:t>–</w:t>
      </w:r>
      <w:r w:rsidRPr="00515348">
        <w:tab/>
        <w:t xml:space="preserve">Cambio climático y comunicaciones de emergencia: </w:t>
      </w:r>
      <w:r w:rsidR="00D30B54" w:rsidRPr="00515348">
        <w:t>l</w:t>
      </w:r>
      <w:r w:rsidRPr="00515348">
        <w:t>a BR participa en las actividades intersectoriales coordinadas por el Grupo Especial sobre Cambio Climático y Telecomunicaciones de Emergencia de la UIT para la aplicación de la Resolución 136 (Rev. </w:t>
      </w:r>
      <w:r w:rsidR="00047BC4" w:rsidRPr="00515348">
        <w:t>Bucarest</w:t>
      </w:r>
      <w:r w:rsidRPr="00515348">
        <w:t>, 20</w:t>
      </w:r>
      <w:r w:rsidR="00047BC4" w:rsidRPr="00515348">
        <w:t>22</w:t>
      </w:r>
      <w:r w:rsidRPr="00515348">
        <w:t>). Se realizaron estudios en respuesta a la Resolución </w:t>
      </w:r>
      <w:hyperlink r:id="rId15" w:history="1">
        <w:r w:rsidRPr="00515348">
          <w:rPr>
            <w:rStyle w:val="Hyperlink"/>
          </w:rPr>
          <w:t>UIT-R 6</w:t>
        </w:r>
        <w:r w:rsidRPr="00515348">
          <w:rPr>
            <w:rStyle w:val="Hyperlink"/>
          </w:rPr>
          <w:t>0</w:t>
        </w:r>
        <w:r w:rsidRPr="00515348">
          <w:rPr>
            <w:rStyle w:val="Hyperlink"/>
          </w:rPr>
          <w:t>-2</w:t>
        </w:r>
      </w:hyperlink>
      <w:r w:rsidRPr="00515348">
        <w:t xml:space="preserve"> (Reducción del consumo de energía para la protección del medio ambiente y la reducción del cambio climático mediante la utilización de tecnologías y sistemas de</w:t>
      </w:r>
      <w:r w:rsidR="004F752D">
        <w:t> </w:t>
      </w:r>
      <w:r w:rsidRPr="00515348">
        <w:t>TIC/radiocomunicaciones).</w:t>
      </w:r>
    </w:p>
    <w:p w14:paraId="7A1E988F" w14:textId="2C0C9A35" w:rsidR="005A715D" w:rsidRPr="00515348" w:rsidRDefault="005A715D" w:rsidP="00047BC4">
      <w:pPr>
        <w:pStyle w:val="enumlev1"/>
      </w:pPr>
      <w:r w:rsidRPr="00515348">
        <w:t>–</w:t>
      </w:r>
      <w:r w:rsidRPr="00515348">
        <w:tab/>
        <w:t xml:space="preserve">Accesibilidad: </w:t>
      </w:r>
      <w:r w:rsidR="00D30B54" w:rsidRPr="00515348">
        <w:t>e</w:t>
      </w:r>
      <w:r w:rsidRPr="00515348">
        <w:t xml:space="preserve">l UIT-R participa activamente en la </w:t>
      </w:r>
      <w:proofErr w:type="spellStart"/>
      <w:r w:rsidRPr="00515348">
        <w:t>JCA-AHF</w:t>
      </w:r>
      <w:proofErr w:type="spellEnd"/>
      <w:r w:rsidRPr="00515348">
        <w:t xml:space="preserve"> (Actividad Conjunta de Coordinación sobre accesibilidad y factores humanos) del UIT-T.</w:t>
      </w:r>
    </w:p>
    <w:p w14:paraId="0E98AA08" w14:textId="7C012C9E" w:rsidR="005A715D" w:rsidRPr="00515348" w:rsidRDefault="005A715D" w:rsidP="0028664C">
      <w:pPr>
        <w:pStyle w:val="enumlev1"/>
      </w:pPr>
      <w:r w:rsidRPr="00515348">
        <w:t>–</w:t>
      </w:r>
      <w:r w:rsidRPr="00515348">
        <w:tab/>
      </w:r>
      <w:proofErr w:type="spellStart"/>
      <w:r w:rsidRPr="00515348">
        <w:t>CMSI</w:t>
      </w:r>
      <w:proofErr w:type="spellEnd"/>
      <w:r w:rsidRPr="00515348">
        <w:t xml:space="preserve"> y </w:t>
      </w:r>
      <w:proofErr w:type="spellStart"/>
      <w:r w:rsidRPr="00515348">
        <w:t>GTC</w:t>
      </w:r>
      <w:proofErr w:type="spellEnd"/>
      <w:r w:rsidRPr="00515348">
        <w:t xml:space="preserve"> sobre la </w:t>
      </w:r>
      <w:proofErr w:type="spellStart"/>
      <w:r w:rsidRPr="00515348">
        <w:t>CMSI</w:t>
      </w:r>
      <w:proofErr w:type="spellEnd"/>
      <w:r w:rsidRPr="00515348">
        <w:t xml:space="preserve"> y los ODS: </w:t>
      </w:r>
      <w:r w:rsidR="00D30B54" w:rsidRPr="00515348">
        <w:t>e</w:t>
      </w:r>
      <w:r w:rsidRPr="00515348">
        <w:t>n respuesta a la Resolución 140 (Rev.</w:t>
      </w:r>
      <w:r w:rsidR="004F752D">
        <w:t> </w:t>
      </w:r>
      <w:r w:rsidR="00047BC4" w:rsidRPr="00515348">
        <w:t>Bucarest</w:t>
      </w:r>
      <w:r w:rsidRPr="00515348">
        <w:t>,</w:t>
      </w:r>
      <w:r w:rsidR="004F752D">
        <w:t> </w:t>
      </w:r>
      <w:r w:rsidRPr="00515348">
        <w:t>20</w:t>
      </w:r>
      <w:r w:rsidR="00047BC4" w:rsidRPr="00515348">
        <w:t>22</w:t>
      </w:r>
      <w:r w:rsidRPr="00515348">
        <w:t>) de la Conferencia de Plenipotenciarios</w:t>
      </w:r>
      <w:r w:rsidR="0028664C" w:rsidRPr="00515348">
        <w:t xml:space="preserve"> sobre la f</w:t>
      </w:r>
      <w:bookmarkStart w:id="45" w:name="_Toc406754246"/>
      <w:r w:rsidRPr="00515348">
        <w:t>unción de la UIT en la aplicación de los resultados de la Cumbre Mundial sobre la Sociedad de la Información y de la Agenda 2030 para el Desarrollo Sostenible, así como en sus procesos de seguimiento y revisión</w:t>
      </w:r>
      <w:bookmarkEnd w:id="45"/>
      <w:r w:rsidRPr="00515348">
        <w:t xml:space="preserve">, el UIT-R </w:t>
      </w:r>
      <w:r w:rsidR="00047BC4" w:rsidRPr="00515348">
        <w:t>se coordina</w:t>
      </w:r>
      <w:r w:rsidRPr="00515348">
        <w:t xml:space="preserve"> con el </w:t>
      </w:r>
      <w:proofErr w:type="spellStart"/>
      <w:r w:rsidRPr="00515348">
        <w:t>GTC</w:t>
      </w:r>
      <w:proofErr w:type="spellEnd"/>
      <w:r w:rsidRPr="00515348">
        <w:t xml:space="preserve"> sobre la </w:t>
      </w:r>
      <w:proofErr w:type="spellStart"/>
      <w:r w:rsidRPr="00515348">
        <w:t>CMSI</w:t>
      </w:r>
      <w:proofErr w:type="spellEnd"/>
      <w:r w:rsidRPr="00515348">
        <w:t xml:space="preserve"> y los ODS y facilita información actualizada sobre los trabajos realizados por las Comisiones de Estudio del</w:t>
      </w:r>
      <w:r w:rsidR="004F752D">
        <w:t> </w:t>
      </w:r>
      <w:r w:rsidRPr="00515348">
        <w:t>UIT-R. El Departamento de Comisiones de Estudio (</w:t>
      </w:r>
      <w:proofErr w:type="spellStart"/>
      <w:r w:rsidRPr="00515348">
        <w:t>SGD</w:t>
      </w:r>
      <w:proofErr w:type="spellEnd"/>
      <w:r w:rsidRPr="00515348">
        <w:t>) de la BR ha preparado y puesto en línea un sitio web en el que se enumeran las publicaciones del UIT-R relacionadas con cada ODS, que puede consultarse en la dirección</w:t>
      </w:r>
      <w:bookmarkStart w:id="46" w:name="lt_pId494"/>
      <w:r w:rsidRPr="00515348">
        <w:t xml:space="preserve">: </w:t>
      </w:r>
      <w:hyperlink r:id="rId16">
        <w:r w:rsidR="00047BC4" w:rsidRPr="00515348">
          <w:rPr>
            <w:rStyle w:val="Hyperlink"/>
          </w:rPr>
          <w:t>https://www.itu.int/en/ITU-R/study-groups/Pages/Susta</w:t>
        </w:r>
        <w:r w:rsidR="00047BC4" w:rsidRPr="00515348">
          <w:rPr>
            <w:rStyle w:val="Hyperlink"/>
          </w:rPr>
          <w:t>i</w:t>
        </w:r>
        <w:r w:rsidR="00047BC4" w:rsidRPr="00515348">
          <w:rPr>
            <w:rStyle w:val="Hyperlink"/>
          </w:rPr>
          <w:t>nable-dev-goals.aspx</w:t>
        </w:r>
      </w:hyperlink>
      <w:r w:rsidRPr="00515348">
        <w:t>.</w:t>
      </w:r>
      <w:bookmarkEnd w:id="46"/>
    </w:p>
    <w:p w14:paraId="11BF9F18" w14:textId="74B41CAA" w:rsidR="005A715D" w:rsidRPr="00515348" w:rsidRDefault="005A715D" w:rsidP="005A715D">
      <w:pPr>
        <w:pStyle w:val="enumlev1"/>
        <w:rPr>
          <w:rFonts w:asciiTheme="majorBidi" w:hAnsiTheme="majorBidi" w:cstheme="majorBidi"/>
          <w:szCs w:val="24"/>
        </w:rPr>
      </w:pPr>
      <w:r w:rsidRPr="00515348">
        <w:t>–</w:t>
      </w:r>
      <w:r w:rsidRPr="00515348">
        <w:tab/>
        <w:t xml:space="preserve">La </w:t>
      </w:r>
      <w:r w:rsidR="0032625D" w:rsidRPr="00515348">
        <w:t>Oficina</w:t>
      </w:r>
      <w:r w:rsidRPr="00515348">
        <w:t xml:space="preserve"> sigue participando en las actividades </w:t>
      </w:r>
      <w:r w:rsidR="0028664C" w:rsidRPr="00515348">
        <w:t>relacionadas con</w:t>
      </w:r>
      <w:r w:rsidRPr="00515348">
        <w:t xml:space="preserve"> los próximos grandes eventos, con</w:t>
      </w:r>
      <w:r w:rsidR="0032625D" w:rsidRPr="00515348">
        <w:t>ferencias y reuniones de la UIT</w:t>
      </w:r>
      <w:r w:rsidRPr="00515348">
        <w:t>. Estas actividades se realizan en apoyo de la Conferencia de Plenipotenciarios</w:t>
      </w:r>
      <w:r w:rsidR="0032625D" w:rsidRPr="00515348">
        <w:t xml:space="preserve">, el Consejo de la UIT, la </w:t>
      </w:r>
      <w:proofErr w:type="spellStart"/>
      <w:r w:rsidR="0032625D" w:rsidRPr="00515348">
        <w:t>AMNT</w:t>
      </w:r>
      <w:proofErr w:type="spellEnd"/>
      <w:r w:rsidR="0032625D" w:rsidRPr="00515348">
        <w:t xml:space="preserve"> y</w:t>
      </w:r>
      <w:r w:rsidRPr="00515348">
        <w:t xml:space="preserve"> la CMDT</w:t>
      </w:r>
      <w:r w:rsidRPr="00515348">
        <w:rPr>
          <w:rFonts w:asciiTheme="majorBidi" w:hAnsiTheme="majorBidi" w:cstheme="majorBidi"/>
          <w:szCs w:val="24"/>
        </w:rPr>
        <w:t>.</w:t>
      </w:r>
    </w:p>
    <w:p w14:paraId="7F47194E" w14:textId="1C86C130" w:rsidR="005A715D" w:rsidRPr="00515348" w:rsidRDefault="005A715D" w:rsidP="005A715D">
      <w:pPr>
        <w:pStyle w:val="Heading1"/>
      </w:pPr>
      <w:r w:rsidRPr="00515348">
        <w:t>9</w:t>
      </w:r>
      <w:r w:rsidRPr="00515348">
        <w:tab/>
      </w:r>
      <w:proofErr w:type="gramStart"/>
      <w:r w:rsidRPr="00515348">
        <w:t>Acciones</w:t>
      </w:r>
      <w:proofErr w:type="gramEnd"/>
      <w:r w:rsidRPr="00515348">
        <w:t xml:space="preserve"> solicitadas por el GAR en su reunión de 202</w:t>
      </w:r>
      <w:r w:rsidR="0032625D" w:rsidRPr="00515348">
        <w:t>2</w:t>
      </w:r>
    </w:p>
    <w:p w14:paraId="65A2D160" w14:textId="340DBC03" w:rsidR="005A715D" w:rsidRPr="00515348" w:rsidRDefault="0032625D" w:rsidP="00495E58">
      <w:bookmarkStart w:id="47" w:name="lt_pId503"/>
      <w:r w:rsidRPr="00515348">
        <w:t>En</w:t>
      </w:r>
      <w:r w:rsidR="005A715D" w:rsidRPr="00515348">
        <w:t xml:space="preserve"> su </w:t>
      </w:r>
      <w:r w:rsidRPr="00515348">
        <w:t xml:space="preserve">última </w:t>
      </w:r>
      <w:r w:rsidR="005A715D" w:rsidRPr="00515348">
        <w:t>reunión</w:t>
      </w:r>
      <w:r w:rsidRPr="00515348">
        <w:t xml:space="preserve"> de abril de 2022</w:t>
      </w:r>
      <w:r w:rsidR="0028664C" w:rsidRPr="00515348">
        <w:t>,</w:t>
      </w:r>
      <w:r w:rsidR="005A715D" w:rsidRPr="00515348">
        <w:t xml:space="preserve"> y </w:t>
      </w:r>
      <w:r w:rsidRPr="00515348">
        <w:t>según</w:t>
      </w:r>
      <w:r w:rsidR="005A715D" w:rsidRPr="00515348">
        <w:t xml:space="preserve"> se recoge en el Resumen de Conclusiones (Circular Administrativa </w:t>
      </w:r>
      <w:hyperlink r:id="rId17" w:history="1">
        <w:r w:rsidR="005A715D" w:rsidRPr="00515348">
          <w:rPr>
            <w:rStyle w:val="Hyperlink"/>
          </w:rPr>
          <w:t>CA/2</w:t>
        </w:r>
        <w:r w:rsidRPr="00515348">
          <w:rPr>
            <w:rStyle w:val="Hyperlink"/>
          </w:rPr>
          <w:t>60</w:t>
        </w:r>
      </w:hyperlink>
      <w:r w:rsidR="0028664C" w:rsidRPr="00515348">
        <w:t>)</w:t>
      </w:r>
      <w:r w:rsidR="000F423F" w:rsidRPr="00515348">
        <w:t>,</w:t>
      </w:r>
      <w:r w:rsidR="005A715D" w:rsidRPr="00515348">
        <w:t xml:space="preserve"> </w:t>
      </w:r>
      <w:bookmarkEnd w:id="47"/>
      <w:r w:rsidRPr="00515348">
        <w:t xml:space="preserve">en relación </w:t>
      </w:r>
      <w:r w:rsidR="00B83CED" w:rsidRPr="00515348">
        <w:t>con la propuesta del GAR de instar</w:t>
      </w:r>
      <w:r w:rsidRPr="00515348">
        <w:t xml:space="preserve"> </w:t>
      </w:r>
      <w:r w:rsidR="00B83CED" w:rsidRPr="00515348">
        <w:t xml:space="preserve">a que </w:t>
      </w:r>
      <w:r w:rsidRPr="00515348">
        <w:t xml:space="preserve">los órdenes del día de las CE y los GT estén disponibles como documentos ADM, esta petición se transmitió a los </w:t>
      </w:r>
      <w:proofErr w:type="gramStart"/>
      <w:r w:rsidR="000F423F" w:rsidRPr="00515348">
        <w:t>Presidentes</w:t>
      </w:r>
      <w:proofErr w:type="gramEnd"/>
      <w:r w:rsidR="000F423F" w:rsidRPr="00515348">
        <w:t xml:space="preserve"> </w:t>
      </w:r>
      <w:r w:rsidRPr="00515348">
        <w:t>correspondientes.</w:t>
      </w:r>
    </w:p>
    <w:p w14:paraId="11C61F58" w14:textId="7C73B6DA" w:rsidR="00B83CED" w:rsidRPr="00515348" w:rsidRDefault="00B83CED" w:rsidP="004F752D">
      <w:r w:rsidRPr="00515348">
        <w:t>Dado que much</w:t>
      </w:r>
      <w:r w:rsidR="004F752D">
        <w:t>a</w:t>
      </w:r>
      <w:r w:rsidRPr="00515348">
        <w:t xml:space="preserve">s Comisiones de Estudio y sus Grupos de Trabajo han puesto en marcha esta acción, hay que tener en cuenta que, en algunas ocasiones, la carga de trabajo de la Secretaría </w:t>
      </w:r>
      <w:r w:rsidR="000F423F" w:rsidRPr="00515348">
        <w:t>del</w:t>
      </w:r>
      <w:r w:rsidR="004F752D">
        <w:t> </w:t>
      </w:r>
      <w:proofErr w:type="spellStart"/>
      <w:r w:rsidRPr="00515348">
        <w:t>SGD</w:t>
      </w:r>
      <w:proofErr w:type="spellEnd"/>
      <w:r w:rsidRPr="00515348">
        <w:t xml:space="preserve"> </w:t>
      </w:r>
      <w:r w:rsidR="000F423F" w:rsidRPr="00515348">
        <w:t xml:space="preserve">de la BR </w:t>
      </w:r>
      <w:r w:rsidRPr="00515348">
        <w:t xml:space="preserve">aumentó, impidiéndole centrarse en la tramitación de los documentos </w:t>
      </w:r>
      <w:proofErr w:type="spellStart"/>
      <w:r w:rsidRPr="00515348">
        <w:t>TEMP</w:t>
      </w:r>
      <w:proofErr w:type="spellEnd"/>
      <w:r w:rsidRPr="00515348">
        <w:t xml:space="preserve"> con </w:t>
      </w:r>
      <w:r w:rsidR="000F423F" w:rsidRPr="00515348">
        <w:t xml:space="preserve">una </w:t>
      </w:r>
      <w:r w:rsidRPr="00515348">
        <w:t>prioridad</w:t>
      </w:r>
      <w:r w:rsidR="000F423F" w:rsidRPr="00515348">
        <w:t xml:space="preserve"> mayor</w:t>
      </w:r>
      <w:r w:rsidRPr="00515348">
        <w:t>.</w:t>
      </w:r>
    </w:p>
    <w:p w14:paraId="29FEB482" w14:textId="77777777" w:rsidR="00020749" w:rsidRPr="00515348" w:rsidRDefault="00020749">
      <w:pPr>
        <w:jc w:val="center"/>
      </w:pPr>
      <w:r w:rsidRPr="00515348">
        <w:t>______________</w:t>
      </w:r>
    </w:p>
    <w:sectPr w:rsidR="00020749" w:rsidRPr="00515348" w:rsidSect="004D6C09">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4BB71" w14:textId="77777777" w:rsidR="00A03D61" w:rsidRDefault="00A03D61">
      <w:r>
        <w:separator/>
      </w:r>
    </w:p>
  </w:endnote>
  <w:endnote w:type="continuationSeparator" w:id="0">
    <w:p w14:paraId="5871257B" w14:textId="77777777" w:rsidR="00A03D61" w:rsidRDefault="00A0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14A9" w14:textId="5D7A347E" w:rsidR="003C48D8" w:rsidRPr="00B154CB" w:rsidRDefault="003C48D8" w:rsidP="003C48D8">
    <w:pPr>
      <w:pStyle w:val="Footer"/>
      <w:rPr>
        <w:lang w:val="en-US"/>
      </w:rPr>
    </w:pPr>
    <w:r>
      <w:fldChar w:fldCharType="begin"/>
    </w:r>
    <w:r w:rsidRPr="00B154CB">
      <w:rPr>
        <w:lang w:val="en-US"/>
      </w:rPr>
      <w:instrText xml:space="preserve"> FILENAME  \p  \* MERGEFORMAT </w:instrText>
    </w:r>
    <w:r>
      <w:fldChar w:fldCharType="separate"/>
    </w:r>
    <w:r w:rsidR="002B0E41">
      <w:rPr>
        <w:lang w:val="en-US"/>
      </w:rPr>
      <w:t>P:\ESP\ITU-R\AG\RAG\RAG23\000\058ADD01S.docx</w:t>
    </w:r>
    <w:r>
      <w:fldChar w:fldCharType="end"/>
    </w:r>
    <w:r>
      <w:t xml:space="preserve"> (520295)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5C987" w14:textId="1445A166" w:rsidR="00B154CB" w:rsidRPr="00B154CB" w:rsidRDefault="00B154CB">
    <w:pPr>
      <w:pStyle w:val="Footer"/>
      <w:rPr>
        <w:lang w:val="en-US"/>
      </w:rPr>
    </w:pPr>
    <w:r>
      <w:fldChar w:fldCharType="begin"/>
    </w:r>
    <w:r w:rsidRPr="00B154CB">
      <w:rPr>
        <w:lang w:val="en-US"/>
      </w:rPr>
      <w:instrText xml:space="preserve"> FILENAME  \p  \* MERGEFORMAT </w:instrText>
    </w:r>
    <w:r>
      <w:fldChar w:fldCharType="separate"/>
    </w:r>
    <w:r w:rsidR="002B0E41">
      <w:rPr>
        <w:lang w:val="en-US"/>
      </w:rPr>
      <w:t>P:\ESP\ITU-R\AG\RAG\RAG23\000\058ADD01S.docx</w:t>
    </w:r>
    <w:r>
      <w:fldChar w:fldCharType="end"/>
    </w:r>
    <w:r w:rsidR="003C48D8">
      <w:t xml:space="preserve"> (520295)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3915" w14:textId="77777777" w:rsidR="00A03D61" w:rsidRDefault="00A03D61">
      <w:r>
        <w:t>____________________</w:t>
      </w:r>
    </w:p>
  </w:footnote>
  <w:footnote w:type="continuationSeparator" w:id="0">
    <w:p w14:paraId="4AF61F9F" w14:textId="77777777" w:rsidR="00A03D61" w:rsidRDefault="00A03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6867" w14:textId="69D8BFF1" w:rsidR="00A03D61" w:rsidRDefault="00A03D61" w:rsidP="00CC5942">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6F3A86">
      <w:rPr>
        <w:rStyle w:val="PageNumber"/>
        <w:noProof/>
      </w:rPr>
      <w:t>2</w:t>
    </w:r>
    <w:r>
      <w:rPr>
        <w:rStyle w:val="PageNumber"/>
      </w:rPr>
      <w:fldChar w:fldCharType="end"/>
    </w:r>
  </w:p>
  <w:p w14:paraId="7F92E055" w14:textId="3E62463A" w:rsidR="00A03D61" w:rsidRPr="00CC5942" w:rsidRDefault="00A03D61" w:rsidP="00CC5942">
    <w:pPr>
      <w:pStyle w:val="Header"/>
    </w:pPr>
    <w:r>
      <w:rPr>
        <w:lang w:val="es-ES"/>
      </w:rPr>
      <w:t>RAG/</w:t>
    </w:r>
    <w:r w:rsidR="003C48D8">
      <w:rPr>
        <w:lang w:val="es-ES"/>
      </w:rPr>
      <w:t>58</w:t>
    </w:r>
    <w:r>
      <w:rPr>
        <w:lang w:val="es-ES"/>
      </w:rPr>
      <w:t>(Add.1)-S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s-ES_tradnl"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s-ES" w:vendorID="64" w:dllVersion="6"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15D"/>
    <w:rsid w:val="000154CE"/>
    <w:rsid w:val="00020749"/>
    <w:rsid w:val="000431BD"/>
    <w:rsid w:val="00047BC4"/>
    <w:rsid w:val="0007559C"/>
    <w:rsid w:val="000910D2"/>
    <w:rsid w:val="000A2C90"/>
    <w:rsid w:val="000B12ED"/>
    <w:rsid w:val="000B3B20"/>
    <w:rsid w:val="000B7EA8"/>
    <w:rsid w:val="000C480A"/>
    <w:rsid w:val="000C62BA"/>
    <w:rsid w:val="000D756D"/>
    <w:rsid w:val="000F423F"/>
    <w:rsid w:val="0012592F"/>
    <w:rsid w:val="00144D2F"/>
    <w:rsid w:val="001B448D"/>
    <w:rsid w:val="001F2F50"/>
    <w:rsid w:val="002315CB"/>
    <w:rsid w:val="00243C57"/>
    <w:rsid w:val="00247FD1"/>
    <w:rsid w:val="00251FEA"/>
    <w:rsid w:val="00267E8B"/>
    <w:rsid w:val="0028458B"/>
    <w:rsid w:val="00286571"/>
    <w:rsid w:val="0028664C"/>
    <w:rsid w:val="002B0E41"/>
    <w:rsid w:val="002B6C28"/>
    <w:rsid w:val="002E5370"/>
    <w:rsid w:val="00305236"/>
    <w:rsid w:val="003059B0"/>
    <w:rsid w:val="0030651E"/>
    <w:rsid w:val="003069B0"/>
    <w:rsid w:val="0031432E"/>
    <w:rsid w:val="0032625D"/>
    <w:rsid w:val="0034043B"/>
    <w:rsid w:val="00357002"/>
    <w:rsid w:val="003869FE"/>
    <w:rsid w:val="003A2948"/>
    <w:rsid w:val="003C000A"/>
    <w:rsid w:val="003C3FA9"/>
    <w:rsid w:val="003C48D8"/>
    <w:rsid w:val="003C6725"/>
    <w:rsid w:val="003D5ACB"/>
    <w:rsid w:val="003E5909"/>
    <w:rsid w:val="004051AD"/>
    <w:rsid w:val="004136D9"/>
    <w:rsid w:val="00414D8B"/>
    <w:rsid w:val="004236BF"/>
    <w:rsid w:val="00430B56"/>
    <w:rsid w:val="00437136"/>
    <w:rsid w:val="00452A54"/>
    <w:rsid w:val="00482905"/>
    <w:rsid w:val="00494752"/>
    <w:rsid w:val="00495E58"/>
    <w:rsid w:val="004C071B"/>
    <w:rsid w:val="004D0A4C"/>
    <w:rsid w:val="004D6C09"/>
    <w:rsid w:val="004E02A1"/>
    <w:rsid w:val="004E6B0B"/>
    <w:rsid w:val="004F752D"/>
    <w:rsid w:val="0050210F"/>
    <w:rsid w:val="00503B16"/>
    <w:rsid w:val="00515348"/>
    <w:rsid w:val="00521586"/>
    <w:rsid w:val="0054619F"/>
    <w:rsid w:val="0057336B"/>
    <w:rsid w:val="00580AB6"/>
    <w:rsid w:val="005A2195"/>
    <w:rsid w:val="005A715D"/>
    <w:rsid w:val="005B5575"/>
    <w:rsid w:val="005C1F10"/>
    <w:rsid w:val="005D3E02"/>
    <w:rsid w:val="005E3D71"/>
    <w:rsid w:val="005F3B22"/>
    <w:rsid w:val="00610642"/>
    <w:rsid w:val="00614459"/>
    <w:rsid w:val="00616601"/>
    <w:rsid w:val="006239F0"/>
    <w:rsid w:val="00646EEF"/>
    <w:rsid w:val="00663829"/>
    <w:rsid w:val="006642DE"/>
    <w:rsid w:val="00692058"/>
    <w:rsid w:val="006A42AB"/>
    <w:rsid w:val="006B1D22"/>
    <w:rsid w:val="006B5313"/>
    <w:rsid w:val="006D6AB1"/>
    <w:rsid w:val="006E291F"/>
    <w:rsid w:val="006F3A86"/>
    <w:rsid w:val="00713B0B"/>
    <w:rsid w:val="0073634F"/>
    <w:rsid w:val="00740074"/>
    <w:rsid w:val="007652DB"/>
    <w:rsid w:val="007658E6"/>
    <w:rsid w:val="007D27A3"/>
    <w:rsid w:val="00812A93"/>
    <w:rsid w:val="00824C15"/>
    <w:rsid w:val="00834EBB"/>
    <w:rsid w:val="00836DA2"/>
    <w:rsid w:val="008506C9"/>
    <w:rsid w:val="00854042"/>
    <w:rsid w:val="0086628C"/>
    <w:rsid w:val="00872B57"/>
    <w:rsid w:val="00876FA1"/>
    <w:rsid w:val="008B221D"/>
    <w:rsid w:val="008D1EF1"/>
    <w:rsid w:val="008D6185"/>
    <w:rsid w:val="008F007E"/>
    <w:rsid w:val="008F0106"/>
    <w:rsid w:val="008F0E4A"/>
    <w:rsid w:val="00915CBF"/>
    <w:rsid w:val="00924B63"/>
    <w:rsid w:val="00943B24"/>
    <w:rsid w:val="00944544"/>
    <w:rsid w:val="009459DD"/>
    <w:rsid w:val="00947F06"/>
    <w:rsid w:val="00955256"/>
    <w:rsid w:val="00961C88"/>
    <w:rsid w:val="00982618"/>
    <w:rsid w:val="009B7931"/>
    <w:rsid w:val="009C205E"/>
    <w:rsid w:val="009D4FE4"/>
    <w:rsid w:val="009F1D73"/>
    <w:rsid w:val="009F7D43"/>
    <w:rsid w:val="00A03D61"/>
    <w:rsid w:val="00A0579C"/>
    <w:rsid w:val="00A10F30"/>
    <w:rsid w:val="00A30E39"/>
    <w:rsid w:val="00A40F21"/>
    <w:rsid w:val="00A55149"/>
    <w:rsid w:val="00A5577A"/>
    <w:rsid w:val="00A61286"/>
    <w:rsid w:val="00A7663C"/>
    <w:rsid w:val="00A83BB4"/>
    <w:rsid w:val="00A91557"/>
    <w:rsid w:val="00AA1858"/>
    <w:rsid w:val="00AB4BAD"/>
    <w:rsid w:val="00AC2775"/>
    <w:rsid w:val="00AF1501"/>
    <w:rsid w:val="00B05BDD"/>
    <w:rsid w:val="00B10375"/>
    <w:rsid w:val="00B154CB"/>
    <w:rsid w:val="00B23013"/>
    <w:rsid w:val="00B32E51"/>
    <w:rsid w:val="00B33E97"/>
    <w:rsid w:val="00B561C3"/>
    <w:rsid w:val="00B712E2"/>
    <w:rsid w:val="00B756CD"/>
    <w:rsid w:val="00B83CED"/>
    <w:rsid w:val="00B844E7"/>
    <w:rsid w:val="00BE5D5A"/>
    <w:rsid w:val="00C0536E"/>
    <w:rsid w:val="00C17340"/>
    <w:rsid w:val="00C25749"/>
    <w:rsid w:val="00C50B8C"/>
    <w:rsid w:val="00C837F0"/>
    <w:rsid w:val="00C91638"/>
    <w:rsid w:val="00CB7A43"/>
    <w:rsid w:val="00CC5942"/>
    <w:rsid w:val="00CC5A34"/>
    <w:rsid w:val="00CD10C3"/>
    <w:rsid w:val="00CF4CAC"/>
    <w:rsid w:val="00D01F6A"/>
    <w:rsid w:val="00D30B54"/>
    <w:rsid w:val="00D411D1"/>
    <w:rsid w:val="00D51E1E"/>
    <w:rsid w:val="00D65B59"/>
    <w:rsid w:val="00D7454A"/>
    <w:rsid w:val="00DD350D"/>
    <w:rsid w:val="00DE34C9"/>
    <w:rsid w:val="00DE3F34"/>
    <w:rsid w:val="00DE77E6"/>
    <w:rsid w:val="00DF6E62"/>
    <w:rsid w:val="00E04501"/>
    <w:rsid w:val="00E51B5F"/>
    <w:rsid w:val="00E5563F"/>
    <w:rsid w:val="00E70115"/>
    <w:rsid w:val="00E72EA7"/>
    <w:rsid w:val="00EA4101"/>
    <w:rsid w:val="00EB1DA3"/>
    <w:rsid w:val="00EB6094"/>
    <w:rsid w:val="00ED12CE"/>
    <w:rsid w:val="00EE08AF"/>
    <w:rsid w:val="00F23715"/>
    <w:rsid w:val="00F33878"/>
    <w:rsid w:val="00F4262F"/>
    <w:rsid w:val="00F5438B"/>
    <w:rsid w:val="00F61563"/>
    <w:rsid w:val="00F7453A"/>
    <w:rsid w:val="00F769A5"/>
    <w:rsid w:val="00F77D5F"/>
    <w:rsid w:val="00F83D9C"/>
    <w:rsid w:val="00F869ED"/>
    <w:rsid w:val="00F90FDF"/>
    <w:rsid w:val="00FA3E88"/>
    <w:rsid w:val="00FA743E"/>
    <w:rsid w:val="00FD11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56BF517"/>
  <w15:docId w15:val="{D113B479-C137-40B7-9E38-F30AA0BE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link w:val="TableheadChar"/>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qFormat/>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link w:val="enumlev1Char"/>
    <w:uiPriority w:val="99"/>
    <w:qFormat/>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link w:val="RectitleChar"/>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link w:val="FooterChar"/>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uiPriority w:val="99"/>
    <w:semiHidden/>
    <w:rsid w:val="004D6C09"/>
    <w:rPr>
      <w:position w:val="6"/>
      <w:sz w:val="18"/>
    </w:rPr>
  </w:style>
  <w:style w:type="paragraph" w:styleId="FootnoteText">
    <w:name w:val="footnote text"/>
    <w:basedOn w:val="Note"/>
    <w:link w:val="FootnoteTextChar"/>
    <w:uiPriority w:val="99"/>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link w:val="HeaderChar"/>
    <w:uiPriority w:val="99"/>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character" w:customStyle="1" w:styleId="FootnoteTextChar">
    <w:name w:val="Footnote Text Char"/>
    <w:basedOn w:val="DefaultParagraphFont"/>
    <w:link w:val="FootnoteText"/>
    <w:uiPriority w:val="99"/>
    <w:semiHidden/>
    <w:rsid w:val="005A715D"/>
    <w:rPr>
      <w:rFonts w:ascii="Times New Roman" w:hAnsi="Times New Roman"/>
      <w:sz w:val="24"/>
      <w:lang w:val="es-ES_tradnl" w:eastAsia="en-US"/>
    </w:rPr>
  </w:style>
  <w:style w:type="character" w:styleId="Hyperlink">
    <w:name w:val="Hyperlink"/>
    <w:basedOn w:val="DefaultParagraphFont"/>
    <w:uiPriority w:val="99"/>
    <w:unhideWhenUsed/>
    <w:rsid w:val="005A715D"/>
    <w:rPr>
      <w:color w:val="0000FF" w:themeColor="hyperlink"/>
      <w:u w:val="single"/>
    </w:rPr>
  </w:style>
  <w:style w:type="character" w:customStyle="1" w:styleId="Heading1Char">
    <w:name w:val="Heading 1 Char"/>
    <w:basedOn w:val="DefaultParagraphFont"/>
    <w:link w:val="Heading1"/>
    <w:uiPriority w:val="9"/>
    <w:rsid w:val="005A715D"/>
    <w:rPr>
      <w:rFonts w:ascii="Times New Roman" w:hAnsi="Times New Roman"/>
      <w:b/>
      <w:sz w:val="24"/>
      <w:lang w:val="es-ES_tradnl" w:eastAsia="en-US"/>
    </w:rPr>
  </w:style>
  <w:style w:type="character" w:customStyle="1" w:styleId="HeaderChar">
    <w:name w:val="Header Char"/>
    <w:basedOn w:val="DefaultParagraphFont"/>
    <w:link w:val="Header"/>
    <w:uiPriority w:val="99"/>
    <w:rsid w:val="005A715D"/>
    <w:rPr>
      <w:rFonts w:ascii="Times New Roman" w:hAnsi="Times New Roman"/>
      <w:sz w:val="18"/>
      <w:lang w:val="es-ES_tradnl" w:eastAsia="en-US"/>
    </w:rPr>
  </w:style>
  <w:style w:type="character" w:customStyle="1" w:styleId="FooterChar">
    <w:name w:val="Footer Char"/>
    <w:basedOn w:val="DefaultParagraphFont"/>
    <w:link w:val="Footer"/>
    <w:rsid w:val="005A715D"/>
    <w:rPr>
      <w:rFonts w:ascii="Times New Roman" w:hAnsi="Times New Roman"/>
      <w:caps/>
      <w:noProof/>
      <w:sz w:val="16"/>
      <w:lang w:val="es-ES_tradnl" w:eastAsia="en-US"/>
    </w:rPr>
  </w:style>
  <w:style w:type="paragraph" w:customStyle="1" w:styleId="Reasons">
    <w:name w:val="Reasons"/>
    <w:basedOn w:val="Normal"/>
    <w:qFormat/>
    <w:rsid w:val="005A715D"/>
    <w:pPr>
      <w:tabs>
        <w:tab w:val="clear" w:pos="794"/>
        <w:tab w:val="clear" w:pos="1191"/>
        <w:tab w:val="clear" w:pos="1588"/>
        <w:tab w:val="clear" w:pos="1985"/>
      </w:tabs>
      <w:overflowPunct/>
      <w:autoSpaceDE/>
      <w:autoSpaceDN/>
      <w:adjustRightInd/>
      <w:spacing w:before="0"/>
      <w:textAlignment w:val="auto"/>
    </w:pPr>
    <w:rPr>
      <w:lang w:val="en-US"/>
    </w:rPr>
  </w:style>
  <w:style w:type="paragraph" w:styleId="Revision">
    <w:name w:val="Revision"/>
    <w:hidden/>
    <w:uiPriority w:val="99"/>
    <w:semiHidden/>
    <w:rsid w:val="005A715D"/>
    <w:rPr>
      <w:rFonts w:ascii="Times New Roman" w:hAnsi="Times New Roman"/>
      <w:sz w:val="24"/>
      <w:lang w:val="es-ES_tradnl" w:eastAsia="en-US"/>
    </w:rPr>
  </w:style>
  <w:style w:type="character" w:customStyle="1" w:styleId="enumlev1Char">
    <w:name w:val="enumlev1 Char"/>
    <w:basedOn w:val="DefaultParagraphFont"/>
    <w:link w:val="enumlev1"/>
    <w:uiPriority w:val="99"/>
    <w:locked/>
    <w:rsid w:val="005A715D"/>
    <w:rPr>
      <w:rFonts w:ascii="Times New Roman" w:hAnsi="Times New Roman"/>
      <w:sz w:val="24"/>
      <w:lang w:val="es-ES_tradnl" w:eastAsia="en-US"/>
    </w:rPr>
  </w:style>
  <w:style w:type="character" w:customStyle="1" w:styleId="TabletextChar">
    <w:name w:val="Table_text Char"/>
    <w:basedOn w:val="DefaultParagraphFont"/>
    <w:link w:val="Tabletext"/>
    <w:qFormat/>
    <w:locked/>
    <w:rsid w:val="005A715D"/>
    <w:rPr>
      <w:rFonts w:ascii="Times New Roman" w:hAnsi="Times New Roman"/>
      <w:sz w:val="22"/>
      <w:lang w:val="es-ES_tradnl" w:eastAsia="en-US"/>
    </w:rPr>
  </w:style>
  <w:style w:type="table" w:customStyle="1" w:styleId="TableGrid1">
    <w:name w:val="Table Grid1"/>
    <w:basedOn w:val="TableNormal"/>
    <w:next w:val="TableGrid"/>
    <w:rsid w:val="005A715D"/>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uiPriority w:val="99"/>
    <w:rsid w:val="005A715D"/>
    <w:rPr>
      <w:rFonts w:ascii="Times New Roman" w:hAnsi="Times New Roman"/>
      <w:b/>
      <w:sz w:val="22"/>
      <w:lang w:val="es-ES_tradnl" w:eastAsia="en-US"/>
    </w:rPr>
  </w:style>
  <w:style w:type="table" w:styleId="TableGrid">
    <w:name w:val="Table Grid"/>
    <w:basedOn w:val="TableNormal"/>
    <w:rsid w:val="005A7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A715D"/>
    <w:rPr>
      <w:sz w:val="16"/>
      <w:szCs w:val="16"/>
    </w:rPr>
  </w:style>
  <w:style w:type="paragraph" w:styleId="CommentText">
    <w:name w:val="annotation text"/>
    <w:basedOn w:val="Normal"/>
    <w:link w:val="CommentTextChar"/>
    <w:semiHidden/>
    <w:unhideWhenUsed/>
    <w:rsid w:val="005A715D"/>
    <w:rPr>
      <w:sz w:val="20"/>
    </w:rPr>
  </w:style>
  <w:style w:type="character" w:customStyle="1" w:styleId="CommentTextChar">
    <w:name w:val="Comment Text Char"/>
    <w:basedOn w:val="DefaultParagraphFont"/>
    <w:link w:val="CommentText"/>
    <w:semiHidden/>
    <w:rsid w:val="005A715D"/>
    <w:rPr>
      <w:rFonts w:ascii="Times New Roman" w:hAnsi="Times New Roman"/>
      <w:lang w:val="es-ES_tradnl" w:eastAsia="en-US"/>
    </w:rPr>
  </w:style>
  <w:style w:type="paragraph" w:styleId="CommentSubject">
    <w:name w:val="annotation subject"/>
    <w:basedOn w:val="CommentText"/>
    <w:next w:val="CommentText"/>
    <w:link w:val="CommentSubjectChar"/>
    <w:semiHidden/>
    <w:unhideWhenUsed/>
    <w:rsid w:val="005A715D"/>
    <w:rPr>
      <w:b/>
      <w:bCs/>
    </w:rPr>
  </w:style>
  <w:style w:type="character" w:customStyle="1" w:styleId="CommentSubjectChar">
    <w:name w:val="Comment Subject Char"/>
    <w:basedOn w:val="CommentTextChar"/>
    <w:link w:val="CommentSubject"/>
    <w:semiHidden/>
    <w:rsid w:val="005A715D"/>
    <w:rPr>
      <w:rFonts w:ascii="Times New Roman" w:hAnsi="Times New Roman"/>
      <w:b/>
      <w:bCs/>
      <w:lang w:val="es-ES_tradnl" w:eastAsia="en-US"/>
    </w:rPr>
  </w:style>
  <w:style w:type="character" w:customStyle="1" w:styleId="HeadingbChar">
    <w:name w:val="Heading_b Char"/>
    <w:link w:val="Headingb"/>
    <w:locked/>
    <w:rsid w:val="005A715D"/>
    <w:rPr>
      <w:rFonts w:ascii="Times New Roman" w:hAnsi="Times New Roman"/>
      <w:b/>
      <w:sz w:val="24"/>
      <w:lang w:val="es-ES_tradnl" w:eastAsia="en-US"/>
    </w:rPr>
  </w:style>
  <w:style w:type="character" w:customStyle="1" w:styleId="RectitleChar">
    <w:name w:val="Rec_title Char"/>
    <w:link w:val="Rectitle"/>
    <w:rsid w:val="005A715D"/>
    <w:rPr>
      <w:rFonts w:ascii="Times New Roman" w:hAnsi="Times New Roman"/>
      <w:b/>
      <w:sz w:val="28"/>
      <w:lang w:val="es-ES_tradnl" w:eastAsia="en-US"/>
    </w:rPr>
  </w:style>
  <w:style w:type="character" w:styleId="FollowedHyperlink">
    <w:name w:val="FollowedHyperlink"/>
    <w:basedOn w:val="DefaultParagraphFont"/>
    <w:semiHidden/>
    <w:unhideWhenUsed/>
    <w:rsid w:val="003E5909"/>
    <w:rPr>
      <w:color w:val="800080" w:themeColor="followedHyperlink"/>
      <w:u w:val="single"/>
    </w:rPr>
  </w:style>
  <w:style w:type="character" w:customStyle="1" w:styleId="UnresolvedMention1">
    <w:name w:val="Unresolved Mention1"/>
    <w:basedOn w:val="DefaultParagraphFont"/>
    <w:uiPriority w:val="99"/>
    <w:semiHidden/>
    <w:unhideWhenUsed/>
    <w:rsid w:val="00020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IR-0260/en" TargetMode="External"/><Relationship Id="rId13" Type="http://schemas.openxmlformats.org/officeDocument/2006/relationships/hyperlink" Target="https://www.itu.int/md/R20-RAG-C-0058/e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itu.int/md/S17-CL-C-0127/en" TargetMode="External"/><Relationship Id="rId17" Type="http://schemas.openxmlformats.org/officeDocument/2006/relationships/hyperlink" Target="https://www.itu.int/md/R00-CA-CIR-0260/en" TargetMode="External"/><Relationship Id="rId2" Type="http://schemas.openxmlformats.org/officeDocument/2006/relationships/styles" Target="styles.xml"/><Relationship Id="rId16" Type="http://schemas.openxmlformats.org/officeDocument/2006/relationships/hyperlink" Target="https://www.itu.int/en/ITU-R/study-groups/Pages/Sustainable-dev-goal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br_tsb_terms/" TargetMode="External"/><Relationship Id="rId5" Type="http://schemas.openxmlformats.org/officeDocument/2006/relationships/footnotes" Target="footnotes.xml"/><Relationship Id="rId15" Type="http://schemas.openxmlformats.org/officeDocument/2006/relationships/hyperlink" Target="https://www.itu.int/pub/R-RES-R.60/es" TargetMode="External"/><Relationship Id="rId10" Type="http://schemas.openxmlformats.org/officeDocument/2006/relationships/hyperlink" Target="https://www.itu.int/md/R16-WRC19-C-0550/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www.itu.int/pub/R-RES-R.9/e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ina\AppData\Roaming\Microsoft\Templates\POOL%20S%20-%20ITU\PS_RAG21.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2">
                <a:lumMod val="90000"/>
              </a:schemeClr>
            </a:solidFill>
            <a:ln>
              <a:solidFill>
                <a:schemeClr val="bg2">
                  <a:lumMod val="90000"/>
                </a:schemeClr>
              </a:solidFill>
            </a:ln>
            <a:effectLst>
              <a:outerShdw blurRad="57150" dist="19050" dir="48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4"/>
              <c:tx>
                <c:rich>
                  <a:bodyPr/>
                  <a:lstStyle/>
                  <a:p>
                    <a:fld id="{64CBB23E-9543-4E21-B0B5-90E2D47E57CF}"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5F2B-42AD-9F66-3015E7546C8A}"/>
                </c:ext>
              </c:extLst>
            </c:dLbl>
            <c:dLbl>
              <c:idx val="8"/>
              <c:tx>
                <c:rich>
                  <a:bodyPr/>
                  <a:lstStyle/>
                  <a:p>
                    <a:fld id="{9C868201-1754-435D-9267-80FB01BC0E99}"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F2B-42AD-9F66-3015E7546C8A}"/>
                </c:ext>
              </c:extLst>
            </c:dLbl>
            <c:dLbl>
              <c:idx val="12"/>
              <c:tx>
                <c:rich>
                  <a:bodyPr/>
                  <a:lstStyle/>
                  <a:p>
                    <a:fld id="{438E0107-F084-4EE1-BE6F-97B72EA0AFD6}"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5F2B-42AD-9F66-3015E7546C8A}"/>
                </c:ext>
              </c:extLst>
            </c:dLbl>
            <c:dLbl>
              <c:idx val="16"/>
              <c:tx>
                <c:rich>
                  <a:bodyPr/>
                  <a:lstStyle/>
                  <a:p>
                    <a:fld id="{DA6FAE92-D268-43DC-B823-907738B95F44}"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F2B-42AD-9F66-3015E7546C8A}"/>
                </c:ext>
              </c:extLst>
            </c:dLbl>
            <c:dLbl>
              <c:idx val="17"/>
              <c:tx>
                <c:rich>
                  <a:bodyPr/>
                  <a:lstStyle/>
                  <a:p>
                    <a:r>
                      <a:rPr lang="en-US"/>
                      <a:t>216**</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F2B-42AD-9F66-3015E7546C8A}"/>
                </c:ext>
              </c:extLst>
            </c:dLbl>
            <c:dLbl>
              <c:idx val="18"/>
              <c:tx>
                <c:rich>
                  <a:bodyPr/>
                  <a:lstStyle/>
                  <a:p>
                    <a:fld id="{80E48EFC-A4C8-4B0D-AB9F-52EE0C913A80}"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F2B-42AD-9F66-3015E7546C8A}"/>
                </c:ext>
              </c:extLst>
            </c:dLbl>
            <c:dLbl>
              <c:idx val="19"/>
              <c:layout>
                <c:manualLayout>
                  <c:x val="1.0946907498631636E-2"/>
                  <c:y val="6.8786374529270791E-2"/>
                </c:manualLayout>
              </c:layout>
              <c:tx>
                <c:rich>
                  <a:bodyPr/>
                  <a:lstStyle/>
                  <a:p>
                    <a:fld id="{8DFCFEFB-8113-4529-B972-A3ECA50DBA7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5F2B-42AD-9F66-3015E7546C8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Sheet1!$B$2:$B$21</c:f>
              <c:strCache>
                <c:ptCount val="20"/>
                <c:pt idx="0">
                  <c:v>2003 (CMR-03)</c:v>
                </c:pt>
                <c:pt idx="1">
                  <c:v>2004</c:v>
                </c:pt>
                <c:pt idx="2">
                  <c:v>2005</c:v>
                </c:pt>
                <c:pt idx="3">
                  <c:v>2006</c:v>
                </c:pt>
                <c:pt idx="4">
                  <c:v>2007 (CMR-07)</c:v>
                </c:pt>
                <c:pt idx="5">
                  <c:v>2008</c:v>
                </c:pt>
                <c:pt idx="6">
                  <c:v>2009</c:v>
                </c:pt>
                <c:pt idx="7">
                  <c:v>2010</c:v>
                </c:pt>
                <c:pt idx="8">
                  <c:v>2011</c:v>
                </c:pt>
                <c:pt idx="9">
                  <c:v>2012 (CMR-12)</c:v>
                </c:pt>
                <c:pt idx="10">
                  <c:v>2013</c:v>
                </c:pt>
                <c:pt idx="11">
                  <c:v>2014</c:v>
                </c:pt>
                <c:pt idx="12">
                  <c:v>2015 (CMR-15)</c:v>
                </c:pt>
                <c:pt idx="13">
                  <c:v>2016</c:v>
                </c:pt>
                <c:pt idx="14">
                  <c:v>2017</c:v>
                </c:pt>
                <c:pt idx="15">
                  <c:v>2018</c:v>
                </c:pt>
                <c:pt idx="16">
                  <c:v>2019 (CMR-19)</c:v>
                </c:pt>
                <c:pt idx="17">
                  <c:v>2020</c:v>
                </c:pt>
                <c:pt idx="18">
                  <c:v>2021</c:v>
                </c:pt>
                <c:pt idx="19">
                  <c:v>2022</c:v>
                </c:pt>
              </c:strCache>
            </c:strRef>
          </c:cat>
          <c:val>
            <c:numRef>
              <c:f>Sheet1!$C$2:$C$21</c:f>
              <c:numCache>
                <c:formatCode>General</c:formatCode>
                <c:ptCount val="20"/>
                <c:pt idx="0">
                  <c:v>86</c:v>
                </c:pt>
                <c:pt idx="1">
                  <c:v>86</c:v>
                </c:pt>
                <c:pt idx="2">
                  <c:v>78</c:v>
                </c:pt>
                <c:pt idx="3">
                  <c:v>80</c:v>
                </c:pt>
                <c:pt idx="4">
                  <c:v>228</c:v>
                </c:pt>
                <c:pt idx="5">
                  <c:v>105</c:v>
                </c:pt>
                <c:pt idx="6">
                  <c:v>110</c:v>
                </c:pt>
                <c:pt idx="7">
                  <c:v>105</c:v>
                </c:pt>
                <c:pt idx="8">
                  <c:v>252</c:v>
                </c:pt>
                <c:pt idx="9">
                  <c:v>106</c:v>
                </c:pt>
                <c:pt idx="10">
                  <c:v>122</c:v>
                </c:pt>
                <c:pt idx="11">
                  <c:v>122</c:v>
                </c:pt>
                <c:pt idx="12">
                  <c:v>262</c:v>
                </c:pt>
                <c:pt idx="13">
                  <c:v>120</c:v>
                </c:pt>
                <c:pt idx="14">
                  <c:v>129</c:v>
                </c:pt>
                <c:pt idx="15">
                  <c:v>130</c:v>
                </c:pt>
                <c:pt idx="16">
                  <c:v>253</c:v>
                </c:pt>
                <c:pt idx="17">
                  <c:v>216</c:v>
                </c:pt>
                <c:pt idx="18">
                  <c:v>235</c:v>
                </c:pt>
                <c:pt idx="19">
                  <c:v>256</c:v>
                </c:pt>
              </c:numCache>
            </c:numRef>
          </c:val>
          <c:extLst>
            <c:ext xmlns:c16="http://schemas.microsoft.com/office/drawing/2014/chart" uri="{C3380CC4-5D6E-409C-BE32-E72D297353CC}">
              <c16:uniqueId val="{00000007-5F2B-42AD-9F66-3015E7546C8A}"/>
            </c:ext>
          </c:extLst>
        </c:ser>
        <c:dLbls>
          <c:dLblPos val="inEnd"/>
          <c:showLegendKey val="0"/>
          <c:showVal val="1"/>
          <c:showCatName val="0"/>
          <c:showSerName val="0"/>
          <c:showPercent val="0"/>
          <c:showBubbleSize val="0"/>
        </c:dLbls>
        <c:gapWidth val="100"/>
        <c:overlap val="-50"/>
        <c:axId val="413366016"/>
        <c:axId val="417770208"/>
      </c:barChart>
      <c:catAx>
        <c:axId val="4133660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770208"/>
        <c:crosses val="autoZero"/>
        <c:auto val="1"/>
        <c:lblAlgn val="ctr"/>
        <c:lblOffset val="100"/>
        <c:noMultiLvlLbl val="0"/>
      </c:catAx>
      <c:valAx>
        <c:axId val="417770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366016"/>
        <c:crosses val="autoZero"/>
        <c:crossBetween val="between"/>
      </c:valAx>
      <c:spPr>
        <a:noFill/>
        <a:ln>
          <a:solidFill>
            <a:schemeClr val="bg2"/>
          </a:solidFill>
        </a:ln>
        <a:effectLst>
          <a:outerShdw blurRad="50800" dist="50800" dir="5400000" algn="ctr" rotWithShape="0">
            <a:schemeClr val="bg1"/>
          </a:outerShdw>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B2ED8-248E-4D39-BA4A-28FEE8BA6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PS_RAG21.dotm</Template>
  <TotalTime>145</TotalTime>
  <Pages>15</Pages>
  <Words>6249</Words>
  <Characters>35232</Characters>
  <Application>Microsoft Office Word</Application>
  <DocSecurity>0</DocSecurity>
  <Lines>719</Lines>
  <Paragraphs>345</Paragraphs>
  <ScaleCrop>false</ScaleCrop>
  <HeadingPairs>
    <vt:vector size="2" baseType="variant">
      <vt:variant>
        <vt:lpstr>Title</vt:lpstr>
      </vt:variant>
      <vt:variant>
        <vt:i4>1</vt:i4>
      </vt:variant>
    </vt:vector>
  </HeadingPairs>
  <TitlesOfParts>
    <vt:vector size="1" baseType="lpstr">
      <vt:lpstr>INFORME A LA VIGÉSIMO NOVENA REUNIÓN DEL GRUPO ASESOR DE RADIOCOMUNICACIONES ACTIVIDADES DE LAS COMISIONES DE ESTUDIO</vt:lpstr>
    </vt:vector>
  </TitlesOfParts>
  <Manager>General Secretariat - Pool</Manager>
  <Company>International Telecommunication Union (ITU)</Company>
  <LinksUpToDate>false</LinksUpToDate>
  <CharactersWithSpaces>41136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 LA VIGÉSIMO NOVENA REUNIÓN DEL GRUPO ASESOR DE RADIOCOMUNICACIONES ACTIVIDADES DE LAS COMISIONES DE ESTUDIO</dc:title>
  <dc:subject>GRUPO ASESOR DE RADIOCOMUNICACIONES</dc:subject>
  <dc:creator>Director de la Oficina de Radiocomunicaciones</dc:creator>
  <cp:keywords>RAG03-1</cp:keywords>
  <dc:description>Addéndum 1 al Documento RAG/44-S  For: _x000d_Document date: 4 de marzo de 2022_x000d_Saved by ITU51013820 at 16:29:51 on 15/03/2022</dc:description>
  <cp:lastModifiedBy>Spanish1</cp:lastModifiedBy>
  <cp:revision>9</cp:revision>
  <cp:lastPrinted>2023-03-31T15:55:00Z</cp:lastPrinted>
  <dcterms:created xsi:type="dcterms:W3CDTF">2023-03-31T15:34:00Z</dcterms:created>
  <dcterms:modified xsi:type="dcterms:W3CDTF">2023-04-18T12:57:00Z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Addéndum 1 al Documento RAG/44-S</vt:lpwstr>
  </property>
  <property fmtid="{D5CDD505-2E9C-101B-9397-08002B2CF9AE}" pid="3" name="Docdate">
    <vt:lpwstr>4 de marzo de 2022</vt:lpwstr>
  </property>
  <property fmtid="{D5CDD505-2E9C-101B-9397-08002B2CF9AE}" pid="4" name="Docorlang">
    <vt:lpwstr>Original: inglés</vt:lpwstr>
  </property>
  <property fmtid="{D5CDD505-2E9C-101B-9397-08002B2CF9AE}" pid="5" name="Docauthor">
    <vt:lpwstr>Director de la Oficina de Radiocomunicaciones</vt:lpwstr>
  </property>
</Properties>
</file>