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4F18D2" w14:paraId="3243AC1A" w14:textId="77777777" w:rsidTr="003F7D9B">
        <w:trPr>
          <w:cantSplit/>
        </w:trPr>
        <w:tc>
          <w:tcPr>
            <w:tcW w:w="6772" w:type="dxa"/>
            <w:vAlign w:val="center"/>
          </w:tcPr>
          <w:p w14:paraId="2B5E429B" w14:textId="035BFB3C" w:rsidR="0057336B" w:rsidRPr="004F18D2" w:rsidRDefault="0057336B" w:rsidP="00F6738F">
            <w:pPr>
              <w:shd w:val="solid" w:color="FFFFFF" w:fill="FFFFFF"/>
              <w:tabs>
                <w:tab w:val="left" w:pos="568"/>
              </w:tabs>
              <w:spacing w:before="360" w:after="240"/>
              <w:rPr>
                <w:b/>
                <w:caps/>
                <w:sz w:val="32"/>
                <w:lang w:val="es-ES"/>
              </w:rPr>
            </w:pPr>
            <w:r w:rsidRPr="004F18D2">
              <w:rPr>
                <w:rFonts w:ascii="Verdana" w:hAnsi="Verdana" w:cs="Times New Roman Bold"/>
                <w:b/>
                <w:sz w:val="26"/>
                <w:szCs w:val="26"/>
                <w:lang w:val="es-ES"/>
              </w:rPr>
              <w:t>Grupo Asesor de Radiocomunicaciones</w:t>
            </w:r>
          </w:p>
        </w:tc>
        <w:tc>
          <w:tcPr>
            <w:tcW w:w="3117" w:type="dxa"/>
            <w:vAlign w:val="center"/>
          </w:tcPr>
          <w:p w14:paraId="5A2E035B" w14:textId="77777777" w:rsidR="0057336B" w:rsidRPr="004F18D2" w:rsidRDefault="00AB4BAD" w:rsidP="00F6738F">
            <w:pPr>
              <w:shd w:val="solid" w:color="FFFFFF" w:fill="FFFFFF"/>
              <w:spacing w:before="0"/>
              <w:rPr>
                <w:lang w:val="es-ES"/>
              </w:rPr>
            </w:pPr>
            <w:r w:rsidRPr="004F18D2">
              <w:rPr>
                <w:noProof/>
                <w:lang w:val="es-ES" w:eastAsia="zh-CN"/>
              </w:rPr>
              <w:drawing>
                <wp:inline distT="0" distB="0" distL="0" distR="0" wp14:anchorId="5DFAA79C" wp14:editId="73FD0115">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4F18D2" w14:paraId="74E60095" w14:textId="77777777" w:rsidTr="003F7D9B">
        <w:trPr>
          <w:cantSplit/>
        </w:trPr>
        <w:tc>
          <w:tcPr>
            <w:tcW w:w="6772" w:type="dxa"/>
            <w:tcBorders>
              <w:bottom w:val="single" w:sz="12" w:space="0" w:color="auto"/>
            </w:tcBorders>
          </w:tcPr>
          <w:p w14:paraId="692E2674" w14:textId="77777777" w:rsidR="006E291F" w:rsidRPr="004F18D2" w:rsidRDefault="006E291F" w:rsidP="00F6738F">
            <w:pPr>
              <w:shd w:val="solid" w:color="FFFFFF" w:fill="FFFFFF"/>
              <w:spacing w:before="0" w:after="48"/>
              <w:rPr>
                <w:rFonts w:ascii="Verdana" w:hAnsi="Verdana" w:cs="Times New Roman Bold"/>
                <w:b/>
                <w:sz w:val="22"/>
                <w:szCs w:val="22"/>
                <w:lang w:val="es-ES"/>
              </w:rPr>
            </w:pPr>
          </w:p>
        </w:tc>
        <w:tc>
          <w:tcPr>
            <w:tcW w:w="3117" w:type="dxa"/>
            <w:tcBorders>
              <w:bottom w:val="single" w:sz="12" w:space="0" w:color="auto"/>
            </w:tcBorders>
          </w:tcPr>
          <w:p w14:paraId="2A861525" w14:textId="77777777" w:rsidR="006E291F" w:rsidRPr="004F18D2" w:rsidRDefault="006E291F" w:rsidP="00F6738F">
            <w:pPr>
              <w:shd w:val="solid" w:color="FFFFFF" w:fill="FFFFFF"/>
              <w:spacing w:before="0" w:after="48"/>
              <w:rPr>
                <w:sz w:val="22"/>
                <w:szCs w:val="22"/>
                <w:lang w:val="es-ES"/>
              </w:rPr>
            </w:pPr>
          </w:p>
        </w:tc>
      </w:tr>
      <w:tr w:rsidR="006E291F" w:rsidRPr="004F18D2" w14:paraId="66498B56" w14:textId="77777777" w:rsidTr="003F7D9B">
        <w:trPr>
          <w:cantSplit/>
        </w:trPr>
        <w:tc>
          <w:tcPr>
            <w:tcW w:w="6772" w:type="dxa"/>
            <w:tcBorders>
              <w:top w:val="single" w:sz="12" w:space="0" w:color="auto"/>
            </w:tcBorders>
          </w:tcPr>
          <w:p w14:paraId="36B153A8" w14:textId="77777777" w:rsidR="006E291F" w:rsidRPr="004F18D2" w:rsidRDefault="006E291F" w:rsidP="00F6738F">
            <w:pPr>
              <w:shd w:val="solid" w:color="FFFFFF" w:fill="FFFFFF"/>
              <w:spacing w:before="0" w:after="48"/>
              <w:rPr>
                <w:rFonts w:ascii="Verdana" w:hAnsi="Verdana" w:cs="Times New Roman Bold"/>
                <w:bCs/>
                <w:sz w:val="22"/>
                <w:szCs w:val="22"/>
                <w:lang w:val="es-ES"/>
              </w:rPr>
            </w:pPr>
          </w:p>
        </w:tc>
        <w:tc>
          <w:tcPr>
            <w:tcW w:w="3117" w:type="dxa"/>
            <w:tcBorders>
              <w:top w:val="single" w:sz="12" w:space="0" w:color="auto"/>
            </w:tcBorders>
          </w:tcPr>
          <w:p w14:paraId="4BE333DD" w14:textId="77777777" w:rsidR="006E291F" w:rsidRPr="004F18D2" w:rsidRDefault="006E291F" w:rsidP="00F6738F">
            <w:pPr>
              <w:shd w:val="solid" w:color="FFFFFF" w:fill="FFFFFF"/>
              <w:spacing w:before="0" w:after="48"/>
              <w:rPr>
                <w:rFonts w:ascii="Verdana" w:hAnsi="Verdana"/>
                <w:sz w:val="22"/>
                <w:szCs w:val="22"/>
                <w:lang w:val="es-ES"/>
              </w:rPr>
            </w:pPr>
          </w:p>
        </w:tc>
      </w:tr>
      <w:tr w:rsidR="003F7D9B" w:rsidRPr="004F18D2" w14:paraId="69EB19B0" w14:textId="77777777" w:rsidTr="003F7D9B">
        <w:trPr>
          <w:cantSplit/>
        </w:trPr>
        <w:tc>
          <w:tcPr>
            <w:tcW w:w="6772" w:type="dxa"/>
          </w:tcPr>
          <w:p w14:paraId="06CF98CC" w14:textId="3980C971" w:rsidR="003F7D9B" w:rsidRPr="00EF4A2B" w:rsidRDefault="003F7D9B" w:rsidP="00F6738F">
            <w:pPr>
              <w:spacing w:before="60"/>
              <w:rPr>
                <w:b/>
                <w:smallCaps/>
                <w:sz w:val="20"/>
                <w:lang w:val="es-ES"/>
              </w:rPr>
            </w:pPr>
            <w:bookmarkStart w:id="0" w:name="dorlang" w:colFirst="1" w:colLast="1"/>
          </w:p>
        </w:tc>
        <w:tc>
          <w:tcPr>
            <w:tcW w:w="3117" w:type="dxa"/>
          </w:tcPr>
          <w:p w14:paraId="75C6988E" w14:textId="5697F52C" w:rsidR="003F7D9B" w:rsidRPr="004F18D2" w:rsidRDefault="003F7D9B" w:rsidP="00F6738F">
            <w:pPr>
              <w:shd w:val="solid" w:color="FFFFFF" w:fill="FFFFFF"/>
              <w:spacing w:before="0"/>
              <w:rPr>
                <w:rFonts w:ascii="Verdana" w:hAnsi="Verdana"/>
                <w:sz w:val="20"/>
                <w:lang w:val="es-ES"/>
              </w:rPr>
            </w:pPr>
            <w:r w:rsidRPr="004F18D2">
              <w:rPr>
                <w:rFonts w:ascii="Verdana" w:hAnsi="Verdana"/>
                <w:b/>
                <w:sz w:val="20"/>
                <w:lang w:val="es-ES"/>
              </w:rPr>
              <w:t>Documento RAG/</w:t>
            </w:r>
            <w:r w:rsidR="00095073">
              <w:rPr>
                <w:rFonts w:ascii="Verdana" w:hAnsi="Verdana"/>
                <w:b/>
                <w:sz w:val="20"/>
                <w:lang w:val="es-ES"/>
              </w:rPr>
              <w:t>5</w:t>
            </w:r>
            <w:r w:rsidRPr="004F18D2">
              <w:rPr>
                <w:rFonts w:ascii="Verdana" w:hAnsi="Verdana"/>
                <w:b/>
                <w:sz w:val="20"/>
                <w:lang w:val="es-ES"/>
              </w:rPr>
              <w:t>3-</w:t>
            </w:r>
            <w:r w:rsidR="00F149DA" w:rsidRPr="004F18D2">
              <w:rPr>
                <w:rFonts w:ascii="Verdana" w:hAnsi="Verdana"/>
                <w:b/>
                <w:sz w:val="20"/>
                <w:lang w:val="es-ES"/>
              </w:rPr>
              <w:t>S</w:t>
            </w:r>
          </w:p>
          <w:p w14:paraId="5ED77B11" w14:textId="3FF4B342" w:rsidR="003F7D9B" w:rsidRPr="004F18D2" w:rsidRDefault="00095073" w:rsidP="00F6738F">
            <w:pPr>
              <w:shd w:val="solid" w:color="FFFFFF" w:fill="FFFFFF"/>
              <w:spacing w:before="0"/>
              <w:rPr>
                <w:rFonts w:ascii="Verdana" w:hAnsi="Verdana"/>
                <w:sz w:val="20"/>
                <w:lang w:val="es-ES"/>
              </w:rPr>
            </w:pPr>
            <w:r>
              <w:rPr>
                <w:rFonts w:ascii="Verdana" w:hAnsi="Verdana"/>
                <w:b/>
                <w:sz w:val="20"/>
                <w:lang w:val="es-ES"/>
              </w:rPr>
              <w:t>28</w:t>
            </w:r>
            <w:r w:rsidR="003F7D9B" w:rsidRPr="004F18D2">
              <w:rPr>
                <w:rFonts w:ascii="Verdana" w:hAnsi="Verdana"/>
                <w:b/>
                <w:sz w:val="20"/>
                <w:lang w:val="es-ES"/>
              </w:rPr>
              <w:t xml:space="preserve"> de </w:t>
            </w:r>
            <w:r w:rsidR="00D04675">
              <w:rPr>
                <w:rFonts w:ascii="Verdana" w:hAnsi="Verdana"/>
                <w:b/>
                <w:sz w:val="20"/>
                <w:lang w:val="es-ES"/>
              </w:rPr>
              <w:t>m</w:t>
            </w:r>
            <w:r w:rsidR="003F7D9B" w:rsidRPr="004F18D2">
              <w:rPr>
                <w:rFonts w:ascii="Verdana" w:hAnsi="Verdana"/>
                <w:b/>
                <w:sz w:val="20"/>
                <w:lang w:val="es-ES"/>
              </w:rPr>
              <w:t>a</w:t>
            </w:r>
            <w:r>
              <w:rPr>
                <w:rFonts w:ascii="Verdana" w:hAnsi="Verdana"/>
                <w:b/>
                <w:sz w:val="20"/>
                <w:lang w:val="es-ES"/>
              </w:rPr>
              <w:t>rz</w:t>
            </w:r>
            <w:r w:rsidR="003F7D9B" w:rsidRPr="004F18D2">
              <w:rPr>
                <w:rFonts w:ascii="Verdana" w:hAnsi="Verdana"/>
                <w:b/>
                <w:sz w:val="20"/>
                <w:lang w:val="es-ES"/>
              </w:rPr>
              <w:t>o de 202</w:t>
            </w:r>
            <w:r>
              <w:rPr>
                <w:rFonts w:ascii="Verdana" w:hAnsi="Verdana"/>
                <w:b/>
                <w:sz w:val="20"/>
                <w:lang w:val="es-ES"/>
              </w:rPr>
              <w:t>2</w:t>
            </w:r>
          </w:p>
          <w:p w14:paraId="65257AF6" w14:textId="7E52EF48" w:rsidR="003F7D9B" w:rsidRPr="004F18D2" w:rsidRDefault="003F7D9B" w:rsidP="00F6738F">
            <w:pPr>
              <w:shd w:val="solid" w:color="FFFFFF" w:fill="FFFFFF"/>
              <w:spacing w:before="0" w:after="120"/>
              <w:rPr>
                <w:rFonts w:ascii="Verdana" w:hAnsi="Verdana"/>
                <w:sz w:val="20"/>
                <w:lang w:val="es-ES"/>
              </w:rPr>
            </w:pPr>
            <w:r w:rsidRPr="004F18D2">
              <w:rPr>
                <w:rFonts w:ascii="Verdana" w:hAnsi="Verdana"/>
                <w:b/>
                <w:sz w:val="20"/>
                <w:lang w:val="es-ES"/>
              </w:rPr>
              <w:t xml:space="preserve">Original: </w:t>
            </w:r>
            <w:r w:rsidR="00095073">
              <w:rPr>
                <w:rFonts w:ascii="Verdana" w:hAnsi="Verdana"/>
                <w:b/>
                <w:sz w:val="20"/>
                <w:lang w:val="es-ES"/>
              </w:rPr>
              <w:t>francés</w:t>
            </w:r>
          </w:p>
        </w:tc>
      </w:tr>
      <w:tr w:rsidR="003F7D9B" w:rsidRPr="004F18D2" w14:paraId="3138E86F" w14:textId="77777777" w:rsidTr="008F0106">
        <w:trPr>
          <w:cantSplit/>
        </w:trPr>
        <w:tc>
          <w:tcPr>
            <w:tcW w:w="9889" w:type="dxa"/>
            <w:gridSpan w:val="2"/>
          </w:tcPr>
          <w:p w14:paraId="7B456B79" w14:textId="68D2CB0D" w:rsidR="00861859" w:rsidRPr="00861859" w:rsidRDefault="00095073" w:rsidP="00191CD1">
            <w:pPr>
              <w:pStyle w:val="Source"/>
              <w:spacing w:before="400" w:after="120"/>
              <w:rPr>
                <w:lang w:val="es-ES"/>
              </w:rPr>
            </w:pPr>
            <w:bookmarkStart w:id="1" w:name="dsource" w:colFirst="0" w:colLast="0"/>
            <w:bookmarkEnd w:id="0"/>
            <w:r>
              <w:rPr>
                <w:lang w:val="es-ES"/>
              </w:rPr>
              <w:t>Francia</w:t>
            </w:r>
          </w:p>
        </w:tc>
      </w:tr>
      <w:tr w:rsidR="003F7D9B" w:rsidRPr="004F18D2" w14:paraId="15471B05" w14:textId="77777777" w:rsidTr="008F0106">
        <w:trPr>
          <w:cantSplit/>
        </w:trPr>
        <w:tc>
          <w:tcPr>
            <w:tcW w:w="9889" w:type="dxa"/>
            <w:gridSpan w:val="2"/>
          </w:tcPr>
          <w:p w14:paraId="6F39BE51" w14:textId="74750D59" w:rsidR="003F7D9B" w:rsidRPr="004F18D2" w:rsidRDefault="003F7D9B" w:rsidP="00F6738F">
            <w:pPr>
              <w:pStyle w:val="Title1"/>
              <w:rPr>
                <w:lang w:val="es-ES"/>
              </w:rPr>
            </w:pPr>
            <w:bookmarkStart w:id="2" w:name="lt_pId008"/>
            <w:bookmarkStart w:id="3" w:name="dtitle1" w:colFirst="0" w:colLast="0"/>
            <w:bookmarkEnd w:id="1"/>
            <w:r w:rsidRPr="004F18D2">
              <w:rPr>
                <w:lang w:val="es-ES"/>
              </w:rPr>
              <w:t>Considera</w:t>
            </w:r>
            <w:r w:rsidR="004F18D2">
              <w:rPr>
                <w:lang w:val="es-ES"/>
              </w:rPr>
              <w:t>ciones y propuestas sobre</w:t>
            </w:r>
            <w:r w:rsidR="00124DFD">
              <w:rPr>
                <w:lang w:val="es-ES"/>
              </w:rPr>
              <w:br/>
            </w:r>
            <w:r w:rsidR="004F18D2">
              <w:rPr>
                <w:lang w:val="es-ES"/>
              </w:rPr>
              <w:t>el sistema</w:t>
            </w:r>
            <w:r w:rsidR="00124DFD">
              <w:rPr>
                <w:lang w:val="es-ES"/>
              </w:rPr>
              <w:t> </w:t>
            </w:r>
            <w:r w:rsidR="00F7331A">
              <w:rPr>
                <w:lang w:val="es-ES"/>
              </w:rPr>
              <w:t>«</w:t>
            </w:r>
            <w:r w:rsidR="004F18D2" w:rsidRPr="00E04449">
              <w:rPr>
                <w:i/>
                <w:iCs/>
                <w:lang w:val="es-ES"/>
              </w:rPr>
              <w:t>e</w:t>
            </w:r>
            <w:r w:rsidR="00376268" w:rsidRPr="00E04449">
              <w:rPr>
                <w:i/>
                <w:iCs/>
                <w:lang w:val="es-ES"/>
              </w:rPr>
              <w:noBreakHyphen/>
            </w:r>
            <w:r w:rsidR="00EF6EF5" w:rsidRPr="00E04449">
              <w:rPr>
                <w:i/>
                <w:iCs/>
                <w:lang w:val="es-ES"/>
              </w:rPr>
              <w:t>communications</w:t>
            </w:r>
            <w:r w:rsidR="00F7331A">
              <w:rPr>
                <w:lang w:val="es-ES"/>
              </w:rPr>
              <w:t>»</w:t>
            </w:r>
            <w:r w:rsidR="004F18D2" w:rsidRPr="00376268">
              <w:rPr>
                <w:lang w:val="es-ES"/>
              </w:rPr>
              <w:t xml:space="preserve"> </w:t>
            </w:r>
            <w:r w:rsidR="004F18D2">
              <w:rPr>
                <w:lang w:val="es-ES"/>
              </w:rPr>
              <w:t>del uit-r</w:t>
            </w:r>
            <w:r w:rsidR="00124DFD">
              <w:rPr>
                <w:lang w:val="es-ES"/>
              </w:rPr>
              <w:br/>
              <w:t xml:space="preserve">en </w:t>
            </w:r>
            <w:r w:rsidR="004F18D2">
              <w:rPr>
                <w:lang w:val="es-ES"/>
              </w:rPr>
              <w:t xml:space="preserve">virtud de la resolución </w:t>
            </w:r>
            <w:r w:rsidRPr="00095073">
              <w:rPr>
                <w:b/>
                <w:bCs/>
                <w:lang w:val="es-ES"/>
              </w:rPr>
              <w:t>907 (Rev.</w:t>
            </w:r>
            <w:r w:rsidR="004F18D2" w:rsidRPr="00095073">
              <w:rPr>
                <w:b/>
                <w:bCs/>
                <w:lang w:val="es-ES"/>
              </w:rPr>
              <w:t>CMR</w:t>
            </w:r>
            <w:r w:rsidRPr="00095073">
              <w:rPr>
                <w:b/>
                <w:bCs/>
                <w:lang w:val="es-ES"/>
              </w:rPr>
              <w:t>-15)</w:t>
            </w:r>
            <w:bookmarkEnd w:id="2"/>
          </w:p>
        </w:tc>
      </w:tr>
    </w:tbl>
    <w:bookmarkEnd w:id="3"/>
    <w:p w14:paraId="41D36DC5" w14:textId="252DBC94" w:rsidR="003F7D9B" w:rsidRPr="004F18D2" w:rsidRDefault="003F7D9B" w:rsidP="00F6738F">
      <w:pPr>
        <w:pStyle w:val="Heading1"/>
        <w:rPr>
          <w:lang w:val="es-ES"/>
        </w:rPr>
      </w:pPr>
      <w:r w:rsidRPr="004F18D2">
        <w:rPr>
          <w:lang w:val="es-ES"/>
        </w:rPr>
        <w:t>1</w:t>
      </w:r>
      <w:r w:rsidRPr="004F18D2">
        <w:rPr>
          <w:lang w:val="es-ES"/>
        </w:rPr>
        <w:tab/>
      </w:r>
      <w:r w:rsidR="004F18D2" w:rsidRPr="004F18D2">
        <w:rPr>
          <w:lang w:val="es-ES"/>
        </w:rPr>
        <w:t>Introducción</w:t>
      </w:r>
    </w:p>
    <w:p w14:paraId="6726F149" w14:textId="6DB73A1A" w:rsidR="003F7D9B" w:rsidRPr="004F18D2" w:rsidRDefault="004F18D2" w:rsidP="00376268">
      <w:pPr>
        <w:rPr>
          <w:lang w:val="es-ES"/>
        </w:rPr>
      </w:pPr>
      <w:bookmarkStart w:id="4" w:name="lt_pId011"/>
      <w:r>
        <w:rPr>
          <w:lang w:val="es-ES"/>
        </w:rPr>
        <w:t xml:space="preserve">La Resolución </w:t>
      </w:r>
      <w:r w:rsidR="003F7D9B" w:rsidRPr="00095073">
        <w:rPr>
          <w:b/>
          <w:bCs/>
          <w:lang w:val="es-ES"/>
        </w:rPr>
        <w:t>907 (Rev.</w:t>
      </w:r>
      <w:r w:rsidRPr="00095073">
        <w:rPr>
          <w:b/>
          <w:bCs/>
          <w:lang w:val="es-ES"/>
        </w:rPr>
        <w:t>CMR</w:t>
      </w:r>
      <w:r w:rsidR="003F7D9B" w:rsidRPr="00095073">
        <w:rPr>
          <w:b/>
          <w:bCs/>
          <w:lang w:val="es-ES"/>
        </w:rPr>
        <w:t>-15)</w:t>
      </w:r>
      <w:r w:rsidR="003F7D9B" w:rsidRPr="004F18D2">
        <w:rPr>
          <w:lang w:val="es-ES"/>
        </w:rPr>
        <w:t xml:space="preserve"> </w:t>
      </w:r>
      <w:r>
        <w:rPr>
          <w:lang w:val="es-ES"/>
        </w:rPr>
        <w:t>del Reglamento de Radiocomunicaciones es un instrumento reg</w:t>
      </w:r>
      <w:r w:rsidR="00095073">
        <w:rPr>
          <w:lang w:val="es-ES"/>
        </w:rPr>
        <w:t>lamentario</w:t>
      </w:r>
      <w:r>
        <w:rPr>
          <w:lang w:val="es-ES"/>
        </w:rPr>
        <w:t xml:space="preserve"> clave que sienta las bases para el desarrollo del sistema </w:t>
      </w:r>
      <w:r w:rsidR="00376268">
        <w:rPr>
          <w:lang w:val="es-ES"/>
        </w:rPr>
        <w:t>«</w:t>
      </w:r>
      <w:r w:rsidR="00EF6EF5" w:rsidRPr="00E04449">
        <w:rPr>
          <w:i/>
          <w:lang w:val="es-ES"/>
        </w:rPr>
        <w:t>e</w:t>
      </w:r>
      <w:r w:rsidR="00F6738F" w:rsidRPr="00E04449">
        <w:rPr>
          <w:i/>
          <w:lang w:val="es-ES"/>
        </w:rPr>
        <w:t>-</w:t>
      </w:r>
      <w:r w:rsidR="00EF6EF5" w:rsidRPr="00E04449">
        <w:rPr>
          <w:i/>
          <w:lang w:val="es-ES"/>
        </w:rPr>
        <w:t>Communications</w:t>
      </w:r>
      <w:r w:rsidR="00376268">
        <w:rPr>
          <w:lang w:val="es-ES"/>
        </w:rPr>
        <w:t>»</w:t>
      </w:r>
      <w:r w:rsidR="00EF6EF5">
        <w:rPr>
          <w:lang w:val="es-ES"/>
        </w:rPr>
        <w:t xml:space="preserve"> (</w:t>
      </w:r>
      <w:r>
        <w:rPr>
          <w:lang w:val="es-ES"/>
        </w:rPr>
        <w:t>comunicaciones electrónicas</w:t>
      </w:r>
      <w:r w:rsidR="00EF6EF5">
        <w:rPr>
          <w:lang w:val="es-ES"/>
        </w:rPr>
        <w:t>)</w:t>
      </w:r>
      <w:r>
        <w:rPr>
          <w:lang w:val="es-ES"/>
        </w:rPr>
        <w:t xml:space="preserve">, una herramienta </w:t>
      </w:r>
      <w:r w:rsidR="00EF6EF5">
        <w:rPr>
          <w:lang w:val="es-ES"/>
        </w:rPr>
        <w:t xml:space="preserve">de apoyo </w:t>
      </w:r>
      <w:r>
        <w:rPr>
          <w:lang w:val="es-ES"/>
        </w:rPr>
        <w:t xml:space="preserve">esencial </w:t>
      </w:r>
      <w:r w:rsidR="00EF6EF5">
        <w:rPr>
          <w:lang w:val="es-ES"/>
        </w:rPr>
        <w:t>para incrementar la eficiencia de las actividades de coordinación de las redes de satélites</w:t>
      </w:r>
      <w:r w:rsidR="003F7D9B" w:rsidRPr="004F18D2">
        <w:rPr>
          <w:lang w:val="es-ES"/>
        </w:rPr>
        <w:t>.</w:t>
      </w:r>
      <w:bookmarkEnd w:id="4"/>
      <w:r w:rsidR="003F7D9B" w:rsidRPr="004F18D2">
        <w:rPr>
          <w:lang w:val="es-ES"/>
        </w:rPr>
        <w:t xml:space="preserve"> </w:t>
      </w:r>
      <w:bookmarkStart w:id="5" w:name="lt_pId012"/>
      <w:r w:rsidR="00EF6EF5">
        <w:rPr>
          <w:lang w:val="es-ES"/>
        </w:rPr>
        <w:t>Según se informó en reuniones anteriores del GAR, y con el notable apoyo del Japón, la BR ha estado mejorando</w:t>
      </w:r>
      <w:r w:rsidR="003F7D9B" w:rsidRPr="004F18D2">
        <w:rPr>
          <w:lang w:val="es-ES"/>
        </w:rPr>
        <w:t xml:space="preserve"> </w:t>
      </w:r>
      <w:r w:rsidR="00EF6EF5">
        <w:rPr>
          <w:lang w:val="es-ES"/>
        </w:rPr>
        <w:t xml:space="preserve">considerablemente los procesos de coordinación de las redes de satélites poniendo a disposición una herramienta pertinente. </w:t>
      </w:r>
      <w:r w:rsidR="00095073">
        <w:rPr>
          <w:lang w:val="es-ES"/>
        </w:rPr>
        <w:t>Francia</w:t>
      </w:r>
      <w:r w:rsidR="00EF6EF5">
        <w:rPr>
          <w:lang w:val="es-ES"/>
        </w:rPr>
        <w:t xml:space="preserve"> acoge con agrado esta iniciativa.</w:t>
      </w:r>
      <w:bookmarkEnd w:id="5"/>
    </w:p>
    <w:p w14:paraId="5C036BBD" w14:textId="2D7B9891" w:rsidR="003F7D9B" w:rsidRPr="004F18D2" w:rsidRDefault="003F7D9B" w:rsidP="00F6738F">
      <w:pPr>
        <w:pStyle w:val="Heading1"/>
        <w:rPr>
          <w:lang w:val="es-ES"/>
        </w:rPr>
      </w:pPr>
      <w:r w:rsidRPr="004F18D2">
        <w:rPr>
          <w:lang w:val="es-ES"/>
        </w:rPr>
        <w:t>2</w:t>
      </w:r>
      <w:r w:rsidRPr="004F18D2">
        <w:rPr>
          <w:lang w:val="es-ES"/>
        </w:rPr>
        <w:tab/>
      </w:r>
      <w:bookmarkStart w:id="6" w:name="lt_pId015"/>
      <w:r w:rsidR="00095073">
        <w:rPr>
          <w:lang w:val="es-ES"/>
        </w:rPr>
        <w:t xml:space="preserve">Toma en consideración de las organizaciones </w:t>
      </w:r>
      <w:r w:rsidR="00E04449">
        <w:rPr>
          <w:lang w:val="es-ES"/>
        </w:rPr>
        <w:t xml:space="preserve">intergubernamentales </w:t>
      </w:r>
      <w:r w:rsidR="00095073">
        <w:rPr>
          <w:lang w:val="es-ES"/>
        </w:rPr>
        <w:t>de satélites</w:t>
      </w:r>
      <w:bookmarkEnd w:id="6"/>
    </w:p>
    <w:p w14:paraId="0A4912EC" w14:textId="1DE156FC" w:rsidR="003F7D9B" w:rsidRDefault="00E04449" w:rsidP="00376268">
      <w:pPr>
        <w:rPr>
          <w:lang w:val="es-ES"/>
        </w:rPr>
      </w:pPr>
      <w:bookmarkStart w:id="7" w:name="lt_pId017"/>
      <w:r w:rsidRPr="00E04449">
        <w:rPr>
          <w:lang w:val="es-ES"/>
        </w:rPr>
        <w:t xml:space="preserve">El sistema </w:t>
      </w:r>
      <w:r w:rsidRPr="00E04449">
        <w:rPr>
          <w:i/>
          <w:iCs/>
          <w:lang w:val="es-ES"/>
        </w:rPr>
        <w:t>e-Communications</w:t>
      </w:r>
      <w:r w:rsidRPr="00E04449">
        <w:rPr>
          <w:lang w:val="es-ES"/>
        </w:rPr>
        <w:t xml:space="preserve"> se desarrolló en respuesta a la Resolución </w:t>
      </w:r>
      <w:r w:rsidRPr="00876851">
        <w:rPr>
          <w:b/>
          <w:bCs/>
          <w:lang w:val="es-ES"/>
        </w:rPr>
        <w:t>907 (Rev.</w:t>
      </w:r>
      <w:r w:rsidR="00CB0445" w:rsidRPr="00CB0445">
        <w:rPr>
          <w:b/>
          <w:bCs/>
          <w:lang w:val="es-ES"/>
        </w:rPr>
        <w:t xml:space="preserve"> </w:t>
      </w:r>
      <w:r w:rsidR="00CB0445" w:rsidRPr="00095073">
        <w:rPr>
          <w:b/>
          <w:bCs/>
          <w:lang w:val="es-ES"/>
        </w:rPr>
        <w:t>CMR</w:t>
      </w:r>
      <w:r w:rsidRPr="00876851">
        <w:rPr>
          <w:b/>
          <w:bCs/>
          <w:lang w:val="es-ES"/>
        </w:rPr>
        <w:t>-15)</w:t>
      </w:r>
      <w:r w:rsidRPr="00E04449">
        <w:rPr>
          <w:lang w:val="es-ES"/>
        </w:rPr>
        <w:t xml:space="preserve"> para permitir el uso de medios de comunicación electrónicos modernos para la correspondencia administrativa</w:t>
      </w:r>
      <w:r w:rsidR="003F7D9B" w:rsidRPr="004F18D2">
        <w:rPr>
          <w:lang w:val="es-ES"/>
        </w:rPr>
        <w:t>:</w:t>
      </w:r>
      <w:bookmarkEnd w:id="7"/>
    </w:p>
    <w:p w14:paraId="0F7F4C35" w14:textId="13052434" w:rsidR="00E04449" w:rsidRPr="007201F8" w:rsidRDefault="00124DFD" w:rsidP="00124DFD">
      <w:pPr>
        <w:pStyle w:val="enumlev1"/>
        <w:rPr>
          <w:lang w:val="es-ES"/>
        </w:rPr>
      </w:pPr>
      <w:r w:rsidRPr="00124DFD">
        <w:rPr>
          <w:lang w:val="es-ES"/>
        </w:rPr>
        <w:t>•</w:t>
      </w:r>
      <w:r>
        <w:rPr>
          <w:lang w:val="es-ES"/>
        </w:rPr>
        <w:tab/>
      </w:r>
      <w:r w:rsidR="00876851">
        <w:rPr>
          <w:lang w:val="es-ES"/>
        </w:rPr>
        <w:t>e</w:t>
      </w:r>
      <w:r w:rsidR="00E04449" w:rsidRPr="007201F8">
        <w:rPr>
          <w:lang w:val="es-ES"/>
        </w:rPr>
        <w:t xml:space="preserve">ntre una </w:t>
      </w:r>
      <w:r w:rsidRPr="007201F8">
        <w:rPr>
          <w:lang w:val="es-ES"/>
        </w:rPr>
        <w:t xml:space="preserve">administración </w:t>
      </w:r>
      <w:r w:rsidR="00E04449" w:rsidRPr="007201F8">
        <w:rPr>
          <w:lang w:val="es-ES"/>
        </w:rPr>
        <w:t>y la Oficina de Radiocomunicaciones;</w:t>
      </w:r>
    </w:p>
    <w:p w14:paraId="65D7EDE4" w14:textId="504F59E4" w:rsidR="00E04449" w:rsidRPr="007201F8" w:rsidRDefault="00124DFD" w:rsidP="00124DFD">
      <w:pPr>
        <w:pStyle w:val="enumlev1"/>
        <w:rPr>
          <w:lang w:val="es-ES"/>
        </w:rPr>
      </w:pPr>
      <w:r w:rsidRPr="00124DFD">
        <w:rPr>
          <w:lang w:val="es-ES"/>
        </w:rPr>
        <w:t>•</w:t>
      </w:r>
      <w:r>
        <w:rPr>
          <w:lang w:val="es-ES"/>
        </w:rPr>
        <w:tab/>
      </w:r>
      <w:r w:rsidR="00876851">
        <w:rPr>
          <w:lang w:val="es-ES"/>
        </w:rPr>
        <w:t>e</w:t>
      </w:r>
      <w:r w:rsidR="00E04449" w:rsidRPr="007201F8">
        <w:rPr>
          <w:lang w:val="es-ES"/>
        </w:rPr>
        <w:t>ntre dos administraciones.</w:t>
      </w:r>
    </w:p>
    <w:p w14:paraId="1067078D" w14:textId="0A9F4554" w:rsidR="003F7D9B" w:rsidRPr="004F18D2" w:rsidRDefault="007201F8" w:rsidP="00436C9A">
      <w:pPr>
        <w:rPr>
          <w:lang w:val="es-ES"/>
        </w:rPr>
      </w:pPr>
      <w:r>
        <w:rPr>
          <w:lang w:val="es-ES"/>
        </w:rPr>
        <w:t>Tal y c</w:t>
      </w:r>
      <w:r w:rsidRPr="007201F8">
        <w:rPr>
          <w:lang w:val="es-ES"/>
        </w:rPr>
        <w:t xml:space="preserve">omo se indica en las reglas de procedimiento relativas al tratamiento del cambio de la administración notificante que actúa como administración notificante de una red de satélites en nombre de un grupo de administraciones nombradas, ciertas disposiciones del Reglamento de Radiocomunicaciones (números </w:t>
      </w:r>
      <w:r w:rsidRPr="00436C9A">
        <w:rPr>
          <w:b/>
          <w:bCs/>
          <w:lang w:val="es-ES"/>
        </w:rPr>
        <w:t>9.1</w:t>
      </w:r>
      <w:r w:rsidRPr="007201F8">
        <w:rPr>
          <w:lang w:val="es-ES"/>
        </w:rPr>
        <w:t xml:space="preserve">, </w:t>
      </w:r>
      <w:r w:rsidRPr="00436C9A">
        <w:rPr>
          <w:b/>
          <w:bCs/>
          <w:lang w:val="es-ES"/>
        </w:rPr>
        <w:t>9.6.1</w:t>
      </w:r>
      <w:r w:rsidRPr="007201F8">
        <w:rPr>
          <w:lang w:val="es-ES"/>
        </w:rPr>
        <w:t xml:space="preserve">, </w:t>
      </w:r>
      <w:r w:rsidRPr="00436C9A">
        <w:rPr>
          <w:b/>
          <w:bCs/>
          <w:lang w:val="es-ES"/>
        </w:rPr>
        <w:t>11.15.1</w:t>
      </w:r>
      <w:r w:rsidRPr="007201F8">
        <w:rPr>
          <w:lang w:val="es-ES"/>
        </w:rPr>
        <w:t xml:space="preserve">, Apéndice </w:t>
      </w:r>
      <w:r w:rsidRPr="00436C9A">
        <w:rPr>
          <w:b/>
          <w:bCs/>
          <w:lang w:val="es-ES"/>
        </w:rPr>
        <w:t>30</w:t>
      </w:r>
      <w:r w:rsidRPr="007201F8">
        <w:rPr>
          <w:lang w:val="es-ES"/>
        </w:rPr>
        <w:t xml:space="preserve"> (§</w:t>
      </w:r>
      <w:r w:rsidR="00124DFD">
        <w:rPr>
          <w:lang w:val="es-ES"/>
        </w:rPr>
        <w:t> </w:t>
      </w:r>
      <w:r w:rsidRPr="00436C9A">
        <w:rPr>
          <w:b/>
          <w:bCs/>
          <w:lang w:val="es-ES"/>
        </w:rPr>
        <w:t>4. 1.25</w:t>
      </w:r>
      <w:r w:rsidRPr="007201F8">
        <w:rPr>
          <w:lang w:val="es-ES"/>
        </w:rPr>
        <w:t xml:space="preserve">, </w:t>
      </w:r>
      <w:r w:rsidRPr="00436C9A">
        <w:rPr>
          <w:b/>
          <w:bCs/>
          <w:lang w:val="es-ES"/>
        </w:rPr>
        <w:t>4.1.3</w:t>
      </w:r>
      <w:r w:rsidRPr="007201F8">
        <w:rPr>
          <w:lang w:val="es-ES"/>
        </w:rPr>
        <w:t xml:space="preserve">, </w:t>
      </w:r>
      <w:r w:rsidRPr="00436C9A">
        <w:rPr>
          <w:b/>
          <w:bCs/>
          <w:lang w:val="es-ES"/>
        </w:rPr>
        <w:t>4.2.6</w:t>
      </w:r>
      <w:r w:rsidRPr="007201F8">
        <w:rPr>
          <w:lang w:val="es-ES"/>
        </w:rPr>
        <w:t xml:space="preserve"> y </w:t>
      </w:r>
      <w:r w:rsidRPr="00436C9A">
        <w:rPr>
          <w:b/>
          <w:bCs/>
          <w:lang w:val="es-ES"/>
        </w:rPr>
        <w:t>5.1.1</w:t>
      </w:r>
      <w:r w:rsidRPr="007201F8">
        <w:rPr>
          <w:lang w:val="es-ES"/>
        </w:rPr>
        <w:t xml:space="preserve">), el Apéndice </w:t>
      </w:r>
      <w:r w:rsidRPr="00DF6E3D">
        <w:rPr>
          <w:b/>
          <w:bCs/>
          <w:lang w:val="es-ES"/>
        </w:rPr>
        <w:t>30A</w:t>
      </w:r>
      <w:r w:rsidRPr="007201F8">
        <w:rPr>
          <w:lang w:val="es-ES"/>
        </w:rPr>
        <w:t xml:space="preserve"> (§</w:t>
      </w:r>
      <w:r w:rsidR="00124DFD">
        <w:rPr>
          <w:lang w:val="es-ES"/>
        </w:rPr>
        <w:t> </w:t>
      </w:r>
      <w:r w:rsidRPr="00DF6E3D">
        <w:rPr>
          <w:b/>
          <w:bCs/>
          <w:lang w:val="es-ES"/>
        </w:rPr>
        <w:t>4.2.6</w:t>
      </w:r>
      <w:r w:rsidRPr="007201F8">
        <w:rPr>
          <w:lang w:val="es-ES"/>
        </w:rPr>
        <w:t xml:space="preserve">, </w:t>
      </w:r>
      <w:r w:rsidRPr="00DF6E3D">
        <w:rPr>
          <w:b/>
          <w:bCs/>
          <w:lang w:val="es-ES"/>
        </w:rPr>
        <w:t>4.1.25</w:t>
      </w:r>
      <w:r w:rsidRPr="007201F8">
        <w:rPr>
          <w:lang w:val="es-ES"/>
        </w:rPr>
        <w:t xml:space="preserve">, </w:t>
      </w:r>
      <w:r w:rsidRPr="00DF6E3D">
        <w:rPr>
          <w:b/>
          <w:bCs/>
          <w:lang w:val="es-ES"/>
        </w:rPr>
        <w:t>4.1.3</w:t>
      </w:r>
      <w:r w:rsidRPr="007201F8">
        <w:rPr>
          <w:lang w:val="es-ES"/>
        </w:rPr>
        <w:t xml:space="preserve"> y </w:t>
      </w:r>
      <w:r w:rsidRPr="00DF6E3D">
        <w:rPr>
          <w:b/>
          <w:bCs/>
          <w:lang w:val="es-ES"/>
        </w:rPr>
        <w:t>5.1.2</w:t>
      </w:r>
      <w:r w:rsidRPr="007201F8">
        <w:rPr>
          <w:lang w:val="es-ES"/>
        </w:rPr>
        <w:t xml:space="preserve">), el Apéndice </w:t>
      </w:r>
      <w:r w:rsidRPr="00DF6E3D">
        <w:rPr>
          <w:b/>
          <w:bCs/>
          <w:lang w:val="es-ES"/>
        </w:rPr>
        <w:t>30B</w:t>
      </w:r>
      <w:r w:rsidRPr="007201F8">
        <w:rPr>
          <w:lang w:val="es-ES"/>
        </w:rPr>
        <w:t xml:space="preserve"> (§</w:t>
      </w:r>
      <w:r w:rsidR="00124DFD">
        <w:rPr>
          <w:lang w:val="es-ES"/>
        </w:rPr>
        <w:t> </w:t>
      </w:r>
      <w:r w:rsidRPr="00DF6E3D">
        <w:rPr>
          <w:b/>
          <w:bCs/>
          <w:lang w:val="es-ES"/>
        </w:rPr>
        <w:t>2.6</w:t>
      </w:r>
      <w:r w:rsidRPr="007201F8">
        <w:rPr>
          <w:lang w:val="es-ES"/>
        </w:rPr>
        <w:t xml:space="preserve"> y </w:t>
      </w:r>
      <w:r w:rsidRPr="00DF6E3D">
        <w:rPr>
          <w:b/>
          <w:bCs/>
          <w:lang w:val="es-ES"/>
        </w:rPr>
        <w:t>6.1</w:t>
      </w:r>
      <w:r w:rsidRPr="007201F8">
        <w:rPr>
          <w:lang w:val="es-ES"/>
        </w:rPr>
        <w:t>) permiten que una administración actúe en nombre de un grupo de administraciones determinadas para notificar a la Oficina de Radiocomunicaciones las asignaciones de frecuencia a las redes de satélite</w:t>
      </w:r>
      <w:r w:rsidR="00436C9A">
        <w:rPr>
          <w:lang w:val="es-ES"/>
        </w:rPr>
        <w:t xml:space="preserve">. </w:t>
      </w:r>
      <w:r w:rsidR="00436C9A" w:rsidRPr="00436C9A">
        <w:rPr>
          <w:lang w:val="es-ES"/>
        </w:rPr>
        <w:t xml:space="preserve">En </w:t>
      </w:r>
      <w:r w:rsidR="00436C9A">
        <w:rPr>
          <w:lang w:val="es-ES"/>
        </w:rPr>
        <w:t>tales</w:t>
      </w:r>
      <w:r w:rsidR="00436C9A" w:rsidRPr="00436C9A">
        <w:rPr>
          <w:lang w:val="es-ES"/>
        </w:rPr>
        <w:t xml:space="preserve"> caso</w:t>
      </w:r>
      <w:r w:rsidR="00436C9A">
        <w:rPr>
          <w:lang w:val="es-ES"/>
        </w:rPr>
        <w:t>s</w:t>
      </w:r>
      <w:r w:rsidR="00436C9A" w:rsidRPr="00436C9A">
        <w:rPr>
          <w:lang w:val="es-ES"/>
        </w:rPr>
        <w:t>, la administración que actúa en nombre del grupo se denomina administración notificante del grupo en el sentido indicado en el Reglamento de Radiocomunicaciones.</w:t>
      </w:r>
      <w:r w:rsidR="00436C9A">
        <w:rPr>
          <w:lang w:val="es-ES"/>
        </w:rPr>
        <w:t xml:space="preserve"> </w:t>
      </w:r>
      <w:r w:rsidR="00436C9A" w:rsidRPr="00436C9A">
        <w:rPr>
          <w:lang w:val="es-ES"/>
        </w:rPr>
        <w:t>En algunos casos, las disposiciones antes señaladas se utilizan en beneficio de una organización intergubernamental (agrupación de Estados constituida sobre la base de un tratado internacional y dotada de órganos comunes propios).</w:t>
      </w:r>
    </w:p>
    <w:p w14:paraId="2289D27F" w14:textId="4C7516DF" w:rsidR="00DF6E3D" w:rsidRDefault="00DF6E3D" w:rsidP="000736D4">
      <w:pPr>
        <w:rPr>
          <w:lang w:val="es-ES"/>
        </w:rPr>
      </w:pPr>
      <w:bookmarkStart w:id="8" w:name="lt_pId021"/>
      <w:r w:rsidRPr="00DF6E3D">
        <w:rPr>
          <w:lang w:val="es-ES"/>
        </w:rPr>
        <w:t xml:space="preserve">En </w:t>
      </w:r>
      <w:r>
        <w:rPr>
          <w:lang w:val="es-ES"/>
        </w:rPr>
        <w:t>este</w:t>
      </w:r>
      <w:r w:rsidRPr="00DF6E3D">
        <w:rPr>
          <w:lang w:val="es-ES"/>
        </w:rPr>
        <w:t xml:space="preserve"> caso, la administración que actúe en nombre del grupo se denomina como la administración notificante de ese grupo en el sentido que el término tiene en el Reglamento de Radiocomunicaciones. Esas disposiciones tienen la característica común de que</w:t>
      </w:r>
      <w:r>
        <w:rPr>
          <w:lang w:val="es-ES"/>
        </w:rPr>
        <w:t>,</w:t>
      </w:r>
      <w:r w:rsidRPr="00DF6E3D">
        <w:rPr>
          <w:lang w:val="es-ES"/>
        </w:rPr>
        <w:t xml:space="preserve"> cuando una administración actúe en nombre de un grupo de administraciones </w:t>
      </w:r>
      <w:r>
        <w:rPr>
          <w:lang w:val="es-ES"/>
        </w:rPr>
        <w:t xml:space="preserve">determinadas (incluida la </w:t>
      </w:r>
      <w:r w:rsidR="00CB0445">
        <w:rPr>
          <w:lang w:val="es-ES"/>
        </w:rPr>
        <w:t xml:space="preserve">administración </w:t>
      </w:r>
      <w:r>
        <w:rPr>
          <w:lang w:val="es-ES"/>
        </w:rPr>
        <w:t>notificante para sus propósitos)</w:t>
      </w:r>
      <w:r w:rsidRPr="00DF6E3D">
        <w:rPr>
          <w:lang w:val="es-ES"/>
        </w:rPr>
        <w:t xml:space="preserve">, todos los miembros del grupo tienen el derecho de </w:t>
      </w:r>
      <w:r w:rsidRPr="00DF6E3D">
        <w:rPr>
          <w:lang w:val="es-ES"/>
        </w:rPr>
        <w:lastRenderedPageBreak/>
        <w:t>responder a todo lo relativo a sus servicios propios que pudieran afectar o verse afectados por la asignación propuesta.</w:t>
      </w:r>
    </w:p>
    <w:bookmarkEnd w:id="8"/>
    <w:p w14:paraId="29CA7BBB" w14:textId="3D152D4C" w:rsidR="003F7D9B" w:rsidRPr="00AC02C7" w:rsidRDefault="00DF6E3D" w:rsidP="000736D4">
      <w:pPr>
        <w:rPr>
          <w:lang w:val="es-ES"/>
        </w:rPr>
      </w:pPr>
      <w:r w:rsidRPr="00DF6E3D">
        <w:rPr>
          <w:lang w:val="es-ES"/>
        </w:rPr>
        <w:t>Las notificaciones de satélites que incluyan esos símbolos se tratan con independencia de las notificaciones remitidas por la administración notificante en nombre propio: las secciones especiales de esas notificaciones de satélites incluyen a la administración notificante con la etiqueta</w:t>
      </w:r>
      <w:r w:rsidR="00CB0445">
        <w:rPr>
          <w:lang w:val="es-ES"/>
        </w:rPr>
        <w:t> </w:t>
      </w:r>
      <w:r w:rsidRPr="00DF6E3D">
        <w:rPr>
          <w:lang w:val="es-ES"/>
        </w:rPr>
        <w:t xml:space="preserve">ADM/ORG, siendo ADM el símbolo de la administración notificante y ORG el símbolo de la organización intergubernamental de satélites (en lugar de etiquetarla simplemente como ADM). Además, </w:t>
      </w:r>
      <w:r w:rsidR="00D10542" w:rsidRPr="00DF6E3D">
        <w:rPr>
          <w:lang w:val="es-ES"/>
        </w:rPr>
        <w:t xml:space="preserve">los requisitos de coordinación del sistema de satélites de ADM/ORG </w:t>
      </w:r>
      <w:r w:rsidR="00D10542">
        <w:rPr>
          <w:lang w:val="es-ES"/>
        </w:rPr>
        <w:t xml:space="preserve">incluyen a </w:t>
      </w:r>
      <w:r w:rsidRPr="00DF6E3D">
        <w:rPr>
          <w:lang w:val="es-ES"/>
        </w:rPr>
        <w:t xml:space="preserve">los sistemas de satélites de ADM si se superan los umbrales de coordinación pertinentes. Este método garantiza la aplicación adecuada del derecho de </w:t>
      </w:r>
      <w:r w:rsidR="00124DFD">
        <w:rPr>
          <w:lang w:val="es-ES"/>
        </w:rPr>
        <w:t>«</w:t>
      </w:r>
      <w:r w:rsidRPr="00DF6E3D">
        <w:rPr>
          <w:lang w:val="es-ES"/>
        </w:rPr>
        <w:t>todos los miembros del grupo (…) a responder con respecto a sus propios servicios</w:t>
      </w:r>
      <w:r w:rsidR="00124DFD">
        <w:rPr>
          <w:lang w:val="es-ES"/>
        </w:rPr>
        <w:t>»</w:t>
      </w:r>
      <w:r w:rsidR="00376268" w:rsidRPr="00AC02C7">
        <w:rPr>
          <w:lang w:val="es-ES"/>
        </w:rPr>
        <w:t>.</w:t>
      </w:r>
    </w:p>
    <w:p w14:paraId="57F97A3E" w14:textId="6FBD45AA" w:rsidR="003F7D9B" w:rsidRPr="004F18D2" w:rsidRDefault="00D10542" w:rsidP="00376268">
      <w:pPr>
        <w:rPr>
          <w:lang w:val="es-ES"/>
        </w:rPr>
      </w:pPr>
      <w:r w:rsidRPr="00D10542">
        <w:rPr>
          <w:lang w:val="es-ES"/>
        </w:rPr>
        <w:t xml:space="preserve">Francia solicita a la Oficina de Radiocomunicaciones que considere la posibilidad de enviar y recibir </w:t>
      </w:r>
      <w:r>
        <w:rPr>
          <w:lang w:val="es-ES"/>
        </w:rPr>
        <w:t xml:space="preserve">la </w:t>
      </w:r>
      <w:r w:rsidRPr="00D10542">
        <w:rPr>
          <w:lang w:val="es-ES"/>
        </w:rPr>
        <w:t xml:space="preserve">correspondencia administrativa </w:t>
      </w:r>
      <w:r>
        <w:rPr>
          <w:lang w:val="es-ES"/>
        </w:rPr>
        <w:t>de</w:t>
      </w:r>
      <w:r w:rsidRPr="00D10542">
        <w:rPr>
          <w:lang w:val="es-ES"/>
        </w:rPr>
        <w:t xml:space="preserve"> la ADM/ORG de forma separada de la </w:t>
      </w:r>
      <w:r>
        <w:rPr>
          <w:lang w:val="es-ES"/>
        </w:rPr>
        <w:t xml:space="preserve">de la </w:t>
      </w:r>
      <w:r w:rsidRPr="00D10542">
        <w:rPr>
          <w:lang w:val="es-ES"/>
        </w:rPr>
        <w:t>ADM. Esto permitiría tener mejor en cuenta las particularidades de las asignaciones de frecuencias gestionadas por una administración notificante en beneficio de una organización intergubernamental, así como los requisitos de coordinación previstos en el Reglamento de Radiocomunicaciones entre ADM y ADM/ORG</w:t>
      </w:r>
      <w:r w:rsidR="00EF6EF5" w:rsidRPr="00EF6EF5">
        <w:rPr>
          <w:lang w:val="es-ES"/>
        </w:rPr>
        <w:t>.</w:t>
      </w:r>
      <w:r w:rsidR="00267EA3" w:rsidRPr="00267EA3">
        <w:t xml:space="preserve"> </w:t>
      </w:r>
      <w:r w:rsidR="00267EA3" w:rsidRPr="00267EA3">
        <w:rPr>
          <w:lang w:val="es-ES"/>
        </w:rPr>
        <w:t>Esta separación entre ADM y ADM/ORG también evitaría la correspondencia administrativa de las administraciones de terceros a ADM en relación con las redes de satélites de ADM y de ADM/ORG</w:t>
      </w:r>
      <w:r w:rsidR="00267EA3">
        <w:rPr>
          <w:lang w:val="es-ES"/>
        </w:rPr>
        <w:t>.</w:t>
      </w:r>
    </w:p>
    <w:p w14:paraId="7D9BF3FC" w14:textId="78D64423" w:rsidR="00904A14" w:rsidRPr="004F18D2" w:rsidRDefault="00904A14" w:rsidP="00904A14">
      <w:pPr>
        <w:pStyle w:val="Heading1"/>
        <w:rPr>
          <w:lang w:val="es-ES"/>
        </w:rPr>
      </w:pPr>
      <w:bookmarkStart w:id="9" w:name="lt_pId025"/>
      <w:r>
        <w:rPr>
          <w:lang w:val="es-ES"/>
        </w:rPr>
        <w:t>3</w:t>
      </w:r>
      <w:r w:rsidRPr="004F18D2">
        <w:rPr>
          <w:lang w:val="es-ES"/>
        </w:rPr>
        <w:tab/>
      </w:r>
      <w:r>
        <w:rPr>
          <w:lang w:val="es-ES"/>
        </w:rPr>
        <w:t>Evitar la duplicación de correspondencia entre administraciones</w:t>
      </w:r>
    </w:p>
    <w:p w14:paraId="28B06379" w14:textId="689C2FCC" w:rsidR="00B60458" w:rsidRDefault="003D4639" w:rsidP="003D4639">
      <w:pPr>
        <w:rPr>
          <w:lang w:val="es-ES"/>
        </w:rPr>
      </w:pPr>
      <w:r>
        <w:rPr>
          <w:lang w:val="es-ES"/>
        </w:rPr>
        <w:t xml:space="preserve">Con arreglo al </w:t>
      </w:r>
      <w:r w:rsidRPr="003D4639">
        <w:rPr>
          <w:i/>
          <w:iCs/>
          <w:lang w:val="es-ES"/>
        </w:rPr>
        <w:t>resuelve</w:t>
      </w:r>
      <w:r w:rsidR="00F16B19">
        <w:rPr>
          <w:lang w:val="es-ES"/>
        </w:rPr>
        <w:t> </w:t>
      </w:r>
      <w:r>
        <w:rPr>
          <w:lang w:val="es-ES"/>
        </w:rPr>
        <w:t xml:space="preserve">2 de la Resolución </w:t>
      </w:r>
      <w:r w:rsidRPr="003D4639">
        <w:rPr>
          <w:b/>
          <w:bCs/>
          <w:lang w:val="es-ES"/>
        </w:rPr>
        <w:t>907 (Rev.CMR-15)</w:t>
      </w:r>
      <w:r w:rsidRPr="003D4639">
        <w:rPr>
          <w:lang w:val="es-ES"/>
        </w:rPr>
        <w:t>, siempre que sea posible, se utilice la expresión «medios electrónicos modernos» cada</w:t>
      </w:r>
      <w:r>
        <w:rPr>
          <w:lang w:val="es-ES"/>
        </w:rPr>
        <w:t xml:space="preserve"> </w:t>
      </w:r>
      <w:r w:rsidRPr="003D4639">
        <w:rPr>
          <w:lang w:val="es-ES"/>
        </w:rPr>
        <w:t>vez que aparezcan los términos «telegrama», «télex» o «fax» en las disposiciones relativas a la</w:t>
      </w:r>
      <w:r>
        <w:rPr>
          <w:lang w:val="es-ES"/>
        </w:rPr>
        <w:t xml:space="preserve"> </w:t>
      </w:r>
      <w:r w:rsidRPr="003D4639">
        <w:rPr>
          <w:lang w:val="es-ES"/>
        </w:rPr>
        <w:t>publicación anticipada, la coordinación, la notificación y el registro de redes de satélites, estaciones</w:t>
      </w:r>
      <w:r>
        <w:rPr>
          <w:lang w:val="es-ES"/>
        </w:rPr>
        <w:t xml:space="preserve"> </w:t>
      </w:r>
      <w:r w:rsidRPr="003D4639">
        <w:rPr>
          <w:lang w:val="es-ES"/>
        </w:rPr>
        <w:t xml:space="preserve">terrenas y estaciones de radioastronomía, incluidas las disposiciones contenidas en los Apéndices </w:t>
      </w:r>
      <w:r w:rsidRPr="003D4639">
        <w:rPr>
          <w:b/>
          <w:bCs/>
          <w:lang w:val="es-ES"/>
        </w:rPr>
        <w:t>30</w:t>
      </w:r>
      <w:r w:rsidRPr="003D4639">
        <w:rPr>
          <w:lang w:val="es-ES"/>
        </w:rPr>
        <w:t>,</w:t>
      </w:r>
      <w:r>
        <w:rPr>
          <w:lang w:val="es-ES"/>
        </w:rPr>
        <w:t xml:space="preserve"> </w:t>
      </w:r>
      <w:r w:rsidRPr="003D4639">
        <w:rPr>
          <w:b/>
          <w:bCs/>
          <w:lang w:val="es-ES"/>
        </w:rPr>
        <w:t>30A</w:t>
      </w:r>
      <w:r w:rsidRPr="003D4639">
        <w:rPr>
          <w:lang w:val="es-ES"/>
        </w:rPr>
        <w:t xml:space="preserve"> y </w:t>
      </w:r>
      <w:r w:rsidRPr="003D4639">
        <w:rPr>
          <w:b/>
          <w:bCs/>
          <w:lang w:val="es-ES"/>
        </w:rPr>
        <w:t>30B</w:t>
      </w:r>
      <w:r w:rsidR="00B60458" w:rsidRPr="00B60458">
        <w:rPr>
          <w:lang w:val="es-ES"/>
        </w:rPr>
        <w:t>.</w:t>
      </w:r>
    </w:p>
    <w:p w14:paraId="7619ADD9" w14:textId="3CDD37AF" w:rsidR="003D4639" w:rsidRDefault="003D4639" w:rsidP="003D4639">
      <w:pPr>
        <w:rPr>
          <w:lang w:val="es-ES"/>
        </w:rPr>
      </w:pPr>
      <w:r w:rsidRPr="003D4639">
        <w:rPr>
          <w:lang w:val="es-ES"/>
        </w:rPr>
        <w:t xml:space="preserve">Francia considera que toda la correspondencia entre administraciones puede enviarse por </w:t>
      </w:r>
      <w:r w:rsidR="00124DFD">
        <w:rPr>
          <w:lang w:val="es-ES"/>
        </w:rPr>
        <w:t>«</w:t>
      </w:r>
      <w:r w:rsidRPr="003D4639">
        <w:rPr>
          <w:lang w:val="es-ES"/>
        </w:rPr>
        <w:t>medios electrónicos</w:t>
      </w:r>
      <w:r w:rsidR="00124DFD">
        <w:rPr>
          <w:lang w:val="es-ES"/>
        </w:rPr>
        <w:t>»</w:t>
      </w:r>
      <w:r w:rsidRPr="003D4639">
        <w:rPr>
          <w:lang w:val="es-ES"/>
        </w:rPr>
        <w:t xml:space="preserve">. Sin embargo, el </w:t>
      </w:r>
      <w:r w:rsidRPr="003D4639">
        <w:rPr>
          <w:i/>
          <w:iCs/>
          <w:lang w:val="es-ES"/>
        </w:rPr>
        <w:t>resuelve</w:t>
      </w:r>
      <w:r w:rsidR="003F30A2">
        <w:rPr>
          <w:lang w:val="es-ES"/>
        </w:rPr>
        <w:t> </w:t>
      </w:r>
      <w:r w:rsidRPr="003D4639">
        <w:rPr>
          <w:lang w:val="es-ES"/>
        </w:rPr>
        <w:t xml:space="preserve">3 de la Resolución </w:t>
      </w:r>
      <w:r w:rsidRPr="003D4639">
        <w:rPr>
          <w:b/>
          <w:bCs/>
          <w:lang w:val="es-ES"/>
        </w:rPr>
        <w:t>907 (Rev.CMR-15)</w:t>
      </w:r>
      <w:r w:rsidRPr="003D4639">
        <w:rPr>
          <w:lang w:val="es-ES"/>
        </w:rPr>
        <w:t xml:space="preserve"> contempla la posibilidad de seguir utilizando otros medios de comunicación tradicionales</w:t>
      </w:r>
      <w:r>
        <w:rPr>
          <w:lang w:val="es-ES"/>
        </w:rPr>
        <w:t>.</w:t>
      </w:r>
    </w:p>
    <w:p w14:paraId="633E4A43" w14:textId="434E107D" w:rsidR="003D4639" w:rsidRDefault="00946213" w:rsidP="003D4639">
      <w:pPr>
        <w:rPr>
          <w:lang w:val="es-ES"/>
        </w:rPr>
      </w:pPr>
      <w:r>
        <w:rPr>
          <w:lang w:val="es-ES"/>
        </w:rPr>
        <w:t>Tal y como se indica en la contribución de Brasil (</w:t>
      </w:r>
      <w:r w:rsidR="00124DFD">
        <w:rPr>
          <w:lang w:val="es-ES"/>
        </w:rPr>
        <w:t>Documento</w:t>
      </w:r>
      <w:r w:rsidR="00F16B19">
        <w:rPr>
          <w:lang w:val="es-ES"/>
        </w:rPr>
        <w:t> </w:t>
      </w:r>
      <w:r>
        <w:rPr>
          <w:lang w:val="es-ES"/>
        </w:rPr>
        <w:t>RAG20/23) esto</w:t>
      </w:r>
      <w:r w:rsidRPr="00946213">
        <w:rPr>
          <w:lang w:val="es-ES"/>
        </w:rPr>
        <w:t xml:space="preserve"> puede hacer que la misma carta, con el mismo contenido, sea tratada 3 ó 4 veces, con diferentes copias recibidas por diferentes departamentos de la administración, </w:t>
      </w:r>
      <w:r>
        <w:rPr>
          <w:lang w:val="es-ES"/>
        </w:rPr>
        <w:t>en fechas</w:t>
      </w:r>
      <w:r w:rsidRPr="00946213">
        <w:rPr>
          <w:lang w:val="es-ES"/>
        </w:rPr>
        <w:t xml:space="preserve"> diferentes, lo que causa gastos administrativos adicionales para todas las partes </w:t>
      </w:r>
      <w:r w:rsidR="00876851">
        <w:rPr>
          <w:lang w:val="es-ES"/>
        </w:rPr>
        <w:t>implic</w:t>
      </w:r>
      <w:r w:rsidRPr="00946213">
        <w:rPr>
          <w:lang w:val="es-ES"/>
        </w:rPr>
        <w:t xml:space="preserve">adas. </w:t>
      </w:r>
    </w:p>
    <w:p w14:paraId="48B90D12" w14:textId="0D0E05AA" w:rsidR="00946213" w:rsidRDefault="00946213" w:rsidP="003D4639">
      <w:pPr>
        <w:rPr>
          <w:lang w:val="es-ES"/>
        </w:rPr>
      </w:pPr>
      <w:r w:rsidRPr="00946213">
        <w:rPr>
          <w:lang w:val="es-ES"/>
        </w:rPr>
        <w:t xml:space="preserve">Francia invita a las demás administraciones a elegir un único medio de comunicación, </w:t>
      </w:r>
      <w:r w:rsidR="00876851">
        <w:rPr>
          <w:lang w:val="es-ES"/>
        </w:rPr>
        <w:t>de preferencia</w:t>
      </w:r>
      <w:r w:rsidRPr="00946213">
        <w:rPr>
          <w:lang w:val="es-ES"/>
        </w:rPr>
        <w:t xml:space="preserve"> la herramienta </w:t>
      </w:r>
      <w:r w:rsidR="00124DFD">
        <w:rPr>
          <w:lang w:val="es-ES"/>
        </w:rPr>
        <w:t>«</w:t>
      </w:r>
      <w:r w:rsidRPr="00946213">
        <w:rPr>
          <w:i/>
          <w:iCs/>
          <w:lang w:val="es-ES"/>
        </w:rPr>
        <w:t>e-</w:t>
      </w:r>
      <w:proofErr w:type="spellStart"/>
      <w:r w:rsidRPr="00946213">
        <w:rPr>
          <w:i/>
          <w:iCs/>
          <w:lang w:val="es-ES"/>
        </w:rPr>
        <w:t>Communications</w:t>
      </w:r>
      <w:proofErr w:type="spellEnd"/>
      <w:r w:rsidR="00124DFD">
        <w:rPr>
          <w:lang w:val="es-ES"/>
        </w:rPr>
        <w:t>»</w:t>
      </w:r>
      <w:r w:rsidRPr="00946213">
        <w:rPr>
          <w:lang w:val="es-ES"/>
        </w:rPr>
        <w:t xml:space="preserve">, y a no duplicar o triplicar la correspondencia administrativa por </w:t>
      </w:r>
      <w:r>
        <w:rPr>
          <w:lang w:val="es-ES"/>
        </w:rPr>
        <w:t xml:space="preserve">el uso de </w:t>
      </w:r>
      <w:r w:rsidRPr="00946213">
        <w:rPr>
          <w:lang w:val="es-ES"/>
        </w:rPr>
        <w:t>diferentes medios de comunicación</w:t>
      </w:r>
      <w:r>
        <w:rPr>
          <w:lang w:val="es-ES"/>
        </w:rPr>
        <w:t>.</w:t>
      </w:r>
    </w:p>
    <w:p w14:paraId="53B77AB8" w14:textId="1AEFD20F" w:rsidR="00946213" w:rsidRPr="004F18D2" w:rsidRDefault="00946213" w:rsidP="00946213">
      <w:pPr>
        <w:pStyle w:val="Heading1"/>
        <w:rPr>
          <w:lang w:val="es-ES"/>
        </w:rPr>
      </w:pPr>
      <w:bookmarkStart w:id="10" w:name="lt_pId027"/>
      <w:bookmarkStart w:id="11" w:name="_Hlk40256231"/>
      <w:bookmarkEnd w:id="9"/>
      <w:r>
        <w:rPr>
          <w:lang w:val="es-ES"/>
        </w:rPr>
        <w:t>4</w:t>
      </w:r>
      <w:r w:rsidRPr="004F18D2">
        <w:rPr>
          <w:lang w:val="es-ES"/>
        </w:rPr>
        <w:tab/>
      </w:r>
      <w:r>
        <w:rPr>
          <w:lang w:val="es-ES"/>
        </w:rPr>
        <w:t>Propuesta</w:t>
      </w:r>
    </w:p>
    <w:p w14:paraId="5BD15F7F" w14:textId="7998CC10" w:rsidR="00946213" w:rsidRPr="00946213" w:rsidRDefault="00946213" w:rsidP="00946213">
      <w:bookmarkStart w:id="12" w:name="lt_pId040"/>
      <w:bookmarkEnd w:id="10"/>
      <w:bookmarkEnd w:id="11"/>
      <w:r w:rsidRPr="00946213">
        <w:t>Franc</w:t>
      </w:r>
      <w:r>
        <w:t>ia solicita</w:t>
      </w:r>
      <w:r w:rsidRPr="00946213">
        <w:t>:</w:t>
      </w:r>
      <w:bookmarkEnd w:id="12"/>
    </w:p>
    <w:p w14:paraId="0A49613C" w14:textId="5991DCF6" w:rsidR="00946213" w:rsidRPr="00946213" w:rsidRDefault="00946213" w:rsidP="00946213">
      <w:pPr>
        <w:spacing w:before="80"/>
        <w:ind w:left="794" w:hanging="794"/>
      </w:pPr>
      <w:r w:rsidRPr="00946213">
        <w:t>1</w:t>
      </w:r>
      <w:r w:rsidRPr="00946213">
        <w:tab/>
      </w:r>
      <w:bookmarkStart w:id="13" w:name="lt_pId042"/>
      <w:r w:rsidR="00EA5BC5" w:rsidRPr="00EA5BC5">
        <w:t xml:space="preserve">que la Oficina de Radiocomunicaciones tenga en cuenta a las organizaciones intergubernamentales de satélites en el sistema de </w:t>
      </w:r>
      <w:r w:rsidR="00124DFD">
        <w:t>«</w:t>
      </w:r>
      <w:r w:rsidR="00EA5BC5" w:rsidRPr="00EA5BC5">
        <w:rPr>
          <w:i/>
          <w:iCs/>
        </w:rPr>
        <w:t>e-</w:t>
      </w:r>
      <w:proofErr w:type="spellStart"/>
      <w:r w:rsidR="00EA5BC5" w:rsidRPr="00EA5BC5">
        <w:rPr>
          <w:i/>
          <w:iCs/>
        </w:rPr>
        <w:t>Communication</w:t>
      </w:r>
      <w:proofErr w:type="spellEnd"/>
      <w:r w:rsidR="00124DFD">
        <w:t>»</w:t>
      </w:r>
      <w:r w:rsidRPr="00946213">
        <w:t>;</w:t>
      </w:r>
      <w:bookmarkEnd w:id="13"/>
    </w:p>
    <w:p w14:paraId="52B9C3C5" w14:textId="5E11E20C" w:rsidR="00EA5BC5" w:rsidRDefault="00946213" w:rsidP="00946213">
      <w:pPr>
        <w:spacing w:before="80"/>
        <w:ind w:left="794" w:hanging="794"/>
      </w:pPr>
      <w:r w:rsidRPr="00946213">
        <w:t>2</w:t>
      </w:r>
      <w:r w:rsidRPr="00946213">
        <w:tab/>
      </w:r>
      <w:bookmarkStart w:id="14" w:name="lt_pId044"/>
      <w:r w:rsidR="00EA5BC5" w:rsidRPr="00EA5BC5">
        <w:t xml:space="preserve">que las administraciones que se hayan registrado </w:t>
      </w:r>
      <w:r w:rsidR="00876851">
        <w:t>para</w:t>
      </w:r>
      <w:r w:rsidR="00EA5BC5" w:rsidRPr="00EA5BC5">
        <w:t xml:space="preserve"> la herramienta </w:t>
      </w:r>
      <w:r w:rsidR="00124DFD">
        <w:t>«</w:t>
      </w:r>
      <w:r w:rsidR="00EA5BC5" w:rsidRPr="00E2234E">
        <w:rPr>
          <w:i/>
          <w:iCs/>
        </w:rPr>
        <w:t>e-</w:t>
      </w:r>
      <w:proofErr w:type="spellStart"/>
      <w:r w:rsidR="00EA5BC5" w:rsidRPr="00E2234E">
        <w:rPr>
          <w:i/>
          <w:iCs/>
        </w:rPr>
        <w:t>Communications</w:t>
      </w:r>
      <w:proofErr w:type="spellEnd"/>
      <w:r w:rsidR="00124DFD">
        <w:t>»</w:t>
      </w:r>
      <w:r w:rsidR="00EA5BC5" w:rsidRPr="00EA5BC5">
        <w:t xml:space="preserve"> utilicen únicamente este medio de comunicación, y no multipliquen la correspondencia administrativa por otros medios como el fax, la carta o el correo electrónico</w:t>
      </w:r>
    </w:p>
    <w:bookmarkEnd w:id="14"/>
    <w:p w14:paraId="2DA5DA59" w14:textId="77777777" w:rsidR="00946213" w:rsidRPr="00946213" w:rsidRDefault="00946213" w:rsidP="00946213">
      <w:pPr>
        <w:jc w:val="center"/>
        <w:rPr>
          <w:lang w:val="en-GB"/>
        </w:rPr>
      </w:pPr>
      <w:r w:rsidRPr="00946213">
        <w:rPr>
          <w:lang w:val="en-GB"/>
        </w:rPr>
        <w:t>______________</w:t>
      </w:r>
    </w:p>
    <w:sectPr w:rsidR="00946213" w:rsidRPr="00946213" w:rsidSect="004D6C09">
      <w:head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3100" w14:textId="77777777" w:rsidR="003F7D9B" w:rsidRDefault="003F7D9B">
      <w:r>
        <w:separator/>
      </w:r>
    </w:p>
  </w:endnote>
  <w:endnote w:type="continuationSeparator" w:id="0">
    <w:p w14:paraId="22F02813" w14:textId="77777777" w:rsidR="003F7D9B" w:rsidRDefault="003F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74AB" w14:textId="77777777" w:rsidR="003F7D9B" w:rsidRDefault="003F7D9B">
      <w:r>
        <w:t>____________________</w:t>
      </w:r>
    </w:p>
  </w:footnote>
  <w:footnote w:type="continuationSeparator" w:id="0">
    <w:p w14:paraId="3A1E1985" w14:textId="77777777" w:rsidR="003F7D9B" w:rsidRDefault="003F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FC40"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68B404E1" w14:textId="35E38359" w:rsidR="00616601" w:rsidRDefault="0034043B" w:rsidP="00AB4BAD">
    <w:pPr>
      <w:pStyle w:val="Header"/>
      <w:rPr>
        <w:lang w:val="es-ES"/>
      </w:rPr>
    </w:pPr>
    <w:r>
      <w:rPr>
        <w:lang w:val="es-ES"/>
      </w:rPr>
      <w:t>RAG</w:t>
    </w:r>
    <w:r w:rsidR="00616601">
      <w:rPr>
        <w:lang w:val="es-ES"/>
      </w:rPr>
      <w:t>/</w:t>
    </w:r>
    <w:r w:rsidR="00095073">
      <w:rPr>
        <w:lang w:val="es-ES"/>
      </w:rPr>
      <w:t>5</w:t>
    </w:r>
    <w:r w:rsidR="00F149DA">
      <w:rPr>
        <w:lang w:val="es-ES"/>
      </w:rPr>
      <w:t>3</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80209"/>
    <w:multiLevelType w:val="hybridMultilevel"/>
    <w:tmpl w:val="7E46B2A2"/>
    <w:lvl w:ilvl="0" w:tplc="C43CE9E6">
      <w:start w:val="1"/>
      <w:numFmt w:val="decimal"/>
      <w:lvlText w:val="%1."/>
      <w:lvlJc w:val="left"/>
      <w:pPr>
        <w:ind w:left="783" w:hanging="360"/>
      </w:pPr>
    </w:lvl>
    <w:lvl w:ilvl="1" w:tplc="A1388D14" w:tentative="1">
      <w:start w:val="1"/>
      <w:numFmt w:val="lowerLetter"/>
      <w:lvlText w:val="%2."/>
      <w:lvlJc w:val="left"/>
      <w:pPr>
        <w:ind w:left="1503" w:hanging="360"/>
      </w:pPr>
    </w:lvl>
    <w:lvl w:ilvl="2" w:tplc="CCEE56A2" w:tentative="1">
      <w:start w:val="1"/>
      <w:numFmt w:val="lowerRoman"/>
      <w:lvlText w:val="%3."/>
      <w:lvlJc w:val="right"/>
      <w:pPr>
        <w:ind w:left="2223" w:hanging="180"/>
      </w:pPr>
    </w:lvl>
    <w:lvl w:ilvl="3" w:tplc="F59601AC" w:tentative="1">
      <w:start w:val="1"/>
      <w:numFmt w:val="decimal"/>
      <w:lvlText w:val="%4."/>
      <w:lvlJc w:val="left"/>
      <w:pPr>
        <w:ind w:left="2943" w:hanging="360"/>
      </w:pPr>
    </w:lvl>
    <w:lvl w:ilvl="4" w:tplc="86F83F4E" w:tentative="1">
      <w:start w:val="1"/>
      <w:numFmt w:val="lowerLetter"/>
      <w:lvlText w:val="%5."/>
      <w:lvlJc w:val="left"/>
      <w:pPr>
        <w:ind w:left="3663" w:hanging="360"/>
      </w:pPr>
    </w:lvl>
    <w:lvl w:ilvl="5" w:tplc="25989C92" w:tentative="1">
      <w:start w:val="1"/>
      <w:numFmt w:val="lowerRoman"/>
      <w:lvlText w:val="%6."/>
      <w:lvlJc w:val="right"/>
      <w:pPr>
        <w:ind w:left="4383" w:hanging="180"/>
      </w:pPr>
    </w:lvl>
    <w:lvl w:ilvl="6" w:tplc="2B36435C" w:tentative="1">
      <w:start w:val="1"/>
      <w:numFmt w:val="decimal"/>
      <w:lvlText w:val="%7."/>
      <w:lvlJc w:val="left"/>
      <w:pPr>
        <w:ind w:left="5103" w:hanging="360"/>
      </w:pPr>
    </w:lvl>
    <w:lvl w:ilvl="7" w:tplc="A77829B4" w:tentative="1">
      <w:start w:val="1"/>
      <w:numFmt w:val="lowerLetter"/>
      <w:lvlText w:val="%8."/>
      <w:lvlJc w:val="left"/>
      <w:pPr>
        <w:ind w:left="5823" w:hanging="360"/>
      </w:pPr>
    </w:lvl>
    <w:lvl w:ilvl="8" w:tplc="5EC072E6" w:tentative="1">
      <w:start w:val="1"/>
      <w:numFmt w:val="lowerRoman"/>
      <w:lvlText w:val="%9."/>
      <w:lvlJc w:val="right"/>
      <w:pPr>
        <w:ind w:left="6543" w:hanging="180"/>
      </w:pPr>
    </w:lvl>
  </w:abstractNum>
  <w:abstractNum w:abstractNumId="1" w15:restartNumberingAfterBreak="0">
    <w:nsid w:val="4C703BD3"/>
    <w:multiLevelType w:val="hybridMultilevel"/>
    <w:tmpl w:val="CC38177E"/>
    <w:lvl w:ilvl="0" w:tplc="AC2234C6">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97815588">
    <w:abstractNumId w:val="0"/>
  </w:num>
  <w:num w:numId="2" w16cid:durableId="2087801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9B"/>
    <w:rsid w:val="000736D4"/>
    <w:rsid w:val="00081FB5"/>
    <w:rsid w:val="00095073"/>
    <w:rsid w:val="000B2FFA"/>
    <w:rsid w:val="000C62BA"/>
    <w:rsid w:val="000D756D"/>
    <w:rsid w:val="000F647F"/>
    <w:rsid w:val="00124DFD"/>
    <w:rsid w:val="0012592F"/>
    <w:rsid w:val="00177B61"/>
    <w:rsid w:val="00191CD1"/>
    <w:rsid w:val="001C3D2D"/>
    <w:rsid w:val="001F2F50"/>
    <w:rsid w:val="00237083"/>
    <w:rsid w:val="00267EA3"/>
    <w:rsid w:val="00280849"/>
    <w:rsid w:val="0031432E"/>
    <w:rsid w:val="0034043B"/>
    <w:rsid w:val="00376268"/>
    <w:rsid w:val="003C1D84"/>
    <w:rsid w:val="003D4639"/>
    <w:rsid w:val="003F30A2"/>
    <w:rsid w:val="003F7D9B"/>
    <w:rsid w:val="00414D8B"/>
    <w:rsid w:val="00436C9A"/>
    <w:rsid w:val="004768D4"/>
    <w:rsid w:val="00482905"/>
    <w:rsid w:val="004A4573"/>
    <w:rsid w:val="004D6C09"/>
    <w:rsid w:val="004F18D2"/>
    <w:rsid w:val="0057336B"/>
    <w:rsid w:val="005A2195"/>
    <w:rsid w:val="005D3E02"/>
    <w:rsid w:val="00610642"/>
    <w:rsid w:val="00616601"/>
    <w:rsid w:val="00646EEF"/>
    <w:rsid w:val="00663829"/>
    <w:rsid w:val="006A42AB"/>
    <w:rsid w:val="006B5313"/>
    <w:rsid w:val="006E291F"/>
    <w:rsid w:val="007201F8"/>
    <w:rsid w:val="007834B2"/>
    <w:rsid w:val="007C1B4E"/>
    <w:rsid w:val="008506C9"/>
    <w:rsid w:val="00861859"/>
    <w:rsid w:val="00876851"/>
    <w:rsid w:val="008A26AC"/>
    <w:rsid w:val="008F0106"/>
    <w:rsid w:val="00904A14"/>
    <w:rsid w:val="00924B63"/>
    <w:rsid w:val="00946213"/>
    <w:rsid w:val="00981D45"/>
    <w:rsid w:val="00982618"/>
    <w:rsid w:val="009C205E"/>
    <w:rsid w:val="00A0579C"/>
    <w:rsid w:val="00A7663C"/>
    <w:rsid w:val="00AB4BAD"/>
    <w:rsid w:val="00AC02C7"/>
    <w:rsid w:val="00AC202C"/>
    <w:rsid w:val="00B32E51"/>
    <w:rsid w:val="00B60458"/>
    <w:rsid w:val="00BE4DF9"/>
    <w:rsid w:val="00C837F0"/>
    <w:rsid w:val="00CB0445"/>
    <w:rsid w:val="00CB5898"/>
    <w:rsid w:val="00CB7A43"/>
    <w:rsid w:val="00CF4CAC"/>
    <w:rsid w:val="00D04675"/>
    <w:rsid w:val="00D10542"/>
    <w:rsid w:val="00D51E1E"/>
    <w:rsid w:val="00D7293E"/>
    <w:rsid w:val="00DA0DAE"/>
    <w:rsid w:val="00DA2E82"/>
    <w:rsid w:val="00DB2486"/>
    <w:rsid w:val="00DE77E6"/>
    <w:rsid w:val="00DF6E3D"/>
    <w:rsid w:val="00E04449"/>
    <w:rsid w:val="00E2234E"/>
    <w:rsid w:val="00E72EA7"/>
    <w:rsid w:val="00EA4101"/>
    <w:rsid w:val="00EA5BC5"/>
    <w:rsid w:val="00EF4A2B"/>
    <w:rsid w:val="00EF6EF5"/>
    <w:rsid w:val="00F149DA"/>
    <w:rsid w:val="00F14CF4"/>
    <w:rsid w:val="00F16B19"/>
    <w:rsid w:val="00F23715"/>
    <w:rsid w:val="00F6738F"/>
    <w:rsid w:val="00F7331A"/>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7723A3"/>
  <w15:docId w15:val="{7F36C4B1-C118-482E-AE95-7D73EFFE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Hyperlink">
    <w:name w:val="Hyperlink"/>
    <w:basedOn w:val="DefaultParagraphFont"/>
    <w:unhideWhenUsed/>
    <w:rsid w:val="003F7D9B"/>
    <w:rPr>
      <w:color w:val="0000FF" w:themeColor="hyperlink"/>
      <w:u w:val="single"/>
    </w:rPr>
  </w:style>
  <w:style w:type="character" w:styleId="UnresolvedMention">
    <w:name w:val="Unresolved Mention"/>
    <w:basedOn w:val="DefaultParagraphFont"/>
    <w:uiPriority w:val="99"/>
    <w:semiHidden/>
    <w:unhideWhenUsed/>
    <w:rsid w:val="003F7D9B"/>
    <w:rPr>
      <w:color w:val="605E5C"/>
      <w:shd w:val="clear" w:color="auto" w:fill="E1DFDD"/>
    </w:rPr>
  </w:style>
  <w:style w:type="character" w:styleId="FollowedHyperlink">
    <w:name w:val="FollowedHyperlink"/>
    <w:basedOn w:val="DefaultParagraphFont"/>
    <w:semiHidden/>
    <w:unhideWhenUsed/>
    <w:rsid w:val="000F647F"/>
    <w:rPr>
      <w:color w:val="800080" w:themeColor="followedHyperlink"/>
      <w:u w:val="single"/>
    </w:rPr>
  </w:style>
  <w:style w:type="paragraph" w:customStyle="1" w:styleId="Reasons">
    <w:name w:val="Reasons"/>
    <w:basedOn w:val="Normal"/>
    <w:qFormat/>
    <w:rsid w:val="00F149DA"/>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720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9EB23-F04B-496D-AB2F-6C2F47D2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PS_RAG20.dotm</Template>
  <TotalTime>41</TotalTime>
  <Pages>2</Pages>
  <Words>884</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CONSIDERATIONS AND PROPOSALS ON ITU-R E-COMMUNICATIONS SYSTEM UNDER RESOLUTION 907 (REV.WRC-15)</vt:lpstr>
    </vt:vector>
  </TitlesOfParts>
  <Manager>General Secretariat - Pool</Manager>
  <Company>International Telecommunication Union (ITU)</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AND PROPOSALS ON ITU-R E-COMMUNICATIONS SYSTEM UNDER RESOLUTION 907 (REV.WRC-15)</dc:title>
  <dc:subject>GRUPO ASESOR DE RADIOCOMUNICACIONES</dc:subject>
  <dc:creator>Brazil (Federative Republic of)</dc:creator>
  <cp:keywords>RAG03-1</cp:keywords>
  <dc:description>023 (471097) LIN S.docx  For: _x000d_Document date: _x000d_Saved by ITU51014343 at 14:45:38 on 12/05/2020</dc:description>
  <cp:lastModifiedBy>BR</cp:lastModifiedBy>
  <cp:revision>12</cp:revision>
  <cp:lastPrinted>1993-02-18T11:12:00Z</cp:lastPrinted>
  <dcterms:created xsi:type="dcterms:W3CDTF">2022-04-05T14:43:00Z</dcterms:created>
  <dcterms:modified xsi:type="dcterms:W3CDTF">2022-04-07T08:31:00Z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023 (471097) LIN S.docx</vt:lpwstr>
  </property>
  <property fmtid="{D5CDD505-2E9C-101B-9397-08002B2CF9AE}" pid="3" name="Docdate">
    <vt:lpwstr/>
  </property>
  <property fmtid="{D5CDD505-2E9C-101B-9397-08002B2CF9AE}" pid="4" name="Docorlang">
    <vt:lpwstr>Documento RAG20/23-S 11 de Mayo de 2020 Original: Inglés</vt:lpwstr>
  </property>
  <property fmtid="{D5CDD505-2E9C-101B-9397-08002B2CF9AE}" pid="5" name="Docauthor">
    <vt:lpwstr>Brazil (Federative Republic of)</vt:lpwstr>
  </property>
</Properties>
</file>