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184BB0B5" w14:textId="77777777" w:rsidTr="00553F66">
        <w:trPr>
          <w:cantSplit/>
          <w:trHeight w:val="20"/>
        </w:trPr>
        <w:tc>
          <w:tcPr>
            <w:tcW w:w="6619" w:type="dxa"/>
          </w:tcPr>
          <w:p w14:paraId="2FB464B3"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3687F195" w14:textId="77777777" w:rsidR="00280E04" w:rsidRDefault="00553F66" w:rsidP="00827482">
            <w:pPr>
              <w:spacing w:before="0"/>
              <w:jc w:val="left"/>
              <w:rPr>
                <w:rtl/>
                <w:lang w:bidi="ar-EG"/>
              </w:rPr>
            </w:pPr>
            <w:bookmarkStart w:id="0" w:name="ditulogo"/>
            <w:bookmarkEnd w:id="0"/>
            <w:r w:rsidRPr="00C126C1">
              <w:rPr>
                <w:noProof/>
                <w:lang w:eastAsia="zh-CN"/>
              </w:rPr>
              <w:drawing>
                <wp:inline distT="0" distB="0" distL="0" distR="0" wp14:anchorId="2BC8E09F" wp14:editId="545DF26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704AB6AA" w14:textId="77777777" w:rsidTr="00553F66">
        <w:trPr>
          <w:cantSplit/>
          <w:trHeight w:val="20"/>
        </w:trPr>
        <w:tc>
          <w:tcPr>
            <w:tcW w:w="6619" w:type="dxa"/>
            <w:tcBorders>
              <w:bottom w:val="single" w:sz="12" w:space="0" w:color="auto"/>
            </w:tcBorders>
          </w:tcPr>
          <w:p w14:paraId="2AC6BF7C"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25ACC693" w14:textId="77777777" w:rsidR="00280E04" w:rsidRPr="00A9645C" w:rsidRDefault="00280E04" w:rsidP="002F3031">
            <w:pPr>
              <w:spacing w:before="0" w:line="120" w:lineRule="auto"/>
              <w:rPr>
                <w:lang w:bidi="ar-EG"/>
              </w:rPr>
            </w:pPr>
          </w:p>
        </w:tc>
      </w:tr>
      <w:tr w:rsidR="00280E04" w14:paraId="77E4B51E" w14:textId="77777777" w:rsidTr="00553F66">
        <w:trPr>
          <w:cantSplit/>
          <w:trHeight w:val="20"/>
        </w:trPr>
        <w:tc>
          <w:tcPr>
            <w:tcW w:w="6619" w:type="dxa"/>
            <w:tcBorders>
              <w:top w:val="single" w:sz="12" w:space="0" w:color="auto"/>
            </w:tcBorders>
          </w:tcPr>
          <w:p w14:paraId="7D4E799C" w14:textId="77777777" w:rsidR="00280E04" w:rsidRPr="00BD6EF3" w:rsidRDefault="00280E04" w:rsidP="00D44350">
            <w:pPr>
              <w:pStyle w:val="Adress"/>
              <w:framePr w:hSpace="0" w:wrap="auto" w:xAlign="left" w:yAlign="inline"/>
              <w:rPr>
                <w:rtl/>
              </w:rPr>
            </w:pPr>
          </w:p>
        </w:tc>
        <w:tc>
          <w:tcPr>
            <w:tcW w:w="3053" w:type="dxa"/>
            <w:tcBorders>
              <w:top w:val="single" w:sz="12" w:space="0" w:color="auto"/>
            </w:tcBorders>
          </w:tcPr>
          <w:p w14:paraId="469C5E91" w14:textId="77777777" w:rsidR="00280E04" w:rsidRPr="00BD6EF3" w:rsidRDefault="00280E04" w:rsidP="00D44350">
            <w:pPr>
              <w:pStyle w:val="Adress"/>
              <w:framePr w:hSpace="0" w:wrap="auto" w:xAlign="left" w:yAlign="inline"/>
            </w:pPr>
          </w:p>
        </w:tc>
      </w:tr>
      <w:tr w:rsidR="0030601A" w14:paraId="5CB73152" w14:textId="77777777" w:rsidTr="00553F66">
        <w:trPr>
          <w:cantSplit/>
        </w:trPr>
        <w:tc>
          <w:tcPr>
            <w:tcW w:w="6619" w:type="dxa"/>
            <w:vMerge w:val="restart"/>
          </w:tcPr>
          <w:p w14:paraId="1C0534F0"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0ECCAA8A" w14:textId="6EAB89BD"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417E94">
              <w:t>53</w:t>
            </w:r>
            <w:r w:rsidRPr="0012545F">
              <w:t>-A</w:t>
            </w:r>
          </w:p>
        </w:tc>
      </w:tr>
      <w:tr w:rsidR="0030601A" w14:paraId="3EB422C1" w14:textId="77777777" w:rsidTr="00553F66">
        <w:trPr>
          <w:cantSplit/>
        </w:trPr>
        <w:tc>
          <w:tcPr>
            <w:tcW w:w="6619" w:type="dxa"/>
            <w:vMerge/>
          </w:tcPr>
          <w:p w14:paraId="7AEBF1AC"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48A36059" w14:textId="26AFCBD7" w:rsidR="0030601A" w:rsidRPr="0012545F" w:rsidRDefault="00417E94" w:rsidP="0030601A">
            <w:pPr>
              <w:pStyle w:val="Adress"/>
              <w:framePr w:hSpace="0" w:wrap="auto" w:xAlign="left" w:yAlign="inline"/>
              <w:spacing w:before="20" w:after="20"/>
              <w:rPr>
                <w:rtl/>
              </w:rPr>
            </w:pPr>
            <w:r>
              <w:t>28</w:t>
            </w:r>
            <w:r w:rsidR="0030601A" w:rsidRPr="0012545F">
              <w:rPr>
                <w:rFonts w:hint="cs"/>
                <w:rtl/>
              </w:rPr>
              <w:t xml:space="preserve"> </w:t>
            </w:r>
            <w:r>
              <w:rPr>
                <w:rFonts w:hint="cs"/>
                <w:rtl/>
              </w:rPr>
              <w:t>مارس</w:t>
            </w:r>
            <w:r w:rsidR="0030601A" w:rsidRPr="0012545F">
              <w:rPr>
                <w:rFonts w:hint="cs"/>
                <w:rtl/>
              </w:rPr>
              <w:t xml:space="preserve"> </w:t>
            </w:r>
            <w:r w:rsidR="00801238">
              <w:t>2022</w:t>
            </w:r>
          </w:p>
        </w:tc>
      </w:tr>
      <w:tr w:rsidR="0030601A" w14:paraId="52859EBF" w14:textId="77777777" w:rsidTr="00553F66">
        <w:trPr>
          <w:cantSplit/>
        </w:trPr>
        <w:tc>
          <w:tcPr>
            <w:tcW w:w="6619" w:type="dxa"/>
            <w:vMerge/>
          </w:tcPr>
          <w:p w14:paraId="1FA61996"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230504E" w14:textId="69711EB9" w:rsidR="0030601A" w:rsidRPr="0012545F" w:rsidRDefault="0030601A" w:rsidP="0030601A">
            <w:pPr>
              <w:pStyle w:val="Adress"/>
              <w:framePr w:hSpace="0" w:wrap="auto" w:xAlign="left" w:yAlign="inline"/>
              <w:spacing w:before="20" w:after="20"/>
              <w:rPr>
                <w:rFonts w:eastAsia="SimSun"/>
              </w:rPr>
            </w:pPr>
            <w:r w:rsidRPr="0012545F">
              <w:rPr>
                <w:rFonts w:hint="cs"/>
                <w:rtl/>
              </w:rPr>
              <w:t xml:space="preserve">الأصل: </w:t>
            </w:r>
            <w:r w:rsidR="00417E94">
              <w:rPr>
                <w:rFonts w:hint="cs"/>
                <w:rtl/>
              </w:rPr>
              <w:t>بالفرنسية</w:t>
            </w:r>
          </w:p>
        </w:tc>
      </w:tr>
      <w:tr w:rsidR="00764079" w14:paraId="72E80E89" w14:textId="77777777" w:rsidTr="00553F66">
        <w:trPr>
          <w:cantSplit/>
        </w:trPr>
        <w:tc>
          <w:tcPr>
            <w:tcW w:w="9672" w:type="dxa"/>
            <w:gridSpan w:val="2"/>
          </w:tcPr>
          <w:p w14:paraId="6B27DA21" w14:textId="0FEC48AD" w:rsidR="00764079" w:rsidRPr="00E621A3" w:rsidRDefault="00417E94" w:rsidP="00034B65">
            <w:pPr>
              <w:pStyle w:val="Source"/>
              <w:rPr>
                <w:rtl/>
              </w:rPr>
            </w:pPr>
            <w:r>
              <w:rPr>
                <w:rFonts w:hint="cs"/>
                <w:rtl/>
              </w:rPr>
              <w:t>فرنسا</w:t>
            </w:r>
          </w:p>
        </w:tc>
      </w:tr>
      <w:tr w:rsidR="00764079" w14:paraId="68E859C2" w14:textId="77777777" w:rsidTr="00553F66">
        <w:trPr>
          <w:cantSplit/>
        </w:trPr>
        <w:tc>
          <w:tcPr>
            <w:tcW w:w="9672" w:type="dxa"/>
            <w:gridSpan w:val="2"/>
          </w:tcPr>
          <w:p w14:paraId="4B8282FF" w14:textId="564DF166" w:rsidR="00764079" w:rsidRPr="00BD6EF3" w:rsidRDefault="00417E94" w:rsidP="00417E94">
            <w:pPr>
              <w:pStyle w:val="Title1"/>
              <w:spacing w:before="240"/>
              <w:rPr>
                <w:rtl/>
              </w:rPr>
            </w:pPr>
            <w:r w:rsidRPr="00417E94">
              <w:rPr>
                <w:rFonts w:hint="cs"/>
                <w:rtl/>
                <w:lang w:bidi="ar-SA"/>
              </w:rPr>
              <w:t xml:space="preserve">اعتبارات ومقترحات بشأن نظام الاتصالات الإلكترونية لقطاع الاتصالات الراديوية بموجب القرار </w:t>
            </w:r>
            <w:r w:rsidRPr="00F91E6E">
              <w:rPr>
                <w:b/>
                <w:bCs/>
              </w:rPr>
              <w:t>907 (Rev.WRC-15)</w:t>
            </w:r>
          </w:p>
        </w:tc>
      </w:tr>
    </w:tbl>
    <w:p w14:paraId="3ACBBC27" w14:textId="3816A42C" w:rsidR="00417E94" w:rsidRPr="00417E94" w:rsidRDefault="00417E94" w:rsidP="00417E94">
      <w:pPr>
        <w:pStyle w:val="Heading1"/>
        <w:rPr>
          <w:rtl/>
        </w:rPr>
      </w:pPr>
      <w:r w:rsidRPr="00417E94">
        <w:rPr>
          <w:rFonts w:hint="cs"/>
          <w:lang w:bidi="ar-SA"/>
        </w:rPr>
        <w:t>1</w:t>
      </w:r>
      <w:r w:rsidRPr="00417E94">
        <w:rPr>
          <w:rtl/>
        </w:rPr>
        <w:tab/>
      </w:r>
      <w:r w:rsidRPr="00417E94">
        <w:rPr>
          <w:rFonts w:hint="cs"/>
          <w:rtl/>
        </w:rPr>
        <w:t>مقدمة</w:t>
      </w:r>
    </w:p>
    <w:p w14:paraId="2569073C" w14:textId="4E0A5A28" w:rsidR="00417E94" w:rsidRDefault="00EC0E74" w:rsidP="00417E94">
      <w:pPr>
        <w:rPr>
          <w:lang w:bidi="ar"/>
        </w:rPr>
      </w:pPr>
      <w:r>
        <w:rPr>
          <w:rFonts w:hint="cs"/>
          <w:rtl/>
          <w:lang w:bidi="ar"/>
        </w:rPr>
        <w:t>إن</w:t>
      </w:r>
      <w:r w:rsidR="00417E94" w:rsidRPr="00417E94">
        <w:rPr>
          <w:rFonts w:hint="cs"/>
          <w:rtl/>
          <w:lang w:bidi="ar"/>
        </w:rPr>
        <w:t xml:space="preserve"> القرار </w:t>
      </w:r>
      <w:r w:rsidR="00417E94" w:rsidRPr="00417E94">
        <w:rPr>
          <w:rFonts w:hint="cs"/>
          <w:b/>
          <w:bCs/>
        </w:rPr>
        <w:t>907</w:t>
      </w:r>
      <w:r w:rsidR="00495F42">
        <w:rPr>
          <w:b/>
          <w:bCs/>
        </w:rPr>
        <w:t> </w:t>
      </w:r>
      <w:r w:rsidR="00417E94" w:rsidRPr="00417E94">
        <w:rPr>
          <w:rFonts w:hint="cs"/>
          <w:b/>
          <w:bCs/>
        </w:rPr>
        <w:t>(Rev.WRC-15)</w:t>
      </w:r>
      <w:r w:rsidR="00417E94" w:rsidRPr="00417E94">
        <w:rPr>
          <w:rFonts w:hint="cs"/>
          <w:rtl/>
          <w:lang w:bidi="ar"/>
        </w:rPr>
        <w:t xml:space="preserve"> الوارد في لوائح الراديو صك تنظيمي رئيسي مهد الطريق لوضع نظام </w:t>
      </w:r>
      <w:r w:rsidR="00417E94" w:rsidRPr="00417E94">
        <w:rPr>
          <w:rFonts w:hint="cs"/>
          <w:i/>
          <w:iCs/>
          <w:rtl/>
          <w:lang w:bidi="ar"/>
        </w:rPr>
        <w:t>"</w:t>
      </w:r>
      <w:r w:rsidR="00417E94" w:rsidRPr="004A6C9D">
        <w:rPr>
          <w:rFonts w:hint="cs"/>
          <w:rtl/>
          <w:lang w:bidi="ar"/>
        </w:rPr>
        <w:t>الاتصالات الإلكترونية</w:t>
      </w:r>
      <w:r w:rsidR="00417E94" w:rsidRPr="00417E94">
        <w:rPr>
          <w:rFonts w:hint="cs"/>
          <w:i/>
          <w:iCs/>
          <w:rtl/>
          <w:lang w:bidi="ar"/>
        </w:rPr>
        <w:t>"</w:t>
      </w:r>
      <w:r w:rsidR="00417E94" w:rsidRPr="00417E94">
        <w:rPr>
          <w:rFonts w:hint="cs"/>
          <w:rtl/>
          <w:lang w:bidi="ar"/>
        </w:rPr>
        <w:t xml:space="preserve">، وهو أداة دعم </w:t>
      </w:r>
      <w:r w:rsidR="00987E94">
        <w:rPr>
          <w:rFonts w:hint="cs"/>
          <w:rtl/>
          <w:lang w:bidi="ar-EG"/>
        </w:rPr>
        <w:t>بالغة الأهمية</w:t>
      </w:r>
      <w:r w:rsidR="00417E94" w:rsidRPr="00417E94">
        <w:rPr>
          <w:rFonts w:hint="cs"/>
          <w:rtl/>
          <w:lang w:bidi="ar"/>
        </w:rPr>
        <w:t xml:space="preserve"> لتحقيق </w:t>
      </w:r>
      <w:r w:rsidR="00417E94" w:rsidRPr="00417E94">
        <w:rPr>
          <w:rFonts w:hint="cs"/>
          <w:rtl/>
        </w:rPr>
        <w:t xml:space="preserve">كفاءة أكبر في </w:t>
      </w:r>
      <w:r w:rsidR="00417E94" w:rsidRPr="00417E94">
        <w:rPr>
          <w:rFonts w:hint="cs"/>
          <w:rtl/>
          <w:lang w:bidi="ar"/>
        </w:rPr>
        <w:t>أنشطة تنسيق الشبكات الساتلية. وكما ذُكر في</w:t>
      </w:r>
      <w:r w:rsidR="00417E94" w:rsidRPr="00417E94">
        <w:rPr>
          <w:rFonts w:hint="eastAsia"/>
          <w:rtl/>
          <w:lang w:bidi="ar"/>
        </w:rPr>
        <w:t> </w:t>
      </w:r>
      <w:r w:rsidR="00417E94" w:rsidRPr="00417E94">
        <w:rPr>
          <w:rFonts w:hint="cs"/>
          <w:rtl/>
          <w:lang w:bidi="ar"/>
        </w:rPr>
        <w:t>الاجتماعات السابقة للفريق الاستشاري للاتصالات الراديوية، وبدعم ملحوظ من اليابان، عمل مكتب الاتصالات الراديوية</w:t>
      </w:r>
      <w:r w:rsidR="00495F42">
        <w:rPr>
          <w:rFonts w:hint="eastAsia"/>
          <w:rtl/>
          <w:lang w:bidi="ar"/>
        </w:rPr>
        <w:t> </w:t>
      </w:r>
      <w:r w:rsidR="00E3120E">
        <w:rPr>
          <w:lang w:bidi="ar"/>
        </w:rPr>
        <w:t>(BR)</w:t>
      </w:r>
      <w:r w:rsidR="00417E94" w:rsidRPr="00417E94">
        <w:rPr>
          <w:rFonts w:hint="cs"/>
          <w:rtl/>
          <w:lang w:bidi="ar"/>
        </w:rPr>
        <w:t xml:space="preserve"> على</w:t>
      </w:r>
      <w:r w:rsidR="00417E94" w:rsidRPr="00417E94">
        <w:rPr>
          <w:rFonts w:hint="eastAsia"/>
          <w:rtl/>
          <w:lang w:bidi="ar"/>
        </w:rPr>
        <w:t> </w:t>
      </w:r>
      <w:r w:rsidR="00417E94" w:rsidRPr="00417E94">
        <w:rPr>
          <w:rFonts w:hint="cs"/>
          <w:rtl/>
          <w:lang w:bidi="ar"/>
        </w:rPr>
        <w:t xml:space="preserve">تحسين عمليات تنسيق الشبكات الساتلية إلى حد كبير من خلال إتاحة هذه الأداة المهمة. وترحب </w:t>
      </w:r>
      <w:r w:rsidR="00480D20">
        <w:rPr>
          <w:rFonts w:hint="cs"/>
          <w:rtl/>
          <w:lang w:bidi="ar"/>
        </w:rPr>
        <w:t>فرنسا</w:t>
      </w:r>
      <w:r w:rsidR="00417E94" w:rsidRPr="00417E94">
        <w:rPr>
          <w:rFonts w:hint="cs"/>
          <w:rtl/>
          <w:lang w:bidi="ar"/>
        </w:rPr>
        <w:t xml:space="preserve"> بهذه المبادرة.</w:t>
      </w:r>
    </w:p>
    <w:p w14:paraId="51721685" w14:textId="510B79C4" w:rsidR="00417E94" w:rsidRPr="00417E94" w:rsidRDefault="00417E94" w:rsidP="00417E94">
      <w:pPr>
        <w:pStyle w:val="Heading1"/>
        <w:rPr>
          <w:rtl/>
          <w:lang w:val="fr-FR" w:bidi="ar-SA"/>
        </w:rPr>
      </w:pPr>
      <w:r w:rsidRPr="0064026D">
        <w:rPr>
          <w:lang w:bidi="ar"/>
        </w:rPr>
        <w:t>2</w:t>
      </w:r>
      <w:r w:rsidRPr="0064026D">
        <w:rPr>
          <w:lang w:bidi="ar"/>
        </w:rPr>
        <w:tab/>
      </w:r>
      <w:r w:rsidR="00E11FB5" w:rsidRPr="0064026D">
        <w:rPr>
          <w:rFonts w:hint="cs"/>
          <w:rtl/>
        </w:rPr>
        <w:t>مراعاة المنظمات الحكومية الدولية للاتصالات الساتلية</w:t>
      </w:r>
    </w:p>
    <w:p w14:paraId="005BD194" w14:textId="3D498492" w:rsidR="002F3E46" w:rsidRPr="00B155A8" w:rsidRDefault="00B155A8" w:rsidP="00417E94">
      <w:pPr>
        <w:rPr>
          <w:rtl/>
          <w:lang w:bidi="ar-EG"/>
        </w:rPr>
      </w:pPr>
      <w:r>
        <w:rPr>
          <w:rFonts w:hint="cs"/>
          <w:rtl/>
          <w:lang w:val="fr-FR"/>
        </w:rPr>
        <w:t xml:space="preserve">تم تطوير نظام الاتصالات الإلكترونية استجابةً للقرار </w:t>
      </w:r>
      <w:r w:rsidRPr="001773CF">
        <w:rPr>
          <w:b/>
          <w:bCs/>
        </w:rPr>
        <w:t>907 (Rev.WRC-15)</w:t>
      </w:r>
      <w:r>
        <w:rPr>
          <w:rFonts w:hint="cs"/>
          <w:rtl/>
          <w:lang w:bidi="ar-EG"/>
        </w:rPr>
        <w:t xml:space="preserve"> للسماح باستخدام وسائل الاتصالات الإلكترونية الحديثة في المراسلات الإدارية:</w:t>
      </w:r>
    </w:p>
    <w:p w14:paraId="19E78BC1" w14:textId="6878C19B" w:rsidR="00417E94" w:rsidRDefault="00417E94" w:rsidP="00417E94">
      <w:pPr>
        <w:pStyle w:val="enumlev1"/>
        <w:rPr>
          <w:rtl/>
          <w:lang w:val="fr-FR"/>
        </w:rPr>
      </w:pPr>
      <w:r>
        <w:rPr>
          <w:lang w:val="fr-FR"/>
        </w:rPr>
        <w:t>•</w:t>
      </w:r>
      <w:r>
        <w:rPr>
          <w:lang w:val="fr-FR"/>
        </w:rPr>
        <w:tab/>
      </w:r>
      <w:r w:rsidR="00B155A8">
        <w:rPr>
          <w:rFonts w:hint="cs"/>
          <w:rtl/>
          <w:lang w:val="fr-FR"/>
        </w:rPr>
        <w:t>بين الإدارات ومكتب الاتصالات الراديوية؛</w:t>
      </w:r>
    </w:p>
    <w:p w14:paraId="0E7EB7FE" w14:textId="6C062A2A" w:rsidR="00417E94" w:rsidRDefault="00417E94" w:rsidP="00417E94">
      <w:pPr>
        <w:pStyle w:val="enumlev1"/>
        <w:rPr>
          <w:rtl/>
          <w:lang w:val="fr-FR" w:bidi="ar-EG"/>
        </w:rPr>
      </w:pPr>
      <w:r>
        <w:rPr>
          <w:lang w:val="fr-FR"/>
        </w:rPr>
        <w:t>•</w:t>
      </w:r>
      <w:r>
        <w:rPr>
          <w:lang w:val="fr-FR"/>
        </w:rPr>
        <w:tab/>
      </w:r>
      <w:r w:rsidR="00B155A8">
        <w:rPr>
          <w:rFonts w:hint="cs"/>
          <w:rtl/>
          <w:lang w:val="fr-FR"/>
        </w:rPr>
        <w:t xml:space="preserve">بين </w:t>
      </w:r>
      <w:r w:rsidR="003A1C50">
        <w:rPr>
          <w:rFonts w:hint="cs"/>
          <w:rtl/>
          <w:lang w:val="fr-FR"/>
        </w:rPr>
        <w:t>إدارتين</w:t>
      </w:r>
      <w:r w:rsidR="00B155A8">
        <w:rPr>
          <w:rFonts w:hint="cs"/>
          <w:rtl/>
          <w:lang w:val="fr-FR"/>
        </w:rPr>
        <w:t>.</w:t>
      </w:r>
    </w:p>
    <w:p w14:paraId="0D8BF899" w14:textId="51E08478" w:rsidR="003A70BA" w:rsidRPr="00130C81" w:rsidRDefault="00AD270F" w:rsidP="00130C81">
      <w:pPr>
        <w:rPr>
          <w:rtl/>
          <w:lang w:val="en-GB"/>
        </w:rPr>
      </w:pPr>
      <w:r>
        <w:rPr>
          <w:rFonts w:hint="cs"/>
          <w:rtl/>
          <w:lang w:val="en-GB"/>
        </w:rPr>
        <w:t>كما هو موضح في ال</w:t>
      </w:r>
      <w:r w:rsidR="003A70BA" w:rsidRPr="003A70BA">
        <w:rPr>
          <w:rFonts w:hint="cs"/>
          <w:rtl/>
          <w:lang w:val="en-GB"/>
        </w:rPr>
        <w:t>قواعد</w:t>
      </w:r>
      <w:r>
        <w:rPr>
          <w:rFonts w:hint="cs"/>
          <w:rtl/>
          <w:lang w:val="en-GB"/>
        </w:rPr>
        <w:t xml:space="preserve"> الإجرائية </w:t>
      </w:r>
      <w:r w:rsidR="00605202">
        <w:rPr>
          <w:rFonts w:hint="cs"/>
          <w:rtl/>
          <w:lang w:val="en-GB"/>
        </w:rPr>
        <w:t>المتعلقة</w:t>
      </w:r>
      <w:r w:rsidR="003A70BA" w:rsidRPr="003A70BA">
        <w:rPr>
          <w:rFonts w:hint="cs"/>
          <w:rtl/>
          <w:lang w:val="en-GB" w:bidi="ar-EG"/>
        </w:rPr>
        <w:t xml:space="preserve"> بمعالجة </w:t>
      </w:r>
      <w:r w:rsidR="00530D2E">
        <w:rPr>
          <w:rFonts w:hint="cs"/>
          <w:rtl/>
          <w:lang w:val="en-GB" w:bidi="ar-EG"/>
        </w:rPr>
        <w:t xml:space="preserve">حالات </w:t>
      </w:r>
      <w:r w:rsidR="003A70BA" w:rsidRPr="003A70BA">
        <w:rPr>
          <w:rFonts w:hint="cs"/>
          <w:rtl/>
          <w:lang w:val="en-GB" w:bidi="ar-EG"/>
        </w:rPr>
        <w:t>تغيير الإدارة المبلغة التي تتصرف بصفتها الإدارة المبلغة عن شبكة ساتلية بالنيابة</w:t>
      </w:r>
      <w:r w:rsidR="003A70BA" w:rsidRPr="003A70BA">
        <w:rPr>
          <w:rFonts w:hint="eastAsia"/>
          <w:rtl/>
          <w:lang w:val="en-GB" w:bidi="ar-EG"/>
        </w:rPr>
        <w:t> </w:t>
      </w:r>
      <w:r w:rsidR="003A70BA" w:rsidRPr="003A70BA">
        <w:rPr>
          <w:rFonts w:hint="cs"/>
          <w:rtl/>
          <w:lang w:val="en-GB" w:bidi="ar-EG"/>
        </w:rPr>
        <w:t>عن مجموعة من الإدارات المعينة بأسمائها</w:t>
      </w:r>
      <w:r w:rsidR="00605202">
        <w:rPr>
          <w:rFonts w:hint="cs"/>
          <w:rtl/>
          <w:lang w:val="en-GB" w:bidi="ar-EG"/>
        </w:rPr>
        <w:t xml:space="preserve">، </w:t>
      </w:r>
      <w:r w:rsidR="003A70BA" w:rsidRPr="003A70BA">
        <w:rPr>
          <w:rFonts w:hint="cs"/>
          <w:b/>
          <w:rtl/>
          <w:lang w:val="en-GB" w:bidi="ar-EG"/>
        </w:rPr>
        <w:t xml:space="preserve">تنص بعض أحكام لوائح الراديو (الأرقام </w:t>
      </w:r>
      <w:r w:rsidR="003A70BA" w:rsidRPr="003A70BA">
        <w:rPr>
          <w:b/>
        </w:rPr>
        <w:t>1.9</w:t>
      </w:r>
      <w:r w:rsidR="003A70BA" w:rsidRPr="003A70BA">
        <w:rPr>
          <w:rFonts w:hint="cs"/>
          <w:b/>
          <w:rtl/>
          <w:lang w:val="en-GB" w:bidi="ar-EG"/>
        </w:rPr>
        <w:t xml:space="preserve"> و</w:t>
      </w:r>
      <w:r w:rsidR="003A70BA" w:rsidRPr="003A70BA">
        <w:rPr>
          <w:b/>
        </w:rPr>
        <w:t>1.6.9</w:t>
      </w:r>
      <w:r w:rsidR="003A70BA" w:rsidRPr="003A70BA">
        <w:rPr>
          <w:rFonts w:hint="cs"/>
          <w:b/>
          <w:rtl/>
          <w:lang w:val="en-GB" w:bidi="ar-EG"/>
        </w:rPr>
        <w:t xml:space="preserve"> و</w:t>
      </w:r>
      <w:r w:rsidR="003A70BA" w:rsidRPr="003A70BA">
        <w:rPr>
          <w:b/>
        </w:rPr>
        <w:t>1.15.11</w:t>
      </w:r>
      <w:r w:rsidR="003A70BA" w:rsidRPr="003A70BA">
        <w:rPr>
          <w:rFonts w:hint="cs"/>
          <w:b/>
          <w:rtl/>
          <w:lang w:val="en-GB" w:bidi="ar-EG"/>
        </w:rPr>
        <w:t xml:space="preserve"> </w:t>
      </w:r>
      <w:r w:rsidR="003A70BA" w:rsidRPr="00BC29CA">
        <w:rPr>
          <w:rFonts w:hint="cs"/>
          <w:b/>
          <w:rtl/>
          <w:lang w:val="en-GB" w:bidi="ar-EG"/>
        </w:rPr>
        <w:t>والتذييل</w:t>
      </w:r>
      <w:r w:rsidR="003A70BA" w:rsidRPr="003A70BA">
        <w:rPr>
          <w:rFonts w:hint="cs"/>
          <w:b/>
          <w:rtl/>
          <w:lang w:val="en-GB" w:bidi="ar-EG"/>
        </w:rPr>
        <w:t xml:space="preserve"> </w:t>
      </w:r>
      <w:r w:rsidR="003A70BA" w:rsidRPr="003A70BA">
        <w:rPr>
          <w:b/>
        </w:rPr>
        <w:t>30</w:t>
      </w:r>
      <w:r w:rsidR="003A70BA" w:rsidRPr="003A70BA">
        <w:rPr>
          <w:rFonts w:hint="cs"/>
          <w:b/>
          <w:rtl/>
          <w:lang w:val="en-GB" w:bidi="ar-EG"/>
        </w:rPr>
        <w:t xml:space="preserve"> </w:t>
      </w:r>
      <w:r w:rsidR="00B6774F">
        <w:rPr>
          <w:rFonts w:hint="cs"/>
          <w:b/>
          <w:rtl/>
          <w:lang w:val="en-GB" w:bidi="ar-EG"/>
        </w:rPr>
        <w:t xml:space="preserve">(الفقرات </w:t>
      </w:r>
      <w:r w:rsidR="003A70BA" w:rsidRPr="003A70BA">
        <w:rPr>
          <w:b/>
        </w:rPr>
        <w:t>25.1.4</w:t>
      </w:r>
      <w:r w:rsidR="003A70BA" w:rsidRPr="003A70BA">
        <w:rPr>
          <w:rFonts w:hint="cs"/>
          <w:b/>
          <w:rtl/>
          <w:lang w:val="en-GB" w:bidi="ar-EG"/>
        </w:rPr>
        <w:t xml:space="preserve"> و</w:t>
      </w:r>
      <w:r w:rsidR="003A70BA" w:rsidRPr="003A70BA">
        <w:rPr>
          <w:b/>
        </w:rPr>
        <w:t>3.1.4</w:t>
      </w:r>
      <w:r w:rsidR="003A70BA" w:rsidRPr="003A70BA">
        <w:rPr>
          <w:rFonts w:hint="cs"/>
          <w:b/>
          <w:rtl/>
          <w:lang w:val="en-GB" w:bidi="ar-EG"/>
        </w:rPr>
        <w:t xml:space="preserve"> و</w:t>
      </w:r>
      <w:r w:rsidR="003A70BA" w:rsidRPr="003A70BA">
        <w:rPr>
          <w:b/>
        </w:rPr>
        <w:t>6.2.4</w:t>
      </w:r>
      <w:r w:rsidR="003A70BA" w:rsidRPr="003A70BA">
        <w:rPr>
          <w:rFonts w:hint="cs"/>
          <w:b/>
          <w:rtl/>
          <w:lang w:val="en-GB" w:bidi="ar-EG"/>
        </w:rPr>
        <w:t xml:space="preserve"> و</w:t>
      </w:r>
      <w:r w:rsidR="003A70BA" w:rsidRPr="003A70BA">
        <w:rPr>
          <w:b/>
        </w:rPr>
        <w:t>1.1.5</w:t>
      </w:r>
      <w:r w:rsidR="003A70BA" w:rsidRPr="003A70BA">
        <w:rPr>
          <w:rFonts w:hint="cs"/>
          <w:b/>
          <w:rtl/>
          <w:lang w:val="en-GB" w:bidi="ar-EG"/>
        </w:rPr>
        <w:t xml:space="preserve">) </w:t>
      </w:r>
      <w:r w:rsidR="003A70BA" w:rsidRPr="00313593">
        <w:rPr>
          <w:rFonts w:hint="cs"/>
          <w:b/>
          <w:rtl/>
          <w:lang w:val="en-GB" w:bidi="ar-EG"/>
        </w:rPr>
        <w:t>والتذييل</w:t>
      </w:r>
      <w:r w:rsidR="003A70BA" w:rsidRPr="003A70BA">
        <w:rPr>
          <w:rFonts w:hint="eastAsia"/>
          <w:b/>
          <w:rtl/>
          <w:lang w:val="en-GB" w:bidi="ar-EG"/>
        </w:rPr>
        <w:t> </w:t>
      </w:r>
      <w:r w:rsidR="003A70BA" w:rsidRPr="003A70BA">
        <w:rPr>
          <w:b/>
        </w:rPr>
        <w:t>30A</w:t>
      </w:r>
      <w:r w:rsidR="003A70BA" w:rsidRPr="003A70BA">
        <w:rPr>
          <w:rFonts w:hint="cs"/>
          <w:b/>
          <w:rtl/>
          <w:lang w:val="en-GB" w:bidi="ar-EG"/>
        </w:rPr>
        <w:t xml:space="preserve"> </w:t>
      </w:r>
      <w:r w:rsidR="00B6774F">
        <w:rPr>
          <w:rFonts w:hint="cs"/>
          <w:b/>
          <w:rtl/>
          <w:lang w:val="en-GB" w:bidi="ar-EG"/>
        </w:rPr>
        <w:t xml:space="preserve">(الفقرات </w:t>
      </w:r>
      <w:r w:rsidR="003A70BA" w:rsidRPr="003A70BA">
        <w:rPr>
          <w:b/>
        </w:rPr>
        <w:t>6.2.4</w:t>
      </w:r>
      <w:r w:rsidR="003A70BA" w:rsidRPr="003A70BA">
        <w:rPr>
          <w:rFonts w:hint="cs"/>
          <w:b/>
          <w:rtl/>
          <w:lang w:val="en-GB" w:bidi="ar-EG"/>
        </w:rPr>
        <w:t xml:space="preserve"> و</w:t>
      </w:r>
      <w:r w:rsidR="003A70BA" w:rsidRPr="003A70BA">
        <w:rPr>
          <w:b/>
        </w:rPr>
        <w:t>25.1.4</w:t>
      </w:r>
      <w:r w:rsidR="003A70BA" w:rsidRPr="003A70BA">
        <w:rPr>
          <w:rFonts w:hint="cs"/>
          <w:b/>
          <w:rtl/>
          <w:lang w:val="en-GB" w:bidi="ar-EG"/>
        </w:rPr>
        <w:t xml:space="preserve"> و</w:t>
      </w:r>
      <w:r w:rsidR="003A70BA" w:rsidRPr="003A70BA">
        <w:rPr>
          <w:b/>
        </w:rPr>
        <w:t>3.1.4</w:t>
      </w:r>
      <w:r w:rsidR="003A70BA" w:rsidRPr="003A70BA">
        <w:rPr>
          <w:rFonts w:hint="cs"/>
          <w:b/>
          <w:rtl/>
          <w:lang w:val="en-GB" w:bidi="ar-EG"/>
        </w:rPr>
        <w:t xml:space="preserve"> و</w:t>
      </w:r>
      <w:r w:rsidR="003A70BA" w:rsidRPr="003A70BA">
        <w:rPr>
          <w:b/>
        </w:rPr>
        <w:t>(2.1.5</w:t>
      </w:r>
      <w:r w:rsidR="003A70BA" w:rsidRPr="003A70BA">
        <w:rPr>
          <w:rFonts w:hint="cs"/>
          <w:b/>
          <w:rtl/>
          <w:lang w:val="en-GB" w:bidi="ar-EG"/>
        </w:rPr>
        <w:t xml:space="preserve"> </w:t>
      </w:r>
      <w:r w:rsidR="003A70BA" w:rsidRPr="00313593">
        <w:rPr>
          <w:rFonts w:hint="cs"/>
          <w:b/>
          <w:rtl/>
          <w:lang w:val="en-GB" w:bidi="ar-EG"/>
        </w:rPr>
        <w:t>والتذييل</w:t>
      </w:r>
      <w:r w:rsidR="003A70BA" w:rsidRPr="003A70BA">
        <w:rPr>
          <w:rFonts w:hint="eastAsia"/>
          <w:b/>
          <w:rtl/>
          <w:lang w:val="en-GB" w:bidi="ar-EG"/>
        </w:rPr>
        <w:t> </w:t>
      </w:r>
      <w:r w:rsidR="003A70BA" w:rsidRPr="003A70BA">
        <w:rPr>
          <w:b/>
        </w:rPr>
        <w:t>30B</w:t>
      </w:r>
      <w:r w:rsidR="003A70BA" w:rsidRPr="003A70BA">
        <w:rPr>
          <w:rFonts w:hint="cs"/>
          <w:b/>
          <w:rtl/>
          <w:lang w:val="en-GB" w:bidi="ar-EG"/>
        </w:rPr>
        <w:t xml:space="preserve"> </w:t>
      </w:r>
      <w:r w:rsidR="00B6774F">
        <w:rPr>
          <w:rFonts w:hint="cs"/>
          <w:b/>
          <w:rtl/>
          <w:lang w:val="en-GB" w:bidi="ar-EG"/>
        </w:rPr>
        <w:t xml:space="preserve">(الفقرتان </w:t>
      </w:r>
      <w:r w:rsidR="003A70BA" w:rsidRPr="003A70BA">
        <w:rPr>
          <w:b/>
        </w:rPr>
        <w:t>6.2</w:t>
      </w:r>
      <w:r w:rsidR="003A70BA" w:rsidRPr="003A70BA">
        <w:rPr>
          <w:rFonts w:hint="cs"/>
          <w:b/>
          <w:rtl/>
          <w:lang w:val="en-GB" w:bidi="ar-EG"/>
        </w:rPr>
        <w:t xml:space="preserve"> و</w:t>
      </w:r>
      <w:r w:rsidR="003A70BA" w:rsidRPr="003A70BA">
        <w:rPr>
          <w:b/>
        </w:rPr>
        <w:t>1.6</w:t>
      </w:r>
      <w:r w:rsidR="003A70BA" w:rsidRPr="003A70BA">
        <w:rPr>
          <w:rFonts w:hint="cs"/>
          <w:b/>
          <w:rtl/>
          <w:lang w:val="en-GB" w:bidi="ar-EG"/>
        </w:rPr>
        <w:t>)</w:t>
      </w:r>
      <w:r w:rsidR="003A70BA" w:rsidRPr="003A70BA">
        <w:rPr>
          <w:rFonts w:hint="cs"/>
          <w:rtl/>
          <w:lang w:val="en-GB" w:bidi="ar-EG"/>
        </w:rPr>
        <w:t xml:space="preserve"> على إمكانية تصرف إحدى الإدارات باسم مجموعة من الإدارات المعينة بأسمائها لتبليغ مكتب الاتصالات الراديوية عن تخصيصات التردد لشبكات ساتلية. وفي هذه الحالة، تُعيَّن الإدارة التي تتصرف باسم مجموعة من الإدارات باعتبارها الإدارة المبلغة للمجموعة وفقاً للوائح</w:t>
      </w:r>
      <w:r w:rsidR="003A70BA" w:rsidRPr="003A70BA">
        <w:rPr>
          <w:rFonts w:hint="eastAsia"/>
          <w:rtl/>
          <w:lang w:val="en-GB" w:bidi="ar-EG"/>
        </w:rPr>
        <w:t> </w:t>
      </w:r>
      <w:r w:rsidR="003A70BA" w:rsidRPr="003A70BA">
        <w:rPr>
          <w:rFonts w:hint="cs"/>
          <w:rtl/>
          <w:lang w:val="en-GB" w:bidi="ar-EG"/>
        </w:rPr>
        <w:t>الراديو.</w:t>
      </w:r>
      <w:r w:rsidR="00130C81">
        <w:rPr>
          <w:rFonts w:hint="cs"/>
          <w:rtl/>
          <w:lang w:val="en-GB"/>
        </w:rPr>
        <w:t xml:space="preserve"> </w:t>
      </w:r>
      <w:r w:rsidR="003A70BA">
        <w:rPr>
          <w:rFonts w:hint="cs"/>
          <w:spacing w:val="-2"/>
          <w:rtl/>
          <w:lang w:bidi="ar-EG"/>
        </w:rPr>
        <w:t>وفي بعض الحالات، تستعمل الأحكام المذكورة أعلاه من أجل منظمة حكومية دولية (مجموعة دول مكونة على أساس معاهدة دولية وتشمل هيئات مشتركة خاصة).</w:t>
      </w:r>
    </w:p>
    <w:p w14:paraId="27C7A43A" w14:textId="29AC40D2" w:rsidR="003A70BA" w:rsidRDefault="003A70BA" w:rsidP="003A70BA">
      <w:pPr>
        <w:rPr>
          <w:lang w:val="en-GB" w:bidi="ar-EG"/>
        </w:rPr>
      </w:pPr>
      <w:r w:rsidRPr="003A70BA">
        <w:rPr>
          <w:rFonts w:hint="cs"/>
          <w:rtl/>
          <w:lang w:val="en-GB" w:bidi="ar-EG"/>
        </w:rPr>
        <w:t>وفي هذه الحالة، تُعيَّن الإدارة التي تتصرف باسم مجموعة من الإدارات باعتبارها الإدارة المبلغة للمجموعة وفقاً للوائح</w:t>
      </w:r>
      <w:r w:rsidRPr="003A70BA">
        <w:rPr>
          <w:rFonts w:hint="eastAsia"/>
          <w:rtl/>
          <w:lang w:val="en-GB" w:bidi="ar-EG"/>
        </w:rPr>
        <w:t> </w:t>
      </w:r>
      <w:r w:rsidRPr="003A70BA">
        <w:rPr>
          <w:rFonts w:hint="cs"/>
          <w:rtl/>
          <w:lang w:val="en-GB" w:bidi="ar-EG"/>
        </w:rPr>
        <w:t>الراديو.</w:t>
      </w:r>
      <w:r w:rsidRPr="003A70BA">
        <w:rPr>
          <w:rFonts w:hint="cs"/>
          <w:rtl/>
          <w:lang w:val="en-GB"/>
        </w:rPr>
        <w:t xml:space="preserve"> وتتقاسم هذه الأحكام سمة مشتركة </w:t>
      </w:r>
      <w:r w:rsidRPr="003A70BA">
        <w:rPr>
          <w:rFonts w:hint="cs"/>
          <w:rtl/>
          <w:lang w:val="en-GB" w:bidi="ar-EG"/>
        </w:rPr>
        <w:t xml:space="preserve">مفادها أنه </w:t>
      </w:r>
      <w:r w:rsidRPr="003A70BA">
        <w:rPr>
          <w:rtl/>
          <w:lang w:val="en-GB" w:bidi="ar-EG"/>
        </w:rPr>
        <w:t xml:space="preserve">عندما </w:t>
      </w:r>
      <w:r w:rsidR="00415741">
        <w:rPr>
          <w:rFonts w:hint="cs"/>
          <w:rtl/>
          <w:lang w:val="en-GB" w:bidi="ar-EG"/>
        </w:rPr>
        <w:t>تتصرف</w:t>
      </w:r>
      <w:r w:rsidRPr="003A70BA">
        <w:rPr>
          <w:rtl/>
          <w:lang w:val="en-GB" w:bidi="ar-EG"/>
        </w:rPr>
        <w:t xml:space="preserve"> إدارة </w:t>
      </w:r>
      <w:r w:rsidR="00415741">
        <w:rPr>
          <w:rFonts w:hint="cs"/>
          <w:rtl/>
          <w:lang w:val="en-GB" w:bidi="ar-EG"/>
        </w:rPr>
        <w:t xml:space="preserve">بالنيابة </w:t>
      </w:r>
      <w:r w:rsidRPr="003A70BA">
        <w:rPr>
          <w:rtl/>
          <w:lang w:val="en-GB" w:bidi="ar-EG"/>
        </w:rPr>
        <w:t>عن مجموعة إدارات معينة بأسمائها</w:t>
      </w:r>
      <w:r w:rsidR="00390A0A">
        <w:rPr>
          <w:rFonts w:hint="cs"/>
          <w:rtl/>
          <w:lang w:val="en-GB" w:bidi="ar-EG"/>
        </w:rPr>
        <w:t xml:space="preserve"> (بما</w:t>
      </w:r>
      <w:r w:rsidR="00495F42">
        <w:rPr>
          <w:rFonts w:hint="eastAsia"/>
          <w:rtl/>
          <w:lang w:val="en-GB" w:bidi="ar-EG"/>
        </w:rPr>
        <w:t> </w:t>
      </w:r>
      <w:r w:rsidR="00390A0A">
        <w:rPr>
          <w:rFonts w:hint="cs"/>
          <w:rtl/>
          <w:lang w:val="en-GB" w:bidi="ar-EG"/>
        </w:rPr>
        <w:t>في</w:t>
      </w:r>
      <w:r w:rsidR="00495F42">
        <w:rPr>
          <w:rFonts w:hint="eastAsia"/>
          <w:rtl/>
          <w:lang w:val="en-GB" w:bidi="ar-EG"/>
        </w:rPr>
        <w:t> </w:t>
      </w:r>
      <w:r w:rsidR="00390A0A">
        <w:rPr>
          <w:rFonts w:hint="cs"/>
          <w:rtl/>
          <w:lang w:val="en-GB" w:bidi="ar-EG"/>
        </w:rPr>
        <w:t>ذلك الإدارة المبلغة لأغراضها الخاصة)</w:t>
      </w:r>
      <w:r w:rsidRPr="003A70BA">
        <w:rPr>
          <w:rFonts w:hint="cs"/>
          <w:rtl/>
          <w:lang w:val="en-GB" w:bidi="ar-EG"/>
        </w:rPr>
        <w:t>،</w:t>
      </w:r>
      <w:r w:rsidRPr="003A70BA">
        <w:rPr>
          <w:rtl/>
          <w:lang w:val="en-GB" w:bidi="ar-EG"/>
        </w:rPr>
        <w:t xml:space="preserve"> يحتفظ </w:t>
      </w:r>
      <w:r w:rsidR="00461132">
        <w:rPr>
          <w:rFonts w:hint="cs"/>
          <w:rtl/>
          <w:lang w:val="en-GB" w:bidi="ar-EG"/>
        </w:rPr>
        <w:t>جميع الأعضاء</w:t>
      </w:r>
      <w:r w:rsidRPr="003A70BA">
        <w:rPr>
          <w:rtl/>
          <w:lang w:val="en-GB" w:bidi="ar-EG"/>
        </w:rPr>
        <w:t xml:space="preserve"> في المجموعة ب</w:t>
      </w:r>
      <w:r w:rsidR="007E2CC6">
        <w:rPr>
          <w:rFonts w:hint="cs"/>
          <w:rtl/>
          <w:lang w:val="en-GB" w:bidi="ar-EG"/>
        </w:rPr>
        <w:t>ال</w:t>
      </w:r>
      <w:r w:rsidRPr="003A70BA">
        <w:rPr>
          <w:rtl/>
          <w:lang w:val="en-GB" w:bidi="ar-EG"/>
        </w:rPr>
        <w:t>حق في الرد بشأن خدماته</w:t>
      </w:r>
      <w:r w:rsidR="007E2CC6">
        <w:rPr>
          <w:rFonts w:hint="cs"/>
          <w:rtl/>
          <w:lang w:val="en-GB" w:bidi="ar-EG"/>
        </w:rPr>
        <w:t>م</w:t>
      </w:r>
      <w:r w:rsidRPr="003A70BA">
        <w:rPr>
          <w:rtl/>
          <w:lang w:val="en-GB" w:bidi="ar-EG"/>
        </w:rPr>
        <w:t xml:space="preserve"> التي قد تؤثر في التخصيص المقترح أو تتأثر</w:t>
      </w:r>
      <w:r w:rsidR="000D3A81">
        <w:rPr>
          <w:rFonts w:hint="cs"/>
          <w:rtl/>
          <w:lang w:val="en-GB" w:bidi="ar-EG"/>
        </w:rPr>
        <w:t> </w:t>
      </w:r>
      <w:r w:rsidRPr="003A70BA">
        <w:rPr>
          <w:rtl/>
          <w:lang w:val="en-GB" w:bidi="ar-EG"/>
        </w:rPr>
        <w:t>بسببه.</w:t>
      </w:r>
    </w:p>
    <w:p w14:paraId="12750D22" w14:textId="10356B7D" w:rsidR="00FD1761" w:rsidRPr="00495F42" w:rsidRDefault="00FD1761" w:rsidP="0080763D">
      <w:pPr>
        <w:rPr>
          <w:spacing w:val="2"/>
          <w:rtl/>
        </w:rPr>
      </w:pPr>
      <w:r w:rsidRPr="00495F42">
        <w:rPr>
          <w:color w:val="000000"/>
          <w:spacing w:val="2"/>
          <w:rtl/>
        </w:rPr>
        <w:t>وت</w:t>
      </w:r>
      <w:r w:rsidRPr="00495F42">
        <w:rPr>
          <w:rFonts w:hint="cs"/>
          <w:color w:val="000000"/>
          <w:spacing w:val="2"/>
          <w:rtl/>
        </w:rPr>
        <w:t>ُ</w:t>
      </w:r>
      <w:r w:rsidRPr="00495F42">
        <w:rPr>
          <w:color w:val="000000"/>
          <w:spacing w:val="2"/>
          <w:rtl/>
        </w:rPr>
        <w:t>عامل بطاقات التبليغ الساتلية التي تحمل هذا الرمز بشكل منفصل عن بطاقات التبليغ التي تقدمها الإدارة المبلغة بالأصالة عن نفسها</w:t>
      </w:r>
      <w:r w:rsidRPr="00495F42">
        <w:rPr>
          <w:color w:val="000000"/>
          <w:spacing w:val="2"/>
        </w:rPr>
        <w:t>:</w:t>
      </w:r>
      <w:r w:rsidRPr="00495F42">
        <w:rPr>
          <w:rFonts w:hint="cs"/>
          <w:spacing w:val="2"/>
          <w:rtl/>
        </w:rPr>
        <w:t xml:space="preserve"> تبين الأقسام الخاصة لبطاقات التبليغ عن الشبكات الساتلية هذه الإدارة المبلِّغة </w:t>
      </w:r>
      <w:r w:rsidR="002E3135" w:rsidRPr="00495F42">
        <w:rPr>
          <w:rFonts w:hint="cs"/>
          <w:spacing w:val="2"/>
          <w:rtl/>
          <w:lang w:bidi="ar-EG"/>
        </w:rPr>
        <w:t>معرَّفةً</w:t>
      </w:r>
      <w:r w:rsidRPr="00495F42">
        <w:rPr>
          <w:spacing w:val="2"/>
          <w:rtl/>
        </w:rPr>
        <w:t xml:space="preserve"> </w:t>
      </w:r>
      <w:r w:rsidRPr="00495F42">
        <w:rPr>
          <w:rFonts w:hint="cs"/>
          <w:spacing w:val="2"/>
          <w:rtl/>
        </w:rPr>
        <w:t xml:space="preserve">بالرمز </w:t>
      </w:r>
      <w:r w:rsidRPr="00495F42">
        <w:rPr>
          <w:spacing w:val="2"/>
        </w:rPr>
        <w:t>ADM/ORG</w:t>
      </w:r>
      <w:r w:rsidRPr="00495F42">
        <w:rPr>
          <w:rFonts w:hint="cs"/>
          <w:spacing w:val="2"/>
          <w:rtl/>
        </w:rPr>
        <w:t xml:space="preserve"> حيث </w:t>
      </w:r>
      <w:r w:rsidRPr="00495F42">
        <w:rPr>
          <w:spacing w:val="2"/>
          <w:lang w:val="en-GB"/>
        </w:rPr>
        <w:t>ADM</w:t>
      </w:r>
      <w:r w:rsidRPr="00495F42">
        <w:rPr>
          <w:rFonts w:hint="cs"/>
          <w:spacing w:val="2"/>
          <w:rtl/>
          <w:lang w:val="en-GB"/>
        </w:rPr>
        <w:t xml:space="preserve"> هو رمز الإدارة المبلِّغة و</w:t>
      </w:r>
      <w:r w:rsidRPr="00495F42">
        <w:rPr>
          <w:spacing w:val="2"/>
        </w:rPr>
        <w:t>ORG</w:t>
      </w:r>
      <w:r w:rsidRPr="00495F42">
        <w:rPr>
          <w:rFonts w:hint="cs"/>
          <w:spacing w:val="2"/>
          <w:rtl/>
        </w:rPr>
        <w:t xml:space="preserve"> هو رمز المنظمة الحكومية الدولية للاتصالات الساتلية (بدلاً </w:t>
      </w:r>
      <w:r w:rsidRPr="00495F42">
        <w:rPr>
          <w:color w:val="000000"/>
          <w:spacing w:val="2"/>
          <w:rtl/>
        </w:rPr>
        <w:t>من تعريف</w:t>
      </w:r>
      <w:r w:rsidRPr="00495F42">
        <w:rPr>
          <w:rFonts w:hint="cs"/>
          <w:color w:val="000000"/>
          <w:spacing w:val="2"/>
          <w:rtl/>
        </w:rPr>
        <w:t>ه</w:t>
      </w:r>
      <w:r w:rsidR="002E3135" w:rsidRPr="00495F42">
        <w:rPr>
          <w:rFonts w:hint="cs"/>
          <w:color w:val="000000"/>
          <w:spacing w:val="2"/>
          <w:rtl/>
        </w:rPr>
        <w:t>ا</w:t>
      </w:r>
      <w:r w:rsidRPr="00495F42">
        <w:rPr>
          <w:color w:val="000000"/>
          <w:spacing w:val="2"/>
          <w:rtl/>
        </w:rPr>
        <w:t xml:space="preserve"> بالرمز</w:t>
      </w:r>
      <w:r w:rsidRPr="00495F42">
        <w:rPr>
          <w:rFonts w:hint="cs"/>
          <w:color w:val="000000"/>
          <w:spacing w:val="2"/>
          <w:rtl/>
        </w:rPr>
        <w:t xml:space="preserve"> </w:t>
      </w:r>
      <w:r w:rsidRPr="00495F42">
        <w:rPr>
          <w:spacing w:val="2"/>
        </w:rPr>
        <w:t>ADM</w:t>
      </w:r>
      <w:r w:rsidR="002E3135" w:rsidRPr="00495F42">
        <w:rPr>
          <w:rFonts w:hint="cs"/>
          <w:spacing w:val="2"/>
          <w:rtl/>
        </w:rPr>
        <w:t xml:space="preserve"> فقط</w:t>
      </w:r>
      <w:r w:rsidRPr="00495F42">
        <w:rPr>
          <w:rFonts w:hint="cs"/>
          <w:spacing w:val="2"/>
          <w:rtl/>
        </w:rPr>
        <w:t xml:space="preserve">). وعلاوةً على ذلك، </w:t>
      </w:r>
      <w:r w:rsidR="00831AE7" w:rsidRPr="00495F42">
        <w:rPr>
          <w:rFonts w:hint="cs"/>
          <w:spacing w:val="2"/>
          <w:rtl/>
        </w:rPr>
        <w:t xml:space="preserve">تشمل متطلبات التنسيق الخاصة بالنظام </w:t>
      </w:r>
      <w:r w:rsidRPr="00495F42">
        <w:rPr>
          <w:spacing w:val="2"/>
          <w:rtl/>
        </w:rPr>
        <w:t xml:space="preserve">الساتلي </w:t>
      </w:r>
      <w:r w:rsidRPr="00495F42">
        <w:rPr>
          <w:rFonts w:hint="cs"/>
          <w:spacing w:val="2"/>
          <w:rtl/>
        </w:rPr>
        <w:t xml:space="preserve">لدى </w:t>
      </w:r>
      <w:r w:rsidRPr="00495F42">
        <w:rPr>
          <w:spacing w:val="2"/>
        </w:rPr>
        <w:t>ADM/ORG</w:t>
      </w:r>
      <w:r w:rsidRPr="00495F42">
        <w:rPr>
          <w:spacing w:val="2"/>
          <w:rtl/>
        </w:rPr>
        <w:t xml:space="preserve"> </w:t>
      </w:r>
      <w:r w:rsidR="00461132" w:rsidRPr="00495F42">
        <w:rPr>
          <w:rFonts w:hint="cs"/>
          <w:spacing w:val="2"/>
          <w:rtl/>
        </w:rPr>
        <w:t xml:space="preserve">الأنظمة الساتلية لدى </w:t>
      </w:r>
      <w:r w:rsidR="00461132" w:rsidRPr="00495F42">
        <w:rPr>
          <w:spacing w:val="2"/>
        </w:rPr>
        <w:t>ADM</w:t>
      </w:r>
      <w:r w:rsidR="00461132" w:rsidRPr="00495F42">
        <w:rPr>
          <w:spacing w:val="2"/>
          <w:rtl/>
        </w:rPr>
        <w:t xml:space="preserve"> </w:t>
      </w:r>
      <w:r w:rsidRPr="00495F42">
        <w:rPr>
          <w:spacing w:val="2"/>
          <w:rtl/>
        </w:rPr>
        <w:t>إذا تم تجاوز عتبات التنسيق ذات</w:t>
      </w:r>
      <w:r w:rsidRPr="00495F42">
        <w:rPr>
          <w:rFonts w:hint="cs"/>
          <w:spacing w:val="2"/>
          <w:rtl/>
        </w:rPr>
        <w:t> </w:t>
      </w:r>
      <w:r w:rsidRPr="00495F42">
        <w:rPr>
          <w:spacing w:val="2"/>
          <w:rtl/>
        </w:rPr>
        <w:t>الصلة.</w:t>
      </w:r>
      <w:r w:rsidRPr="00495F42">
        <w:rPr>
          <w:rFonts w:hint="cs"/>
          <w:spacing w:val="2"/>
          <w:rtl/>
        </w:rPr>
        <w:t xml:space="preserve"> وتضمن هذه الطريقة التنفيذ المناسب لحق "جميع الأعضاء في المجموعة (...) في</w:t>
      </w:r>
      <w:r w:rsidR="00495F42">
        <w:rPr>
          <w:rFonts w:hint="eastAsia"/>
          <w:spacing w:val="2"/>
          <w:rtl/>
        </w:rPr>
        <w:t> </w:t>
      </w:r>
      <w:r w:rsidRPr="00495F42">
        <w:rPr>
          <w:color w:val="000000"/>
          <w:spacing w:val="2"/>
          <w:rtl/>
        </w:rPr>
        <w:t>الرد بشأن خدماته</w:t>
      </w:r>
      <w:r w:rsidRPr="00495F42">
        <w:rPr>
          <w:rFonts w:hint="cs"/>
          <w:color w:val="000000"/>
          <w:spacing w:val="2"/>
          <w:rtl/>
        </w:rPr>
        <w:t>م".</w:t>
      </w:r>
    </w:p>
    <w:p w14:paraId="22758B7D" w14:textId="254B58D9" w:rsidR="00FD1761" w:rsidRDefault="00531611" w:rsidP="003A70BA">
      <w:pPr>
        <w:rPr>
          <w:rtl/>
          <w:lang w:val="en-GB" w:bidi="ar-EG"/>
        </w:rPr>
      </w:pPr>
      <w:r>
        <w:rPr>
          <w:rFonts w:hint="cs"/>
          <w:rtl/>
          <w:lang w:val="en-GB"/>
        </w:rPr>
        <w:lastRenderedPageBreak/>
        <w:t>وتدعو</w:t>
      </w:r>
      <w:r w:rsidR="007E2CC6">
        <w:rPr>
          <w:rFonts w:hint="cs"/>
          <w:rtl/>
          <w:lang w:val="en-GB"/>
        </w:rPr>
        <w:t xml:space="preserve"> فرنسا </w:t>
      </w:r>
      <w:r w:rsidR="00AD6932">
        <w:rPr>
          <w:rFonts w:hint="cs"/>
          <w:rtl/>
          <w:lang w:val="en-GB"/>
        </w:rPr>
        <w:t>مكتب الاتصالات الراديوية</w:t>
      </w:r>
      <w:r>
        <w:rPr>
          <w:rFonts w:hint="cs"/>
          <w:rtl/>
          <w:lang w:val="en-GB"/>
        </w:rPr>
        <w:t xml:space="preserve"> إلى النظر</w:t>
      </w:r>
      <w:r w:rsidR="00AD6932">
        <w:rPr>
          <w:rFonts w:hint="cs"/>
          <w:rtl/>
          <w:lang w:val="en-GB"/>
        </w:rPr>
        <w:t xml:space="preserve"> في إمكانية إرسال</w:t>
      </w:r>
      <w:r w:rsidR="007F5C24">
        <w:rPr>
          <w:rFonts w:hint="cs"/>
          <w:rtl/>
          <w:lang w:val="en-GB"/>
        </w:rPr>
        <w:t xml:space="preserve"> </w:t>
      </w:r>
      <w:r w:rsidR="00415EDB">
        <w:rPr>
          <w:rFonts w:hint="cs"/>
          <w:rtl/>
          <w:lang w:val="en-GB"/>
        </w:rPr>
        <w:t>ال</w:t>
      </w:r>
      <w:r w:rsidR="00AD6932">
        <w:rPr>
          <w:rFonts w:hint="cs"/>
          <w:rtl/>
          <w:lang w:val="en-GB"/>
        </w:rPr>
        <w:t xml:space="preserve">مراسلات </w:t>
      </w:r>
      <w:r w:rsidR="00415EDB">
        <w:rPr>
          <w:rFonts w:hint="cs"/>
          <w:rtl/>
          <w:lang w:val="en-GB"/>
        </w:rPr>
        <w:t>ال</w:t>
      </w:r>
      <w:r w:rsidR="00AD6932">
        <w:rPr>
          <w:rFonts w:hint="cs"/>
          <w:rtl/>
          <w:lang w:val="en-GB"/>
        </w:rPr>
        <w:t xml:space="preserve">إدارية </w:t>
      </w:r>
      <w:r>
        <w:rPr>
          <w:rFonts w:hint="cs"/>
          <w:rtl/>
          <w:lang w:val="en-GB"/>
        </w:rPr>
        <w:t>إلى</w:t>
      </w:r>
      <w:r w:rsidR="00BB1282">
        <w:rPr>
          <w:rFonts w:hint="cs"/>
          <w:rtl/>
          <w:lang w:val="en-GB"/>
        </w:rPr>
        <w:t xml:space="preserve"> </w:t>
      </w:r>
      <w:r w:rsidR="007F5C24" w:rsidRPr="002C71FC">
        <w:t>ADM/ORG</w:t>
      </w:r>
      <w:r>
        <w:rPr>
          <w:rFonts w:hint="cs"/>
          <w:rtl/>
          <w:lang w:val="en-GB"/>
        </w:rPr>
        <w:t xml:space="preserve"> </w:t>
      </w:r>
      <w:r w:rsidR="007F5C24">
        <w:rPr>
          <w:rFonts w:hint="cs"/>
          <w:rtl/>
          <w:lang w:val="en-GB"/>
        </w:rPr>
        <w:t>وتلقيها منها بشكل منفصل عن</w:t>
      </w:r>
      <w:r w:rsidR="00BB1282">
        <w:rPr>
          <w:rFonts w:hint="cs"/>
          <w:rtl/>
          <w:lang w:val="en-GB"/>
        </w:rPr>
        <w:t xml:space="preserve"> </w:t>
      </w:r>
      <w:r w:rsidR="007F5C24" w:rsidRPr="002C71FC">
        <w:t>ADM</w:t>
      </w:r>
      <w:r w:rsidR="007F5C24">
        <w:rPr>
          <w:rFonts w:hint="cs"/>
          <w:rtl/>
        </w:rPr>
        <w:t xml:space="preserve">. </w:t>
      </w:r>
      <w:r w:rsidR="00BB1282">
        <w:rPr>
          <w:rFonts w:hint="cs"/>
          <w:rtl/>
        </w:rPr>
        <w:t xml:space="preserve">ومن شأن ذلك أن يمكّن </w:t>
      </w:r>
      <w:r w:rsidR="005F3F89">
        <w:rPr>
          <w:rFonts w:hint="cs"/>
          <w:rtl/>
        </w:rPr>
        <w:t xml:space="preserve">من زيادة مراعاة </w:t>
      </w:r>
      <w:r w:rsidR="009E0AA3">
        <w:rPr>
          <w:rFonts w:hint="cs"/>
          <w:rtl/>
        </w:rPr>
        <w:t xml:space="preserve">السمات المحددة لتخصيصات التردد التي تديرها الإدارة المبلغة لصالح </w:t>
      </w:r>
      <w:r w:rsidR="009E0AA3">
        <w:rPr>
          <w:rFonts w:hint="cs"/>
          <w:spacing w:val="-2"/>
          <w:rtl/>
          <w:lang w:bidi="ar-EG"/>
        </w:rPr>
        <w:t xml:space="preserve">منظمة حكومية دولية، وكذلك متطلبات التنسيق </w:t>
      </w:r>
      <w:r w:rsidR="00C60E86">
        <w:rPr>
          <w:rFonts w:hint="cs"/>
          <w:spacing w:val="-2"/>
          <w:rtl/>
          <w:lang w:bidi="ar-EG"/>
        </w:rPr>
        <w:t xml:space="preserve">المنصوص عليها في لوائح الراديو بين </w:t>
      </w:r>
      <w:r w:rsidR="00C60E86" w:rsidRPr="002C71FC">
        <w:t>ADM</w:t>
      </w:r>
      <w:r w:rsidR="00C60E86">
        <w:rPr>
          <w:rFonts w:hint="cs"/>
          <w:rtl/>
        </w:rPr>
        <w:t xml:space="preserve"> و</w:t>
      </w:r>
      <w:r w:rsidR="00C60E86" w:rsidRPr="002C71FC">
        <w:t>ADM/ORG</w:t>
      </w:r>
      <w:r w:rsidR="00C60E86">
        <w:rPr>
          <w:rFonts w:hint="cs"/>
          <w:rtl/>
        </w:rPr>
        <w:t>. و</w:t>
      </w:r>
      <w:r w:rsidR="00543A67">
        <w:rPr>
          <w:rFonts w:hint="cs"/>
          <w:rtl/>
        </w:rPr>
        <w:t xml:space="preserve">من شأن </w:t>
      </w:r>
      <w:r w:rsidR="00C60E86">
        <w:rPr>
          <w:rFonts w:hint="cs"/>
          <w:rtl/>
        </w:rPr>
        <w:t xml:space="preserve">هذا الفصل بين </w:t>
      </w:r>
      <w:r w:rsidR="00C60E86" w:rsidRPr="002C71FC">
        <w:t>ADM</w:t>
      </w:r>
      <w:r w:rsidR="00C60E86">
        <w:rPr>
          <w:rFonts w:hint="cs"/>
          <w:rtl/>
        </w:rPr>
        <w:t xml:space="preserve"> و</w:t>
      </w:r>
      <w:r w:rsidR="00C60E86" w:rsidRPr="002C71FC">
        <w:t>ADM/ORG</w:t>
      </w:r>
      <w:r w:rsidR="00C60E86">
        <w:rPr>
          <w:rFonts w:hint="cs"/>
          <w:rtl/>
        </w:rPr>
        <w:t xml:space="preserve"> أيضاً </w:t>
      </w:r>
      <w:r w:rsidR="00543A67">
        <w:rPr>
          <w:rFonts w:hint="cs"/>
          <w:rtl/>
        </w:rPr>
        <w:t xml:space="preserve">أن يمكّن من تجنب المراسلات الإدارية من </w:t>
      </w:r>
      <w:r w:rsidR="003F400F">
        <w:rPr>
          <w:rFonts w:hint="cs"/>
          <w:rtl/>
        </w:rPr>
        <w:t xml:space="preserve">الإدارات الأخرى إلى </w:t>
      </w:r>
      <w:r w:rsidR="003F400F" w:rsidRPr="002C71FC">
        <w:t>ADM</w:t>
      </w:r>
      <w:r w:rsidR="003F400F">
        <w:rPr>
          <w:rFonts w:hint="cs"/>
          <w:rtl/>
        </w:rPr>
        <w:t xml:space="preserve"> بشأن </w:t>
      </w:r>
      <w:r w:rsidR="00714A2B">
        <w:rPr>
          <w:rFonts w:hint="cs"/>
          <w:rtl/>
        </w:rPr>
        <w:t xml:space="preserve">الشبكات الساتلية لدى </w:t>
      </w:r>
      <w:r w:rsidR="00714A2B" w:rsidRPr="002C71FC">
        <w:t>ADM</w:t>
      </w:r>
      <w:r w:rsidR="00714A2B">
        <w:rPr>
          <w:rFonts w:hint="cs"/>
          <w:rtl/>
        </w:rPr>
        <w:t xml:space="preserve"> والشبكات الساتلية لدى </w:t>
      </w:r>
      <w:r w:rsidR="00714A2B" w:rsidRPr="002C71FC">
        <w:t>ADM/ORG</w:t>
      </w:r>
      <w:r w:rsidR="00714A2B">
        <w:rPr>
          <w:rFonts w:hint="cs"/>
          <w:rtl/>
        </w:rPr>
        <w:t xml:space="preserve"> على السواء.</w:t>
      </w:r>
    </w:p>
    <w:p w14:paraId="6A5D0CFC" w14:textId="5AB14E3A" w:rsidR="00FD1761" w:rsidRPr="0064026D" w:rsidRDefault="00FD1761" w:rsidP="000C33EC">
      <w:pPr>
        <w:pStyle w:val="Heading1"/>
        <w:rPr>
          <w:rtl/>
        </w:rPr>
      </w:pPr>
      <w:r w:rsidRPr="0064026D">
        <w:t>3</w:t>
      </w:r>
      <w:r w:rsidRPr="0064026D">
        <w:tab/>
      </w:r>
      <w:r w:rsidR="00060601" w:rsidRPr="0064026D">
        <w:rPr>
          <w:rFonts w:hint="cs"/>
          <w:rtl/>
        </w:rPr>
        <w:t>تجنب ازدواجية المراسلات بين الإدارات</w:t>
      </w:r>
    </w:p>
    <w:p w14:paraId="6DEE2000" w14:textId="264D3B5A" w:rsidR="00FD1761" w:rsidRPr="00DA0E1E" w:rsidRDefault="00CD1CC4" w:rsidP="00FD1761">
      <w:r w:rsidRPr="00DA0E1E">
        <w:rPr>
          <w:rFonts w:hint="cs"/>
          <w:rtl/>
          <w:lang w:bidi="ar-EG"/>
        </w:rPr>
        <w:t>تنص</w:t>
      </w:r>
      <w:r w:rsidR="002B7470" w:rsidRPr="00DA0E1E">
        <w:rPr>
          <w:rFonts w:hint="cs"/>
          <w:rtl/>
          <w:lang w:bidi="ar-EG"/>
        </w:rPr>
        <w:t xml:space="preserve"> </w:t>
      </w:r>
      <w:r w:rsidRPr="00DA0E1E">
        <w:rPr>
          <w:rFonts w:hint="cs"/>
          <w:rtl/>
          <w:lang w:bidi="ar-EG"/>
        </w:rPr>
        <w:t>ا</w:t>
      </w:r>
      <w:r w:rsidR="002B7470" w:rsidRPr="00DA0E1E">
        <w:rPr>
          <w:rFonts w:hint="cs"/>
          <w:rtl/>
          <w:lang w:bidi="ar-EG"/>
        </w:rPr>
        <w:t xml:space="preserve">لفقرة </w:t>
      </w:r>
      <w:r w:rsidR="002B7470" w:rsidRPr="00DA0E1E">
        <w:rPr>
          <w:lang w:val="en-GB" w:bidi="ar-EG"/>
        </w:rPr>
        <w:t>2</w:t>
      </w:r>
      <w:r w:rsidR="002B7470" w:rsidRPr="00DA0E1E">
        <w:rPr>
          <w:rFonts w:hint="cs"/>
          <w:rtl/>
          <w:lang w:bidi="ar-EG"/>
        </w:rPr>
        <w:t xml:space="preserve"> من "</w:t>
      </w:r>
      <w:r w:rsidR="002B7470" w:rsidRPr="00DA0E1E">
        <w:rPr>
          <w:rFonts w:hint="cs"/>
          <w:i/>
          <w:iCs/>
          <w:rtl/>
          <w:lang w:bidi="ar-EG"/>
        </w:rPr>
        <w:t>يقرر</w:t>
      </w:r>
      <w:r w:rsidR="002B7470" w:rsidRPr="00DA0E1E">
        <w:rPr>
          <w:rFonts w:hint="cs"/>
          <w:rtl/>
          <w:lang w:bidi="ar-EG"/>
        </w:rPr>
        <w:t xml:space="preserve">" </w:t>
      </w:r>
      <w:r w:rsidR="002F0D5F" w:rsidRPr="00DA0E1E">
        <w:rPr>
          <w:rFonts w:hint="cs"/>
          <w:rtl/>
          <w:lang w:bidi="ar-EG"/>
        </w:rPr>
        <w:t xml:space="preserve">في </w:t>
      </w:r>
      <w:r w:rsidR="002B7470" w:rsidRPr="00DA0E1E">
        <w:rPr>
          <w:rFonts w:hint="cs"/>
          <w:rtl/>
          <w:lang w:bidi="ar-EG"/>
        </w:rPr>
        <w:t xml:space="preserve">القرار </w:t>
      </w:r>
      <w:r w:rsidR="002B7470" w:rsidRPr="00DA0E1E">
        <w:rPr>
          <w:b/>
          <w:bCs/>
          <w:lang w:val="en-GB" w:bidi="ar-EG"/>
        </w:rPr>
        <w:t>907 (Rev.WRC-15)</w:t>
      </w:r>
      <w:r w:rsidR="002B7470" w:rsidRPr="00DA0E1E">
        <w:rPr>
          <w:rFonts w:hint="cs"/>
          <w:rtl/>
          <w:lang w:bidi="ar-EG"/>
        </w:rPr>
        <w:t xml:space="preserve">، </w:t>
      </w:r>
      <w:r w:rsidRPr="00DA0E1E">
        <w:rPr>
          <w:rFonts w:hint="cs"/>
          <w:rtl/>
          <w:lang w:bidi="ar-EG"/>
        </w:rPr>
        <w:t xml:space="preserve">على </w:t>
      </w:r>
      <w:r w:rsidR="00FD1761" w:rsidRPr="00DA0E1E">
        <w:rPr>
          <w:rFonts w:hint="cs"/>
          <w:i/>
          <w:iCs/>
          <w:rtl/>
        </w:rPr>
        <w:t xml:space="preserve">أنه حيثما وردت الكلمات "برقية" أو "تلكس" أو "فاكس" في الأحكام المتعلقة </w:t>
      </w:r>
      <w:r w:rsidR="00FD1761" w:rsidRPr="00DA0E1E">
        <w:rPr>
          <w:i/>
          <w:iCs/>
          <w:rtl/>
        </w:rPr>
        <w:t>بعمليات</w:t>
      </w:r>
      <w:r w:rsidR="00FD1761" w:rsidRPr="00DA0E1E">
        <w:rPr>
          <w:rFonts w:hint="cs"/>
          <w:i/>
          <w:iCs/>
          <w:rtl/>
        </w:rPr>
        <w:t xml:space="preserve"> النشر المسبق والتنسيق والتبليغ والتسجيل بشأن الشبكات الساتلية والمحطات الأرضية و</w:t>
      </w:r>
      <w:r w:rsidR="00FD1761" w:rsidRPr="00DA0E1E">
        <w:rPr>
          <w:i/>
          <w:iCs/>
          <w:rtl/>
        </w:rPr>
        <w:t>محط</w:t>
      </w:r>
      <w:r w:rsidR="00FD1761" w:rsidRPr="00DA0E1E">
        <w:rPr>
          <w:rFonts w:hint="cs"/>
          <w:i/>
          <w:iCs/>
          <w:rtl/>
        </w:rPr>
        <w:t>ات</w:t>
      </w:r>
      <w:r w:rsidR="00FD1761" w:rsidRPr="00DA0E1E">
        <w:rPr>
          <w:i/>
          <w:iCs/>
          <w:rtl/>
        </w:rPr>
        <w:t xml:space="preserve"> الفلك الراديوي</w:t>
      </w:r>
      <w:r w:rsidR="00FD1761" w:rsidRPr="00DA0E1E">
        <w:rPr>
          <w:rFonts w:hint="cs"/>
          <w:i/>
          <w:iCs/>
          <w:rtl/>
        </w:rPr>
        <w:t>، بما</w:t>
      </w:r>
      <w:r w:rsidR="00FD1761" w:rsidRPr="00DA0E1E">
        <w:rPr>
          <w:rFonts w:hint="eastAsia"/>
          <w:i/>
          <w:iCs/>
          <w:rtl/>
        </w:rPr>
        <w:t> </w:t>
      </w:r>
      <w:r w:rsidR="00FD1761" w:rsidRPr="00DA0E1E">
        <w:rPr>
          <w:rFonts w:hint="cs"/>
          <w:i/>
          <w:iCs/>
          <w:rtl/>
        </w:rPr>
        <w:t xml:space="preserve">فيها الأحكام الواردة في التذييلات </w:t>
      </w:r>
      <w:r w:rsidR="00FD1761" w:rsidRPr="00DA0E1E">
        <w:rPr>
          <w:b/>
          <w:bCs/>
          <w:i/>
          <w:iCs/>
        </w:rPr>
        <w:t>30</w:t>
      </w:r>
      <w:r w:rsidR="00FD1761" w:rsidRPr="00DA0E1E">
        <w:rPr>
          <w:rFonts w:hint="cs"/>
          <w:b/>
          <w:bCs/>
          <w:i/>
          <w:iCs/>
          <w:rtl/>
        </w:rPr>
        <w:t xml:space="preserve"> </w:t>
      </w:r>
      <w:r w:rsidR="00FD1761" w:rsidRPr="00DA0E1E">
        <w:rPr>
          <w:rFonts w:hint="cs"/>
          <w:i/>
          <w:iCs/>
          <w:rtl/>
        </w:rPr>
        <w:t>و</w:t>
      </w:r>
      <w:r w:rsidR="00FD1761" w:rsidRPr="00DA0E1E">
        <w:rPr>
          <w:b/>
          <w:bCs/>
          <w:i/>
          <w:iCs/>
        </w:rPr>
        <w:t>30A</w:t>
      </w:r>
      <w:r w:rsidR="00FD1761" w:rsidRPr="00DA0E1E">
        <w:rPr>
          <w:rFonts w:hint="cs"/>
          <w:b/>
          <w:bCs/>
          <w:i/>
          <w:iCs/>
          <w:rtl/>
        </w:rPr>
        <w:t xml:space="preserve"> </w:t>
      </w:r>
      <w:r w:rsidR="00FD1761" w:rsidRPr="00DA0E1E">
        <w:rPr>
          <w:rFonts w:hint="cs"/>
          <w:i/>
          <w:iCs/>
          <w:rtl/>
        </w:rPr>
        <w:t>و</w:t>
      </w:r>
      <w:r w:rsidR="00FD1761" w:rsidRPr="00DA0E1E">
        <w:rPr>
          <w:b/>
          <w:bCs/>
          <w:i/>
          <w:iCs/>
        </w:rPr>
        <w:t>30B</w:t>
      </w:r>
      <w:r w:rsidR="00FD1761" w:rsidRPr="00DA0E1E">
        <w:rPr>
          <w:rFonts w:hint="cs"/>
          <w:b/>
          <w:bCs/>
          <w:i/>
          <w:iCs/>
          <w:rtl/>
        </w:rPr>
        <w:t xml:space="preserve"> </w:t>
      </w:r>
      <w:r w:rsidR="00FD1761" w:rsidRPr="00DA0E1E">
        <w:rPr>
          <w:i/>
          <w:iCs/>
          <w:rtl/>
        </w:rPr>
        <w:t>يُستخدم</w:t>
      </w:r>
      <w:r w:rsidR="00FD1761" w:rsidRPr="00DA0E1E">
        <w:rPr>
          <w:rFonts w:hint="cs"/>
          <w:i/>
          <w:iCs/>
          <w:rtl/>
        </w:rPr>
        <w:t xml:space="preserve"> تعبير وسائل إلكترونية حديثة، </w:t>
      </w:r>
      <w:r w:rsidR="00FD1761" w:rsidRPr="00DA0E1E">
        <w:rPr>
          <w:i/>
          <w:iCs/>
          <w:rtl/>
        </w:rPr>
        <w:t>بأقصى قدر ممكن</w:t>
      </w:r>
      <w:r w:rsidR="00FD1761" w:rsidRPr="00DA0E1E">
        <w:rPr>
          <w:rFonts w:hint="cs"/>
          <w:rtl/>
        </w:rPr>
        <w:t>؛</w:t>
      </w:r>
    </w:p>
    <w:p w14:paraId="3998A28A" w14:textId="545D7827" w:rsidR="00FD1761" w:rsidRPr="0064026D" w:rsidRDefault="00D24293" w:rsidP="00FD1761">
      <w:pPr>
        <w:rPr>
          <w:rtl/>
          <w:lang w:val="en-GB" w:bidi="ar-EG"/>
        </w:rPr>
      </w:pPr>
      <w:r w:rsidRPr="0064026D">
        <w:rPr>
          <w:rFonts w:hint="cs"/>
          <w:rtl/>
        </w:rPr>
        <w:t>وتعتبر فرنسا أن جميع المراسلات بين الإدارات يمكن إرسالها</w:t>
      </w:r>
      <w:r w:rsidR="00570919">
        <w:rPr>
          <w:rFonts w:hint="cs"/>
          <w:rtl/>
        </w:rPr>
        <w:t xml:space="preserve"> من خلال</w:t>
      </w:r>
      <w:r w:rsidRPr="0064026D">
        <w:rPr>
          <w:rFonts w:hint="cs"/>
          <w:rtl/>
        </w:rPr>
        <w:t xml:space="preserve"> "وسائل إلكترونية". بيد أن الفقرة</w:t>
      </w:r>
      <w:r w:rsidR="00495F42">
        <w:rPr>
          <w:rFonts w:hint="eastAsia"/>
          <w:rtl/>
        </w:rPr>
        <w:t> </w:t>
      </w:r>
      <w:r w:rsidRPr="0064026D">
        <w:t>3</w:t>
      </w:r>
      <w:r w:rsidRPr="0064026D">
        <w:rPr>
          <w:rFonts w:hint="cs"/>
          <w:rtl/>
          <w:lang w:bidi="ar-EG"/>
        </w:rPr>
        <w:t xml:space="preserve"> من "</w:t>
      </w:r>
      <w:r w:rsidRPr="0064026D">
        <w:rPr>
          <w:rFonts w:hint="cs"/>
          <w:i/>
          <w:iCs/>
          <w:rtl/>
          <w:lang w:bidi="ar-EG"/>
        </w:rPr>
        <w:t>يقرر</w:t>
      </w:r>
      <w:r w:rsidRPr="0064026D">
        <w:rPr>
          <w:rFonts w:hint="cs"/>
          <w:rtl/>
          <w:lang w:bidi="ar-EG"/>
        </w:rPr>
        <w:t xml:space="preserve">" </w:t>
      </w:r>
      <w:r w:rsidR="00570919">
        <w:rPr>
          <w:rFonts w:hint="cs"/>
          <w:rtl/>
          <w:lang w:bidi="ar-EG"/>
        </w:rPr>
        <w:t>في</w:t>
      </w:r>
      <w:r w:rsidR="00317993">
        <w:rPr>
          <w:rFonts w:hint="eastAsia"/>
          <w:rtl/>
          <w:lang w:bidi="ar-EG"/>
        </w:rPr>
        <w:t> </w:t>
      </w:r>
      <w:r w:rsidRPr="0064026D">
        <w:rPr>
          <w:rFonts w:hint="cs"/>
          <w:rtl/>
          <w:lang w:bidi="ar-EG"/>
        </w:rPr>
        <w:t>القرار</w:t>
      </w:r>
      <w:r w:rsidR="00317993">
        <w:rPr>
          <w:rFonts w:hint="eastAsia"/>
          <w:rtl/>
          <w:lang w:bidi="ar-EG"/>
        </w:rPr>
        <w:t> </w:t>
      </w:r>
      <w:r w:rsidRPr="0064026D">
        <w:rPr>
          <w:b/>
          <w:bCs/>
          <w:lang w:val="en-GB" w:bidi="ar-EG"/>
        </w:rPr>
        <w:t>907 (Rev.WRC-15)</w:t>
      </w:r>
      <w:r w:rsidRPr="0064026D">
        <w:rPr>
          <w:rFonts w:hint="cs"/>
          <w:rtl/>
          <w:lang w:val="en-GB" w:bidi="ar-EG"/>
        </w:rPr>
        <w:t xml:space="preserve"> تسمح بإمكانية استمرار استعمال وسائل الاتصال التقليدية الأخرى.</w:t>
      </w:r>
    </w:p>
    <w:p w14:paraId="1D5D4DAE" w14:textId="659A1DF0" w:rsidR="008E7225" w:rsidRPr="0064026D" w:rsidRDefault="008E7225" w:rsidP="008E7225">
      <w:pPr>
        <w:rPr>
          <w:rtl/>
          <w:lang w:val="en-GB"/>
        </w:rPr>
      </w:pPr>
      <w:r w:rsidRPr="0064026D">
        <w:rPr>
          <w:rFonts w:hint="cs"/>
          <w:rtl/>
          <w:lang w:val="en-GB"/>
        </w:rPr>
        <w:t>وكما أشير إليه في مساهمة</w:t>
      </w:r>
      <w:r w:rsidR="00E20E19">
        <w:rPr>
          <w:rFonts w:hint="cs"/>
          <w:rtl/>
          <w:lang w:val="en-GB"/>
        </w:rPr>
        <w:t xml:space="preserve"> البرازيل</w:t>
      </w:r>
      <w:r w:rsidRPr="0064026D">
        <w:rPr>
          <w:rFonts w:hint="cs"/>
          <w:rtl/>
          <w:lang w:val="en-GB"/>
        </w:rPr>
        <w:t xml:space="preserve"> </w:t>
      </w:r>
      <w:r w:rsidRPr="0064026D">
        <w:t>RAG20/23-E</w:t>
      </w:r>
      <w:r w:rsidRPr="0064026D">
        <w:rPr>
          <w:rFonts w:hint="cs"/>
          <w:rtl/>
          <w:lang w:bidi="ar-EG"/>
        </w:rPr>
        <w:t xml:space="preserve">، </w:t>
      </w:r>
      <w:r w:rsidRPr="008E7225">
        <w:rPr>
          <w:rFonts w:hint="cs"/>
          <w:rtl/>
          <w:lang w:val="en-GB"/>
        </w:rPr>
        <w:t xml:space="preserve">قد </w:t>
      </w:r>
      <w:r w:rsidR="005E45A2">
        <w:rPr>
          <w:rFonts w:hint="cs"/>
          <w:rtl/>
          <w:lang w:val="en-GB"/>
        </w:rPr>
        <w:t>ي</w:t>
      </w:r>
      <w:r w:rsidRPr="008E7225">
        <w:rPr>
          <w:rFonts w:hint="cs"/>
          <w:rtl/>
          <w:lang w:val="en-GB"/>
        </w:rPr>
        <w:t>تسبب</w:t>
      </w:r>
      <w:r w:rsidR="005E45A2">
        <w:rPr>
          <w:rFonts w:hint="cs"/>
          <w:rtl/>
          <w:lang w:val="en-GB"/>
        </w:rPr>
        <w:t xml:space="preserve"> ذلك</w:t>
      </w:r>
      <w:r w:rsidRPr="008E7225">
        <w:rPr>
          <w:rFonts w:hint="cs"/>
          <w:rtl/>
          <w:lang w:val="en-GB"/>
        </w:rPr>
        <w:t xml:space="preserve"> أيضاً في معالجة الرسالة نفسها التي تتضمن نفس المحتوى </w:t>
      </w:r>
      <w:r w:rsidRPr="008E7225">
        <w:rPr>
          <w:rFonts w:hint="cs"/>
          <w:lang w:bidi="ar-EG"/>
        </w:rPr>
        <w:t>3</w:t>
      </w:r>
      <w:r w:rsidRPr="008E7225">
        <w:rPr>
          <w:rFonts w:hint="cs"/>
          <w:rtl/>
          <w:lang w:val="en-GB"/>
        </w:rPr>
        <w:t xml:space="preserve"> أو </w:t>
      </w:r>
      <w:r w:rsidRPr="008E7225">
        <w:rPr>
          <w:rFonts w:hint="cs"/>
          <w:lang w:bidi="ar-EG"/>
        </w:rPr>
        <w:t>4</w:t>
      </w:r>
      <w:r w:rsidRPr="008E7225">
        <w:rPr>
          <w:rFonts w:hint="cs"/>
          <w:rtl/>
          <w:lang w:val="en-GB"/>
        </w:rPr>
        <w:t xml:space="preserve"> مرات، </w:t>
      </w:r>
      <w:r w:rsidR="002E4D20">
        <w:rPr>
          <w:rFonts w:hint="cs"/>
          <w:rtl/>
          <w:lang w:val="en-GB"/>
        </w:rPr>
        <w:t>و</w:t>
      </w:r>
      <w:r w:rsidRPr="008E7225">
        <w:rPr>
          <w:rFonts w:hint="cs"/>
          <w:rtl/>
          <w:lang w:val="en-GB"/>
        </w:rPr>
        <w:t xml:space="preserve">استلام مختلف دوائر الإدارة لنسخ مختلفة </w:t>
      </w:r>
      <w:r w:rsidR="008473E0">
        <w:rPr>
          <w:rFonts w:hint="cs"/>
          <w:rtl/>
          <w:lang w:val="en-GB"/>
        </w:rPr>
        <w:t xml:space="preserve">بتواريخ </w:t>
      </w:r>
      <w:r w:rsidRPr="008E7225">
        <w:rPr>
          <w:rFonts w:hint="cs"/>
          <w:rtl/>
          <w:lang w:val="en-GB"/>
        </w:rPr>
        <w:t>مختلفة، مما يتسبب في نفقات إدارية إضافية لجميع الأطراف المعنية.</w:t>
      </w:r>
    </w:p>
    <w:p w14:paraId="7EF7607A" w14:textId="36BEE4AE" w:rsidR="00FD1761" w:rsidRDefault="00B140FC" w:rsidP="000C33EC">
      <w:pPr>
        <w:rPr>
          <w:rtl/>
          <w:lang w:bidi="ar-EG"/>
        </w:rPr>
      </w:pPr>
      <w:r w:rsidRPr="0064026D">
        <w:rPr>
          <w:rFonts w:hint="cs"/>
          <w:rtl/>
        </w:rPr>
        <w:t>وتدعو فرنسا الإدارات الأخرى إلى اختيار وسيلة اتصال واحدة، ويفضل</w:t>
      </w:r>
      <w:r w:rsidR="008473E0">
        <w:rPr>
          <w:rFonts w:hint="cs"/>
          <w:rtl/>
        </w:rPr>
        <w:t xml:space="preserve"> أن تكون</w:t>
      </w:r>
      <w:r w:rsidRPr="0064026D">
        <w:rPr>
          <w:rFonts w:hint="cs"/>
          <w:rtl/>
        </w:rPr>
        <w:t xml:space="preserve"> أداة "الاتصالات الإلكترونية"</w:t>
      </w:r>
      <w:r w:rsidR="008473E0">
        <w:rPr>
          <w:rFonts w:hint="cs"/>
          <w:rtl/>
        </w:rPr>
        <w:t>، و</w:t>
      </w:r>
      <w:r w:rsidR="0077018D">
        <w:rPr>
          <w:rFonts w:hint="cs"/>
          <w:rtl/>
        </w:rPr>
        <w:t xml:space="preserve">إلى </w:t>
      </w:r>
      <w:r w:rsidR="008473E0">
        <w:rPr>
          <w:rFonts w:hint="cs"/>
          <w:rtl/>
        </w:rPr>
        <w:t xml:space="preserve">عدم </w:t>
      </w:r>
      <w:r w:rsidR="0077018D">
        <w:rPr>
          <w:rFonts w:hint="cs"/>
          <w:rtl/>
        </w:rPr>
        <w:t>تكرار المراسلات الإدارية مرتين أو ثلاث مرات باست</w:t>
      </w:r>
      <w:r w:rsidR="00630623">
        <w:rPr>
          <w:rFonts w:hint="cs"/>
          <w:rtl/>
        </w:rPr>
        <w:t>خدام</w:t>
      </w:r>
      <w:r w:rsidR="0077018D">
        <w:rPr>
          <w:rFonts w:hint="cs"/>
          <w:rtl/>
        </w:rPr>
        <w:t xml:space="preserve"> وسائل اتصال مختلفة.</w:t>
      </w:r>
    </w:p>
    <w:p w14:paraId="3D8C13CE" w14:textId="55D03FDB" w:rsidR="000C33EC" w:rsidRDefault="000C33EC" w:rsidP="000C33EC">
      <w:pPr>
        <w:pStyle w:val="Heading1"/>
        <w:rPr>
          <w:rtl/>
        </w:rPr>
      </w:pPr>
      <w:r>
        <w:t>4</w:t>
      </w:r>
      <w:r>
        <w:tab/>
      </w:r>
      <w:r w:rsidR="00060601">
        <w:rPr>
          <w:rFonts w:hint="cs"/>
          <w:rtl/>
        </w:rPr>
        <w:t>المقترح</w:t>
      </w:r>
    </w:p>
    <w:p w14:paraId="5C76B4EF" w14:textId="032B5125" w:rsidR="000C33EC" w:rsidRDefault="00630623" w:rsidP="000C33EC">
      <w:pPr>
        <w:rPr>
          <w:rtl/>
        </w:rPr>
      </w:pPr>
      <w:r>
        <w:rPr>
          <w:rFonts w:hint="cs"/>
          <w:rtl/>
        </w:rPr>
        <w:t>تدعو فرنسا</w:t>
      </w:r>
      <w:r w:rsidR="005D053C">
        <w:rPr>
          <w:rFonts w:hint="cs"/>
          <w:rtl/>
        </w:rPr>
        <w:t>:</w:t>
      </w:r>
    </w:p>
    <w:p w14:paraId="371ED7B6" w14:textId="67D1EF10" w:rsidR="000C33EC" w:rsidRPr="0054134C" w:rsidRDefault="000C33EC" w:rsidP="002D49A5">
      <w:pPr>
        <w:pStyle w:val="enumlev1"/>
        <w:rPr>
          <w:spacing w:val="-6"/>
          <w:rtl/>
        </w:rPr>
      </w:pPr>
      <w:r w:rsidRPr="0054134C">
        <w:rPr>
          <w:spacing w:val="-6"/>
        </w:rPr>
        <w:t>1</w:t>
      </w:r>
      <w:r w:rsidRPr="0054134C">
        <w:rPr>
          <w:spacing w:val="-6"/>
        </w:rPr>
        <w:tab/>
      </w:r>
      <w:r w:rsidR="005D053C" w:rsidRPr="0054134C">
        <w:rPr>
          <w:rFonts w:hint="cs"/>
          <w:spacing w:val="-6"/>
          <w:rtl/>
        </w:rPr>
        <w:t>مكتب الاتصالات الراديوية إلى مراعاة المنظمات الحكومية الدولية للاتصالات الساتلية في نظام "الاتصالات الإلكترونية</w:t>
      </w:r>
      <w:proofErr w:type="gramStart"/>
      <w:r w:rsidR="005D053C" w:rsidRPr="0054134C">
        <w:rPr>
          <w:rFonts w:hint="cs"/>
          <w:spacing w:val="-6"/>
          <w:rtl/>
        </w:rPr>
        <w:t>"؛</w:t>
      </w:r>
      <w:proofErr w:type="gramEnd"/>
    </w:p>
    <w:p w14:paraId="3A19C686" w14:textId="55504398" w:rsidR="000C33EC" w:rsidRDefault="000C33EC" w:rsidP="002D49A5">
      <w:pPr>
        <w:pStyle w:val="enumlev1"/>
        <w:rPr>
          <w:rtl/>
        </w:rPr>
      </w:pPr>
      <w:r>
        <w:t>2</w:t>
      </w:r>
      <w:r>
        <w:tab/>
      </w:r>
      <w:r w:rsidR="0034370A">
        <w:rPr>
          <w:rFonts w:hint="cs"/>
          <w:rtl/>
        </w:rPr>
        <w:t xml:space="preserve">الإدارات </w:t>
      </w:r>
      <w:r w:rsidR="005046B7">
        <w:rPr>
          <w:rFonts w:hint="cs"/>
          <w:rtl/>
        </w:rPr>
        <w:t>المسجلة في</w:t>
      </w:r>
      <w:r w:rsidR="0034370A">
        <w:rPr>
          <w:rFonts w:hint="cs"/>
          <w:rtl/>
        </w:rPr>
        <w:t xml:space="preserve"> أداة "الاتصالات الإلكترونية" إلى استخدام وسيلة الاتصال هذه فقط</w:t>
      </w:r>
      <w:r w:rsidR="005046B7">
        <w:rPr>
          <w:rFonts w:hint="cs"/>
          <w:rtl/>
        </w:rPr>
        <w:t xml:space="preserve">، وعدم </w:t>
      </w:r>
      <w:r w:rsidR="0011596A">
        <w:rPr>
          <w:rFonts w:hint="cs"/>
          <w:rtl/>
        </w:rPr>
        <w:t xml:space="preserve">تكرار المراسلات الإدارية باستخدام وسائل أخرى مثل </w:t>
      </w:r>
      <w:r w:rsidR="001C79FE" w:rsidRPr="00415EDB">
        <w:rPr>
          <w:rFonts w:hint="cs"/>
          <w:i/>
          <w:iCs/>
          <w:rtl/>
        </w:rPr>
        <w:t xml:space="preserve">"رسائل </w:t>
      </w:r>
      <w:r w:rsidR="0011596A" w:rsidRPr="00415EDB">
        <w:rPr>
          <w:rFonts w:hint="cs"/>
          <w:i/>
          <w:iCs/>
          <w:rtl/>
        </w:rPr>
        <w:t>الفاكس</w:t>
      </w:r>
      <w:r w:rsidR="001C79FE" w:rsidRPr="00415EDB">
        <w:rPr>
          <w:rFonts w:hint="cs"/>
          <w:i/>
          <w:iCs/>
          <w:rtl/>
        </w:rPr>
        <w:t>"</w:t>
      </w:r>
      <w:r w:rsidR="0011596A">
        <w:rPr>
          <w:rFonts w:hint="cs"/>
          <w:rtl/>
        </w:rPr>
        <w:t xml:space="preserve"> أو </w:t>
      </w:r>
      <w:r w:rsidR="001C79FE" w:rsidRPr="00415EDB">
        <w:rPr>
          <w:rFonts w:hint="cs"/>
          <w:i/>
          <w:iCs/>
          <w:rtl/>
        </w:rPr>
        <w:t>"رسائل البريد العادي"</w:t>
      </w:r>
      <w:r w:rsidR="0011596A">
        <w:rPr>
          <w:rFonts w:hint="cs"/>
          <w:rtl/>
        </w:rPr>
        <w:t xml:space="preserve"> أو </w:t>
      </w:r>
      <w:r w:rsidR="00415EDB" w:rsidRPr="00415EDB">
        <w:rPr>
          <w:rFonts w:hint="cs"/>
          <w:i/>
          <w:iCs/>
          <w:rtl/>
        </w:rPr>
        <w:t xml:space="preserve">"رسائل </w:t>
      </w:r>
      <w:r w:rsidR="0011596A" w:rsidRPr="00415EDB">
        <w:rPr>
          <w:rFonts w:hint="cs"/>
          <w:i/>
          <w:iCs/>
          <w:rtl/>
        </w:rPr>
        <w:t>البريد الإلكتروني</w:t>
      </w:r>
      <w:r w:rsidR="00415EDB" w:rsidRPr="00415EDB">
        <w:rPr>
          <w:rFonts w:hint="cs"/>
          <w:i/>
          <w:iCs/>
          <w:rtl/>
        </w:rPr>
        <w:t>"</w:t>
      </w:r>
      <w:r>
        <w:rPr>
          <w:rFonts w:hint="cs"/>
          <w:rtl/>
        </w:rPr>
        <w:t>.</w:t>
      </w:r>
    </w:p>
    <w:p w14:paraId="3FF8184C"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69AA" w14:textId="77777777" w:rsidR="00BC2B2C" w:rsidRDefault="00BC2B2C" w:rsidP="002919E1">
      <w:r>
        <w:separator/>
      </w:r>
    </w:p>
    <w:p w14:paraId="7291784B" w14:textId="77777777" w:rsidR="00BC2B2C" w:rsidRDefault="00BC2B2C" w:rsidP="002919E1"/>
    <w:p w14:paraId="51C0D7C5" w14:textId="77777777" w:rsidR="00BC2B2C" w:rsidRDefault="00BC2B2C" w:rsidP="002919E1"/>
    <w:p w14:paraId="6E228A96" w14:textId="77777777" w:rsidR="00BC2B2C" w:rsidRDefault="00BC2B2C"/>
  </w:endnote>
  <w:endnote w:type="continuationSeparator" w:id="0">
    <w:p w14:paraId="2A46C911" w14:textId="77777777" w:rsidR="00BC2B2C" w:rsidRDefault="00BC2B2C" w:rsidP="002919E1">
      <w:r>
        <w:continuationSeparator/>
      </w:r>
    </w:p>
    <w:p w14:paraId="789C4B2B" w14:textId="77777777" w:rsidR="00BC2B2C" w:rsidRDefault="00BC2B2C" w:rsidP="002919E1"/>
    <w:p w14:paraId="1EFCA117" w14:textId="77777777" w:rsidR="00BC2B2C" w:rsidRDefault="00BC2B2C" w:rsidP="002919E1"/>
    <w:p w14:paraId="5CBCBB8E" w14:textId="77777777" w:rsidR="00BC2B2C" w:rsidRDefault="00BC2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2D90" w14:textId="77777777" w:rsidR="00BC2B2C" w:rsidRDefault="00BC2B2C" w:rsidP="002919E1">
      <w:r>
        <w:t>___________________</w:t>
      </w:r>
    </w:p>
  </w:footnote>
  <w:footnote w:type="continuationSeparator" w:id="0">
    <w:p w14:paraId="375C1601" w14:textId="77777777" w:rsidR="00BC2B2C" w:rsidRDefault="00BC2B2C" w:rsidP="002919E1">
      <w:r>
        <w:continuationSeparator/>
      </w:r>
    </w:p>
    <w:p w14:paraId="62C4FC7A" w14:textId="77777777" w:rsidR="00BC2B2C" w:rsidRDefault="00BC2B2C" w:rsidP="002919E1"/>
    <w:p w14:paraId="3A16C58A" w14:textId="77777777" w:rsidR="00BC2B2C" w:rsidRDefault="00BC2B2C" w:rsidP="002919E1"/>
    <w:p w14:paraId="16A50438" w14:textId="77777777" w:rsidR="00BC2B2C" w:rsidRDefault="00BC2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2708" w14:textId="77777777" w:rsidR="00281F5F" w:rsidRDefault="00281F5F" w:rsidP="002919E1"/>
  <w:p w14:paraId="770134AC" w14:textId="77777777" w:rsidR="00281F5F" w:rsidRDefault="00281F5F" w:rsidP="002919E1"/>
  <w:p w14:paraId="044E915D"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791E2" w14:textId="2E7A399F"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060601">
      <w:rPr>
        <w:rStyle w:val="PageNumber"/>
      </w:rPr>
      <w:t>53</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1245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ADA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7891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5C14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EE45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38595886">
    <w:abstractNumId w:val="9"/>
  </w:num>
  <w:num w:numId="2" w16cid:durableId="2095783687">
    <w:abstractNumId w:val="11"/>
  </w:num>
  <w:num w:numId="3" w16cid:durableId="1620381231">
    <w:abstractNumId w:val="10"/>
  </w:num>
  <w:num w:numId="4" w16cid:durableId="1852837762">
    <w:abstractNumId w:val="12"/>
  </w:num>
  <w:num w:numId="5" w16cid:durableId="1008992417">
    <w:abstractNumId w:val="7"/>
  </w:num>
  <w:num w:numId="6" w16cid:durableId="616957037">
    <w:abstractNumId w:val="6"/>
  </w:num>
  <w:num w:numId="7" w16cid:durableId="1677002176">
    <w:abstractNumId w:val="5"/>
  </w:num>
  <w:num w:numId="8" w16cid:durableId="1649554397">
    <w:abstractNumId w:val="4"/>
  </w:num>
  <w:num w:numId="9" w16cid:durableId="1184519155">
    <w:abstractNumId w:val="8"/>
  </w:num>
  <w:num w:numId="10" w16cid:durableId="2015692078">
    <w:abstractNumId w:val="3"/>
  </w:num>
  <w:num w:numId="11" w16cid:durableId="2118678306">
    <w:abstractNumId w:val="2"/>
  </w:num>
  <w:num w:numId="12" w16cid:durableId="399862858">
    <w:abstractNumId w:val="1"/>
  </w:num>
  <w:num w:numId="13" w16cid:durableId="820465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2C"/>
    <w:rsid w:val="00011021"/>
    <w:rsid w:val="000114EC"/>
    <w:rsid w:val="00011F8C"/>
    <w:rsid w:val="00022B74"/>
    <w:rsid w:val="0002327C"/>
    <w:rsid w:val="00034B65"/>
    <w:rsid w:val="00040C94"/>
    <w:rsid w:val="000425FC"/>
    <w:rsid w:val="00044D43"/>
    <w:rsid w:val="00051907"/>
    <w:rsid w:val="00060601"/>
    <w:rsid w:val="00075A3F"/>
    <w:rsid w:val="000A1B16"/>
    <w:rsid w:val="000B3896"/>
    <w:rsid w:val="000B5404"/>
    <w:rsid w:val="000C33EC"/>
    <w:rsid w:val="000D1708"/>
    <w:rsid w:val="000D3A81"/>
    <w:rsid w:val="000E2AFC"/>
    <w:rsid w:val="000E6D30"/>
    <w:rsid w:val="000F05F5"/>
    <w:rsid w:val="000F518F"/>
    <w:rsid w:val="0010081C"/>
    <w:rsid w:val="001013E3"/>
    <w:rsid w:val="0010363F"/>
    <w:rsid w:val="0011596A"/>
    <w:rsid w:val="00123AA6"/>
    <w:rsid w:val="0012545F"/>
    <w:rsid w:val="001258D4"/>
    <w:rsid w:val="00130C81"/>
    <w:rsid w:val="00136B82"/>
    <w:rsid w:val="001464F2"/>
    <w:rsid w:val="00167364"/>
    <w:rsid w:val="001773CF"/>
    <w:rsid w:val="001903B2"/>
    <w:rsid w:val="001B5953"/>
    <w:rsid w:val="001C159F"/>
    <w:rsid w:val="001C79FE"/>
    <w:rsid w:val="001D746E"/>
    <w:rsid w:val="001E190C"/>
    <w:rsid w:val="001E51EE"/>
    <w:rsid w:val="001E54F6"/>
    <w:rsid w:val="001E5A8C"/>
    <w:rsid w:val="001F7AFD"/>
    <w:rsid w:val="00201A0A"/>
    <w:rsid w:val="002075D4"/>
    <w:rsid w:val="00211B2A"/>
    <w:rsid w:val="00223C6C"/>
    <w:rsid w:val="002333A0"/>
    <w:rsid w:val="002543CF"/>
    <w:rsid w:val="00256A5C"/>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B7470"/>
    <w:rsid w:val="002D49A5"/>
    <w:rsid w:val="002D5F64"/>
    <w:rsid w:val="002D6BB4"/>
    <w:rsid w:val="002D6FBF"/>
    <w:rsid w:val="002E3135"/>
    <w:rsid w:val="002E48BF"/>
    <w:rsid w:val="002E4D20"/>
    <w:rsid w:val="002E61C2"/>
    <w:rsid w:val="002F0D5F"/>
    <w:rsid w:val="002F3031"/>
    <w:rsid w:val="002F3E46"/>
    <w:rsid w:val="0030601A"/>
    <w:rsid w:val="00311E3F"/>
    <w:rsid w:val="00313593"/>
    <w:rsid w:val="00314B1E"/>
    <w:rsid w:val="00317993"/>
    <w:rsid w:val="0033737F"/>
    <w:rsid w:val="0034370A"/>
    <w:rsid w:val="00353652"/>
    <w:rsid w:val="003569E1"/>
    <w:rsid w:val="00375188"/>
    <w:rsid w:val="003815E2"/>
    <w:rsid w:val="00381FAD"/>
    <w:rsid w:val="00382A66"/>
    <w:rsid w:val="00390A0A"/>
    <w:rsid w:val="003923B1"/>
    <w:rsid w:val="0039465C"/>
    <w:rsid w:val="003965FE"/>
    <w:rsid w:val="003A1C50"/>
    <w:rsid w:val="003A70BA"/>
    <w:rsid w:val="003B27AD"/>
    <w:rsid w:val="003B4F23"/>
    <w:rsid w:val="003C12F6"/>
    <w:rsid w:val="003C3A13"/>
    <w:rsid w:val="003E02EF"/>
    <w:rsid w:val="003E1D90"/>
    <w:rsid w:val="003F400F"/>
    <w:rsid w:val="00400CD4"/>
    <w:rsid w:val="004147B9"/>
    <w:rsid w:val="00415741"/>
    <w:rsid w:val="00415EDB"/>
    <w:rsid w:val="00417E94"/>
    <w:rsid w:val="00422C04"/>
    <w:rsid w:val="00423A40"/>
    <w:rsid w:val="00426144"/>
    <w:rsid w:val="00461132"/>
    <w:rsid w:val="004636E2"/>
    <w:rsid w:val="00464B03"/>
    <w:rsid w:val="00470CBD"/>
    <w:rsid w:val="0047407D"/>
    <w:rsid w:val="00480D20"/>
    <w:rsid w:val="004909DD"/>
    <w:rsid w:val="00495F42"/>
    <w:rsid w:val="00497E27"/>
    <w:rsid w:val="004A05E6"/>
    <w:rsid w:val="004A2B66"/>
    <w:rsid w:val="004A6230"/>
    <w:rsid w:val="004A6C66"/>
    <w:rsid w:val="004A6C9D"/>
    <w:rsid w:val="004A7AA0"/>
    <w:rsid w:val="004C11BC"/>
    <w:rsid w:val="004C5C04"/>
    <w:rsid w:val="004D0448"/>
    <w:rsid w:val="004D4AE6"/>
    <w:rsid w:val="004F0BED"/>
    <w:rsid w:val="004F1DE3"/>
    <w:rsid w:val="005046B7"/>
    <w:rsid w:val="00505FCA"/>
    <w:rsid w:val="00510C2D"/>
    <w:rsid w:val="005114D5"/>
    <w:rsid w:val="00516042"/>
    <w:rsid w:val="005166A4"/>
    <w:rsid w:val="005169F4"/>
    <w:rsid w:val="005210D1"/>
    <w:rsid w:val="00523146"/>
    <w:rsid w:val="00523275"/>
    <w:rsid w:val="00530D2E"/>
    <w:rsid w:val="00531611"/>
    <w:rsid w:val="00531DC7"/>
    <w:rsid w:val="005350B0"/>
    <w:rsid w:val="0054134C"/>
    <w:rsid w:val="005431B5"/>
    <w:rsid w:val="00543A67"/>
    <w:rsid w:val="00546A99"/>
    <w:rsid w:val="00553411"/>
    <w:rsid w:val="00553F66"/>
    <w:rsid w:val="00554AE7"/>
    <w:rsid w:val="00564746"/>
    <w:rsid w:val="0056512C"/>
    <w:rsid w:val="00567F38"/>
    <w:rsid w:val="00570919"/>
    <w:rsid w:val="005730DF"/>
    <w:rsid w:val="0057610B"/>
    <w:rsid w:val="00576D0A"/>
    <w:rsid w:val="00576FCC"/>
    <w:rsid w:val="00584333"/>
    <w:rsid w:val="005953EC"/>
    <w:rsid w:val="005B00A1"/>
    <w:rsid w:val="005C29C8"/>
    <w:rsid w:val="005C5D25"/>
    <w:rsid w:val="005D053C"/>
    <w:rsid w:val="005D2606"/>
    <w:rsid w:val="005D6D48"/>
    <w:rsid w:val="005D72A4"/>
    <w:rsid w:val="005E45A2"/>
    <w:rsid w:val="005F05CC"/>
    <w:rsid w:val="005F3F89"/>
    <w:rsid w:val="005F65DE"/>
    <w:rsid w:val="00605202"/>
    <w:rsid w:val="00613492"/>
    <w:rsid w:val="00630623"/>
    <w:rsid w:val="00630905"/>
    <w:rsid w:val="006315B5"/>
    <w:rsid w:val="0064026D"/>
    <w:rsid w:val="00650D00"/>
    <w:rsid w:val="0065562F"/>
    <w:rsid w:val="006577C0"/>
    <w:rsid w:val="006779A4"/>
    <w:rsid w:val="00680A66"/>
    <w:rsid w:val="00681391"/>
    <w:rsid w:val="00694690"/>
    <w:rsid w:val="0069526C"/>
    <w:rsid w:val="006A093D"/>
    <w:rsid w:val="006A12AC"/>
    <w:rsid w:val="006A2162"/>
    <w:rsid w:val="006B4B90"/>
    <w:rsid w:val="006B658C"/>
    <w:rsid w:val="006C389D"/>
    <w:rsid w:val="006D2674"/>
    <w:rsid w:val="006E38D0"/>
    <w:rsid w:val="006E465B"/>
    <w:rsid w:val="006F39F5"/>
    <w:rsid w:val="006F70BF"/>
    <w:rsid w:val="00714A2B"/>
    <w:rsid w:val="00716B1D"/>
    <w:rsid w:val="007248EC"/>
    <w:rsid w:val="00726744"/>
    <w:rsid w:val="00731150"/>
    <w:rsid w:val="00734E41"/>
    <w:rsid w:val="007351CE"/>
    <w:rsid w:val="00736DCC"/>
    <w:rsid w:val="00741855"/>
    <w:rsid w:val="00742B73"/>
    <w:rsid w:val="00751251"/>
    <w:rsid w:val="007610E7"/>
    <w:rsid w:val="00764079"/>
    <w:rsid w:val="0077018D"/>
    <w:rsid w:val="00770AA0"/>
    <w:rsid w:val="00771F7E"/>
    <w:rsid w:val="00773E9C"/>
    <w:rsid w:val="00776F6B"/>
    <w:rsid w:val="00777694"/>
    <w:rsid w:val="00786A7E"/>
    <w:rsid w:val="007A0802"/>
    <w:rsid w:val="007B1FCA"/>
    <w:rsid w:val="007C2C12"/>
    <w:rsid w:val="007C3CFA"/>
    <w:rsid w:val="007E0E8B"/>
    <w:rsid w:val="007E2CC6"/>
    <w:rsid w:val="007E6847"/>
    <w:rsid w:val="007E6B0A"/>
    <w:rsid w:val="007F08CA"/>
    <w:rsid w:val="007F5C24"/>
    <w:rsid w:val="007F7FC3"/>
    <w:rsid w:val="00801238"/>
    <w:rsid w:val="0080763D"/>
    <w:rsid w:val="00810482"/>
    <w:rsid w:val="00817568"/>
    <w:rsid w:val="008204AC"/>
    <w:rsid w:val="008261C2"/>
    <w:rsid w:val="00827482"/>
    <w:rsid w:val="00830D96"/>
    <w:rsid w:val="00831AE7"/>
    <w:rsid w:val="008473E0"/>
    <w:rsid w:val="00851D48"/>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E7225"/>
    <w:rsid w:val="008F00FF"/>
    <w:rsid w:val="008F4626"/>
    <w:rsid w:val="009004DF"/>
    <w:rsid w:val="00904AA5"/>
    <w:rsid w:val="00951718"/>
    <w:rsid w:val="00960962"/>
    <w:rsid w:val="00972CE0"/>
    <w:rsid w:val="00987E94"/>
    <w:rsid w:val="00990D85"/>
    <w:rsid w:val="009A3D30"/>
    <w:rsid w:val="009D6348"/>
    <w:rsid w:val="009E0AA3"/>
    <w:rsid w:val="009E5007"/>
    <w:rsid w:val="009E613F"/>
    <w:rsid w:val="009F042B"/>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270F"/>
    <w:rsid w:val="00AD690F"/>
    <w:rsid w:val="00AD6932"/>
    <w:rsid w:val="00AD69DD"/>
    <w:rsid w:val="00AE6B26"/>
    <w:rsid w:val="00AF22C1"/>
    <w:rsid w:val="00AF3EFA"/>
    <w:rsid w:val="00AF41D1"/>
    <w:rsid w:val="00AF4CC4"/>
    <w:rsid w:val="00B01623"/>
    <w:rsid w:val="00B033DF"/>
    <w:rsid w:val="00B039AD"/>
    <w:rsid w:val="00B07CEE"/>
    <w:rsid w:val="00B12661"/>
    <w:rsid w:val="00B140FC"/>
    <w:rsid w:val="00B155A8"/>
    <w:rsid w:val="00B16045"/>
    <w:rsid w:val="00B1667D"/>
    <w:rsid w:val="00B1714C"/>
    <w:rsid w:val="00B357E9"/>
    <w:rsid w:val="00B4164D"/>
    <w:rsid w:val="00B425C1"/>
    <w:rsid w:val="00B606BA"/>
    <w:rsid w:val="00B66817"/>
    <w:rsid w:val="00B6774F"/>
    <w:rsid w:val="00B71E3B"/>
    <w:rsid w:val="00B721D5"/>
    <w:rsid w:val="00B81CB5"/>
    <w:rsid w:val="00B8351F"/>
    <w:rsid w:val="00B86C44"/>
    <w:rsid w:val="00B9727C"/>
    <w:rsid w:val="00BA7D44"/>
    <w:rsid w:val="00BB1282"/>
    <w:rsid w:val="00BC29CA"/>
    <w:rsid w:val="00BC2B2C"/>
    <w:rsid w:val="00BD6291"/>
    <w:rsid w:val="00BD6EF3"/>
    <w:rsid w:val="00BE69C3"/>
    <w:rsid w:val="00C1165E"/>
    <w:rsid w:val="00C22074"/>
    <w:rsid w:val="00C2377B"/>
    <w:rsid w:val="00C34E09"/>
    <w:rsid w:val="00C3693C"/>
    <w:rsid w:val="00C449F7"/>
    <w:rsid w:val="00C53F6F"/>
    <w:rsid w:val="00C5489D"/>
    <w:rsid w:val="00C60E86"/>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D1CC4"/>
    <w:rsid w:val="00CE0E68"/>
    <w:rsid w:val="00CE5BA4"/>
    <w:rsid w:val="00D24293"/>
    <w:rsid w:val="00D25120"/>
    <w:rsid w:val="00D419CB"/>
    <w:rsid w:val="00D44350"/>
    <w:rsid w:val="00D44E3F"/>
    <w:rsid w:val="00D51BB8"/>
    <w:rsid w:val="00D525F5"/>
    <w:rsid w:val="00D535D0"/>
    <w:rsid w:val="00D577D8"/>
    <w:rsid w:val="00D62290"/>
    <w:rsid w:val="00D62C78"/>
    <w:rsid w:val="00D81703"/>
    <w:rsid w:val="00D82929"/>
    <w:rsid w:val="00D84214"/>
    <w:rsid w:val="00D943E5"/>
    <w:rsid w:val="00DA0E1E"/>
    <w:rsid w:val="00DA1AE0"/>
    <w:rsid w:val="00DB0929"/>
    <w:rsid w:val="00DC29DD"/>
    <w:rsid w:val="00DC7C0E"/>
    <w:rsid w:val="00DE7387"/>
    <w:rsid w:val="00DF2A6A"/>
    <w:rsid w:val="00DF3B72"/>
    <w:rsid w:val="00DF539D"/>
    <w:rsid w:val="00E0332C"/>
    <w:rsid w:val="00E10821"/>
    <w:rsid w:val="00E11FB5"/>
    <w:rsid w:val="00E20E19"/>
    <w:rsid w:val="00E2489D"/>
    <w:rsid w:val="00E26520"/>
    <w:rsid w:val="00E26732"/>
    <w:rsid w:val="00E3120E"/>
    <w:rsid w:val="00E343A3"/>
    <w:rsid w:val="00E47277"/>
    <w:rsid w:val="00E51BFA"/>
    <w:rsid w:val="00E621A3"/>
    <w:rsid w:val="00E833BC"/>
    <w:rsid w:val="00E8580E"/>
    <w:rsid w:val="00E97E21"/>
    <w:rsid w:val="00EA1B76"/>
    <w:rsid w:val="00EA77D7"/>
    <w:rsid w:val="00EC09B9"/>
    <w:rsid w:val="00EC0E74"/>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1E6E"/>
    <w:rsid w:val="00F92C96"/>
    <w:rsid w:val="00F97D1C"/>
    <w:rsid w:val="00FA0D4E"/>
    <w:rsid w:val="00FA74A2"/>
    <w:rsid w:val="00FB0753"/>
    <w:rsid w:val="00FB5CC8"/>
    <w:rsid w:val="00FC2CD0"/>
    <w:rsid w:val="00FD0594"/>
    <w:rsid w:val="00FD1761"/>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16594"/>
  <w15:docId w15:val="{CF76ACC4-C460-429D-BE22-4D539290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aliases w:val="Appel note de bas de p,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FC4C3-DC4A-4907-A9BB-98121FAC99D6}">
  <ds:schemaRefs>
    <ds:schemaRef ds:uri="http://purl.org/dc/elements/1.1/"/>
    <ds:schemaRef ds:uri="http://schemas.microsoft.com/office/infopath/2007/PartnerControls"/>
    <ds:schemaRef ds:uri="996b2e75-67fd-4955-a3b0-5ab9934cb50b"/>
    <ds:schemaRef ds:uri="32a1a8c5-2265-4ebc-b7a0-2071e2c5c9bb"/>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683</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Alnatoor, Ehsan</dc:creator>
  <cp:keywords>WRC-12</cp:keywords>
  <cp:lastModifiedBy>BR</cp:lastModifiedBy>
  <cp:revision>11</cp:revision>
  <cp:lastPrinted>2019-06-26T10:10:00Z</cp:lastPrinted>
  <dcterms:created xsi:type="dcterms:W3CDTF">2022-04-05T12:25:00Z</dcterms:created>
  <dcterms:modified xsi:type="dcterms:W3CDTF">2022-04-05T14:58:00Z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