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61DB63A8" w14:textId="77777777" w:rsidTr="00B27BCB">
        <w:trPr>
          <w:cantSplit/>
        </w:trPr>
        <w:tc>
          <w:tcPr>
            <w:tcW w:w="6772" w:type="dxa"/>
            <w:vAlign w:val="center"/>
          </w:tcPr>
          <w:p w14:paraId="30D1A273"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7551E56C" w14:textId="77777777" w:rsidR="0057336B" w:rsidRDefault="00AB4BAD" w:rsidP="00A7663C">
            <w:pPr>
              <w:shd w:val="solid" w:color="FFFFFF" w:fill="FFFFFF"/>
              <w:spacing w:before="0"/>
            </w:pPr>
            <w:r w:rsidRPr="00C126C1">
              <w:rPr>
                <w:noProof/>
                <w:lang w:val="en-US" w:eastAsia="zh-CN"/>
              </w:rPr>
              <w:drawing>
                <wp:inline distT="0" distB="0" distL="0" distR="0" wp14:anchorId="60936036" wp14:editId="10DEF22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497BEA4A" w14:textId="77777777" w:rsidTr="00B27BCB">
        <w:trPr>
          <w:cantSplit/>
        </w:trPr>
        <w:tc>
          <w:tcPr>
            <w:tcW w:w="6772" w:type="dxa"/>
            <w:tcBorders>
              <w:bottom w:val="single" w:sz="12" w:space="0" w:color="auto"/>
            </w:tcBorders>
          </w:tcPr>
          <w:p w14:paraId="388B14F3"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4AAF7DDA"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10133FA4" w14:textId="77777777" w:rsidTr="00B27BCB">
        <w:trPr>
          <w:cantSplit/>
        </w:trPr>
        <w:tc>
          <w:tcPr>
            <w:tcW w:w="6772" w:type="dxa"/>
            <w:tcBorders>
              <w:top w:val="single" w:sz="12" w:space="0" w:color="auto"/>
            </w:tcBorders>
          </w:tcPr>
          <w:p w14:paraId="31D7E769"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42D56868"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B27BCB" w:rsidRPr="002A127E" w14:paraId="56F40F67" w14:textId="77777777" w:rsidTr="00B27BCB">
        <w:trPr>
          <w:cantSplit/>
        </w:trPr>
        <w:tc>
          <w:tcPr>
            <w:tcW w:w="6772" w:type="dxa"/>
            <w:vMerge w:val="restart"/>
          </w:tcPr>
          <w:p w14:paraId="4D7D3298" w14:textId="77777777" w:rsidR="00B27BCB" w:rsidRDefault="00B27BCB" w:rsidP="00B27BCB">
            <w:pPr>
              <w:shd w:val="solid" w:color="FFFFFF" w:fill="FFFFFF"/>
              <w:spacing w:after="240"/>
              <w:rPr>
                <w:sz w:val="20"/>
              </w:rPr>
            </w:pPr>
            <w:bookmarkStart w:id="0" w:name="dnum" w:colFirst="1" w:colLast="1"/>
          </w:p>
        </w:tc>
        <w:tc>
          <w:tcPr>
            <w:tcW w:w="3117" w:type="dxa"/>
          </w:tcPr>
          <w:p w14:paraId="6C252C03" w14:textId="77777777" w:rsidR="00B27BCB" w:rsidRDefault="00B27BCB" w:rsidP="00B27BCB">
            <w:pPr>
              <w:shd w:val="solid" w:color="FFFFFF" w:fill="FFFFFF"/>
              <w:spacing w:before="0" w:line="240" w:lineRule="atLeast"/>
              <w:rPr>
                <w:rFonts w:ascii="Verdana" w:hAnsi="Verdana"/>
                <w:b/>
                <w:sz w:val="20"/>
              </w:rPr>
            </w:pPr>
            <w:r>
              <w:rPr>
                <w:rFonts w:ascii="Verdana" w:hAnsi="Verdana"/>
                <w:b/>
                <w:sz w:val="20"/>
              </w:rPr>
              <w:t xml:space="preserve">Revisión 1 al </w:t>
            </w:r>
          </w:p>
          <w:p w14:paraId="570ADE03" w14:textId="6916560A" w:rsidR="00B27BCB" w:rsidRPr="00786266" w:rsidRDefault="00B27BCB" w:rsidP="00B27BCB">
            <w:pPr>
              <w:shd w:val="solid" w:color="FFFFFF" w:fill="FFFFFF"/>
              <w:spacing w:before="0" w:line="240" w:lineRule="atLeast"/>
              <w:rPr>
                <w:rFonts w:ascii="Verdana" w:hAnsi="Verdana"/>
                <w:sz w:val="20"/>
              </w:rPr>
            </w:pPr>
            <w:r>
              <w:rPr>
                <w:rFonts w:ascii="Verdana" w:hAnsi="Verdana"/>
                <w:b/>
                <w:sz w:val="20"/>
              </w:rPr>
              <w:t>Documento RAG/44-S</w:t>
            </w:r>
          </w:p>
        </w:tc>
      </w:tr>
      <w:tr w:rsidR="00B27BCB" w:rsidRPr="002A127E" w14:paraId="662BF75F" w14:textId="77777777" w:rsidTr="00B27BCB">
        <w:trPr>
          <w:cantSplit/>
        </w:trPr>
        <w:tc>
          <w:tcPr>
            <w:tcW w:w="6772" w:type="dxa"/>
            <w:vMerge/>
          </w:tcPr>
          <w:p w14:paraId="6BFFB4FD" w14:textId="77777777" w:rsidR="00B27BCB" w:rsidRDefault="00B27BCB" w:rsidP="00B27BCB">
            <w:pPr>
              <w:spacing w:before="60"/>
              <w:jc w:val="center"/>
              <w:rPr>
                <w:b/>
                <w:smallCaps/>
                <w:sz w:val="32"/>
              </w:rPr>
            </w:pPr>
            <w:bookmarkStart w:id="1" w:name="ddate" w:colFirst="1" w:colLast="1"/>
            <w:bookmarkEnd w:id="0"/>
          </w:p>
        </w:tc>
        <w:tc>
          <w:tcPr>
            <w:tcW w:w="3117" w:type="dxa"/>
          </w:tcPr>
          <w:p w14:paraId="4BCF2E31" w14:textId="30A6A9A0" w:rsidR="00B27BCB" w:rsidRPr="00786266" w:rsidRDefault="00B27BCB" w:rsidP="00B27BCB">
            <w:pPr>
              <w:shd w:val="solid" w:color="FFFFFF" w:fill="FFFFFF"/>
              <w:spacing w:before="0" w:line="240" w:lineRule="atLeast"/>
              <w:rPr>
                <w:rFonts w:ascii="Verdana" w:hAnsi="Verdana"/>
                <w:sz w:val="20"/>
              </w:rPr>
            </w:pPr>
            <w:r>
              <w:rPr>
                <w:rFonts w:ascii="Verdana" w:hAnsi="Verdana"/>
                <w:b/>
                <w:sz w:val="20"/>
              </w:rPr>
              <w:t>22 de marzo de 2022</w:t>
            </w:r>
          </w:p>
        </w:tc>
      </w:tr>
      <w:tr w:rsidR="00B27BCB" w:rsidRPr="002A127E" w14:paraId="72C6AC62" w14:textId="77777777" w:rsidTr="00B27BCB">
        <w:trPr>
          <w:cantSplit/>
        </w:trPr>
        <w:tc>
          <w:tcPr>
            <w:tcW w:w="6772" w:type="dxa"/>
            <w:vMerge/>
          </w:tcPr>
          <w:p w14:paraId="3FBDF518" w14:textId="77777777" w:rsidR="00B27BCB" w:rsidRDefault="00B27BCB" w:rsidP="00B27BCB">
            <w:pPr>
              <w:spacing w:before="60"/>
              <w:jc w:val="center"/>
              <w:rPr>
                <w:b/>
                <w:smallCaps/>
                <w:sz w:val="32"/>
              </w:rPr>
            </w:pPr>
            <w:bookmarkStart w:id="2" w:name="dorlang" w:colFirst="1" w:colLast="1"/>
            <w:bookmarkEnd w:id="1"/>
          </w:p>
        </w:tc>
        <w:tc>
          <w:tcPr>
            <w:tcW w:w="3117" w:type="dxa"/>
          </w:tcPr>
          <w:p w14:paraId="75705DAD" w14:textId="7FEFD5AD" w:rsidR="00B27BCB" w:rsidRPr="00786266" w:rsidRDefault="00B27BCB" w:rsidP="00B27BCB">
            <w:pPr>
              <w:shd w:val="solid" w:color="FFFFFF" w:fill="FFFFFF"/>
              <w:spacing w:before="0" w:after="120" w:line="240" w:lineRule="atLeast"/>
              <w:rPr>
                <w:rFonts w:ascii="Verdana" w:hAnsi="Verdana"/>
                <w:sz w:val="20"/>
              </w:rPr>
            </w:pPr>
            <w:r>
              <w:rPr>
                <w:rFonts w:ascii="Verdana" w:hAnsi="Verdana"/>
                <w:b/>
                <w:sz w:val="20"/>
              </w:rPr>
              <w:t>Original: inglés</w:t>
            </w:r>
          </w:p>
        </w:tc>
      </w:tr>
      <w:tr w:rsidR="00B27BCB" w14:paraId="2B7E7A01" w14:textId="77777777" w:rsidTr="008F0106">
        <w:trPr>
          <w:cantSplit/>
        </w:trPr>
        <w:tc>
          <w:tcPr>
            <w:tcW w:w="9889" w:type="dxa"/>
            <w:gridSpan w:val="2"/>
          </w:tcPr>
          <w:p w14:paraId="4AD0133A" w14:textId="30187447" w:rsidR="00B27BCB" w:rsidRDefault="00B27BCB" w:rsidP="00B27BCB">
            <w:pPr>
              <w:pStyle w:val="Source"/>
            </w:pPr>
            <w:bookmarkStart w:id="3" w:name="dsource" w:colFirst="0" w:colLast="0"/>
            <w:bookmarkEnd w:id="2"/>
            <w:r>
              <w:t>Director de la Oficina de Radiocomunicaciones</w:t>
            </w:r>
          </w:p>
        </w:tc>
      </w:tr>
      <w:tr w:rsidR="00B27BCB" w14:paraId="65C0AE01" w14:textId="77777777" w:rsidTr="008F0106">
        <w:trPr>
          <w:cantSplit/>
        </w:trPr>
        <w:tc>
          <w:tcPr>
            <w:tcW w:w="9889" w:type="dxa"/>
            <w:gridSpan w:val="2"/>
          </w:tcPr>
          <w:p w14:paraId="2E1B3B5A" w14:textId="00435F0A" w:rsidR="00B27BCB" w:rsidRDefault="00B27BCB" w:rsidP="00B27BCB">
            <w:pPr>
              <w:pStyle w:val="Title1"/>
            </w:pPr>
            <w:bookmarkStart w:id="4" w:name="dtitle1" w:colFirst="0" w:colLast="0"/>
            <w:bookmarkEnd w:id="3"/>
            <w:r>
              <w:t>INFORME A LA VIGÉSIMA NOVENA REUNIÓN DEL</w:t>
            </w:r>
            <w:r>
              <w:br/>
              <w:t>GRUPO ASESOR</w:t>
            </w:r>
            <w:r w:rsidR="00CF5394">
              <w:t xml:space="preserve"> </w:t>
            </w:r>
            <w:r>
              <w:t>DE RADIOCOMUNICACIONES</w:t>
            </w:r>
          </w:p>
        </w:tc>
      </w:tr>
      <w:tr w:rsidR="0060268B" w14:paraId="359EA658" w14:textId="77777777" w:rsidTr="008F0106">
        <w:trPr>
          <w:cantSplit/>
        </w:trPr>
        <w:tc>
          <w:tcPr>
            <w:tcW w:w="9889" w:type="dxa"/>
            <w:gridSpan w:val="2"/>
          </w:tcPr>
          <w:p w14:paraId="6EFB3149" w14:textId="77777777" w:rsidR="0060268B" w:rsidRDefault="0060268B" w:rsidP="00B27BCB">
            <w:pPr>
              <w:pStyle w:val="Title1"/>
            </w:pPr>
          </w:p>
        </w:tc>
      </w:tr>
    </w:tbl>
    <w:p w14:paraId="1E3FE3C9" w14:textId="77777777" w:rsidR="00B27BCB" w:rsidRPr="00442D58" w:rsidRDefault="00B27BCB" w:rsidP="00B27BCB">
      <w:pPr>
        <w:pStyle w:val="Heading1"/>
      </w:pPr>
      <w:bookmarkStart w:id="5" w:name="_Toc446060751"/>
      <w:bookmarkEnd w:id="4"/>
      <w:r w:rsidRPr="00442D58">
        <w:t>1</w:t>
      </w:r>
      <w:r w:rsidRPr="00442D58">
        <w:tab/>
      </w:r>
      <w:bookmarkEnd w:id="5"/>
      <w:r w:rsidRPr="00442D58">
        <w:t>Introducción</w:t>
      </w:r>
    </w:p>
    <w:p w14:paraId="141263DF" w14:textId="48133749" w:rsidR="00B27BCB" w:rsidRPr="00EA25F8" w:rsidRDefault="00B27BCB" w:rsidP="00B27BCB">
      <w:bookmarkStart w:id="6" w:name="_Toc446060752"/>
      <w:r w:rsidRPr="00EA25F8">
        <w:t xml:space="preserve">El presente Informe tiene por objeto rendir cuenta de la marcha de los trabajos y proporcionar información sobre algunos de los temas que figuran en el proyecto de orden del día de la </w:t>
      </w:r>
      <w:r w:rsidRPr="00A01AAD">
        <w:t>2</w:t>
      </w:r>
      <w:r>
        <w:t>9</w:t>
      </w:r>
      <w:r w:rsidRPr="00A01AAD">
        <w:t xml:space="preserve">ª reunión del GAR (véase la Circular Administrativa </w:t>
      </w:r>
      <w:hyperlink r:id="rId8" w:history="1">
        <w:r w:rsidRPr="00A01AAD">
          <w:rPr>
            <w:rStyle w:val="Hyperlink"/>
          </w:rPr>
          <w:t>CA/25</w:t>
        </w:r>
        <w:r>
          <w:rPr>
            <w:rStyle w:val="Hyperlink"/>
          </w:rPr>
          <w:t>9</w:t>
        </w:r>
      </w:hyperlink>
      <w:r w:rsidRPr="00A01AAD">
        <w:t xml:space="preserve"> de ‎17 de diciembre de 20</w:t>
      </w:r>
      <w:r>
        <w:t>21</w:t>
      </w:r>
      <w:r w:rsidRPr="00A01AAD">
        <w:t>‎), con el</w:t>
      </w:r>
      <w:r w:rsidRPr="00EA25F8">
        <w:t xml:space="preserve"> fin de ayudar a los participantes en la reunión a examinar los correspondientes puntos del orden del día.</w:t>
      </w:r>
    </w:p>
    <w:p w14:paraId="208E314A" w14:textId="77777777" w:rsidR="00B27BCB" w:rsidRPr="00B2067F" w:rsidRDefault="00B27BCB" w:rsidP="00B27BCB">
      <w:r w:rsidRPr="00B2067F">
        <w:t>Se presentarán informes independientes para ciertos puntos del orden del día.</w:t>
      </w:r>
    </w:p>
    <w:bookmarkEnd w:id="6"/>
    <w:p w14:paraId="0A059E1B" w14:textId="77777777" w:rsidR="00B27BCB" w:rsidRPr="00B2067F" w:rsidRDefault="00B27BCB" w:rsidP="00B27BCB">
      <w:pPr>
        <w:pStyle w:val="Heading1"/>
      </w:pPr>
      <w:r w:rsidRPr="00B2067F">
        <w:t>2</w:t>
      </w:r>
      <w:r w:rsidRPr="00B2067F">
        <w:tab/>
        <w:t>Asuntos relativos al Consejo</w:t>
      </w:r>
    </w:p>
    <w:p w14:paraId="148F2A75" w14:textId="77777777" w:rsidR="00B27BCB" w:rsidRPr="00B2067F" w:rsidRDefault="00B27BCB" w:rsidP="00B27BCB">
      <w:r w:rsidRPr="00B2067F">
        <w:t>Debido a las restricciones asociadas a la COVID-19, el Consejo de la UIT no celebró reuniones presenciales en 202</w:t>
      </w:r>
      <w:r>
        <w:t>1</w:t>
      </w:r>
      <w:r w:rsidRPr="00B2067F">
        <w:t xml:space="preserve">. En cambio, del </w:t>
      </w:r>
      <w:r>
        <w:t>8</w:t>
      </w:r>
      <w:r w:rsidRPr="00B2067F">
        <w:t xml:space="preserve"> al </w:t>
      </w:r>
      <w:r>
        <w:t>18</w:t>
      </w:r>
      <w:r w:rsidRPr="00B2067F">
        <w:t xml:space="preserve"> de junio de 202</w:t>
      </w:r>
      <w:r>
        <w:t>1</w:t>
      </w:r>
      <w:r w:rsidRPr="00B2067F">
        <w:t xml:space="preserve"> se </w:t>
      </w:r>
      <w:r>
        <w:t>celebró</w:t>
      </w:r>
      <w:r w:rsidRPr="00B2067F">
        <w:t xml:space="preserve"> </w:t>
      </w:r>
      <w:r>
        <w:t>una c</w:t>
      </w:r>
      <w:r w:rsidRPr="00B2067F">
        <w:rPr>
          <w:color w:val="000000"/>
        </w:rPr>
        <w:t>onsulta</w:t>
      </w:r>
      <w:r>
        <w:rPr>
          <w:color w:val="000000"/>
        </w:rPr>
        <w:t xml:space="preserve"> v</w:t>
      </w:r>
      <w:r w:rsidRPr="00B2067F">
        <w:rPr>
          <w:color w:val="000000"/>
        </w:rPr>
        <w:t xml:space="preserve">irtual de </w:t>
      </w:r>
      <w:r>
        <w:rPr>
          <w:color w:val="000000"/>
        </w:rPr>
        <w:t>c</w:t>
      </w:r>
      <w:r w:rsidRPr="00B2067F">
        <w:rPr>
          <w:color w:val="000000"/>
        </w:rPr>
        <w:t>onsejeros (CVC), seguida</w:t>
      </w:r>
      <w:r>
        <w:rPr>
          <w:color w:val="000000"/>
        </w:rPr>
        <w:t xml:space="preserve"> de </w:t>
      </w:r>
      <w:r w:rsidRPr="00B2067F">
        <w:rPr>
          <w:color w:val="000000"/>
        </w:rPr>
        <w:t>consulta</w:t>
      </w:r>
      <w:r>
        <w:rPr>
          <w:color w:val="000000"/>
        </w:rPr>
        <w:t>s</w:t>
      </w:r>
      <w:r w:rsidRPr="00B2067F">
        <w:rPr>
          <w:color w:val="000000"/>
        </w:rPr>
        <w:t xml:space="preserve"> por correspondencia para examinar los resultados de los debates de la CVC. Gracias a este procedimiento, el Consejo de la UIT pudo adoptar </w:t>
      </w:r>
      <w:r>
        <w:rPr>
          <w:color w:val="000000"/>
        </w:rPr>
        <w:t>acuerdos</w:t>
      </w:r>
      <w:r w:rsidRPr="00B2067F">
        <w:rPr>
          <w:color w:val="000000"/>
        </w:rPr>
        <w:t xml:space="preserve"> sin </w:t>
      </w:r>
      <w:r>
        <w:rPr>
          <w:color w:val="000000"/>
        </w:rPr>
        <w:t>celebrar una reunión presencial</w:t>
      </w:r>
      <w:r w:rsidRPr="00B2067F">
        <w:t>.</w:t>
      </w:r>
    </w:p>
    <w:p w14:paraId="535C8A44" w14:textId="77777777" w:rsidR="00B27BCB" w:rsidRPr="004614E0" w:rsidRDefault="00B27BCB" w:rsidP="00B27BCB">
      <w:r w:rsidRPr="00B2067F">
        <w:t xml:space="preserve">En la presente sección se abordan asuntos relacionados con el Consejo de la UIT y se ofrece información actualizada sobre los temas tratados en </w:t>
      </w:r>
      <w:r>
        <w:t>la</w:t>
      </w:r>
      <w:r w:rsidRPr="00B2067F">
        <w:t xml:space="preserve"> CVC, las consultas por correspondencia posteriores sobre los resultados de esos debates y las medidas conexas (véase </w:t>
      </w:r>
      <w:hyperlink r:id="rId9" w:history="1">
        <w:r>
          <w:rPr>
            <w:rStyle w:val="Hyperlink"/>
            <w:lang w:val="es-ES"/>
          </w:rPr>
          <w:t>https://www.itu.int/es/council/2021/Pages/default.aspx</w:t>
        </w:r>
      </w:hyperlink>
      <w:hyperlink r:id="rId10" w:history="1"/>
      <w:r w:rsidRPr="00B2067F">
        <w:t xml:space="preserve">). En la sección 5 del presente Informe se </w:t>
      </w:r>
      <w:r w:rsidRPr="004614E0">
        <w:t xml:space="preserve">presentan las consideraciones del Consejo relativas </w:t>
      </w:r>
      <w:r>
        <w:t xml:space="preserve">al </w:t>
      </w:r>
      <w:r w:rsidRPr="004614E0">
        <w:t xml:space="preserve">lugar y </w:t>
      </w:r>
      <w:r>
        <w:t xml:space="preserve">las </w:t>
      </w:r>
      <w:r w:rsidRPr="004614E0">
        <w:t>fechas de celebración de la Conferencia Mundial de Radiocomunicaciones de 2023 (CMR-23).</w:t>
      </w:r>
    </w:p>
    <w:p w14:paraId="203142A6" w14:textId="77777777" w:rsidR="00B27BCB" w:rsidRPr="00B2067F" w:rsidRDefault="00B27BCB" w:rsidP="00B27BCB">
      <w:pPr>
        <w:pStyle w:val="Heading2"/>
      </w:pPr>
      <w:bookmarkStart w:id="7" w:name="_Toc446060753"/>
      <w:r w:rsidRPr="00B2067F">
        <w:t>2.1</w:t>
      </w:r>
      <w:r w:rsidRPr="00B2067F">
        <w:tab/>
      </w:r>
      <w:bookmarkEnd w:id="7"/>
      <w:r w:rsidRPr="00B2067F">
        <w:t>Acceso gratuito en línea a las publicaciones del UIT-R</w:t>
      </w:r>
    </w:p>
    <w:p w14:paraId="1CD69C05" w14:textId="77777777" w:rsidR="00B27BCB" w:rsidRPr="00B2067F" w:rsidRDefault="00B27BCB" w:rsidP="00B27BCB">
      <w:r w:rsidRPr="00B2067F">
        <w:t xml:space="preserve">La UIT sigue editando diversas publicaciones, entre ellas las emblemáticas, tanto en versión impresa como digital/electrónica. En virtud de su Decisión 12 (Guadalajara, 2010), la Conferencia de Plenipotenciarios de 2010 (PP-10) adoptó una política de acceso gratuito en línea a Recomendaciones e Informes del UIT-R, entre otros documentos. En su reunión de 2012, el Consejo amplió esta política en virtud del Acuerdo 571, revisado en 2013 y 2014, y confirmado por la revisión a la </w:t>
      </w:r>
      <w:r w:rsidRPr="00E95B32">
        <w:t>Decisión</w:t>
      </w:r>
      <w:r w:rsidRPr="00B2067F">
        <w:t xml:space="preserve"> 12 que realizó la PP-14 y que proporciona acceso gratuito en línea al </w:t>
      </w:r>
      <w:r w:rsidRPr="00B2067F">
        <w:lastRenderedPageBreak/>
        <w:t>público en general con carácter permanente. A continuación, se facilitó acceso gratuito en línea a muchas más publicaciones, para divulgar la correspondiente información y llegar a un público más amplio. Entre ellas figuran publicaciones importantes como el Reglamento de Radiocomunicaciones, las Reglas de Procedimiento, las Recomendaciones, los Textos Fundamentales de la Unión, las Actas Finales de la CMTI, las Resoluciones y los Acuerdos del Consejo y los Manuales de la UIT, razón por la cual sólo quedan a la venta las Publicaciones del Servicio Marítimo y algunos otros títulos.</w:t>
      </w:r>
    </w:p>
    <w:p w14:paraId="702C2AC1" w14:textId="77777777" w:rsidR="00B27BCB" w:rsidRPr="00B2067F" w:rsidRDefault="00B27BCB" w:rsidP="00B27BCB">
      <w:r w:rsidRPr="00B2067F">
        <w:t>Además, en respuesta a solicitudes de diversos Estados Miembros, en particular países en desarrollo, en enero de 2017 el Director de la BR amplió la política de acceso gratuito a todos los Manuales del UIT-R.</w:t>
      </w:r>
    </w:p>
    <w:p w14:paraId="69711E21" w14:textId="77777777" w:rsidR="00B27BCB" w:rsidRDefault="00B27BCB" w:rsidP="00B27BCB">
      <w:r w:rsidRPr="00B2067F">
        <w:t>El elevado número de descargas que registran estas publicaciones evidencia la repercusión de las decisiones antes mencionadas, como se indica en l</w:t>
      </w:r>
      <w:r>
        <w:t>a</w:t>
      </w:r>
      <w:r w:rsidRPr="00B2067F">
        <w:t xml:space="preserve"> </w:t>
      </w:r>
      <w:r>
        <w:t>sección</w:t>
      </w:r>
      <w:r w:rsidRPr="00B2067F">
        <w:t xml:space="preserve"> 8.1.4.</w:t>
      </w:r>
    </w:p>
    <w:p w14:paraId="339DC71C" w14:textId="77777777" w:rsidR="00B27BCB" w:rsidRPr="00B2067F" w:rsidRDefault="00B27BCB" w:rsidP="00B27BCB">
      <w:pPr>
        <w:pStyle w:val="Heading2"/>
      </w:pPr>
      <w:r w:rsidRPr="00B2067F">
        <w:t>2.2</w:t>
      </w:r>
      <w:r w:rsidRPr="00B2067F">
        <w:tab/>
        <w:t>Recuperación de costes aplicable a las notificaciones de redes de satélites</w:t>
      </w:r>
    </w:p>
    <w:p w14:paraId="46EC3EF5" w14:textId="77777777" w:rsidR="00B27BCB" w:rsidRPr="00737D4F" w:rsidRDefault="00B27BCB" w:rsidP="00B27BCB">
      <w:pPr>
        <w:rPr>
          <w:lang w:val="es-ES"/>
        </w:rPr>
      </w:pPr>
      <w:r>
        <w:rPr>
          <w:lang w:val="es-ES"/>
        </w:rPr>
        <w:t>En 2021, c</w:t>
      </w:r>
      <w:r w:rsidRPr="00737D4F">
        <w:rPr>
          <w:lang w:val="es-ES"/>
        </w:rPr>
        <w:t>omo de costumbre, se presentó al Consejo el Informe anual sobre la aplicación del Acuerdo 482 (véase el Documento</w:t>
      </w:r>
      <w:r>
        <w:rPr>
          <w:lang w:val="es-ES"/>
        </w:rPr>
        <w:t> </w:t>
      </w:r>
      <w:hyperlink r:id="rId11" w:history="1">
        <w:r w:rsidRPr="00276222">
          <w:rPr>
            <w:rStyle w:val="Hyperlink"/>
            <w:lang w:val="es-ES"/>
          </w:rPr>
          <w:t>C21/16</w:t>
        </w:r>
      </w:hyperlink>
      <w:r>
        <w:rPr>
          <w:lang w:val="es-ES"/>
        </w:rPr>
        <w:t xml:space="preserve">). </w:t>
      </w:r>
      <w:r w:rsidRPr="00737D4F">
        <w:rPr>
          <w:lang w:val="es-ES"/>
        </w:rPr>
        <w:t>Dado que la implementación del Acuerdo</w:t>
      </w:r>
      <w:r>
        <w:rPr>
          <w:lang w:val="es-ES"/>
        </w:rPr>
        <w:t> </w:t>
      </w:r>
      <w:r w:rsidRPr="00737D4F">
        <w:rPr>
          <w:lang w:val="es-ES"/>
        </w:rPr>
        <w:t>482 (modificado en 2020) por parte de la Oficina de Radiocomunicaciones no había planteado ninguna dificultad administrativa ni operacional notable, ya sea internamente o con las administraciones notificantes de las redes de satélites, se invitó al Consejo a tomar nota de dicho Informe.</w:t>
      </w:r>
    </w:p>
    <w:p w14:paraId="70382946" w14:textId="77777777" w:rsidR="00B27BCB" w:rsidRDefault="00B27BCB" w:rsidP="00B27BCB">
      <w:r w:rsidRPr="009E2CF0">
        <w:t xml:space="preserve">A raíz de la consulta por correspondencia sobre los resultados de los debates de la </w:t>
      </w:r>
      <w:r>
        <w:t>c</w:t>
      </w:r>
      <w:r w:rsidRPr="009E2CF0">
        <w:t xml:space="preserve">onsulta </w:t>
      </w:r>
      <w:r>
        <w:t>v</w:t>
      </w:r>
      <w:r w:rsidRPr="009E2CF0">
        <w:t xml:space="preserve">irtual de </w:t>
      </w:r>
      <w:r>
        <w:t>c</w:t>
      </w:r>
      <w:r w:rsidRPr="009E2CF0">
        <w:t>onsejeros de 2021, se tomó nota de forma oficial de los informes sobre la aplicación del Acuerdo</w:t>
      </w:r>
      <w:r>
        <w:t> </w:t>
      </w:r>
      <w:r w:rsidRPr="009E2CF0">
        <w:t xml:space="preserve">482 a las sesiones del Consejo de 2020 y 2021 (véase la Carta Circular </w:t>
      </w:r>
      <w:hyperlink r:id="rId12" w:history="1">
        <w:r w:rsidRPr="009E2CF0">
          <w:rPr>
            <w:rStyle w:val="Hyperlink"/>
          </w:rPr>
          <w:t>DM-21/1017</w:t>
        </w:r>
      </w:hyperlink>
      <w:r w:rsidRPr="009E2CF0">
        <w:t>).</w:t>
      </w:r>
    </w:p>
    <w:p w14:paraId="35944E54" w14:textId="77777777" w:rsidR="00B27BCB" w:rsidRPr="009E2CF0" w:rsidRDefault="00B27BCB" w:rsidP="00B27BCB">
      <w:r>
        <w:t>E</w:t>
      </w:r>
      <w:r w:rsidRPr="00FA3C1E">
        <w:t xml:space="preserve">l Informe anual </w:t>
      </w:r>
      <w:r>
        <w:t>a la reunión del</w:t>
      </w:r>
      <w:r w:rsidRPr="00FA3C1E">
        <w:t xml:space="preserve"> Consejo </w:t>
      </w:r>
      <w:r>
        <w:t xml:space="preserve">de 2021 </w:t>
      </w:r>
      <w:r w:rsidRPr="00FA3C1E">
        <w:t xml:space="preserve">sobre la aplicación del Acuerdo 482 </w:t>
      </w:r>
      <w:r>
        <w:t>está disponible como</w:t>
      </w:r>
      <w:r w:rsidRPr="00FA3C1E">
        <w:t xml:space="preserve"> </w:t>
      </w:r>
      <w:r w:rsidRPr="00276222">
        <w:rPr>
          <w:lang w:val="es-ES"/>
        </w:rPr>
        <w:t>Documento</w:t>
      </w:r>
      <w:r>
        <w:rPr>
          <w:lang w:val="es-ES"/>
        </w:rPr>
        <w:t> </w:t>
      </w:r>
      <w:hyperlink r:id="rId13" w:history="1">
        <w:r w:rsidRPr="00276222">
          <w:rPr>
            <w:rStyle w:val="Hyperlink"/>
            <w:lang w:val="es-ES"/>
          </w:rPr>
          <w:t>C22/16</w:t>
        </w:r>
      </w:hyperlink>
      <w:r>
        <w:t>.</w:t>
      </w:r>
    </w:p>
    <w:p w14:paraId="158DB593" w14:textId="77777777" w:rsidR="00B27BCB" w:rsidRPr="00442D58" w:rsidRDefault="00B27BCB" w:rsidP="00B27BCB">
      <w:pPr>
        <w:pStyle w:val="Heading2"/>
      </w:pPr>
      <w:bookmarkStart w:id="8" w:name="_Toc446060757"/>
      <w:r w:rsidRPr="00442D58">
        <w:t>2.3</w:t>
      </w:r>
      <w:r w:rsidRPr="00442D58">
        <w:tab/>
        <w:t>Presupuesto para 2020-2021 y proyecto de presupuesto para 2022-2023</w:t>
      </w:r>
      <w:bookmarkEnd w:id="8"/>
    </w:p>
    <w:p w14:paraId="787B7FB2" w14:textId="77777777" w:rsidR="00B27BCB" w:rsidRPr="00FB2485" w:rsidRDefault="00B27BCB" w:rsidP="00B27BCB">
      <w:r w:rsidRPr="00FB2485">
        <w:t xml:space="preserve">En su </w:t>
      </w:r>
      <w:r>
        <w:t xml:space="preserve">consulta virtual de </w:t>
      </w:r>
      <w:r w:rsidRPr="00FB2485">
        <w:t>20</w:t>
      </w:r>
      <w:r>
        <w:t>21</w:t>
      </w:r>
      <w:r w:rsidRPr="00FB2485">
        <w:t xml:space="preserve">, el Consejo adoptó </w:t>
      </w:r>
      <w:r>
        <w:t xml:space="preserve">en virtud de </w:t>
      </w:r>
      <w:r w:rsidRPr="00FB2485">
        <w:t xml:space="preserve">la Resolución </w:t>
      </w:r>
      <w:r>
        <w:t>1405</w:t>
      </w:r>
      <w:r w:rsidRPr="00FB2485">
        <w:t xml:space="preserve">, el siguiente presupuesto del UIT-R para el periodo </w:t>
      </w:r>
      <w:r w:rsidRPr="00A01AAD">
        <w:t>2022-2023</w:t>
      </w:r>
      <w:r w:rsidRPr="00FB2485">
        <w:t>.</w:t>
      </w:r>
    </w:p>
    <w:p w14:paraId="34DED1D1" w14:textId="072512B2" w:rsidR="00B27BCB" w:rsidRDefault="00B27BCB" w:rsidP="00B27BCB">
      <w:r w:rsidRPr="00FB2485">
        <w:t xml:space="preserve">La Secretaría presentó el </w:t>
      </w:r>
      <w:r w:rsidRPr="00BB32B7">
        <w:t>presupuesto bienal de la Unión para 2022-2023</w:t>
      </w:r>
      <w:r w:rsidRPr="00FB2485">
        <w:t>, en consonancia con la Decisión</w:t>
      </w:r>
      <w:r w:rsidR="00A40825">
        <w:t> </w:t>
      </w:r>
      <w:r w:rsidRPr="00FB2485">
        <w:t xml:space="preserve">5 (Rev. Dubái, 2018) y las directrices asociadas, durante </w:t>
      </w:r>
      <w:r w:rsidRPr="00BB32B7">
        <w:t xml:space="preserve">la consulta virtual </w:t>
      </w:r>
      <w:r w:rsidRPr="00FB2485">
        <w:t xml:space="preserve">que tuvo lugar </w:t>
      </w:r>
      <w:r>
        <w:t xml:space="preserve">en junio </w:t>
      </w:r>
      <w:r w:rsidRPr="00FB2485">
        <w:t>de 2021.</w:t>
      </w:r>
    </w:p>
    <w:p w14:paraId="63240608" w14:textId="77777777" w:rsidR="00B27BCB" w:rsidRDefault="00B27BCB" w:rsidP="00B27BCB">
      <w:pPr>
        <w:pStyle w:val="Figure"/>
        <w:keepNext w:val="0"/>
        <w:keepLines w:val="0"/>
      </w:pPr>
      <w:r w:rsidRPr="00F523E2">
        <w:rPr>
          <w:noProof/>
          <w:lang w:val="en-US"/>
        </w:rPr>
        <w:lastRenderedPageBreak/>
        <w:drawing>
          <wp:inline distT="0" distB="0" distL="0" distR="0" wp14:anchorId="6400EA35" wp14:editId="1225E2FA">
            <wp:extent cx="6120765" cy="3841115"/>
            <wp:effectExtent l="0" t="0" r="0" b="6985"/>
            <wp:docPr id="7" name="Picture 7"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medium confidence"/>
                    <pic:cNvPicPr/>
                  </pic:nvPicPr>
                  <pic:blipFill>
                    <a:blip r:embed="rId14"/>
                    <a:stretch>
                      <a:fillRect/>
                    </a:stretch>
                  </pic:blipFill>
                  <pic:spPr>
                    <a:xfrm>
                      <a:off x="0" y="0"/>
                      <a:ext cx="6120765" cy="3841115"/>
                    </a:xfrm>
                    <a:prstGeom prst="rect">
                      <a:avLst/>
                    </a:prstGeom>
                  </pic:spPr>
                </pic:pic>
              </a:graphicData>
            </a:graphic>
          </wp:inline>
        </w:drawing>
      </w:r>
    </w:p>
    <w:p w14:paraId="78084934" w14:textId="77777777" w:rsidR="00B27BCB" w:rsidRPr="00622143" w:rsidRDefault="00B27BCB" w:rsidP="00B27BCB">
      <w:pPr>
        <w:pStyle w:val="Normalaftertitle"/>
      </w:pPr>
      <w:r w:rsidRPr="00622143">
        <w:t xml:space="preserve">El importe de la unidad contributiva que han de abonar los Estados Miembros se ha mantenido en 318 000 CHF, lo que supone un crecimiento nominal cero desde 2016. Los gastos y los ingresos están equilibrados y no se han ejecutado </w:t>
      </w:r>
      <w:r w:rsidRPr="00622143">
        <w:rPr>
          <w:color w:val="000000"/>
        </w:rPr>
        <w:t>detracciones de la Cuenta de Provisión</w:t>
      </w:r>
      <w:r w:rsidRPr="00622143">
        <w:t>.</w:t>
      </w:r>
    </w:p>
    <w:p w14:paraId="70ED4A19" w14:textId="77777777" w:rsidR="00B27BCB" w:rsidRDefault="00B27BCB" w:rsidP="00B27BCB">
      <w:r w:rsidRPr="00622143">
        <w:t xml:space="preserve">Al igual que en presupuestos anteriores, se ha aplicado una tasa de vacantes del 5%, que comprende demoras en la contratación, servicios a tiempo parcial y licencias sin sueldo. No obstante, la aplicación de la tasa de vacantes supondrá un reto importante para la gestión de los puestos vacantes y el proceso de contratación. El presupuesto para 2022-2023 se basa en el programa de actividades de la Unión, que incluye la celebración de la </w:t>
      </w:r>
      <w:r>
        <w:t>Conferencia Mundial de Radiocomunicaciones en 2023 (</w:t>
      </w:r>
      <w:r w:rsidRPr="00622143">
        <w:t>CMR-23</w:t>
      </w:r>
      <w:r>
        <w:t>).</w:t>
      </w:r>
    </w:p>
    <w:p w14:paraId="5A4084CF" w14:textId="77777777" w:rsidR="00B27BCB" w:rsidRDefault="00B27BCB" w:rsidP="00B27BCB">
      <w:r w:rsidRPr="00B2067F">
        <w:t xml:space="preserve">La Secretaría señaló que </w:t>
      </w:r>
      <w:r>
        <w:t xml:space="preserve">no </w:t>
      </w:r>
      <w:r w:rsidRPr="00B2067F">
        <w:t xml:space="preserve">se espera un nivel </w:t>
      </w:r>
      <w:r>
        <w:t xml:space="preserve">importante de ahorro </w:t>
      </w:r>
      <w:r w:rsidRPr="00B2067F">
        <w:t>para este per</w:t>
      </w:r>
      <w:r>
        <w:t>i</w:t>
      </w:r>
      <w:r w:rsidRPr="00B2067F">
        <w:t>odo</w:t>
      </w:r>
      <w:r>
        <w:t>, si es que hubiera alguno</w:t>
      </w:r>
      <w:r w:rsidRPr="00B2067F">
        <w:t>.</w:t>
      </w:r>
      <w:r>
        <w:t xml:space="preserve"> </w:t>
      </w:r>
      <w:r w:rsidRPr="00B2067F">
        <w:t>Cuando haya fondos disponibles, se priorizará su asignación con arreglo a los requisitos para 202</w:t>
      </w:r>
      <w:r>
        <w:t>2</w:t>
      </w:r>
      <w:r w:rsidRPr="00B2067F">
        <w:t xml:space="preserve"> del Acuerdo 619, que ascienden a 7</w:t>
      </w:r>
      <w:r>
        <w:t>8</w:t>
      </w:r>
      <w:r w:rsidRPr="00B2067F">
        <w:t>5 000 CHF. El resultado final de la aplicación del presupuesto para 202</w:t>
      </w:r>
      <w:r>
        <w:t>1</w:t>
      </w:r>
      <w:r w:rsidRPr="00B2067F">
        <w:t xml:space="preserve"> se presentará al Consejo en su reunión </w:t>
      </w:r>
      <w:r>
        <w:t>especial en Bucarest junto con el Informe del Auditor Externo sobre los estados financieros.</w:t>
      </w:r>
    </w:p>
    <w:p w14:paraId="7833F068" w14:textId="77777777" w:rsidR="00B27BCB" w:rsidRDefault="00B27BCB" w:rsidP="00B27BCB">
      <w:pPr>
        <w:pStyle w:val="Heading2"/>
      </w:pPr>
      <w:r w:rsidRPr="00BB32B7">
        <w:t>2.4</w:t>
      </w:r>
      <w:r w:rsidRPr="00BB32B7">
        <w:tab/>
        <w:t xml:space="preserve">Petición del </w:t>
      </w:r>
      <w:r w:rsidRPr="00BB32B7">
        <w:rPr>
          <w:color w:val="000000"/>
        </w:rPr>
        <w:t>Grupo de Trabajo del Consejo sobre los Idiomas</w:t>
      </w:r>
      <w:r w:rsidRPr="00BB32B7">
        <w:t xml:space="preserve"> (GTC-Idiomas) relativa al examen y la actualización </w:t>
      </w:r>
      <w:r w:rsidRPr="00BB32B7">
        <w:rPr>
          <w:bCs/>
        </w:rPr>
        <w:t>del Documento C14/INF/4 por el GAR</w:t>
      </w:r>
    </w:p>
    <w:p w14:paraId="7B9AC59B" w14:textId="77777777" w:rsidR="00B27BCB" w:rsidRPr="00597BCC" w:rsidRDefault="00B27BCB" w:rsidP="00B27BCB">
      <w:r w:rsidRPr="00597BCC">
        <w:t xml:space="preserve">En 2008, con miras a ejecutar la Resolución 154 de la Conferencia de Plenipotenciarios relativa a la utilización de los seis idiomas oficiales de la Unión en igualdad de condiciones </w:t>
      </w:r>
      <w:r w:rsidRPr="00597BCC">
        <w:rPr>
          <w:color w:val="000000"/>
        </w:rPr>
        <w:t>dentro de los límites del presupuesto disponible</w:t>
      </w:r>
      <w:r w:rsidRPr="00597BCC">
        <w:t xml:space="preserve">, los grupos asesores de los Sectores y la Secretaría General establecieron de forma pormenorizada los documentos y publicaciones que se producirían en los diferentes idiomas, como se detalla en los cuadros del Anexo 1 al Documento </w:t>
      </w:r>
      <w:hyperlink r:id="rId15" w:history="1">
        <w:r w:rsidRPr="00597BCC">
          <w:rPr>
            <w:color w:val="0000FF" w:themeColor="hyperlink"/>
            <w:u w:val="single"/>
          </w:rPr>
          <w:t>C08/56</w:t>
        </w:r>
      </w:hyperlink>
      <w:r w:rsidRPr="00597BCC">
        <w:t>, que se presentaron al Consejo con miras a su aprobación.</w:t>
      </w:r>
    </w:p>
    <w:p w14:paraId="7B9BC703" w14:textId="77777777" w:rsidR="00B27BCB" w:rsidRPr="00597BCC" w:rsidRDefault="00B27BCB" w:rsidP="00B27BCB">
      <w:r w:rsidRPr="00597BCC">
        <w:lastRenderedPageBreak/>
        <w:t>En 2014, tras realizar una revisión exhaustiva de estos cuadros, se publicó el Documento</w:t>
      </w:r>
      <w:r>
        <w:t> </w:t>
      </w:r>
      <w:hyperlink r:id="rId16" w:history="1">
        <w:r w:rsidRPr="00597BCC">
          <w:rPr>
            <w:color w:val="0000FF" w:themeColor="hyperlink"/>
            <w:u w:val="single"/>
          </w:rPr>
          <w:t>C14/INF/4</w:t>
        </w:r>
      </w:hyperlink>
      <w:r w:rsidRPr="00597BCC">
        <w:t>, que ha orientado la labor de la Secretaría relativa a la traducción y la interpretación en la UIT.</w:t>
      </w:r>
    </w:p>
    <w:p w14:paraId="222EBA19" w14:textId="77777777" w:rsidR="00B27BCB" w:rsidRPr="00597BCC" w:rsidRDefault="00B27BCB" w:rsidP="00B95D2E">
      <w:r w:rsidRPr="00597BCC">
        <w:t>En su 10ª reunión (octubre de 2020), el Grupo sobre el estudio y la evaluación de los procedimientos de traducción, en el que están representados todos los Sectores y la Secretaría General, convino en la necesidad de revisar las medidas y los principios de traducción e interpretación (Documento</w:t>
      </w:r>
      <w:r>
        <w:t> </w:t>
      </w:r>
      <w:hyperlink r:id="rId17" w:history="1">
        <w:r w:rsidRPr="00597BCC">
          <w:rPr>
            <w:color w:val="0000FF" w:themeColor="hyperlink"/>
            <w:u w:val="single"/>
          </w:rPr>
          <w:t>C14/INF/4</w:t>
        </w:r>
      </w:hyperlink>
      <w:r w:rsidRPr="00597BCC">
        <w:t>), a fin de:</w:t>
      </w:r>
    </w:p>
    <w:p w14:paraId="75A61C3B" w14:textId="77777777" w:rsidR="00B27BCB" w:rsidRPr="00597BCC" w:rsidRDefault="00B27BCB" w:rsidP="00B27BCB">
      <w:pPr>
        <w:pStyle w:val="enumlev1"/>
      </w:pPr>
      <w:r w:rsidRPr="00597BCC">
        <w:t>1)</w:t>
      </w:r>
      <w:r w:rsidRPr="00597BCC">
        <w:tab/>
        <w:t>actualizar la sección sobre publicaciones del Documento</w:t>
      </w:r>
      <w:r>
        <w:t> </w:t>
      </w:r>
      <w:hyperlink r:id="rId18" w:history="1">
        <w:r w:rsidRPr="00597BCC">
          <w:rPr>
            <w:color w:val="0000FF" w:themeColor="hyperlink"/>
            <w:u w:val="single"/>
          </w:rPr>
          <w:t>C14/INF/4</w:t>
        </w:r>
      </w:hyperlink>
      <w:r w:rsidRPr="00597BCC">
        <w:t>, ya que algunas publicaciones se habían eliminado o se habían sustituido por otras;</w:t>
      </w:r>
    </w:p>
    <w:p w14:paraId="00960AC2" w14:textId="77777777" w:rsidR="00B27BCB" w:rsidRPr="00597BCC" w:rsidRDefault="00B27BCB" w:rsidP="00B27BCB">
      <w:pPr>
        <w:pStyle w:val="enumlev1"/>
      </w:pPr>
      <w:r w:rsidRPr="00597BCC">
        <w:t>2)</w:t>
      </w:r>
      <w:r w:rsidRPr="00597BCC">
        <w:tab/>
        <w:t xml:space="preserve">aplicar una política lingüística común en el sitio web de la UIT en cuanto esté disponible; </w:t>
      </w:r>
    </w:p>
    <w:p w14:paraId="172769C1" w14:textId="77777777" w:rsidR="00B27BCB" w:rsidRPr="00597BCC" w:rsidRDefault="00B27BCB" w:rsidP="00B27BCB">
      <w:pPr>
        <w:pStyle w:val="enumlev1"/>
      </w:pPr>
      <w:r w:rsidRPr="00597BCC">
        <w:t>3)</w:t>
      </w:r>
      <w:r w:rsidRPr="00597BCC">
        <w:tab/>
        <w:t>evaluar las posibilidades de la traducción automática y la interpretación remota;</w:t>
      </w:r>
    </w:p>
    <w:p w14:paraId="5E10CA35" w14:textId="77777777" w:rsidR="00B27BCB" w:rsidRPr="00597BCC" w:rsidRDefault="00B27BCB" w:rsidP="00B27BCB">
      <w:pPr>
        <w:pStyle w:val="enumlev1"/>
      </w:pPr>
      <w:r w:rsidRPr="00597BCC">
        <w:t>4)</w:t>
      </w:r>
      <w:r w:rsidRPr="00597BCC">
        <w:tab/>
        <w:t>establecer algún tipo de correlación en los servicios de traducción e interpretación, cuando proceda.</w:t>
      </w:r>
    </w:p>
    <w:p w14:paraId="452A4854" w14:textId="77777777" w:rsidR="00B27BCB" w:rsidRPr="00597BCC" w:rsidRDefault="00B27BCB" w:rsidP="00B27BCB">
      <w:r w:rsidRPr="00597BCC">
        <w:t>Con este propósito, el Grupo aprobó un plan de acción para remitir las medidas y los principios de traducción e interpretación revisados a la reunión de 2022 del GTC-Idiomas. El plan de acción se describe en la sección 5 del Informe del Secretario General para la 11ª reunión del GTC-Idiomas de 5 de febrero de 2020 (Documento</w:t>
      </w:r>
      <w:r>
        <w:t> </w:t>
      </w:r>
      <w:hyperlink r:id="rId19" w:history="1">
        <w:r w:rsidRPr="00597BCC">
          <w:rPr>
            <w:color w:val="0000FF" w:themeColor="hyperlink"/>
            <w:u w:val="single"/>
          </w:rPr>
          <w:t>CWG-LANG/11/2</w:t>
        </w:r>
      </w:hyperlink>
      <w:r w:rsidRPr="00597BCC">
        <w:rPr>
          <w:color w:val="0000FF" w:themeColor="hyperlink"/>
          <w:u w:val="single"/>
        </w:rPr>
        <w:t>)</w:t>
      </w:r>
      <w:r w:rsidRPr="00597BCC">
        <w:t>.</w:t>
      </w:r>
    </w:p>
    <w:p w14:paraId="0225A46C" w14:textId="77777777" w:rsidR="00B27BCB" w:rsidRPr="00597BCC" w:rsidRDefault="00B27BCB" w:rsidP="00B27BCB">
      <w:r w:rsidRPr="00597BCC">
        <w:t>De acuerdo con ese plan de acción, las Oficinas y la Secretaría General debían preparar una propuesta de proyecto que se enviaría al grupo asesor competente. Las propuestas aprobadas se recopilarían en un Anexo al Informe del Secretario General para el GTG-Idiomas (reunión de 2022) con miras a su aprobación y su presentación al Consejo en su reunión de 2022.</w:t>
      </w:r>
    </w:p>
    <w:p w14:paraId="792177E8" w14:textId="77777777" w:rsidR="00B27BCB" w:rsidRDefault="00B27BCB" w:rsidP="00B27BCB">
      <w:pPr>
        <w:pStyle w:val="Heading1"/>
      </w:pPr>
      <w:r w:rsidRPr="003338F5">
        <w:t>3</w:t>
      </w:r>
      <w:r w:rsidRPr="003338F5">
        <w:tab/>
        <w:t>Ejecución de las decisiones de la CMR-19</w:t>
      </w:r>
    </w:p>
    <w:p w14:paraId="1401F3BA" w14:textId="77777777" w:rsidR="00B27BCB" w:rsidRPr="00830023" w:rsidRDefault="00B27BCB" w:rsidP="00B27BCB">
      <w:pPr>
        <w:pStyle w:val="Heading2"/>
      </w:pPr>
      <w:r>
        <w:t>3.1</w:t>
      </w:r>
      <w:r>
        <w:tab/>
      </w:r>
      <w:r w:rsidRPr="00B2067F">
        <w:t xml:space="preserve">Desarrollo de </w:t>
      </w:r>
      <w:r w:rsidRPr="00B2067F">
        <w:rPr>
          <w:i/>
        </w:rPr>
        <w:t>software</w:t>
      </w:r>
      <w:r w:rsidRPr="00B2067F">
        <w:t xml:space="preserve"> para la aplicación de las decisiones de la CMR-19</w:t>
      </w:r>
    </w:p>
    <w:p w14:paraId="29EFD51A" w14:textId="77777777" w:rsidR="00B27BCB" w:rsidRPr="00683870" w:rsidRDefault="00B27BCB" w:rsidP="00B27BCB">
      <w:r w:rsidRPr="00683870">
        <w:t xml:space="preserve">La BR está ultimando el diseño y desarrollo de </w:t>
      </w:r>
      <w:r w:rsidRPr="00683870">
        <w:rPr>
          <w:i/>
        </w:rPr>
        <w:t>software</w:t>
      </w:r>
      <w:r w:rsidRPr="00683870">
        <w:t xml:space="preserve"> específico para aplicar las decisiones de la</w:t>
      </w:r>
      <w:r>
        <w:t> </w:t>
      </w:r>
      <w:r w:rsidRPr="00683870">
        <w:t>CMR-19.</w:t>
      </w:r>
    </w:p>
    <w:p w14:paraId="70CF1890" w14:textId="77777777" w:rsidR="00B27BCB" w:rsidRDefault="00B27BCB" w:rsidP="00B27BCB">
      <w:r w:rsidRPr="00683870">
        <w:t xml:space="preserve">A continuación, se resumen las principales tareas finalizadas desde el último informe o </w:t>
      </w:r>
      <w:r>
        <w:t xml:space="preserve">que están </w:t>
      </w:r>
      <w:r w:rsidRPr="00683870">
        <w:t>pendientes de finalizar.</w:t>
      </w:r>
    </w:p>
    <w:p w14:paraId="53EE4F83" w14:textId="77777777" w:rsidR="00B27BCB" w:rsidRDefault="00B27BCB" w:rsidP="00B27BCB">
      <w:pPr>
        <w:pStyle w:val="Heading3"/>
      </w:pPr>
      <w:r w:rsidRPr="00B2067F">
        <w:t>3.</w:t>
      </w:r>
      <w:r>
        <w:t>1</w:t>
      </w:r>
      <w:r w:rsidRPr="00B2067F">
        <w:t>.</w:t>
      </w:r>
      <w:bookmarkStart w:id="9" w:name="lt_pId358"/>
      <w:r w:rsidRPr="00B2067F">
        <w:t>1</w:t>
      </w:r>
      <w:r w:rsidRPr="00B2067F">
        <w:tab/>
        <w:t>Aplicación de las decisiones de la CMR-19 relativas a los servicios terrenales</w:t>
      </w:r>
      <w:bookmarkEnd w:id="9"/>
    </w:p>
    <w:p w14:paraId="786D3086" w14:textId="39CE6FB3" w:rsidR="00B27BCB" w:rsidRPr="00086E4E" w:rsidRDefault="00A40825" w:rsidP="00B27BCB">
      <w:pPr>
        <w:pStyle w:val="enumlev1"/>
      </w:pPr>
      <w:bookmarkStart w:id="10" w:name="lt_pId361"/>
      <w:r>
        <w:t>•</w:t>
      </w:r>
      <w:r w:rsidR="00B27BCB" w:rsidRPr="00086E4E">
        <w:tab/>
        <w:t xml:space="preserve">Desarrollo de los módulos de </w:t>
      </w:r>
      <w:r w:rsidR="00B27BCB" w:rsidRPr="00C3231B">
        <w:rPr>
          <w:i/>
          <w:iCs/>
        </w:rPr>
        <w:t>software</w:t>
      </w:r>
      <w:r w:rsidR="00B27BCB" w:rsidRPr="00086E4E">
        <w:t xml:space="preserve"> necesarios para tramitar notificaciones de HAPS (herramientas de validación, examen y publicación). Esta tarea comprende asimismo el desarrollo de módulos de cálculo a efectos de verificar las condiciones técnicas especificadas en las Resoluciones </w:t>
      </w:r>
      <w:r w:rsidR="00B27BCB" w:rsidRPr="000F69DC">
        <w:rPr>
          <w:b/>
          <w:bCs/>
        </w:rPr>
        <w:t>122 (Rev.CMR-19)</w:t>
      </w:r>
      <w:r w:rsidR="00B27BCB" w:rsidRPr="00086E4E">
        <w:t xml:space="preserve">, </w:t>
      </w:r>
      <w:r w:rsidR="00B27BCB" w:rsidRPr="000F69DC">
        <w:rPr>
          <w:b/>
          <w:bCs/>
        </w:rPr>
        <w:t>145 (Rev.CMR-19)</w:t>
      </w:r>
      <w:r w:rsidR="00B27BCB" w:rsidRPr="00086E4E">
        <w:t xml:space="preserve">, </w:t>
      </w:r>
      <w:r w:rsidR="00B27BCB" w:rsidRPr="000F69DC">
        <w:rPr>
          <w:b/>
          <w:bCs/>
        </w:rPr>
        <w:t>165 (CMR</w:t>
      </w:r>
      <w:r w:rsidR="00B27BCB" w:rsidRPr="000F69DC">
        <w:rPr>
          <w:b/>
          <w:bCs/>
        </w:rPr>
        <w:noBreakHyphen/>
        <w:t>9)</w:t>
      </w:r>
      <w:r w:rsidR="00B27BCB" w:rsidRPr="00086E4E">
        <w:t xml:space="preserve">, </w:t>
      </w:r>
      <w:r w:rsidR="00B27BCB" w:rsidRPr="000F69DC">
        <w:rPr>
          <w:b/>
          <w:bCs/>
        </w:rPr>
        <w:t>166 (CMR-19)</w:t>
      </w:r>
      <w:r w:rsidR="00B27BCB" w:rsidRPr="00086E4E">
        <w:t xml:space="preserve">, </w:t>
      </w:r>
      <w:r w:rsidR="00B27BCB" w:rsidRPr="000F69DC">
        <w:rPr>
          <w:b/>
          <w:bCs/>
        </w:rPr>
        <w:t>167 (CMR-19)</w:t>
      </w:r>
      <w:r w:rsidR="00B27BCB" w:rsidRPr="00086E4E">
        <w:t xml:space="preserve"> y </w:t>
      </w:r>
      <w:r w:rsidR="00B27BCB" w:rsidRPr="000F69DC">
        <w:rPr>
          <w:b/>
          <w:bCs/>
        </w:rPr>
        <w:t>168 (CMR-19)</w:t>
      </w:r>
      <w:r w:rsidR="00B27BCB" w:rsidRPr="00086E4E">
        <w:t xml:space="preserve">, así como las modificaciones correspondientes de la base de datos y la estructura de </w:t>
      </w:r>
      <w:bookmarkEnd w:id="10"/>
      <w:r w:rsidR="00B27BCB" w:rsidRPr="00086E4E">
        <w:t>las notificaciones.</w:t>
      </w:r>
    </w:p>
    <w:p w14:paraId="0FEB8004" w14:textId="21C49085" w:rsidR="00B27BCB" w:rsidRPr="00086E4E" w:rsidRDefault="00A40825" w:rsidP="00B27BCB">
      <w:pPr>
        <w:pStyle w:val="enumlev1"/>
      </w:pPr>
      <w:bookmarkStart w:id="11" w:name="lt_pId363"/>
      <w:r>
        <w:t>•</w:t>
      </w:r>
      <w:r w:rsidR="00B27BCB" w:rsidRPr="00086E4E">
        <w:tab/>
        <w:t xml:space="preserve">Desarrollo del </w:t>
      </w:r>
      <w:r w:rsidR="00B27BCB" w:rsidRPr="004508E8">
        <w:rPr>
          <w:i/>
          <w:iCs/>
        </w:rPr>
        <w:t>software</w:t>
      </w:r>
      <w:r w:rsidR="00B27BCB" w:rsidRPr="00086E4E">
        <w:t xml:space="preserve"> de examen encaminado a la identificación de las administraciones afectadas utilizando modelos de elevación digital para varias bandas de frecuencias y servicios.</w:t>
      </w:r>
      <w:bookmarkEnd w:id="11"/>
    </w:p>
    <w:p w14:paraId="589ACC54" w14:textId="77777777" w:rsidR="00B27BCB" w:rsidRPr="00086E4E" w:rsidRDefault="00B27BCB" w:rsidP="00B95D2E">
      <w:pPr>
        <w:pStyle w:val="Heading3"/>
      </w:pPr>
      <w:r w:rsidRPr="00086E4E">
        <w:lastRenderedPageBreak/>
        <w:t>3.1.</w:t>
      </w:r>
      <w:bookmarkStart w:id="12" w:name="lt_pId365"/>
      <w:r w:rsidRPr="00086E4E">
        <w:t>2</w:t>
      </w:r>
      <w:r w:rsidRPr="00086E4E">
        <w:tab/>
        <w:t>Aplicación de las decisiones de la CMR-19 relativas a los servicios espaciales</w:t>
      </w:r>
      <w:bookmarkEnd w:id="12"/>
    </w:p>
    <w:p w14:paraId="459D992B" w14:textId="6433F501" w:rsidR="00B27BCB" w:rsidRPr="00086E4E" w:rsidRDefault="00A40825" w:rsidP="00B95D2E">
      <w:pPr>
        <w:pStyle w:val="enumlev1"/>
        <w:keepNext/>
        <w:keepLines/>
      </w:pPr>
      <w:r>
        <w:t>•</w:t>
      </w:r>
      <w:r w:rsidR="00B27BCB" w:rsidRPr="00086E4E">
        <w:tab/>
        <w:t xml:space="preserve">Habida cuenta de que ciertos cambios adoptados por la CMR-19 entraron en vigor con efecto inmediato, se publicó una versión intermedia del </w:t>
      </w:r>
      <w:r w:rsidR="00B27BCB" w:rsidRPr="004508E8">
        <w:rPr>
          <w:i/>
          <w:iCs/>
        </w:rPr>
        <w:t>software</w:t>
      </w:r>
      <w:r w:rsidR="00B27BCB" w:rsidRPr="00086E4E">
        <w:t xml:space="preserve"> relacionado con los servicios espaciales (versión 9) en la BR IFIC 2926 (4 de agosto de 2020). Todos los cambios dimanantes de la CMR-19 se incluirán en la versión 9.1 del </w:t>
      </w:r>
      <w:r w:rsidR="00B27BCB" w:rsidRPr="004508E8">
        <w:rPr>
          <w:i/>
          <w:iCs/>
        </w:rPr>
        <w:t>software</w:t>
      </w:r>
      <w:r w:rsidR="00B27BCB" w:rsidRPr="00086E4E">
        <w:t xml:space="preserve"> para servicios espaciales de la BR, que estará disponible durante el último trimestre de 2022</w:t>
      </w:r>
      <w:bookmarkStart w:id="13" w:name="lt_pId369"/>
      <w:r w:rsidR="00B27BCB" w:rsidRPr="00086E4E">
        <w:t>.</w:t>
      </w:r>
      <w:bookmarkEnd w:id="13"/>
      <w:r w:rsidR="00B27BCB" w:rsidRPr="00086E4E">
        <w:t xml:space="preserve"> La principal diferencia con respecto a la versión</w:t>
      </w:r>
      <w:r w:rsidR="00B27BCB">
        <w:t> </w:t>
      </w:r>
      <w:r w:rsidR="00B27BCB" w:rsidRPr="00086E4E">
        <w:t>9 de la base de datos es la información sobre constelaciones mutuamente excluyentes.</w:t>
      </w:r>
    </w:p>
    <w:p w14:paraId="4A09DA9E" w14:textId="1288D24D" w:rsidR="00B27BCB" w:rsidRPr="00086E4E" w:rsidRDefault="00A40825" w:rsidP="00B27BCB">
      <w:pPr>
        <w:pStyle w:val="enumlev1"/>
      </w:pPr>
      <w:bookmarkStart w:id="14" w:name="lt_pId370"/>
      <w:r>
        <w:t>•</w:t>
      </w:r>
      <w:r w:rsidR="00B27BCB" w:rsidRPr="00086E4E">
        <w:tab/>
      </w:r>
      <w:bookmarkEnd w:id="14"/>
      <w:r w:rsidR="00B27BCB" w:rsidRPr="00086E4E">
        <w:t xml:space="preserve">Una lista no exhaustiva de los cambios realizados en el </w:t>
      </w:r>
      <w:r w:rsidR="00B27BCB" w:rsidRPr="004508E8">
        <w:rPr>
          <w:i/>
          <w:iCs/>
        </w:rPr>
        <w:t>software</w:t>
      </w:r>
      <w:r w:rsidR="00B27BCB" w:rsidRPr="00086E4E">
        <w:t xml:space="preserve"> de los servicios espaciales relacionados con la aplicación en 2021 de las decisiones de la CMR-19 incluye lo siguiente:</w:t>
      </w:r>
    </w:p>
    <w:p w14:paraId="7714AAA0" w14:textId="4C73A14D" w:rsidR="00B27BCB" w:rsidRPr="00086E4E" w:rsidRDefault="00A40825" w:rsidP="00B27BCB">
      <w:pPr>
        <w:pStyle w:val="enumlev2"/>
      </w:pPr>
      <w:r>
        <w:t>–</w:t>
      </w:r>
      <w:r w:rsidR="00B27BCB" w:rsidRPr="00086E4E">
        <w:tab/>
        <w:t xml:space="preserve">la primera fase de la ejecución de la Resolución </w:t>
      </w:r>
      <w:r w:rsidR="00B27BCB" w:rsidRPr="003338F5">
        <w:rPr>
          <w:b/>
          <w:bCs/>
        </w:rPr>
        <w:t>35 (CMR-19)</w:t>
      </w:r>
      <w:r w:rsidR="00B27BCB" w:rsidRPr="00086E4E">
        <w:t>, que se liberó para producción en enero de 2021 en el marco de las actualizaciones periódicas de la aplicación web de presentación electrónica (como se describe en la sección 7.3.2);</w:t>
      </w:r>
    </w:p>
    <w:p w14:paraId="6EE2A40C" w14:textId="13FECD25" w:rsidR="00B27BCB" w:rsidRPr="00086E4E" w:rsidRDefault="00A40825" w:rsidP="00B27BCB">
      <w:pPr>
        <w:pStyle w:val="enumlev2"/>
      </w:pPr>
      <w:r>
        <w:t>–</w:t>
      </w:r>
      <w:r w:rsidR="00B27BCB" w:rsidRPr="00086E4E">
        <w:tab/>
        <w:t>desarrollo de una herramienta para facilitar a las administraciones la comunicación con la Oficina la situación de coordinación con las administraciones afectadas a raíz de la primera notificación y la nueva presentación de notificaciones (en SpaceCap, BR-SIS, SpacePub, en el sistema de presentación electrónica (e-Submission), y en la tramitación interna en la BR) (como se describe en la sección</w:t>
      </w:r>
      <w:r w:rsidR="00B27BCB">
        <w:t> </w:t>
      </w:r>
      <w:r w:rsidR="00B27BCB" w:rsidRPr="00086E4E">
        <w:t>7.3.3).</w:t>
      </w:r>
    </w:p>
    <w:p w14:paraId="07BC5E2B" w14:textId="77777777" w:rsidR="00B27BCB" w:rsidRDefault="00B27BCB" w:rsidP="00B27BCB">
      <w:pPr>
        <w:pStyle w:val="Heading2"/>
      </w:pPr>
      <w:r>
        <w:t>3.2</w:t>
      </w:r>
      <w:r>
        <w:tab/>
      </w:r>
      <w:r w:rsidRPr="00B2067F">
        <w:t>Otras medidas destinadas a aplicar las decisiones de la CMR-19</w:t>
      </w:r>
    </w:p>
    <w:p w14:paraId="60754A32" w14:textId="77777777" w:rsidR="00B27BCB" w:rsidRDefault="00B27BCB" w:rsidP="00B27BCB">
      <w:bookmarkStart w:id="15" w:name="lt_pId300"/>
      <w:r w:rsidRPr="00B2067F">
        <w:t xml:space="preserve">La Oficina también inició el examen de las conclusiones </w:t>
      </w:r>
      <w:r>
        <w:t>relativas a</w:t>
      </w:r>
      <w:r w:rsidRPr="00B2067F">
        <w:t xml:space="preserve"> asignaciones de frecuencias inscritas en el Registro Internacional en las bandas de frecuencias para las cuales la situación de las atribuciones había cambiado a consecuencia de las decisiones de la CMR-19 </w:t>
      </w:r>
      <w:r>
        <w:t>que entraron</w:t>
      </w:r>
      <w:r w:rsidRPr="00B2067F">
        <w:t xml:space="preserve"> en vigor el 1 de enero de 2021.</w:t>
      </w:r>
      <w:bookmarkEnd w:id="15"/>
    </w:p>
    <w:p w14:paraId="0EAC514F" w14:textId="77777777" w:rsidR="00B27BCB" w:rsidRPr="00B2067F" w:rsidRDefault="00B27BCB" w:rsidP="00B27BCB">
      <w:pPr>
        <w:pStyle w:val="Heading1"/>
      </w:pPr>
      <w:bookmarkStart w:id="16" w:name="_Toc446060766"/>
      <w:r w:rsidRPr="00B2067F">
        <w:t>4</w:t>
      </w:r>
      <w:r w:rsidRPr="00B2067F">
        <w:tab/>
        <w:t>Actividades de las Comisiones de Estudio</w:t>
      </w:r>
      <w:bookmarkEnd w:id="16"/>
    </w:p>
    <w:p w14:paraId="03B801D2" w14:textId="77777777" w:rsidR="00B27BCB" w:rsidRPr="00B2067F" w:rsidRDefault="00B27BCB" w:rsidP="00B27BCB">
      <w:r w:rsidRPr="00B2067F">
        <w:t>Este tema se aborda en el Addéndum 1 al presente documento.</w:t>
      </w:r>
    </w:p>
    <w:p w14:paraId="452A78A8" w14:textId="77777777" w:rsidR="00B27BCB" w:rsidRDefault="00B27BCB" w:rsidP="00B27BCB">
      <w:pPr>
        <w:pStyle w:val="Heading1"/>
      </w:pPr>
      <w:bookmarkStart w:id="17" w:name="_Toc446060767"/>
      <w:r w:rsidRPr="00B8333E">
        <w:t>5</w:t>
      </w:r>
      <w:r w:rsidRPr="00B8333E">
        <w:tab/>
        <w:t>Orden del día, fechas y lugares de celebración de la CMR-23, y preparativos asociados</w:t>
      </w:r>
      <w:bookmarkEnd w:id="17"/>
    </w:p>
    <w:p w14:paraId="096394AF" w14:textId="77777777" w:rsidR="00B27BCB" w:rsidRPr="00A01AAD" w:rsidRDefault="00B27BCB" w:rsidP="00B27BCB">
      <w:r w:rsidRPr="00A01AAD">
        <w:rPr>
          <w:lang w:val="es-ES"/>
        </w:rPr>
        <w:t xml:space="preserve">Tras la aprobación el 3 de agosto de 2020 del orden del día de la CMR-23 por los Estados Miembros, que ahora figura en la </w:t>
      </w:r>
      <w:hyperlink r:id="rId20" w:history="1">
        <w:r w:rsidRPr="00A01AAD">
          <w:rPr>
            <w:rStyle w:val="Hyperlink"/>
          </w:rPr>
          <w:t>Resolución 1399 del Consejo (C-20)</w:t>
        </w:r>
      </w:hyperlink>
      <w:r w:rsidRPr="00A01AAD">
        <w:t xml:space="preserve">, se invitó a la consulta virtual de consejeros (CVC) del Consejo celebrada del 8 al 18 de junio de 2021 a adoptar un nuevo Acuerdo que incluyera las fechas y dos posibles sedes para la AR-23 y la CMR-23 en los Emiratos Árabes Unidos. El Consejo adoptó el </w:t>
      </w:r>
      <w:hyperlink r:id="rId21" w:history="1">
        <w:r w:rsidRPr="00A01AAD">
          <w:rPr>
            <w:rStyle w:val="Hyperlink"/>
          </w:rPr>
          <w:t>Acuerdo 623 (C</w:t>
        </w:r>
        <w:r w:rsidRPr="00A01AAD">
          <w:rPr>
            <w:rStyle w:val="Hyperlink"/>
          </w:rPr>
          <w:noBreakHyphen/>
          <w:t>21)</w:t>
        </w:r>
      </w:hyperlink>
      <w:r w:rsidRPr="00A01AAD">
        <w:t xml:space="preserve">, donde se indica que la CMR-23 se celebrará en Abu Dabi o en Dubái (EAU) del 20 de noviembre al 15 de diciembre de 2023, que será precedida de la AR-23 del 13 al 17 de noviembre de 2023. El Acuerdo fue aprobado por correspondencia tal como se indica en las Cartas Circulares de la SG de la UIT </w:t>
      </w:r>
      <w:hyperlink r:id="rId22" w:history="1">
        <w:r w:rsidRPr="00A01AAD">
          <w:rPr>
            <w:rStyle w:val="Hyperlink"/>
          </w:rPr>
          <w:t>DM21/1017</w:t>
        </w:r>
      </w:hyperlink>
      <w:r w:rsidRPr="00A01AAD">
        <w:t xml:space="preserve"> de 4 de agosto de 2021 y </w:t>
      </w:r>
      <w:hyperlink r:id="rId23" w:history="1">
        <w:r w:rsidRPr="00A01AAD">
          <w:rPr>
            <w:rStyle w:val="Hyperlink"/>
          </w:rPr>
          <w:t>CL-21/049</w:t>
        </w:r>
      </w:hyperlink>
      <w:r w:rsidRPr="00A01AAD">
        <w:t xml:space="preserve"> de 19 de octubre de 2021.</w:t>
      </w:r>
    </w:p>
    <w:p w14:paraId="4C4BB445" w14:textId="77777777" w:rsidR="00B27BCB" w:rsidRDefault="00B27BCB" w:rsidP="00B27BCB">
      <w:r w:rsidRPr="002C5ADB">
        <w:t>Pese a la decisión sobre las fechas de la CMR-23, no fue posible modificar la reserva preliminar del</w:t>
      </w:r>
      <w:r>
        <w:t> </w:t>
      </w:r>
      <w:r w:rsidRPr="002C5ADB">
        <w:t xml:space="preserve">CICG del 27 de marzo al 6 de abril de 2022 para posponer la </w:t>
      </w:r>
      <w:r>
        <w:t>s</w:t>
      </w:r>
      <w:r w:rsidRPr="002C5ADB">
        <w:t xml:space="preserve">egunda </w:t>
      </w:r>
      <w:r>
        <w:t>s</w:t>
      </w:r>
      <w:r w:rsidRPr="002C5ADB">
        <w:t>esión de la Reunión Preparatoria de la Conferencia para la CMR-23 (RPC23-2) a fechas posteriores teniendo en cuenta el §</w:t>
      </w:r>
      <w:r>
        <w:t> </w:t>
      </w:r>
      <w:r w:rsidRPr="002C5ADB">
        <w:t>A1.2.3 de la Resolución UIT-R 2-8. Sin embargo, se han llevado a cabo investigaciones para alentar a que un país anfitrión ofrezca una sede alternativa para la RPC23-2 que se celebrará durante la primera quincena de mayo de 2023. Los resultados de estas investigaciones no estaban disponibles en el momento de la preparación de este documento.</w:t>
      </w:r>
    </w:p>
    <w:p w14:paraId="0F4FABD6" w14:textId="77777777" w:rsidR="00B27BCB" w:rsidRPr="00C3231B" w:rsidRDefault="00B27BCB" w:rsidP="00B27BCB">
      <w:pPr>
        <w:rPr>
          <w:lang w:val="es-ES"/>
        </w:rPr>
      </w:pPr>
      <w:r w:rsidRPr="005A2676">
        <w:rPr>
          <w:lang w:val="es-ES"/>
        </w:rPr>
        <w:lastRenderedPageBreak/>
        <w:t>Partiendo</w:t>
      </w:r>
      <w:r w:rsidRPr="00C3231B">
        <w:rPr>
          <w:lang w:val="es-ES"/>
        </w:rPr>
        <w:t xml:space="preserve"> de los resultados de la primera sesión de la RPC</w:t>
      </w:r>
      <w:r w:rsidRPr="00C3231B">
        <w:rPr>
          <w:lang w:val="es-ES"/>
        </w:rPr>
        <w:noBreakHyphen/>
        <w:t>23 y teniendo en cuenta los plazos para la preparación del proyecto de Informe de la RPC a la CMR-</w:t>
      </w:r>
      <w:r>
        <w:rPr>
          <w:lang w:val="es-ES"/>
        </w:rPr>
        <w:t>23</w:t>
      </w:r>
      <w:r w:rsidRPr="00C3231B">
        <w:rPr>
          <w:lang w:val="es-ES"/>
        </w:rPr>
        <w:t xml:space="preserve"> (véase</w:t>
      </w:r>
      <w:r>
        <w:rPr>
          <w:lang w:val="es-ES"/>
        </w:rPr>
        <w:t xml:space="preserve"> la</w:t>
      </w:r>
      <w:r w:rsidRPr="00C3231B">
        <w:rPr>
          <w:lang w:val="es-ES"/>
        </w:rPr>
        <w:t xml:space="preserve"> </w:t>
      </w:r>
      <w:r w:rsidRPr="00E75FD5">
        <w:rPr>
          <w:lang w:val="es-ES"/>
        </w:rPr>
        <w:t xml:space="preserve">Circular Administrativa de la BR </w:t>
      </w:r>
      <w:hyperlink r:id="rId24" w:history="1">
        <w:r w:rsidRPr="00E75FD5">
          <w:rPr>
            <w:rStyle w:val="Hyperlink"/>
            <w:lang w:val="es-ES"/>
          </w:rPr>
          <w:t>CA/251</w:t>
        </w:r>
      </w:hyperlink>
      <w:r w:rsidRPr="00C3231B">
        <w:rPr>
          <w:lang w:val="es-ES"/>
        </w:rPr>
        <w:t xml:space="preserve"> de 28 de enero de 2020 y su Addéndum 1 de 17 de septiembre de 2020, con sus correspondientes corrigenda), los Grupos de Trabajo del UIT-R y el Grupo Mixto de Tareas Especiales encargado de los estudios preparatorios sobre los puntos del orden del día de la CMR-23 y de los temas de estudio han logrado importantes avances. Puede hallarse una información detallada sobre estos estudios preparatorios del UIT</w:t>
      </w:r>
      <w:r w:rsidRPr="00C3231B">
        <w:rPr>
          <w:lang w:val="es-ES"/>
        </w:rPr>
        <w:noBreakHyphen/>
        <w:t xml:space="preserve">R </w:t>
      </w:r>
      <w:r w:rsidRPr="005D1AC6">
        <w:rPr>
          <w:lang w:val="es-ES"/>
        </w:rPr>
        <w:t xml:space="preserve">para la CMR-23 </w:t>
      </w:r>
      <w:r w:rsidRPr="00C3231B">
        <w:rPr>
          <w:lang w:val="es-ES"/>
        </w:rPr>
        <w:t>en la siguiente página web actualizada de la UIT:</w:t>
      </w:r>
      <w:r w:rsidRPr="00C3231B">
        <w:t xml:space="preserve"> </w:t>
      </w:r>
      <w:hyperlink r:id="rId25" w:history="1">
        <w:r w:rsidRPr="00C3231B">
          <w:rPr>
            <w:rStyle w:val="Hyperlink"/>
            <w:lang w:val="es-ES"/>
          </w:rPr>
          <w:t>www.itu.int/go/rcpm-wrc-23-studies</w:t>
        </w:r>
      </w:hyperlink>
      <w:r>
        <w:rPr>
          <w:lang w:val="es-ES"/>
        </w:rPr>
        <w:t xml:space="preserve">. </w:t>
      </w:r>
      <w:r w:rsidRPr="00C3231B">
        <w:rPr>
          <w:lang w:val="es-ES"/>
        </w:rPr>
        <w:t>La conclusión de estas actividades, con arreglo a los planes de trabajo establecidos previamente, debería garantizar en particular la disponibilidad a su debido tiempo del proyecto de Informe de la RPC a la CMR-23, para su examen durante la segunda reunión de la RPC-23.</w:t>
      </w:r>
    </w:p>
    <w:p w14:paraId="7E7FF260" w14:textId="77777777" w:rsidR="00B27BCB" w:rsidRPr="007C56CA" w:rsidRDefault="00B27BCB" w:rsidP="00B27BCB">
      <w:bookmarkStart w:id="18" w:name="lt_pId315"/>
      <w:r w:rsidRPr="007C56CA">
        <w:t xml:space="preserve">Teniendo en cuenta la Resolución 80 (Rev. Marrakech, 2002) de la </w:t>
      </w:r>
      <w:r>
        <w:t xml:space="preserve">Conferencia de Plenipotenciarios </w:t>
      </w:r>
      <w:r w:rsidRPr="007C56CA">
        <w:t xml:space="preserve">y la Resolución </w:t>
      </w:r>
      <w:r w:rsidRPr="007C56CA">
        <w:rPr>
          <w:b/>
          <w:bCs/>
        </w:rPr>
        <w:t>72 (Rev.CMR-19)</w:t>
      </w:r>
      <w:r w:rsidRPr="007C56CA">
        <w:t xml:space="preserve">, los preparativos de la CMR-23 también han continuado en el ámbito regional, en la medida de lo posible con la participación activa de la BR en las reuniones de los grupos </w:t>
      </w:r>
      <w:r>
        <w:t>y organizaciones regionales de telecomunicación (ORT)</w:t>
      </w:r>
      <w:r w:rsidRPr="007C56CA">
        <w:t xml:space="preserve">, incluidos APT, ASMG, ATU, CEPT, CITEL y </w:t>
      </w:r>
      <w:r>
        <w:t>CRC, siempre que ha sido posible</w:t>
      </w:r>
      <w:r w:rsidRPr="007C56CA">
        <w:t>.</w:t>
      </w:r>
      <w:bookmarkEnd w:id="18"/>
    </w:p>
    <w:p w14:paraId="0D825194" w14:textId="77777777" w:rsidR="00B27BCB" w:rsidRDefault="00B27BCB" w:rsidP="00B27BCB">
      <w:r w:rsidRPr="007C56CA">
        <w:t>Se puede encontrar información sobre la preparación de los grupos regionales para la</w:t>
      </w:r>
      <w:r>
        <w:t xml:space="preserve"> </w:t>
      </w:r>
      <w:r w:rsidRPr="007C56CA">
        <w:t xml:space="preserve">CMR-23 en </w:t>
      </w:r>
      <w:hyperlink r:id="rId26" w:history="1">
        <w:r w:rsidRPr="007C56CA">
          <w:rPr>
            <w:rStyle w:val="Hyperlink"/>
            <w:spacing w:val="-2"/>
          </w:rPr>
          <w:t>www.itu.int/go/wrc-23-regional</w:t>
        </w:r>
      </w:hyperlink>
      <w:r w:rsidRPr="007C56CA">
        <w:t>.</w:t>
      </w:r>
    </w:p>
    <w:p w14:paraId="5B804240" w14:textId="77777777" w:rsidR="00B27BCB" w:rsidRPr="001E3122" w:rsidRDefault="00B27BCB" w:rsidP="00B27BCB">
      <w:pPr>
        <w:rPr>
          <w:lang w:val="es-ES"/>
        </w:rPr>
      </w:pPr>
      <w:bookmarkStart w:id="19" w:name="_Hlk99056007"/>
      <w:r w:rsidRPr="001E3122">
        <w:rPr>
          <w:lang w:val="es-ES"/>
        </w:rPr>
        <w:t xml:space="preserve">Con objeto de empezar a lograr un consenso sobre las posiciones y las propuestas formuladas por diversas organizaciones regionales de telecomunicaciones, la BR convocó el </w:t>
      </w:r>
      <w:hyperlink r:id="rId27" w:history="1">
        <w:r w:rsidRPr="001E3122">
          <w:rPr>
            <w:rStyle w:val="Hyperlink"/>
            <w:lang w:val="es-ES"/>
          </w:rPr>
          <w:t xml:space="preserve">primer </w:t>
        </w:r>
        <w:r>
          <w:rPr>
            <w:rStyle w:val="Hyperlink"/>
            <w:lang w:val="es-ES"/>
          </w:rPr>
          <w:t>t</w:t>
        </w:r>
        <w:r w:rsidRPr="001E3122">
          <w:rPr>
            <w:rStyle w:val="Hyperlink"/>
            <w:lang w:val="es-ES"/>
          </w:rPr>
          <w:t>aller interregional de la UIT sobre la preparación de la CMR-23</w:t>
        </w:r>
      </w:hyperlink>
      <w:r w:rsidRPr="001E3122">
        <w:rPr>
          <w:lang w:val="es-ES"/>
        </w:rPr>
        <w:t xml:space="preserve"> </w:t>
      </w:r>
      <w:r w:rsidRPr="00D1750A">
        <w:rPr>
          <w:lang w:val="es-ES"/>
        </w:rPr>
        <w:t>que se celebró en formato virtual</w:t>
      </w:r>
      <w:r w:rsidRPr="001E3122">
        <w:rPr>
          <w:lang w:val="es-ES"/>
        </w:rPr>
        <w:t xml:space="preserve"> del 13 al 15 de diciembre de</w:t>
      </w:r>
      <w:r>
        <w:rPr>
          <w:lang w:val="es-ES"/>
        </w:rPr>
        <w:t> </w:t>
      </w:r>
      <w:r w:rsidRPr="001E3122">
        <w:rPr>
          <w:lang w:val="es-ES"/>
        </w:rPr>
        <w:t xml:space="preserve">2021. </w:t>
      </w:r>
      <w:bookmarkEnd w:id="19"/>
      <w:r w:rsidRPr="001E3122">
        <w:rPr>
          <w:lang w:val="es-ES"/>
        </w:rPr>
        <w:t xml:space="preserve">Asistieron al taller 692 participantes en representación de 82 países y 78 empresas, organizaciones e instituciones académicas, entre ellos representantes de las ORT indicadas anteriormente (puede consultarse información más detallada y otras estadísticas sobre la participación de Estados Miembros en el </w:t>
      </w:r>
      <w:hyperlink r:id="rId28" w:history="1">
        <w:r w:rsidRPr="005A2676">
          <w:rPr>
            <w:rStyle w:val="Hyperlink"/>
          </w:rPr>
          <w:t>Documento 28 sobre el taller</w:t>
        </w:r>
      </w:hyperlink>
      <w:r w:rsidRPr="001E3122">
        <w:rPr>
          <w:lang w:val="es-ES"/>
        </w:rPr>
        <w:t xml:space="preserve">). La información suministrada durante el taller y el intercambio de opiniones a que dieron origen, fueron sumamente valorados. Los </w:t>
      </w:r>
      <w:hyperlink r:id="rId29" w:history="1">
        <w:r w:rsidRPr="001E3122">
          <w:rPr>
            <w:rStyle w:val="Hyperlink"/>
          </w:rPr>
          <w:t>vídeos difundidos por la web</w:t>
        </w:r>
      </w:hyperlink>
      <w:r w:rsidRPr="001E3122">
        <w:rPr>
          <w:lang w:val="es-ES"/>
        </w:rPr>
        <w:t xml:space="preserve"> y los </w:t>
      </w:r>
      <w:hyperlink r:id="rId30" w:history="1">
        <w:r w:rsidRPr="001E3122">
          <w:rPr>
            <w:rStyle w:val="Hyperlink"/>
          </w:rPr>
          <w:t>documentos del taller</w:t>
        </w:r>
      </w:hyperlink>
      <w:r w:rsidRPr="005A2676">
        <w:t xml:space="preserve"> </w:t>
      </w:r>
      <w:r w:rsidRPr="001E3122">
        <w:rPr>
          <w:lang w:val="es-ES"/>
        </w:rPr>
        <w:t xml:space="preserve">siguen estando disponibles </w:t>
      </w:r>
      <w:r w:rsidRPr="001E3122">
        <w:t>en línea</w:t>
      </w:r>
      <w:r w:rsidRPr="005A2676">
        <w:t xml:space="preserve"> </w:t>
      </w:r>
      <w:r w:rsidRPr="001E3122">
        <w:rPr>
          <w:lang w:val="es-ES"/>
        </w:rPr>
        <w:t xml:space="preserve">en los seis idiomas oficiales de la Unión. Durante el taller también se mencionó brevemente la versión preliminar de la interfaz para la presentación de propuestas a la Conferencia (PPC) para la CMR-23 </w:t>
      </w:r>
      <w:r w:rsidRPr="001E3122">
        <w:t>(</w:t>
      </w:r>
      <w:hyperlink r:id="rId31" w:history="1">
        <w:r w:rsidRPr="001E3122">
          <w:rPr>
            <w:rStyle w:val="Hyperlink"/>
          </w:rPr>
          <w:t>www.itu.int/net4/Proposals/CPI/WRC23</w:t>
        </w:r>
      </w:hyperlink>
      <w:r w:rsidRPr="001E3122">
        <w:t>)</w:t>
      </w:r>
      <w:r w:rsidRPr="001E3122">
        <w:rPr>
          <w:lang w:val="es-ES"/>
        </w:rPr>
        <w:t>. Está prevista la organización de otros dos talleres interregionales para la preparación de la CMR-23: uno antes de la RPC-23-2 y un últim</w:t>
      </w:r>
      <w:r>
        <w:rPr>
          <w:lang w:val="es-ES"/>
        </w:rPr>
        <w:t>o</w:t>
      </w:r>
      <w:r w:rsidRPr="001E3122">
        <w:rPr>
          <w:lang w:val="es-ES"/>
        </w:rPr>
        <w:t xml:space="preserve"> antes de la CMR-23.</w:t>
      </w:r>
    </w:p>
    <w:p w14:paraId="627A86E3" w14:textId="77777777" w:rsidR="00B27BCB" w:rsidRDefault="00B27BCB" w:rsidP="00B27BCB">
      <w:pPr>
        <w:rPr>
          <w:lang w:val="es-ES"/>
        </w:rPr>
      </w:pPr>
      <w:r w:rsidRPr="00D940A9">
        <w:rPr>
          <w:lang w:val="es-ES"/>
        </w:rPr>
        <w:t xml:space="preserve">El sitio web de la UIT para la CMR-23 en </w:t>
      </w:r>
      <w:hyperlink r:id="rId32" w:history="1">
        <w:r w:rsidRPr="00D940A9">
          <w:rPr>
            <w:rStyle w:val="Hyperlink"/>
            <w:lang w:val="es-ES"/>
          </w:rPr>
          <w:t>www.itu.int/wrc-23</w:t>
        </w:r>
      </w:hyperlink>
      <w:r w:rsidRPr="00D940A9">
        <w:rPr>
          <w:lang w:val="es-ES"/>
        </w:rPr>
        <w:t xml:space="preserve"> se ha desarrollado para proporcionar acceso</w:t>
      </w:r>
      <w:r>
        <w:rPr>
          <w:lang w:val="es-ES"/>
        </w:rPr>
        <w:t xml:space="preserve"> directo a la información antes mencionada, así como a otra información diversa. </w:t>
      </w:r>
      <w:r w:rsidRPr="00D940A9">
        <w:rPr>
          <w:lang w:val="es-ES"/>
        </w:rPr>
        <w:t>Por ejemplo, se incluye un enlace con el nuevo fo</w:t>
      </w:r>
      <w:r>
        <w:rPr>
          <w:lang w:val="es-ES"/>
        </w:rPr>
        <w:t>lleto sobre la CMR-23</w:t>
      </w:r>
      <w:r w:rsidRPr="00D940A9">
        <w:rPr>
          <w:lang w:val="es-ES"/>
        </w:rPr>
        <w:t xml:space="preserve"> (</w:t>
      </w:r>
      <w:hyperlink r:id="rId33" w:history="1">
        <w:r w:rsidRPr="00D940A9">
          <w:rPr>
            <w:rStyle w:val="Hyperlink"/>
            <w:lang w:val="es-ES"/>
          </w:rPr>
          <w:t>www.itu.int/wrc-23/booklet-wrc-23</w:t>
        </w:r>
      </w:hyperlink>
      <w:r w:rsidRPr="00D940A9">
        <w:rPr>
          <w:lang w:val="es-ES"/>
        </w:rPr>
        <w:t xml:space="preserve">). </w:t>
      </w:r>
      <w:r w:rsidRPr="002666B7">
        <w:rPr>
          <w:lang w:val="es-ES"/>
        </w:rPr>
        <w:t>Este sitio web se actualizará periódicamente antes de la celebración de</w:t>
      </w:r>
      <w:r>
        <w:rPr>
          <w:lang w:val="es-ES"/>
        </w:rPr>
        <w:t xml:space="preserve"> la CMR-23.</w:t>
      </w:r>
    </w:p>
    <w:p w14:paraId="1195930D" w14:textId="77777777" w:rsidR="00B27BCB" w:rsidRPr="00CE0DF1" w:rsidRDefault="00B27BCB" w:rsidP="00B27BCB">
      <w:pPr>
        <w:pStyle w:val="Heading1"/>
      </w:pPr>
      <w:bookmarkStart w:id="20" w:name="_Toc446060768"/>
      <w:r w:rsidRPr="00547C72">
        <w:t>6</w:t>
      </w:r>
      <w:r w:rsidRPr="00547C72">
        <w:tab/>
      </w:r>
      <w:bookmarkEnd w:id="20"/>
      <w:r w:rsidRPr="00547C72">
        <w:t>Plan Operacional</w:t>
      </w:r>
    </w:p>
    <w:p w14:paraId="3237125F" w14:textId="77777777" w:rsidR="00B27BCB" w:rsidRPr="00325F8C" w:rsidRDefault="00B27BCB" w:rsidP="00B27BCB">
      <w:bookmarkStart w:id="21" w:name="lt_pId327"/>
      <w:r w:rsidRPr="00325F8C">
        <w:t>El Plan Operacional del UIT</w:t>
      </w:r>
      <w:r w:rsidRPr="00325F8C">
        <w:noBreakHyphen/>
        <w:t>R está estructurado con arreglo al concepto de gestión basada en resultados que se aplica en la UIT, a fin de garantizar una vinculación total con el presupuesto y otras herramientas financieras de la Unión.</w:t>
      </w:r>
    </w:p>
    <w:p w14:paraId="05C88648" w14:textId="77777777" w:rsidR="00B27BCB" w:rsidRPr="002666B7" w:rsidRDefault="00B27BCB" w:rsidP="00B27BCB">
      <w:pPr>
        <w:rPr>
          <w:lang w:val="es-ES"/>
        </w:rPr>
      </w:pPr>
      <w:bookmarkStart w:id="22" w:name="lt_pId329"/>
      <w:bookmarkEnd w:id="21"/>
      <w:r w:rsidRPr="002666B7">
        <w:rPr>
          <w:lang w:val="es-ES"/>
        </w:rPr>
        <w:t>El proyecto de Plan Operacional del UIT</w:t>
      </w:r>
      <w:r w:rsidRPr="002666B7">
        <w:rPr>
          <w:lang w:val="es-ES"/>
        </w:rPr>
        <w:noBreakHyphen/>
        <w:t>R para el periodo 2022-2025 se presenta en el Documento 27 para que el GAR lo examine y formule los comentarios que estime oportunos.</w:t>
      </w:r>
      <w:bookmarkEnd w:id="22"/>
    </w:p>
    <w:p w14:paraId="78D41B5F" w14:textId="77777777" w:rsidR="00B27BCB" w:rsidRPr="00B2067F" w:rsidRDefault="00B27BCB" w:rsidP="00B27BCB">
      <w:pPr>
        <w:pStyle w:val="Heading1"/>
      </w:pPr>
      <w:r w:rsidRPr="00B2067F">
        <w:lastRenderedPageBreak/>
        <w:t>7</w:t>
      </w:r>
      <w:r w:rsidRPr="00B2067F">
        <w:tab/>
        <w:t>Sistema</w:t>
      </w:r>
      <w:r>
        <w:t>s</w:t>
      </w:r>
      <w:r w:rsidRPr="00B2067F">
        <w:t xml:space="preserve"> de información de la BR</w:t>
      </w:r>
    </w:p>
    <w:p w14:paraId="7C2AF395" w14:textId="77777777" w:rsidR="00B27BCB" w:rsidRPr="00B2067F" w:rsidRDefault="00B27BCB" w:rsidP="00B27BCB">
      <w:pPr>
        <w:pStyle w:val="Heading2"/>
      </w:pPr>
      <w:r w:rsidRPr="00B2067F">
        <w:t>7.1</w:t>
      </w:r>
      <w:r w:rsidRPr="00B2067F">
        <w:tab/>
      </w:r>
      <w:r w:rsidRPr="002C5ADB">
        <w:rPr>
          <w:i/>
          <w:iCs/>
        </w:rPr>
        <w:t>Software</w:t>
      </w:r>
      <w:r w:rsidRPr="00B2067F">
        <w:t xml:space="preserve"> y herramientas </w:t>
      </w:r>
      <w:r>
        <w:t xml:space="preserve">para servicios </w:t>
      </w:r>
      <w:r w:rsidRPr="00B2067F">
        <w:t>terrenales</w:t>
      </w:r>
    </w:p>
    <w:p w14:paraId="16CFA6DF" w14:textId="77777777" w:rsidR="00B27BCB" w:rsidRPr="00B2067F" w:rsidRDefault="00B27BCB" w:rsidP="00B27BCB">
      <w:pPr>
        <w:pStyle w:val="Heading3"/>
      </w:pPr>
      <w:r w:rsidRPr="00B2067F">
        <w:t>7.1.</w:t>
      </w:r>
      <w:r>
        <w:t>1</w:t>
      </w:r>
      <w:r w:rsidRPr="00B2067F">
        <w:tab/>
        <w:t>Tramitación de solicitudes de coordinación con arreglo al número 9.21 del RR</w:t>
      </w:r>
    </w:p>
    <w:p w14:paraId="374189B6" w14:textId="77777777" w:rsidR="00B27BCB" w:rsidRDefault="00B27BCB" w:rsidP="00B27BCB">
      <w:bookmarkStart w:id="23" w:name="lt_pId414"/>
      <w:r w:rsidRPr="00B2067F">
        <w:t xml:space="preserve">Los módulos de </w:t>
      </w:r>
      <w:r w:rsidRPr="001E3122">
        <w:rPr>
          <w:i/>
          <w:iCs/>
        </w:rPr>
        <w:t>software</w:t>
      </w:r>
      <w:r w:rsidRPr="00B2067F">
        <w:t xml:space="preserve"> y las herramientas conexas para la tramitación de solicitudes de coordinación con arreglo al número </w:t>
      </w:r>
      <w:r w:rsidRPr="00B2067F">
        <w:rPr>
          <w:b/>
          <w:bCs/>
        </w:rPr>
        <w:t>9.21</w:t>
      </w:r>
      <w:r w:rsidRPr="00B2067F">
        <w:t xml:space="preserve"> del RR siguieron desarrollándose durante el año 202</w:t>
      </w:r>
      <w:r>
        <w:t>1</w:t>
      </w:r>
      <w:r w:rsidRPr="00B2067F">
        <w:t xml:space="preserve">. Los algoritmos y módulos de </w:t>
      </w:r>
      <w:r w:rsidRPr="002C5ADB">
        <w:rPr>
          <w:i/>
          <w:iCs/>
        </w:rPr>
        <w:t>software</w:t>
      </w:r>
      <w:r w:rsidRPr="00B2067F">
        <w:t xml:space="preserve"> utilizados para los exámenes técnicos en virtud del número </w:t>
      </w:r>
      <w:r w:rsidRPr="00B2067F">
        <w:rPr>
          <w:b/>
          <w:bCs/>
        </w:rPr>
        <w:t>9.21</w:t>
      </w:r>
      <w:r w:rsidRPr="00B2067F">
        <w:t xml:space="preserve"> se han revisado de conformidad con las Reglas de Procedimiento correspondientes: se han revisado los algoritmos existentes y se han introducido algoritmos nuevos, en particular en relación con la Regla de Procedimiento B6. Las pruebas de estos algoritmos están en curso. Se prevé ultimar el </w:t>
      </w:r>
      <w:r w:rsidRPr="004508E8">
        <w:rPr>
          <w:i/>
          <w:iCs/>
        </w:rPr>
        <w:t>software</w:t>
      </w:r>
      <w:r w:rsidRPr="00B2067F">
        <w:t xml:space="preserve"> de comprobación de las correspondientes asignaciones (conforme al número </w:t>
      </w:r>
      <w:r w:rsidRPr="00B2067F">
        <w:rPr>
          <w:b/>
          <w:bCs/>
        </w:rPr>
        <w:t>9.21</w:t>
      </w:r>
      <w:r w:rsidRPr="00B2067F">
        <w:t xml:space="preserve">) notificadas en virtud del Artículo </w:t>
      </w:r>
      <w:r w:rsidRPr="00B2067F">
        <w:rPr>
          <w:b/>
          <w:bCs/>
        </w:rPr>
        <w:t>11</w:t>
      </w:r>
      <w:r w:rsidRPr="00B2067F">
        <w:t xml:space="preserve"> del RR al Registro Internacional de Frecuencias y su integración en TerRaSys durante al cuarto trimestre de 202</w:t>
      </w:r>
      <w:r>
        <w:t>2 en el contexto de la migración de los sistemas</w:t>
      </w:r>
      <w:r w:rsidRPr="00B2067F">
        <w:t>.</w:t>
      </w:r>
      <w:bookmarkEnd w:id="23"/>
    </w:p>
    <w:p w14:paraId="684CD6A5" w14:textId="77777777" w:rsidR="00B27BCB" w:rsidRPr="00B2067F" w:rsidRDefault="00B27BCB" w:rsidP="00B27BCB">
      <w:pPr>
        <w:pStyle w:val="Heading3"/>
      </w:pPr>
      <w:r w:rsidRPr="00B2067F">
        <w:t>7.1.</w:t>
      </w:r>
      <w:r>
        <w:t>2</w:t>
      </w:r>
      <w:r w:rsidRPr="00B2067F">
        <w:tab/>
      </w:r>
      <w:bookmarkStart w:id="24" w:name="lt_pId423"/>
      <w:r w:rsidRPr="00B2067F">
        <w:t xml:space="preserve">Migración de Ingres a </w:t>
      </w:r>
      <w:bookmarkEnd w:id="24"/>
      <w:r w:rsidRPr="00B2067F">
        <w:t>SQL Server</w:t>
      </w:r>
    </w:p>
    <w:p w14:paraId="66D35560" w14:textId="77777777" w:rsidR="00B27BCB" w:rsidRPr="00B2067F" w:rsidRDefault="00B27BCB" w:rsidP="00B27BCB">
      <w:bookmarkStart w:id="25" w:name="lt_pId424"/>
      <w:r w:rsidRPr="00B2067F">
        <w:t>Se continuó trabajando en la migración de la base de datos TerRaSys de Ingres a SQL Server a lo largo de 202</w:t>
      </w:r>
      <w:r>
        <w:t>1</w:t>
      </w:r>
      <w:r w:rsidRPr="00B2067F">
        <w:t xml:space="preserve">, </w:t>
      </w:r>
      <w:r>
        <w:t>incluyendo lo siguiente</w:t>
      </w:r>
      <w:bookmarkEnd w:id="25"/>
      <w:r w:rsidRPr="00B2067F">
        <w:t>:</w:t>
      </w:r>
    </w:p>
    <w:p w14:paraId="547F311F" w14:textId="7A081461" w:rsidR="00B27BCB" w:rsidRPr="00B2067F" w:rsidRDefault="00664995" w:rsidP="00B27BCB">
      <w:pPr>
        <w:pStyle w:val="enumlev1"/>
      </w:pPr>
      <w:bookmarkStart w:id="26" w:name="lt_pId426"/>
      <w:r>
        <w:t>•</w:t>
      </w:r>
      <w:r w:rsidR="00B27BCB" w:rsidRPr="00B2067F">
        <w:tab/>
      </w:r>
      <w:r w:rsidR="00B27BCB">
        <w:t>e</w:t>
      </w:r>
      <w:r w:rsidR="00B27BCB">
        <w:rPr>
          <w:lang w:val="es-ES"/>
        </w:rPr>
        <w:t>l diseño definitivo de las nuevas estructuras de bases de datos necesarias para incluir la tramitación de las</w:t>
      </w:r>
      <w:r w:rsidR="00B27BCB" w:rsidRPr="007B5A7D">
        <w:rPr>
          <w:lang w:val="es-ES"/>
        </w:rPr>
        <w:t xml:space="preserve"> </w:t>
      </w:r>
      <w:r w:rsidR="00B27BCB" w:rsidRPr="007B16E5">
        <w:rPr>
          <w:lang w:val="es-ES"/>
        </w:rPr>
        <w:t>estaciones en plataformas a gran altitud</w:t>
      </w:r>
      <w:r w:rsidR="00B27BCB">
        <w:rPr>
          <w:lang w:val="es-ES"/>
        </w:rPr>
        <w:t xml:space="preserve"> (</w:t>
      </w:r>
      <w:r w:rsidR="00B27BCB" w:rsidRPr="007B5A7D">
        <w:rPr>
          <w:lang w:val="es-ES"/>
        </w:rPr>
        <w:t>HAPS</w:t>
      </w:r>
      <w:r w:rsidR="00B27BCB">
        <w:rPr>
          <w:lang w:val="es-ES"/>
        </w:rPr>
        <w:t>)</w:t>
      </w:r>
      <w:r w:rsidR="00B27BCB" w:rsidRPr="007B5A7D">
        <w:rPr>
          <w:lang w:val="es-ES"/>
        </w:rPr>
        <w:t xml:space="preserve">, </w:t>
      </w:r>
      <w:r w:rsidR="00B27BCB">
        <w:rPr>
          <w:lang w:val="es-ES"/>
        </w:rPr>
        <w:t>conforme a las decisiones de la CMR-19</w:t>
      </w:r>
      <w:r w:rsidR="00B27BCB" w:rsidRPr="007B5A7D">
        <w:rPr>
          <w:lang w:val="es-ES"/>
        </w:rPr>
        <w:t xml:space="preserve">. </w:t>
      </w:r>
      <w:r w:rsidR="00B27BCB">
        <w:rPr>
          <w:lang w:val="es-ES"/>
        </w:rPr>
        <w:t>E</w:t>
      </w:r>
      <w:r w:rsidR="00B27BCB" w:rsidRPr="00B2067F">
        <w:t>l examen final y la estabilización de las estructuras, los esquemas y los procedimientos de la base de datos (incluido el sistema de archivos), para adaptarlos a la moderna tecnología que ofrece</w:t>
      </w:r>
      <w:r w:rsidR="00B27BCB">
        <w:t xml:space="preserve"> el nuevo sistema de </w:t>
      </w:r>
      <w:r w:rsidR="00B27BCB" w:rsidRPr="00B2067F">
        <w:t>gestión de base</w:t>
      </w:r>
      <w:r w:rsidR="00B27BCB">
        <w:t>s</w:t>
      </w:r>
      <w:r w:rsidR="00B27BCB" w:rsidRPr="00B2067F">
        <w:t xml:space="preserve"> de datos (SGBD)</w:t>
      </w:r>
      <w:r w:rsidR="00B27BCB">
        <w:t xml:space="preserve"> </w:t>
      </w:r>
      <w:r w:rsidR="00B27BCB" w:rsidRPr="00B2067F">
        <w:t>y aprovechar las ventajas conexas;</w:t>
      </w:r>
      <w:bookmarkEnd w:id="26"/>
    </w:p>
    <w:p w14:paraId="2E8C45A9" w14:textId="2B595038" w:rsidR="00B27BCB" w:rsidRPr="00B2067F" w:rsidRDefault="00664995" w:rsidP="00B27BCB">
      <w:pPr>
        <w:pStyle w:val="enumlev1"/>
      </w:pPr>
      <w:bookmarkStart w:id="27" w:name="lt_pId427"/>
      <w:r>
        <w:t>•</w:t>
      </w:r>
      <w:r w:rsidR="00B27BCB" w:rsidRPr="00B2067F">
        <w:tab/>
      </w:r>
      <w:r w:rsidR="00B27BCB">
        <w:t>e</w:t>
      </w:r>
      <w:r w:rsidR="00B27BCB" w:rsidRPr="00B2067F">
        <w:t xml:space="preserve">l examen y </w:t>
      </w:r>
      <w:r w:rsidR="00B27BCB">
        <w:t xml:space="preserve">rediseño de </w:t>
      </w:r>
      <w:r w:rsidR="00B27BCB" w:rsidRPr="00B2067F">
        <w:t xml:space="preserve">los tipos de datos utilizados para algunos campos y la introducción de tipos de datos geográficos nuevos facilitados por </w:t>
      </w:r>
      <w:r w:rsidR="00B27BCB">
        <w:t>el</w:t>
      </w:r>
      <w:r w:rsidR="00B27BCB" w:rsidRPr="00B2067F">
        <w:t xml:space="preserve"> nuevo SGBD, que proporciona técnicas eficaces para ejecutar consultas geográficas completas rápidas</w:t>
      </w:r>
      <w:bookmarkEnd w:id="27"/>
      <w:r w:rsidR="00B27BCB" w:rsidRPr="00B2067F">
        <w:t>;</w:t>
      </w:r>
    </w:p>
    <w:p w14:paraId="56591E3D" w14:textId="413ADDBD" w:rsidR="00B27BCB" w:rsidRPr="00B2067F" w:rsidRDefault="00664995" w:rsidP="00B27BCB">
      <w:pPr>
        <w:pStyle w:val="enumlev1"/>
      </w:pPr>
      <w:bookmarkStart w:id="28" w:name="lt_pId428"/>
      <w:r>
        <w:t>•</w:t>
      </w:r>
      <w:r w:rsidR="00B27BCB" w:rsidRPr="00B2067F">
        <w:tab/>
      </w:r>
      <w:r w:rsidR="00B27BCB">
        <w:t>el rediseño</w:t>
      </w:r>
      <w:r w:rsidR="00B27BCB" w:rsidRPr="00B2067F">
        <w:t xml:space="preserve"> continu</w:t>
      </w:r>
      <w:r w:rsidR="00B27BCB">
        <w:t xml:space="preserve">o </w:t>
      </w:r>
      <w:r w:rsidR="00B27BCB" w:rsidRPr="00B2067F">
        <w:t xml:space="preserve">de diversos componentes </w:t>
      </w:r>
      <w:r w:rsidR="00B27BCB">
        <w:t xml:space="preserve">del </w:t>
      </w:r>
      <w:r w:rsidR="00B27BCB" w:rsidRPr="004508E8">
        <w:rPr>
          <w:i/>
          <w:iCs/>
        </w:rPr>
        <w:t>software</w:t>
      </w:r>
      <w:r w:rsidR="00B27BCB">
        <w:t xml:space="preserve"> </w:t>
      </w:r>
      <w:r w:rsidR="00B27BCB" w:rsidRPr="00B2067F">
        <w:t>y aplicaciones TerRaSys utilizados para acceder a la base de datos, con miras a aprovechar las ventajas de la tecnología moderna que ofrece</w:t>
      </w:r>
      <w:r w:rsidR="00B27BCB">
        <w:t xml:space="preserve">n el nuevo </w:t>
      </w:r>
      <w:r w:rsidR="00B27BCB" w:rsidRPr="00B2067F">
        <w:t xml:space="preserve">SGBD y utilizar las aplicaciones web y las tecnologías modernas de desarrollo de </w:t>
      </w:r>
      <w:r w:rsidR="00B27BCB" w:rsidRPr="00B2067F">
        <w:rPr>
          <w:i/>
          <w:iCs/>
        </w:rPr>
        <w:t>software</w:t>
      </w:r>
      <w:bookmarkEnd w:id="28"/>
      <w:r w:rsidR="00B27BCB" w:rsidRPr="00B2067F">
        <w:t>.</w:t>
      </w:r>
    </w:p>
    <w:p w14:paraId="33E9ECB1" w14:textId="77777777" w:rsidR="00B27BCB" w:rsidRPr="006154BF" w:rsidRDefault="00B27BCB" w:rsidP="00B27BCB">
      <w:bookmarkStart w:id="29" w:name="lt_pId429"/>
      <w:r w:rsidRPr="006154BF">
        <w:t xml:space="preserve">Se completaron el nuevo sistema de base de datos y los módulos de </w:t>
      </w:r>
      <w:r w:rsidRPr="004508E8">
        <w:rPr>
          <w:i/>
          <w:iCs/>
        </w:rPr>
        <w:t>software</w:t>
      </w:r>
      <w:r w:rsidRPr="006154BF">
        <w:t xml:space="preserve"> para la tramitación y la validación </w:t>
      </w:r>
      <w:r w:rsidRPr="006154BF">
        <w:rPr>
          <w:i/>
        </w:rPr>
        <w:t>ex ante</w:t>
      </w:r>
      <w:r w:rsidRPr="006154BF">
        <w:t xml:space="preserve"> de las notificaciones terrenales electrónicas, que </w:t>
      </w:r>
      <w:r w:rsidRPr="00212DFA">
        <w:t>ahora</w:t>
      </w:r>
      <w:r w:rsidRPr="006154BF">
        <w:t xml:space="preserve"> están siendo sometidos a las pruebas beta. Ha finalizado la migración de los módulos de </w:t>
      </w:r>
      <w:r w:rsidRPr="004508E8">
        <w:rPr>
          <w:i/>
        </w:rPr>
        <w:t>software</w:t>
      </w:r>
      <w:r w:rsidRPr="006154BF">
        <w:t xml:space="preserve"> de examen. Han comenzado los trabajos para la visualización de los resultados del examen y la entrega de la versión </w:t>
      </w:r>
      <w:r>
        <w:t>b</w:t>
      </w:r>
      <w:r w:rsidRPr="006154BF">
        <w:t>eta en pruebas está previst</w:t>
      </w:r>
      <w:r>
        <w:t>a</w:t>
      </w:r>
      <w:r w:rsidRPr="006154BF">
        <w:t xml:space="preserve"> para principios de mayo de 2022. La labor sobre la publicación y preparación de los nuevos paquetes de la BR IFIC se ha finalizado y probado antes de la entrega de la versión </w:t>
      </w:r>
      <w:r>
        <w:t>b</w:t>
      </w:r>
      <w:r w:rsidRPr="006154BF">
        <w:t>eta para pruebas. La entrega del product</w:t>
      </w:r>
      <w:r>
        <w:t>o</w:t>
      </w:r>
      <w:r w:rsidRPr="006154BF">
        <w:t xml:space="preserve"> está prevista para mayo de 2022.</w:t>
      </w:r>
    </w:p>
    <w:p w14:paraId="302A16AC" w14:textId="77777777" w:rsidR="00B27BCB" w:rsidRPr="006154BF" w:rsidRDefault="00B27BCB" w:rsidP="00B27BCB">
      <w:pPr>
        <w:rPr>
          <w:lang w:val="es-ES"/>
        </w:rPr>
      </w:pPr>
      <w:r w:rsidRPr="006154BF">
        <w:rPr>
          <w:lang w:val="es-ES"/>
        </w:rPr>
        <w:t xml:space="preserve">Se están diseñando e implementando varias aplicaciones web para permitir el acceso en línea a las consultas de la base de datos y otras herramientas de </w:t>
      </w:r>
      <w:r w:rsidRPr="004508E8">
        <w:rPr>
          <w:i/>
          <w:iCs/>
          <w:lang w:val="es-ES"/>
        </w:rPr>
        <w:t>software</w:t>
      </w:r>
      <w:r w:rsidRPr="006154BF">
        <w:rPr>
          <w:lang w:val="es-ES"/>
        </w:rPr>
        <w:t>, incluida la validación y el examen en línea de las notificaciones terrestres de asignaciones de frecuencia</w:t>
      </w:r>
      <w:r>
        <w:rPr>
          <w:lang w:val="es-ES"/>
        </w:rPr>
        <w:t>s</w:t>
      </w:r>
      <w:r w:rsidRPr="006154BF">
        <w:rPr>
          <w:lang w:val="es-ES"/>
        </w:rPr>
        <w:t>.</w:t>
      </w:r>
    </w:p>
    <w:p w14:paraId="59B48C31" w14:textId="77777777" w:rsidR="00B27BCB" w:rsidRDefault="00B27BCB" w:rsidP="00B27BCB">
      <w:r>
        <w:t>Está previsto</w:t>
      </w:r>
      <w:r w:rsidRPr="004A4A06">
        <w:t xml:space="preserve"> ultimar la migración y la reestructuración completas del sistema actual a finales de </w:t>
      </w:r>
      <w:r>
        <w:t>noviembre de 2022</w:t>
      </w:r>
      <w:r w:rsidRPr="004A4A06">
        <w:t>.</w:t>
      </w:r>
      <w:bookmarkEnd w:id="29"/>
      <w:r>
        <w:t xml:space="preserve"> </w:t>
      </w:r>
      <w:r w:rsidRPr="006154BF">
        <w:t xml:space="preserve">Se está preparando una </w:t>
      </w:r>
      <w:r>
        <w:t>c</w:t>
      </w:r>
      <w:r w:rsidRPr="006154BF">
        <w:t xml:space="preserve">arta </w:t>
      </w:r>
      <w:r>
        <w:t>c</w:t>
      </w:r>
      <w:r w:rsidRPr="006154BF">
        <w:t xml:space="preserve">ircular que describe la estructura de la base de datos </w:t>
      </w:r>
      <w:r>
        <w:t xml:space="preserve">de servicios terrenales </w:t>
      </w:r>
      <w:r w:rsidRPr="006154BF">
        <w:t xml:space="preserve">nueva </w:t>
      </w:r>
      <w:r>
        <w:t>y modificada, así como las herramientas conexas a publicar en la BR IFIC, que se enviará a las administraciones y a otros usuarios.</w:t>
      </w:r>
    </w:p>
    <w:p w14:paraId="7E73071E" w14:textId="77777777" w:rsidR="00B27BCB" w:rsidRPr="00525EEF" w:rsidRDefault="00B27BCB" w:rsidP="00B27BCB">
      <w:pPr>
        <w:rPr>
          <w:lang w:val="es-ES"/>
        </w:rPr>
      </w:pPr>
      <w:bookmarkStart w:id="30" w:name="lt_pId430"/>
      <w:r w:rsidRPr="004A4A06">
        <w:lastRenderedPageBreak/>
        <w:t>Ya se dispone de copias de la base de datos</w:t>
      </w:r>
      <w:r>
        <w:t xml:space="preserve"> de servicios </w:t>
      </w:r>
      <w:r w:rsidRPr="004A4A06">
        <w:t xml:space="preserve">terrenales existente en la nueva plataforma del SGBD, que diversas aplicaciones de la BR están utilizando a través de la web para mostrar, validar y procesar </w:t>
      </w:r>
      <w:r>
        <w:t xml:space="preserve">las </w:t>
      </w:r>
      <w:r w:rsidRPr="004A4A06">
        <w:t>notificaciones de frecuencias terrenales.</w:t>
      </w:r>
      <w:bookmarkEnd w:id="30"/>
    </w:p>
    <w:p w14:paraId="1DE50981" w14:textId="77777777" w:rsidR="00B27BCB" w:rsidRPr="00B2067F" w:rsidRDefault="00B27BCB" w:rsidP="00B27BCB">
      <w:pPr>
        <w:pStyle w:val="Heading2"/>
      </w:pPr>
      <w:r w:rsidRPr="00B2067F">
        <w:t>7.2</w:t>
      </w:r>
      <w:r w:rsidRPr="00B2067F">
        <w:tab/>
      </w:r>
      <w:bookmarkStart w:id="31" w:name="lt_pId439"/>
      <w:r w:rsidRPr="00B2067F">
        <w:t>Progresos en el cumplimiento de la hoja de ruta de los sistemas de información espacial de la BR (GAR-19, 2012)</w:t>
      </w:r>
      <w:bookmarkEnd w:id="31"/>
    </w:p>
    <w:p w14:paraId="76AA5A39" w14:textId="77777777" w:rsidR="00B27BCB" w:rsidRPr="00B2067F" w:rsidRDefault="00B27BCB" w:rsidP="00B27BCB">
      <w:r>
        <w:t xml:space="preserve">El </w:t>
      </w:r>
      <w:r w:rsidRPr="00B2067F">
        <w:t>GAR</w:t>
      </w:r>
      <w:r>
        <w:t>-19</w:t>
      </w:r>
      <w:r w:rsidRPr="00B2067F">
        <w:t xml:space="preserve"> aconsejó al Director que aplicase las medidas recomendadas en los plazos propuestos, tal y como se describe en la hoja de ruta acordada, que comprende la Fase 1 (Aplicación de las decisiones de la CMR</w:t>
      </w:r>
      <w:r>
        <w:noBreakHyphen/>
      </w:r>
      <w:r w:rsidRPr="00B2067F">
        <w:t xml:space="preserve">12), la Fase 2 (Reescribir parte del </w:t>
      </w:r>
      <w:r w:rsidRPr="004508E8">
        <w:rPr>
          <w:i/>
        </w:rPr>
        <w:t>software</w:t>
      </w:r>
      <w:r w:rsidRPr="00B2067F">
        <w:t xml:space="preserve"> existente) y la Fase 3 (Crear un equipo de proyecto para implementar un marco común, un sistema de seguridad y una base de datos espacial centralizada). El GAR alentó a los Estados Miembros y a los Miembros de Sector a formular comentarios sobre la Fase 3.</w:t>
      </w:r>
    </w:p>
    <w:p w14:paraId="00543E0A" w14:textId="77777777" w:rsidR="00B27BCB" w:rsidRPr="00B2067F" w:rsidRDefault="00B27BCB" w:rsidP="00B27BCB">
      <w:bookmarkStart w:id="32" w:name="lt_pId442"/>
      <w:r w:rsidRPr="00B2067F">
        <w:t>En 202</w:t>
      </w:r>
      <w:r>
        <w:t>1</w:t>
      </w:r>
      <w:r w:rsidRPr="00B2067F">
        <w:t xml:space="preserve">, la BR mantuvo el </w:t>
      </w:r>
      <w:r w:rsidRPr="004508E8">
        <w:rPr>
          <w:i/>
        </w:rPr>
        <w:t>software</w:t>
      </w:r>
      <w:r w:rsidRPr="00B2067F">
        <w:t xml:space="preserve"> existente, al tiempo que empezó a trabajar en la implementación de nuevas versiones de aplicaciones de </w:t>
      </w:r>
      <w:r w:rsidRPr="004508E8">
        <w:rPr>
          <w:i/>
        </w:rPr>
        <w:t>software</w:t>
      </w:r>
      <w:r w:rsidRPr="00B2067F">
        <w:t xml:space="preserve"> fundamentales. Este esfuerzo paralelo es tanto una necesidad, dadas las exigencias operacionales, como la razón por la que ciertos proyectos de modernización siguen en curso.</w:t>
      </w:r>
      <w:bookmarkEnd w:id="32"/>
    </w:p>
    <w:p w14:paraId="3ADCA687" w14:textId="77777777" w:rsidR="00B27BCB" w:rsidRPr="00B2067F" w:rsidRDefault="00B27BCB" w:rsidP="00B27BCB">
      <w:pPr>
        <w:pStyle w:val="Heading3"/>
      </w:pPr>
      <w:r w:rsidRPr="00547C72">
        <w:t>7.2.1</w:t>
      </w:r>
      <w:r w:rsidRPr="00547C72">
        <w:tab/>
        <w:t>Progresos hacia los objetivos de la Fase 2 de la hoja de ruta</w:t>
      </w:r>
    </w:p>
    <w:p w14:paraId="3DED58EB" w14:textId="77777777" w:rsidR="00B27BCB" w:rsidRDefault="00B27BCB" w:rsidP="00B27BCB">
      <w:pPr>
        <w:pStyle w:val="Heading4"/>
      </w:pPr>
      <w:r w:rsidRPr="00B2067F">
        <w:t>7.2.1.1</w:t>
      </w:r>
      <w:r w:rsidRPr="00B2067F">
        <w:tab/>
      </w:r>
      <w:bookmarkStart w:id="33" w:name="_Hlk34385380"/>
      <w:r w:rsidRPr="00B2067F">
        <w:t xml:space="preserve">Reescritura del </w:t>
      </w:r>
      <w:bookmarkEnd w:id="33"/>
      <w:r w:rsidRPr="00B2067F">
        <w:rPr>
          <w:i/>
          <w:iCs/>
        </w:rPr>
        <w:t>software</w:t>
      </w:r>
      <w:r w:rsidRPr="00B2067F">
        <w:t xml:space="preserve"> existente para los exámenes técnicos</w:t>
      </w:r>
    </w:p>
    <w:p w14:paraId="5579095C" w14:textId="25ACD949" w:rsidR="00B27BCB" w:rsidRPr="00325F8C" w:rsidRDefault="00664995" w:rsidP="00B27BCB">
      <w:pPr>
        <w:pStyle w:val="enumlev1"/>
      </w:pPr>
      <w:r>
        <w:t>•</w:t>
      </w:r>
      <w:r w:rsidR="00B27BCB" w:rsidRPr="00325F8C">
        <w:tab/>
        <w:t xml:space="preserve">Reescritura del </w:t>
      </w:r>
      <w:r w:rsidR="00B27BCB" w:rsidRPr="004508E8">
        <w:rPr>
          <w:i/>
          <w:iCs/>
        </w:rPr>
        <w:t>software</w:t>
      </w:r>
      <w:r w:rsidR="00B27BCB" w:rsidRPr="00325F8C">
        <w:t xml:space="preserve"> de cálculo de la DFP para la protección de los servicios espaciales: en curso.</w:t>
      </w:r>
    </w:p>
    <w:p w14:paraId="1F68EE08" w14:textId="0F67A379" w:rsidR="00B27BCB" w:rsidRPr="00325F8C" w:rsidRDefault="00664995" w:rsidP="00B27BCB">
      <w:pPr>
        <w:pStyle w:val="enumlev1"/>
      </w:pPr>
      <w:r>
        <w:t>•</w:t>
      </w:r>
      <w:r w:rsidR="00B27BCB" w:rsidRPr="00325F8C">
        <w:tab/>
        <w:t xml:space="preserve">Migración del </w:t>
      </w:r>
      <w:r w:rsidR="00B27BCB" w:rsidRPr="004508E8">
        <w:rPr>
          <w:i/>
          <w:iCs/>
        </w:rPr>
        <w:t>software</w:t>
      </w:r>
      <w:r w:rsidR="00B27BCB" w:rsidRPr="00325F8C">
        <w:t xml:space="preserve"> para los exámenes técnicos escrito en Fortran del compilador Compaq Visual Fortran al compilador Intel Fortran: finalizado.</w:t>
      </w:r>
    </w:p>
    <w:p w14:paraId="17807A0E" w14:textId="41D88DAB" w:rsidR="00B27BCB" w:rsidRPr="00325F8C" w:rsidRDefault="00664995" w:rsidP="00B27BCB">
      <w:pPr>
        <w:pStyle w:val="enumlev1"/>
      </w:pPr>
      <w:r>
        <w:t>•</w:t>
      </w:r>
      <w:r w:rsidR="00B27BCB" w:rsidRPr="00325F8C">
        <w:tab/>
        <w:t>Migración de los componentes del Fortran del GIMS: pendiente de inicio.</w:t>
      </w:r>
    </w:p>
    <w:p w14:paraId="36D73A10" w14:textId="7491D56A" w:rsidR="00B27BCB" w:rsidRPr="00325F8C" w:rsidRDefault="00664995" w:rsidP="00B27BCB">
      <w:pPr>
        <w:pStyle w:val="enumlev1"/>
      </w:pPr>
      <w:r>
        <w:t>•</w:t>
      </w:r>
      <w:r w:rsidR="00B27BCB" w:rsidRPr="00325F8C">
        <w:tab/>
      </w:r>
      <w:proofErr w:type="spellStart"/>
      <w:r w:rsidR="00B27BCB" w:rsidRPr="00325F8C">
        <w:t>Mspace</w:t>
      </w:r>
      <w:proofErr w:type="spellEnd"/>
      <w:r w:rsidR="00B27BCB" w:rsidRPr="00325F8C">
        <w:t xml:space="preserve"> – Migración de los componentes de Visual Basic 6 a .NET: en curso.</w:t>
      </w:r>
    </w:p>
    <w:p w14:paraId="79DB3C85" w14:textId="77777777" w:rsidR="00B27BCB" w:rsidRPr="00B2067F" w:rsidRDefault="00B27BCB" w:rsidP="00B27BCB">
      <w:pPr>
        <w:pStyle w:val="Heading4"/>
      </w:pPr>
      <w:r w:rsidRPr="0085691A">
        <w:t>7.2.1.2</w:t>
      </w:r>
      <w:r w:rsidRPr="0085691A">
        <w:tab/>
        <w:t>Diseño y desarrollo del sistema de información espacial de la BR (BR SIS)</w:t>
      </w:r>
    </w:p>
    <w:p w14:paraId="6AADA9CF" w14:textId="59D6B028" w:rsidR="00B27BCB" w:rsidRPr="00B2067F" w:rsidRDefault="00664995" w:rsidP="00B27BCB">
      <w:pPr>
        <w:pStyle w:val="enumlev1"/>
      </w:pPr>
      <w:r>
        <w:t>•</w:t>
      </w:r>
      <w:r w:rsidR="00B27BCB" w:rsidRPr="00B2067F">
        <w:tab/>
        <w:t xml:space="preserve">Reescritura de la versión de SpaceCap en Visual Basic 6: en curso. En </w:t>
      </w:r>
      <w:r w:rsidR="00B27BCB">
        <w:t xml:space="preserve">el primer trimestre de </w:t>
      </w:r>
      <w:r w:rsidR="00B27BCB" w:rsidRPr="00B2067F">
        <w:t>202</w:t>
      </w:r>
      <w:r w:rsidR="00B27BCB">
        <w:t>2</w:t>
      </w:r>
      <w:r w:rsidR="00B27BCB" w:rsidRPr="00B2067F">
        <w:t xml:space="preserve">, se podrá acceder a los primeros módulos de SpaceCap implementados en BRSIS, </w:t>
      </w:r>
      <w:r w:rsidR="00B27BCB">
        <w:t>como parte de la prestación de captura de acuerdos de coordinación.</w:t>
      </w:r>
    </w:p>
    <w:p w14:paraId="23584ED4" w14:textId="17EB0605" w:rsidR="00B27BCB" w:rsidRPr="00325F8C" w:rsidRDefault="00664995" w:rsidP="00B27BCB">
      <w:pPr>
        <w:pStyle w:val="enumlev1"/>
      </w:pPr>
      <w:r>
        <w:t>•</w:t>
      </w:r>
      <w:r w:rsidR="00B27BCB" w:rsidRPr="00325F8C">
        <w:tab/>
        <w:t xml:space="preserve">Migración de SRS MDB a tecnologías más modernas: aunque la opción tecnológica que reemplazará a los archivos MDB es evidente, la migración afectará de manera importante a la tramitación interna de la BR de los servicios espaciales. Por lo tanto, la migración a las bases de datos SQLite no podrá entrar en producción antes de la CMR-23. Se conservará durante un tiempo la compatibilidad retroactiva con el formato MDB, así como las herramientas de conversión, cuando las aplicaciones de </w:t>
      </w:r>
      <w:r w:rsidR="00B27BCB" w:rsidRPr="004508E8">
        <w:rPr>
          <w:i/>
          <w:iCs/>
        </w:rPr>
        <w:t>software</w:t>
      </w:r>
      <w:r w:rsidR="00B27BCB" w:rsidRPr="00325F8C">
        <w:t xml:space="preserve"> espaciales de la BR se hayan trasladado a SQLite.</w:t>
      </w:r>
    </w:p>
    <w:p w14:paraId="0DD4F2AF" w14:textId="363B86CD" w:rsidR="00B27BCB" w:rsidRPr="00B2067F" w:rsidRDefault="00664995" w:rsidP="00B27BCB">
      <w:pPr>
        <w:pStyle w:val="enumlev1"/>
      </w:pPr>
      <w:r>
        <w:t>•</w:t>
      </w:r>
      <w:r w:rsidR="00B27BCB" w:rsidRPr="00325F8C">
        <w:tab/>
        <w:t>Migración de la base de datos SNS de Ingres a SQL Server: la migración de las aplicaciones de tramitación interna específicas del entorno Ingres siguió su curso en 2021.</w:t>
      </w:r>
      <w:r w:rsidR="00B27BCB" w:rsidRPr="00B2067F">
        <w:t xml:space="preserve"> El resto de</w:t>
      </w:r>
      <w:r w:rsidR="00B27BCB">
        <w:t xml:space="preserve"> las</w:t>
      </w:r>
      <w:r w:rsidR="00B27BCB" w:rsidRPr="00B2067F">
        <w:t xml:space="preserve"> aplicaciones de tramitación interna </w:t>
      </w:r>
      <w:r w:rsidR="00B27BCB">
        <w:t xml:space="preserve">de la BR </w:t>
      </w:r>
      <w:r w:rsidR="00B27BCB" w:rsidRPr="00B2067F">
        <w:t>se reescribirán o adaptarán en</w:t>
      </w:r>
      <w:r w:rsidR="00B27BCB">
        <w:t> </w:t>
      </w:r>
      <w:r w:rsidR="00B27BCB" w:rsidRPr="00B2067F">
        <w:t>202</w:t>
      </w:r>
      <w:r w:rsidR="00B27BCB">
        <w:t>2</w:t>
      </w:r>
      <w:r w:rsidR="00B27BCB" w:rsidRPr="00B2067F">
        <w:t xml:space="preserve">, para que entren en producción </w:t>
      </w:r>
      <w:r w:rsidR="00B27BCB">
        <w:t>en el último</w:t>
      </w:r>
      <w:r w:rsidR="00B27BCB" w:rsidRPr="00B2067F">
        <w:t xml:space="preserve"> trimestre de 2022.</w:t>
      </w:r>
    </w:p>
    <w:p w14:paraId="3D6EEAFB" w14:textId="732BE442" w:rsidR="00B27BCB" w:rsidRPr="00B2067F" w:rsidRDefault="00664995" w:rsidP="00B27BCB">
      <w:pPr>
        <w:pStyle w:val="enumlev1"/>
      </w:pPr>
      <w:r>
        <w:t>•</w:t>
      </w:r>
      <w:r w:rsidR="00B27BCB" w:rsidRPr="00B2067F">
        <w:tab/>
        <w:t xml:space="preserve">Examen de </w:t>
      </w:r>
      <w:proofErr w:type="spellStart"/>
      <w:r w:rsidR="00B27BCB" w:rsidRPr="00B2067F">
        <w:t>SNTrack</w:t>
      </w:r>
      <w:proofErr w:type="spellEnd"/>
      <w:r w:rsidR="00B27BCB" w:rsidRPr="00B2067F">
        <w:t xml:space="preserve">: </w:t>
      </w:r>
      <w:r w:rsidR="00B27BCB">
        <w:t xml:space="preserve">en curso. En 2021 se migró el módulo de recuperación de costes de SNTrack a una aplicación moderna .NET WPF ejecutada sobre SQL Server. Otras </w:t>
      </w:r>
      <w:r w:rsidR="00B27BCB" w:rsidRPr="00B2067F">
        <w:t xml:space="preserve">partes de SNTrack </w:t>
      </w:r>
      <w:r w:rsidR="00B27BCB">
        <w:t>se</w:t>
      </w:r>
      <w:r w:rsidR="00B27BCB" w:rsidRPr="00B2067F">
        <w:t xml:space="preserve"> reemplaza</w:t>
      </w:r>
      <w:r w:rsidR="00B27BCB">
        <w:t xml:space="preserve">rán gradualmente </w:t>
      </w:r>
      <w:r w:rsidR="00B27BCB" w:rsidRPr="00B2067F">
        <w:t xml:space="preserve">por un sistema de información de gestión </w:t>
      </w:r>
      <w:r w:rsidR="00B27BCB">
        <w:t>de servicios espaciales</w:t>
      </w:r>
      <w:r w:rsidR="00B27BCB" w:rsidRPr="00B2067F">
        <w:t>, que complementará la funcionalidad de administración del sistema de presentación electrónica.</w:t>
      </w:r>
    </w:p>
    <w:p w14:paraId="63397CFE" w14:textId="52201E24" w:rsidR="00B27BCB" w:rsidRDefault="00B27BCB" w:rsidP="00B27BCB">
      <w:pPr>
        <w:pStyle w:val="enumlev1"/>
      </w:pPr>
      <w:r>
        <w:lastRenderedPageBreak/>
        <w:t>–</w:t>
      </w:r>
      <w:r w:rsidRPr="00B2067F">
        <w:tab/>
        <w:t xml:space="preserve">Examen de la SNS en línea (y fusión con la SNL en línea): en curso. El desarrollo de la aplicación web </w:t>
      </w:r>
      <w:r>
        <w:t xml:space="preserve">«ITU </w:t>
      </w:r>
      <w:r w:rsidRPr="00B2067F">
        <w:t>Space Explorer</w:t>
      </w:r>
      <w:r>
        <w:t>»</w:t>
      </w:r>
      <w:r w:rsidRPr="00B2067F">
        <w:t xml:space="preserve">, que reemplazará el sistema de minería de datos que se incluía previamente en la SNS en línea y la SNL en línea, forma parte del proyecto para </w:t>
      </w:r>
      <w:r>
        <w:t>aplicar</w:t>
      </w:r>
      <w:r w:rsidRPr="00B2067F">
        <w:t xml:space="preserve"> la Resolución 908 y responder al </w:t>
      </w:r>
      <w:r w:rsidRPr="00547C72">
        <w:rPr>
          <w:i/>
        </w:rPr>
        <w:t>encarga</w:t>
      </w:r>
      <w:r w:rsidRPr="00B2067F">
        <w:t xml:space="preserve"> 4 de la Resolución 186 (Rev. Dubái,</w:t>
      </w:r>
      <w:r w:rsidR="00664995">
        <w:t> </w:t>
      </w:r>
      <w:r w:rsidRPr="00B2067F">
        <w:t xml:space="preserve">2018) de la </w:t>
      </w:r>
      <w:r>
        <w:t>Conferencia de Plenipotenciarios</w:t>
      </w:r>
      <w:r w:rsidRPr="00B2067F">
        <w:t xml:space="preserve">. </w:t>
      </w:r>
      <w:r>
        <w:t xml:space="preserve">En </w:t>
      </w:r>
      <w:r w:rsidRPr="00B2067F">
        <w:t>2021</w:t>
      </w:r>
      <w:r>
        <w:t xml:space="preserve"> ha progresado la Fase</w:t>
      </w:r>
      <w:r w:rsidR="00664995">
        <w:t> </w:t>
      </w:r>
      <w:r>
        <w:t>1 del proyecto, que debería estar disponible para pruebas externas el primer trimestre de 2022. La primera entrega del producto se espera para junio de 2022.</w:t>
      </w:r>
    </w:p>
    <w:p w14:paraId="2F7D0600" w14:textId="77777777" w:rsidR="00B27BCB" w:rsidRPr="00B2067F" w:rsidRDefault="00B27BCB" w:rsidP="00B27BCB">
      <w:pPr>
        <w:pStyle w:val="Heading3"/>
      </w:pPr>
      <w:r w:rsidRPr="00B2067F">
        <w:t>7.2.2</w:t>
      </w:r>
      <w:r w:rsidRPr="00B2067F">
        <w:tab/>
        <w:t>Progresos hacia los objetivos de la Fase 3 de la hoja de ruta</w:t>
      </w:r>
    </w:p>
    <w:p w14:paraId="6A5BECCA" w14:textId="77777777" w:rsidR="00B27BCB" w:rsidRPr="00B2067F" w:rsidRDefault="00B27BCB" w:rsidP="00B27BCB">
      <w:r w:rsidRPr="00B2067F">
        <w:t>El trabajo realizado durante las fases anteriores, así como las opciones tecnológicas y de diseño adoptadas, sientan una base excelente para finalizar la Fase 3 de forma satisfactoria</w:t>
      </w:r>
      <w:r>
        <w:t>, que se desarrollará de la forma siguiente</w:t>
      </w:r>
      <w:r w:rsidRPr="00B2067F">
        <w:t>:</w:t>
      </w:r>
    </w:p>
    <w:p w14:paraId="6397E376" w14:textId="39ACD9AE" w:rsidR="00B27BCB" w:rsidRDefault="00664995" w:rsidP="00B27BCB">
      <w:pPr>
        <w:pStyle w:val="enumlev1"/>
      </w:pPr>
      <w:r>
        <w:t>•</w:t>
      </w:r>
      <w:r w:rsidR="00B27BCB" w:rsidRPr="00B2067F">
        <w:tab/>
      </w:r>
      <w:r w:rsidR="00B27BCB">
        <w:t xml:space="preserve">Rediseño de </w:t>
      </w:r>
      <w:r w:rsidR="00B27BCB" w:rsidRPr="00B2067F">
        <w:t>la arquitectura, conservando la equivalencia de los datos, a fin de eliminar ciertas redundancias, se</w:t>
      </w:r>
      <w:r w:rsidR="00B27BCB">
        <w:t xml:space="preserve"> entregará al mismo tiempo que la implementación de las decisiones de la CMR-23, a fin de no modificar la arquitectura de la base de datos con excesiva frecuencia.</w:t>
      </w:r>
    </w:p>
    <w:p w14:paraId="54FE1D27" w14:textId="0C6BB177" w:rsidR="00B27BCB" w:rsidRPr="00B2067F" w:rsidRDefault="00664995" w:rsidP="00B27BCB">
      <w:pPr>
        <w:pStyle w:val="enumlev1"/>
      </w:pPr>
      <w:r>
        <w:t>•</w:t>
      </w:r>
      <w:r w:rsidR="00B27BCB" w:rsidRPr="00B2067F">
        <w:tab/>
        <w:t>Las actividades relacionadas con la centralización y racionalización de la gestión de riesgos, la recuperación y la seguridad están en curso.</w:t>
      </w:r>
    </w:p>
    <w:p w14:paraId="33B1419A" w14:textId="77777777" w:rsidR="00B27BCB" w:rsidRPr="00B2067F" w:rsidRDefault="00B27BCB" w:rsidP="00B27BCB">
      <w:pPr>
        <w:pStyle w:val="Heading2"/>
      </w:pPr>
      <w:r w:rsidRPr="00B2067F">
        <w:t>7.3</w:t>
      </w:r>
      <w:r w:rsidRPr="00B2067F">
        <w:tab/>
      </w:r>
      <w:r>
        <w:t xml:space="preserve">Desarrollos de </w:t>
      </w:r>
      <w:r w:rsidRPr="001E3122">
        <w:rPr>
          <w:i/>
          <w:iCs/>
        </w:rPr>
        <w:t>software</w:t>
      </w:r>
      <w:r w:rsidRPr="00B2067F">
        <w:t xml:space="preserve"> relacionado</w:t>
      </w:r>
      <w:r>
        <w:t>s</w:t>
      </w:r>
      <w:r w:rsidRPr="00B2067F">
        <w:t xml:space="preserve"> con los servicios espaciales</w:t>
      </w:r>
    </w:p>
    <w:p w14:paraId="322E8205" w14:textId="77777777" w:rsidR="00B27BCB" w:rsidRDefault="00B27BCB" w:rsidP="00B27BCB">
      <w:pPr>
        <w:pStyle w:val="Heading3"/>
      </w:pPr>
      <w:r w:rsidRPr="00B2067F">
        <w:t>7.3.1</w:t>
      </w:r>
      <w:r w:rsidRPr="00B2067F">
        <w:tab/>
        <w:t>Aplicación de la Resolución 907 (Rev.CMR-15): Utilización de medios electrónicos modernos de comunicación para la correspondencia administrativa relativa a las redes de satélites</w:t>
      </w:r>
    </w:p>
    <w:p w14:paraId="3D3EC1D3" w14:textId="77777777" w:rsidR="00B27BCB" w:rsidRPr="00556B4E" w:rsidRDefault="00B27BCB" w:rsidP="00B27BCB">
      <w:pPr>
        <w:rPr>
          <w:lang w:val="es-ES"/>
        </w:rPr>
      </w:pPr>
      <w:r w:rsidRPr="00556B4E">
        <w:rPr>
          <w:lang w:val="es-ES"/>
        </w:rPr>
        <w:t>En 2021 han proseguido los t</w:t>
      </w:r>
      <w:r>
        <w:rPr>
          <w:lang w:val="es-ES"/>
        </w:rPr>
        <w:t>rabajos para la implementación y mantenimiento del sistema en línea de comunicaciones electrónicas («</w:t>
      </w:r>
      <w:r w:rsidRPr="00556B4E">
        <w:rPr>
          <w:lang w:val="es-ES"/>
        </w:rPr>
        <w:t>e-Communications</w:t>
      </w:r>
      <w:r>
        <w:rPr>
          <w:lang w:val="es-ES"/>
        </w:rPr>
        <w:t>»</w:t>
      </w:r>
      <w:r w:rsidRPr="00556B4E">
        <w:rPr>
          <w:lang w:val="es-ES"/>
        </w:rPr>
        <w:t>)</w:t>
      </w:r>
      <w:r>
        <w:rPr>
          <w:lang w:val="es-ES"/>
        </w:rPr>
        <w:t xml:space="preserve"> que responde a la Resolución </w:t>
      </w:r>
      <w:r w:rsidRPr="0085691A">
        <w:rPr>
          <w:b/>
          <w:bCs/>
          <w:lang w:val="es-ES"/>
        </w:rPr>
        <w:t>907 (Rev.CMR-15)</w:t>
      </w:r>
      <w:r w:rsidRPr="00556B4E">
        <w:rPr>
          <w:lang w:val="es-ES"/>
        </w:rPr>
        <w:t>.</w:t>
      </w:r>
    </w:p>
    <w:p w14:paraId="2B9E847C" w14:textId="77777777" w:rsidR="00B27BCB" w:rsidRDefault="00B27BCB" w:rsidP="00B27BCB">
      <w:pPr>
        <w:rPr>
          <w:lang w:val="es-ES"/>
        </w:rPr>
      </w:pPr>
      <w:r w:rsidRPr="00556B4E">
        <w:rPr>
          <w:lang w:val="es-ES"/>
        </w:rPr>
        <w:t xml:space="preserve">Se han implementado nuevas funciones de filtrado (gestionado/no gestionado, leído/no leído) para la </w:t>
      </w:r>
      <w:r>
        <w:rPr>
          <w:lang w:val="es-ES"/>
        </w:rPr>
        <w:t>b</w:t>
      </w:r>
      <w:r w:rsidRPr="00556B4E">
        <w:rPr>
          <w:lang w:val="es-ES"/>
        </w:rPr>
        <w:t xml:space="preserve">andeja de </w:t>
      </w:r>
      <w:r>
        <w:rPr>
          <w:lang w:val="es-ES"/>
        </w:rPr>
        <w:t>e</w:t>
      </w:r>
      <w:r w:rsidRPr="00556B4E">
        <w:rPr>
          <w:lang w:val="es-ES"/>
        </w:rPr>
        <w:t xml:space="preserve">ntrada y </w:t>
      </w:r>
      <w:r>
        <w:rPr>
          <w:lang w:val="es-ES"/>
        </w:rPr>
        <w:t xml:space="preserve">la bandeja </w:t>
      </w:r>
      <w:r w:rsidRPr="00556B4E">
        <w:rPr>
          <w:lang w:val="es-ES"/>
        </w:rPr>
        <w:t xml:space="preserve">de </w:t>
      </w:r>
      <w:r>
        <w:rPr>
          <w:lang w:val="es-ES"/>
        </w:rPr>
        <w:t>e</w:t>
      </w:r>
      <w:r w:rsidRPr="00556B4E">
        <w:rPr>
          <w:lang w:val="es-ES"/>
        </w:rPr>
        <w:t xml:space="preserve">nviados. Se han llevado a cabo importantes mejoras en la gestión de la correspondencia </w:t>
      </w:r>
      <w:r>
        <w:rPr>
          <w:lang w:val="es-ES"/>
        </w:rPr>
        <w:t xml:space="preserve">en </w:t>
      </w:r>
      <w:r w:rsidRPr="00556B4E">
        <w:rPr>
          <w:lang w:val="es-ES"/>
        </w:rPr>
        <w:t xml:space="preserve">el sistema interno de la BR para aumentar la seguridad y la fiabilidad. Se está desarrollando un nuevo </w:t>
      </w:r>
      <w:r>
        <w:rPr>
          <w:lang w:val="es-ES"/>
        </w:rPr>
        <w:t>tipo</w:t>
      </w:r>
      <w:r w:rsidRPr="00556B4E">
        <w:rPr>
          <w:lang w:val="es-ES"/>
        </w:rPr>
        <w:t xml:space="preserve"> de usuario, </w:t>
      </w:r>
      <w:r>
        <w:rPr>
          <w:lang w:val="es-ES"/>
        </w:rPr>
        <w:t>«</w:t>
      </w:r>
      <w:r w:rsidRPr="00556B4E">
        <w:rPr>
          <w:lang w:val="es-ES"/>
        </w:rPr>
        <w:t>una administración que actúa en nombre de una organización de satélites intergubernamental</w:t>
      </w:r>
      <w:r>
        <w:rPr>
          <w:lang w:val="es-ES"/>
        </w:rPr>
        <w:t>»</w:t>
      </w:r>
      <w:r w:rsidRPr="00556B4E">
        <w:rPr>
          <w:lang w:val="es-ES"/>
        </w:rPr>
        <w:t xml:space="preserve"> y se espera que esté disponible en el primer trimestre de 2022</w:t>
      </w:r>
      <w:r>
        <w:rPr>
          <w:lang w:val="es-ES"/>
        </w:rPr>
        <w:t>.</w:t>
      </w:r>
    </w:p>
    <w:p w14:paraId="7B4D51CD" w14:textId="77777777" w:rsidR="00B27BCB" w:rsidRPr="00017294" w:rsidRDefault="00B27BCB" w:rsidP="00B27BCB">
      <w:pPr>
        <w:rPr>
          <w:lang w:val="es-ES"/>
        </w:rPr>
      </w:pPr>
      <w:r w:rsidRPr="00017294">
        <w:rPr>
          <w:lang w:val="es-ES"/>
        </w:rPr>
        <w:t xml:space="preserve">Hay 144 </w:t>
      </w:r>
      <w:r>
        <w:rPr>
          <w:lang w:val="es-ES"/>
        </w:rPr>
        <w:t>a</w:t>
      </w:r>
      <w:r w:rsidRPr="00017294">
        <w:rPr>
          <w:lang w:val="es-ES"/>
        </w:rPr>
        <w:t>dministraciones registradas en el sistema de comunicaciones electrónicas, de las cuales, a 1 de marzo de 2022, 112 han enviado correspondencia a través del sistema</w:t>
      </w:r>
      <w:r>
        <w:rPr>
          <w:lang w:val="es-ES"/>
        </w:rPr>
        <w:t>.</w:t>
      </w:r>
    </w:p>
    <w:p w14:paraId="60480D9F" w14:textId="77777777" w:rsidR="00B27BCB" w:rsidRPr="00B2067F" w:rsidRDefault="00B27BCB" w:rsidP="00B27BCB">
      <w:pPr>
        <w:pStyle w:val="Heading3"/>
      </w:pPr>
      <w:r w:rsidRPr="00380F9D">
        <w:t>7.3.2</w:t>
      </w:r>
      <w:r w:rsidRPr="00380F9D">
        <w:tab/>
      </w:r>
      <w:bookmarkStart w:id="34" w:name="lt_pId259"/>
      <w:r w:rsidRPr="00380F9D">
        <w:t>Aplicación de la Resolución 908 (Rev.CMR-15): Presentación en formato electrónico de las notificaciones de redes de satélite</w:t>
      </w:r>
      <w:bookmarkEnd w:id="34"/>
    </w:p>
    <w:p w14:paraId="473F792F" w14:textId="77777777" w:rsidR="00B27BCB" w:rsidRDefault="00B27BCB" w:rsidP="00B27BCB">
      <w:pPr>
        <w:rPr>
          <w:lang w:val="es-ES"/>
        </w:rPr>
      </w:pPr>
      <w:r w:rsidRPr="00700899">
        <w:rPr>
          <w:lang w:val="es-ES"/>
        </w:rPr>
        <w:t xml:space="preserve">El sistema de </w:t>
      </w:r>
      <w:r>
        <w:rPr>
          <w:lang w:val="es-ES"/>
        </w:rPr>
        <w:t>presentación electrónica de notificaciones («</w:t>
      </w:r>
      <w:r w:rsidRPr="00700899">
        <w:rPr>
          <w:lang w:val="es-ES"/>
        </w:rPr>
        <w:t>e-Submission</w:t>
      </w:r>
      <w:r>
        <w:rPr>
          <w:lang w:val="es-ES"/>
        </w:rPr>
        <w:t>»)</w:t>
      </w:r>
      <w:r w:rsidRPr="00700899">
        <w:rPr>
          <w:lang w:val="es-ES"/>
        </w:rPr>
        <w:t xml:space="preserve"> ha estado funcionando las 24 horas del día a lo largo de 2021 para que las administraciones y los operadores </w:t>
      </w:r>
      <w:r>
        <w:rPr>
          <w:lang w:val="es-ES"/>
        </w:rPr>
        <w:t xml:space="preserve">pudieran notificar </w:t>
      </w:r>
      <w:r w:rsidRPr="00700899">
        <w:rPr>
          <w:lang w:val="es-ES"/>
        </w:rPr>
        <w:t>sus redes de satélites. El número de administraciones registradas ha aumentado hasta 150 a 1 de marzo de 2022.</w:t>
      </w:r>
    </w:p>
    <w:p w14:paraId="6918D38B" w14:textId="77777777" w:rsidR="00B27BCB" w:rsidRPr="00700899" w:rsidRDefault="00B27BCB" w:rsidP="00B27BCB">
      <w:pPr>
        <w:rPr>
          <w:lang w:val="es-ES"/>
        </w:rPr>
      </w:pPr>
      <w:r w:rsidRPr="00091C25">
        <w:rPr>
          <w:lang w:val="es-ES"/>
        </w:rPr>
        <w:t>En 2021 se implementó</w:t>
      </w:r>
      <w:r>
        <w:rPr>
          <w:lang w:val="es-ES"/>
        </w:rPr>
        <w:t xml:space="preserve"> </w:t>
      </w:r>
      <w:r w:rsidRPr="00091C25">
        <w:rPr>
          <w:lang w:val="es-ES"/>
        </w:rPr>
        <w:t>e</w:t>
      </w:r>
      <w:r>
        <w:rPr>
          <w:lang w:val="es-ES"/>
        </w:rPr>
        <w:t>n e</w:t>
      </w:r>
      <w:r w:rsidRPr="00091C25">
        <w:rPr>
          <w:lang w:val="es-ES"/>
        </w:rPr>
        <w:t xml:space="preserve">l sistema de presentación electrónica un nuevo tipo de notificación, a saber, la información sobre el despliegue presentada en virtud de la Resolución </w:t>
      </w:r>
      <w:r w:rsidRPr="00380F9D">
        <w:rPr>
          <w:b/>
          <w:bCs/>
          <w:lang w:val="es-ES"/>
        </w:rPr>
        <w:t>35 (CMR-2019)</w:t>
      </w:r>
      <w:r w:rsidRPr="00091C25">
        <w:rPr>
          <w:lang w:val="es-ES"/>
        </w:rPr>
        <w:t>.</w:t>
      </w:r>
      <w:r>
        <w:rPr>
          <w:lang w:val="es-ES"/>
        </w:rPr>
        <w:t xml:space="preserve"> E</w:t>
      </w:r>
      <w:r w:rsidRPr="00091C25">
        <w:rPr>
          <w:lang w:val="es-ES"/>
        </w:rPr>
        <w:t>n la sección</w:t>
      </w:r>
      <w:r>
        <w:rPr>
          <w:lang w:val="es-ES"/>
        </w:rPr>
        <w:t> </w:t>
      </w:r>
      <w:r w:rsidRPr="00091C25">
        <w:rPr>
          <w:lang w:val="es-ES"/>
        </w:rPr>
        <w:t>7.3.4</w:t>
      </w:r>
      <w:r>
        <w:rPr>
          <w:lang w:val="es-ES"/>
        </w:rPr>
        <w:t xml:space="preserve"> s</w:t>
      </w:r>
      <w:r w:rsidRPr="00091C25">
        <w:rPr>
          <w:lang w:val="es-ES"/>
        </w:rPr>
        <w:t>e proporciona más información</w:t>
      </w:r>
      <w:r>
        <w:rPr>
          <w:lang w:val="es-ES"/>
        </w:rPr>
        <w:t xml:space="preserve">. </w:t>
      </w:r>
      <w:r w:rsidRPr="00091C25">
        <w:rPr>
          <w:lang w:val="es-ES"/>
        </w:rPr>
        <w:t>Este es el primer tipo de notificación que se puede capturar utilizando la interfaz en línea del sistema de presentación electrónica.</w:t>
      </w:r>
    </w:p>
    <w:p w14:paraId="787862AB" w14:textId="77777777" w:rsidR="00B27BCB" w:rsidRPr="00C0522A" w:rsidRDefault="00B27BCB" w:rsidP="00B27BCB">
      <w:pPr>
        <w:rPr>
          <w:lang w:val="es-ES"/>
        </w:rPr>
      </w:pPr>
      <w:r w:rsidRPr="00C0522A">
        <w:rPr>
          <w:lang w:val="es-ES"/>
        </w:rPr>
        <w:t>Además, se han introducido varias mejoras en el rendimiento y la facilidad de uso del sistema.</w:t>
      </w:r>
    </w:p>
    <w:p w14:paraId="3D6E3EE5" w14:textId="77777777" w:rsidR="00B27BCB" w:rsidRPr="00C0522A" w:rsidRDefault="00B27BCB" w:rsidP="00B27BCB">
      <w:pPr>
        <w:rPr>
          <w:lang w:val="es-ES"/>
        </w:rPr>
      </w:pPr>
      <w:r w:rsidRPr="00380F9D">
        <w:rPr>
          <w:lang w:val="es-ES"/>
        </w:rPr>
        <w:lastRenderedPageBreak/>
        <w:t>En 2022</w:t>
      </w:r>
      <w:r>
        <w:rPr>
          <w:lang w:val="es-ES"/>
        </w:rPr>
        <w:t xml:space="preserve"> se prevé realizar </w:t>
      </w:r>
      <w:r w:rsidRPr="00C0522A">
        <w:rPr>
          <w:lang w:val="es-ES"/>
        </w:rPr>
        <w:t>desarrollo</w:t>
      </w:r>
      <w:r>
        <w:rPr>
          <w:lang w:val="es-ES"/>
        </w:rPr>
        <w:t>s</w:t>
      </w:r>
      <w:r w:rsidRPr="00C0522A">
        <w:rPr>
          <w:lang w:val="es-ES"/>
        </w:rPr>
        <w:t xml:space="preserve"> adicional</w:t>
      </w:r>
      <w:r>
        <w:rPr>
          <w:lang w:val="es-ES"/>
        </w:rPr>
        <w:t xml:space="preserve">es en el </w:t>
      </w:r>
      <w:r w:rsidRPr="00C0522A">
        <w:rPr>
          <w:lang w:val="es-ES"/>
        </w:rPr>
        <w:t xml:space="preserve">sistema de presentación electrónica de notificaciones, incluida la ampliación del sistema para la tramitación interna de las notificaciones en la BR, la creación de un nuevo estado </w:t>
      </w:r>
      <w:r>
        <w:rPr>
          <w:lang w:val="es-ES"/>
        </w:rPr>
        <w:t>de las notificaciones, a saber, «</w:t>
      </w:r>
      <w:r w:rsidRPr="00C0522A">
        <w:rPr>
          <w:lang w:val="es-ES"/>
        </w:rPr>
        <w:t>Publicado en la BR IFIC</w:t>
      </w:r>
      <w:r>
        <w:rPr>
          <w:lang w:val="es-ES"/>
        </w:rPr>
        <w:t>»</w:t>
      </w:r>
      <w:r w:rsidRPr="00C0522A">
        <w:rPr>
          <w:lang w:val="es-ES"/>
        </w:rPr>
        <w:t>, una herramienta en línea para la presentación de comentarios reglamentarios y la provisión de herramientas de examen técnico en línea para que las administraciones verifiquen sus notificaciones antes de presentarlas.</w:t>
      </w:r>
    </w:p>
    <w:p w14:paraId="496FABEF" w14:textId="77777777" w:rsidR="00B27BCB" w:rsidRDefault="00B27BCB" w:rsidP="00B27BCB">
      <w:bookmarkStart w:id="35" w:name="lt_pId486"/>
      <w:r w:rsidRPr="00B2067F">
        <w:t xml:space="preserve">Con miras a facilitar el desarrollo y </w:t>
      </w:r>
      <w:r>
        <w:t>las pruebas</w:t>
      </w:r>
      <w:r w:rsidRPr="00B2067F">
        <w:t xml:space="preserve">, la Administración de Japón ha realizado una contribución financiera y ha destacado </w:t>
      </w:r>
      <w:r>
        <w:t xml:space="preserve">en Ginebra </w:t>
      </w:r>
      <w:r w:rsidRPr="00B2067F">
        <w:t xml:space="preserve">a un experto en cuestiones técnicas/normativas </w:t>
      </w:r>
      <w:r>
        <w:t>de los servicios espaciales</w:t>
      </w:r>
      <w:r w:rsidRPr="00B2067F">
        <w:t xml:space="preserve">. La Oficina de Radiocomunicaciones reafirma su agradecimiento a la Administración de Japón por la asistencia prestada </w:t>
      </w:r>
      <w:r>
        <w:t>en el</w:t>
      </w:r>
      <w:r w:rsidRPr="00B2067F">
        <w:t xml:space="preserve"> desarrollo de este proyecto.</w:t>
      </w:r>
      <w:bookmarkEnd w:id="35"/>
    </w:p>
    <w:p w14:paraId="5C23DA5F" w14:textId="77777777" w:rsidR="00B27BCB" w:rsidRDefault="00B27BCB" w:rsidP="00B27BCB">
      <w:pPr>
        <w:pStyle w:val="Heading3"/>
      </w:pPr>
      <w:r w:rsidRPr="00AB0DE6">
        <w:t>7.3.3</w:t>
      </w:r>
      <w:r w:rsidRPr="00AB0DE6">
        <w:tab/>
        <w:t>Desarrollo de una herramienta para asistir a las administraciones en la comunicación a la Oficina de la situación de coordinación con las administraciones afectadas por la notificación</w:t>
      </w:r>
    </w:p>
    <w:p w14:paraId="667D5397" w14:textId="77777777" w:rsidR="00B27BCB" w:rsidRPr="001E3122" w:rsidRDefault="00B27BCB" w:rsidP="00B27BCB">
      <w:pPr>
        <w:rPr>
          <w:lang w:val="es-ES"/>
        </w:rPr>
      </w:pPr>
      <w:r w:rsidRPr="001E3122">
        <w:rPr>
          <w:lang w:val="es-ES"/>
        </w:rPr>
        <w:t xml:space="preserve">El desarrollo de la herramienta para ayudar a las administraciones a comunicar el estado de la coordinación comenzó en junio de 2021 y se espera que la herramienta se ponga en marcha en abril de 2022. La herramienta se implementará mediante «asistentes» fáciles de usar utilizando el </w:t>
      </w:r>
      <w:r w:rsidRPr="001E3122">
        <w:rPr>
          <w:i/>
          <w:iCs/>
          <w:lang w:val="es-ES"/>
        </w:rPr>
        <w:t>software</w:t>
      </w:r>
      <w:r w:rsidRPr="001E3122">
        <w:rPr>
          <w:lang w:val="es-ES"/>
        </w:rPr>
        <w:t xml:space="preserve"> SpaceCap. SpaceCap contará con una interfaz que mostrará los requisitos de coordinación de la red de satélites que se notifica y permitirá al usuario moverse fácilmente dentro de la notificación para capturar el estado de coordinación con respecto a una administración afectada a nivel de grupo de una notificación. Las nuevas prestaciones del </w:t>
      </w:r>
      <w:r w:rsidRPr="001E3122">
        <w:rPr>
          <w:i/>
          <w:iCs/>
          <w:lang w:val="es-ES"/>
        </w:rPr>
        <w:t>software</w:t>
      </w:r>
      <w:r w:rsidRPr="001E3122">
        <w:rPr>
          <w:lang w:val="es-ES"/>
        </w:rPr>
        <w:t xml:space="preserve"> también incluirán «asistentes» para ayudar a crear notificaciones de estaciones espaciales para su presentación en los siguientes casos:</w:t>
      </w:r>
    </w:p>
    <w:p w14:paraId="70FCA2F7" w14:textId="50148221" w:rsidR="00B27BCB" w:rsidRPr="001E3122" w:rsidRDefault="00664995" w:rsidP="00B27BCB">
      <w:pPr>
        <w:pStyle w:val="enumlev1"/>
        <w:rPr>
          <w:lang w:val="es-ES"/>
        </w:rPr>
      </w:pPr>
      <w:r>
        <w:t>•</w:t>
      </w:r>
      <w:r w:rsidR="00B27BCB" w:rsidRPr="001E3122">
        <w:rPr>
          <w:lang w:val="es-ES"/>
        </w:rPr>
        <w:tab/>
        <w:t xml:space="preserve">la primera notificación en el marco del número </w:t>
      </w:r>
      <w:r w:rsidR="00B27BCB" w:rsidRPr="00AB0DE6">
        <w:rPr>
          <w:b/>
          <w:bCs/>
          <w:lang w:val="es-ES"/>
        </w:rPr>
        <w:t>11.2</w:t>
      </w:r>
      <w:r w:rsidR="00B27BCB" w:rsidRPr="001E3122">
        <w:rPr>
          <w:lang w:val="es-ES"/>
        </w:rPr>
        <w:t xml:space="preserve"> para asignaciones de frecuencias sujetas a coordinación;</w:t>
      </w:r>
    </w:p>
    <w:p w14:paraId="2704D924" w14:textId="197449B0" w:rsidR="00B27BCB" w:rsidRPr="001E3122" w:rsidRDefault="00664995" w:rsidP="00B27BCB">
      <w:pPr>
        <w:pStyle w:val="enumlev1"/>
        <w:rPr>
          <w:lang w:val="es-ES"/>
        </w:rPr>
      </w:pPr>
      <w:r>
        <w:t>•</w:t>
      </w:r>
      <w:r w:rsidR="00B27BCB" w:rsidRPr="001E3122">
        <w:rPr>
          <w:lang w:val="es-ES"/>
        </w:rPr>
        <w:tab/>
        <w:t>reenvío de notificaciones una vez que la notificación ha sido devuelt</w:t>
      </w:r>
      <w:r w:rsidR="00B27BCB">
        <w:rPr>
          <w:lang w:val="es-ES"/>
        </w:rPr>
        <w:t>a</w:t>
      </w:r>
      <w:r w:rsidR="00B27BCB" w:rsidRPr="001E3122">
        <w:rPr>
          <w:lang w:val="es-ES"/>
        </w:rPr>
        <w:t xml:space="preserve"> con arreglo al número </w:t>
      </w:r>
      <w:r w:rsidR="00B27BCB" w:rsidRPr="00AB0DE6">
        <w:rPr>
          <w:b/>
          <w:bCs/>
          <w:lang w:val="es-ES"/>
        </w:rPr>
        <w:t>11.37</w:t>
      </w:r>
      <w:r w:rsidR="00B27BCB" w:rsidRPr="001E3122">
        <w:rPr>
          <w:lang w:val="es-ES"/>
        </w:rPr>
        <w:t xml:space="preserve"> </w:t>
      </w:r>
      <w:r w:rsidR="00B27BCB">
        <w:rPr>
          <w:lang w:val="es-ES"/>
        </w:rPr>
        <w:t>u</w:t>
      </w:r>
      <w:r w:rsidR="00B27BCB" w:rsidRPr="001E3122">
        <w:rPr>
          <w:lang w:val="es-ES"/>
        </w:rPr>
        <w:t xml:space="preserve"> </w:t>
      </w:r>
      <w:r w:rsidR="00B27BCB" w:rsidRPr="00AB0DE6">
        <w:rPr>
          <w:b/>
          <w:bCs/>
          <w:lang w:val="es-ES"/>
        </w:rPr>
        <w:t>11.38</w:t>
      </w:r>
      <w:r w:rsidR="00B27BCB" w:rsidRPr="001E3122">
        <w:rPr>
          <w:lang w:val="es-ES"/>
        </w:rPr>
        <w:t>;</w:t>
      </w:r>
    </w:p>
    <w:p w14:paraId="000AF3DA" w14:textId="12B4A7C9" w:rsidR="00B27BCB" w:rsidRPr="001E3122" w:rsidRDefault="00664995" w:rsidP="00B27BCB">
      <w:pPr>
        <w:pStyle w:val="enumlev1"/>
        <w:rPr>
          <w:lang w:val="es-ES"/>
        </w:rPr>
      </w:pPr>
      <w:r>
        <w:t>•</w:t>
      </w:r>
      <w:r w:rsidR="00B27BCB" w:rsidRPr="001E3122">
        <w:rPr>
          <w:lang w:val="es-ES"/>
        </w:rPr>
        <w:tab/>
        <w:t xml:space="preserve">la primera notificación en el marco del número </w:t>
      </w:r>
      <w:r w:rsidR="00B27BCB" w:rsidRPr="00AB0DE6">
        <w:rPr>
          <w:b/>
          <w:bCs/>
          <w:lang w:val="es-ES"/>
        </w:rPr>
        <w:t>11.2</w:t>
      </w:r>
      <w:r w:rsidR="00B27BCB" w:rsidRPr="001E3122">
        <w:rPr>
          <w:lang w:val="es-ES"/>
        </w:rPr>
        <w:t xml:space="preserve"> para asignaciones de frecuencias no sujetas a coordinación.</w:t>
      </w:r>
    </w:p>
    <w:p w14:paraId="3F39A765" w14:textId="77777777" w:rsidR="00B27BCB" w:rsidRPr="001E3122" w:rsidRDefault="00B27BCB" w:rsidP="00B27BCB">
      <w:pPr>
        <w:rPr>
          <w:lang w:val="es-ES"/>
        </w:rPr>
      </w:pPr>
      <w:r w:rsidRPr="001E3122">
        <w:rPr>
          <w:lang w:val="es-ES"/>
        </w:rPr>
        <w:t>Además, se creará una nueva interfaz de reenvío de notificaciones en el portal web de presentación electrónica de notificaciones para prestar un apoyo adicional en la actualización del estado de coordinación con una administración afectada cuando se reenvía una notificación.</w:t>
      </w:r>
    </w:p>
    <w:p w14:paraId="21D7A62F" w14:textId="77777777" w:rsidR="00B27BCB" w:rsidRPr="00DE186A" w:rsidRDefault="00B27BCB" w:rsidP="00B27BCB">
      <w:pPr>
        <w:pStyle w:val="Heading3"/>
      </w:pPr>
      <w:r w:rsidRPr="00640543">
        <w:rPr>
          <w:lang w:val="es-ES"/>
        </w:rPr>
        <w:t>7.3.4</w:t>
      </w:r>
      <w:r w:rsidRPr="00640543">
        <w:tab/>
        <w:t>Aplicación de la Resolución 35 (CMR-19):</w:t>
      </w:r>
      <w:r w:rsidRPr="00640543">
        <w:rPr>
          <w:szCs w:val="24"/>
        </w:rPr>
        <w:t xml:space="preserve"> </w:t>
      </w:r>
      <w:r w:rsidRPr="00640543">
        <w:t>Métodos por etapas para la implementación de asignaciones de frecuencias a estaciones espaciales de sistemas de satélites no geoestacionarios en bandas de frecuencias específicas para servicios específicos</w:t>
      </w:r>
    </w:p>
    <w:p w14:paraId="690F2E0A" w14:textId="77777777" w:rsidR="00B27BCB" w:rsidRPr="007C1085" w:rsidRDefault="00B27BCB" w:rsidP="00B27BCB">
      <w:pPr>
        <w:rPr>
          <w:lang w:val="es-ES"/>
        </w:rPr>
      </w:pPr>
      <w:r w:rsidRPr="007C1085">
        <w:rPr>
          <w:lang w:val="es-ES"/>
        </w:rPr>
        <w:t xml:space="preserve">La Oficina ha puesto en marcha un sistema en línea para la presentación de la información sobre el despliegue exigida por la Resolución </w:t>
      </w:r>
      <w:r w:rsidRPr="007C1085">
        <w:rPr>
          <w:b/>
          <w:bCs/>
          <w:lang w:val="es-ES"/>
        </w:rPr>
        <w:t>35 (CMR-19)</w:t>
      </w:r>
      <w:r w:rsidRPr="00A629EC">
        <w:t xml:space="preserve">. </w:t>
      </w:r>
      <w:r w:rsidRPr="007C1085">
        <w:rPr>
          <w:lang w:val="es-ES"/>
        </w:rPr>
        <w:t xml:space="preserve">Se ha desarrollado una estructura de base de datos para el almacenamiento de esta información, y se ha proporcionado una interfaz en línea fácil de usar para la captura de la información de despliegue a través del sistema de presentación electrónica de notificaciones existente. Además, se </w:t>
      </w:r>
      <w:r>
        <w:rPr>
          <w:lang w:val="es-ES"/>
        </w:rPr>
        <w:t xml:space="preserve">ha definido </w:t>
      </w:r>
      <w:r w:rsidRPr="007C1085">
        <w:rPr>
          <w:lang w:val="es-ES"/>
        </w:rPr>
        <w:t>un formato de archivo XML para que las administraciones puedan capturar la información en un formato estandarizado utilizando herramientas fuera de línea y presentarla a través del sistema de presentación electrónica. Las administraciones pueden validar la información utilizando la herramienta de validación en línea proporcionada en el sistema de presentación electrónica para comprobar que la información está completa y es correcta.</w:t>
      </w:r>
    </w:p>
    <w:p w14:paraId="06663517" w14:textId="7ACD7550" w:rsidR="00B27BCB" w:rsidRPr="00A629EC" w:rsidRDefault="00B27BCB" w:rsidP="00B27BCB">
      <w:r w:rsidRPr="00BC26CE">
        <w:lastRenderedPageBreak/>
        <w:t xml:space="preserve">Conforme a lo dispuesto en los </w:t>
      </w:r>
      <w:r w:rsidRPr="00A629EC">
        <w:rPr>
          <w:i/>
          <w:iCs/>
        </w:rPr>
        <w:t>resuelve</w:t>
      </w:r>
      <w:r w:rsidRPr="00BC26CE">
        <w:t xml:space="preserve"> 5 a) y 10 a) de la Resolución </w:t>
      </w:r>
      <w:r w:rsidRPr="00640543">
        <w:rPr>
          <w:b/>
          <w:bCs/>
        </w:rPr>
        <w:t>35 (CMR-19)</w:t>
      </w:r>
      <w:r w:rsidRPr="00BC26CE">
        <w:t xml:space="preserve">, una vez recibida la información requerida sobre el despliegue, esa información estará disponible </w:t>
      </w:r>
      <w:r>
        <w:t>«</w:t>
      </w:r>
      <w:r w:rsidRPr="00BC26CE">
        <w:t>tal</w:t>
      </w:r>
      <w:r w:rsidR="00EA5116">
        <w:t> </w:t>
      </w:r>
      <w:r w:rsidRPr="00BC26CE">
        <w:t>y</w:t>
      </w:r>
      <w:r w:rsidR="00EA5116">
        <w:t> </w:t>
      </w:r>
      <w:r w:rsidRPr="00BC26CE">
        <w:t>como</w:t>
      </w:r>
      <w:r w:rsidR="00EA5116">
        <w:t> </w:t>
      </w:r>
      <w:r w:rsidRPr="00BC26CE">
        <w:t>se ha recibido</w:t>
      </w:r>
      <w:r>
        <w:t>»</w:t>
      </w:r>
      <w:r w:rsidRPr="00BC26CE">
        <w:t xml:space="preserve"> en el siguiente sitio web:</w:t>
      </w:r>
      <w:bookmarkStart w:id="36" w:name="_Hlk98511724"/>
      <w:r>
        <w:t xml:space="preserve"> </w:t>
      </w:r>
      <w:hyperlink r:id="rId34" w:history="1">
        <w:r w:rsidR="00EA5116" w:rsidRPr="00F80081">
          <w:rPr>
            <w:rStyle w:val="Hyperlink"/>
          </w:rPr>
          <w:t>https://www.itu.int/ITU</w:t>
        </w:r>
        <w:r w:rsidR="00EA5116" w:rsidRPr="00F80081">
          <w:rPr>
            <w:rStyle w:val="Hyperlink"/>
          </w:rPr>
          <w:noBreakHyphen/>
          <w:t>R/space/asreceived/Publication/AsReceived</w:t>
        </w:r>
      </w:hyperlink>
      <w:r w:rsidRPr="00A629EC">
        <w:t>.</w:t>
      </w:r>
      <w:bookmarkEnd w:id="36"/>
    </w:p>
    <w:p w14:paraId="1A0F65B6" w14:textId="77777777" w:rsidR="00B27BCB" w:rsidRPr="007F0254" w:rsidRDefault="00B27BCB" w:rsidP="00B27BCB">
      <w:pPr>
        <w:rPr>
          <w:lang w:val="es-ES" w:eastAsia="ar-SA"/>
        </w:rPr>
      </w:pPr>
      <w:r w:rsidRPr="007F0254">
        <w:rPr>
          <w:lang w:val="es-ES" w:eastAsia="ar-SA"/>
        </w:rPr>
        <w:t>Un</w:t>
      </w:r>
      <w:r>
        <w:rPr>
          <w:lang w:val="es-ES" w:eastAsia="ar-SA"/>
        </w:rPr>
        <w:t xml:space="preserve">a vez tramitada la </w:t>
      </w:r>
      <w:r w:rsidRPr="007F0254">
        <w:rPr>
          <w:lang w:val="es-ES" w:eastAsia="ar-SA"/>
        </w:rPr>
        <w:t>información, la Oficina publica las secciones especiales de la RES 35 en el</w:t>
      </w:r>
      <w:r>
        <w:rPr>
          <w:lang w:val="es-ES" w:eastAsia="ar-SA"/>
        </w:rPr>
        <w:t> </w:t>
      </w:r>
      <w:r w:rsidRPr="007F0254">
        <w:rPr>
          <w:lang w:val="es-ES" w:eastAsia="ar-SA"/>
        </w:rPr>
        <w:t>DVD de la BR</w:t>
      </w:r>
      <w:r>
        <w:rPr>
          <w:lang w:val="es-ES" w:eastAsia="ar-SA"/>
        </w:rPr>
        <w:t xml:space="preserve"> </w:t>
      </w:r>
      <w:r w:rsidRPr="007F0254">
        <w:rPr>
          <w:lang w:val="es-ES" w:eastAsia="ar-SA"/>
        </w:rPr>
        <w:t>IFIC, así como en la página web de la Oficina.</w:t>
      </w:r>
    </w:p>
    <w:p w14:paraId="5BBDACFD" w14:textId="77777777" w:rsidR="00B27BCB" w:rsidRPr="007F0254" w:rsidRDefault="00B27BCB" w:rsidP="00B27BCB">
      <w:pPr>
        <w:rPr>
          <w:lang w:val="es-ES" w:eastAsia="ar-SA"/>
        </w:rPr>
      </w:pPr>
      <w:r w:rsidRPr="007F0254">
        <w:rPr>
          <w:lang w:val="es-ES" w:eastAsia="ar-SA"/>
        </w:rPr>
        <w:t>En 2022 continuará el desarrollo del sistema para ayudar en la tramitación interna y la publicación de la información, que ahora se realiza mediante una solución interina.</w:t>
      </w:r>
    </w:p>
    <w:p w14:paraId="16A256C1" w14:textId="77777777" w:rsidR="00B27BCB" w:rsidRPr="007F0254" w:rsidRDefault="00B27BCB" w:rsidP="00B27BCB">
      <w:pPr>
        <w:rPr>
          <w:lang w:val="es-ES" w:eastAsia="ar-SA"/>
        </w:rPr>
      </w:pPr>
      <w:r w:rsidRPr="007F0254">
        <w:rPr>
          <w:lang w:val="es-ES" w:eastAsia="ar-SA"/>
        </w:rPr>
        <w:t xml:space="preserve">La aplicación de la Resolución </w:t>
      </w:r>
      <w:r w:rsidRPr="007F0254">
        <w:rPr>
          <w:b/>
          <w:bCs/>
          <w:lang w:val="es-ES" w:eastAsia="ar-SA"/>
        </w:rPr>
        <w:t>35 (CMR-19)</w:t>
      </w:r>
      <w:r w:rsidRPr="007F0254">
        <w:rPr>
          <w:lang w:val="es-ES" w:eastAsia="ar-SA"/>
        </w:rPr>
        <w:t xml:space="preserve"> se describe en la </w:t>
      </w:r>
      <w:r w:rsidRPr="00640543">
        <w:rPr>
          <w:spacing w:val="-6"/>
          <w:szCs w:val="24"/>
          <w:lang w:val="es-ES" w:eastAsia="ar-SA"/>
        </w:rPr>
        <w:t xml:space="preserve">Carta Circular </w:t>
      </w:r>
      <w:hyperlink r:id="rId35" w:history="1">
        <w:r w:rsidRPr="00640543">
          <w:rPr>
            <w:rStyle w:val="Hyperlink"/>
            <w:spacing w:val="-6"/>
            <w:szCs w:val="24"/>
            <w:lang w:val="es-ES" w:eastAsia="ar-SA"/>
          </w:rPr>
          <w:t>CR/475</w:t>
        </w:r>
      </w:hyperlink>
      <w:r w:rsidRPr="007F0254">
        <w:rPr>
          <w:lang w:val="es-ES" w:eastAsia="ar-SA"/>
        </w:rPr>
        <w:t xml:space="preserve"> de 17 de mayo de 2021, y la Oficina mantiene una página web para proporcionar información completa y actualizada sobre la aplicación de esta Resolución: </w:t>
      </w:r>
      <w:hyperlink r:id="rId36" w:history="1">
        <w:r w:rsidRPr="007F0254">
          <w:rPr>
            <w:rStyle w:val="Hyperlink"/>
            <w:spacing w:val="-6"/>
            <w:szCs w:val="24"/>
            <w:lang w:val="es-ES" w:eastAsia="ar-SA"/>
          </w:rPr>
          <w:t>http://www.itu.int/go/space/res35</w:t>
        </w:r>
      </w:hyperlink>
      <w:r w:rsidRPr="007F0254">
        <w:rPr>
          <w:lang w:val="es-ES" w:eastAsia="ar-SA"/>
        </w:rPr>
        <w:t>.</w:t>
      </w:r>
    </w:p>
    <w:p w14:paraId="6CE6F2B7" w14:textId="77777777" w:rsidR="00B27BCB" w:rsidRDefault="00B27BCB" w:rsidP="00B27BCB">
      <w:pPr>
        <w:pStyle w:val="Heading3"/>
      </w:pPr>
      <w:r w:rsidRPr="004C532D">
        <w:rPr>
          <w:lang w:val="es-ES"/>
        </w:rPr>
        <w:t>7.3.5</w:t>
      </w:r>
      <w:r w:rsidRPr="004C532D">
        <w:tab/>
      </w:r>
      <w:r w:rsidRPr="004C532D">
        <w:rPr>
          <w:lang w:val="es-ES"/>
        </w:rPr>
        <w:t>Aplicación de la Resolución 32 (CMR-19):</w:t>
      </w:r>
      <w:r w:rsidRPr="004C532D">
        <w:rPr>
          <w:b w:val="0"/>
        </w:rPr>
        <w:t xml:space="preserve"> </w:t>
      </w:r>
      <w:r w:rsidRPr="004C532D">
        <w:t>Procedimiento reglamentario para las asignaciones de frecuencias a sistemas o redes de satélites no geoestacionarios identificados como misiones de corta duración no sujetos a la aplicación de la Sección II del Artículo 9</w:t>
      </w:r>
    </w:p>
    <w:p w14:paraId="72FA570E" w14:textId="77777777" w:rsidR="00B27BCB" w:rsidRPr="00C7469E" w:rsidRDefault="00B27BCB" w:rsidP="00B27BCB">
      <w:pPr>
        <w:rPr>
          <w:lang w:val="es-ES"/>
        </w:rPr>
      </w:pPr>
      <w:r w:rsidRPr="005302F0">
        <w:rPr>
          <w:lang w:val="es-ES"/>
        </w:rPr>
        <w:t xml:space="preserve">Como parte de la aplicación de la Resolución </w:t>
      </w:r>
      <w:r w:rsidRPr="005302F0">
        <w:rPr>
          <w:b/>
          <w:bCs/>
          <w:lang w:val="es-ES"/>
        </w:rPr>
        <w:t>32 (CMR-19)</w:t>
      </w:r>
      <w:r>
        <w:rPr>
          <w:lang w:val="es-ES"/>
        </w:rPr>
        <w:t>,</w:t>
      </w:r>
      <w:r w:rsidRPr="005302F0">
        <w:rPr>
          <w:lang w:val="es-ES"/>
        </w:rPr>
        <w:t xml:space="preserve"> que exige a la Oficina publicar las características del sistema junto con las conclusiones </w:t>
      </w:r>
      <w:r>
        <w:rPr>
          <w:lang w:val="es-ES"/>
        </w:rPr>
        <w:t xml:space="preserve">alcanzadas según el </w:t>
      </w:r>
      <w:r w:rsidRPr="005302F0">
        <w:rPr>
          <w:lang w:val="es-ES"/>
        </w:rPr>
        <w:t>número</w:t>
      </w:r>
      <w:r>
        <w:rPr>
          <w:lang w:val="es-ES"/>
        </w:rPr>
        <w:t> </w:t>
      </w:r>
      <w:r w:rsidRPr="005302F0">
        <w:rPr>
          <w:b/>
          <w:bCs/>
          <w:lang w:val="es-ES"/>
        </w:rPr>
        <w:t xml:space="preserve">11.31 </w:t>
      </w:r>
      <w:r w:rsidRPr="005302F0">
        <w:rPr>
          <w:lang w:val="es-ES"/>
        </w:rPr>
        <w:t xml:space="preserve">en la Circular internacional de información de la BR sobre frecuencias (BR IFIC) y en su sitio web, la Oficina mantiene una página web que proporciona algunos antecedentes sobre esta resolución, así como un enlace a las publicaciones de notificación de las redes de satélites presentadas como misiones de corta duración de conformidad con la Resolución </w:t>
      </w:r>
      <w:r w:rsidRPr="005302F0">
        <w:rPr>
          <w:b/>
          <w:bCs/>
          <w:lang w:val="es-ES"/>
        </w:rPr>
        <w:t>32 (CMR-19)</w:t>
      </w:r>
      <w:r w:rsidRPr="005302F0">
        <w:rPr>
          <w:lang w:val="es-ES"/>
        </w:rPr>
        <w:t>:</w:t>
      </w:r>
      <w:r w:rsidRPr="004C532D">
        <w:t xml:space="preserve"> </w:t>
      </w:r>
      <w:hyperlink r:id="rId37" w:history="1">
        <w:r w:rsidRPr="008C0E4A">
          <w:rPr>
            <w:rStyle w:val="Hyperlink"/>
          </w:rPr>
          <w:t>https://www.itu.int/en/ITU-R/space/support/nonGSO/RES32/Pages/default.aspx</w:t>
        </w:r>
      </w:hyperlink>
      <w:r w:rsidRPr="004C532D">
        <w:t>.</w:t>
      </w:r>
    </w:p>
    <w:p w14:paraId="08EAA89A" w14:textId="77777777" w:rsidR="00B27BCB" w:rsidRPr="00C7469E" w:rsidRDefault="00B27BCB" w:rsidP="00B27BCB">
      <w:pPr>
        <w:pStyle w:val="Heading3"/>
        <w:rPr>
          <w:lang w:val="es-ES"/>
        </w:rPr>
      </w:pPr>
      <w:r w:rsidRPr="00385234">
        <w:rPr>
          <w:lang w:val="es-ES"/>
        </w:rPr>
        <w:t>7.3.6</w:t>
      </w:r>
      <w:r w:rsidRPr="00385234">
        <w:rPr>
          <w:lang w:val="es-ES"/>
        </w:rPr>
        <w:tab/>
        <w:t>Migración de la BR IFIC (servicios espaciales) de un formato DVD a un mecanismo en línea</w:t>
      </w:r>
    </w:p>
    <w:p w14:paraId="2D52E0CE" w14:textId="77777777" w:rsidR="00B27BCB" w:rsidRPr="00C7469E" w:rsidRDefault="00B27BCB" w:rsidP="00B27BCB">
      <w:pPr>
        <w:rPr>
          <w:lang w:val="es-ES"/>
        </w:rPr>
      </w:pPr>
      <w:r w:rsidRPr="00C7469E">
        <w:rPr>
          <w:lang w:val="es-ES"/>
        </w:rPr>
        <w:t xml:space="preserve">Tras la obsolescencia de una de las tecnologías de </w:t>
      </w:r>
      <w:r w:rsidRPr="004508E8">
        <w:rPr>
          <w:i/>
          <w:iCs/>
          <w:lang w:val="es-ES"/>
        </w:rPr>
        <w:t>software</w:t>
      </w:r>
      <w:r w:rsidRPr="00C7469E">
        <w:rPr>
          <w:lang w:val="es-ES"/>
        </w:rPr>
        <w:t xml:space="preserve"> utilizadas actualmente en la </w:t>
      </w:r>
      <w:r>
        <w:rPr>
          <w:lang w:val="es-ES"/>
        </w:rPr>
        <w:t xml:space="preserve">creación </w:t>
      </w:r>
      <w:r w:rsidRPr="00C7469E">
        <w:rPr>
          <w:lang w:val="es-ES"/>
        </w:rPr>
        <w:t>del</w:t>
      </w:r>
      <w:r>
        <w:rPr>
          <w:lang w:val="es-ES"/>
        </w:rPr>
        <w:t> </w:t>
      </w:r>
      <w:r w:rsidRPr="00C7469E">
        <w:rPr>
          <w:lang w:val="es-ES"/>
        </w:rPr>
        <w:t>DVD de la BR IFIC (</w:t>
      </w:r>
      <w:r>
        <w:rPr>
          <w:lang w:val="es-ES"/>
        </w:rPr>
        <w:t>s</w:t>
      </w:r>
      <w:r w:rsidRPr="00C7469E">
        <w:rPr>
          <w:lang w:val="es-ES"/>
        </w:rPr>
        <w:t xml:space="preserve">ervicios </w:t>
      </w:r>
      <w:r>
        <w:rPr>
          <w:lang w:val="es-ES"/>
        </w:rPr>
        <w:t>e</w:t>
      </w:r>
      <w:r w:rsidRPr="00C7469E">
        <w:rPr>
          <w:lang w:val="es-ES"/>
        </w:rPr>
        <w:t>spaciales), la Oficina ha estado trabajando en un proyecto para migrar la BR IFIC (</w:t>
      </w:r>
      <w:r>
        <w:rPr>
          <w:lang w:val="es-ES"/>
        </w:rPr>
        <w:t>s</w:t>
      </w:r>
      <w:r w:rsidRPr="00C7469E">
        <w:rPr>
          <w:lang w:val="es-ES"/>
        </w:rPr>
        <w:t xml:space="preserve">ervicios </w:t>
      </w:r>
      <w:r>
        <w:rPr>
          <w:lang w:val="es-ES"/>
        </w:rPr>
        <w:t>e</w:t>
      </w:r>
      <w:r w:rsidRPr="00C7469E">
        <w:rPr>
          <w:lang w:val="es-ES"/>
        </w:rPr>
        <w:t>spaciales) del formato DVD a un mecanismo de entrega en línea. En</w:t>
      </w:r>
      <w:r>
        <w:rPr>
          <w:lang w:val="es-ES"/>
        </w:rPr>
        <w:t> </w:t>
      </w:r>
      <w:r w:rsidRPr="00C7469E">
        <w:rPr>
          <w:lang w:val="es-ES"/>
        </w:rPr>
        <w:t>2021 se realizó un estudio preliminar y actualmente se está desarrollando un prototipo. La BR</w:t>
      </w:r>
      <w:r>
        <w:rPr>
          <w:lang w:val="es-ES"/>
        </w:rPr>
        <w:t> </w:t>
      </w:r>
      <w:r w:rsidRPr="00C7469E">
        <w:rPr>
          <w:lang w:val="es-ES"/>
        </w:rPr>
        <w:t>IFIC (</w:t>
      </w:r>
      <w:r>
        <w:rPr>
          <w:lang w:val="es-ES"/>
        </w:rPr>
        <w:t>s</w:t>
      </w:r>
      <w:r w:rsidRPr="00C7469E">
        <w:rPr>
          <w:lang w:val="es-ES"/>
        </w:rPr>
        <w:t xml:space="preserve">ervicios </w:t>
      </w:r>
      <w:r>
        <w:rPr>
          <w:lang w:val="es-ES"/>
        </w:rPr>
        <w:t>e</w:t>
      </w:r>
      <w:r w:rsidRPr="00C7469E">
        <w:rPr>
          <w:lang w:val="es-ES"/>
        </w:rPr>
        <w:t>spaciales) en línea facilitará visualiza</w:t>
      </w:r>
      <w:r>
        <w:rPr>
          <w:lang w:val="es-ES"/>
        </w:rPr>
        <w:t xml:space="preserve">r </w:t>
      </w:r>
      <w:r w:rsidRPr="00C7469E">
        <w:rPr>
          <w:lang w:val="es-ES"/>
        </w:rPr>
        <w:t>y descarga</w:t>
      </w:r>
      <w:r>
        <w:rPr>
          <w:lang w:val="es-ES"/>
        </w:rPr>
        <w:t>r</w:t>
      </w:r>
      <w:r w:rsidRPr="00C7469E">
        <w:rPr>
          <w:lang w:val="es-ES"/>
        </w:rPr>
        <w:t xml:space="preserve"> de las secciones especiales y las Partes en formato PDF, realizar consultas sobre los datos de todas las publicaciones dentro de esa BR IFIC, con una interfaz en línea fácil de usar, y </w:t>
      </w:r>
      <w:r>
        <w:rPr>
          <w:lang w:val="es-ES"/>
        </w:rPr>
        <w:t xml:space="preserve">ofrecerá </w:t>
      </w:r>
      <w:r w:rsidRPr="00C7469E">
        <w:rPr>
          <w:lang w:val="es-ES"/>
        </w:rPr>
        <w:t>un servidor seguro que proporcion</w:t>
      </w:r>
      <w:r>
        <w:rPr>
          <w:lang w:val="es-ES"/>
        </w:rPr>
        <w:t xml:space="preserve">e </w:t>
      </w:r>
      <w:r w:rsidRPr="00C7469E">
        <w:rPr>
          <w:lang w:val="es-ES"/>
        </w:rPr>
        <w:t>a diferentes grupos de usuarios varios niveles de acceso.</w:t>
      </w:r>
    </w:p>
    <w:p w14:paraId="5F8715E7" w14:textId="77777777" w:rsidR="00B27BCB" w:rsidRPr="00CE68FD" w:rsidRDefault="00B27BCB" w:rsidP="00920C3D">
      <w:pPr>
        <w:pStyle w:val="Heading3"/>
        <w:rPr>
          <w:lang w:val="es-ES"/>
        </w:rPr>
      </w:pPr>
      <w:r w:rsidRPr="00F1217E">
        <w:rPr>
          <w:lang w:val="es-ES"/>
        </w:rPr>
        <w:t>7.3.7</w:t>
      </w:r>
      <w:r w:rsidRPr="00F1217E">
        <w:rPr>
          <w:lang w:val="es-ES"/>
        </w:rPr>
        <w:tab/>
        <w:t xml:space="preserve">Mejoras en la instalación del </w:t>
      </w:r>
      <w:r w:rsidRPr="00F1217E">
        <w:rPr>
          <w:i/>
          <w:iCs/>
          <w:lang w:val="es-ES"/>
        </w:rPr>
        <w:t>software</w:t>
      </w:r>
      <w:r w:rsidRPr="00F1217E">
        <w:rPr>
          <w:lang w:val="es-ES"/>
        </w:rPr>
        <w:t xml:space="preserve"> para servicios espaciales de la BR en las computadoras de los usuarios</w:t>
      </w:r>
    </w:p>
    <w:p w14:paraId="5C601B4E" w14:textId="77777777" w:rsidR="00B27BCB" w:rsidRPr="00A7360C" w:rsidRDefault="00B27BCB" w:rsidP="00EA5116">
      <w:pPr>
        <w:rPr>
          <w:lang w:val="es-ES"/>
        </w:rPr>
      </w:pPr>
      <w:r w:rsidRPr="00A7360C">
        <w:rPr>
          <w:lang w:val="es-ES"/>
        </w:rPr>
        <w:t xml:space="preserve">Sobre la base de los comentarios constructivos recibidos de varias administraciones, la BR ha mejorado la forma en que el </w:t>
      </w:r>
      <w:r w:rsidRPr="001E3122">
        <w:rPr>
          <w:i/>
          <w:iCs/>
          <w:lang w:val="es-ES"/>
        </w:rPr>
        <w:t>software</w:t>
      </w:r>
      <w:r w:rsidRPr="00A7360C">
        <w:rPr>
          <w:lang w:val="es-ES"/>
        </w:rPr>
        <w:t xml:space="preserve"> para servicios espaciales de la BR se instala en los ordenadores de los usuarios finales, de la siguiente manera</w:t>
      </w:r>
      <w:r>
        <w:rPr>
          <w:lang w:val="es-ES"/>
        </w:rPr>
        <w:t>:</w:t>
      </w:r>
    </w:p>
    <w:p w14:paraId="6E0457C0" w14:textId="77777777" w:rsidR="00B27BCB" w:rsidRPr="00A7360C" w:rsidRDefault="00B27BCB" w:rsidP="00EA5116">
      <w:pPr>
        <w:pStyle w:val="enumlev1"/>
      </w:pPr>
      <w:r>
        <w:t>–</w:t>
      </w:r>
      <w:r w:rsidRPr="00A7360C">
        <w:tab/>
      </w:r>
      <w:r>
        <w:t>l</w:t>
      </w:r>
      <w:r w:rsidRPr="00A7360C">
        <w:t xml:space="preserve">a firma digital de la UIT se aplica a todos los componentes de </w:t>
      </w:r>
      <w:r w:rsidRPr="004508E8">
        <w:rPr>
          <w:i/>
          <w:iCs/>
        </w:rPr>
        <w:t>software</w:t>
      </w:r>
      <w:r w:rsidRPr="00A7360C">
        <w:t xml:space="preserve"> desarrollados internamente en la UIT;</w:t>
      </w:r>
    </w:p>
    <w:p w14:paraId="37A7477A" w14:textId="77777777" w:rsidR="00B27BCB" w:rsidRPr="00A7360C" w:rsidRDefault="00B27BCB" w:rsidP="00EA5116">
      <w:pPr>
        <w:pStyle w:val="enumlev1"/>
      </w:pPr>
      <w:r>
        <w:t>–</w:t>
      </w:r>
      <w:r w:rsidRPr="00A7360C">
        <w:tab/>
      </w:r>
      <w:r>
        <w:t>t</w:t>
      </w:r>
      <w:r w:rsidRPr="00A7360C">
        <w:t xml:space="preserve">odos los componentes de </w:t>
      </w:r>
      <w:r w:rsidRPr="001E3122">
        <w:rPr>
          <w:i/>
          <w:iCs/>
        </w:rPr>
        <w:t>software</w:t>
      </w:r>
      <w:r w:rsidRPr="00A7360C">
        <w:t xml:space="preserve"> se analizan periódicamente para detectar virus;</w:t>
      </w:r>
    </w:p>
    <w:p w14:paraId="276DEE5C" w14:textId="77777777" w:rsidR="00B27BCB" w:rsidRPr="00A7360C" w:rsidRDefault="00B27BCB" w:rsidP="00EA5116">
      <w:pPr>
        <w:pStyle w:val="enumlev1"/>
      </w:pPr>
      <w:r>
        <w:t>–</w:t>
      </w:r>
      <w:r w:rsidRPr="00A7360C">
        <w:tab/>
      </w:r>
      <w:r>
        <w:t>t</w:t>
      </w:r>
      <w:r w:rsidRPr="00A7360C">
        <w:t xml:space="preserve">odos los componentes de </w:t>
      </w:r>
      <w:r w:rsidRPr="001E3122">
        <w:rPr>
          <w:i/>
          <w:iCs/>
        </w:rPr>
        <w:t>software</w:t>
      </w:r>
      <w:r w:rsidRPr="00A7360C">
        <w:t xml:space="preserve"> que no son de la UIT son firmados digitalmente por el proveedor externo o documentados y propuestos para</w:t>
      </w:r>
      <w:r>
        <w:t xml:space="preserve"> su inclusión en </w:t>
      </w:r>
      <w:r w:rsidRPr="00A7360C">
        <w:t>la lista blanca por el departamento de TI en el lado del usuario final;</w:t>
      </w:r>
    </w:p>
    <w:p w14:paraId="3F5E0D7F" w14:textId="77777777" w:rsidR="00B27BCB" w:rsidRPr="00A7360C" w:rsidRDefault="00B27BCB" w:rsidP="00EA5116">
      <w:pPr>
        <w:pStyle w:val="enumlev1"/>
      </w:pPr>
      <w:r>
        <w:t>–</w:t>
      </w:r>
      <w:r w:rsidRPr="00A7360C">
        <w:tab/>
      </w:r>
      <w:r>
        <w:t>e</w:t>
      </w:r>
      <w:r w:rsidRPr="00A7360C">
        <w:t xml:space="preserve">l </w:t>
      </w:r>
      <w:r>
        <w:t xml:space="preserve">instalador </w:t>
      </w:r>
      <w:r w:rsidRPr="00A7360C">
        <w:t>respeta las convenciones de denominación de directorios en Windows especificadas por Microsoft;</w:t>
      </w:r>
    </w:p>
    <w:p w14:paraId="1638A552" w14:textId="77777777" w:rsidR="00B27BCB" w:rsidRPr="00A7360C" w:rsidRDefault="00B27BCB" w:rsidP="00EA5116">
      <w:pPr>
        <w:pStyle w:val="enumlev1"/>
      </w:pPr>
      <w:r>
        <w:lastRenderedPageBreak/>
        <w:t>–</w:t>
      </w:r>
      <w:r w:rsidRPr="00A7360C">
        <w:tab/>
      </w:r>
      <w:r>
        <w:t>e</w:t>
      </w:r>
      <w:r w:rsidRPr="00A7360C">
        <w:t xml:space="preserve">l </w:t>
      </w:r>
      <w:r w:rsidRPr="002E47D1">
        <w:t>instala</w:t>
      </w:r>
      <w:r>
        <w:t xml:space="preserve">dor </w:t>
      </w:r>
      <w:r w:rsidRPr="00A7360C">
        <w:t xml:space="preserve">tiene un modo </w:t>
      </w:r>
      <w:r>
        <w:t>«</w:t>
      </w:r>
      <w:r w:rsidRPr="00A7360C">
        <w:t>silencioso</w:t>
      </w:r>
      <w:r>
        <w:t>»</w:t>
      </w:r>
      <w:r w:rsidRPr="00A7360C">
        <w:t xml:space="preserve"> para la automatización de la instalación por parte de los departamentos de TI de los usuarios finales.</w:t>
      </w:r>
    </w:p>
    <w:p w14:paraId="162AE8A6" w14:textId="77777777" w:rsidR="00B27BCB" w:rsidRPr="00E8252C" w:rsidRDefault="00B27BCB" w:rsidP="00B27BCB">
      <w:pPr>
        <w:pStyle w:val="Heading2"/>
        <w:rPr>
          <w:lang w:val="es-ES"/>
        </w:rPr>
      </w:pPr>
      <w:r w:rsidRPr="00F1217E">
        <w:t>7.4</w:t>
      </w:r>
      <w:r w:rsidRPr="00F1217E">
        <w:tab/>
        <w:t xml:space="preserve">Desarrollos de </w:t>
      </w:r>
      <w:r w:rsidRPr="00F1217E">
        <w:rPr>
          <w:i/>
          <w:iCs/>
        </w:rPr>
        <w:t>software</w:t>
      </w:r>
      <w:r w:rsidRPr="00F1217E">
        <w:t xml:space="preserve"> relacionados con los servicios terrenales y otro </w:t>
      </w:r>
      <w:r w:rsidRPr="00F1217E">
        <w:rPr>
          <w:i/>
          <w:iCs/>
        </w:rPr>
        <w:t>software</w:t>
      </w:r>
      <w:r w:rsidRPr="00F1217E">
        <w:t xml:space="preserve"> y herramientas de la BR</w:t>
      </w:r>
    </w:p>
    <w:p w14:paraId="072BE214" w14:textId="77777777" w:rsidR="00B27BCB" w:rsidRPr="00DA456D" w:rsidRDefault="00B27BCB" w:rsidP="00B27BCB">
      <w:pPr>
        <w:pStyle w:val="Heading3"/>
      </w:pPr>
      <w:r w:rsidRPr="00DA456D">
        <w:t>7.4.1</w:t>
      </w:r>
      <w:r w:rsidRPr="00DA456D">
        <w:tab/>
        <w:t xml:space="preserve">Herramientas </w:t>
      </w:r>
      <w:r>
        <w:t>relativas al</w:t>
      </w:r>
      <w:r w:rsidRPr="00DA456D">
        <w:t xml:space="preserve"> Reglamento de Radiocomunicaciones</w:t>
      </w:r>
    </w:p>
    <w:p w14:paraId="398CCE77" w14:textId="77777777" w:rsidR="00B27BCB" w:rsidRPr="00DA456D" w:rsidRDefault="00B27BCB" w:rsidP="00B27BCB">
      <w:r w:rsidRPr="00DA456D">
        <w:t>La Oficina sigue actualizando y manteniendo herramientas informáticas para facilitar la utilización y el análisis del Reglamento de Radiocomunicaciones (RR), en concreto:</w:t>
      </w:r>
    </w:p>
    <w:p w14:paraId="69D983B8" w14:textId="77777777" w:rsidR="00B27BCB" w:rsidRPr="00DA456D" w:rsidRDefault="00B27BCB" w:rsidP="00B27BCB">
      <w:pPr>
        <w:pStyle w:val="enumlev1"/>
      </w:pPr>
      <w:r w:rsidRPr="00DA456D">
        <w:t>a)</w:t>
      </w:r>
      <w:r w:rsidRPr="00DA456D">
        <w:tab/>
        <w:t xml:space="preserve">La herramienta de navegación del Reglamento de Radiocomunicaciones, que se presentó durante el segundo trimestre de 2017, se basa en la versión vigente del RR y las Recomendaciones UIT-R. Se </w:t>
      </w:r>
      <w:r>
        <w:t xml:space="preserve">ha finalizado </w:t>
      </w:r>
      <w:r w:rsidRPr="00DA456D">
        <w:t xml:space="preserve">una versión actualizada para incorporar los resultados de la CMR-19 y alinearla con el corpus de textos más reciente (RR 2020, Recomendaciones UIT-R, Reglas de Procedimiento, etc.). </w:t>
      </w:r>
      <w:r>
        <w:t xml:space="preserve">Esta versión se puso en marcha en el último trimestre de 2021 y está actualmente disponible para su adquisición y descarga en el sitio web de ventas de la UIT. </w:t>
      </w:r>
      <w:r w:rsidRPr="00DA456D">
        <w:t>También se publicarán actualizaciones anuales gratuitas para incorpora</w:t>
      </w:r>
      <w:r>
        <w:t xml:space="preserve">r </w:t>
      </w:r>
      <w:r w:rsidRPr="00DA456D">
        <w:t>las últimas</w:t>
      </w:r>
      <w:r>
        <w:t xml:space="preserve"> versiones de las </w:t>
      </w:r>
      <w:r w:rsidRPr="00DA456D">
        <w:t xml:space="preserve">RdP </w:t>
      </w:r>
      <w:r>
        <w:t xml:space="preserve">una vez </w:t>
      </w:r>
      <w:r w:rsidRPr="00DA456D">
        <w:t>disponibles.</w:t>
      </w:r>
    </w:p>
    <w:p w14:paraId="589F178A" w14:textId="77777777" w:rsidR="00B27BCB" w:rsidRDefault="00B27BCB" w:rsidP="00B27BCB">
      <w:pPr>
        <w:pStyle w:val="enumlev1"/>
      </w:pPr>
      <w:r w:rsidRPr="00DA456D">
        <w:t>b)</w:t>
      </w:r>
      <w:r w:rsidRPr="00DA456D">
        <w:tab/>
        <w:t xml:space="preserve">La herramienta de </w:t>
      </w:r>
      <w:r w:rsidRPr="001E3122">
        <w:rPr>
          <w:i/>
        </w:rPr>
        <w:t>software</w:t>
      </w:r>
      <w:r w:rsidRPr="00DA456D">
        <w:t xml:space="preserve"> para realizar búsquedas y análisis detallados del Cuadro de atribución de bandas de frecuencias del Artículo 5 del Reglamento de Radiocomunicaciones permite filtrar y reconfigurar en función de la gama de frecuencias, el servicio, la categoría de servicio, la nota, el país, etc. La herramienta se ha actualizado de acuerdo con los resultados de la CMR-19 y la edición de 2020 del RR, a fin de incorporar los cambios en las atribuciones de frecuencias, las notas de los países y las referencias conexas a las Resoluciones y Recomendaciones asociadas. El paquete actualizado también incluye vínculos a las Recomendaciones UIT-R pertinentes a las que se remite en el </w:t>
      </w:r>
      <w:r w:rsidRPr="00DA456D">
        <w:rPr>
          <w:color w:val="000000"/>
        </w:rPr>
        <w:t xml:space="preserve">Artículo 5 del </w:t>
      </w:r>
      <w:r w:rsidRPr="00DA456D">
        <w:t xml:space="preserve">RR, además de las Reglas de Procedimiento aplicables. Además, cuenta con un servicio para extraer el </w:t>
      </w:r>
      <w:r w:rsidRPr="00DA456D">
        <w:rPr>
          <w:color w:val="000000"/>
        </w:rPr>
        <w:t>Cuadro nacional de atribución de frecuencias</w:t>
      </w:r>
      <w:r w:rsidRPr="00DA456D">
        <w:t xml:space="preserve"> de un país concreto derivado de combinar las diferentes disposiciones del Artículo 5 del RR. </w:t>
      </w:r>
      <w:r>
        <w:t>A lo largo de 2021 se hicieron demostraciones de la herramienta durante algunos Seminarios Regionales de Radiocomunicaciones. P</w:t>
      </w:r>
      <w:r w:rsidRPr="00DA456D">
        <w:t xml:space="preserve">uede adquirirse en el sitio web de ventas de la UIT. Todas las actualizaciones del </w:t>
      </w:r>
      <w:r w:rsidRPr="001E3122">
        <w:rPr>
          <w:i/>
        </w:rPr>
        <w:t>software</w:t>
      </w:r>
      <w:r w:rsidRPr="00DA456D">
        <w:t xml:space="preserve"> y los datos se proporcionarán de forma regular y gratuita a los abonados, hasta la CMR-23.</w:t>
      </w:r>
    </w:p>
    <w:p w14:paraId="6A56DFF9" w14:textId="77777777" w:rsidR="00B27BCB" w:rsidRPr="00A12CB7" w:rsidRDefault="00B27BCB" w:rsidP="00B27BCB">
      <w:pPr>
        <w:pStyle w:val="Heading3"/>
      </w:pPr>
      <w:r w:rsidRPr="00F1217E">
        <w:t>7.4.2</w:t>
      </w:r>
      <w:r w:rsidRPr="00F1217E">
        <w:tab/>
        <w:t>Nuevas mejoras de las herramientas web</w:t>
      </w:r>
    </w:p>
    <w:p w14:paraId="21DB414E" w14:textId="77777777" w:rsidR="00B27BCB" w:rsidRPr="000E32BD" w:rsidRDefault="00B27BCB" w:rsidP="00B27BCB">
      <w:pPr>
        <w:rPr>
          <w:lang w:val="es-ES"/>
        </w:rPr>
      </w:pPr>
      <w:r w:rsidRPr="00A12CB7">
        <w:t xml:space="preserve">Las herramientas en línea eBroadcasting (antes eBCD2.0) y eMIFR se integraron en el portal eTerrestrial, que cuenta con las tecnologías web más novedosas, y </w:t>
      </w:r>
      <w:r>
        <w:t>pasaron a</w:t>
      </w:r>
      <w:r w:rsidRPr="00A12CB7">
        <w:t xml:space="preserve"> producción en diciembre de 2020.</w:t>
      </w:r>
      <w:r w:rsidRPr="00A12CB7">
        <w:rPr>
          <w:szCs w:val="24"/>
          <w:lang w:val="es-ES"/>
        </w:rPr>
        <w:t xml:space="preserve"> </w:t>
      </w:r>
      <w:r w:rsidRPr="000E32BD">
        <w:rPr>
          <w:szCs w:val="24"/>
          <w:lang w:val="es-ES"/>
        </w:rPr>
        <w:t xml:space="preserve">La </w:t>
      </w:r>
      <w:r w:rsidRPr="000E32BD">
        <w:rPr>
          <w:lang w:val="es-ES"/>
        </w:rPr>
        <w:t>validación en línea (Online Validation, re</w:t>
      </w:r>
      <w:r>
        <w:rPr>
          <w:lang w:val="es-ES"/>
        </w:rPr>
        <w:t xml:space="preserve">bautizada </w:t>
      </w:r>
      <w:r w:rsidRPr="000E32BD">
        <w:rPr>
          <w:lang w:val="es-ES"/>
        </w:rPr>
        <w:t xml:space="preserve">eValidation) ha sido integrada en el último trimestre de 2021, </w:t>
      </w:r>
      <w:r>
        <w:rPr>
          <w:lang w:val="es-ES"/>
        </w:rPr>
        <w:t xml:space="preserve">junto a nuevas capacidades incorporadas como un Panel de control que permite a la </w:t>
      </w:r>
      <w:r w:rsidRPr="000E32BD">
        <w:rPr>
          <w:lang w:val="es-ES"/>
        </w:rPr>
        <w:t xml:space="preserve">BR </w:t>
      </w:r>
      <w:r>
        <w:rPr>
          <w:lang w:val="es-ES"/>
        </w:rPr>
        <w:t>y a los usuarios supervisar sus actividades</w:t>
      </w:r>
      <w:r w:rsidRPr="000E32BD">
        <w:rPr>
          <w:lang w:val="es-ES"/>
        </w:rPr>
        <w:t>. Las herramientas</w:t>
      </w:r>
      <w:r>
        <w:rPr>
          <w:lang w:val="es-ES"/>
        </w:rPr>
        <w:t xml:space="preserve"> </w:t>
      </w:r>
      <w:r w:rsidRPr="000E32BD">
        <w:rPr>
          <w:lang w:val="es-ES"/>
        </w:rPr>
        <w:t xml:space="preserve">eBroadcasting desarrolladas para apoyar el proceso de optimización del </w:t>
      </w:r>
      <w:r>
        <w:rPr>
          <w:lang w:val="es-ES"/>
        </w:rPr>
        <w:t xml:space="preserve">Plan </w:t>
      </w:r>
      <w:r w:rsidRPr="000E32BD">
        <w:rPr>
          <w:lang w:val="es-ES"/>
        </w:rPr>
        <w:t xml:space="preserve">GE84 </w:t>
      </w:r>
      <w:r>
        <w:rPr>
          <w:lang w:val="es-ES"/>
        </w:rPr>
        <w:t>han sido decisivas para el éxito de esta actividad.</w:t>
      </w:r>
      <w:r w:rsidRPr="000E32BD">
        <w:rPr>
          <w:lang w:val="es-ES"/>
        </w:rPr>
        <w:t xml:space="preserve"> Los mapas se han realizado utilizando la librería de código abierto OpenLayers, </w:t>
      </w:r>
      <w:r>
        <w:rPr>
          <w:lang w:val="es-ES"/>
        </w:rPr>
        <w:t xml:space="preserve">que fue seleccionada por el Grupo de Tareas Especiales de la </w:t>
      </w:r>
      <w:r w:rsidRPr="000E32BD">
        <w:rPr>
          <w:lang w:val="es-ES"/>
        </w:rPr>
        <w:t>BR (</w:t>
      </w:r>
      <w:r>
        <w:rPr>
          <w:lang w:val="es-ES"/>
        </w:rPr>
        <w:t>véase</w:t>
      </w:r>
      <w:r w:rsidRPr="000E32BD">
        <w:rPr>
          <w:lang w:val="es-ES"/>
        </w:rPr>
        <w:t xml:space="preserve"> 7.4.4).</w:t>
      </w:r>
    </w:p>
    <w:p w14:paraId="73650BC0" w14:textId="77777777" w:rsidR="00B27BCB" w:rsidRPr="00095689" w:rsidRDefault="00B27BCB" w:rsidP="00B27BCB">
      <w:pPr>
        <w:pStyle w:val="Heading3"/>
      </w:pPr>
      <w:r w:rsidRPr="00F1217E">
        <w:t>7.4.3</w:t>
      </w:r>
      <w:r w:rsidRPr="00F1217E">
        <w:tab/>
      </w:r>
      <w:bookmarkStart w:id="37" w:name="lt_pId512"/>
      <w:r w:rsidRPr="00F1217E">
        <w:rPr>
          <w:i/>
          <w:iCs/>
        </w:rPr>
        <w:t>Software</w:t>
      </w:r>
      <w:r w:rsidRPr="00F1217E">
        <w:t xml:space="preserve"> de análisis de compatibilidad para la radiodifusión sonora en FM – Optimización del Plan GE84</w:t>
      </w:r>
      <w:bookmarkEnd w:id="37"/>
    </w:p>
    <w:p w14:paraId="0680AA5B" w14:textId="77777777" w:rsidR="00B27BCB" w:rsidRPr="00A12CB7" w:rsidRDefault="00B27BCB" w:rsidP="00B27BCB">
      <w:bookmarkStart w:id="38" w:name="lt_pId513"/>
      <w:r w:rsidRPr="00A12CB7">
        <w:t>En 202</w:t>
      </w:r>
      <w:r>
        <w:t>1</w:t>
      </w:r>
      <w:r w:rsidRPr="00A12CB7">
        <w:t>, la BR desplegó una herramienta en línea</w:t>
      </w:r>
      <w:r>
        <w:t xml:space="preserve">, eBroadcasting, </w:t>
      </w:r>
      <w:r w:rsidRPr="00A12CB7">
        <w:t>para la optimización del Plan GE84 (radiodifusión en FM) en África en la banda de frecuencias 87,5-108 MHz:</w:t>
      </w:r>
      <w:bookmarkEnd w:id="38"/>
      <w:r w:rsidRPr="00A12CB7">
        <w:t xml:space="preserve"> la </w:t>
      </w:r>
      <w:r>
        <w:t>herramienta «</w:t>
      </w:r>
      <w:r w:rsidRPr="00A12CB7">
        <w:t>GE84 Optimization</w:t>
      </w:r>
      <w:r>
        <w:t>»</w:t>
      </w:r>
      <w:r w:rsidRPr="00A12CB7">
        <w:t xml:space="preserve">. Esta herramienta ejecuta cálculos de compatibilidad con arreglo al Acuerdo GE84 y evalúa las incompatibilidades de todas las frecuencias en la banda del GE84. El objetivo es detectar potenciales nuevos canales basándose en los cálculos de interferencia recibida y generada </w:t>
      </w:r>
      <w:r w:rsidRPr="00A12CB7">
        <w:lastRenderedPageBreak/>
        <w:t xml:space="preserve">con respecto a las entradas del Plan GE84 y cualquier otro requisito de frecuencia que se </w:t>
      </w:r>
      <w:r>
        <w:t xml:space="preserve">remita para su </w:t>
      </w:r>
      <w:r w:rsidRPr="00A12CB7">
        <w:t>análisis. Esta herramienta</w:t>
      </w:r>
      <w:r>
        <w:t xml:space="preserve">, que integra potentes capacidades de generación de mapas, </w:t>
      </w:r>
      <w:r w:rsidRPr="00A12CB7">
        <w:t>servirá de base para la optimización de la banda FM en África</w:t>
      </w:r>
      <w:r>
        <w:t xml:space="preserve">. Se </w:t>
      </w:r>
      <w:r w:rsidRPr="00A12CB7">
        <w:t xml:space="preserve">ha facilitado a todas las administraciones </w:t>
      </w:r>
      <w:r>
        <w:t xml:space="preserve">que son partes del </w:t>
      </w:r>
      <w:r w:rsidRPr="00A12CB7">
        <w:t>Acuerdo GE84.</w:t>
      </w:r>
    </w:p>
    <w:p w14:paraId="1114243A" w14:textId="77777777" w:rsidR="00B27BCB" w:rsidRPr="003D257F" w:rsidRDefault="00B27BCB" w:rsidP="00B27BCB">
      <w:pPr>
        <w:rPr>
          <w:lang w:val="es-ES"/>
        </w:rPr>
      </w:pPr>
      <w:r w:rsidRPr="003D257F">
        <w:rPr>
          <w:lang w:val="es-ES"/>
        </w:rPr>
        <w:t xml:space="preserve">En 2021, </w:t>
      </w:r>
      <w:r>
        <w:rPr>
          <w:lang w:val="es-ES"/>
        </w:rPr>
        <w:t xml:space="preserve">se han mejorado las </w:t>
      </w:r>
      <w:r w:rsidRPr="003D257F">
        <w:rPr>
          <w:lang w:val="es-ES"/>
        </w:rPr>
        <w:t>herramientas de optimización y</w:t>
      </w:r>
      <w:r>
        <w:rPr>
          <w:lang w:val="es-ES"/>
        </w:rPr>
        <w:t xml:space="preserve"> análisis de</w:t>
      </w:r>
      <w:r w:rsidRPr="003D257F">
        <w:rPr>
          <w:lang w:val="es-ES"/>
        </w:rPr>
        <w:t xml:space="preserve"> compatibilidad del GE84 </w:t>
      </w:r>
      <w:r>
        <w:rPr>
          <w:lang w:val="es-ES"/>
        </w:rPr>
        <w:t xml:space="preserve">a fin de </w:t>
      </w:r>
      <w:r w:rsidRPr="003D257F">
        <w:rPr>
          <w:lang w:val="es-ES"/>
        </w:rPr>
        <w:t>ofrecer una nueva funcio</w:t>
      </w:r>
      <w:r>
        <w:rPr>
          <w:lang w:val="es-ES"/>
        </w:rPr>
        <w:t>n</w:t>
      </w:r>
      <w:r w:rsidRPr="003D257F">
        <w:rPr>
          <w:lang w:val="es-ES"/>
        </w:rPr>
        <w:t>alidad que permite evaluar la predicción de interferencia punto a punto utilizando</w:t>
      </w:r>
      <w:r>
        <w:rPr>
          <w:lang w:val="es-ES"/>
        </w:rPr>
        <w:t xml:space="preserve"> el método descrito en la Recomendación UIT-R P.1812 junto con un mapa digital del terreno (SRTM3) con una resolución de 90 m.</w:t>
      </w:r>
    </w:p>
    <w:p w14:paraId="4CBE7D44" w14:textId="77777777" w:rsidR="00B27BCB" w:rsidRPr="00622C7C" w:rsidRDefault="00B27BCB" w:rsidP="00B27BCB">
      <w:pPr>
        <w:pStyle w:val="Heading3"/>
      </w:pPr>
      <w:r w:rsidRPr="00F1217E">
        <w:t>7.4.4</w:t>
      </w:r>
      <w:r w:rsidRPr="00F1217E">
        <w:tab/>
        <w:t>Sistema de Información Geográfica de la BR</w:t>
      </w:r>
    </w:p>
    <w:p w14:paraId="42D87C62" w14:textId="77777777" w:rsidR="00B27BCB" w:rsidRPr="00A12CB7" w:rsidRDefault="00B27BCB" w:rsidP="00B27BCB">
      <w:bookmarkStart w:id="39" w:name="lt_pId520"/>
      <w:r w:rsidRPr="00A12CB7">
        <w:t xml:space="preserve">El Grupo de Tareas Especiales sobre el Sistema de Información Geográfica (SIG) de la BR, compuesto por personal de todos los departamentos de la Oficina, se creó con el objetivo de armonizar las actividades relacionadas con el SIG en la BR. Una de las tareas iniciales del GTE consistió en implementar la plataforma del SIG de la BR utilizando GeoServer. Actualmente, el Grupo está transfiriendo al servidor todos los datos radiometeorológicos pertinentes (catálogo de datos geoespaciales) y otros conjuntos de datos relevantes del mapa mundial digitalizado de la UIT (IDWM). Estos datos se pondrán a disposición de los usuarios a través de servicios web compatibles con el Open Geospatial Consortium (OGC). La BR está implementando las funcionalidades del SIG en sus herramientas web </w:t>
      </w:r>
      <w:r>
        <w:t>utilizando</w:t>
      </w:r>
      <w:r w:rsidRPr="00A12CB7">
        <w:t xml:space="preserve"> la biblioteca</w:t>
      </w:r>
      <w:r>
        <w:t xml:space="preserve"> d</w:t>
      </w:r>
      <w:r w:rsidRPr="00A12CB7">
        <w:t>e código abierto OpenLayers.</w:t>
      </w:r>
      <w:bookmarkStart w:id="40" w:name="lt_pId525"/>
      <w:bookmarkEnd w:id="39"/>
    </w:p>
    <w:p w14:paraId="06289DE9" w14:textId="77777777" w:rsidR="00B27BCB" w:rsidRDefault="00B27BCB" w:rsidP="00B27BCB">
      <w:r w:rsidRPr="00A12CB7">
        <w:t xml:space="preserve">La UIT es miembro de la </w:t>
      </w:r>
      <w:r>
        <w:t>R</w:t>
      </w:r>
      <w:r w:rsidRPr="00A12CB7">
        <w:t xml:space="preserve">ed </w:t>
      </w:r>
      <w:r>
        <w:t>G</w:t>
      </w:r>
      <w:r w:rsidRPr="00A12CB7">
        <w:t>eoespacial de las Naciones Unidas, una coalición de organismos del sistema de las Naciones Unidas encargada de reforzar la coordinación y la coherencia en materia de gestión de la información geoespacial en el sistema de las Naciones Unidas. La BR participa en el Comité Directivo de esta red</w:t>
      </w:r>
      <w:r>
        <w:t xml:space="preserve"> </w:t>
      </w:r>
      <w:r w:rsidRPr="00A12CB7">
        <w:t>y dirige el Grupo Intersectorial de Tareas Especiales de la UIT sobre Gestión de la Información Geoespacial.</w:t>
      </w:r>
      <w:bookmarkEnd w:id="40"/>
    </w:p>
    <w:p w14:paraId="5F3EB31B" w14:textId="77777777" w:rsidR="00B27BCB" w:rsidRPr="00622C7C" w:rsidRDefault="00B27BCB" w:rsidP="00920C3D">
      <w:pPr>
        <w:pStyle w:val="Heading2"/>
      </w:pPr>
      <w:r w:rsidRPr="00E1357C">
        <w:t>7.5</w:t>
      </w:r>
      <w:r w:rsidRPr="00E1357C">
        <w:tab/>
        <w:t>Continuidad de las actividades y recuperación en caso de catástrofe (servicios espaciales y terrenales)</w:t>
      </w:r>
    </w:p>
    <w:p w14:paraId="036A0D3F" w14:textId="77777777" w:rsidR="00B27BCB" w:rsidRPr="006629A0" w:rsidRDefault="00B27BCB" w:rsidP="00920C3D">
      <w:pPr>
        <w:keepNext/>
        <w:keepLines/>
        <w:rPr>
          <w:lang w:val="es-ES"/>
        </w:rPr>
      </w:pPr>
      <w:r w:rsidRPr="002A350D">
        <w:t>Durante 2021 se continuó trabajando para fortalecer aún más el marco de gestión de riesgos de la UIT, con la participación plena de la BR en el Grupo Intersectorial de Tareas Especiales sobre Gestión de Riesgos.</w:t>
      </w:r>
      <w:r>
        <w:t xml:space="preserve"> </w:t>
      </w:r>
      <w:r w:rsidRPr="006629A0">
        <w:rPr>
          <w:lang w:val="es-ES"/>
        </w:rPr>
        <w:t>Además, el equipo directivo de la BR participó en varios talleres organizados</w:t>
      </w:r>
      <w:r>
        <w:rPr>
          <w:lang w:val="es-ES"/>
        </w:rPr>
        <w:t xml:space="preserve"> </w:t>
      </w:r>
      <w:r w:rsidRPr="006629A0">
        <w:rPr>
          <w:lang w:val="es-ES"/>
        </w:rPr>
        <w:t xml:space="preserve">por </w:t>
      </w:r>
      <w:r>
        <w:rPr>
          <w:lang w:val="es-ES"/>
        </w:rPr>
        <w:t xml:space="preserve">el coordinador del </w:t>
      </w:r>
      <w:r w:rsidRPr="006629A0">
        <w:rPr>
          <w:lang w:val="es-ES"/>
        </w:rPr>
        <w:t>Sistema de Gestión de la Resiliencia Institucional</w:t>
      </w:r>
      <w:r>
        <w:rPr>
          <w:lang w:val="es-ES"/>
        </w:rPr>
        <w:t xml:space="preserve"> de la UIT (ORMS) con la participación de una empresa consultora externa experta en la modelización de relaciones entre funciones empresariales fundamentales mediante una versión ampliada personalizada de la notación de modelado de procesos empresariales (</w:t>
      </w:r>
      <w:r w:rsidRPr="006629A0">
        <w:rPr>
          <w:lang w:val="es-ES"/>
        </w:rPr>
        <w:t>Business Process Modelling</w:t>
      </w:r>
      <w:r>
        <w:rPr>
          <w:lang w:val="es-ES"/>
        </w:rPr>
        <w:t xml:space="preserve">, </w:t>
      </w:r>
      <w:r w:rsidRPr="006629A0">
        <w:rPr>
          <w:lang w:val="es-ES"/>
        </w:rPr>
        <w:t>BPM</w:t>
      </w:r>
      <w:r>
        <w:rPr>
          <w:lang w:val="es-ES"/>
        </w:rPr>
        <w:t>). Esta actividad proseguirá con sesiones de formación en mayo de 2022.</w:t>
      </w:r>
    </w:p>
    <w:p w14:paraId="168AD5B9" w14:textId="77777777" w:rsidR="00B27BCB" w:rsidRPr="00622C7C" w:rsidRDefault="00B27BCB" w:rsidP="00B27BCB">
      <w:pPr>
        <w:pStyle w:val="Heading1"/>
      </w:pPr>
      <w:bookmarkStart w:id="41" w:name="_Toc446060776"/>
      <w:r w:rsidRPr="00E1357C">
        <w:t>8</w:t>
      </w:r>
      <w:r w:rsidRPr="00E1357C">
        <w:tab/>
      </w:r>
      <w:bookmarkEnd w:id="41"/>
      <w:r w:rsidRPr="00E1357C">
        <w:t>Divulgación</w:t>
      </w:r>
    </w:p>
    <w:p w14:paraId="6735D7A5" w14:textId="77777777" w:rsidR="00B27BCB" w:rsidRPr="001B0A10" w:rsidRDefault="00B27BCB" w:rsidP="00B27BCB">
      <w:r w:rsidRPr="001B0A10">
        <w:t xml:space="preserve">Las actividades de divulgación comprenden la difusión de información y asistencia a los </w:t>
      </w:r>
      <w:r>
        <w:t>M</w:t>
      </w:r>
      <w:r w:rsidRPr="001B0A10">
        <w:t>iembros, la publicación de productos del UIT-R, la organización de seminarios y talleres, además de la participación en los mismos, y la elaboración y mantenimiento de herramientas de comunicación y promoción. El objetivo de estas actividades es garantizar que los productos del UIT-R (Reglamentos, Recomendaciones, Informes y Manuales) se difundan a escala mundial de manera que puedan sentar las bases para la formulación de políticas y decisiones nacionales y regionales a efectos de la utilización del espectro radioeléctrico. Para llevar a cabo estas actividades, la BR coopera estrechamente con las demás Oficinas y Sectores, las Oficinas Regionales y Zona</w:t>
      </w:r>
      <w:r>
        <w:t>les</w:t>
      </w:r>
      <w:r w:rsidRPr="001B0A10">
        <w:t xml:space="preserve"> de la UIT, </w:t>
      </w:r>
      <w:r>
        <w:t>así como con</w:t>
      </w:r>
      <w:r w:rsidRPr="001B0A10">
        <w:t xml:space="preserve"> las organizaciones internacionales y autoridades nacionales </w:t>
      </w:r>
      <w:r>
        <w:t>pertinentes</w:t>
      </w:r>
      <w:r w:rsidRPr="001B0A10">
        <w:t>.</w:t>
      </w:r>
    </w:p>
    <w:p w14:paraId="179ED30C" w14:textId="77777777" w:rsidR="00B27BCB" w:rsidRPr="001B0A10" w:rsidRDefault="00B27BCB" w:rsidP="00B27BCB">
      <w:pPr>
        <w:pStyle w:val="Heading2"/>
      </w:pPr>
      <w:bookmarkStart w:id="42" w:name="_Toc418163376"/>
      <w:bookmarkStart w:id="43" w:name="_Toc418232294"/>
      <w:bookmarkStart w:id="44" w:name="_Toc424047595"/>
      <w:bookmarkStart w:id="45" w:name="_Toc446060777"/>
      <w:r w:rsidRPr="001B0A10">
        <w:lastRenderedPageBreak/>
        <w:t>8.1</w:t>
      </w:r>
      <w:r w:rsidRPr="001B0A10">
        <w:tab/>
      </w:r>
      <w:bookmarkEnd w:id="42"/>
      <w:bookmarkEnd w:id="43"/>
      <w:bookmarkEnd w:id="44"/>
      <w:bookmarkEnd w:id="45"/>
      <w:r w:rsidRPr="001B0A10">
        <w:t>Publicaciones</w:t>
      </w:r>
    </w:p>
    <w:p w14:paraId="431341BC" w14:textId="77777777" w:rsidR="00B27BCB" w:rsidRPr="001B0A10" w:rsidRDefault="00B27BCB" w:rsidP="00B27BCB">
      <w:pPr>
        <w:pStyle w:val="Heading3"/>
      </w:pPr>
      <w:bookmarkStart w:id="46" w:name="_Toc424047596"/>
      <w:bookmarkStart w:id="47" w:name="_Toc446060778"/>
      <w:r w:rsidRPr="001B0A10">
        <w:t>8.1.1</w:t>
      </w:r>
      <w:r w:rsidRPr="001B0A10">
        <w:tab/>
      </w:r>
      <w:bookmarkEnd w:id="46"/>
      <w:bookmarkEnd w:id="47"/>
      <w:r w:rsidRPr="001B0A10">
        <w:t>Publicaciones reglamentarias</w:t>
      </w:r>
    </w:p>
    <w:p w14:paraId="54CDA2FC" w14:textId="77777777" w:rsidR="00B27BCB" w:rsidRDefault="00B27BCB" w:rsidP="00B27BCB">
      <w:pPr>
        <w:pStyle w:val="Headingi"/>
      </w:pPr>
      <w:r w:rsidRPr="001B0A10">
        <w:t>Reglamento de Radiocomunicaciones y Reglas de Procedimiento</w:t>
      </w:r>
    </w:p>
    <w:p w14:paraId="6FF287A5" w14:textId="77777777" w:rsidR="00B27BCB" w:rsidRPr="001B0A10" w:rsidRDefault="00B27BCB" w:rsidP="00B27BCB">
      <w:r w:rsidRPr="001B0A10">
        <w:t>La edición de 2020 del Reglamento de Radiocomunicaciones se publicó en septiembre de 2020. Tras la Conferencia Mundial de Radiocomunicaciones de 201</w:t>
      </w:r>
      <w:r>
        <w:t>9</w:t>
      </w:r>
      <w:r w:rsidRPr="001B0A10">
        <w:t xml:space="preserve">, se </w:t>
      </w:r>
      <w:r>
        <w:t>ha publicado la</w:t>
      </w:r>
      <w:r w:rsidRPr="001B0A10">
        <w:t xml:space="preserve"> edición de 20</w:t>
      </w:r>
      <w:r>
        <w:t>21</w:t>
      </w:r>
      <w:r w:rsidRPr="001B0A10">
        <w:t xml:space="preserve"> de las Reglas de Procedimiento. Desde entonces, se ha</w:t>
      </w:r>
      <w:r>
        <w:t xml:space="preserve"> </w:t>
      </w:r>
      <w:r w:rsidRPr="001B0A10">
        <w:t xml:space="preserve">publicado </w:t>
      </w:r>
      <w:r>
        <w:t>una</w:t>
      </w:r>
      <w:r w:rsidRPr="001B0A10">
        <w:t xml:space="preserve"> actualizaci</w:t>
      </w:r>
      <w:r>
        <w:t xml:space="preserve">ón </w:t>
      </w:r>
      <w:r w:rsidRPr="001B0A10">
        <w:t>(</w:t>
      </w:r>
      <w:r>
        <w:t>octubre de 2021)</w:t>
      </w:r>
      <w:r w:rsidRPr="001B0A10">
        <w:t>.</w:t>
      </w:r>
    </w:p>
    <w:p w14:paraId="464AA693" w14:textId="77777777" w:rsidR="00B27BCB" w:rsidRPr="001B0A10" w:rsidRDefault="00B27BCB" w:rsidP="00B27BCB">
      <w:r w:rsidRPr="001B0A10">
        <w:t xml:space="preserve">La BR también publicó 11 Horarios de la radiodifusión en ondas decamétricas (HFBC) por año, conforme a lo estipulado en el Artículo </w:t>
      </w:r>
      <w:r w:rsidRPr="00C730CE">
        <w:rPr>
          <w:b/>
          <w:bCs/>
        </w:rPr>
        <w:t>12</w:t>
      </w:r>
      <w:r w:rsidRPr="001B0A10">
        <w:t xml:space="preserve"> del RR.</w:t>
      </w:r>
    </w:p>
    <w:p w14:paraId="38E522F4" w14:textId="77777777" w:rsidR="00B27BCB" w:rsidRPr="0087258D" w:rsidRDefault="00B27BCB" w:rsidP="00B27BCB">
      <w:pPr>
        <w:pStyle w:val="Heading3"/>
      </w:pPr>
      <w:bookmarkStart w:id="48" w:name="_Toc424047597"/>
      <w:bookmarkStart w:id="49" w:name="_Toc446060779"/>
      <w:r w:rsidRPr="0087258D">
        <w:t>8.1.2</w:t>
      </w:r>
      <w:r w:rsidRPr="0087258D">
        <w:tab/>
      </w:r>
      <w:bookmarkEnd w:id="48"/>
      <w:bookmarkEnd w:id="49"/>
      <w:r w:rsidRPr="0087258D">
        <w:t>Documentos de servicio</w:t>
      </w:r>
    </w:p>
    <w:p w14:paraId="497AC468" w14:textId="77777777" w:rsidR="00B27BCB" w:rsidRPr="0087258D" w:rsidRDefault="00B27BCB" w:rsidP="00B27BCB">
      <w:pPr>
        <w:pStyle w:val="Heading4"/>
        <w:rPr>
          <w:i/>
          <w:iCs/>
        </w:rPr>
      </w:pPr>
      <w:r w:rsidRPr="0087258D">
        <w:t>8.1.2.1</w:t>
      </w:r>
      <w:r w:rsidRPr="0087258D">
        <w:tab/>
        <w:t>Antecedentes y consideraciones generales</w:t>
      </w:r>
    </w:p>
    <w:p w14:paraId="05CD947D" w14:textId="77777777" w:rsidR="00B27BCB" w:rsidRPr="0087258D" w:rsidRDefault="00B27BCB" w:rsidP="00B27BCB">
      <w:r w:rsidRPr="0087258D">
        <w:t>La Oficina elabora y publica los siguientes documentos de servicio, tal como especifica el Artículo </w:t>
      </w:r>
      <w:r w:rsidRPr="0087258D">
        <w:rPr>
          <w:b/>
        </w:rPr>
        <w:t>20</w:t>
      </w:r>
      <w:r w:rsidRPr="0087258D">
        <w:t xml:space="preserve"> del Reglamento de Radiocomunicaciones</w:t>
      </w:r>
      <w:r>
        <w:t>:</w:t>
      </w:r>
    </w:p>
    <w:p w14:paraId="3AC6368F" w14:textId="77777777" w:rsidR="00B27BCB" w:rsidRPr="00622C7C" w:rsidRDefault="00B27BCB" w:rsidP="00B27BCB">
      <w:pPr>
        <w:pStyle w:val="enumlev1"/>
      </w:pPr>
      <w:r>
        <w:t>–</w:t>
      </w:r>
      <w:r w:rsidRPr="00622C7C">
        <w:tab/>
        <w:t>BR IFIC – Circular Internacional de Información sobre Frecuencias</w:t>
      </w:r>
      <w:r>
        <w:t>;</w:t>
      </w:r>
    </w:p>
    <w:p w14:paraId="6127D9CC" w14:textId="77777777" w:rsidR="00B27BCB" w:rsidRPr="00622C7C" w:rsidRDefault="00B27BCB" w:rsidP="00B27BCB">
      <w:pPr>
        <w:pStyle w:val="enumlev1"/>
      </w:pPr>
      <w:r>
        <w:t>–</w:t>
      </w:r>
      <w:r w:rsidRPr="00622C7C">
        <w:tab/>
        <w:t xml:space="preserve">Lista IV − </w:t>
      </w:r>
      <w:bookmarkStart w:id="50" w:name="_Hlk34732127"/>
      <w:r w:rsidRPr="00622C7C">
        <w:t>Nomenclátor de las estaciones costeras y de las estaciones que efectúan servicios especiales</w:t>
      </w:r>
      <w:bookmarkEnd w:id="50"/>
      <w:r>
        <w:t>;</w:t>
      </w:r>
    </w:p>
    <w:p w14:paraId="50DB5CBF" w14:textId="77777777" w:rsidR="00B27BCB" w:rsidRPr="00622C7C" w:rsidRDefault="00B27BCB" w:rsidP="00B27BCB">
      <w:pPr>
        <w:pStyle w:val="enumlev1"/>
      </w:pPr>
      <w:r>
        <w:t>–</w:t>
      </w:r>
      <w:r w:rsidRPr="00622C7C">
        <w:tab/>
        <w:t>Lista V − Nomenclátor de las estaciones de barco y de las asignaciones a identidades del servicio móvil marítimo</w:t>
      </w:r>
      <w:r>
        <w:t>;</w:t>
      </w:r>
    </w:p>
    <w:p w14:paraId="0A81EBF9" w14:textId="77777777" w:rsidR="00B27BCB" w:rsidRPr="00622C7C" w:rsidRDefault="00B27BCB" w:rsidP="00B27BCB">
      <w:pPr>
        <w:pStyle w:val="enumlev1"/>
      </w:pPr>
      <w:r>
        <w:t>–</w:t>
      </w:r>
      <w:r w:rsidRPr="00622C7C">
        <w:tab/>
        <w:t>Lista VIII − Nomenclátor de las estaciones de comprobación técnica internacional de las emisiones</w:t>
      </w:r>
      <w:r>
        <w:t>;</w:t>
      </w:r>
    </w:p>
    <w:p w14:paraId="3546681B" w14:textId="77777777" w:rsidR="00B27BCB" w:rsidRPr="00622C7C" w:rsidRDefault="00B27BCB" w:rsidP="00B27BCB">
      <w:pPr>
        <w:pStyle w:val="enumlev1"/>
      </w:pPr>
      <w:r>
        <w:t>–</w:t>
      </w:r>
      <w:r w:rsidRPr="00622C7C">
        <w:tab/>
        <w:t>Manual para uso de los servicios móvil marítimo y móvil marítimo por satélite.</w:t>
      </w:r>
    </w:p>
    <w:p w14:paraId="69149392" w14:textId="77777777" w:rsidR="00B27BCB" w:rsidRPr="00622C7C" w:rsidRDefault="00B27BCB" w:rsidP="00B27BCB">
      <w:pPr>
        <w:pStyle w:val="Heading4"/>
      </w:pPr>
      <w:r w:rsidRPr="00E1357C">
        <w:t>8.1.2.2</w:t>
      </w:r>
      <w:r w:rsidRPr="00E1357C">
        <w:tab/>
      </w:r>
      <w:bookmarkStart w:id="51" w:name="_Hlk34393551"/>
      <w:r w:rsidRPr="00E1357C">
        <w:t>Nomenclátor de las estaciones costeras y de las estaciones que efectúan servicios especiales (Lista IV)</w:t>
      </w:r>
    </w:p>
    <w:p w14:paraId="556E37FB" w14:textId="77777777" w:rsidR="00B27BCB" w:rsidRPr="0087258D" w:rsidRDefault="00B27BCB" w:rsidP="00B27BCB">
      <w:bookmarkStart w:id="52" w:name="lt_pId468"/>
      <w:bookmarkEnd w:id="51"/>
      <w:r w:rsidRPr="0087258D">
        <w:t>Este Nomenclátor contiene la información notificada a la UIT (es decir, distintivo de llamada, MMSI, coordenadas geográficas, frecuencias de transmisión y de recepción, etc.) en relación con las estaciones costeras que prestan servicios de vigilancia mediante técnicas de llamada selectiva digital, servicio de correspondencia pública, asesoramiento médico, avisos náuticos y meteorológicos, avisos a los navegantes y señales horarias radioeléctricas, etc.</w:t>
      </w:r>
    </w:p>
    <w:p w14:paraId="00668043" w14:textId="77777777" w:rsidR="00B27BCB" w:rsidRPr="00E1357C" w:rsidRDefault="00B27BCB" w:rsidP="00B27BCB">
      <w:r w:rsidRPr="0087258D">
        <w:t xml:space="preserve">El Nomenclátor de las estaciones costeras y de las estaciones que efectúan servicios especiales (Lista IV) se publica con una periodicidad bienal, en formato CD-ROM. En </w:t>
      </w:r>
      <w:r>
        <w:t>diciembre de 2021</w:t>
      </w:r>
      <w:r w:rsidRPr="0087258D">
        <w:t xml:space="preserve"> se publicó una edición de la Lista IV.</w:t>
      </w:r>
    </w:p>
    <w:p w14:paraId="77534947" w14:textId="77777777" w:rsidR="00B27BCB" w:rsidRPr="0087258D" w:rsidRDefault="00B27BCB" w:rsidP="00B27BCB">
      <w:bookmarkStart w:id="53" w:name="lt_pId470"/>
      <w:bookmarkEnd w:id="52"/>
      <w:r w:rsidRPr="0087258D">
        <w:t>La información relativa a esta lista puede consultarse a través del sistema de información en línea </w:t>
      </w:r>
      <w:r>
        <w:t>«S</w:t>
      </w:r>
      <w:r w:rsidRPr="00C730CE">
        <w:t>istema de acceso y extracción en el servicio móvil marítimo</w:t>
      </w:r>
      <w:r>
        <w:t>»</w:t>
      </w:r>
      <w:r w:rsidRPr="00C730CE">
        <w:t xml:space="preserve"> (MARS) </w:t>
      </w:r>
      <w:r w:rsidRPr="0087258D">
        <w:t xml:space="preserve">de la UIT. </w:t>
      </w:r>
      <w:bookmarkEnd w:id="53"/>
      <w:r w:rsidRPr="0087258D">
        <w:t xml:space="preserve">Cada seis meses, </w:t>
      </w:r>
      <w:r>
        <w:t>se</w:t>
      </w:r>
      <w:r w:rsidRPr="0087258D">
        <w:t xml:space="preserve"> publica en la web una recopilación de todos los cambios notificados a la UIT.</w:t>
      </w:r>
    </w:p>
    <w:p w14:paraId="512F18D0" w14:textId="77777777" w:rsidR="00B27BCB" w:rsidRPr="0087258D" w:rsidRDefault="00B27BCB" w:rsidP="00B27BCB">
      <w:pPr>
        <w:pStyle w:val="Heading4"/>
      </w:pPr>
      <w:r w:rsidRPr="0087258D">
        <w:t>8.1.2.3</w:t>
      </w:r>
      <w:r w:rsidRPr="0087258D">
        <w:tab/>
      </w:r>
      <w:bookmarkStart w:id="54" w:name="_Hlk34396651"/>
      <w:r w:rsidRPr="0087258D">
        <w:t>Nomenclátor de las estaciones de barco y de las asignaciones a identidades del servicio móvil marítimo (Lista V)</w:t>
      </w:r>
    </w:p>
    <w:bookmarkEnd w:id="54"/>
    <w:p w14:paraId="16D7BAB5" w14:textId="77777777" w:rsidR="00B27BCB" w:rsidRPr="0087258D" w:rsidRDefault="00B27BCB" w:rsidP="00B27BCB">
      <w:r w:rsidRPr="0087258D">
        <w:t xml:space="preserve">Este Nomenclátor contiene la información notificada a la UIT en relación con las estaciones de barco, </w:t>
      </w:r>
      <w:r>
        <w:t>costeras</w:t>
      </w:r>
      <w:r w:rsidRPr="0087258D">
        <w:t xml:space="preserve"> y de aeronaves de búsqueda y salvamento</w:t>
      </w:r>
      <w:r>
        <w:t xml:space="preserve"> (SAR)</w:t>
      </w:r>
      <w:r w:rsidRPr="0087258D">
        <w:t xml:space="preserve">, </w:t>
      </w:r>
      <w:r>
        <w:t xml:space="preserve">las estaciones a bordo de aeronaves, </w:t>
      </w:r>
      <w:r w:rsidRPr="0087258D">
        <w:t>los códigos de identificación de la autoridad encargada de la contabilidad (CCA) y la información de contacto de las administraciones notificantes.</w:t>
      </w:r>
    </w:p>
    <w:p w14:paraId="6D226EBE" w14:textId="77777777" w:rsidR="00B27BCB" w:rsidRPr="0087258D" w:rsidRDefault="00B27BCB" w:rsidP="00B27BCB">
      <w:r w:rsidRPr="0087258D">
        <w:lastRenderedPageBreak/>
        <w:t>El Nomenclátor de las estaciones de barco y de las asignaciones a identidades del servicio móvil marítimo (Lista V) se publica con una periodicidad anual, en formato CD ROM. En abril de 20</w:t>
      </w:r>
      <w:r>
        <w:t>21</w:t>
      </w:r>
      <w:r w:rsidRPr="0087258D">
        <w:t xml:space="preserve"> se publicó una edición de la Lista V.</w:t>
      </w:r>
    </w:p>
    <w:p w14:paraId="5CFF69AE" w14:textId="77777777" w:rsidR="00B27BCB" w:rsidRPr="0087258D" w:rsidRDefault="00B27BCB" w:rsidP="00B27BCB">
      <w:r w:rsidRPr="0087258D">
        <w:t xml:space="preserve">La información relativa a esta lista </w:t>
      </w:r>
      <w:r>
        <w:t xml:space="preserve">también </w:t>
      </w:r>
      <w:r w:rsidRPr="0087258D">
        <w:t xml:space="preserve">puede consultarse a través del sistema de información en línea MARS. Cada tres meses, </w:t>
      </w:r>
      <w:r>
        <w:t>se</w:t>
      </w:r>
      <w:r w:rsidRPr="0087258D">
        <w:t xml:space="preserve"> publica en la web una recopilación de todos los cambios notificados a la UIT.</w:t>
      </w:r>
    </w:p>
    <w:p w14:paraId="4D861F63" w14:textId="77777777" w:rsidR="00B27BCB" w:rsidRPr="00622C7C" w:rsidRDefault="00B27BCB" w:rsidP="00B27BCB">
      <w:pPr>
        <w:pStyle w:val="Heading4"/>
      </w:pPr>
      <w:r w:rsidRPr="00622C7C">
        <w:t>8.1.2.4</w:t>
      </w:r>
      <w:r w:rsidRPr="00622C7C">
        <w:tab/>
        <w:t>Nomenclátor de las estaciones de comprobación técnica internacional de las emisiones (Lista VIII)</w:t>
      </w:r>
    </w:p>
    <w:p w14:paraId="2D6EF760" w14:textId="77777777" w:rsidR="00B27BCB" w:rsidRPr="0087258D" w:rsidRDefault="00B27BCB" w:rsidP="00B27BCB">
      <w:r w:rsidRPr="0087258D">
        <w:t>El Nomenclátor de las estaciones de comprobación técnica internacional de las emisiones (Lista VIII) contiene las direcciones y otros datos pertinentes de las oficinas centralizadoras, incluida información detallada sobre las estaciones de comprobación técnica que miden emisiones terrenales y espaciales. Se ha puesto a disposición un servicio de descarga directa, gratuito y exclusivo con acceso TIES.</w:t>
      </w:r>
    </w:p>
    <w:p w14:paraId="1514F29F" w14:textId="77777777" w:rsidR="00B27BCB" w:rsidRPr="0087258D" w:rsidRDefault="00B27BCB" w:rsidP="00B27BCB">
      <w:r w:rsidRPr="0087258D">
        <w:t>En diciembre de 2019 se publicó una edición de esta Lista.</w:t>
      </w:r>
    </w:p>
    <w:p w14:paraId="5FAC81F2" w14:textId="77777777" w:rsidR="00B27BCB" w:rsidRPr="00622C7C" w:rsidRDefault="00B27BCB" w:rsidP="00B27BCB">
      <w:pPr>
        <w:pStyle w:val="Heading4"/>
      </w:pPr>
      <w:r w:rsidRPr="00622C7C">
        <w:t>8.1.2.5</w:t>
      </w:r>
      <w:r w:rsidRPr="00622C7C">
        <w:tab/>
        <w:t>Lista de documentos de servicio publicados</w:t>
      </w:r>
    </w:p>
    <w:p w14:paraId="780205FD" w14:textId="77777777" w:rsidR="00B27BCB" w:rsidRDefault="00B27BCB" w:rsidP="00B27BCB">
      <w:r w:rsidRPr="0087258D">
        <w:t>En el Cuadro 8.1.2.5-1 se resumen las diferentes publicaciones del periodo 201</w:t>
      </w:r>
      <w:r>
        <w:t>8</w:t>
      </w:r>
      <w:r w:rsidRPr="0087258D">
        <w:t>-202</w:t>
      </w:r>
      <w:r>
        <w:t>1</w:t>
      </w:r>
      <w:r w:rsidRPr="0087258D">
        <w:t>:</w:t>
      </w:r>
    </w:p>
    <w:p w14:paraId="00ACBC64" w14:textId="77777777" w:rsidR="00B27BCB" w:rsidRPr="0087258D" w:rsidRDefault="00B27BCB" w:rsidP="00920C3D">
      <w:pPr>
        <w:pStyle w:val="TableNoBR"/>
      </w:pPr>
      <w:r w:rsidRPr="0087258D">
        <w:t>Cuadro 8.1.2.5-1</w:t>
      </w:r>
    </w:p>
    <w:p w14:paraId="7DC3F701" w14:textId="77777777" w:rsidR="00B27BCB" w:rsidRPr="0087258D" w:rsidRDefault="00B27BCB" w:rsidP="00920C3D">
      <w:pPr>
        <w:pStyle w:val="TabletitleBR"/>
      </w:pPr>
      <w:r w:rsidRPr="0087258D">
        <w:t xml:space="preserve">Información </w:t>
      </w:r>
      <w:r w:rsidRPr="00920C3D">
        <w:t>resumida</w:t>
      </w:r>
      <w:r w:rsidRPr="0087258D">
        <w:t xml:space="preserve"> sobre los documentos de servicio </w:t>
      </w:r>
      <w:r w:rsidRPr="0087258D">
        <w:br/>
        <w:t>publicados durante el periodo 201</w:t>
      </w:r>
      <w:r>
        <w:t>8</w:t>
      </w:r>
      <w:r w:rsidRPr="0087258D">
        <w:t>-202</w:t>
      </w:r>
      <w:r>
        <w:t>1</w:t>
      </w:r>
    </w:p>
    <w:tbl>
      <w:tblPr>
        <w:tblStyle w:val="TableGrid"/>
        <w:tblW w:w="5000" w:type="pct"/>
        <w:jc w:val="center"/>
        <w:tblLayout w:type="fixed"/>
        <w:tblLook w:val="04A0" w:firstRow="1" w:lastRow="0" w:firstColumn="1" w:lastColumn="0" w:noHBand="0" w:noVBand="1"/>
      </w:tblPr>
      <w:tblGrid>
        <w:gridCol w:w="4204"/>
        <w:gridCol w:w="1216"/>
        <w:gridCol w:w="1403"/>
        <w:gridCol w:w="1403"/>
        <w:gridCol w:w="1403"/>
      </w:tblGrid>
      <w:tr w:rsidR="00B27BCB" w:rsidRPr="00B2067F" w14:paraId="6225844D" w14:textId="77777777" w:rsidTr="00CF5394">
        <w:trPr>
          <w:jc w:val="center"/>
        </w:trPr>
        <w:tc>
          <w:tcPr>
            <w:tcW w:w="4045" w:type="dxa"/>
          </w:tcPr>
          <w:p w14:paraId="61E7E7C9" w14:textId="77777777" w:rsidR="00B27BCB" w:rsidRPr="00B2067F" w:rsidRDefault="00B27BCB" w:rsidP="00CF5394">
            <w:pPr>
              <w:pStyle w:val="Tablehead"/>
            </w:pPr>
          </w:p>
        </w:tc>
        <w:tc>
          <w:tcPr>
            <w:tcW w:w="1170" w:type="dxa"/>
          </w:tcPr>
          <w:p w14:paraId="18B3EA28" w14:textId="77777777" w:rsidR="00B27BCB" w:rsidRPr="00B2067F" w:rsidRDefault="00B27BCB" w:rsidP="00CF5394">
            <w:pPr>
              <w:pStyle w:val="Tablehead"/>
            </w:pPr>
            <w:r w:rsidRPr="00B2067F">
              <w:t>2018</w:t>
            </w:r>
          </w:p>
        </w:tc>
        <w:tc>
          <w:tcPr>
            <w:tcW w:w="1350" w:type="dxa"/>
          </w:tcPr>
          <w:p w14:paraId="492AB5BB" w14:textId="77777777" w:rsidR="00B27BCB" w:rsidRPr="00B2067F" w:rsidRDefault="00B27BCB" w:rsidP="00CF5394">
            <w:pPr>
              <w:pStyle w:val="Tablehead"/>
            </w:pPr>
            <w:r w:rsidRPr="00B2067F">
              <w:t>2019</w:t>
            </w:r>
          </w:p>
        </w:tc>
        <w:tc>
          <w:tcPr>
            <w:tcW w:w="1350" w:type="dxa"/>
          </w:tcPr>
          <w:p w14:paraId="068A9F6E" w14:textId="77777777" w:rsidR="00B27BCB" w:rsidRPr="00B2067F" w:rsidRDefault="00B27BCB" w:rsidP="00CF5394">
            <w:pPr>
              <w:pStyle w:val="Tablehead"/>
            </w:pPr>
            <w:r w:rsidRPr="00B2067F">
              <w:t>2020</w:t>
            </w:r>
          </w:p>
        </w:tc>
        <w:tc>
          <w:tcPr>
            <w:tcW w:w="1350" w:type="dxa"/>
          </w:tcPr>
          <w:p w14:paraId="0F12DFEF" w14:textId="77777777" w:rsidR="00B27BCB" w:rsidRPr="00B2067F" w:rsidRDefault="00B27BCB" w:rsidP="00CF5394">
            <w:pPr>
              <w:pStyle w:val="Tablehead"/>
            </w:pPr>
            <w:r>
              <w:t>2021</w:t>
            </w:r>
          </w:p>
        </w:tc>
      </w:tr>
      <w:tr w:rsidR="00B27BCB" w:rsidRPr="00B2067F" w14:paraId="2B2EC897" w14:textId="77777777" w:rsidTr="00CF5394">
        <w:trPr>
          <w:jc w:val="center"/>
        </w:trPr>
        <w:tc>
          <w:tcPr>
            <w:tcW w:w="4045" w:type="dxa"/>
          </w:tcPr>
          <w:p w14:paraId="54516BD1" w14:textId="77777777" w:rsidR="00B27BCB" w:rsidRPr="00B2067F" w:rsidRDefault="00B27BCB" w:rsidP="00CF5394">
            <w:pPr>
              <w:pStyle w:val="Tabletext"/>
              <w:rPr>
                <w:sz w:val="20"/>
              </w:rPr>
            </w:pPr>
            <w:r w:rsidRPr="00B2067F">
              <w:t>BR IFIC (Circular Internacional de Información sobre Frecuencias)</w:t>
            </w:r>
          </w:p>
        </w:tc>
        <w:tc>
          <w:tcPr>
            <w:tcW w:w="1170" w:type="dxa"/>
          </w:tcPr>
          <w:p w14:paraId="52A215B4" w14:textId="77777777" w:rsidR="00B27BCB" w:rsidRPr="00B2067F" w:rsidRDefault="00B27BCB" w:rsidP="00CF5394">
            <w:pPr>
              <w:pStyle w:val="Tabletext"/>
              <w:jc w:val="center"/>
            </w:pPr>
            <w:r w:rsidRPr="00B2067F">
              <w:t>25</w:t>
            </w:r>
          </w:p>
        </w:tc>
        <w:tc>
          <w:tcPr>
            <w:tcW w:w="1350" w:type="dxa"/>
          </w:tcPr>
          <w:p w14:paraId="2F277FFF" w14:textId="77777777" w:rsidR="00B27BCB" w:rsidRPr="00B2067F" w:rsidRDefault="00B27BCB" w:rsidP="00CF5394">
            <w:pPr>
              <w:pStyle w:val="Tabletext"/>
              <w:jc w:val="center"/>
            </w:pPr>
            <w:r w:rsidRPr="00B2067F">
              <w:t>25</w:t>
            </w:r>
          </w:p>
        </w:tc>
        <w:tc>
          <w:tcPr>
            <w:tcW w:w="1350" w:type="dxa"/>
          </w:tcPr>
          <w:p w14:paraId="196618CE" w14:textId="77777777" w:rsidR="00B27BCB" w:rsidRPr="00B2067F" w:rsidRDefault="00B27BCB" w:rsidP="00CF5394">
            <w:pPr>
              <w:pStyle w:val="Tabletext"/>
              <w:jc w:val="center"/>
            </w:pPr>
            <w:r w:rsidRPr="00B2067F">
              <w:t>26</w:t>
            </w:r>
          </w:p>
        </w:tc>
        <w:tc>
          <w:tcPr>
            <w:tcW w:w="1350" w:type="dxa"/>
          </w:tcPr>
          <w:p w14:paraId="7CD24F07" w14:textId="77777777" w:rsidR="00B27BCB" w:rsidRPr="00B2067F" w:rsidRDefault="00B27BCB" w:rsidP="00CF5394">
            <w:pPr>
              <w:pStyle w:val="Tabletext"/>
              <w:jc w:val="center"/>
            </w:pPr>
            <w:r>
              <w:t>25</w:t>
            </w:r>
          </w:p>
        </w:tc>
      </w:tr>
      <w:tr w:rsidR="00B27BCB" w:rsidRPr="00B2067F" w14:paraId="3560C708" w14:textId="77777777" w:rsidTr="00CF5394">
        <w:trPr>
          <w:jc w:val="center"/>
        </w:trPr>
        <w:tc>
          <w:tcPr>
            <w:tcW w:w="4045" w:type="dxa"/>
          </w:tcPr>
          <w:p w14:paraId="3CD204E0" w14:textId="77777777" w:rsidR="00B27BCB" w:rsidRPr="00B2067F" w:rsidRDefault="00B27BCB" w:rsidP="00CF5394">
            <w:pPr>
              <w:pStyle w:val="Tabletext"/>
              <w:rPr>
                <w:sz w:val="20"/>
              </w:rPr>
            </w:pPr>
            <w:r w:rsidRPr="00B2067F">
              <w:t>Lista IV (Nomenclátor de las estaciones costeras y de las estaciones que efectúan servicios especiales)</w:t>
            </w:r>
          </w:p>
        </w:tc>
        <w:tc>
          <w:tcPr>
            <w:tcW w:w="1170" w:type="dxa"/>
          </w:tcPr>
          <w:p w14:paraId="6011CBCE" w14:textId="77777777" w:rsidR="00B27BCB" w:rsidRPr="00B2067F" w:rsidRDefault="00B27BCB" w:rsidP="00CF5394">
            <w:pPr>
              <w:pStyle w:val="Tabletext"/>
              <w:jc w:val="center"/>
            </w:pPr>
          </w:p>
        </w:tc>
        <w:tc>
          <w:tcPr>
            <w:tcW w:w="1350" w:type="dxa"/>
          </w:tcPr>
          <w:p w14:paraId="25C49426" w14:textId="77777777" w:rsidR="00B27BCB" w:rsidRPr="00B2067F" w:rsidRDefault="00B27BCB" w:rsidP="00CF5394">
            <w:pPr>
              <w:pStyle w:val="Tabletext"/>
              <w:jc w:val="center"/>
            </w:pPr>
            <w:r w:rsidRPr="00617EAD">
              <w:t>Edición de</w:t>
            </w:r>
            <w:r>
              <w:t> </w:t>
            </w:r>
            <w:r w:rsidRPr="00617EAD">
              <w:t>2019</w:t>
            </w:r>
            <w:r w:rsidRPr="00617EAD">
              <w:br/>
              <w:t>(diciembre)</w:t>
            </w:r>
          </w:p>
        </w:tc>
        <w:tc>
          <w:tcPr>
            <w:tcW w:w="1350" w:type="dxa"/>
          </w:tcPr>
          <w:p w14:paraId="01744861" w14:textId="77777777" w:rsidR="00B27BCB" w:rsidRPr="00617EAD" w:rsidRDefault="00B27BCB" w:rsidP="00CF5394">
            <w:pPr>
              <w:pStyle w:val="Tabletext"/>
              <w:jc w:val="center"/>
            </w:pPr>
          </w:p>
        </w:tc>
        <w:tc>
          <w:tcPr>
            <w:tcW w:w="1350" w:type="dxa"/>
          </w:tcPr>
          <w:p w14:paraId="65096B28" w14:textId="77777777" w:rsidR="00B27BCB" w:rsidRPr="00617EAD" w:rsidRDefault="00B27BCB" w:rsidP="00CF5394">
            <w:pPr>
              <w:pStyle w:val="Tabletext"/>
              <w:jc w:val="center"/>
            </w:pPr>
            <w:r w:rsidRPr="00617EAD">
              <w:t>Edición de</w:t>
            </w:r>
            <w:r>
              <w:t> </w:t>
            </w:r>
            <w:r w:rsidRPr="00617EAD">
              <w:t>2021</w:t>
            </w:r>
            <w:r>
              <w:br/>
            </w:r>
            <w:r w:rsidRPr="00617EAD">
              <w:t>(diciembre)</w:t>
            </w:r>
          </w:p>
        </w:tc>
      </w:tr>
      <w:tr w:rsidR="00B27BCB" w:rsidRPr="00B2067F" w14:paraId="30ABFD7E" w14:textId="77777777" w:rsidTr="00CF5394">
        <w:trPr>
          <w:jc w:val="center"/>
        </w:trPr>
        <w:tc>
          <w:tcPr>
            <w:tcW w:w="4045" w:type="dxa"/>
          </w:tcPr>
          <w:p w14:paraId="5CC0599E" w14:textId="083F9FE6" w:rsidR="00B27BCB" w:rsidRPr="00B2067F" w:rsidRDefault="00B27BCB" w:rsidP="00CF5394">
            <w:pPr>
              <w:pStyle w:val="Tabletext"/>
              <w:rPr>
                <w:sz w:val="20"/>
              </w:rPr>
            </w:pPr>
            <w:r w:rsidRPr="00B2067F">
              <w:t>Lista V (Nomenclátor de las estaciones de barco y de las asignaciones a identidades del</w:t>
            </w:r>
            <w:r w:rsidR="007903AC">
              <w:t> </w:t>
            </w:r>
            <w:r w:rsidRPr="00B2067F">
              <w:t>servicio</w:t>
            </w:r>
            <w:r w:rsidR="007903AC">
              <w:t xml:space="preserve"> </w:t>
            </w:r>
            <w:r w:rsidRPr="00B2067F">
              <w:t>móvil marítimo)</w:t>
            </w:r>
          </w:p>
        </w:tc>
        <w:tc>
          <w:tcPr>
            <w:tcW w:w="1170" w:type="dxa"/>
          </w:tcPr>
          <w:p w14:paraId="5A3AE8D3" w14:textId="77777777" w:rsidR="00B27BCB" w:rsidRPr="00B2067F" w:rsidRDefault="00B27BCB" w:rsidP="00CF5394">
            <w:pPr>
              <w:pStyle w:val="Tabletext"/>
              <w:jc w:val="center"/>
            </w:pPr>
            <w:r w:rsidRPr="00617EAD">
              <w:t>Edición de</w:t>
            </w:r>
            <w:r>
              <w:t> </w:t>
            </w:r>
            <w:r w:rsidRPr="00617EAD">
              <w:t>2018</w:t>
            </w:r>
            <w:r w:rsidRPr="00617EAD">
              <w:br/>
              <w:t>(abril)</w:t>
            </w:r>
          </w:p>
        </w:tc>
        <w:tc>
          <w:tcPr>
            <w:tcW w:w="1350" w:type="dxa"/>
          </w:tcPr>
          <w:p w14:paraId="2102CC1C" w14:textId="77777777" w:rsidR="00B27BCB" w:rsidRPr="00B2067F" w:rsidRDefault="00B27BCB" w:rsidP="00CF5394">
            <w:pPr>
              <w:pStyle w:val="Tabletext"/>
              <w:jc w:val="center"/>
            </w:pPr>
            <w:r w:rsidRPr="00617EAD">
              <w:t>Edición de</w:t>
            </w:r>
            <w:r>
              <w:t> </w:t>
            </w:r>
            <w:r w:rsidRPr="00617EAD">
              <w:t>2019</w:t>
            </w:r>
            <w:r w:rsidRPr="00617EAD">
              <w:br/>
              <w:t>(abril)</w:t>
            </w:r>
          </w:p>
        </w:tc>
        <w:tc>
          <w:tcPr>
            <w:tcW w:w="1350" w:type="dxa"/>
          </w:tcPr>
          <w:p w14:paraId="035CFF67" w14:textId="77777777" w:rsidR="00B27BCB" w:rsidRPr="00617EAD" w:rsidRDefault="00B27BCB" w:rsidP="00CF5394">
            <w:pPr>
              <w:pStyle w:val="Tabletext"/>
              <w:jc w:val="center"/>
            </w:pPr>
            <w:r w:rsidRPr="00617EAD">
              <w:t>Edición de</w:t>
            </w:r>
            <w:r>
              <w:t> </w:t>
            </w:r>
            <w:r w:rsidRPr="00617EAD">
              <w:t>2020</w:t>
            </w:r>
            <w:r w:rsidRPr="00617EAD">
              <w:br/>
              <w:t>(abril)</w:t>
            </w:r>
          </w:p>
        </w:tc>
        <w:tc>
          <w:tcPr>
            <w:tcW w:w="1350" w:type="dxa"/>
          </w:tcPr>
          <w:p w14:paraId="21BED2DC" w14:textId="77777777" w:rsidR="00B27BCB" w:rsidRPr="00617EAD" w:rsidRDefault="00B27BCB" w:rsidP="00CF5394">
            <w:pPr>
              <w:pStyle w:val="Tabletext"/>
              <w:jc w:val="center"/>
            </w:pPr>
            <w:r w:rsidRPr="00617EAD">
              <w:t>Edición de</w:t>
            </w:r>
            <w:r>
              <w:t> </w:t>
            </w:r>
            <w:r w:rsidRPr="00617EAD">
              <w:t>2021</w:t>
            </w:r>
            <w:r>
              <w:br/>
            </w:r>
            <w:r w:rsidRPr="00617EAD">
              <w:t>(abril)</w:t>
            </w:r>
          </w:p>
        </w:tc>
      </w:tr>
      <w:tr w:rsidR="00B27BCB" w:rsidRPr="00B2067F" w14:paraId="56BFEFE3" w14:textId="77777777" w:rsidTr="00CF5394">
        <w:trPr>
          <w:jc w:val="center"/>
        </w:trPr>
        <w:tc>
          <w:tcPr>
            <w:tcW w:w="4045" w:type="dxa"/>
          </w:tcPr>
          <w:p w14:paraId="51288DC2" w14:textId="7626D40A" w:rsidR="00B27BCB" w:rsidRPr="00B2067F" w:rsidRDefault="00B27BCB" w:rsidP="00CF5394">
            <w:pPr>
              <w:pStyle w:val="Tabletext"/>
              <w:rPr>
                <w:sz w:val="20"/>
              </w:rPr>
            </w:pPr>
            <w:r w:rsidRPr="00B2067F">
              <w:t>Lista VIII (Nomenclátor de las estaciones de</w:t>
            </w:r>
            <w:r w:rsidR="007903AC">
              <w:t> </w:t>
            </w:r>
            <w:r w:rsidRPr="00B2067F">
              <w:t>comprobación técnica internacional de las</w:t>
            </w:r>
            <w:r w:rsidR="007903AC">
              <w:t> </w:t>
            </w:r>
            <w:r w:rsidRPr="00B2067F">
              <w:t>emisiones)</w:t>
            </w:r>
          </w:p>
        </w:tc>
        <w:tc>
          <w:tcPr>
            <w:tcW w:w="1170" w:type="dxa"/>
          </w:tcPr>
          <w:p w14:paraId="1BD33427" w14:textId="77777777" w:rsidR="00B27BCB" w:rsidRPr="00B2067F" w:rsidRDefault="00B27BCB" w:rsidP="00CF5394">
            <w:pPr>
              <w:pStyle w:val="Tabletext"/>
              <w:jc w:val="center"/>
            </w:pPr>
          </w:p>
        </w:tc>
        <w:tc>
          <w:tcPr>
            <w:tcW w:w="1350" w:type="dxa"/>
          </w:tcPr>
          <w:p w14:paraId="10848C7F" w14:textId="77777777" w:rsidR="00B27BCB" w:rsidRPr="00B2067F" w:rsidRDefault="00B27BCB" w:rsidP="00CF5394">
            <w:pPr>
              <w:pStyle w:val="Tabletext"/>
              <w:jc w:val="center"/>
            </w:pPr>
            <w:r w:rsidRPr="00617EAD">
              <w:t>Edición de</w:t>
            </w:r>
            <w:r>
              <w:t> </w:t>
            </w:r>
            <w:r w:rsidRPr="00617EAD">
              <w:t>2019</w:t>
            </w:r>
            <w:r w:rsidRPr="00617EAD">
              <w:br/>
              <w:t>(diciembre)</w:t>
            </w:r>
          </w:p>
        </w:tc>
        <w:tc>
          <w:tcPr>
            <w:tcW w:w="1350" w:type="dxa"/>
          </w:tcPr>
          <w:p w14:paraId="480E8CD3" w14:textId="77777777" w:rsidR="00B27BCB" w:rsidRPr="00617EAD" w:rsidRDefault="00B27BCB" w:rsidP="00CF5394">
            <w:pPr>
              <w:pStyle w:val="Tabletext"/>
              <w:jc w:val="center"/>
            </w:pPr>
          </w:p>
        </w:tc>
        <w:tc>
          <w:tcPr>
            <w:tcW w:w="1350" w:type="dxa"/>
          </w:tcPr>
          <w:p w14:paraId="713D4654" w14:textId="77777777" w:rsidR="00B27BCB" w:rsidRPr="00617EAD" w:rsidRDefault="00B27BCB" w:rsidP="00CF5394">
            <w:pPr>
              <w:pStyle w:val="Tabletext"/>
              <w:jc w:val="center"/>
            </w:pPr>
          </w:p>
        </w:tc>
      </w:tr>
      <w:tr w:rsidR="00B27BCB" w:rsidRPr="00B2067F" w14:paraId="5BDE962E" w14:textId="77777777" w:rsidTr="00CF5394">
        <w:trPr>
          <w:jc w:val="center"/>
        </w:trPr>
        <w:tc>
          <w:tcPr>
            <w:tcW w:w="4045" w:type="dxa"/>
          </w:tcPr>
          <w:p w14:paraId="1C62BC8C" w14:textId="77777777" w:rsidR="00B27BCB" w:rsidRPr="00B2067F" w:rsidRDefault="00B27BCB" w:rsidP="00CF5394">
            <w:pPr>
              <w:pStyle w:val="Tabletext"/>
              <w:rPr>
                <w:sz w:val="20"/>
              </w:rPr>
            </w:pPr>
            <w:r w:rsidRPr="00B2067F">
              <w:t>Manual Marítimo</w:t>
            </w:r>
          </w:p>
        </w:tc>
        <w:tc>
          <w:tcPr>
            <w:tcW w:w="1170" w:type="dxa"/>
          </w:tcPr>
          <w:p w14:paraId="12E7FB9D" w14:textId="77777777" w:rsidR="00B27BCB" w:rsidRPr="00B2067F" w:rsidRDefault="00B27BCB" w:rsidP="00CF5394">
            <w:pPr>
              <w:pStyle w:val="Tabletext"/>
              <w:jc w:val="center"/>
            </w:pPr>
          </w:p>
        </w:tc>
        <w:tc>
          <w:tcPr>
            <w:tcW w:w="1350" w:type="dxa"/>
          </w:tcPr>
          <w:p w14:paraId="68AC64B7" w14:textId="77777777" w:rsidR="00B27BCB" w:rsidRPr="00B2067F" w:rsidRDefault="00B27BCB" w:rsidP="00CF5394">
            <w:pPr>
              <w:pStyle w:val="Tabletext"/>
              <w:jc w:val="center"/>
            </w:pPr>
          </w:p>
        </w:tc>
        <w:tc>
          <w:tcPr>
            <w:tcW w:w="1350" w:type="dxa"/>
          </w:tcPr>
          <w:p w14:paraId="38A0A08A" w14:textId="77777777" w:rsidR="00B27BCB" w:rsidRPr="00B2067F" w:rsidRDefault="00B27BCB" w:rsidP="00CF5394">
            <w:pPr>
              <w:pStyle w:val="Tabletext"/>
              <w:jc w:val="center"/>
            </w:pPr>
            <w:r w:rsidRPr="00617EAD">
              <w:t>Edición de</w:t>
            </w:r>
            <w:r>
              <w:t> </w:t>
            </w:r>
            <w:r w:rsidRPr="00617EAD">
              <w:t>2020</w:t>
            </w:r>
            <w:r w:rsidRPr="00617EAD">
              <w:br/>
              <w:t>(</w:t>
            </w:r>
            <w:r>
              <w:t>noviembre</w:t>
            </w:r>
            <w:r w:rsidRPr="00617EAD">
              <w:t>)</w:t>
            </w:r>
          </w:p>
        </w:tc>
        <w:tc>
          <w:tcPr>
            <w:tcW w:w="1350" w:type="dxa"/>
          </w:tcPr>
          <w:p w14:paraId="053BA2BB" w14:textId="77777777" w:rsidR="00B27BCB" w:rsidRPr="00617EAD" w:rsidRDefault="00B27BCB" w:rsidP="00CF5394">
            <w:pPr>
              <w:pStyle w:val="Tabletext"/>
              <w:jc w:val="center"/>
            </w:pPr>
          </w:p>
        </w:tc>
      </w:tr>
    </w:tbl>
    <w:p w14:paraId="05345009" w14:textId="77777777" w:rsidR="00B27BCB" w:rsidRPr="002828E7" w:rsidRDefault="00B27BCB" w:rsidP="00B27BCB">
      <w:pPr>
        <w:pStyle w:val="Heading3"/>
      </w:pPr>
      <w:r w:rsidRPr="002828E7">
        <w:t>8.1.3</w:t>
      </w:r>
      <w:r w:rsidRPr="002828E7">
        <w:tab/>
        <w:t>Publicaciones de las Comisiones de Estudio</w:t>
      </w:r>
    </w:p>
    <w:p w14:paraId="42EF1D45" w14:textId="77777777" w:rsidR="00B27BCB" w:rsidRPr="002828E7" w:rsidRDefault="00B27BCB" w:rsidP="00B27BCB">
      <w:bookmarkStart w:id="55" w:name="lt_pId607"/>
      <w:r w:rsidRPr="002828E7">
        <w:t xml:space="preserve">Desde la reunión de </w:t>
      </w:r>
      <w:r>
        <w:t xml:space="preserve">2021 del </w:t>
      </w:r>
      <w:r w:rsidRPr="002828E7">
        <w:t>GAR, las publicaciones de las Comisiones de Estudio del UIT-R de la UIT siguieron elaborándose de conformidad con la Resolución UIT-R 1-8.</w:t>
      </w:r>
      <w:bookmarkEnd w:id="55"/>
    </w:p>
    <w:p w14:paraId="6A42BC27" w14:textId="77777777" w:rsidR="00B27BCB" w:rsidRPr="002828E7" w:rsidRDefault="00B27BCB" w:rsidP="00B27BCB">
      <w:bookmarkStart w:id="56" w:name="_Hlk99056059"/>
      <w:r w:rsidRPr="002828E7">
        <w:t xml:space="preserve">El Addéndum 1 al </w:t>
      </w:r>
      <w:r w:rsidRPr="00D1750A">
        <w:t>presente documento</w:t>
      </w:r>
      <w:r w:rsidRPr="002828E7">
        <w:t xml:space="preserve"> contiene la lista completa de las Cuestiones UIT-R, las Recomendaciones UIT-R y los Informes UIT-R aprobados desde la reunión de 202</w:t>
      </w:r>
      <w:r>
        <w:t>1</w:t>
      </w:r>
      <w:r w:rsidRPr="002828E7">
        <w:t xml:space="preserve"> del GAR</w:t>
      </w:r>
      <w:r>
        <w:t>.</w:t>
      </w:r>
    </w:p>
    <w:p w14:paraId="1D390713" w14:textId="0250341C" w:rsidR="00B27BCB" w:rsidRPr="006157E5" w:rsidRDefault="00852D8F" w:rsidP="00B27BCB">
      <w:pPr>
        <w:pStyle w:val="enumlev1"/>
        <w:keepNext/>
        <w:keepLines/>
        <w:rPr>
          <w:b/>
          <w:bCs/>
        </w:rPr>
      </w:pPr>
      <w:bookmarkStart w:id="57" w:name="lt_pId608"/>
      <w:bookmarkEnd w:id="56"/>
      <w:r w:rsidRPr="00852D8F">
        <w:rPr>
          <w:b/>
          <w:bCs/>
        </w:rPr>
        <w:lastRenderedPageBreak/>
        <w:t>–</w:t>
      </w:r>
      <w:r w:rsidR="00B27BCB" w:rsidRPr="006157E5">
        <w:rPr>
          <w:b/>
          <w:bCs/>
        </w:rPr>
        <w:tab/>
      </w:r>
      <w:bookmarkEnd w:id="57"/>
      <w:r w:rsidR="00B27BCB" w:rsidRPr="006157E5">
        <w:rPr>
          <w:b/>
          <w:bCs/>
        </w:rPr>
        <w:t>Cuestiones UIT-R</w:t>
      </w:r>
    </w:p>
    <w:p w14:paraId="2FD134C0" w14:textId="612A10A4" w:rsidR="00B27BCB" w:rsidRPr="002828E7" w:rsidRDefault="00B27BCB" w:rsidP="00A928FF">
      <w:bookmarkStart w:id="58" w:name="lt_pId609"/>
      <w:r w:rsidRPr="00A928FF">
        <w:t>Desde la reunión de 2021 del GAR, se han aprobado y publicado cuatro Cuestiones UIT-R</w:t>
      </w:r>
      <w:r w:rsidRPr="002828E7">
        <w:t xml:space="preserve"> </w:t>
      </w:r>
      <w:r>
        <w:t xml:space="preserve">nuevas y una Cuestión UIT-R </w:t>
      </w:r>
      <w:r w:rsidRPr="002828E7">
        <w:t>revisada, con arreglo a los procedimientos establecidos en la Resolución</w:t>
      </w:r>
      <w:r>
        <w:t> </w:t>
      </w:r>
      <w:r w:rsidRPr="002828E7">
        <w:t>UIT</w:t>
      </w:r>
      <w:r>
        <w:noBreakHyphen/>
      </w:r>
      <w:r w:rsidRPr="002828E7">
        <w:t>R 1-8.</w:t>
      </w:r>
      <w:bookmarkEnd w:id="58"/>
    </w:p>
    <w:p w14:paraId="07E18338" w14:textId="4598377F" w:rsidR="00B27BCB" w:rsidRPr="006157E5" w:rsidRDefault="00852D8F" w:rsidP="00B27BCB">
      <w:pPr>
        <w:pStyle w:val="enumlev1"/>
        <w:rPr>
          <w:b/>
          <w:bCs/>
        </w:rPr>
      </w:pPr>
      <w:bookmarkStart w:id="59" w:name="lt_pId646"/>
      <w:r w:rsidRPr="00852D8F">
        <w:rPr>
          <w:b/>
          <w:bCs/>
        </w:rPr>
        <w:t>–</w:t>
      </w:r>
      <w:r w:rsidR="00B27BCB" w:rsidRPr="006157E5">
        <w:rPr>
          <w:b/>
          <w:bCs/>
        </w:rPr>
        <w:tab/>
      </w:r>
      <w:bookmarkEnd w:id="59"/>
      <w:r w:rsidR="00B27BCB" w:rsidRPr="006157E5">
        <w:rPr>
          <w:b/>
          <w:bCs/>
        </w:rPr>
        <w:t>Recomendaciones UIT-R</w:t>
      </w:r>
    </w:p>
    <w:p w14:paraId="7173AA2C" w14:textId="677C8F7B" w:rsidR="00B27BCB" w:rsidRPr="002828E7" w:rsidRDefault="00B27BCB" w:rsidP="00A928FF">
      <w:r w:rsidRPr="002828E7">
        <w:t>Desde la reunión de 202</w:t>
      </w:r>
      <w:r>
        <w:t>1</w:t>
      </w:r>
      <w:r w:rsidRPr="002828E7">
        <w:t xml:space="preserve"> del GAR, se ha aprobado </w:t>
      </w:r>
      <w:r>
        <w:t>cinco</w:t>
      </w:r>
      <w:r w:rsidRPr="002828E7">
        <w:t xml:space="preserve"> Recomendaciones UIT-R nuevas y </w:t>
      </w:r>
      <w:r>
        <w:t>46</w:t>
      </w:r>
      <w:r w:rsidRPr="002828E7">
        <w:t xml:space="preserve"> Recomendaciones UIT-R revisadas, con arreglo a los procedimientos establecidos en la Resolución UIT-R 1-8, y publicado en el sitio web de la UIT en inglés. Está en curso la publicación en </w:t>
      </w:r>
      <w:r>
        <w:t>seis</w:t>
      </w:r>
      <w:r w:rsidRPr="002828E7">
        <w:t xml:space="preserve"> idiomas de algunas de estas Recomendaciones UIT-R.</w:t>
      </w:r>
    </w:p>
    <w:p w14:paraId="7D5447FA" w14:textId="3F651354" w:rsidR="00B27BCB" w:rsidRPr="002828E7" w:rsidRDefault="00852D8F" w:rsidP="00B27BCB">
      <w:pPr>
        <w:pStyle w:val="enumlev1"/>
      </w:pPr>
      <w:bookmarkStart w:id="60" w:name="lt_pId701"/>
      <w:r w:rsidRPr="00852D8F">
        <w:rPr>
          <w:b/>
          <w:bCs/>
        </w:rPr>
        <w:t>–</w:t>
      </w:r>
      <w:r w:rsidR="00B27BCB" w:rsidRPr="006157E5">
        <w:rPr>
          <w:b/>
          <w:bCs/>
        </w:rPr>
        <w:tab/>
      </w:r>
      <w:bookmarkEnd w:id="60"/>
      <w:r w:rsidR="00B27BCB" w:rsidRPr="006157E5">
        <w:rPr>
          <w:b/>
          <w:bCs/>
        </w:rPr>
        <w:t>Informes UIT-R</w:t>
      </w:r>
    </w:p>
    <w:p w14:paraId="255A348A" w14:textId="04815ECF" w:rsidR="00B27BCB" w:rsidRPr="002828E7" w:rsidRDefault="00B27BCB" w:rsidP="00A928FF">
      <w:bookmarkStart w:id="61" w:name="lt_pId702"/>
      <w:r w:rsidRPr="002828E7">
        <w:t>Desde la reunión de 202</w:t>
      </w:r>
      <w:r>
        <w:t>1</w:t>
      </w:r>
      <w:r w:rsidRPr="002828E7">
        <w:t xml:space="preserve"> del GAR, se publicaron </w:t>
      </w:r>
      <w:r>
        <w:t>17</w:t>
      </w:r>
      <w:r w:rsidRPr="002828E7">
        <w:t xml:space="preserve"> Informes UIT-R nuevos y </w:t>
      </w:r>
      <w:r>
        <w:t>31</w:t>
      </w:r>
      <w:r w:rsidRPr="002828E7">
        <w:t xml:space="preserve"> revisados en el sitio web de la UIT en inglés.</w:t>
      </w:r>
      <w:bookmarkEnd w:id="61"/>
    </w:p>
    <w:p w14:paraId="109E4935" w14:textId="4C7D8E2E" w:rsidR="00B27BCB" w:rsidRPr="00525EEF" w:rsidRDefault="00852D8F" w:rsidP="00B27BCB">
      <w:pPr>
        <w:pStyle w:val="enumlev1"/>
        <w:rPr>
          <w:lang w:val="es-ES"/>
        </w:rPr>
      </w:pPr>
      <w:bookmarkStart w:id="62" w:name="lt_pId757"/>
      <w:r w:rsidRPr="00852D8F">
        <w:rPr>
          <w:b/>
          <w:bCs/>
        </w:rPr>
        <w:t>–</w:t>
      </w:r>
      <w:r w:rsidR="00B27BCB" w:rsidRPr="006157E5">
        <w:rPr>
          <w:b/>
          <w:bCs/>
        </w:rPr>
        <w:tab/>
      </w:r>
      <w:bookmarkEnd w:id="62"/>
      <w:r w:rsidR="00B27BCB" w:rsidRPr="006157E5">
        <w:rPr>
          <w:b/>
          <w:bCs/>
        </w:rPr>
        <w:t>Manuales del UIT-R</w:t>
      </w:r>
    </w:p>
    <w:p w14:paraId="236B3D23" w14:textId="30994F3B" w:rsidR="00B27BCB" w:rsidRPr="009A643A" w:rsidRDefault="00B27BCB" w:rsidP="00A928FF">
      <w:pPr>
        <w:rPr>
          <w:lang w:val="es-ES"/>
        </w:rPr>
      </w:pPr>
      <w:r w:rsidRPr="00815598">
        <w:rPr>
          <w:lang w:val="es-ES"/>
        </w:rPr>
        <w:t>Desde la reunión de 2021 del GAR</w:t>
      </w:r>
      <w:r>
        <w:rPr>
          <w:lang w:val="es-ES"/>
        </w:rPr>
        <w:t>, el GT 5A examinó y aprobó el</w:t>
      </w:r>
      <w:r w:rsidRPr="00057B3B">
        <w:rPr>
          <w:lang w:val="es-ES"/>
        </w:rPr>
        <w:t xml:space="preserve"> Manual sobre comunicaciones móviles terrestres (incluido el acceso inalámbrico)</w:t>
      </w:r>
      <w:r>
        <w:rPr>
          <w:lang w:val="es-ES"/>
        </w:rPr>
        <w:t xml:space="preserve">, </w:t>
      </w:r>
      <w:r w:rsidRPr="00057B3B">
        <w:rPr>
          <w:lang w:val="es-ES"/>
        </w:rPr>
        <w:t>Volumen 4</w:t>
      </w:r>
      <w:r>
        <w:rPr>
          <w:lang w:val="es-ES"/>
        </w:rPr>
        <w:t xml:space="preserve">: </w:t>
      </w:r>
      <w:r w:rsidRPr="00057B3B">
        <w:t xml:space="preserve">Sistemas </w:t>
      </w:r>
      <w:r>
        <w:t>d</w:t>
      </w:r>
      <w:r w:rsidRPr="00057B3B">
        <w:t>e Transporte Inteligentes</w:t>
      </w:r>
      <w:r w:rsidRPr="00057B3B">
        <w:rPr>
          <w:lang w:val="es-ES"/>
        </w:rPr>
        <w:t xml:space="preserve">. </w:t>
      </w:r>
      <w:r>
        <w:rPr>
          <w:lang w:val="es-ES"/>
        </w:rPr>
        <w:t>La CE </w:t>
      </w:r>
      <w:r w:rsidRPr="00057B3B">
        <w:rPr>
          <w:lang w:val="es-ES"/>
        </w:rPr>
        <w:t xml:space="preserve">6 </w:t>
      </w:r>
      <w:r>
        <w:rPr>
          <w:lang w:val="es-ES"/>
        </w:rPr>
        <w:t xml:space="preserve">aprobó el </w:t>
      </w:r>
      <w:r w:rsidRPr="00057B3B">
        <w:t>Manual sobre la implantación de redes y sistemas de radiodifusión de televisión terrenal digital</w:t>
      </w:r>
      <w:r>
        <w:rPr>
          <w:lang w:val="es-ES"/>
        </w:rPr>
        <w:t xml:space="preserve">. </w:t>
      </w:r>
      <w:r w:rsidRPr="009A643A">
        <w:rPr>
          <w:lang w:val="es-ES"/>
        </w:rPr>
        <w:t>Además, el GT</w:t>
      </w:r>
      <w:r>
        <w:rPr>
          <w:lang w:val="es-ES"/>
        </w:rPr>
        <w:t> </w:t>
      </w:r>
      <w:r w:rsidRPr="009A643A">
        <w:rPr>
          <w:lang w:val="es-ES"/>
        </w:rPr>
        <w:t>5D actualiz</w:t>
      </w:r>
      <w:r>
        <w:rPr>
          <w:lang w:val="es-ES"/>
        </w:rPr>
        <w:t>ó</w:t>
      </w:r>
      <w:r w:rsidRPr="009A643A">
        <w:rPr>
          <w:lang w:val="es-ES"/>
        </w:rPr>
        <w:t xml:space="preserve"> el </w:t>
      </w:r>
      <w:r>
        <w:rPr>
          <w:lang w:val="es-ES"/>
        </w:rPr>
        <w:t>«</w:t>
      </w:r>
      <w:r w:rsidRPr="009A643A">
        <w:rPr>
          <w:lang w:val="es-ES"/>
        </w:rPr>
        <w:t>Manual sobre tendencias mundiales de las IMT</w:t>
      </w:r>
      <w:r>
        <w:rPr>
          <w:lang w:val="es-ES"/>
        </w:rPr>
        <w:t>»</w:t>
      </w:r>
      <w:r w:rsidRPr="00B81FB9">
        <w:t xml:space="preserve"> </w:t>
      </w:r>
      <w:r>
        <w:rPr>
          <w:lang w:val="es-ES"/>
        </w:rPr>
        <w:t xml:space="preserve">para incluir las interfaces radioeléctricas de los sistemas </w:t>
      </w:r>
      <w:r w:rsidRPr="009A643A">
        <w:rPr>
          <w:lang w:val="es-ES"/>
        </w:rPr>
        <w:t xml:space="preserve">IMT-2020, </w:t>
      </w:r>
      <w:r>
        <w:rPr>
          <w:lang w:val="es-ES"/>
        </w:rPr>
        <w:t>que ahora se ha convertido en el «Manual sobre las IMT»</w:t>
      </w:r>
      <w:r w:rsidRPr="009A643A">
        <w:rPr>
          <w:lang w:val="es-ES"/>
        </w:rPr>
        <w:t>.</w:t>
      </w:r>
    </w:p>
    <w:p w14:paraId="64153B1C" w14:textId="77777777" w:rsidR="00B27BCB" w:rsidRPr="00FC0C40" w:rsidRDefault="00B27BCB" w:rsidP="00B27BCB">
      <w:pPr>
        <w:pStyle w:val="Heading3"/>
      </w:pPr>
      <w:r w:rsidRPr="00FC0C40">
        <w:t>8.1.4</w:t>
      </w:r>
      <w:r w:rsidRPr="00FC0C40">
        <w:tab/>
        <w:t>Descargas de publicaciones del UIT-R</w:t>
      </w:r>
    </w:p>
    <w:p w14:paraId="1D898162" w14:textId="77777777" w:rsidR="00B27BCB" w:rsidRPr="00FC0C40" w:rsidRDefault="00B27BCB" w:rsidP="00A928FF">
      <w:pPr>
        <w:pStyle w:val="Heading4"/>
      </w:pPr>
      <w:r w:rsidRPr="00FC0C40">
        <w:t>8.1.4.1</w:t>
      </w:r>
      <w:r w:rsidRPr="00FC0C40">
        <w:tab/>
        <w:t>Reglamento de Radiocomunicaciones y Reglas de Procedimiento</w:t>
      </w:r>
    </w:p>
    <w:p w14:paraId="3F3548C5" w14:textId="09E1AD6E" w:rsidR="00B27BCB" w:rsidRPr="00100CA3" w:rsidRDefault="00B27BCB" w:rsidP="00A928FF">
      <w:pPr>
        <w:keepNext/>
        <w:keepLines/>
        <w:rPr>
          <w:lang w:val="es-ES"/>
        </w:rPr>
      </w:pPr>
      <w:r w:rsidRPr="00FC0C40">
        <w:t>En relación con estos documentos reglamentarios, en el Cuadro 8.1.4.1-1 se muestra el número de ejemplares distribuidos de la edición de 2016 del RR y de la edición de 2020 del RR.</w:t>
      </w:r>
      <w:r>
        <w:t xml:space="preserve"> Conforme a la solicitud de la reunión del GAR de 2021, las versiones en formatos pdf y Word de la edición</w:t>
      </w:r>
      <w:r w:rsidR="007903AC">
        <w:t> </w:t>
      </w:r>
      <w:r>
        <w:t>RR</w:t>
      </w:r>
      <w:r w:rsidR="007903AC">
        <w:noBreakHyphen/>
      </w:r>
      <w:r>
        <w:t xml:space="preserve">2020 pueden descargarse gratuitamente desde el sitio web de la UIT </w:t>
      </w:r>
      <w:hyperlink r:id="rId38" w:history="1">
        <w:r w:rsidRPr="005D1AC6">
          <w:rPr>
            <w:rStyle w:val="Hyperlink"/>
          </w:rPr>
          <w:t>aquí</w:t>
        </w:r>
      </w:hyperlink>
      <w:r>
        <w:t xml:space="preserve">, y las versiones en formato Word también están disponibles </w:t>
      </w:r>
      <w:hyperlink r:id="rId39" w:history="1">
        <w:r w:rsidRPr="005D1AC6">
          <w:rPr>
            <w:rStyle w:val="Hyperlink"/>
          </w:rPr>
          <w:t>aquí</w:t>
        </w:r>
      </w:hyperlink>
      <w:r>
        <w:t>.</w:t>
      </w:r>
      <w:r w:rsidRPr="00FC0C40">
        <w:t xml:space="preserve"> </w:t>
      </w:r>
      <w:r>
        <w:rPr>
          <w:lang w:val="es-ES"/>
        </w:rPr>
        <w:t>El C</w:t>
      </w:r>
      <w:r w:rsidRPr="00100CA3">
        <w:rPr>
          <w:lang w:val="es-ES"/>
        </w:rPr>
        <w:t>uadro</w:t>
      </w:r>
      <w:r>
        <w:rPr>
          <w:lang w:val="es-ES"/>
        </w:rPr>
        <w:t> </w:t>
      </w:r>
      <w:r w:rsidRPr="00100CA3">
        <w:rPr>
          <w:lang w:val="es-ES"/>
        </w:rPr>
        <w:t>8.1.4.1</w:t>
      </w:r>
      <w:r w:rsidRPr="00100CA3">
        <w:rPr>
          <w:lang w:val="es-ES"/>
        </w:rPr>
        <w:noBreakHyphen/>
        <w:t>2 muestra el número total de descargas durante el mismo periodo de las Reglas de Procedimiento. La edición de 2021 de las Reglas de Procedimiento se public</w:t>
      </w:r>
      <w:r>
        <w:rPr>
          <w:lang w:val="es-ES"/>
        </w:rPr>
        <w:t xml:space="preserve">ó </w:t>
      </w:r>
      <w:r w:rsidRPr="00100CA3">
        <w:rPr>
          <w:lang w:val="es-ES"/>
        </w:rPr>
        <w:t>en junio de 2021, teniendo en cuenta las decisiones de la CMR-19.</w:t>
      </w:r>
      <w:r>
        <w:rPr>
          <w:lang w:val="es-ES"/>
        </w:rPr>
        <w:t xml:space="preserve"> </w:t>
      </w:r>
      <w:r w:rsidRPr="00100CA3">
        <w:rPr>
          <w:lang w:val="es-ES"/>
        </w:rPr>
        <w:t>La edición ha sido posteriormente actualizada como resultado de las Reglas de Procedimiento nuevas y revisadas aprobadas por la Junta del Reglamento de Radiocomunicaciones</w:t>
      </w:r>
      <w:r>
        <w:rPr>
          <w:lang w:val="es-ES"/>
        </w:rPr>
        <w:t>.</w:t>
      </w:r>
    </w:p>
    <w:p w14:paraId="7A3581EF" w14:textId="77777777" w:rsidR="00B27BCB" w:rsidRPr="00FC0C40" w:rsidRDefault="00B27BCB" w:rsidP="00B27BCB">
      <w:pPr>
        <w:pStyle w:val="TableNoBR"/>
      </w:pPr>
      <w:bookmarkStart w:id="63" w:name="lt_pId765"/>
      <w:r w:rsidRPr="00FC0C40">
        <w:t>CUADRO 8.1.4.1-1</w:t>
      </w:r>
      <w:bookmarkEnd w:id="63"/>
    </w:p>
    <w:p w14:paraId="71C69BE4" w14:textId="77777777" w:rsidR="00B27BCB" w:rsidRPr="00FC0C40" w:rsidRDefault="00B27BCB" w:rsidP="00B27BCB">
      <w:pPr>
        <w:pStyle w:val="TabletitleBR"/>
      </w:pPr>
      <w:r w:rsidRPr="00FC0C40">
        <w:t>Número de ejemplares distribuidos del Reglamento de Radiocomunicaciones</w:t>
      </w:r>
    </w:p>
    <w:tbl>
      <w:tblPr>
        <w:tblStyle w:val="GridTable5Dark-Accent12"/>
        <w:tblW w:w="5000" w:type="pct"/>
        <w:tblLook w:val="04A0" w:firstRow="1" w:lastRow="0" w:firstColumn="1" w:lastColumn="0" w:noHBand="0" w:noVBand="1"/>
      </w:tblPr>
      <w:tblGrid>
        <w:gridCol w:w="2285"/>
        <w:gridCol w:w="1373"/>
        <w:gridCol w:w="1438"/>
        <w:gridCol w:w="2344"/>
        <w:gridCol w:w="2189"/>
      </w:tblGrid>
      <w:tr w:rsidR="00B27BCB" w:rsidRPr="00B60ED3" w14:paraId="2BF87C08" w14:textId="77777777" w:rsidTr="00CF5394">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5" w:type="dxa"/>
            <w:tcBorders>
              <w:bottom w:val="single" w:sz="8" w:space="0" w:color="FFFFFF" w:themeColor="background1"/>
            </w:tcBorders>
            <w:hideMark/>
          </w:tcPr>
          <w:p w14:paraId="6B577396" w14:textId="77777777" w:rsidR="00B27BCB" w:rsidRPr="00B60ED3" w:rsidRDefault="00B27BCB" w:rsidP="00CF5394">
            <w:pPr>
              <w:pStyle w:val="Tablehead"/>
              <w:rPr>
                <w:b/>
                <w:bCs w:val="0"/>
              </w:rPr>
            </w:pPr>
            <w:r w:rsidRPr="00B60ED3">
              <w:rPr>
                <w:b/>
                <w:bCs w:val="0"/>
              </w:rPr>
              <w:t>RR-16</w:t>
            </w:r>
          </w:p>
        </w:tc>
        <w:tc>
          <w:tcPr>
            <w:tcW w:w="1373" w:type="dxa"/>
            <w:tcBorders>
              <w:bottom w:val="single" w:sz="8" w:space="0" w:color="FFFFFF" w:themeColor="background1"/>
            </w:tcBorders>
            <w:hideMark/>
          </w:tcPr>
          <w:p w14:paraId="14FA21C7" w14:textId="77777777" w:rsidR="00B27BCB" w:rsidRPr="00B60ED3"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2018</w:t>
            </w:r>
          </w:p>
        </w:tc>
        <w:tc>
          <w:tcPr>
            <w:tcW w:w="1438" w:type="dxa"/>
            <w:tcBorders>
              <w:bottom w:val="single" w:sz="8" w:space="0" w:color="FFFFFF" w:themeColor="background1"/>
            </w:tcBorders>
            <w:hideMark/>
          </w:tcPr>
          <w:p w14:paraId="5AEE9281" w14:textId="77777777" w:rsidR="00B27BCB" w:rsidRPr="00B60ED3"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2019</w:t>
            </w:r>
          </w:p>
        </w:tc>
        <w:tc>
          <w:tcPr>
            <w:tcW w:w="2344" w:type="dxa"/>
            <w:tcBorders>
              <w:bottom w:val="single" w:sz="8" w:space="0" w:color="FFFFFF" w:themeColor="background1"/>
            </w:tcBorders>
            <w:hideMark/>
          </w:tcPr>
          <w:p w14:paraId="0D773615" w14:textId="77777777" w:rsidR="00B27BCB" w:rsidRPr="00B60ED3"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2020</w:t>
            </w:r>
            <w:r w:rsidRPr="00B60ED3">
              <w:rPr>
                <w:b/>
                <w:bCs w:val="0"/>
              </w:rPr>
              <w:br/>
              <w:t>(Ed. 2016 y Ed. 2020)</w:t>
            </w:r>
          </w:p>
        </w:tc>
        <w:tc>
          <w:tcPr>
            <w:tcW w:w="2189" w:type="dxa"/>
            <w:tcBorders>
              <w:bottom w:val="single" w:sz="8" w:space="0" w:color="FFFFFF" w:themeColor="background1"/>
            </w:tcBorders>
          </w:tcPr>
          <w:p w14:paraId="31628797" w14:textId="77777777" w:rsidR="00B27BCB" w:rsidRPr="007903AC"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szCs w:val="22"/>
              </w:rPr>
            </w:pPr>
            <w:r w:rsidRPr="007903AC">
              <w:rPr>
                <w:b/>
                <w:bCs w:val="0"/>
                <w:color w:val="FFFFFF"/>
                <w:szCs w:val="22"/>
                <w:lang w:val="en-US"/>
              </w:rPr>
              <w:t>2021</w:t>
            </w:r>
            <w:r w:rsidRPr="007903AC">
              <w:rPr>
                <w:b/>
                <w:bCs w:val="0"/>
                <w:color w:val="FFFFFF"/>
                <w:szCs w:val="22"/>
                <w:lang w:val="en-US"/>
              </w:rPr>
              <w:br/>
              <w:t>RR-20</w:t>
            </w:r>
          </w:p>
        </w:tc>
      </w:tr>
      <w:tr w:rsidR="00B27BCB" w:rsidRPr="00FC0C40" w14:paraId="1A044CBF" w14:textId="77777777" w:rsidTr="00CF539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6BB0004" w14:textId="77777777" w:rsidR="00B27BCB" w:rsidRPr="00FC0C40" w:rsidRDefault="00B27BCB" w:rsidP="00CF5394">
            <w:pPr>
              <w:pStyle w:val="Tabletext"/>
            </w:pPr>
            <w:r w:rsidRPr="00FC0C40">
              <w:t>Copias impresas vendidas</w:t>
            </w:r>
          </w:p>
        </w:tc>
        <w:tc>
          <w:tcPr>
            <w:tcW w:w="13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EFC93BC" w14:textId="77777777" w:rsidR="00B27BCB" w:rsidRPr="00FC0C40"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FC0C40">
              <w:t>257</w:t>
            </w:r>
          </w:p>
        </w:tc>
        <w:tc>
          <w:tcPr>
            <w:tcW w:w="14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ABC7DEC" w14:textId="77777777" w:rsidR="00B27BCB" w:rsidRPr="00FC0C40"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FC0C40">
              <w:t>182</w:t>
            </w:r>
          </w:p>
        </w:tc>
        <w:tc>
          <w:tcPr>
            <w:tcW w:w="23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C378C7E" w14:textId="77777777" w:rsidR="00B27BCB" w:rsidRPr="00FC0C40"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FC0C40">
              <w:t>Ed. 2016: 59</w:t>
            </w:r>
            <w:r w:rsidRPr="00FC0C40">
              <w:br/>
              <w:t>Ed. 2020: 1</w:t>
            </w:r>
            <w:r>
              <w:t> </w:t>
            </w:r>
            <w:r w:rsidRPr="00FC0C40">
              <w:t>170</w:t>
            </w:r>
          </w:p>
        </w:tc>
        <w:tc>
          <w:tcPr>
            <w:tcW w:w="21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159BBC" w14:textId="77777777" w:rsidR="00B27BCB" w:rsidRPr="00FC0C40"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26C85">
              <w:t>274</w:t>
            </w:r>
          </w:p>
        </w:tc>
      </w:tr>
      <w:tr w:rsidR="00B27BCB" w:rsidRPr="00FC0C40" w14:paraId="0186B75E" w14:textId="77777777" w:rsidTr="00CF5394">
        <w:trPr>
          <w:trHeight w:val="315"/>
        </w:trPr>
        <w:tc>
          <w:tcPr>
            <w:cnfStyle w:val="001000000000" w:firstRow="0" w:lastRow="0" w:firstColumn="1" w:lastColumn="0" w:oddVBand="0" w:evenVBand="0" w:oddHBand="0" w:evenHBand="0" w:firstRowFirstColumn="0" w:firstRowLastColumn="0" w:lastRowFirstColumn="0" w:lastRowLastColumn="0"/>
            <w:tcW w:w="22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200FFDF" w14:textId="77777777" w:rsidR="00B27BCB" w:rsidRPr="00FC0C40" w:rsidRDefault="00B27BCB" w:rsidP="00CF5394">
            <w:pPr>
              <w:pStyle w:val="Tabletext"/>
            </w:pPr>
            <w:r w:rsidRPr="00FC0C40">
              <w:t>DVD vendidos</w:t>
            </w:r>
          </w:p>
        </w:tc>
        <w:tc>
          <w:tcPr>
            <w:tcW w:w="13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B64E899" w14:textId="77777777" w:rsidR="00B27BCB" w:rsidRPr="00FC0C40"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rsidRPr="00FC0C40">
              <w:t>1</w:t>
            </w:r>
            <w:r>
              <w:t> </w:t>
            </w:r>
            <w:r w:rsidRPr="00FC0C40">
              <w:t>264</w:t>
            </w:r>
          </w:p>
        </w:tc>
        <w:tc>
          <w:tcPr>
            <w:tcW w:w="14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93C2694" w14:textId="77777777" w:rsidR="00B27BCB" w:rsidRPr="00FC0C40" w:rsidRDefault="00B27BCB" w:rsidP="00A928FF">
            <w:pPr>
              <w:pStyle w:val="Tabletext"/>
              <w:jc w:val="center"/>
              <w:cnfStyle w:val="000000000000" w:firstRow="0" w:lastRow="0" w:firstColumn="0" w:lastColumn="0" w:oddVBand="0" w:evenVBand="0" w:oddHBand="0" w:evenHBand="0" w:firstRowFirstColumn="0" w:firstRowLastColumn="0" w:lastRowFirstColumn="0" w:lastRowLastColumn="0"/>
            </w:pPr>
            <w:r w:rsidRPr="00FC0C40">
              <w:t>1</w:t>
            </w:r>
            <w:r>
              <w:t> </w:t>
            </w:r>
            <w:r w:rsidRPr="00FC0C40">
              <w:t>063</w:t>
            </w:r>
          </w:p>
        </w:tc>
        <w:tc>
          <w:tcPr>
            <w:tcW w:w="23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3A0ABF2" w14:textId="77777777" w:rsidR="00B27BCB" w:rsidRPr="00FC0C40" w:rsidRDefault="00B27BCB" w:rsidP="00A928FF">
            <w:pPr>
              <w:pStyle w:val="Tabletext"/>
              <w:jc w:val="center"/>
              <w:cnfStyle w:val="000000000000" w:firstRow="0" w:lastRow="0" w:firstColumn="0" w:lastColumn="0" w:oddVBand="0" w:evenVBand="0" w:oddHBand="0" w:evenHBand="0" w:firstRowFirstColumn="0" w:firstRowLastColumn="0" w:lastRowFirstColumn="0" w:lastRowLastColumn="0"/>
            </w:pPr>
            <w:r w:rsidRPr="00FC0C40">
              <w:t>Ed. 2016:</w:t>
            </w:r>
            <w:r>
              <w:t xml:space="preserve"> </w:t>
            </w:r>
            <w:r w:rsidRPr="00FC0C40">
              <w:t>482</w:t>
            </w:r>
            <w:r w:rsidRPr="00FC0C40">
              <w:br/>
              <w:t>Ed. 2020:</w:t>
            </w:r>
            <w:r>
              <w:t xml:space="preserve"> </w:t>
            </w:r>
            <w:r w:rsidRPr="00FC0C40">
              <w:t>5</w:t>
            </w:r>
            <w:r>
              <w:t> </w:t>
            </w:r>
            <w:r w:rsidRPr="00FC0C40">
              <w:t>061</w:t>
            </w:r>
          </w:p>
        </w:tc>
        <w:tc>
          <w:tcPr>
            <w:tcW w:w="21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5F134E3" w14:textId="77777777" w:rsidR="00B27BCB" w:rsidRPr="00FC0C40" w:rsidRDefault="00B27BCB" w:rsidP="00A928FF">
            <w:pPr>
              <w:pStyle w:val="Tabletext"/>
              <w:jc w:val="center"/>
              <w:cnfStyle w:val="000000000000" w:firstRow="0" w:lastRow="0" w:firstColumn="0" w:lastColumn="0" w:oddVBand="0" w:evenVBand="0" w:oddHBand="0" w:evenHBand="0" w:firstRowFirstColumn="0" w:firstRowLastColumn="0" w:lastRowFirstColumn="0" w:lastRowLastColumn="0"/>
            </w:pPr>
            <w:r w:rsidRPr="00026C85">
              <w:t>3 855</w:t>
            </w:r>
          </w:p>
        </w:tc>
      </w:tr>
      <w:tr w:rsidR="00B27BCB" w:rsidRPr="00FC0C40" w14:paraId="72CDE26F" w14:textId="77777777" w:rsidTr="00CF539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8354EE4" w14:textId="77777777" w:rsidR="00B27BCB" w:rsidRPr="00FC0C40" w:rsidRDefault="00B27BCB" w:rsidP="00CF5394">
            <w:pPr>
              <w:pStyle w:val="Tabletext"/>
            </w:pPr>
            <w:r w:rsidRPr="00FC0C40">
              <w:t>Descargas gratuitas</w:t>
            </w:r>
          </w:p>
        </w:tc>
        <w:tc>
          <w:tcPr>
            <w:tcW w:w="13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0204E15" w14:textId="77777777" w:rsidR="00B27BCB" w:rsidRPr="00FC0C40"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39 766</w:t>
            </w:r>
          </w:p>
        </w:tc>
        <w:tc>
          <w:tcPr>
            <w:tcW w:w="14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2604506" w14:textId="77777777" w:rsidR="00B27BCB" w:rsidRPr="00FC0C40"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47 974</w:t>
            </w:r>
          </w:p>
        </w:tc>
        <w:tc>
          <w:tcPr>
            <w:tcW w:w="23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244BAA8" w14:textId="77777777" w:rsidR="00B27BCB" w:rsidRPr="00FC0C40"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FC0C40">
              <w:t xml:space="preserve">Ed. 2016: </w:t>
            </w:r>
            <w:r>
              <w:t>36 416</w:t>
            </w:r>
            <w:r w:rsidRPr="00FC0C40">
              <w:br/>
              <w:t xml:space="preserve">Ed. 2020: </w:t>
            </w:r>
            <w:r>
              <w:t>4 236</w:t>
            </w:r>
          </w:p>
        </w:tc>
        <w:tc>
          <w:tcPr>
            <w:tcW w:w="21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1B97517" w14:textId="77777777" w:rsidR="00B27BCB" w:rsidRPr="00FC0C40"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26C85">
              <w:t>18 092</w:t>
            </w:r>
          </w:p>
        </w:tc>
      </w:tr>
    </w:tbl>
    <w:p w14:paraId="5F74B448" w14:textId="77777777" w:rsidR="00B27BCB" w:rsidRPr="00026C85" w:rsidRDefault="00B27BCB" w:rsidP="00B27BCB">
      <w:pPr>
        <w:pStyle w:val="TableNoBR"/>
        <w:rPr>
          <w:lang w:val="en-GB"/>
        </w:rPr>
      </w:pPr>
      <w:r>
        <w:lastRenderedPageBreak/>
        <w:t>CUADRO</w:t>
      </w:r>
      <w:r w:rsidRPr="00026C85">
        <w:rPr>
          <w:lang w:val="en-GB"/>
        </w:rPr>
        <w:t xml:space="preserve"> 8.1.4.1-2</w:t>
      </w:r>
    </w:p>
    <w:p w14:paraId="1B352705" w14:textId="77777777" w:rsidR="00B27BCB" w:rsidRPr="00100CA3" w:rsidRDefault="00B27BCB" w:rsidP="00B27BCB">
      <w:pPr>
        <w:pStyle w:val="TabletitleBR"/>
        <w:rPr>
          <w:lang w:val="es-ES"/>
        </w:rPr>
      </w:pPr>
      <w:r w:rsidRPr="00100CA3">
        <w:rPr>
          <w:lang w:val="es-ES"/>
        </w:rPr>
        <w:t>Número de descargas de las Reglas de Procedimiento</w:t>
      </w:r>
    </w:p>
    <w:tbl>
      <w:tblPr>
        <w:tblStyle w:val="GridTable5Dark-Accent12"/>
        <w:tblW w:w="5000" w:type="pct"/>
        <w:tblLook w:val="04A0" w:firstRow="1" w:lastRow="0" w:firstColumn="1" w:lastColumn="0" w:noHBand="0" w:noVBand="1"/>
      </w:tblPr>
      <w:tblGrid>
        <w:gridCol w:w="3313"/>
        <w:gridCol w:w="1568"/>
        <w:gridCol w:w="1595"/>
        <w:gridCol w:w="1568"/>
        <w:gridCol w:w="1585"/>
      </w:tblGrid>
      <w:tr w:rsidR="00B27BCB" w:rsidRPr="00B60ED3" w14:paraId="5189C018" w14:textId="77777777" w:rsidTr="00CF5394">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313" w:type="dxa"/>
            <w:tcBorders>
              <w:bottom w:val="single" w:sz="8" w:space="0" w:color="FFFFFF" w:themeColor="background1"/>
            </w:tcBorders>
            <w:hideMark/>
          </w:tcPr>
          <w:p w14:paraId="61269DC4" w14:textId="77777777" w:rsidR="00B27BCB" w:rsidRPr="00B60ED3" w:rsidRDefault="00B27BCB" w:rsidP="00CF5394">
            <w:pPr>
              <w:pStyle w:val="Tablehead"/>
              <w:rPr>
                <w:b/>
                <w:bCs w:val="0"/>
                <w:lang w:val="es-ES"/>
              </w:rPr>
            </w:pPr>
          </w:p>
        </w:tc>
        <w:tc>
          <w:tcPr>
            <w:tcW w:w="1568" w:type="dxa"/>
            <w:tcBorders>
              <w:bottom w:val="single" w:sz="8" w:space="0" w:color="FFFFFF" w:themeColor="background1"/>
            </w:tcBorders>
            <w:hideMark/>
          </w:tcPr>
          <w:p w14:paraId="217F55D3" w14:textId="77777777" w:rsidR="00B27BCB" w:rsidRPr="00B60ED3"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2018</w:t>
            </w:r>
          </w:p>
        </w:tc>
        <w:tc>
          <w:tcPr>
            <w:tcW w:w="1595" w:type="dxa"/>
            <w:tcBorders>
              <w:bottom w:val="single" w:sz="8" w:space="0" w:color="FFFFFF" w:themeColor="background1"/>
            </w:tcBorders>
            <w:hideMark/>
          </w:tcPr>
          <w:p w14:paraId="2D0C4F87" w14:textId="77777777" w:rsidR="00B27BCB" w:rsidRPr="00B60ED3"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2019</w:t>
            </w:r>
          </w:p>
        </w:tc>
        <w:tc>
          <w:tcPr>
            <w:tcW w:w="1568" w:type="dxa"/>
            <w:tcBorders>
              <w:bottom w:val="single" w:sz="8" w:space="0" w:color="FFFFFF" w:themeColor="background1"/>
            </w:tcBorders>
          </w:tcPr>
          <w:p w14:paraId="4C53B9A5" w14:textId="77777777" w:rsidR="00B27BCB" w:rsidRPr="00B60ED3"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2020</w:t>
            </w:r>
          </w:p>
        </w:tc>
        <w:tc>
          <w:tcPr>
            <w:tcW w:w="1585" w:type="dxa"/>
            <w:tcBorders>
              <w:bottom w:val="single" w:sz="8" w:space="0" w:color="FFFFFF" w:themeColor="background1"/>
            </w:tcBorders>
          </w:tcPr>
          <w:p w14:paraId="4305D358" w14:textId="77777777" w:rsidR="00B27BCB" w:rsidRPr="00B60ED3"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2021</w:t>
            </w:r>
          </w:p>
        </w:tc>
      </w:tr>
      <w:tr w:rsidR="00B27BCB" w:rsidRPr="00026C85" w14:paraId="66019BF8" w14:textId="77777777" w:rsidTr="00CF539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C9B2C7D" w14:textId="77777777" w:rsidR="00B27BCB" w:rsidRPr="00026C85" w:rsidRDefault="00B27BCB" w:rsidP="000216B8">
            <w:pPr>
              <w:pStyle w:val="Tabletext"/>
              <w:spacing w:before="0" w:after="0"/>
              <w:jc w:val="center"/>
              <w:rPr>
                <w:color w:val="FFFFFF"/>
                <w:sz w:val="20"/>
                <w:lang w:val="en-US"/>
              </w:rPr>
            </w:pPr>
            <w:r w:rsidRPr="00026C85">
              <w:t>R</w:t>
            </w:r>
            <w:r>
              <w:t>dP</w:t>
            </w:r>
            <w:r w:rsidRPr="00026C85">
              <w:br/>
              <w:t>(</w:t>
            </w:r>
            <w:r>
              <w:t>Reglas de Procedimiento</w:t>
            </w:r>
            <w:r w:rsidRPr="00026C85">
              <w:t>)</w:t>
            </w:r>
          </w:p>
        </w:tc>
        <w:tc>
          <w:tcPr>
            <w:tcW w:w="15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8069418" w14:textId="77777777" w:rsidR="00B27BCB" w:rsidRPr="00026C85" w:rsidRDefault="00B27BCB" w:rsidP="000216B8">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026C85">
              <w:t>7 501</w:t>
            </w:r>
          </w:p>
        </w:tc>
        <w:tc>
          <w:tcPr>
            <w:tcW w:w="15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F6C5103" w14:textId="77777777" w:rsidR="00B27BCB" w:rsidRPr="00026C85" w:rsidRDefault="00B27BCB" w:rsidP="000216B8">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026C85">
              <w:t>10 014</w:t>
            </w:r>
          </w:p>
        </w:tc>
        <w:tc>
          <w:tcPr>
            <w:tcW w:w="15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96C8FF8" w14:textId="77777777" w:rsidR="00B27BCB" w:rsidRPr="00026C85" w:rsidRDefault="00B27BCB" w:rsidP="000216B8">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026C85">
              <w:t>10 882</w:t>
            </w: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4DBF98E" w14:textId="77777777" w:rsidR="00B27BCB" w:rsidRPr="00026C85" w:rsidRDefault="00B27BCB" w:rsidP="000216B8">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026C85">
              <w:t>10 539</w:t>
            </w:r>
          </w:p>
        </w:tc>
      </w:tr>
    </w:tbl>
    <w:p w14:paraId="66C95BB3" w14:textId="77777777" w:rsidR="00B27BCB" w:rsidRPr="004E6CAC" w:rsidRDefault="00B27BCB" w:rsidP="00B27BCB">
      <w:pPr>
        <w:pStyle w:val="Heading4"/>
      </w:pPr>
      <w:r w:rsidRPr="004E6CAC">
        <w:t>8.1.4.2</w:t>
      </w:r>
      <w:r w:rsidRPr="004E6CAC">
        <w:tab/>
        <w:t>Recomendaciones UIT-R</w:t>
      </w:r>
    </w:p>
    <w:p w14:paraId="55CFBD5D" w14:textId="74F48E2F" w:rsidR="00B27BCB" w:rsidRDefault="00B27BCB" w:rsidP="00B27BCB">
      <w:r>
        <w:t>Como consecuencias de la</w:t>
      </w:r>
      <w:r w:rsidRPr="004E6CAC">
        <w:t xml:space="preserve"> política de acceso gratuito en línea</w:t>
      </w:r>
      <w:r>
        <w:t xml:space="preserve">, </w:t>
      </w:r>
      <w:r w:rsidRPr="004E6CAC">
        <w:t>las Recomendaciones UIT</w:t>
      </w:r>
      <w:r w:rsidRPr="004E6CAC">
        <w:noBreakHyphen/>
        <w:t xml:space="preserve">R </w:t>
      </w:r>
      <w:r>
        <w:t xml:space="preserve">son accesibles y descargables </w:t>
      </w:r>
      <w:r w:rsidRPr="004E6CAC">
        <w:t xml:space="preserve">desde cualquier parte del mundo. </w:t>
      </w:r>
      <w:r>
        <w:t xml:space="preserve">Desde enero de 2018 a diciembre de2021 </w:t>
      </w:r>
      <w:r w:rsidRPr="004E6CAC">
        <w:t xml:space="preserve">se registraron más de </w:t>
      </w:r>
      <w:r>
        <w:t>siete</w:t>
      </w:r>
      <w:r w:rsidRPr="004E6CAC">
        <w:t xml:space="preserve"> millones de descargas de Recomendaciones UIT</w:t>
      </w:r>
      <w:r w:rsidRPr="004E6CAC">
        <w:noBreakHyphen/>
        <w:t>R desde el sitio web de la UIT. En el Cuadro 8.1.4.2-1 se resume su distribución por año y serie. Actualmente, existen 1</w:t>
      </w:r>
      <w:r>
        <w:t> </w:t>
      </w:r>
      <w:r w:rsidRPr="004E6CAC">
        <w:t>1</w:t>
      </w:r>
      <w:r>
        <w:t>78</w:t>
      </w:r>
      <w:r w:rsidRPr="004E6CAC">
        <w:t xml:space="preserve"> Recomendaciones UIT-R en vigor.</w:t>
      </w:r>
    </w:p>
    <w:p w14:paraId="1DA082BC" w14:textId="77777777" w:rsidR="00B27BCB" w:rsidRPr="00001517" w:rsidRDefault="00B27BCB" w:rsidP="00B27BCB">
      <w:pPr>
        <w:pStyle w:val="TableNoBR"/>
      </w:pPr>
      <w:r w:rsidRPr="00001517">
        <w:t>CUADRO 8.1.4.2-1</w:t>
      </w:r>
    </w:p>
    <w:p w14:paraId="31C439FE" w14:textId="42864B0B" w:rsidR="00B27BCB" w:rsidRPr="00001517" w:rsidRDefault="00B27BCB" w:rsidP="00B27BCB">
      <w:pPr>
        <w:pStyle w:val="TabletitleBR"/>
      </w:pPr>
      <w:r w:rsidRPr="00001517">
        <w:t>Distribución de Recomendaciones UIT-R</w:t>
      </w:r>
      <w:r w:rsidR="00BC5D9D">
        <w:t xml:space="preserve"> </w:t>
      </w:r>
      <w:r w:rsidRPr="00001517">
        <w:t>(descargas)</w:t>
      </w:r>
    </w:p>
    <w:tbl>
      <w:tblPr>
        <w:tblStyle w:val="GridTable5Dark-Accent12"/>
        <w:tblW w:w="5000" w:type="pct"/>
        <w:jc w:val="center"/>
        <w:tblLook w:val="04A0" w:firstRow="1" w:lastRow="0" w:firstColumn="1" w:lastColumn="0" w:noHBand="0" w:noVBand="1"/>
      </w:tblPr>
      <w:tblGrid>
        <w:gridCol w:w="1407"/>
        <w:gridCol w:w="1497"/>
        <w:gridCol w:w="1360"/>
        <w:gridCol w:w="1389"/>
        <w:gridCol w:w="1266"/>
        <w:gridCol w:w="1367"/>
        <w:gridCol w:w="1333"/>
      </w:tblGrid>
      <w:tr w:rsidR="00B27BCB" w:rsidRPr="00D65BDC" w14:paraId="6EC89F27" w14:textId="77777777" w:rsidTr="00CF5394">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tcBorders>
            <w:vAlign w:val="center"/>
          </w:tcPr>
          <w:p w14:paraId="4FF19AFE" w14:textId="77777777" w:rsidR="00B27BCB" w:rsidRPr="00D65BDC" w:rsidRDefault="00B27BCB" w:rsidP="00CF5394">
            <w:pPr>
              <w:pStyle w:val="Tablehead"/>
              <w:rPr>
                <w:b/>
                <w:bCs w:val="0"/>
              </w:rPr>
            </w:pPr>
            <w:r w:rsidRPr="00D65BDC">
              <w:rPr>
                <w:b/>
                <w:bCs w:val="0"/>
              </w:rPr>
              <w:t>SERIE</w:t>
            </w:r>
          </w:p>
        </w:tc>
        <w:tc>
          <w:tcPr>
            <w:tcW w:w="1296" w:type="dxa"/>
            <w:tcBorders>
              <w:top w:val="single" w:sz="8" w:space="0" w:color="FFFFFF" w:themeColor="background1"/>
              <w:bottom w:val="single" w:sz="8" w:space="0" w:color="FFFFFF" w:themeColor="background1"/>
            </w:tcBorders>
            <w:vAlign w:val="center"/>
          </w:tcPr>
          <w:p w14:paraId="02D3D453" w14:textId="77777777" w:rsidR="00B27BCB" w:rsidRPr="00D65BDC"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D65BDC">
              <w:rPr>
                <w:b/>
                <w:bCs w:val="0"/>
              </w:rPr>
              <w:t>2018</w:t>
            </w:r>
          </w:p>
        </w:tc>
        <w:tc>
          <w:tcPr>
            <w:tcW w:w="1177" w:type="dxa"/>
            <w:tcBorders>
              <w:top w:val="single" w:sz="8" w:space="0" w:color="FFFFFF" w:themeColor="background1"/>
              <w:bottom w:val="single" w:sz="8" w:space="0" w:color="FFFFFF" w:themeColor="background1"/>
            </w:tcBorders>
            <w:vAlign w:val="center"/>
          </w:tcPr>
          <w:p w14:paraId="138523A9" w14:textId="77777777" w:rsidR="00B27BCB" w:rsidRPr="00D65BDC"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D65BDC">
              <w:rPr>
                <w:b/>
                <w:bCs w:val="0"/>
              </w:rPr>
              <w:t>2019</w:t>
            </w:r>
          </w:p>
        </w:tc>
        <w:tc>
          <w:tcPr>
            <w:tcW w:w="1202" w:type="dxa"/>
            <w:tcBorders>
              <w:top w:val="single" w:sz="8" w:space="0" w:color="FFFFFF" w:themeColor="background1"/>
              <w:bottom w:val="single" w:sz="8" w:space="0" w:color="FFFFFF" w:themeColor="background1"/>
            </w:tcBorders>
            <w:vAlign w:val="center"/>
          </w:tcPr>
          <w:p w14:paraId="75B5C404" w14:textId="77777777" w:rsidR="00B27BCB" w:rsidRPr="00D65BDC"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D65BDC">
              <w:rPr>
                <w:b/>
                <w:bCs w:val="0"/>
              </w:rPr>
              <w:t>2020</w:t>
            </w:r>
          </w:p>
        </w:tc>
        <w:tc>
          <w:tcPr>
            <w:tcW w:w="1096" w:type="dxa"/>
            <w:tcBorders>
              <w:top w:val="single" w:sz="8" w:space="0" w:color="FFFFFF" w:themeColor="background1"/>
              <w:bottom w:val="single" w:sz="8" w:space="0" w:color="FFFFFF" w:themeColor="background1"/>
            </w:tcBorders>
            <w:vAlign w:val="center"/>
          </w:tcPr>
          <w:p w14:paraId="592DB215" w14:textId="77777777" w:rsidR="00B27BCB" w:rsidRPr="00D65BDC"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D65BDC">
              <w:rPr>
                <w:b/>
                <w:bCs w:val="0"/>
              </w:rPr>
              <w:t>2021</w:t>
            </w:r>
          </w:p>
        </w:tc>
        <w:tc>
          <w:tcPr>
            <w:tcW w:w="1183" w:type="dxa"/>
            <w:tcBorders>
              <w:top w:val="single" w:sz="8" w:space="0" w:color="FFFFFF" w:themeColor="background1"/>
              <w:bottom w:val="single" w:sz="8" w:space="0" w:color="FFFFFF" w:themeColor="background1"/>
            </w:tcBorders>
            <w:vAlign w:val="center"/>
          </w:tcPr>
          <w:p w14:paraId="4915A75F" w14:textId="77777777" w:rsidR="00B27BCB" w:rsidRPr="00D65BDC"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D65BDC">
              <w:rPr>
                <w:b/>
                <w:bCs w:val="0"/>
              </w:rPr>
              <w:t>TOTAL</w:t>
            </w:r>
          </w:p>
        </w:tc>
        <w:tc>
          <w:tcPr>
            <w:tcW w:w="1154" w:type="dxa"/>
            <w:tcBorders>
              <w:top w:val="single" w:sz="8" w:space="0" w:color="FFFFFF" w:themeColor="background1"/>
              <w:bottom w:val="single" w:sz="8" w:space="0" w:color="FFFFFF" w:themeColor="background1"/>
              <w:right w:val="single" w:sz="8" w:space="0" w:color="FFFFFF" w:themeColor="background1"/>
            </w:tcBorders>
            <w:vAlign w:val="center"/>
          </w:tcPr>
          <w:p w14:paraId="5EC2B5E3" w14:textId="77777777" w:rsidR="00B27BCB" w:rsidRPr="00D65BDC"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D65BDC">
              <w:rPr>
                <w:b/>
                <w:bCs w:val="0"/>
              </w:rPr>
              <w:t>%</w:t>
            </w:r>
          </w:p>
        </w:tc>
      </w:tr>
      <w:tr w:rsidR="00B27BCB" w:rsidRPr="00001517" w14:paraId="1146A7A0"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18E8545" w14:textId="77777777" w:rsidR="00B27BCB" w:rsidRPr="00001517" w:rsidRDefault="00B27BCB" w:rsidP="000216B8">
            <w:pPr>
              <w:pStyle w:val="Tabletext"/>
              <w:spacing w:before="20" w:after="20"/>
              <w:jc w:val="center"/>
            </w:pPr>
            <w:r w:rsidRPr="00001517">
              <w:t>P</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39B6355"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001517">
              <w:rPr>
                <w:lang w:val="en-GB"/>
              </w:rPr>
              <w:t>411</w:t>
            </w:r>
            <w:r>
              <w:rPr>
                <w:lang w:val="en-GB"/>
              </w:rPr>
              <w:t> </w:t>
            </w:r>
            <w:r w:rsidRPr="00001517">
              <w:rPr>
                <w:lang w:val="en-GB"/>
              </w:rPr>
              <w:t>176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B3EA7B8"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402 898</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DB510CB"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385 614</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651F225"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400 114</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0C34A56"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1 599 802</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F07975C"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21,00%</w:t>
            </w:r>
          </w:p>
        </w:tc>
      </w:tr>
      <w:tr w:rsidR="00B27BCB" w:rsidRPr="00001517" w14:paraId="1B92E1E3"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E995AB2" w14:textId="77777777" w:rsidR="00B27BCB" w:rsidRPr="00001517" w:rsidRDefault="00B27BCB" w:rsidP="000216B8">
            <w:pPr>
              <w:pStyle w:val="Tabletext"/>
              <w:spacing w:before="20" w:after="20"/>
              <w:jc w:val="center"/>
            </w:pPr>
            <w:r w:rsidRPr="00001517">
              <w:t>M</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C3959FF"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405 769</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F3E64B9"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374 486</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7AB0C4A"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327 720</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80328C2"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354 232</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C3F64F4"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1 462 207</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710D39C"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19,20%</w:t>
            </w:r>
          </w:p>
        </w:tc>
      </w:tr>
      <w:tr w:rsidR="00B27BCB" w:rsidRPr="00001517" w14:paraId="01D9229E"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CF08F9D" w14:textId="77777777" w:rsidR="00B27BCB" w:rsidRPr="00001517" w:rsidRDefault="00B27BCB" w:rsidP="000216B8">
            <w:pPr>
              <w:pStyle w:val="Tabletext"/>
              <w:spacing w:before="20" w:after="20"/>
              <w:jc w:val="center"/>
            </w:pPr>
            <w:r w:rsidRPr="00001517">
              <w:t>BT</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3C2652E"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281 431</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3B08C53"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264 701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704143C"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226 737</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2891199"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228 103</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F74DF38"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1 000 972</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1A42982"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13,14%</w:t>
            </w:r>
          </w:p>
        </w:tc>
      </w:tr>
      <w:tr w:rsidR="00B27BCB" w:rsidRPr="00001517" w14:paraId="501A08D9"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211B855" w14:textId="77777777" w:rsidR="00B27BCB" w:rsidRPr="00001517" w:rsidRDefault="00B27BCB" w:rsidP="000216B8">
            <w:pPr>
              <w:pStyle w:val="Tabletext"/>
              <w:spacing w:before="20" w:after="20"/>
              <w:jc w:val="center"/>
            </w:pPr>
            <w:r w:rsidRPr="00001517">
              <w:t>SM</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CD93971"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199 430</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7DAD77"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175 154</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4748585"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171 165</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533309C"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191 538</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7DC9CB9"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737 287</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5754D10"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9,68%</w:t>
            </w:r>
          </w:p>
        </w:tc>
      </w:tr>
      <w:tr w:rsidR="00B27BCB" w:rsidRPr="00001517" w14:paraId="21DF9A70"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1D242DA" w14:textId="77777777" w:rsidR="00B27BCB" w:rsidRPr="00001517" w:rsidRDefault="00B27BCB" w:rsidP="000216B8">
            <w:pPr>
              <w:pStyle w:val="Tabletext"/>
              <w:spacing w:before="20" w:after="20"/>
              <w:jc w:val="center"/>
            </w:pPr>
            <w:r w:rsidRPr="00001517">
              <w:t>F</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A5B6CC0"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229 326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067ED80"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189 609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E0F029F"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154 672</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0E44D4D"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144 499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1765E04"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718 106</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501672B"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9,43%</w:t>
            </w:r>
          </w:p>
        </w:tc>
      </w:tr>
      <w:tr w:rsidR="00B27BCB" w:rsidRPr="00001517" w14:paraId="2C400AFD"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A348EE9" w14:textId="77777777" w:rsidR="00B27BCB" w:rsidRPr="00001517" w:rsidRDefault="00B27BCB" w:rsidP="000216B8">
            <w:pPr>
              <w:pStyle w:val="Tabletext"/>
              <w:spacing w:before="20" w:after="20"/>
              <w:jc w:val="center"/>
            </w:pPr>
            <w:r w:rsidRPr="00001517">
              <w:t>BS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D5B3A69"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160 218</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FDCD012"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153 757</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5271B2E"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142 699</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84A88FB"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162 225</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E75D3C9"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618 899</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94A8E41"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8,12%</w:t>
            </w:r>
          </w:p>
        </w:tc>
      </w:tr>
      <w:tr w:rsidR="00B27BCB" w:rsidRPr="00001517" w14:paraId="57B52328"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FF2484E" w14:textId="77777777" w:rsidR="00B27BCB" w:rsidRPr="00001517" w:rsidRDefault="00B27BCB" w:rsidP="000216B8">
            <w:pPr>
              <w:pStyle w:val="Tabletext"/>
              <w:spacing w:before="20" w:after="20"/>
              <w:jc w:val="center"/>
            </w:pPr>
            <w:r w:rsidRPr="00001517">
              <w:t>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CCC9B3E"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146 531</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06CA198"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131 723</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28018A9"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108 174</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73F006F"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121 407</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0071AD"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507 835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715BB09"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6,67%</w:t>
            </w:r>
          </w:p>
        </w:tc>
      </w:tr>
      <w:tr w:rsidR="00B27BCB" w:rsidRPr="00001517" w14:paraId="0DCF17F2"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B129C08" w14:textId="77777777" w:rsidR="00B27BCB" w:rsidRPr="00001517" w:rsidRDefault="00B27BCB" w:rsidP="000216B8">
            <w:pPr>
              <w:pStyle w:val="Tabletext"/>
              <w:spacing w:before="20" w:after="20"/>
              <w:jc w:val="center"/>
            </w:pPr>
            <w:r w:rsidRPr="00001517">
              <w:t>SA</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3F8CB53"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65 514</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A9D28FD"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57 009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A3A32DF"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46</w:t>
            </w:r>
            <w:r>
              <w:rPr>
                <w:lang w:val="en-GB"/>
              </w:rPr>
              <w:t> </w:t>
            </w:r>
            <w:r w:rsidRPr="00B60ED3">
              <w:rPr>
                <w:lang w:val="en-GB"/>
              </w:rPr>
              <w:t>718</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5BE815B"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42 129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87572ED"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211 370</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CC6B309"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2,77%</w:t>
            </w:r>
          </w:p>
        </w:tc>
      </w:tr>
      <w:tr w:rsidR="00B27BCB" w:rsidRPr="00001517" w14:paraId="28AB7C19"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CD650D1" w14:textId="77777777" w:rsidR="00B27BCB" w:rsidRPr="00001517" w:rsidRDefault="00B27BCB" w:rsidP="000216B8">
            <w:pPr>
              <w:pStyle w:val="Tabletext"/>
              <w:spacing w:before="20" w:after="20"/>
              <w:jc w:val="center"/>
            </w:pPr>
            <w:r w:rsidRPr="00001517">
              <w:t>V</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4E73AB8"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39 066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5C461AF"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39 807</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9E4634B"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40 634</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9C22396"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46 534</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7DC2E8D"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166 041</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4F290D8"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2,18%</w:t>
            </w:r>
          </w:p>
        </w:tc>
      </w:tr>
      <w:tr w:rsidR="00B27BCB" w:rsidRPr="00001517" w14:paraId="34DFAC6F"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5C48573" w14:textId="77777777" w:rsidR="00B27BCB" w:rsidRPr="00001517" w:rsidRDefault="00B27BCB" w:rsidP="000216B8">
            <w:pPr>
              <w:pStyle w:val="Tabletext"/>
              <w:spacing w:before="20" w:after="20"/>
              <w:jc w:val="center"/>
            </w:pPr>
            <w:r w:rsidRPr="00001517">
              <w:t>BO</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F4079B8"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41 999</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78A8C18"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35 531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92D3F20"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26 816</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7DB7044"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22 679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86E98AC"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127 025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5E3F2A0"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1,67%</w:t>
            </w:r>
          </w:p>
        </w:tc>
      </w:tr>
      <w:tr w:rsidR="00B27BCB" w:rsidRPr="00001517" w14:paraId="25FE9813"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3E6DCAB" w14:textId="77777777" w:rsidR="00B27BCB" w:rsidRPr="00001517" w:rsidRDefault="00B27BCB" w:rsidP="000216B8">
            <w:pPr>
              <w:pStyle w:val="Tabletext"/>
              <w:spacing w:before="20" w:after="20"/>
              <w:jc w:val="center"/>
            </w:pPr>
            <w:r w:rsidRPr="00001517">
              <w:t>RS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AAC4464"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33 523</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DC899FA"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31 459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3C7EA02"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26 823</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7690E91"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22 468</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460A13A"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114 273</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A15EBAA"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1,50%</w:t>
            </w:r>
          </w:p>
        </w:tc>
      </w:tr>
      <w:tr w:rsidR="00B27BCB" w:rsidRPr="00001517" w14:paraId="1173ECBD"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31CD709" w14:textId="77777777" w:rsidR="00B27BCB" w:rsidRPr="00001517" w:rsidRDefault="00B27BCB" w:rsidP="000216B8">
            <w:pPr>
              <w:pStyle w:val="Tabletext"/>
              <w:spacing w:before="20" w:after="20"/>
              <w:jc w:val="center"/>
            </w:pPr>
            <w:r w:rsidRPr="00001517">
              <w:t>TF</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4724EB5"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29 038</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04258CF"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24 546</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C55DC22"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24 077</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EAE383"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22 264</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226E671"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99 925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9634C54"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1,31%</w:t>
            </w:r>
          </w:p>
        </w:tc>
      </w:tr>
      <w:tr w:rsidR="00B27BCB" w:rsidRPr="00001517" w14:paraId="073531B6"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74DC74F" w14:textId="77777777" w:rsidR="00B27BCB" w:rsidRPr="00001517" w:rsidRDefault="00B27BCB" w:rsidP="000216B8">
            <w:pPr>
              <w:pStyle w:val="Tabletext"/>
              <w:spacing w:before="20" w:after="20"/>
              <w:jc w:val="center"/>
            </w:pPr>
            <w:r w:rsidRPr="00001517">
              <w:t>SF</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DE3E176"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29 677</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A4D5BCF"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23 507</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4C7FC6C"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19 381</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72BAE79"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16 436</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1D13FBC"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89 001</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386D8BB"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1,17%</w:t>
            </w:r>
          </w:p>
        </w:tc>
      </w:tr>
      <w:tr w:rsidR="00B27BCB" w:rsidRPr="00001517" w14:paraId="1E26E686"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EC0DA4D" w14:textId="77777777" w:rsidR="00B27BCB" w:rsidRPr="00001517" w:rsidRDefault="00B27BCB" w:rsidP="000216B8">
            <w:pPr>
              <w:pStyle w:val="Tabletext"/>
              <w:spacing w:before="20" w:after="20"/>
              <w:jc w:val="center"/>
            </w:pPr>
            <w:r w:rsidRPr="00001517">
              <w:t>BR</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78384E0"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30 271</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B8D7B76"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21 989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DC641E6"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17 101</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9DADAD6"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14 703</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C0A2C1E"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84 064</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D4B55CA"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1,10%</w:t>
            </w:r>
          </w:p>
        </w:tc>
      </w:tr>
      <w:tr w:rsidR="00B27BCB" w:rsidRPr="00001517" w14:paraId="231B1BB2"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56668BD" w14:textId="77777777" w:rsidR="00B27BCB" w:rsidRPr="00001517" w:rsidRDefault="00B27BCB" w:rsidP="000216B8">
            <w:pPr>
              <w:pStyle w:val="Tabletext"/>
              <w:spacing w:before="20" w:after="20"/>
              <w:jc w:val="center"/>
            </w:pPr>
            <w:r w:rsidRPr="00001517">
              <w:t>RA</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4CCEE21"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17 450</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4D84F2A"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15 165</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961DCAC"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12 315</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A5B60DE"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10 546</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E9FE8D5"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55 476</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B41876" w14:textId="77777777" w:rsidR="00B27BCB" w:rsidRPr="00001517"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0,73%</w:t>
            </w:r>
          </w:p>
        </w:tc>
      </w:tr>
      <w:tr w:rsidR="00B27BCB" w:rsidRPr="00001517" w14:paraId="6770BE20"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2023150" w14:textId="77777777" w:rsidR="00B27BCB" w:rsidRPr="00001517" w:rsidRDefault="00B27BCB" w:rsidP="000216B8">
            <w:pPr>
              <w:pStyle w:val="Tabletext"/>
              <w:spacing w:before="20" w:after="20"/>
              <w:jc w:val="center"/>
            </w:pPr>
            <w:r w:rsidRPr="00001517">
              <w:t>SNG</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92AA601"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6 396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42F22F8"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4 921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F5D5D2F"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3 319</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BCCACCB"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2 499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60D9D9F"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17 135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364A73E" w14:textId="77777777" w:rsidR="00B27BCB" w:rsidRPr="00001517"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0,22%</w:t>
            </w:r>
          </w:p>
        </w:tc>
      </w:tr>
      <w:tr w:rsidR="00B27BCB" w:rsidRPr="00001517" w14:paraId="6A387351"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B3AD233" w14:textId="77777777" w:rsidR="00B27BCB" w:rsidRPr="00001517" w:rsidRDefault="00B27BCB" w:rsidP="000216B8">
            <w:pPr>
              <w:pStyle w:val="Tabletext"/>
              <w:spacing w:before="20" w:after="20"/>
              <w:jc w:val="center"/>
            </w:pPr>
            <w:r w:rsidRPr="00001517">
              <w:t>IS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A9EE30A"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2 115</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C78E1DB"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1 802</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47D65A0"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1 280</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9B08782"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1 347</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4B8502"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6 544</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03A5E17" w14:textId="77777777" w:rsidR="00B27BCB" w:rsidRPr="00B60ED3" w:rsidRDefault="00B27BCB" w:rsidP="000216B8">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0,09%</w:t>
            </w:r>
          </w:p>
        </w:tc>
      </w:tr>
      <w:tr w:rsidR="00B27BCB" w:rsidRPr="00001517" w14:paraId="0C70090E"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2ACD7E6" w14:textId="77777777" w:rsidR="00B27BCB" w:rsidRPr="00001517" w:rsidRDefault="00B27BCB" w:rsidP="000216B8">
            <w:pPr>
              <w:pStyle w:val="Tabletext"/>
              <w:spacing w:before="20" w:after="20"/>
              <w:jc w:val="center"/>
            </w:pPr>
            <w:r w:rsidRPr="00001517">
              <w:t>PI</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BE3547F"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446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B2D399F"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511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108460F"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372</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57450E4"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200</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A501172"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1 529</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CBA26D1" w14:textId="77777777" w:rsidR="00B27BCB" w:rsidRPr="00B60ED3" w:rsidRDefault="00B27BCB" w:rsidP="000216B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0,02%</w:t>
            </w:r>
          </w:p>
        </w:tc>
      </w:tr>
      <w:tr w:rsidR="00B27BCB" w:rsidRPr="00001517" w14:paraId="016F0460"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1180B91" w14:textId="77777777" w:rsidR="00B27BCB" w:rsidRPr="00001517" w:rsidRDefault="00B27BCB" w:rsidP="00CF5394">
            <w:pPr>
              <w:pStyle w:val="Tabletext"/>
              <w:jc w:val="center"/>
            </w:pPr>
            <w:r w:rsidRPr="00001517">
              <w:t>TOTAL</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2809D54"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2 129 376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B208FAF"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1 948 575</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B350332"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1 735 617</w:t>
            </w:r>
          </w:p>
        </w:tc>
        <w:tc>
          <w:tcPr>
            <w:tcW w:w="1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BC847BD"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1 803 923</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D750ECE"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7 617 491</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EC5B2F3"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100,00%</w:t>
            </w:r>
          </w:p>
        </w:tc>
      </w:tr>
    </w:tbl>
    <w:p w14:paraId="1B07802A" w14:textId="77777777" w:rsidR="00B27BCB" w:rsidRPr="00B2067F" w:rsidRDefault="00B27BCB" w:rsidP="00B27BCB">
      <w:pPr>
        <w:pStyle w:val="Heading4"/>
      </w:pPr>
      <w:bookmarkStart w:id="64" w:name="lt_pId913"/>
      <w:r w:rsidRPr="00B2067F">
        <w:t>8.1.4.3</w:t>
      </w:r>
      <w:r w:rsidRPr="00B2067F">
        <w:tab/>
        <w:t>Informes UIT-R</w:t>
      </w:r>
      <w:bookmarkEnd w:id="64"/>
    </w:p>
    <w:p w14:paraId="09CC81F6" w14:textId="2D02F4FF" w:rsidR="00B27BCB" w:rsidRPr="00B2067F" w:rsidRDefault="00B27BCB" w:rsidP="00BC5D9D">
      <w:r w:rsidRPr="00B2067F">
        <w:t>Al igual que en el caso de las Recomendaciones UIT-R, los Informes UIT-R</w:t>
      </w:r>
      <w:r>
        <w:t xml:space="preserve"> </w:t>
      </w:r>
      <w:r w:rsidRPr="00B2067F">
        <w:t>se han publicado a escala mundial</w:t>
      </w:r>
      <w:r>
        <w:t xml:space="preserve"> y puesto a alcance de una gran audiencia, lo que ha </w:t>
      </w:r>
      <w:r w:rsidRPr="00B2067F">
        <w:t xml:space="preserve">contribuido a la adopción de buenas prácticas técnicas en diversos ámbitos de las radiocomunicaciones. </w:t>
      </w:r>
      <w:r>
        <w:t>Desde enero de 2018 a</w:t>
      </w:r>
      <w:r w:rsidR="00BC5D9D">
        <w:t> </w:t>
      </w:r>
      <w:r>
        <w:t>diciembre de 2021</w:t>
      </w:r>
      <w:r w:rsidRPr="00B2067F">
        <w:t>, se registraron más de</w:t>
      </w:r>
      <w:r>
        <w:t xml:space="preserve"> un </w:t>
      </w:r>
      <w:r w:rsidRPr="00B2067F">
        <w:t xml:space="preserve">millón de descargas de Informes UIT-R desde el </w:t>
      </w:r>
      <w:r w:rsidRPr="00B2067F">
        <w:lastRenderedPageBreak/>
        <w:t>sitio</w:t>
      </w:r>
      <w:r w:rsidR="000216B8">
        <w:t> </w:t>
      </w:r>
      <w:r w:rsidRPr="00B2067F">
        <w:t>web de la UIT. En el Cuadro 8.1.4.3-1 se resume su distribución por año y serie. Actualmente, existen 59</w:t>
      </w:r>
      <w:r>
        <w:t>6</w:t>
      </w:r>
      <w:r w:rsidRPr="00B2067F">
        <w:t xml:space="preserve"> Informes UIT-R en vigor.</w:t>
      </w:r>
    </w:p>
    <w:p w14:paraId="05A269EA" w14:textId="77777777" w:rsidR="00B27BCB" w:rsidRPr="00B2067F" w:rsidRDefault="00B27BCB" w:rsidP="00A928FF">
      <w:pPr>
        <w:pStyle w:val="TableNoBR"/>
        <w:keepLines/>
      </w:pPr>
      <w:bookmarkStart w:id="65" w:name="lt_pId918"/>
      <w:r w:rsidRPr="0061658F">
        <w:t>CUADRO 8.1.4.3-1</w:t>
      </w:r>
      <w:bookmarkEnd w:id="65"/>
    </w:p>
    <w:p w14:paraId="42C5DFEE" w14:textId="12FE498B" w:rsidR="00B27BCB" w:rsidRDefault="00B27BCB" w:rsidP="00A928FF">
      <w:pPr>
        <w:pStyle w:val="TabletitleBR"/>
      </w:pPr>
      <w:bookmarkStart w:id="66" w:name="lt_pId919"/>
      <w:r w:rsidRPr="00B2067F">
        <w:t>Distribución de Informes UIT-R</w:t>
      </w:r>
      <w:r w:rsidR="00BC5D9D">
        <w:t xml:space="preserve"> </w:t>
      </w:r>
      <w:r w:rsidRPr="00B2067F">
        <w:t>(descargas)</w:t>
      </w:r>
      <w:bookmarkEnd w:id="66"/>
    </w:p>
    <w:tbl>
      <w:tblPr>
        <w:tblStyle w:val="GridTable5Dark-Accent13"/>
        <w:tblW w:w="5000" w:type="pct"/>
        <w:jc w:val="center"/>
        <w:tblLook w:val="04A0" w:firstRow="1" w:lastRow="0" w:firstColumn="1" w:lastColumn="0" w:noHBand="0" w:noVBand="1"/>
      </w:tblPr>
      <w:tblGrid>
        <w:gridCol w:w="1417"/>
        <w:gridCol w:w="1572"/>
        <w:gridCol w:w="1571"/>
        <w:gridCol w:w="1121"/>
        <w:gridCol w:w="1184"/>
        <w:gridCol w:w="1474"/>
        <w:gridCol w:w="1290"/>
      </w:tblGrid>
      <w:tr w:rsidR="00B27BCB" w:rsidRPr="00B60ED3" w14:paraId="34E52844" w14:textId="77777777" w:rsidTr="00CF5394">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bottom w:val="single" w:sz="8" w:space="0" w:color="FFFFFF" w:themeColor="background1"/>
            </w:tcBorders>
            <w:noWrap/>
            <w:hideMark/>
          </w:tcPr>
          <w:p w14:paraId="3C2C8C35" w14:textId="77777777" w:rsidR="00B27BCB" w:rsidRPr="00B60ED3" w:rsidRDefault="00B27BCB" w:rsidP="00A928FF">
            <w:pPr>
              <w:pStyle w:val="Tablehead"/>
              <w:keepLines/>
              <w:rPr>
                <w:b/>
                <w:bCs w:val="0"/>
              </w:rPr>
            </w:pPr>
            <w:r w:rsidRPr="00B60ED3">
              <w:rPr>
                <w:b/>
                <w:bCs w:val="0"/>
              </w:rPr>
              <w:t>SERIE</w:t>
            </w:r>
          </w:p>
        </w:tc>
        <w:tc>
          <w:tcPr>
            <w:tcW w:w="1572" w:type="dxa"/>
            <w:tcBorders>
              <w:bottom w:val="single" w:sz="8" w:space="0" w:color="FFFFFF" w:themeColor="background1"/>
            </w:tcBorders>
            <w:noWrap/>
            <w:hideMark/>
          </w:tcPr>
          <w:p w14:paraId="140BAE37" w14:textId="77777777" w:rsidR="00B27BCB" w:rsidRPr="00B60ED3" w:rsidRDefault="00B27BCB"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2018</w:t>
            </w:r>
          </w:p>
        </w:tc>
        <w:tc>
          <w:tcPr>
            <w:tcW w:w="1571" w:type="dxa"/>
            <w:tcBorders>
              <w:bottom w:val="single" w:sz="8" w:space="0" w:color="FFFFFF" w:themeColor="background1"/>
            </w:tcBorders>
            <w:noWrap/>
            <w:hideMark/>
          </w:tcPr>
          <w:p w14:paraId="1F27291B" w14:textId="77777777" w:rsidR="00B27BCB" w:rsidRPr="00B60ED3" w:rsidRDefault="00B27BCB"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2019</w:t>
            </w:r>
          </w:p>
        </w:tc>
        <w:tc>
          <w:tcPr>
            <w:tcW w:w="1121" w:type="dxa"/>
            <w:tcBorders>
              <w:bottom w:val="single" w:sz="8" w:space="0" w:color="FFFFFF" w:themeColor="background1"/>
            </w:tcBorders>
          </w:tcPr>
          <w:p w14:paraId="3C60C255" w14:textId="77777777" w:rsidR="00B27BCB" w:rsidRPr="00B60ED3" w:rsidRDefault="00B27BCB"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2020</w:t>
            </w:r>
          </w:p>
        </w:tc>
        <w:tc>
          <w:tcPr>
            <w:tcW w:w="1184" w:type="dxa"/>
            <w:tcBorders>
              <w:bottom w:val="single" w:sz="8" w:space="0" w:color="FFFFFF" w:themeColor="background1"/>
            </w:tcBorders>
          </w:tcPr>
          <w:p w14:paraId="670C0254" w14:textId="77777777" w:rsidR="00B27BCB" w:rsidRPr="00B60ED3" w:rsidRDefault="00B27BCB"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2021</w:t>
            </w:r>
          </w:p>
        </w:tc>
        <w:tc>
          <w:tcPr>
            <w:tcW w:w="1474" w:type="dxa"/>
            <w:tcBorders>
              <w:bottom w:val="single" w:sz="8" w:space="0" w:color="FFFFFF" w:themeColor="background1"/>
            </w:tcBorders>
            <w:noWrap/>
            <w:hideMark/>
          </w:tcPr>
          <w:p w14:paraId="52C24D58" w14:textId="77777777" w:rsidR="00B27BCB" w:rsidRPr="00B60ED3" w:rsidRDefault="00B27BCB"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TOTAL</w:t>
            </w:r>
          </w:p>
        </w:tc>
        <w:tc>
          <w:tcPr>
            <w:tcW w:w="1290" w:type="dxa"/>
            <w:tcBorders>
              <w:bottom w:val="single" w:sz="8" w:space="0" w:color="FFFFFF" w:themeColor="background1"/>
            </w:tcBorders>
          </w:tcPr>
          <w:p w14:paraId="031E1A57" w14:textId="77777777" w:rsidR="00B27BCB" w:rsidRPr="00B60ED3" w:rsidRDefault="00B27BCB"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w:t>
            </w:r>
          </w:p>
        </w:tc>
      </w:tr>
      <w:tr w:rsidR="00B27BCB" w:rsidRPr="00F30844" w14:paraId="6C10D872"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56467612" w14:textId="77777777" w:rsidR="00B27BCB" w:rsidRPr="00F30844" w:rsidRDefault="00B27BCB" w:rsidP="00A928FF">
            <w:pPr>
              <w:pStyle w:val="Tabletext"/>
              <w:keepNext/>
              <w:keepLines/>
              <w:jc w:val="center"/>
            </w:pPr>
            <w:r w:rsidRPr="00F30844">
              <w:t>M</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682C7850"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F30844">
              <w:rPr>
                <w:lang w:val="en-GB"/>
              </w:rPr>
              <w:t>96</w:t>
            </w:r>
            <w:r>
              <w:rPr>
                <w:lang w:val="en-GB"/>
              </w:rPr>
              <w:t> </w:t>
            </w:r>
            <w:r w:rsidRPr="00F30844">
              <w:rPr>
                <w:lang w:val="en-GB"/>
              </w:rPr>
              <w:t>801</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0D1084DC"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99 347</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DC59FB2"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105 681</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18C5D36"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114 654</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0E0A985" w14:textId="77777777" w:rsidR="00B27BCB" w:rsidRPr="00B60ED3"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416 483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5D44967"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28,82%</w:t>
            </w:r>
          </w:p>
        </w:tc>
      </w:tr>
      <w:tr w:rsidR="00B27BCB" w:rsidRPr="00F30844" w14:paraId="7D14AD83"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5D4C7A22" w14:textId="77777777" w:rsidR="00B27BCB" w:rsidRPr="00F30844" w:rsidRDefault="00B27BCB" w:rsidP="00A928FF">
            <w:pPr>
              <w:pStyle w:val="Tabletext"/>
              <w:keepNext/>
              <w:keepLines/>
              <w:jc w:val="center"/>
            </w:pPr>
            <w:r w:rsidRPr="00F30844">
              <w:t>SM</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9F659C5"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68 622</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ADEB83A"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89 031</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D4E64DC"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101 965</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38012F4"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143 421</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363FBF9" w14:textId="77777777" w:rsidR="00B27BCB" w:rsidRPr="00B60ED3"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403 039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DC6576C"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27,89%</w:t>
            </w:r>
          </w:p>
        </w:tc>
      </w:tr>
      <w:tr w:rsidR="00B27BCB" w:rsidRPr="00F30844" w14:paraId="57CA16E6"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1D516E48" w14:textId="77777777" w:rsidR="00B27BCB" w:rsidRPr="00F30844" w:rsidRDefault="00B27BCB" w:rsidP="00A928FF">
            <w:pPr>
              <w:pStyle w:val="Tabletext"/>
              <w:keepNext/>
              <w:keepLines/>
              <w:jc w:val="center"/>
            </w:pPr>
            <w:r w:rsidRPr="00F30844">
              <w:t>BT</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8008504"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58 103</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6FBC186"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57 545</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33BE7B4"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59 805</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C34BCCE"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71 374</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1E3C1191" w14:textId="77777777" w:rsidR="00B27BCB" w:rsidRPr="00B60ED3"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246 827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17A9C48"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17,08%</w:t>
            </w:r>
          </w:p>
        </w:tc>
      </w:tr>
      <w:tr w:rsidR="00B27BCB" w:rsidRPr="00F30844" w14:paraId="1350118F"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7EDD5DDA" w14:textId="77777777" w:rsidR="00B27BCB" w:rsidRPr="00F30844" w:rsidRDefault="00B27BCB" w:rsidP="00A928FF">
            <w:pPr>
              <w:pStyle w:val="Tabletext"/>
              <w:keepNext/>
              <w:keepLines/>
              <w:jc w:val="center"/>
            </w:pPr>
            <w:r w:rsidRPr="00F30844">
              <w:t>BS</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0D6679DF"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23 469</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F5E1549"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22 755</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76370FA"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28 707</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CF21065"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33 466</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D6BC9E8" w14:textId="77777777" w:rsidR="00B27BCB" w:rsidRPr="00B60ED3"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108 397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B2DB39B"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7,50%</w:t>
            </w:r>
          </w:p>
        </w:tc>
      </w:tr>
      <w:tr w:rsidR="00B27BCB" w:rsidRPr="00F30844" w14:paraId="7F9CFEB8"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01BE6309" w14:textId="77777777" w:rsidR="00B27BCB" w:rsidRPr="00F30844" w:rsidRDefault="00B27BCB" w:rsidP="00A928FF">
            <w:pPr>
              <w:pStyle w:val="Tabletext"/>
              <w:keepNext/>
              <w:keepLines/>
              <w:jc w:val="center"/>
            </w:pPr>
            <w:r w:rsidRPr="00F30844">
              <w:t>P</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FE9F9B4"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14 660</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4E1D5964"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12 616</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6FB2A91"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14 785</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C9CE353"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17 537</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9C9E183" w14:textId="77777777" w:rsidR="00B27BCB" w:rsidRPr="00B60ED3"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59 598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0DD29E5" w14:textId="77777777" w:rsidR="00B27BCB" w:rsidRPr="00F30844" w:rsidRDefault="00B27BCB" w:rsidP="00A928FF">
            <w:pPr>
              <w:pStyle w:val="Tabletext"/>
              <w:keepNext/>
              <w:keepLines/>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4,12%</w:t>
            </w:r>
          </w:p>
        </w:tc>
      </w:tr>
      <w:tr w:rsidR="00B27BCB" w:rsidRPr="00F30844" w14:paraId="3F64DE2F"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44E4D274" w14:textId="77777777" w:rsidR="00B27BCB" w:rsidRPr="00F30844" w:rsidRDefault="00B27BCB" w:rsidP="00A928FF">
            <w:pPr>
              <w:pStyle w:val="Tabletext"/>
              <w:keepNext/>
              <w:keepLines/>
              <w:jc w:val="center"/>
            </w:pPr>
            <w:r w:rsidRPr="00F30844">
              <w:t>BO</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196A7E7D"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13 572</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5834CCA"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12 657</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925B0E2"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14 003</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5FF9D39"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16 049</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6A3F8CB7" w14:textId="77777777" w:rsidR="00B27BCB" w:rsidRPr="00B60ED3"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56 281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3062FCF" w14:textId="77777777" w:rsidR="00B27BCB" w:rsidRPr="00F30844" w:rsidRDefault="00B27BCB" w:rsidP="00A928FF">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3,89%</w:t>
            </w:r>
          </w:p>
        </w:tc>
      </w:tr>
      <w:tr w:rsidR="00B27BCB" w:rsidRPr="00F30844" w14:paraId="22A82CB2"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1BAC7D94" w14:textId="77777777" w:rsidR="00B27BCB" w:rsidRPr="00F30844" w:rsidRDefault="00B27BCB" w:rsidP="00CF5394">
            <w:pPr>
              <w:pStyle w:val="Tabletext"/>
              <w:jc w:val="center"/>
            </w:pPr>
            <w:r w:rsidRPr="00F30844">
              <w:t>F</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435A5BB3"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11 857</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C7CC00F"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13 398</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8E0FE14"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12 411</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A801E35"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14 513</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3013A209"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52 179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C3BF162"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3,61%</w:t>
            </w:r>
          </w:p>
        </w:tc>
      </w:tr>
      <w:tr w:rsidR="00B27BCB" w:rsidRPr="00F30844" w14:paraId="4CBFD372"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28C77851" w14:textId="77777777" w:rsidR="00B27BCB" w:rsidRPr="00F30844" w:rsidRDefault="00B27BCB" w:rsidP="00CF5394">
            <w:pPr>
              <w:pStyle w:val="Tabletext"/>
              <w:jc w:val="center"/>
            </w:pPr>
            <w:r w:rsidRPr="00F30844">
              <w:t>S</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075F7221"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7 784</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3AA0007"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9 469</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BCFF48B"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10 001</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3E556D4"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9 494</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040F728"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36 748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75681D6"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2,54%</w:t>
            </w:r>
          </w:p>
        </w:tc>
      </w:tr>
      <w:tr w:rsidR="00B27BCB" w:rsidRPr="00F30844" w14:paraId="281D50A2"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761F9B0C" w14:textId="77777777" w:rsidR="00B27BCB" w:rsidRPr="00F30844" w:rsidRDefault="00B27BCB" w:rsidP="00CF5394">
            <w:pPr>
              <w:pStyle w:val="Tabletext"/>
              <w:jc w:val="center"/>
            </w:pPr>
            <w:r w:rsidRPr="00F30844">
              <w:t>SA</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358C0502"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5 557</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7A8FC0F"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6 424</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8DABF97"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5 547</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AF4CC29"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8 830</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C49259A"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26 358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D343D38"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1,82%</w:t>
            </w:r>
          </w:p>
        </w:tc>
      </w:tr>
      <w:tr w:rsidR="00B27BCB" w:rsidRPr="00F30844" w14:paraId="694DC03D"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07AB0EAD" w14:textId="77777777" w:rsidR="00B27BCB" w:rsidRPr="00F30844" w:rsidRDefault="00B27BCB" w:rsidP="00CF5394">
            <w:pPr>
              <w:pStyle w:val="Tabletext"/>
              <w:jc w:val="center"/>
            </w:pPr>
            <w:r w:rsidRPr="00F30844">
              <w:t>RS</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485EC2B0"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4 455</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65FAA7C"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4 138</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F1C3B00"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4 796</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91054D5"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6 100</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2931D16"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19 489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0CFA730"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1,35%</w:t>
            </w:r>
          </w:p>
        </w:tc>
      </w:tr>
      <w:tr w:rsidR="00B27BCB" w:rsidRPr="00F30844" w14:paraId="59AE71EE"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66D4E243" w14:textId="77777777" w:rsidR="00B27BCB" w:rsidRPr="00F30844" w:rsidRDefault="00B27BCB" w:rsidP="00CF5394">
            <w:pPr>
              <w:pStyle w:val="Tabletext"/>
              <w:jc w:val="center"/>
            </w:pPr>
            <w:r w:rsidRPr="00F30844">
              <w:t>RA</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0FF91915"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4 785</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6243EDF4"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4 174</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30C93BD"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4 222</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48C9B4A"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4 650</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12E59B9"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17 831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A34E126"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1,23%</w:t>
            </w:r>
          </w:p>
        </w:tc>
      </w:tr>
      <w:tr w:rsidR="00B27BCB" w:rsidRPr="00F30844" w14:paraId="2460A0A5"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14558C82" w14:textId="77777777" w:rsidR="00B27BCB" w:rsidRPr="00F30844" w:rsidRDefault="00B27BCB" w:rsidP="00CF5394">
            <w:pPr>
              <w:pStyle w:val="Tabletext"/>
              <w:jc w:val="center"/>
            </w:pPr>
            <w:r w:rsidRPr="00F30844">
              <w:t>SF</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30FC10EC"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516</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1220254"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331</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0C02D21"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387</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9011F3"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385</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3D0D4B47"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1 619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20DBEE1" w14:textId="77777777" w:rsidR="00B27BCB" w:rsidRPr="00F30844"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0,11%</w:t>
            </w:r>
          </w:p>
        </w:tc>
      </w:tr>
      <w:tr w:rsidR="00B27BCB" w:rsidRPr="00F30844" w14:paraId="5F51FFEE" w14:textId="77777777" w:rsidTr="00CF5394">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29FFAACA" w14:textId="77777777" w:rsidR="00B27BCB" w:rsidRPr="00F30844" w:rsidRDefault="00B27BCB" w:rsidP="00CF5394">
            <w:pPr>
              <w:pStyle w:val="Tabletext"/>
              <w:jc w:val="center"/>
            </w:pPr>
            <w:r w:rsidRPr="00F30844">
              <w:t>BR</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047E0D9"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105</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089BA06"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99</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EB2662C"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72</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D0698B3"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61</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111CE877"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337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D0EE41D"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0,02%</w:t>
            </w:r>
          </w:p>
        </w:tc>
      </w:tr>
      <w:tr w:rsidR="00B27BCB" w:rsidRPr="00F30844" w14:paraId="4178E464" w14:textId="77777777" w:rsidTr="00CF5394">
        <w:trPr>
          <w:trHeight w:val="361"/>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67D42DAB" w14:textId="77777777" w:rsidR="00B27BCB" w:rsidRPr="00F30844" w:rsidRDefault="00B27BCB" w:rsidP="00CF5394">
            <w:pPr>
              <w:pStyle w:val="Tabletext"/>
              <w:jc w:val="center"/>
            </w:pPr>
            <w:r w:rsidRPr="00F30844">
              <w:t>TF</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1E8DBA7"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6D3F6A09"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D3C957"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BDFE200"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76</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16EDFA36"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b/>
                <w:bCs/>
                <w:lang w:val="en-GB"/>
              </w:rPr>
            </w:pPr>
            <w:r w:rsidRPr="00B60ED3">
              <w:rPr>
                <w:b/>
                <w:bCs/>
                <w:lang w:val="en-GB"/>
              </w:rPr>
              <w:t>76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2A4A5C9"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B60ED3">
              <w:rPr>
                <w:lang w:val="en-GB"/>
              </w:rPr>
              <w:t>0,01%</w:t>
            </w:r>
          </w:p>
        </w:tc>
      </w:tr>
      <w:tr w:rsidR="00B27BCB" w:rsidRPr="00F30844" w14:paraId="1F65F08B"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55DE9809" w14:textId="77777777" w:rsidR="00B27BCB" w:rsidRPr="00F30844" w:rsidRDefault="00B27BCB" w:rsidP="00CF5394">
            <w:pPr>
              <w:pStyle w:val="Tabletext"/>
              <w:jc w:val="center"/>
            </w:pPr>
            <w:r w:rsidRPr="00F30844">
              <w:t>TOTAL</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77B6497"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310 286</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33CECE19"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331 984</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FC5555F"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362 382</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068F181"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440 610</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0505D375"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B60ED3">
              <w:rPr>
                <w:b/>
                <w:bCs/>
                <w:lang w:val="en-GB"/>
              </w:rPr>
              <w:t>1 445 262</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B8DF111" w14:textId="77777777" w:rsidR="00B27BCB" w:rsidRPr="00F30844"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B60ED3">
              <w:rPr>
                <w:lang w:val="en-GB"/>
              </w:rPr>
              <w:t>100,00%</w:t>
            </w:r>
          </w:p>
        </w:tc>
      </w:tr>
    </w:tbl>
    <w:p w14:paraId="24C9D665" w14:textId="77777777" w:rsidR="00B27BCB" w:rsidRPr="00B2067F" w:rsidRDefault="00B27BCB" w:rsidP="00B27BCB">
      <w:pPr>
        <w:pStyle w:val="Heading4"/>
      </w:pPr>
      <w:r w:rsidRPr="00B2067F">
        <w:t>8.1.4.4</w:t>
      </w:r>
      <w:r w:rsidRPr="00B2067F">
        <w:tab/>
        <w:t>Manuales</w:t>
      </w:r>
    </w:p>
    <w:p w14:paraId="6E32A89F" w14:textId="77777777" w:rsidR="00B27BCB" w:rsidRPr="00B2067F" w:rsidRDefault="00B27BCB" w:rsidP="00B27BCB">
      <w:bookmarkStart w:id="67" w:name="lt_pId1014"/>
      <w:r w:rsidRPr="00B2067F">
        <w:t>A raíz de la decisión adoptada por el Director de la BR en 2017, todos los Manuales del UIT-R pueden descargarse gratuitamente desde el sitio web de la UIT.</w:t>
      </w:r>
      <w:r>
        <w:t xml:space="preserve"> El crecimiento ha sido constante desde 2018. </w:t>
      </w:r>
      <w:r w:rsidRPr="00B2067F">
        <w:t>Se han registrado más de 100</w:t>
      </w:r>
      <w:r>
        <w:t> </w:t>
      </w:r>
      <w:r w:rsidRPr="00B2067F">
        <w:t>000</w:t>
      </w:r>
      <w:r>
        <w:t> </w:t>
      </w:r>
      <w:r w:rsidRPr="00B2067F">
        <w:t xml:space="preserve">descargas </w:t>
      </w:r>
      <w:r>
        <w:t>en</w:t>
      </w:r>
      <w:r w:rsidRPr="00B2067F">
        <w:t xml:space="preserve"> 202</w:t>
      </w:r>
      <w:r>
        <w:t>1</w:t>
      </w:r>
      <w:r w:rsidRPr="00B2067F">
        <w:t>.</w:t>
      </w:r>
      <w:bookmarkEnd w:id="67"/>
      <w:r w:rsidRPr="00B2067F">
        <w:t xml:space="preserve"> El Cuadro 8.1.4.4</w:t>
      </w:r>
      <w:r w:rsidRPr="00B2067F">
        <w:noBreakHyphen/>
        <w:t>1 muestra la distribución de Manuales del UIT-R sobre gestión y comprobación técnica del espectro y de otros Manuales</w:t>
      </w:r>
      <w:r>
        <w:t xml:space="preserve"> que están puestos a la venta.</w:t>
      </w:r>
    </w:p>
    <w:p w14:paraId="287BC3FD" w14:textId="77777777" w:rsidR="00B27BCB" w:rsidRDefault="00B27BCB" w:rsidP="00B27BCB">
      <w:r w:rsidRPr="00B2067F">
        <w:t xml:space="preserve">Hasta la fecha, se han publicado </w:t>
      </w:r>
      <w:r>
        <w:t>46</w:t>
      </w:r>
      <w:r w:rsidRPr="00B2067F">
        <w:t xml:space="preserve"> Manuales del UIT-R, incluida una serie sobre gestión del espectro.</w:t>
      </w:r>
    </w:p>
    <w:p w14:paraId="2F1A8DDD" w14:textId="77777777" w:rsidR="00B27BCB" w:rsidRPr="00B2067F" w:rsidRDefault="00B27BCB" w:rsidP="00B27BCB">
      <w:pPr>
        <w:pStyle w:val="TableNoBR"/>
      </w:pPr>
      <w:r w:rsidRPr="00B2067F">
        <w:t>CUADRO 8.1.4.4-1</w:t>
      </w:r>
    </w:p>
    <w:p w14:paraId="28C11FAB" w14:textId="77777777" w:rsidR="00B27BCB" w:rsidRPr="00B2067F" w:rsidRDefault="00B27BCB" w:rsidP="00B27BCB">
      <w:pPr>
        <w:pStyle w:val="TabletitleBR"/>
      </w:pPr>
      <w:r w:rsidRPr="00B2067F">
        <w:t>Distribución de Manuales del UIT-R sobre gestión del</w:t>
      </w:r>
      <w:r>
        <w:t xml:space="preserve"> </w:t>
      </w:r>
      <w:r w:rsidRPr="00B2067F">
        <w:t>espectro</w:t>
      </w:r>
      <w:r>
        <w:t xml:space="preserve"> y otros Manuales</w:t>
      </w:r>
    </w:p>
    <w:tbl>
      <w:tblPr>
        <w:tblStyle w:val="GridTable5Dark-Accent13"/>
        <w:tblW w:w="5000" w:type="pct"/>
        <w:tblLook w:val="04A0" w:firstRow="1" w:lastRow="0" w:firstColumn="1" w:lastColumn="0" w:noHBand="0" w:noVBand="1"/>
      </w:tblPr>
      <w:tblGrid>
        <w:gridCol w:w="4335"/>
        <w:gridCol w:w="1329"/>
        <w:gridCol w:w="1302"/>
        <w:gridCol w:w="1323"/>
        <w:gridCol w:w="1340"/>
      </w:tblGrid>
      <w:tr w:rsidR="00B27BCB" w:rsidRPr="00B60ED3" w14:paraId="1E57F062" w14:textId="77777777" w:rsidTr="00CF5394">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335" w:type="dxa"/>
            <w:tcBorders>
              <w:bottom w:val="single" w:sz="8" w:space="0" w:color="FFFFFF" w:themeColor="background1"/>
            </w:tcBorders>
            <w:hideMark/>
          </w:tcPr>
          <w:p w14:paraId="13E8A86F" w14:textId="77777777" w:rsidR="00B27BCB" w:rsidRPr="00B60ED3" w:rsidRDefault="00B27BCB" w:rsidP="00CF5394">
            <w:pPr>
              <w:pStyle w:val="Tablehead"/>
              <w:rPr>
                <w:b/>
                <w:bCs w:val="0"/>
              </w:rPr>
            </w:pPr>
            <w:r w:rsidRPr="00B60ED3">
              <w:rPr>
                <w:b/>
                <w:bCs w:val="0"/>
              </w:rPr>
              <w:t>Manual</w:t>
            </w:r>
          </w:p>
        </w:tc>
        <w:tc>
          <w:tcPr>
            <w:tcW w:w="1329" w:type="dxa"/>
            <w:tcBorders>
              <w:bottom w:val="single" w:sz="8" w:space="0" w:color="FFFFFF" w:themeColor="background1"/>
            </w:tcBorders>
            <w:hideMark/>
          </w:tcPr>
          <w:p w14:paraId="5F925E79" w14:textId="77777777" w:rsidR="00B27BCB" w:rsidRPr="00B60ED3"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2018</w:t>
            </w:r>
          </w:p>
        </w:tc>
        <w:tc>
          <w:tcPr>
            <w:tcW w:w="1302" w:type="dxa"/>
            <w:tcBorders>
              <w:bottom w:val="single" w:sz="8" w:space="0" w:color="FFFFFF" w:themeColor="background1"/>
            </w:tcBorders>
            <w:hideMark/>
          </w:tcPr>
          <w:p w14:paraId="0D3F31FC" w14:textId="77777777" w:rsidR="00B27BCB" w:rsidRPr="00B60ED3"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2019</w:t>
            </w:r>
          </w:p>
        </w:tc>
        <w:tc>
          <w:tcPr>
            <w:tcW w:w="1323" w:type="dxa"/>
            <w:tcBorders>
              <w:bottom w:val="single" w:sz="8" w:space="0" w:color="FFFFFF" w:themeColor="background1"/>
            </w:tcBorders>
            <w:hideMark/>
          </w:tcPr>
          <w:p w14:paraId="4C6D44D9" w14:textId="77777777" w:rsidR="00B27BCB" w:rsidRPr="00B60ED3"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2020</w:t>
            </w:r>
          </w:p>
        </w:tc>
        <w:tc>
          <w:tcPr>
            <w:tcW w:w="1340" w:type="dxa"/>
            <w:tcBorders>
              <w:bottom w:val="single" w:sz="8" w:space="0" w:color="FFFFFF" w:themeColor="background1"/>
            </w:tcBorders>
          </w:tcPr>
          <w:p w14:paraId="16F70A6F" w14:textId="77777777" w:rsidR="00B27BCB" w:rsidRPr="00B60ED3"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B60ED3">
              <w:rPr>
                <w:b/>
                <w:bCs w:val="0"/>
              </w:rPr>
              <w:t>2021</w:t>
            </w:r>
          </w:p>
        </w:tc>
      </w:tr>
      <w:tr w:rsidR="00B27BCB" w:rsidRPr="00B2067F" w14:paraId="1C3B7BFA" w14:textId="77777777" w:rsidTr="00CF53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EADB1F3" w14:textId="77777777" w:rsidR="00B27BCB" w:rsidRPr="00B60ED3" w:rsidRDefault="00B27BCB" w:rsidP="00CF5394">
            <w:pPr>
              <w:pStyle w:val="Tabletext"/>
            </w:pPr>
            <w:r w:rsidRPr="00B60ED3">
              <w:t>Serie sobre gestión del espectro (copias impresas vendidas)</w:t>
            </w:r>
          </w:p>
        </w:tc>
        <w:tc>
          <w:tcPr>
            <w:tcW w:w="1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89082A7" w14:textId="77777777" w:rsidR="00B27BCB" w:rsidRPr="00B2067F"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B2067F">
              <w:t>9</w:t>
            </w:r>
          </w:p>
        </w:tc>
        <w:tc>
          <w:tcPr>
            <w:tcW w:w="13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AF13688" w14:textId="77777777" w:rsidR="00B27BCB" w:rsidRPr="00B2067F"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B2067F">
              <w:t>9</w:t>
            </w:r>
          </w:p>
        </w:tc>
        <w:tc>
          <w:tcPr>
            <w:tcW w:w="13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2C5CE88" w14:textId="77777777" w:rsidR="00B27BCB" w:rsidRPr="00B2067F"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B2067F">
              <w:t>3</w:t>
            </w:r>
          </w:p>
        </w:tc>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9910A0E" w14:textId="77777777" w:rsidR="00B27BCB" w:rsidRPr="00B2067F"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B60ED3">
              <w:t>5</w:t>
            </w:r>
          </w:p>
        </w:tc>
      </w:tr>
      <w:tr w:rsidR="00B27BCB" w:rsidRPr="00B2067F" w14:paraId="77C83B6B" w14:textId="77777777" w:rsidTr="00CF5394">
        <w:trPr>
          <w:trHeight w:val="441"/>
        </w:trPr>
        <w:tc>
          <w:tcPr>
            <w:cnfStyle w:val="001000000000" w:firstRow="0" w:lastRow="0" w:firstColumn="1" w:lastColumn="0" w:oddVBand="0" w:evenVBand="0" w:oddHBand="0" w:evenHBand="0" w:firstRowFirstColumn="0" w:firstRowLastColumn="0" w:lastRowFirstColumn="0" w:lastRowLastColumn="0"/>
            <w:tcW w:w="4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10FE4D6" w14:textId="77777777" w:rsidR="00B27BCB" w:rsidRPr="00B60ED3" w:rsidRDefault="00B27BCB" w:rsidP="00CF5394">
            <w:pPr>
              <w:pStyle w:val="Tabletext"/>
            </w:pPr>
            <w:r w:rsidRPr="00B60ED3">
              <w:t>Otros Manuales (copias impresas vendidas)</w:t>
            </w:r>
          </w:p>
        </w:tc>
        <w:tc>
          <w:tcPr>
            <w:tcW w:w="1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9CAB65D" w14:textId="77777777" w:rsidR="00B27BCB" w:rsidRPr="00B2067F"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rsidRPr="00B2067F">
              <w:t>21</w:t>
            </w:r>
          </w:p>
        </w:tc>
        <w:tc>
          <w:tcPr>
            <w:tcW w:w="13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0C2F8B6" w14:textId="77777777" w:rsidR="00B27BCB" w:rsidRPr="00B2067F"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rsidRPr="00B2067F">
              <w:t>20</w:t>
            </w:r>
          </w:p>
        </w:tc>
        <w:tc>
          <w:tcPr>
            <w:tcW w:w="13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2CC194F" w14:textId="77777777" w:rsidR="00B27BCB" w:rsidRPr="00B2067F"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rsidRPr="00B2067F">
              <w:t>4</w:t>
            </w:r>
          </w:p>
        </w:tc>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AF3D891" w14:textId="77777777" w:rsidR="00B27BCB" w:rsidRPr="00B2067F"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rsidRPr="00B60ED3">
              <w:t>5</w:t>
            </w:r>
          </w:p>
        </w:tc>
      </w:tr>
      <w:tr w:rsidR="00B27BCB" w:rsidRPr="00B2067F" w14:paraId="60E35BF9" w14:textId="77777777" w:rsidTr="00CF539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335" w:type="dxa"/>
            <w:tcBorders>
              <w:top w:val="single" w:sz="8" w:space="0" w:color="FFFFFF" w:themeColor="background1"/>
              <w:bottom w:val="nil"/>
            </w:tcBorders>
            <w:hideMark/>
          </w:tcPr>
          <w:p w14:paraId="579C64BE" w14:textId="77777777" w:rsidR="00B27BCB" w:rsidRPr="00B60ED3" w:rsidRDefault="00B27BCB" w:rsidP="00CF5394">
            <w:pPr>
              <w:pStyle w:val="Tabletext"/>
            </w:pPr>
            <w:r w:rsidRPr="00B60ED3">
              <w:t>TOTAL</w:t>
            </w:r>
          </w:p>
        </w:tc>
        <w:tc>
          <w:tcPr>
            <w:tcW w:w="1329" w:type="dxa"/>
            <w:tcBorders>
              <w:top w:val="single" w:sz="8" w:space="0" w:color="FFFFFF" w:themeColor="background1"/>
              <w:bottom w:val="nil"/>
            </w:tcBorders>
            <w:hideMark/>
          </w:tcPr>
          <w:p w14:paraId="25D1A404"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60ED3">
              <w:rPr>
                <w:b/>
                <w:bCs/>
              </w:rPr>
              <w:t>30</w:t>
            </w:r>
          </w:p>
        </w:tc>
        <w:tc>
          <w:tcPr>
            <w:tcW w:w="1302" w:type="dxa"/>
            <w:tcBorders>
              <w:top w:val="single" w:sz="8" w:space="0" w:color="FFFFFF" w:themeColor="background1"/>
              <w:bottom w:val="nil"/>
            </w:tcBorders>
            <w:hideMark/>
          </w:tcPr>
          <w:p w14:paraId="768E02DE"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60ED3">
              <w:rPr>
                <w:b/>
                <w:bCs/>
              </w:rPr>
              <w:t>29</w:t>
            </w:r>
          </w:p>
        </w:tc>
        <w:tc>
          <w:tcPr>
            <w:tcW w:w="1323" w:type="dxa"/>
            <w:tcBorders>
              <w:top w:val="single" w:sz="8" w:space="0" w:color="FFFFFF" w:themeColor="background1"/>
              <w:bottom w:val="nil"/>
            </w:tcBorders>
            <w:hideMark/>
          </w:tcPr>
          <w:p w14:paraId="4111018C"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60ED3">
              <w:rPr>
                <w:b/>
                <w:bCs/>
              </w:rPr>
              <w:t>7</w:t>
            </w:r>
          </w:p>
        </w:tc>
        <w:tc>
          <w:tcPr>
            <w:tcW w:w="1340" w:type="dxa"/>
            <w:tcBorders>
              <w:top w:val="single" w:sz="8" w:space="0" w:color="FFFFFF" w:themeColor="background1"/>
              <w:bottom w:val="nil"/>
            </w:tcBorders>
          </w:tcPr>
          <w:p w14:paraId="44753E49" w14:textId="77777777" w:rsidR="00B27BCB" w:rsidRPr="00B60ED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60ED3">
              <w:rPr>
                <w:b/>
                <w:bCs/>
              </w:rPr>
              <w:t>10</w:t>
            </w:r>
          </w:p>
        </w:tc>
      </w:tr>
      <w:tr w:rsidR="00B27BCB" w:rsidRPr="00B2067F" w14:paraId="7B5261B4" w14:textId="77777777" w:rsidTr="00CF5394">
        <w:trPr>
          <w:trHeight w:val="248"/>
        </w:trPr>
        <w:tc>
          <w:tcPr>
            <w:cnfStyle w:val="001000000000" w:firstRow="0" w:lastRow="0" w:firstColumn="1" w:lastColumn="0" w:oddVBand="0" w:evenVBand="0" w:oddHBand="0" w:evenHBand="0" w:firstRowFirstColumn="0" w:firstRowLastColumn="0" w:lastRowFirstColumn="0" w:lastRowLastColumn="0"/>
            <w:tcW w:w="4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EDFDC08" w14:textId="77777777" w:rsidR="00B27BCB" w:rsidRPr="00B60ED3" w:rsidRDefault="00B27BCB" w:rsidP="00CF5394">
            <w:pPr>
              <w:pStyle w:val="Tabletext"/>
            </w:pPr>
            <w:r w:rsidRPr="00B60ED3">
              <w:t>Descargas GRATUITAS</w:t>
            </w:r>
          </w:p>
        </w:tc>
        <w:tc>
          <w:tcPr>
            <w:tcW w:w="1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D0910F2"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60ED3">
              <w:rPr>
                <w:b/>
                <w:bCs/>
              </w:rPr>
              <w:t>28</w:t>
            </w:r>
            <w:r>
              <w:rPr>
                <w:b/>
                <w:bCs/>
              </w:rPr>
              <w:t> </w:t>
            </w:r>
            <w:r w:rsidRPr="00B60ED3">
              <w:rPr>
                <w:b/>
                <w:bCs/>
              </w:rPr>
              <w:t>168</w:t>
            </w:r>
          </w:p>
        </w:tc>
        <w:tc>
          <w:tcPr>
            <w:tcW w:w="13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FDBFF49"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60ED3">
              <w:rPr>
                <w:b/>
                <w:bCs/>
              </w:rPr>
              <w:t>68</w:t>
            </w:r>
            <w:r>
              <w:rPr>
                <w:b/>
                <w:bCs/>
              </w:rPr>
              <w:t> </w:t>
            </w:r>
            <w:r w:rsidRPr="00B60ED3">
              <w:rPr>
                <w:b/>
                <w:bCs/>
              </w:rPr>
              <w:t>507</w:t>
            </w:r>
          </w:p>
        </w:tc>
        <w:tc>
          <w:tcPr>
            <w:tcW w:w="13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5DD789A"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60ED3">
              <w:rPr>
                <w:b/>
                <w:bCs/>
              </w:rPr>
              <w:t>79</w:t>
            </w:r>
            <w:r>
              <w:rPr>
                <w:b/>
                <w:bCs/>
              </w:rPr>
              <w:t> </w:t>
            </w:r>
            <w:r w:rsidRPr="00B60ED3">
              <w:rPr>
                <w:b/>
                <w:bCs/>
              </w:rPr>
              <w:t>961</w:t>
            </w:r>
          </w:p>
        </w:tc>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C6860B1" w14:textId="77777777" w:rsidR="00B27BCB" w:rsidRPr="00B60ED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B60ED3">
              <w:rPr>
                <w:b/>
                <w:bCs/>
              </w:rPr>
              <w:t>126</w:t>
            </w:r>
            <w:r>
              <w:rPr>
                <w:b/>
                <w:bCs/>
              </w:rPr>
              <w:t> </w:t>
            </w:r>
            <w:r w:rsidRPr="00B60ED3">
              <w:rPr>
                <w:b/>
                <w:bCs/>
              </w:rPr>
              <w:t>201</w:t>
            </w:r>
          </w:p>
        </w:tc>
      </w:tr>
    </w:tbl>
    <w:p w14:paraId="227B3CE4" w14:textId="77777777" w:rsidR="00B27BCB" w:rsidRPr="00B2067F" w:rsidRDefault="00B27BCB" w:rsidP="00B27BCB">
      <w:pPr>
        <w:pStyle w:val="Heading2"/>
        <w:rPr>
          <w:i/>
          <w:iCs/>
        </w:rPr>
      </w:pPr>
      <w:bookmarkStart w:id="68" w:name="_Toc424047601"/>
      <w:bookmarkStart w:id="69" w:name="_Toc446060783"/>
      <w:r w:rsidRPr="00B2067F">
        <w:lastRenderedPageBreak/>
        <w:t>8.2</w:t>
      </w:r>
      <w:r w:rsidRPr="00B2067F">
        <w:tab/>
      </w:r>
      <w:bookmarkEnd w:id="68"/>
      <w:bookmarkEnd w:id="69"/>
      <w:r w:rsidRPr="00B2067F">
        <w:t>Seminarios, talleres y otros eventos</w:t>
      </w:r>
    </w:p>
    <w:p w14:paraId="6CDBAC1A" w14:textId="77777777" w:rsidR="00B27BCB" w:rsidRPr="00B2067F" w:rsidRDefault="00B27BCB" w:rsidP="00B27BCB">
      <w:r>
        <w:t xml:space="preserve">Desde </w:t>
      </w:r>
      <w:r w:rsidRPr="00B2067F">
        <w:t xml:space="preserve">2020, se ha iniciado el nuevo ciclo de </w:t>
      </w:r>
      <w:r>
        <w:t xml:space="preserve">eventos </w:t>
      </w:r>
      <w:r w:rsidRPr="00B2067F">
        <w:t>SMR y SRR entre dos CMR: el ciclo de SMR y SRR para el periodo 2020-2023. El objetivo de estos seminarios es la divulgación en todo el mundo de las actualizaciones que contiene la edición de 2020 del Reglamento de Radiocomunicaciones (con las decisiones adoptadas por la CMR-19) y las Reglas de Procedimiento (RdP) correspondientes. En base a la experiencia de los SMR y SRR anteriores, la planificación del ciclo de SMR y SRR para 2020-2023 prevé la celebración de dos Seminarios Mundiales de Radiocomunicaciones (SMR) bienales</w:t>
      </w:r>
      <w:r>
        <w:t xml:space="preserve"> </w:t>
      </w:r>
      <w:r w:rsidRPr="00B2067F">
        <w:t>complementad</w:t>
      </w:r>
      <w:r>
        <w:t>os</w:t>
      </w:r>
      <w:r w:rsidRPr="00B2067F">
        <w:t xml:space="preserve"> con once Seminario Regionales de Radiocomunicaciones (SRR)</w:t>
      </w:r>
      <w:r>
        <w:t xml:space="preserve"> (</w:t>
      </w:r>
      <w:r w:rsidRPr="00B2067F">
        <w:t>cada uno dedicado a una subregión diferente</w:t>
      </w:r>
      <w:r>
        <w:t>)</w:t>
      </w:r>
      <w:r w:rsidRPr="00B2067F">
        <w:t>, como se indica a continuación:</w:t>
      </w:r>
    </w:p>
    <w:p w14:paraId="426640E7" w14:textId="77777777" w:rsidR="00B27BCB" w:rsidRPr="00B2067F" w:rsidRDefault="00B27BCB" w:rsidP="00B27BCB">
      <w:pPr>
        <w:pStyle w:val="TableNoBR"/>
      </w:pPr>
      <w:r w:rsidRPr="00B2067F">
        <w:t>CUADRO 8.2.2-1</w:t>
      </w:r>
    </w:p>
    <w:tbl>
      <w:tblPr>
        <w:tblStyle w:val="TableGrid"/>
        <w:tblW w:w="5000" w:type="pct"/>
        <w:jc w:val="center"/>
        <w:tblLayout w:type="fixed"/>
        <w:tblLook w:val="04A0" w:firstRow="1" w:lastRow="0" w:firstColumn="1" w:lastColumn="0" w:noHBand="0" w:noVBand="1"/>
      </w:tblPr>
      <w:tblGrid>
        <w:gridCol w:w="2566"/>
        <w:gridCol w:w="1470"/>
        <w:gridCol w:w="1805"/>
        <w:gridCol w:w="1554"/>
        <w:gridCol w:w="1176"/>
        <w:gridCol w:w="1048"/>
      </w:tblGrid>
      <w:tr w:rsidR="00B27BCB" w:rsidRPr="00B2067F" w14:paraId="21DFBAF0" w14:textId="77777777" w:rsidTr="00CF5394">
        <w:trPr>
          <w:trHeight w:val="375"/>
          <w:tblHeader/>
          <w:jc w:val="center"/>
        </w:trPr>
        <w:tc>
          <w:tcPr>
            <w:tcW w:w="2566" w:type="dxa"/>
            <w:tcBorders>
              <w:top w:val="single" w:sz="8" w:space="0" w:color="auto"/>
              <w:left w:val="single" w:sz="8" w:space="0" w:color="auto"/>
              <w:bottom w:val="single" w:sz="8" w:space="0" w:color="auto"/>
              <w:right w:val="single" w:sz="8" w:space="0" w:color="auto"/>
            </w:tcBorders>
          </w:tcPr>
          <w:p w14:paraId="67D4C7A4" w14:textId="77777777" w:rsidR="00B27BCB" w:rsidRPr="00B2067F" w:rsidRDefault="00B27BCB" w:rsidP="00CF5394">
            <w:pPr>
              <w:pStyle w:val="Tablehead"/>
            </w:pPr>
          </w:p>
        </w:tc>
        <w:tc>
          <w:tcPr>
            <w:tcW w:w="1470" w:type="dxa"/>
            <w:tcBorders>
              <w:top w:val="single" w:sz="8" w:space="0" w:color="auto"/>
              <w:left w:val="single" w:sz="8" w:space="0" w:color="auto"/>
              <w:bottom w:val="single" w:sz="8" w:space="0" w:color="auto"/>
              <w:right w:val="single" w:sz="8" w:space="0" w:color="auto"/>
            </w:tcBorders>
            <w:hideMark/>
          </w:tcPr>
          <w:p w14:paraId="68FBC3BB" w14:textId="77777777" w:rsidR="00B27BCB" w:rsidRPr="00B2067F" w:rsidRDefault="00B27BCB" w:rsidP="00CF5394">
            <w:pPr>
              <w:pStyle w:val="Tablehead"/>
              <w:rPr>
                <w:bCs/>
              </w:rPr>
            </w:pPr>
            <w:r w:rsidRPr="00B2067F">
              <w:rPr>
                <w:bCs/>
              </w:rPr>
              <w:t>Idioma</w:t>
            </w:r>
          </w:p>
        </w:tc>
        <w:tc>
          <w:tcPr>
            <w:tcW w:w="1805" w:type="dxa"/>
            <w:tcBorders>
              <w:top w:val="single" w:sz="8" w:space="0" w:color="auto"/>
              <w:left w:val="single" w:sz="8" w:space="0" w:color="auto"/>
              <w:bottom w:val="single" w:sz="8" w:space="0" w:color="auto"/>
              <w:right w:val="single" w:sz="8" w:space="0" w:color="auto"/>
            </w:tcBorders>
            <w:hideMark/>
          </w:tcPr>
          <w:p w14:paraId="1D90BF04" w14:textId="77777777" w:rsidR="00B27BCB" w:rsidRPr="00B2067F" w:rsidRDefault="00B27BCB" w:rsidP="00CF5394">
            <w:pPr>
              <w:pStyle w:val="Tablehead"/>
              <w:rPr>
                <w:bCs/>
              </w:rPr>
            </w:pPr>
            <w:r w:rsidRPr="00B2067F">
              <w:rPr>
                <w:bCs/>
              </w:rPr>
              <w:t>2020</w:t>
            </w:r>
          </w:p>
        </w:tc>
        <w:tc>
          <w:tcPr>
            <w:tcW w:w="1554" w:type="dxa"/>
            <w:tcBorders>
              <w:top w:val="single" w:sz="8" w:space="0" w:color="auto"/>
              <w:left w:val="single" w:sz="8" w:space="0" w:color="auto"/>
              <w:bottom w:val="single" w:sz="8" w:space="0" w:color="auto"/>
              <w:right w:val="single" w:sz="8" w:space="0" w:color="auto"/>
            </w:tcBorders>
            <w:hideMark/>
          </w:tcPr>
          <w:p w14:paraId="54FCCD60" w14:textId="77777777" w:rsidR="00B27BCB" w:rsidRPr="00B2067F" w:rsidRDefault="00B27BCB" w:rsidP="00CF5394">
            <w:pPr>
              <w:pStyle w:val="Tablehead"/>
              <w:rPr>
                <w:bCs/>
              </w:rPr>
            </w:pPr>
            <w:r w:rsidRPr="00B2067F">
              <w:rPr>
                <w:bCs/>
              </w:rPr>
              <w:t>2021</w:t>
            </w:r>
          </w:p>
        </w:tc>
        <w:tc>
          <w:tcPr>
            <w:tcW w:w="1176" w:type="dxa"/>
            <w:tcBorders>
              <w:top w:val="single" w:sz="8" w:space="0" w:color="auto"/>
              <w:left w:val="single" w:sz="8" w:space="0" w:color="auto"/>
              <w:bottom w:val="single" w:sz="8" w:space="0" w:color="auto"/>
              <w:right w:val="single" w:sz="8" w:space="0" w:color="auto"/>
            </w:tcBorders>
            <w:hideMark/>
          </w:tcPr>
          <w:p w14:paraId="015FBC50" w14:textId="77777777" w:rsidR="00B27BCB" w:rsidRPr="00B2067F" w:rsidRDefault="00B27BCB" w:rsidP="00CF5394">
            <w:pPr>
              <w:pStyle w:val="Tablehead"/>
              <w:rPr>
                <w:bCs/>
              </w:rPr>
            </w:pPr>
            <w:r w:rsidRPr="00B2067F">
              <w:rPr>
                <w:bCs/>
              </w:rPr>
              <w:t>2022</w:t>
            </w:r>
          </w:p>
        </w:tc>
        <w:tc>
          <w:tcPr>
            <w:tcW w:w="1048" w:type="dxa"/>
            <w:tcBorders>
              <w:top w:val="single" w:sz="8" w:space="0" w:color="auto"/>
              <w:left w:val="single" w:sz="8" w:space="0" w:color="auto"/>
              <w:bottom w:val="single" w:sz="8" w:space="0" w:color="auto"/>
              <w:right w:val="single" w:sz="8" w:space="0" w:color="auto"/>
            </w:tcBorders>
            <w:hideMark/>
          </w:tcPr>
          <w:p w14:paraId="50C7F3C5" w14:textId="77777777" w:rsidR="00B27BCB" w:rsidRPr="00B2067F" w:rsidRDefault="00B27BCB" w:rsidP="00CF5394">
            <w:pPr>
              <w:pStyle w:val="Tablehead"/>
              <w:rPr>
                <w:bCs/>
              </w:rPr>
            </w:pPr>
            <w:r w:rsidRPr="00B2067F">
              <w:rPr>
                <w:bCs/>
              </w:rPr>
              <w:t>2023</w:t>
            </w:r>
          </w:p>
        </w:tc>
      </w:tr>
      <w:tr w:rsidR="00B27BCB" w:rsidRPr="00B2067F" w14:paraId="67D0D87F"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1F135D7C" w14:textId="77777777" w:rsidR="00B27BCB" w:rsidRPr="00617EAD" w:rsidRDefault="00B27BCB" w:rsidP="00CF5394">
            <w:pPr>
              <w:pStyle w:val="Tabletext"/>
              <w:rPr>
                <w:b/>
                <w:bCs/>
              </w:rPr>
            </w:pPr>
            <w:r w:rsidRPr="00617EAD">
              <w:rPr>
                <w:b/>
                <w:bCs/>
              </w:rPr>
              <w:t>África (subsahariana): 2</w:t>
            </w:r>
          </w:p>
        </w:tc>
        <w:tc>
          <w:tcPr>
            <w:tcW w:w="1470" w:type="dxa"/>
            <w:tcBorders>
              <w:top w:val="single" w:sz="8" w:space="0" w:color="auto"/>
              <w:left w:val="single" w:sz="8" w:space="0" w:color="auto"/>
              <w:bottom w:val="single" w:sz="8" w:space="0" w:color="auto"/>
              <w:right w:val="single" w:sz="8" w:space="0" w:color="auto"/>
            </w:tcBorders>
            <w:hideMark/>
          </w:tcPr>
          <w:p w14:paraId="44F61EC9" w14:textId="77777777" w:rsidR="00B27BCB" w:rsidRPr="00B2067F" w:rsidRDefault="00B27BCB" w:rsidP="00CF5394">
            <w:pPr>
              <w:pStyle w:val="Tabletext"/>
            </w:pPr>
          </w:p>
        </w:tc>
        <w:tc>
          <w:tcPr>
            <w:tcW w:w="1805" w:type="dxa"/>
            <w:tcBorders>
              <w:top w:val="single" w:sz="8" w:space="0" w:color="auto"/>
              <w:left w:val="single" w:sz="8" w:space="0" w:color="auto"/>
              <w:bottom w:val="single" w:sz="8" w:space="0" w:color="auto"/>
              <w:right w:val="single" w:sz="8" w:space="0" w:color="auto"/>
            </w:tcBorders>
          </w:tcPr>
          <w:p w14:paraId="3107DC76"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tcPr>
          <w:p w14:paraId="15A173BC"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tcPr>
          <w:p w14:paraId="6DE1B71B" w14:textId="77777777" w:rsidR="00B27BCB" w:rsidRPr="00B2067F" w:rsidRDefault="00B27BCB" w:rsidP="00CF5394">
            <w:pPr>
              <w:pStyle w:val="Tabletext"/>
              <w:jc w:val="center"/>
            </w:pPr>
          </w:p>
        </w:tc>
        <w:tc>
          <w:tcPr>
            <w:tcW w:w="1048" w:type="dxa"/>
            <w:tcBorders>
              <w:top w:val="single" w:sz="8" w:space="0" w:color="auto"/>
              <w:left w:val="single" w:sz="8" w:space="0" w:color="auto"/>
              <w:bottom w:val="single" w:sz="8" w:space="0" w:color="auto"/>
              <w:right w:val="single" w:sz="8" w:space="0" w:color="auto"/>
            </w:tcBorders>
          </w:tcPr>
          <w:p w14:paraId="073A6F6A" w14:textId="77777777" w:rsidR="00B27BCB" w:rsidRPr="00B2067F" w:rsidRDefault="00B27BCB" w:rsidP="00CF5394">
            <w:pPr>
              <w:pStyle w:val="Tabletext"/>
              <w:jc w:val="center"/>
            </w:pPr>
          </w:p>
        </w:tc>
      </w:tr>
      <w:tr w:rsidR="00B27BCB" w:rsidRPr="00B2067F" w14:paraId="2E8632BD"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520E79AB" w14:textId="77777777" w:rsidR="00B27BCB" w:rsidRPr="00B2067F" w:rsidRDefault="00B27BCB" w:rsidP="00CF5394">
            <w:pPr>
              <w:pStyle w:val="Tabletext"/>
              <w:rPr>
                <w:b/>
              </w:rPr>
            </w:pPr>
            <w:r w:rsidRPr="00B2067F">
              <w:t>África de habla francesa</w:t>
            </w:r>
          </w:p>
        </w:tc>
        <w:tc>
          <w:tcPr>
            <w:tcW w:w="1470" w:type="dxa"/>
            <w:tcBorders>
              <w:top w:val="single" w:sz="8" w:space="0" w:color="auto"/>
              <w:left w:val="single" w:sz="8" w:space="0" w:color="auto"/>
              <w:bottom w:val="single" w:sz="8" w:space="0" w:color="auto"/>
              <w:right w:val="single" w:sz="8" w:space="0" w:color="auto"/>
            </w:tcBorders>
            <w:hideMark/>
          </w:tcPr>
          <w:p w14:paraId="105E86CA" w14:textId="77777777" w:rsidR="00B27BCB" w:rsidRPr="00B2067F" w:rsidRDefault="00B27BCB" w:rsidP="00CF5394">
            <w:pPr>
              <w:pStyle w:val="Tabletext"/>
            </w:pPr>
            <w:r w:rsidRPr="00B2067F">
              <w:t>Inglés/francés</w:t>
            </w:r>
          </w:p>
        </w:tc>
        <w:tc>
          <w:tcPr>
            <w:tcW w:w="1805" w:type="dxa"/>
            <w:tcBorders>
              <w:top w:val="single" w:sz="8" w:space="0" w:color="auto"/>
              <w:left w:val="single" w:sz="8" w:space="0" w:color="auto"/>
              <w:bottom w:val="single" w:sz="8" w:space="0" w:color="auto"/>
              <w:right w:val="single" w:sz="8" w:space="0" w:color="auto"/>
            </w:tcBorders>
          </w:tcPr>
          <w:p w14:paraId="1565BBEB"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hideMark/>
          </w:tcPr>
          <w:p w14:paraId="7AE6D340" w14:textId="77777777" w:rsidR="00B27BCB" w:rsidRPr="00B2067F" w:rsidRDefault="00B27BCB" w:rsidP="00CF5394">
            <w:pPr>
              <w:pStyle w:val="Tabletext"/>
              <w:jc w:val="center"/>
            </w:pPr>
            <w:r>
              <w:t>5-16 de julio</w:t>
            </w:r>
            <w:r>
              <w:br/>
              <w:t>en línea</w:t>
            </w:r>
          </w:p>
        </w:tc>
        <w:tc>
          <w:tcPr>
            <w:tcW w:w="1176" w:type="dxa"/>
            <w:tcBorders>
              <w:top w:val="single" w:sz="8" w:space="0" w:color="auto"/>
              <w:left w:val="single" w:sz="8" w:space="0" w:color="auto"/>
              <w:bottom w:val="single" w:sz="8" w:space="0" w:color="auto"/>
              <w:right w:val="single" w:sz="8" w:space="0" w:color="auto"/>
            </w:tcBorders>
          </w:tcPr>
          <w:p w14:paraId="044336E3" w14:textId="77777777" w:rsidR="00B27BCB" w:rsidRPr="00B2067F" w:rsidRDefault="00B27BCB" w:rsidP="00CF5394">
            <w:pPr>
              <w:pStyle w:val="Tabletext"/>
              <w:jc w:val="center"/>
            </w:pPr>
          </w:p>
        </w:tc>
        <w:tc>
          <w:tcPr>
            <w:tcW w:w="1048" w:type="dxa"/>
            <w:tcBorders>
              <w:top w:val="single" w:sz="8" w:space="0" w:color="auto"/>
              <w:left w:val="single" w:sz="8" w:space="0" w:color="auto"/>
              <w:bottom w:val="single" w:sz="8" w:space="0" w:color="auto"/>
              <w:right w:val="single" w:sz="8" w:space="0" w:color="auto"/>
            </w:tcBorders>
          </w:tcPr>
          <w:p w14:paraId="219D6707" w14:textId="77777777" w:rsidR="00B27BCB" w:rsidRPr="00B2067F" w:rsidRDefault="00B27BCB" w:rsidP="00CF5394">
            <w:pPr>
              <w:pStyle w:val="Tabletext"/>
              <w:jc w:val="center"/>
            </w:pPr>
          </w:p>
        </w:tc>
      </w:tr>
      <w:tr w:rsidR="00B27BCB" w:rsidRPr="00B2067F" w14:paraId="1853231A"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6D55432A" w14:textId="77777777" w:rsidR="00B27BCB" w:rsidRPr="00617EAD" w:rsidRDefault="00B27BCB" w:rsidP="00CF5394">
            <w:pPr>
              <w:pStyle w:val="Tabletext"/>
            </w:pPr>
            <w:r w:rsidRPr="00B2067F">
              <w:t xml:space="preserve">África de habla inglesa </w:t>
            </w:r>
          </w:p>
        </w:tc>
        <w:tc>
          <w:tcPr>
            <w:tcW w:w="1470" w:type="dxa"/>
            <w:tcBorders>
              <w:top w:val="single" w:sz="8" w:space="0" w:color="auto"/>
              <w:left w:val="single" w:sz="8" w:space="0" w:color="auto"/>
              <w:bottom w:val="single" w:sz="8" w:space="0" w:color="auto"/>
              <w:right w:val="single" w:sz="8" w:space="0" w:color="auto"/>
            </w:tcBorders>
            <w:hideMark/>
          </w:tcPr>
          <w:p w14:paraId="7AFE9F89" w14:textId="77777777" w:rsidR="00B27BCB" w:rsidRPr="00B2067F" w:rsidRDefault="00B27BCB" w:rsidP="00CF5394">
            <w:pPr>
              <w:pStyle w:val="Tabletext"/>
            </w:pPr>
            <w:r w:rsidRPr="00B2067F">
              <w:t>Inglés/francés</w:t>
            </w:r>
          </w:p>
        </w:tc>
        <w:tc>
          <w:tcPr>
            <w:tcW w:w="1805" w:type="dxa"/>
            <w:tcBorders>
              <w:top w:val="single" w:sz="8" w:space="0" w:color="auto"/>
              <w:left w:val="single" w:sz="8" w:space="0" w:color="auto"/>
              <w:bottom w:val="single" w:sz="8" w:space="0" w:color="auto"/>
              <w:right w:val="single" w:sz="8" w:space="0" w:color="auto"/>
            </w:tcBorders>
          </w:tcPr>
          <w:p w14:paraId="153B3F96"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tcPr>
          <w:p w14:paraId="1D0317DD"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tcPr>
          <w:p w14:paraId="1AB73FDF" w14:textId="77777777" w:rsidR="00B27BCB" w:rsidRPr="00B2067F" w:rsidRDefault="00B27BCB" w:rsidP="00CF5394">
            <w:pPr>
              <w:pStyle w:val="Tabletext"/>
              <w:jc w:val="center"/>
            </w:pPr>
          </w:p>
        </w:tc>
        <w:tc>
          <w:tcPr>
            <w:tcW w:w="1048" w:type="dxa"/>
            <w:tcBorders>
              <w:top w:val="single" w:sz="8" w:space="0" w:color="auto"/>
              <w:left w:val="single" w:sz="8" w:space="0" w:color="auto"/>
              <w:bottom w:val="single" w:sz="8" w:space="0" w:color="auto"/>
              <w:right w:val="single" w:sz="8" w:space="0" w:color="auto"/>
            </w:tcBorders>
            <w:hideMark/>
          </w:tcPr>
          <w:p w14:paraId="031A058A" w14:textId="77777777" w:rsidR="00B27BCB" w:rsidRPr="00B2067F" w:rsidRDefault="00B27BCB" w:rsidP="00CF5394">
            <w:pPr>
              <w:pStyle w:val="Tabletext"/>
              <w:jc w:val="center"/>
            </w:pPr>
            <w:r w:rsidRPr="00B2067F">
              <w:t>1T</w:t>
            </w:r>
          </w:p>
        </w:tc>
      </w:tr>
      <w:tr w:rsidR="00B27BCB" w:rsidRPr="00B2067F" w14:paraId="7056E165"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4876571E" w14:textId="77777777" w:rsidR="00B27BCB" w:rsidRPr="00617EAD" w:rsidRDefault="00B27BCB" w:rsidP="00CF5394">
            <w:pPr>
              <w:pStyle w:val="Tabletext"/>
              <w:rPr>
                <w:b/>
                <w:bCs/>
              </w:rPr>
            </w:pPr>
            <w:r w:rsidRPr="00617EAD">
              <w:rPr>
                <w:b/>
                <w:bCs/>
              </w:rPr>
              <w:t>América: (3)</w:t>
            </w:r>
          </w:p>
        </w:tc>
        <w:tc>
          <w:tcPr>
            <w:tcW w:w="1470" w:type="dxa"/>
            <w:tcBorders>
              <w:top w:val="single" w:sz="8" w:space="0" w:color="auto"/>
              <w:left w:val="single" w:sz="8" w:space="0" w:color="auto"/>
              <w:bottom w:val="single" w:sz="8" w:space="0" w:color="auto"/>
              <w:right w:val="single" w:sz="8" w:space="0" w:color="auto"/>
            </w:tcBorders>
          </w:tcPr>
          <w:p w14:paraId="7EF8ECFE" w14:textId="77777777" w:rsidR="00B27BCB" w:rsidRPr="00B2067F" w:rsidRDefault="00B27BCB" w:rsidP="00CF5394">
            <w:pPr>
              <w:pStyle w:val="Tabletext"/>
            </w:pPr>
          </w:p>
        </w:tc>
        <w:tc>
          <w:tcPr>
            <w:tcW w:w="1805" w:type="dxa"/>
            <w:tcBorders>
              <w:top w:val="single" w:sz="8" w:space="0" w:color="auto"/>
              <w:left w:val="single" w:sz="8" w:space="0" w:color="auto"/>
              <w:bottom w:val="single" w:sz="8" w:space="0" w:color="auto"/>
              <w:right w:val="single" w:sz="8" w:space="0" w:color="auto"/>
            </w:tcBorders>
          </w:tcPr>
          <w:p w14:paraId="2EA8B6F9"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tcPr>
          <w:p w14:paraId="19803B1D"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tcPr>
          <w:p w14:paraId="6768740A" w14:textId="77777777" w:rsidR="00B27BCB" w:rsidRPr="00B2067F" w:rsidRDefault="00B27BCB" w:rsidP="00CF5394">
            <w:pPr>
              <w:pStyle w:val="Tabletext"/>
              <w:jc w:val="center"/>
            </w:pPr>
          </w:p>
        </w:tc>
        <w:tc>
          <w:tcPr>
            <w:tcW w:w="1048" w:type="dxa"/>
            <w:tcBorders>
              <w:top w:val="single" w:sz="8" w:space="0" w:color="auto"/>
              <w:left w:val="single" w:sz="8" w:space="0" w:color="auto"/>
              <w:bottom w:val="single" w:sz="8" w:space="0" w:color="auto"/>
              <w:right w:val="single" w:sz="8" w:space="0" w:color="auto"/>
            </w:tcBorders>
          </w:tcPr>
          <w:p w14:paraId="2D389FCA" w14:textId="77777777" w:rsidR="00B27BCB" w:rsidRPr="00B2067F" w:rsidRDefault="00B27BCB" w:rsidP="00CF5394">
            <w:pPr>
              <w:pStyle w:val="Tabletext"/>
              <w:jc w:val="center"/>
            </w:pPr>
          </w:p>
        </w:tc>
      </w:tr>
      <w:tr w:rsidR="00B27BCB" w:rsidRPr="00B2067F" w14:paraId="2D1A27D6"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5011D7CD" w14:textId="77777777" w:rsidR="00B27BCB" w:rsidRPr="00617EAD" w:rsidRDefault="00B27BCB" w:rsidP="00CF5394">
            <w:pPr>
              <w:pStyle w:val="Tabletext"/>
            </w:pPr>
            <w:r w:rsidRPr="00B2067F">
              <w:t>América del Sur</w:t>
            </w:r>
          </w:p>
        </w:tc>
        <w:tc>
          <w:tcPr>
            <w:tcW w:w="1470" w:type="dxa"/>
            <w:tcBorders>
              <w:top w:val="single" w:sz="8" w:space="0" w:color="auto"/>
              <w:left w:val="single" w:sz="8" w:space="0" w:color="auto"/>
              <w:bottom w:val="single" w:sz="8" w:space="0" w:color="auto"/>
              <w:right w:val="single" w:sz="8" w:space="0" w:color="auto"/>
            </w:tcBorders>
            <w:hideMark/>
          </w:tcPr>
          <w:p w14:paraId="5790B3E7" w14:textId="77777777" w:rsidR="00B27BCB" w:rsidRPr="00B2067F" w:rsidRDefault="00B27BCB" w:rsidP="00CF5394">
            <w:pPr>
              <w:pStyle w:val="Tabletext"/>
            </w:pPr>
            <w:r w:rsidRPr="00B2067F">
              <w:t>Español</w:t>
            </w:r>
          </w:p>
        </w:tc>
        <w:tc>
          <w:tcPr>
            <w:tcW w:w="1805" w:type="dxa"/>
            <w:tcBorders>
              <w:top w:val="single" w:sz="8" w:space="0" w:color="auto"/>
              <w:left w:val="single" w:sz="8" w:space="0" w:color="auto"/>
              <w:bottom w:val="single" w:sz="8" w:space="0" w:color="auto"/>
              <w:right w:val="single" w:sz="8" w:space="0" w:color="auto"/>
            </w:tcBorders>
          </w:tcPr>
          <w:p w14:paraId="65529C5A"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tcPr>
          <w:p w14:paraId="2D451711" w14:textId="77777777" w:rsidR="00B27BCB" w:rsidRPr="00B2067F" w:rsidRDefault="00B27BCB" w:rsidP="00CF5394">
            <w:pPr>
              <w:pStyle w:val="Tabletext"/>
              <w:jc w:val="center"/>
            </w:pPr>
            <w:r>
              <w:t>26 de abril a 7 de mayo</w:t>
            </w:r>
            <w:r>
              <w:br/>
              <w:t>e</w:t>
            </w:r>
            <w:r w:rsidRPr="007D3A06">
              <w:t>n línea</w:t>
            </w:r>
          </w:p>
        </w:tc>
        <w:tc>
          <w:tcPr>
            <w:tcW w:w="1176" w:type="dxa"/>
            <w:tcBorders>
              <w:top w:val="single" w:sz="8" w:space="0" w:color="auto"/>
              <w:left w:val="single" w:sz="8" w:space="0" w:color="auto"/>
              <w:bottom w:val="single" w:sz="8" w:space="0" w:color="auto"/>
              <w:right w:val="single" w:sz="8" w:space="0" w:color="auto"/>
            </w:tcBorders>
            <w:hideMark/>
          </w:tcPr>
          <w:p w14:paraId="4E92B001" w14:textId="77777777" w:rsidR="00B27BCB" w:rsidRPr="00B2067F" w:rsidRDefault="00B27BCB" w:rsidP="00CF5394">
            <w:pPr>
              <w:pStyle w:val="Tabletext"/>
              <w:jc w:val="center"/>
            </w:pPr>
          </w:p>
        </w:tc>
        <w:tc>
          <w:tcPr>
            <w:tcW w:w="1048" w:type="dxa"/>
            <w:tcBorders>
              <w:top w:val="single" w:sz="8" w:space="0" w:color="auto"/>
              <w:left w:val="single" w:sz="8" w:space="0" w:color="auto"/>
              <w:bottom w:val="single" w:sz="8" w:space="0" w:color="auto"/>
              <w:right w:val="single" w:sz="8" w:space="0" w:color="auto"/>
            </w:tcBorders>
          </w:tcPr>
          <w:p w14:paraId="6C77057B" w14:textId="77777777" w:rsidR="00B27BCB" w:rsidRPr="00B2067F" w:rsidRDefault="00B27BCB" w:rsidP="00CF5394">
            <w:pPr>
              <w:pStyle w:val="Tabletext"/>
              <w:jc w:val="center"/>
            </w:pPr>
          </w:p>
        </w:tc>
      </w:tr>
      <w:tr w:rsidR="00B27BCB" w:rsidRPr="00B2067F" w14:paraId="4E1C7439"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5F7702CC" w14:textId="77777777" w:rsidR="00B27BCB" w:rsidRPr="00617EAD" w:rsidRDefault="00B27BCB" w:rsidP="00CF5394">
            <w:pPr>
              <w:pStyle w:val="Tabletext"/>
            </w:pPr>
            <w:r w:rsidRPr="00B2067F">
              <w:t>Mesoamérica</w:t>
            </w:r>
          </w:p>
        </w:tc>
        <w:tc>
          <w:tcPr>
            <w:tcW w:w="1470" w:type="dxa"/>
            <w:tcBorders>
              <w:top w:val="single" w:sz="8" w:space="0" w:color="auto"/>
              <w:left w:val="single" w:sz="8" w:space="0" w:color="auto"/>
              <w:bottom w:val="single" w:sz="8" w:space="0" w:color="auto"/>
              <w:right w:val="single" w:sz="8" w:space="0" w:color="auto"/>
            </w:tcBorders>
            <w:hideMark/>
          </w:tcPr>
          <w:p w14:paraId="73B345F1" w14:textId="77777777" w:rsidR="00B27BCB" w:rsidRPr="00B2067F" w:rsidRDefault="00B27BCB" w:rsidP="00CF5394">
            <w:pPr>
              <w:pStyle w:val="Tabletext"/>
            </w:pPr>
            <w:r w:rsidRPr="00B2067F">
              <w:t>Español</w:t>
            </w:r>
          </w:p>
        </w:tc>
        <w:tc>
          <w:tcPr>
            <w:tcW w:w="1805" w:type="dxa"/>
            <w:tcBorders>
              <w:top w:val="single" w:sz="8" w:space="0" w:color="auto"/>
              <w:left w:val="single" w:sz="8" w:space="0" w:color="auto"/>
              <w:bottom w:val="single" w:sz="8" w:space="0" w:color="auto"/>
              <w:right w:val="single" w:sz="8" w:space="0" w:color="auto"/>
            </w:tcBorders>
          </w:tcPr>
          <w:p w14:paraId="3F8F15BA"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hideMark/>
          </w:tcPr>
          <w:p w14:paraId="6F415F0D"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tcPr>
          <w:p w14:paraId="39E877CD" w14:textId="77777777" w:rsidR="00B27BCB" w:rsidRPr="00B2067F" w:rsidRDefault="00B27BCB" w:rsidP="00CF5394">
            <w:pPr>
              <w:pStyle w:val="Tabletext"/>
              <w:jc w:val="center"/>
            </w:pPr>
          </w:p>
        </w:tc>
        <w:tc>
          <w:tcPr>
            <w:tcW w:w="1048" w:type="dxa"/>
            <w:tcBorders>
              <w:top w:val="single" w:sz="8" w:space="0" w:color="auto"/>
              <w:left w:val="single" w:sz="8" w:space="0" w:color="auto"/>
              <w:bottom w:val="single" w:sz="8" w:space="0" w:color="auto"/>
              <w:right w:val="single" w:sz="8" w:space="0" w:color="auto"/>
            </w:tcBorders>
          </w:tcPr>
          <w:p w14:paraId="2648B38A" w14:textId="77777777" w:rsidR="00B27BCB" w:rsidRPr="00B2067F" w:rsidRDefault="00B27BCB" w:rsidP="00CF5394">
            <w:pPr>
              <w:pStyle w:val="Tabletext"/>
              <w:jc w:val="center"/>
            </w:pPr>
            <w:r>
              <w:t>2T</w:t>
            </w:r>
          </w:p>
        </w:tc>
      </w:tr>
      <w:tr w:rsidR="00B27BCB" w:rsidRPr="00B2067F" w14:paraId="5C4921C9"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34A3864D" w14:textId="77777777" w:rsidR="00B27BCB" w:rsidRPr="00617EAD" w:rsidRDefault="00B27BCB" w:rsidP="00CF5394">
            <w:pPr>
              <w:pStyle w:val="Tabletext"/>
            </w:pPr>
            <w:r w:rsidRPr="00B2067F">
              <w:t>Caribe</w:t>
            </w:r>
          </w:p>
        </w:tc>
        <w:tc>
          <w:tcPr>
            <w:tcW w:w="1470" w:type="dxa"/>
            <w:tcBorders>
              <w:top w:val="single" w:sz="8" w:space="0" w:color="auto"/>
              <w:left w:val="single" w:sz="8" w:space="0" w:color="auto"/>
              <w:bottom w:val="single" w:sz="8" w:space="0" w:color="auto"/>
              <w:right w:val="single" w:sz="8" w:space="0" w:color="auto"/>
            </w:tcBorders>
            <w:hideMark/>
          </w:tcPr>
          <w:p w14:paraId="0063F86A" w14:textId="77777777" w:rsidR="00B27BCB" w:rsidRPr="00B2067F" w:rsidRDefault="00B27BCB" w:rsidP="00CF5394">
            <w:pPr>
              <w:pStyle w:val="Tabletext"/>
            </w:pPr>
            <w:r w:rsidRPr="00B2067F">
              <w:t>Inglés</w:t>
            </w:r>
          </w:p>
        </w:tc>
        <w:tc>
          <w:tcPr>
            <w:tcW w:w="1805" w:type="dxa"/>
            <w:tcBorders>
              <w:top w:val="single" w:sz="8" w:space="0" w:color="auto"/>
              <w:left w:val="single" w:sz="8" w:space="0" w:color="auto"/>
              <w:bottom w:val="single" w:sz="8" w:space="0" w:color="auto"/>
              <w:right w:val="single" w:sz="8" w:space="0" w:color="auto"/>
            </w:tcBorders>
            <w:hideMark/>
          </w:tcPr>
          <w:p w14:paraId="163DB614" w14:textId="77777777" w:rsidR="00B27BCB" w:rsidRPr="00B2067F" w:rsidRDefault="00B27BCB" w:rsidP="00CF5394">
            <w:pPr>
              <w:pStyle w:val="Tabletext"/>
              <w:jc w:val="center"/>
            </w:pPr>
            <w:r>
              <w:t>13-24 de julio</w:t>
            </w:r>
            <w:r>
              <w:br/>
              <w:t>en línea</w:t>
            </w:r>
          </w:p>
        </w:tc>
        <w:tc>
          <w:tcPr>
            <w:tcW w:w="1554" w:type="dxa"/>
            <w:tcBorders>
              <w:top w:val="single" w:sz="8" w:space="0" w:color="auto"/>
              <w:left w:val="single" w:sz="8" w:space="0" w:color="auto"/>
              <w:bottom w:val="single" w:sz="8" w:space="0" w:color="auto"/>
              <w:right w:val="single" w:sz="8" w:space="0" w:color="auto"/>
            </w:tcBorders>
          </w:tcPr>
          <w:p w14:paraId="587EE040"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tcPr>
          <w:p w14:paraId="166DEE4C" w14:textId="77777777" w:rsidR="00B27BCB" w:rsidRPr="00B2067F" w:rsidRDefault="00B27BCB" w:rsidP="00CF5394">
            <w:pPr>
              <w:pStyle w:val="Tabletext"/>
              <w:jc w:val="center"/>
            </w:pPr>
          </w:p>
        </w:tc>
        <w:tc>
          <w:tcPr>
            <w:tcW w:w="1048" w:type="dxa"/>
            <w:tcBorders>
              <w:top w:val="single" w:sz="8" w:space="0" w:color="auto"/>
              <w:left w:val="single" w:sz="8" w:space="0" w:color="auto"/>
              <w:bottom w:val="single" w:sz="8" w:space="0" w:color="auto"/>
              <w:right w:val="single" w:sz="8" w:space="0" w:color="auto"/>
            </w:tcBorders>
          </w:tcPr>
          <w:p w14:paraId="125B86A5" w14:textId="77777777" w:rsidR="00B27BCB" w:rsidRPr="00B2067F" w:rsidRDefault="00B27BCB" w:rsidP="00CF5394">
            <w:pPr>
              <w:pStyle w:val="Tabletext"/>
              <w:jc w:val="center"/>
            </w:pPr>
          </w:p>
        </w:tc>
      </w:tr>
      <w:tr w:rsidR="00B27BCB" w:rsidRPr="00B2067F" w14:paraId="3EEE457B"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7CA1FE8C" w14:textId="77777777" w:rsidR="00B27BCB" w:rsidRPr="00617EAD" w:rsidRDefault="00B27BCB" w:rsidP="00CF5394">
            <w:pPr>
              <w:pStyle w:val="Tabletext"/>
              <w:rPr>
                <w:b/>
                <w:bCs/>
              </w:rPr>
            </w:pPr>
            <w:r w:rsidRPr="00617EAD">
              <w:rPr>
                <w:b/>
                <w:bCs/>
              </w:rPr>
              <w:t>Asia-Pacífico: (3)</w:t>
            </w:r>
          </w:p>
        </w:tc>
        <w:tc>
          <w:tcPr>
            <w:tcW w:w="1470" w:type="dxa"/>
            <w:tcBorders>
              <w:top w:val="single" w:sz="8" w:space="0" w:color="auto"/>
              <w:left w:val="single" w:sz="8" w:space="0" w:color="auto"/>
              <w:bottom w:val="single" w:sz="8" w:space="0" w:color="auto"/>
              <w:right w:val="single" w:sz="8" w:space="0" w:color="auto"/>
            </w:tcBorders>
          </w:tcPr>
          <w:p w14:paraId="6DAF3B97" w14:textId="77777777" w:rsidR="00B27BCB" w:rsidRPr="00B2067F" w:rsidRDefault="00B27BCB" w:rsidP="00CF5394">
            <w:pPr>
              <w:pStyle w:val="Tabletext"/>
            </w:pPr>
          </w:p>
        </w:tc>
        <w:tc>
          <w:tcPr>
            <w:tcW w:w="1805" w:type="dxa"/>
            <w:tcBorders>
              <w:top w:val="single" w:sz="8" w:space="0" w:color="auto"/>
              <w:left w:val="single" w:sz="8" w:space="0" w:color="auto"/>
              <w:bottom w:val="single" w:sz="8" w:space="0" w:color="auto"/>
              <w:right w:val="single" w:sz="8" w:space="0" w:color="auto"/>
            </w:tcBorders>
          </w:tcPr>
          <w:p w14:paraId="768DFE12"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tcPr>
          <w:p w14:paraId="4059003C"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tcPr>
          <w:p w14:paraId="316AD5D7" w14:textId="77777777" w:rsidR="00B27BCB" w:rsidRPr="00B2067F" w:rsidRDefault="00B27BCB" w:rsidP="00CF5394">
            <w:pPr>
              <w:pStyle w:val="Tabletext"/>
              <w:jc w:val="center"/>
            </w:pPr>
          </w:p>
        </w:tc>
        <w:tc>
          <w:tcPr>
            <w:tcW w:w="1048" w:type="dxa"/>
            <w:tcBorders>
              <w:top w:val="single" w:sz="8" w:space="0" w:color="auto"/>
              <w:left w:val="single" w:sz="8" w:space="0" w:color="auto"/>
              <w:bottom w:val="single" w:sz="8" w:space="0" w:color="auto"/>
              <w:right w:val="single" w:sz="8" w:space="0" w:color="auto"/>
            </w:tcBorders>
          </w:tcPr>
          <w:p w14:paraId="6A9A5CFD" w14:textId="77777777" w:rsidR="00B27BCB" w:rsidRPr="00B2067F" w:rsidRDefault="00B27BCB" w:rsidP="00CF5394">
            <w:pPr>
              <w:pStyle w:val="Tabletext"/>
              <w:jc w:val="center"/>
            </w:pPr>
          </w:p>
        </w:tc>
      </w:tr>
      <w:tr w:rsidR="00B27BCB" w:rsidRPr="00B2067F" w14:paraId="2BF83BDB"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55EC44EB" w14:textId="77777777" w:rsidR="00B27BCB" w:rsidRPr="00617EAD" w:rsidRDefault="00B27BCB" w:rsidP="00CF5394">
            <w:pPr>
              <w:pStyle w:val="Tabletext"/>
            </w:pPr>
            <w:r w:rsidRPr="00B2067F">
              <w:t>Estados insulares del Pacífico</w:t>
            </w:r>
          </w:p>
        </w:tc>
        <w:tc>
          <w:tcPr>
            <w:tcW w:w="1470" w:type="dxa"/>
            <w:tcBorders>
              <w:top w:val="single" w:sz="8" w:space="0" w:color="auto"/>
              <w:left w:val="single" w:sz="8" w:space="0" w:color="auto"/>
              <w:bottom w:val="single" w:sz="8" w:space="0" w:color="auto"/>
              <w:right w:val="single" w:sz="8" w:space="0" w:color="auto"/>
            </w:tcBorders>
            <w:hideMark/>
          </w:tcPr>
          <w:p w14:paraId="641CBEEA" w14:textId="77777777" w:rsidR="00B27BCB" w:rsidRPr="00B2067F" w:rsidRDefault="00B27BCB" w:rsidP="00CF5394">
            <w:pPr>
              <w:pStyle w:val="Tabletext"/>
            </w:pPr>
            <w:r w:rsidRPr="00B2067F">
              <w:t>Inglés</w:t>
            </w:r>
          </w:p>
        </w:tc>
        <w:tc>
          <w:tcPr>
            <w:tcW w:w="1805" w:type="dxa"/>
            <w:tcBorders>
              <w:top w:val="single" w:sz="8" w:space="0" w:color="auto"/>
              <w:left w:val="single" w:sz="8" w:space="0" w:color="auto"/>
              <w:bottom w:val="single" w:sz="8" w:space="0" w:color="auto"/>
              <w:right w:val="single" w:sz="8" w:space="0" w:color="auto"/>
            </w:tcBorders>
          </w:tcPr>
          <w:p w14:paraId="3DD50527"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hideMark/>
          </w:tcPr>
          <w:p w14:paraId="30338375"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tcPr>
          <w:p w14:paraId="4346F49F" w14:textId="77777777" w:rsidR="00B27BCB" w:rsidRPr="00B2067F" w:rsidRDefault="00B27BCB" w:rsidP="00CF5394">
            <w:pPr>
              <w:pStyle w:val="Tabletext"/>
              <w:jc w:val="center"/>
            </w:pPr>
            <w:r>
              <w:t>Octubre</w:t>
            </w:r>
          </w:p>
        </w:tc>
        <w:tc>
          <w:tcPr>
            <w:tcW w:w="1048" w:type="dxa"/>
            <w:tcBorders>
              <w:top w:val="single" w:sz="8" w:space="0" w:color="auto"/>
              <w:left w:val="single" w:sz="8" w:space="0" w:color="auto"/>
              <w:bottom w:val="single" w:sz="8" w:space="0" w:color="auto"/>
              <w:right w:val="single" w:sz="8" w:space="0" w:color="auto"/>
            </w:tcBorders>
          </w:tcPr>
          <w:p w14:paraId="14235ECB" w14:textId="77777777" w:rsidR="00B27BCB" w:rsidRPr="00B2067F" w:rsidRDefault="00B27BCB" w:rsidP="00CF5394">
            <w:pPr>
              <w:pStyle w:val="Tabletext"/>
              <w:jc w:val="center"/>
            </w:pPr>
          </w:p>
        </w:tc>
      </w:tr>
      <w:tr w:rsidR="00B27BCB" w:rsidRPr="00B2067F" w14:paraId="298302B2"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6D1D1D8B" w14:textId="77777777" w:rsidR="00B27BCB" w:rsidRPr="00617EAD" w:rsidRDefault="00B27BCB" w:rsidP="00CF5394">
            <w:pPr>
              <w:pStyle w:val="Tabletext"/>
            </w:pPr>
            <w:r w:rsidRPr="00B2067F">
              <w:t>Asia central</w:t>
            </w:r>
          </w:p>
        </w:tc>
        <w:tc>
          <w:tcPr>
            <w:tcW w:w="1470" w:type="dxa"/>
            <w:tcBorders>
              <w:top w:val="single" w:sz="8" w:space="0" w:color="auto"/>
              <w:left w:val="single" w:sz="8" w:space="0" w:color="auto"/>
              <w:bottom w:val="single" w:sz="8" w:space="0" w:color="auto"/>
              <w:right w:val="single" w:sz="8" w:space="0" w:color="auto"/>
            </w:tcBorders>
            <w:hideMark/>
          </w:tcPr>
          <w:p w14:paraId="1103474C" w14:textId="77777777" w:rsidR="00B27BCB" w:rsidRPr="00B2067F" w:rsidRDefault="00B27BCB" w:rsidP="00CF5394">
            <w:pPr>
              <w:pStyle w:val="Tabletext"/>
            </w:pPr>
            <w:r w:rsidRPr="00B2067F">
              <w:t>Inglés</w:t>
            </w:r>
          </w:p>
        </w:tc>
        <w:tc>
          <w:tcPr>
            <w:tcW w:w="1805" w:type="dxa"/>
            <w:tcBorders>
              <w:top w:val="single" w:sz="8" w:space="0" w:color="auto"/>
              <w:left w:val="single" w:sz="8" w:space="0" w:color="auto"/>
              <w:bottom w:val="single" w:sz="8" w:space="0" w:color="auto"/>
              <w:right w:val="single" w:sz="8" w:space="0" w:color="auto"/>
            </w:tcBorders>
          </w:tcPr>
          <w:p w14:paraId="45D2F45E"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tcPr>
          <w:p w14:paraId="48F5981C"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hideMark/>
          </w:tcPr>
          <w:p w14:paraId="10D93B79" w14:textId="77777777" w:rsidR="00B27BCB" w:rsidRPr="00B2067F" w:rsidRDefault="00B27BCB" w:rsidP="00CF5394">
            <w:pPr>
              <w:pStyle w:val="Tabletext"/>
              <w:jc w:val="center"/>
            </w:pPr>
          </w:p>
        </w:tc>
        <w:tc>
          <w:tcPr>
            <w:tcW w:w="1048" w:type="dxa"/>
            <w:tcBorders>
              <w:top w:val="single" w:sz="8" w:space="0" w:color="auto"/>
              <w:left w:val="single" w:sz="8" w:space="0" w:color="auto"/>
              <w:bottom w:val="single" w:sz="8" w:space="0" w:color="auto"/>
              <w:right w:val="single" w:sz="8" w:space="0" w:color="auto"/>
            </w:tcBorders>
          </w:tcPr>
          <w:p w14:paraId="78CB4780" w14:textId="77777777" w:rsidR="00B27BCB" w:rsidRPr="00B2067F" w:rsidRDefault="00B27BCB" w:rsidP="00CF5394">
            <w:pPr>
              <w:pStyle w:val="Tabletext"/>
              <w:jc w:val="center"/>
            </w:pPr>
            <w:r>
              <w:t>2</w:t>
            </w:r>
            <w:r w:rsidRPr="00B2067F">
              <w:t>T</w:t>
            </w:r>
          </w:p>
        </w:tc>
      </w:tr>
      <w:tr w:rsidR="00B27BCB" w:rsidRPr="00B2067F" w14:paraId="052B041A"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220B309F" w14:textId="77777777" w:rsidR="00B27BCB" w:rsidRPr="00617EAD" w:rsidRDefault="00B27BCB" w:rsidP="00CF5394">
            <w:pPr>
              <w:pStyle w:val="Tabletext"/>
            </w:pPr>
            <w:r w:rsidRPr="00B2067F">
              <w:t>Asia meridional</w:t>
            </w:r>
          </w:p>
        </w:tc>
        <w:tc>
          <w:tcPr>
            <w:tcW w:w="1470" w:type="dxa"/>
            <w:tcBorders>
              <w:top w:val="single" w:sz="8" w:space="0" w:color="auto"/>
              <w:left w:val="single" w:sz="8" w:space="0" w:color="auto"/>
              <w:bottom w:val="single" w:sz="8" w:space="0" w:color="auto"/>
              <w:right w:val="single" w:sz="8" w:space="0" w:color="auto"/>
            </w:tcBorders>
            <w:hideMark/>
          </w:tcPr>
          <w:p w14:paraId="225501F4" w14:textId="77777777" w:rsidR="00B27BCB" w:rsidRPr="00B2067F" w:rsidRDefault="00B27BCB" w:rsidP="00CF5394">
            <w:pPr>
              <w:pStyle w:val="Tabletext"/>
            </w:pPr>
            <w:r w:rsidRPr="00B2067F">
              <w:t>Inglés</w:t>
            </w:r>
          </w:p>
        </w:tc>
        <w:tc>
          <w:tcPr>
            <w:tcW w:w="1805" w:type="dxa"/>
            <w:tcBorders>
              <w:top w:val="single" w:sz="8" w:space="0" w:color="auto"/>
              <w:left w:val="single" w:sz="8" w:space="0" w:color="auto"/>
              <w:bottom w:val="single" w:sz="8" w:space="0" w:color="auto"/>
              <w:right w:val="single" w:sz="8" w:space="0" w:color="auto"/>
            </w:tcBorders>
            <w:hideMark/>
          </w:tcPr>
          <w:p w14:paraId="3238BE57" w14:textId="77777777" w:rsidR="00B27BCB" w:rsidRPr="00B2067F" w:rsidRDefault="00B27BCB" w:rsidP="00CF5394">
            <w:pPr>
              <w:pStyle w:val="Tabletext"/>
              <w:jc w:val="center"/>
            </w:pPr>
            <w:r>
              <w:t>11-22 de o</w:t>
            </w:r>
            <w:r w:rsidRPr="00B2067F">
              <w:t>ctubre</w:t>
            </w:r>
            <w:r>
              <w:br/>
              <w:t>en línea</w:t>
            </w:r>
          </w:p>
        </w:tc>
        <w:tc>
          <w:tcPr>
            <w:tcW w:w="1554" w:type="dxa"/>
            <w:tcBorders>
              <w:top w:val="single" w:sz="8" w:space="0" w:color="auto"/>
              <w:left w:val="single" w:sz="8" w:space="0" w:color="auto"/>
              <w:bottom w:val="single" w:sz="8" w:space="0" w:color="auto"/>
              <w:right w:val="single" w:sz="8" w:space="0" w:color="auto"/>
            </w:tcBorders>
          </w:tcPr>
          <w:p w14:paraId="45EADB22"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tcPr>
          <w:p w14:paraId="5DE584C9" w14:textId="77777777" w:rsidR="00B27BCB" w:rsidRPr="00B2067F" w:rsidRDefault="00B27BCB" w:rsidP="00CF5394">
            <w:pPr>
              <w:pStyle w:val="Tabletext"/>
              <w:jc w:val="center"/>
            </w:pPr>
          </w:p>
        </w:tc>
        <w:tc>
          <w:tcPr>
            <w:tcW w:w="1048" w:type="dxa"/>
            <w:tcBorders>
              <w:top w:val="single" w:sz="8" w:space="0" w:color="auto"/>
              <w:left w:val="single" w:sz="8" w:space="0" w:color="auto"/>
              <w:bottom w:val="single" w:sz="8" w:space="0" w:color="auto"/>
              <w:right w:val="single" w:sz="8" w:space="0" w:color="auto"/>
            </w:tcBorders>
          </w:tcPr>
          <w:p w14:paraId="49240044" w14:textId="77777777" w:rsidR="00B27BCB" w:rsidRPr="00B2067F" w:rsidRDefault="00B27BCB" w:rsidP="00CF5394">
            <w:pPr>
              <w:pStyle w:val="Tabletext"/>
              <w:jc w:val="center"/>
            </w:pPr>
          </w:p>
        </w:tc>
      </w:tr>
      <w:tr w:rsidR="00B27BCB" w:rsidRPr="00B2067F" w14:paraId="5FF4D86B"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5E49134A" w14:textId="77777777" w:rsidR="00B27BCB" w:rsidRPr="00617EAD" w:rsidRDefault="00B27BCB" w:rsidP="00CF5394">
            <w:pPr>
              <w:pStyle w:val="Tabletext"/>
              <w:rPr>
                <w:b/>
                <w:bCs/>
              </w:rPr>
            </w:pPr>
            <w:r w:rsidRPr="00617EAD">
              <w:rPr>
                <w:b/>
                <w:bCs/>
              </w:rPr>
              <w:t>Estados Árabes (1)</w:t>
            </w:r>
          </w:p>
        </w:tc>
        <w:tc>
          <w:tcPr>
            <w:tcW w:w="1470" w:type="dxa"/>
            <w:tcBorders>
              <w:top w:val="single" w:sz="8" w:space="0" w:color="auto"/>
              <w:left w:val="single" w:sz="8" w:space="0" w:color="auto"/>
              <w:bottom w:val="single" w:sz="8" w:space="0" w:color="auto"/>
              <w:right w:val="single" w:sz="8" w:space="0" w:color="auto"/>
            </w:tcBorders>
            <w:hideMark/>
          </w:tcPr>
          <w:p w14:paraId="3475E06A" w14:textId="77777777" w:rsidR="00B27BCB" w:rsidRPr="00B2067F" w:rsidRDefault="00B27BCB" w:rsidP="00CF5394">
            <w:pPr>
              <w:pStyle w:val="Tabletext"/>
            </w:pPr>
            <w:r w:rsidRPr="00B2067F">
              <w:t>Árabe/inglés</w:t>
            </w:r>
          </w:p>
        </w:tc>
        <w:tc>
          <w:tcPr>
            <w:tcW w:w="1805" w:type="dxa"/>
            <w:tcBorders>
              <w:top w:val="single" w:sz="8" w:space="0" w:color="auto"/>
              <w:left w:val="single" w:sz="8" w:space="0" w:color="auto"/>
              <w:bottom w:val="single" w:sz="8" w:space="0" w:color="auto"/>
              <w:right w:val="single" w:sz="8" w:space="0" w:color="auto"/>
            </w:tcBorders>
          </w:tcPr>
          <w:p w14:paraId="292F16E1"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tcPr>
          <w:p w14:paraId="0E8D7D73"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tcPr>
          <w:p w14:paraId="651251BB" w14:textId="6904E0BC" w:rsidR="00B27BCB" w:rsidRPr="00B2067F" w:rsidRDefault="00B27BCB" w:rsidP="00CF5394">
            <w:pPr>
              <w:pStyle w:val="Tabletext"/>
              <w:jc w:val="center"/>
            </w:pPr>
            <w:r>
              <w:t>13-24 de</w:t>
            </w:r>
            <w:r w:rsidR="00BC5D9D">
              <w:t> </w:t>
            </w:r>
            <w:r>
              <w:t>marzo</w:t>
            </w:r>
            <w:r>
              <w:br/>
              <w:t>en línea</w:t>
            </w:r>
          </w:p>
        </w:tc>
        <w:tc>
          <w:tcPr>
            <w:tcW w:w="1048" w:type="dxa"/>
            <w:tcBorders>
              <w:top w:val="single" w:sz="8" w:space="0" w:color="auto"/>
              <w:left w:val="single" w:sz="8" w:space="0" w:color="auto"/>
              <w:bottom w:val="single" w:sz="8" w:space="0" w:color="auto"/>
              <w:right w:val="single" w:sz="8" w:space="0" w:color="auto"/>
            </w:tcBorders>
          </w:tcPr>
          <w:p w14:paraId="0AD6728A" w14:textId="77777777" w:rsidR="00B27BCB" w:rsidRPr="00B2067F" w:rsidRDefault="00B27BCB" w:rsidP="00CF5394">
            <w:pPr>
              <w:pStyle w:val="Tabletext"/>
              <w:jc w:val="center"/>
            </w:pPr>
          </w:p>
        </w:tc>
      </w:tr>
      <w:tr w:rsidR="00B27BCB" w:rsidRPr="00B2067F" w14:paraId="3152870E"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4F1F7B3A" w14:textId="77777777" w:rsidR="00B27BCB" w:rsidRPr="00617EAD" w:rsidRDefault="00B27BCB" w:rsidP="00CF5394">
            <w:pPr>
              <w:pStyle w:val="Tabletext"/>
              <w:rPr>
                <w:b/>
                <w:bCs/>
              </w:rPr>
            </w:pPr>
            <w:r w:rsidRPr="00617EAD">
              <w:rPr>
                <w:b/>
                <w:bCs/>
              </w:rPr>
              <w:t>CEI (1)</w:t>
            </w:r>
          </w:p>
        </w:tc>
        <w:tc>
          <w:tcPr>
            <w:tcW w:w="1470" w:type="dxa"/>
            <w:tcBorders>
              <w:top w:val="single" w:sz="8" w:space="0" w:color="auto"/>
              <w:left w:val="single" w:sz="8" w:space="0" w:color="auto"/>
              <w:bottom w:val="single" w:sz="8" w:space="0" w:color="auto"/>
              <w:right w:val="single" w:sz="8" w:space="0" w:color="auto"/>
            </w:tcBorders>
            <w:hideMark/>
          </w:tcPr>
          <w:p w14:paraId="05C751AA" w14:textId="77777777" w:rsidR="00B27BCB" w:rsidRPr="00B2067F" w:rsidRDefault="00B27BCB" w:rsidP="00CF5394">
            <w:pPr>
              <w:pStyle w:val="Tabletext"/>
            </w:pPr>
            <w:r w:rsidRPr="00B2067F">
              <w:t>Ruso</w:t>
            </w:r>
          </w:p>
        </w:tc>
        <w:tc>
          <w:tcPr>
            <w:tcW w:w="1805" w:type="dxa"/>
            <w:tcBorders>
              <w:top w:val="single" w:sz="8" w:space="0" w:color="auto"/>
              <w:left w:val="single" w:sz="8" w:space="0" w:color="auto"/>
              <w:bottom w:val="single" w:sz="8" w:space="0" w:color="auto"/>
              <w:right w:val="single" w:sz="8" w:space="0" w:color="auto"/>
            </w:tcBorders>
          </w:tcPr>
          <w:p w14:paraId="4A94A852"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tcPr>
          <w:p w14:paraId="440A2928"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hideMark/>
          </w:tcPr>
          <w:p w14:paraId="54D9B56D" w14:textId="77777777" w:rsidR="00B27BCB" w:rsidRPr="00B2067F" w:rsidRDefault="00B27BCB" w:rsidP="00CF5394">
            <w:pPr>
              <w:pStyle w:val="Tabletext"/>
              <w:jc w:val="center"/>
            </w:pPr>
            <w:r>
              <w:t>2</w:t>
            </w:r>
            <w:r w:rsidRPr="00B2067F">
              <w:t>T</w:t>
            </w:r>
          </w:p>
        </w:tc>
        <w:tc>
          <w:tcPr>
            <w:tcW w:w="1048" w:type="dxa"/>
            <w:tcBorders>
              <w:top w:val="single" w:sz="8" w:space="0" w:color="auto"/>
              <w:left w:val="single" w:sz="8" w:space="0" w:color="auto"/>
              <w:bottom w:val="single" w:sz="8" w:space="0" w:color="auto"/>
              <w:right w:val="single" w:sz="8" w:space="0" w:color="auto"/>
            </w:tcBorders>
          </w:tcPr>
          <w:p w14:paraId="3F1204E4" w14:textId="77777777" w:rsidR="00B27BCB" w:rsidRPr="00B2067F" w:rsidRDefault="00B27BCB" w:rsidP="00CF5394">
            <w:pPr>
              <w:pStyle w:val="Tabletext"/>
              <w:jc w:val="center"/>
            </w:pPr>
          </w:p>
        </w:tc>
      </w:tr>
      <w:tr w:rsidR="00B27BCB" w:rsidRPr="00B2067F" w14:paraId="5D384969" w14:textId="77777777" w:rsidTr="00CF5394">
        <w:trPr>
          <w:trHeight w:val="300"/>
          <w:jc w:val="center"/>
        </w:trPr>
        <w:tc>
          <w:tcPr>
            <w:tcW w:w="2566" w:type="dxa"/>
            <w:tcBorders>
              <w:top w:val="single" w:sz="8" w:space="0" w:color="auto"/>
              <w:left w:val="single" w:sz="8" w:space="0" w:color="auto"/>
              <w:bottom w:val="single" w:sz="8" w:space="0" w:color="auto"/>
              <w:right w:val="single" w:sz="8" w:space="0" w:color="auto"/>
            </w:tcBorders>
            <w:hideMark/>
          </w:tcPr>
          <w:p w14:paraId="4613F0F6" w14:textId="77777777" w:rsidR="00B27BCB" w:rsidRPr="00617EAD" w:rsidRDefault="00B27BCB" w:rsidP="00CF5394">
            <w:pPr>
              <w:pStyle w:val="Tabletext"/>
              <w:rPr>
                <w:b/>
                <w:bCs/>
              </w:rPr>
            </w:pPr>
            <w:r w:rsidRPr="00617EAD">
              <w:rPr>
                <w:b/>
                <w:bCs/>
              </w:rPr>
              <w:t xml:space="preserve">Europa </w:t>
            </w:r>
            <w:r>
              <w:rPr>
                <w:b/>
                <w:bCs/>
              </w:rPr>
              <w:t>o</w:t>
            </w:r>
            <w:r w:rsidRPr="00617EAD">
              <w:rPr>
                <w:b/>
                <w:bCs/>
              </w:rPr>
              <w:t>riental (1)</w:t>
            </w:r>
          </w:p>
        </w:tc>
        <w:tc>
          <w:tcPr>
            <w:tcW w:w="1470" w:type="dxa"/>
            <w:tcBorders>
              <w:top w:val="single" w:sz="8" w:space="0" w:color="auto"/>
              <w:left w:val="single" w:sz="8" w:space="0" w:color="auto"/>
              <w:bottom w:val="single" w:sz="8" w:space="0" w:color="auto"/>
              <w:right w:val="single" w:sz="8" w:space="0" w:color="auto"/>
            </w:tcBorders>
            <w:hideMark/>
          </w:tcPr>
          <w:p w14:paraId="060FF526" w14:textId="77777777" w:rsidR="00B27BCB" w:rsidRPr="00B2067F" w:rsidRDefault="00B27BCB" w:rsidP="00CF5394">
            <w:pPr>
              <w:pStyle w:val="Tabletext"/>
            </w:pPr>
            <w:r w:rsidRPr="00B2067F">
              <w:t>Inglés/ruso</w:t>
            </w:r>
          </w:p>
        </w:tc>
        <w:tc>
          <w:tcPr>
            <w:tcW w:w="1805" w:type="dxa"/>
            <w:tcBorders>
              <w:top w:val="single" w:sz="8" w:space="0" w:color="auto"/>
              <w:left w:val="single" w:sz="8" w:space="0" w:color="auto"/>
              <w:bottom w:val="single" w:sz="8" w:space="0" w:color="auto"/>
              <w:right w:val="single" w:sz="8" w:space="0" w:color="auto"/>
            </w:tcBorders>
          </w:tcPr>
          <w:p w14:paraId="2D3C55DF" w14:textId="77777777" w:rsidR="00B27BCB" w:rsidRPr="00B2067F" w:rsidRDefault="00B27BCB" w:rsidP="00CF5394">
            <w:pPr>
              <w:pStyle w:val="Tabletext"/>
              <w:jc w:val="center"/>
            </w:pPr>
          </w:p>
        </w:tc>
        <w:tc>
          <w:tcPr>
            <w:tcW w:w="1554" w:type="dxa"/>
            <w:tcBorders>
              <w:top w:val="single" w:sz="8" w:space="0" w:color="auto"/>
              <w:left w:val="single" w:sz="8" w:space="0" w:color="auto"/>
              <w:bottom w:val="single" w:sz="8" w:space="0" w:color="auto"/>
              <w:right w:val="single" w:sz="8" w:space="0" w:color="auto"/>
            </w:tcBorders>
          </w:tcPr>
          <w:p w14:paraId="7EB72626"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tcPr>
          <w:p w14:paraId="533F6D59" w14:textId="77777777" w:rsidR="00B27BCB" w:rsidRPr="00B2067F" w:rsidRDefault="00B27BCB" w:rsidP="00CF5394">
            <w:pPr>
              <w:pStyle w:val="Tabletext"/>
              <w:jc w:val="center"/>
            </w:pPr>
          </w:p>
        </w:tc>
        <w:tc>
          <w:tcPr>
            <w:tcW w:w="1048" w:type="dxa"/>
            <w:tcBorders>
              <w:top w:val="single" w:sz="8" w:space="0" w:color="auto"/>
              <w:left w:val="single" w:sz="8" w:space="0" w:color="auto"/>
              <w:bottom w:val="single" w:sz="8" w:space="0" w:color="auto"/>
              <w:right w:val="single" w:sz="8" w:space="0" w:color="auto"/>
            </w:tcBorders>
            <w:hideMark/>
          </w:tcPr>
          <w:p w14:paraId="4352DEC0" w14:textId="77777777" w:rsidR="00B27BCB" w:rsidRPr="00B2067F" w:rsidRDefault="00B27BCB" w:rsidP="00CF5394">
            <w:pPr>
              <w:pStyle w:val="Tabletext"/>
              <w:jc w:val="center"/>
            </w:pPr>
            <w:r w:rsidRPr="00B2067F">
              <w:t>2T</w:t>
            </w:r>
          </w:p>
        </w:tc>
      </w:tr>
      <w:tr w:rsidR="00B27BCB" w:rsidRPr="00B2067F" w14:paraId="0E739387" w14:textId="77777777" w:rsidTr="00CF5394">
        <w:trPr>
          <w:trHeight w:val="450"/>
          <w:jc w:val="center"/>
        </w:trPr>
        <w:tc>
          <w:tcPr>
            <w:tcW w:w="2566" w:type="dxa"/>
            <w:tcBorders>
              <w:top w:val="single" w:sz="8" w:space="0" w:color="auto"/>
              <w:left w:val="single" w:sz="8" w:space="0" w:color="auto"/>
              <w:bottom w:val="single" w:sz="8" w:space="0" w:color="auto"/>
              <w:right w:val="single" w:sz="8" w:space="0" w:color="auto"/>
            </w:tcBorders>
            <w:hideMark/>
          </w:tcPr>
          <w:p w14:paraId="53651CEE" w14:textId="77777777" w:rsidR="00B27BCB" w:rsidRPr="00617EAD" w:rsidRDefault="00B27BCB" w:rsidP="00CF5394">
            <w:pPr>
              <w:pStyle w:val="Tabletext"/>
              <w:rPr>
                <w:b/>
                <w:bCs/>
              </w:rPr>
            </w:pPr>
            <w:r w:rsidRPr="00617EAD">
              <w:rPr>
                <w:b/>
                <w:bCs/>
              </w:rPr>
              <w:t>SMR (2)</w:t>
            </w:r>
          </w:p>
        </w:tc>
        <w:tc>
          <w:tcPr>
            <w:tcW w:w="1470" w:type="dxa"/>
            <w:tcBorders>
              <w:top w:val="single" w:sz="8" w:space="0" w:color="auto"/>
              <w:left w:val="single" w:sz="8" w:space="0" w:color="auto"/>
              <w:bottom w:val="single" w:sz="8" w:space="0" w:color="auto"/>
              <w:right w:val="single" w:sz="8" w:space="0" w:color="auto"/>
            </w:tcBorders>
            <w:hideMark/>
          </w:tcPr>
          <w:p w14:paraId="6913C3DB" w14:textId="77777777" w:rsidR="00B27BCB" w:rsidRPr="00B2067F" w:rsidRDefault="00B27BCB" w:rsidP="00CF5394">
            <w:pPr>
              <w:pStyle w:val="Tabletext"/>
            </w:pPr>
            <w:r>
              <w:t xml:space="preserve">En los seis </w:t>
            </w:r>
            <w:r w:rsidRPr="00B2067F">
              <w:t xml:space="preserve">idiomas </w:t>
            </w:r>
            <w:r>
              <w:t xml:space="preserve">oficiales de las </w:t>
            </w:r>
            <w:r w:rsidRPr="00B2067F">
              <w:t>Naciones Unidas</w:t>
            </w:r>
          </w:p>
        </w:tc>
        <w:tc>
          <w:tcPr>
            <w:tcW w:w="1805" w:type="dxa"/>
            <w:tcBorders>
              <w:top w:val="single" w:sz="8" w:space="0" w:color="auto"/>
              <w:left w:val="single" w:sz="8" w:space="0" w:color="auto"/>
              <w:bottom w:val="single" w:sz="8" w:space="0" w:color="auto"/>
              <w:right w:val="single" w:sz="8" w:space="0" w:color="auto"/>
            </w:tcBorders>
            <w:hideMark/>
          </w:tcPr>
          <w:p w14:paraId="364D89E4" w14:textId="77777777" w:rsidR="00B27BCB" w:rsidRDefault="00B27BCB" w:rsidP="00CF5394">
            <w:pPr>
              <w:pStyle w:val="Tabletext"/>
              <w:jc w:val="center"/>
            </w:pPr>
            <w:r>
              <w:t>30 de noviembre al 11 de diciembre</w:t>
            </w:r>
            <w:r>
              <w:br/>
              <w:t>en línea</w:t>
            </w:r>
          </w:p>
          <w:p w14:paraId="57AFC7CB" w14:textId="77777777" w:rsidR="00B27BCB" w:rsidRDefault="00B27BCB" w:rsidP="00CF5394">
            <w:pPr>
              <w:pStyle w:val="Tabletext"/>
              <w:jc w:val="center"/>
            </w:pPr>
            <w:r>
              <w:t>Hemisferio oriental: sesiones de mañana</w:t>
            </w:r>
          </w:p>
          <w:p w14:paraId="0D909A08" w14:textId="77777777" w:rsidR="00B27BCB" w:rsidRPr="00B2067F" w:rsidRDefault="00B27BCB" w:rsidP="00CF5394">
            <w:pPr>
              <w:pStyle w:val="Tabletext"/>
              <w:jc w:val="center"/>
            </w:pPr>
            <w:r>
              <w:t>Hemisferio occidental: sesiones de tarde</w:t>
            </w:r>
          </w:p>
        </w:tc>
        <w:tc>
          <w:tcPr>
            <w:tcW w:w="1554" w:type="dxa"/>
            <w:tcBorders>
              <w:top w:val="single" w:sz="8" w:space="0" w:color="auto"/>
              <w:left w:val="single" w:sz="8" w:space="0" w:color="auto"/>
              <w:bottom w:val="single" w:sz="8" w:space="0" w:color="auto"/>
              <w:right w:val="single" w:sz="8" w:space="0" w:color="auto"/>
            </w:tcBorders>
          </w:tcPr>
          <w:p w14:paraId="7F71CBDE" w14:textId="77777777" w:rsidR="00B27BCB" w:rsidRPr="00B2067F" w:rsidRDefault="00B27BCB" w:rsidP="00CF5394">
            <w:pPr>
              <w:pStyle w:val="Tabletext"/>
              <w:jc w:val="center"/>
            </w:pPr>
          </w:p>
        </w:tc>
        <w:tc>
          <w:tcPr>
            <w:tcW w:w="1176" w:type="dxa"/>
            <w:tcBorders>
              <w:top w:val="single" w:sz="8" w:space="0" w:color="auto"/>
              <w:left w:val="single" w:sz="8" w:space="0" w:color="auto"/>
              <w:bottom w:val="single" w:sz="8" w:space="0" w:color="auto"/>
              <w:right w:val="single" w:sz="8" w:space="0" w:color="auto"/>
            </w:tcBorders>
            <w:hideMark/>
          </w:tcPr>
          <w:p w14:paraId="4BA6EEDF" w14:textId="3E2779EE" w:rsidR="00B27BCB" w:rsidRPr="00B2067F" w:rsidRDefault="00B27BCB" w:rsidP="00CF5394">
            <w:pPr>
              <w:pStyle w:val="Tabletext"/>
              <w:jc w:val="center"/>
            </w:pPr>
            <w:r>
              <w:t>24-28 de</w:t>
            </w:r>
            <w:r w:rsidR="00BC5D9D">
              <w:t> </w:t>
            </w:r>
            <w:r>
              <w:t>octubre</w:t>
            </w:r>
          </w:p>
        </w:tc>
        <w:tc>
          <w:tcPr>
            <w:tcW w:w="1048" w:type="dxa"/>
            <w:tcBorders>
              <w:top w:val="single" w:sz="8" w:space="0" w:color="auto"/>
              <w:left w:val="single" w:sz="8" w:space="0" w:color="auto"/>
              <w:bottom w:val="single" w:sz="8" w:space="0" w:color="auto"/>
              <w:right w:val="single" w:sz="8" w:space="0" w:color="auto"/>
            </w:tcBorders>
          </w:tcPr>
          <w:p w14:paraId="5E26B827" w14:textId="77777777" w:rsidR="00B27BCB" w:rsidRPr="00B2067F" w:rsidRDefault="00B27BCB" w:rsidP="00CF5394">
            <w:pPr>
              <w:pStyle w:val="Tabletext"/>
              <w:jc w:val="center"/>
            </w:pPr>
          </w:p>
        </w:tc>
      </w:tr>
    </w:tbl>
    <w:p w14:paraId="02EF4FFA" w14:textId="77777777" w:rsidR="00B27BCB" w:rsidRPr="00B2067F" w:rsidRDefault="00B27BCB" w:rsidP="00A928FF">
      <w:pPr>
        <w:spacing w:before="360"/>
      </w:pPr>
      <w:r w:rsidRPr="00B2067F">
        <w:lastRenderedPageBreak/>
        <w:t xml:space="preserve">Como en los ciclos anteriores y para </w:t>
      </w:r>
      <w:r>
        <w:t xml:space="preserve">optimizar </w:t>
      </w:r>
      <w:r w:rsidRPr="00B2067F">
        <w:t>los recursos necesarios, esta planificación responde a los siguientes principios:</w:t>
      </w:r>
    </w:p>
    <w:p w14:paraId="31DBEA8F" w14:textId="77777777" w:rsidR="00B27BCB" w:rsidRPr="009D5902" w:rsidRDefault="00B27BCB" w:rsidP="00B27BCB">
      <w:pPr>
        <w:pStyle w:val="enumlev1"/>
      </w:pPr>
      <w:r w:rsidRPr="009D5902">
        <w:t>–</w:t>
      </w:r>
      <w:r w:rsidRPr="009D5902">
        <w:tab/>
      </w:r>
      <w:r>
        <w:t>p</w:t>
      </w:r>
      <w:r w:rsidRPr="009D5902">
        <w:t>rimer semestre de 2020: no se celebraron SMR y SRR, actualización del RR y de las correspondientes herramientas informáticas;</w:t>
      </w:r>
    </w:p>
    <w:p w14:paraId="5CC24764" w14:textId="77777777" w:rsidR="00B27BCB" w:rsidRPr="009D5902" w:rsidRDefault="00B27BCB" w:rsidP="00B27BCB">
      <w:pPr>
        <w:pStyle w:val="enumlev1"/>
      </w:pPr>
      <w:r w:rsidRPr="009D5902">
        <w:t>–</w:t>
      </w:r>
      <w:r w:rsidRPr="009D5902">
        <w:tab/>
      </w:r>
      <w:r>
        <w:t>s</w:t>
      </w:r>
      <w:r w:rsidRPr="009D5902">
        <w:t>egundo semestre de 2023: no se celebran SMR y SRR, preparación de la CMR-23;</w:t>
      </w:r>
    </w:p>
    <w:p w14:paraId="2439B733" w14:textId="77777777" w:rsidR="00B27BCB" w:rsidRPr="009D5902" w:rsidRDefault="00B27BCB" w:rsidP="00B27BCB">
      <w:pPr>
        <w:pStyle w:val="enumlev1"/>
      </w:pPr>
      <w:r w:rsidRPr="009D5902">
        <w:t>–</w:t>
      </w:r>
      <w:r w:rsidRPr="009D5902">
        <w:tab/>
      </w:r>
      <w:r>
        <w:t>s</w:t>
      </w:r>
      <w:r w:rsidRPr="009D5902">
        <w:t xml:space="preserve">e celebrarán dos SMR por ciclo (cada </w:t>
      </w:r>
      <w:r>
        <w:t>dos</w:t>
      </w:r>
      <w:r w:rsidRPr="009D5902">
        <w:t xml:space="preserve"> años): SMR-20 y SMR-22;</w:t>
      </w:r>
    </w:p>
    <w:p w14:paraId="5535DA45" w14:textId="77777777" w:rsidR="00B27BCB" w:rsidRPr="009D5902" w:rsidRDefault="00B27BCB" w:rsidP="00B27BCB">
      <w:pPr>
        <w:pStyle w:val="enumlev1"/>
      </w:pPr>
      <w:r w:rsidRPr="009D5902">
        <w:t>–</w:t>
      </w:r>
      <w:r w:rsidRPr="009D5902">
        <w:tab/>
      </w:r>
      <w:r>
        <w:t>e</w:t>
      </w:r>
      <w:r w:rsidRPr="009D5902">
        <w:t xml:space="preserve">l primer SMR después de la CMR </w:t>
      </w:r>
      <w:r>
        <w:t xml:space="preserve">(SMR-20) </w:t>
      </w:r>
      <w:r w:rsidRPr="009D5902">
        <w:t>comprenderá una reunión específica dedicada a explicar en detalle las modificaciones del RR introducidas por la CMR;</w:t>
      </w:r>
    </w:p>
    <w:p w14:paraId="0E03727E" w14:textId="77777777" w:rsidR="00B27BCB" w:rsidRPr="009D5902" w:rsidRDefault="00B27BCB" w:rsidP="00B27BCB">
      <w:pPr>
        <w:pStyle w:val="enumlev1"/>
      </w:pPr>
      <w:r w:rsidRPr="009D5902">
        <w:t>–</w:t>
      </w:r>
      <w:r w:rsidRPr="009D5902">
        <w:tab/>
      </w:r>
      <w:r>
        <w:t>l</w:t>
      </w:r>
      <w:r w:rsidRPr="009D5902">
        <w:t>os dos SRR de África no tendrán lugar el mismo año que los SMR, dado que la participación en los SRR de África es casi el doble que en los demás SRR y que es preciso distribuir equitativamente el presupuesto para becas;</w:t>
      </w:r>
    </w:p>
    <w:p w14:paraId="354C150E" w14:textId="77777777" w:rsidR="00B27BCB" w:rsidRPr="009D5902" w:rsidRDefault="00B27BCB" w:rsidP="00B27BCB">
      <w:pPr>
        <w:pStyle w:val="enumlev1"/>
      </w:pPr>
      <w:r w:rsidRPr="009D5902">
        <w:t>–</w:t>
      </w:r>
      <w:r w:rsidRPr="009D5902">
        <w:tab/>
      </w:r>
      <w:r>
        <w:t>l</w:t>
      </w:r>
      <w:r w:rsidRPr="009D5902">
        <w:t>os SRR se celebrarán en el idioma predominante de la región, con el fin de reducir los costos de interpretación y facilitar el intercambio de información durante el evento;</w:t>
      </w:r>
    </w:p>
    <w:p w14:paraId="42D0864A" w14:textId="77777777" w:rsidR="00B27BCB" w:rsidRPr="009D5902" w:rsidRDefault="00B27BCB" w:rsidP="00B27BCB">
      <w:pPr>
        <w:pStyle w:val="enumlev1"/>
      </w:pPr>
      <w:r w:rsidRPr="009D5902">
        <w:t>–</w:t>
      </w:r>
      <w:r w:rsidRPr="009D5902">
        <w:tab/>
      </w:r>
      <w:r>
        <w:t>l</w:t>
      </w:r>
      <w:r w:rsidRPr="009D5902">
        <w:t>os programas de los SRR se ajustarán a las necesidades específicas de la región en cuestión;</w:t>
      </w:r>
    </w:p>
    <w:p w14:paraId="54BC944E" w14:textId="77777777" w:rsidR="00B27BCB" w:rsidRPr="009D5902" w:rsidRDefault="00B27BCB" w:rsidP="00B27BCB">
      <w:pPr>
        <w:pStyle w:val="enumlev1"/>
      </w:pPr>
      <w:r w:rsidRPr="009D5902">
        <w:t>–</w:t>
      </w:r>
      <w:r w:rsidRPr="009D5902">
        <w:tab/>
      </w:r>
      <w:r>
        <w:t>e</w:t>
      </w:r>
      <w:r w:rsidRPr="009D5902">
        <w:t xml:space="preserve">l último día o los últimos días de cada SRR </w:t>
      </w:r>
      <w:r w:rsidRPr="0061658F">
        <w:t>se dedicarán</w:t>
      </w:r>
      <w:r w:rsidRPr="009D5902">
        <w:t xml:space="preserve"> a una sesión de tipo foro, a la que podrá invitarse a oradores de otras regiones para ampliar el alcance de los debates (es</w:t>
      </w:r>
      <w:r>
        <w:t>os</w:t>
      </w:r>
      <w:r w:rsidRPr="009D5902">
        <w:t xml:space="preserve"> día</w:t>
      </w:r>
      <w:r>
        <w:t>s</w:t>
      </w:r>
      <w:r w:rsidRPr="009D5902">
        <w:t xml:space="preserve"> podría requerirse la prestación de servicios de interpretación desde o hacia el inglés).</w:t>
      </w:r>
    </w:p>
    <w:p w14:paraId="619262DA" w14:textId="77777777" w:rsidR="00B27BCB" w:rsidRPr="00B2067F" w:rsidRDefault="00B27BCB" w:rsidP="00B27BCB">
      <w:r w:rsidRPr="00B2067F">
        <w:t>La planificación anterior deberá coordinarse y ajustarse debidamente con las Oficinas Regionales (OR) de la UIT y los grupos regionales pertinentes, teniendo en cuenta los problemas que plantea la pandemia actual y los consiguientes cambios de formato (eventos en línea), así como las implicaciones que tienen para el personal de la UIT involucrado (BR, OR).</w:t>
      </w:r>
    </w:p>
    <w:p w14:paraId="47E74253" w14:textId="77777777" w:rsidR="00B27BCB" w:rsidRPr="00B2067F" w:rsidRDefault="00B27BCB" w:rsidP="00A928FF">
      <w:pPr>
        <w:pStyle w:val="Heading3"/>
      </w:pPr>
      <w:r w:rsidRPr="00B2067F">
        <w:t>8.2.1</w:t>
      </w:r>
      <w:r w:rsidRPr="00B2067F">
        <w:tab/>
        <w:t>Seminarios Mundiales de Radiocomunicaciones</w:t>
      </w:r>
    </w:p>
    <w:p w14:paraId="0DE85108" w14:textId="22BE4D8E" w:rsidR="00B27BCB" w:rsidRDefault="00B27BCB" w:rsidP="00A928FF">
      <w:pPr>
        <w:keepNext/>
        <w:keepLines/>
      </w:pPr>
      <w:r w:rsidRPr="00B2067F">
        <w:t>Como parte del ciclo de SMR y SRR para el periodo 2020-2023, el SMR-20 se celebró en diciembre de 2020</w:t>
      </w:r>
      <w:r>
        <w:t xml:space="preserve"> en formato virtual durante dos semanas, con sesiones plenarias durante la primera semana abiertas al público en general. En 2021 la Oficina depuró el contenido de las sesiones plenarias del SMR-20 y la puso a disposición en el sitio web del UIT-R en forma de seminario a la carta </w:t>
      </w:r>
      <w:r w:rsidR="008B0D3A">
        <w:t>«</w:t>
      </w:r>
      <w:r w:rsidRPr="008961DF">
        <w:t>Best of WRS20</w:t>
      </w:r>
      <w:r w:rsidR="008B0D3A">
        <w:t>»</w:t>
      </w:r>
      <w:r w:rsidRPr="008961DF">
        <w:t xml:space="preserve"> (BoWRS20</w:t>
      </w:r>
      <w:r>
        <w:t>) en</w:t>
      </w:r>
      <w:r w:rsidRPr="008961DF">
        <w:t xml:space="preserve"> </w:t>
      </w:r>
      <w:hyperlink r:id="rId40" w:history="1">
        <w:r w:rsidRPr="00C322E9">
          <w:rPr>
            <w:rStyle w:val="Hyperlink"/>
          </w:rPr>
          <w:t>https://www.itu.int/bestofwrs/</w:t>
        </w:r>
      </w:hyperlink>
      <w:r w:rsidRPr="008961DF">
        <w:t xml:space="preserve">. </w:t>
      </w:r>
      <w:r>
        <w:t>El sitio web</w:t>
      </w:r>
      <w:r w:rsidR="00B171FC">
        <w:t> </w:t>
      </w:r>
      <w:r>
        <w:t xml:space="preserve">BoWRS20 proporcionar una biblioteca digital que incluye toda la documentación y enlaces a las siguientes sesiones virtuales: </w:t>
      </w:r>
    </w:p>
    <w:p w14:paraId="5FC26E47" w14:textId="3C2ECD00" w:rsidR="00B27BCB" w:rsidRPr="008961DF" w:rsidRDefault="00B171FC" w:rsidP="00A928FF">
      <w:pPr>
        <w:pStyle w:val="enumlev1"/>
        <w:rPr>
          <w:lang w:val="es-ES"/>
        </w:rPr>
      </w:pPr>
      <w:r w:rsidRPr="00B171FC">
        <w:rPr>
          <w:lang w:val="es-ES"/>
        </w:rPr>
        <w:t>•</w:t>
      </w:r>
      <w:r w:rsidR="00A928FF">
        <w:rPr>
          <w:lang w:val="es-ES"/>
        </w:rPr>
        <w:tab/>
      </w:r>
      <w:r w:rsidR="00B27BCB" w:rsidRPr="008961DF">
        <w:rPr>
          <w:lang w:val="es-ES"/>
        </w:rPr>
        <w:t>Reglamento de Radiocomunicaciones</w:t>
      </w:r>
    </w:p>
    <w:p w14:paraId="410D82D8" w14:textId="5C8C8DBE" w:rsidR="00B27BCB" w:rsidRPr="008961DF" w:rsidRDefault="00B171FC" w:rsidP="00A928FF">
      <w:pPr>
        <w:pStyle w:val="enumlev1"/>
        <w:rPr>
          <w:lang w:val="es-ES"/>
        </w:rPr>
      </w:pPr>
      <w:r w:rsidRPr="00B171FC">
        <w:rPr>
          <w:lang w:val="es-ES"/>
        </w:rPr>
        <w:t>•</w:t>
      </w:r>
      <w:r w:rsidR="00A928FF">
        <w:rPr>
          <w:lang w:val="es-ES"/>
        </w:rPr>
        <w:tab/>
      </w:r>
      <w:r w:rsidR="00B27BCB" w:rsidRPr="008961DF">
        <w:rPr>
          <w:lang w:val="es-ES"/>
        </w:rPr>
        <w:t>Servicios Terrenales</w:t>
      </w:r>
    </w:p>
    <w:p w14:paraId="3E616545" w14:textId="3F824FEB" w:rsidR="00B27BCB" w:rsidRPr="008961DF" w:rsidRDefault="00B171FC" w:rsidP="00A928FF">
      <w:pPr>
        <w:pStyle w:val="enumlev1"/>
        <w:rPr>
          <w:lang w:val="es-ES"/>
        </w:rPr>
      </w:pPr>
      <w:r w:rsidRPr="00B171FC">
        <w:rPr>
          <w:lang w:val="es-ES"/>
        </w:rPr>
        <w:t>•</w:t>
      </w:r>
      <w:r w:rsidR="00A928FF">
        <w:rPr>
          <w:lang w:val="es-ES"/>
        </w:rPr>
        <w:tab/>
      </w:r>
      <w:r w:rsidR="00B27BCB" w:rsidRPr="008961DF">
        <w:rPr>
          <w:lang w:val="es-ES"/>
        </w:rPr>
        <w:t>Servicios Espaciales</w:t>
      </w:r>
    </w:p>
    <w:p w14:paraId="3976E8E0" w14:textId="61FC51AE" w:rsidR="00B27BCB" w:rsidRPr="008961DF" w:rsidRDefault="00B171FC" w:rsidP="00A928FF">
      <w:pPr>
        <w:pStyle w:val="enumlev1"/>
        <w:rPr>
          <w:lang w:val="es-ES"/>
        </w:rPr>
      </w:pPr>
      <w:r w:rsidRPr="00B171FC">
        <w:rPr>
          <w:lang w:val="es-ES"/>
        </w:rPr>
        <w:t>•</w:t>
      </w:r>
      <w:r w:rsidR="00A928FF">
        <w:rPr>
          <w:lang w:val="es-ES"/>
        </w:rPr>
        <w:tab/>
      </w:r>
      <w:r w:rsidR="00B27BCB" w:rsidRPr="008961DF">
        <w:rPr>
          <w:lang w:val="es-ES"/>
        </w:rPr>
        <w:t>Comisiones de Estudio del UIT-R</w:t>
      </w:r>
      <w:r>
        <w:rPr>
          <w:lang w:val="es-ES"/>
        </w:rPr>
        <w:t>.</w:t>
      </w:r>
    </w:p>
    <w:p w14:paraId="21D0A6EE" w14:textId="3241E301" w:rsidR="00B27BCB" w:rsidRDefault="00B27BCB" w:rsidP="00B27BCB">
      <w:r>
        <w:t xml:space="preserve">Cada sesión virtual permite acceder a los </w:t>
      </w:r>
      <w:r w:rsidR="008B0D3A">
        <w:t>vídeo</w:t>
      </w:r>
      <w:r>
        <w:t xml:space="preserve">s de las sesiones en los seis idiomas de la UIT así como descargar las presentaciones del SMR-20. Además, en el sitio </w:t>
      </w:r>
      <w:r w:rsidR="008B0D3A">
        <w:t>«</w:t>
      </w:r>
      <w:r>
        <w:t>Best of WRS20</w:t>
      </w:r>
      <w:r w:rsidR="008B0D3A">
        <w:t>»</w:t>
      </w:r>
      <w:r>
        <w:t xml:space="preserve"> también puede visualizarse la sesión de apertura de la Red de mujeres para la CMR-23 (NOW4WRC23). Para facilitar la reutilización y redistribución de </w:t>
      </w:r>
      <w:r w:rsidR="008B0D3A">
        <w:t>«</w:t>
      </w:r>
      <w:r>
        <w:t>Best of</w:t>
      </w:r>
      <w:r w:rsidR="008B0D3A">
        <w:t>»</w:t>
      </w:r>
      <w:r>
        <w:t xml:space="preserve"> todo el material del sitio web tiene una licencia </w:t>
      </w:r>
      <w:r w:rsidRPr="00975509">
        <w:t>Creat</w:t>
      </w:r>
      <w:r>
        <w:t>ive Commons Attribution 3.0 IGO.</w:t>
      </w:r>
    </w:p>
    <w:p w14:paraId="5CA0ABDC" w14:textId="77777777" w:rsidR="00B27BCB" w:rsidRPr="00B2067F" w:rsidRDefault="00B27BCB" w:rsidP="00B27BCB">
      <w:pPr>
        <w:pStyle w:val="Heading3"/>
      </w:pPr>
      <w:r w:rsidRPr="00B2067F">
        <w:t>8.2.2</w:t>
      </w:r>
      <w:r w:rsidRPr="00B2067F">
        <w:tab/>
        <w:t>Seminarios Regionales de Radiocomunicaciones</w:t>
      </w:r>
    </w:p>
    <w:p w14:paraId="1AEE07FE" w14:textId="77777777" w:rsidR="00B27BCB" w:rsidRPr="00B2067F" w:rsidRDefault="00B27BCB" w:rsidP="00B27BCB">
      <w:r w:rsidRPr="00B2067F">
        <w:t xml:space="preserve">A fin de complementar los Seminarios Mundiales de Radiocomunicaciones de carácter bienal, la BR mantuvo su estrategia de divulgación regional mediante la organización de Seminarios Regionales de Radiocomunicaciones (SRR), con el objetivo de visitar todas las regiones en desarrollo del mundo e impulsar la creación de capacidad en materia de utilización del espectro de </w:t>
      </w:r>
      <w:r w:rsidRPr="00B2067F">
        <w:lastRenderedPageBreak/>
        <w:t>radiofrecuencias y las órbitas de los satélites y, en particular, de aplicación de las disposiciones del Reglamento de Radiocomunicaciones de la UIT.</w:t>
      </w:r>
    </w:p>
    <w:p w14:paraId="38B5526C" w14:textId="77777777" w:rsidR="00B27BCB" w:rsidRPr="00B2067F" w:rsidRDefault="00B27BCB" w:rsidP="00B27BCB">
      <w:r w:rsidRPr="00B2067F">
        <w:t xml:space="preserve">Los SRR se organizan </w:t>
      </w:r>
      <w:r>
        <w:t xml:space="preserve">conjuntamente </w:t>
      </w:r>
      <w:r w:rsidRPr="00B2067F">
        <w:t>con las autoridades de gestión del espectro de los países anfitriones, en estrecha colaboración con las organizaciones regionales pertinentes y las Oficinas Regionales y/o Zona</w:t>
      </w:r>
      <w:r>
        <w:t>les</w:t>
      </w:r>
      <w:r w:rsidRPr="00B2067F">
        <w:t xml:space="preserve"> de la UIT. Su orden del día incluye dos días de sesiones teóricas y uno o dos días de talleres sobre servicios terrenales y espaciales</w:t>
      </w:r>
      <w:r>
        <w:t xml:space="preserve">. Se </w:t>
      </w:r>
      <w:r w:rsidRPr="00B2067F">
        <w:t>complementan con un foro de uno o dos días dedicado a temas relacionados con el espectro que revisten una importancia particular para la región correspondiente.</w:t>
      </w:r>
    </w:p>
    <w:p w14:paraId="1F27C716" w14:textId="77777777" w:rsidR="00B27BCB" w:rsidRDefault="00B27BCB" w:rsidP="00B27BCB">
      <w:pPr>
        <w:keepNext/>
        <w:keepLines/>
      </w:pPr>
      <w:r w:rsidRPr="00B2067F">
        <w:t>En 202</w:t>
      </w:r>
      <w:r>
        <w:t>1</w:t>
      </w:r>
      <w:r w:rsidRPr="00B2067F">
        <w:t xml:space="preserve">, se organizaron los </w:t>
      </w:r>
      <w:r>
        <w:t xml:space="preserve">tres </w:t>
      </w:r>
      <w:r w:rsidRPr="00B2067F">
        <w:t>SRR siguientes:</w:t>
      </w:r>
    </w:p>
    <w:p w14:paraId="540D6644" w14:textId="77777777" w:rsidR="00B27BCB" w:rsidRPr="00B2067F" w:rsidRDefault="00B27BCB" w:rsidP="00743D37">
      <w:pPr>
        <w:pStyle w:val="Headingb"/>
        <w:ind w:left="794" w:hanging="794"/>
      </w:pPr>
      <w:r w:rsidRPr="00E45388">
        <w:t>•</w:t>
      </w:r>
      <w:r w:rsidRPr="00E45388">
        <w:tab/>
        <w:t>Seminario Regional de Radiocomunicaciones de la UIT para la Región de las Américas 2021 (SRR-21-Américas)</w:t>
      </w:r>
    </w:p>
    <w:p w14:paraId="21191F4A" w14:textId="77777777" w:rsidR="00B27BCB" w:rsidRPr="009D5A34" w:rsidRDefault="00B27BCB" w:rsidP="00B27BCB">
      <w:pPr>
        <w:rPr>
          <w:lang w:val="es-ES"/>
        </w:rPr>
      </w:pPr>
      <w:r w:rsidRPr="009D5A34">
        <w:rPr>
          <w:lang w:val="es-ES"/>
        </w:rPr>
        <w:t>El Seminario Regional de Radiocomunicaciones 2021 de la UIT para la Región de las Américas (SRR-21</w:t>
      </w:r>
      <w:r>
        <w:rPr>
          <w:lang w:val="es-ES"/>
        </w:rPr>
        <w:t>-</w:t>
      </w:r>
      <w:r w:rsidRPr="009D5A34">
        <w:rPr>
          <w:lang w:val="es-ES"/>
        </w:rPr>
        <w:t>Américas) fue organizado por la UIT (</w:t>
      </w:r>
      <w:r>
        <w:rPr>
          <w:lang w:val="es-ES"/>
        </w:rPr>
        <w:t xml:space="preserve">la </w:t>
      </w:r>
      <w:r w:rsidRPr="009D5A34">
        <w:rPr>
          <w:lang w:val="es-ES"/>
        </w:rPr>
        <w:t xml:space="preserve">BR y la Oficina de las Américas) en colaboración con la Comisión Interamericana de Telecomunicaciones (CITEL) y la Agencia Nacional del Espectro de Colombia (ANE) del 26 de abril al 7 de mayo de 2021. El Seminario se celebró en formato virtual con una sesión diaria de </w:t>
      </w:r>
      <w:r>
        <w:rPr>
          <w:lang w:val="es-ES"/>
        </w:rPr>
        <w:t>tres</w:t>
      </w:r>
      <w:r w:rsidRPr="009D5A34">
        <w:rPr>
          <w:lang w:val="es-ES"/>
        </w:rPr>
        <w:t xml:space="preserve"> horas durante los días laborables únicamente.</w:t>
      </w:r>
    </w:p>
    <w:p w14:paraId="5BD21287" w14:textId="77777777" w:rsidR="00B27BCB" w:rsidRPr="00511776" w:rsidRDefault="00B27BCB" w:rsidP="00B27BCB">
      <w:pPr>
        <w:rPr>
          <w:lang w:val="es-ES"/>
        </w:rPr>
      </w:pPr>
      <w:r w:rsidRPr="00511776">
        <w:rPr>
          <w:lang w:val="es-ES"/>
        </w:rPr>
        <w:t xml:space="preserve">Se utilizó una licencia de Zoom de la UIT para realizar la reunión </w:t>
      </w:r>
      <w:r>
        <w:rPr>
          <w:lang w:val="es-ES"/>
        </w:rPr>
        <w:t>virtual</w:t>
      </w:r>
      <w:r w:rsidRPr="00511776">
        <w:rPr>
          <w:lang w:val="es-ES"/>
        </w:rPr>
        <w:t xml:space="preserve">. </w:t>
      </w:r>
      <w:r>
        <w:rPr>
          <w:lang w:val="es-ES"/>
        </w:rPr>
        <w:t>Habida</w:t>
      </w:r>
      <w:r w:rsidRPr="00511776">
        <w:rPr>
          <w:lang w:val="es-ES"/>
        </w:rPr>
        <w:t xml:space="preserve"> cuenta </w:t>
      </w:r>
      <w:r>
        <w:rPr>
          <w:lang w:val="es-ES"/>
        </w:rPr>
        <w:t xml:space="preserve">de </w:t>
      </w:r>
      <w:r w:rsidRPr="00511776">
        <w:rPr>
          <w:lang w:val="es-ES"/>
        </w:rPr>
        <w:t xml:space="preserve">la diferencia horaria, las sesiones se llevaron a cabo de </w:t>
      </w:r>
      <w:r>
        <w:rPr>
          <w:lang w:val="es-ES"/>
        </w:rPr>
        <w:t>08.</w:t>
      </w:r>
      <w:r w:rsidRPr="00511776">
        <w:rPr>
          <w:lang w:val="es-ES"/>
        </w:rPr>
        <w:t>00 a 1</w:t>
      </w:r>
      <w:r>
        <w:rPr>
          <w:lang w:val="es-ES"/>
        </w:rPr>
        <w:t>1.</w:t>
      </w:r>
      <w:r w:rsidRPr="00511776">
        <w:rPr>
          <w:lang w:val="es-ES"/>
        </w:rPr>
        <w:t xml:space="preserve">15 </w:t>
      </w:r>
      <w:r>
        <w:rPr>
          <w:lang w:val="es-ES"/>
        </w:rPr>
        <w:t xml:space="preserve">horas </w:t>
      </w:r>
      <w:r w:rsidRPr="00511776">
        <w:rPr>
          <w:lang w:val="es-ES"/>
        </w:rPr>
        <w:t xml:space="preserve">(UTC </w:t>
      </w:r>
      <w:r w:rsidRPr="00E45388">
        <w:rPr>
          <w:lang w:val="es-ES"/>
        </w:rPr>
        <w:t>–</w:t>
      </w:r>
      <w:r w:rsidRPr="00511776">
        <w:rPr>
          <w:lang w:val="es-ES"/>
        </w:rPr>
        <w:t xml:space="preserve">5H), es decir, de </w:t>
      </w:r>
      <w:r>
        <w:rPr>
          <w:lang w:val="es-ES"/>
        </w:rPr>
        <w:t>14.</w:t>
      </w:r>
      <w:r w:rsidRPr="00511776">
        <w:rPr>
          <w:lang w:val="es-ES"/>
        </w:rPr>
        <w:t xml:space="preserve">00 a </w:t>
      </w:r>
      <w:r>
        <w:rPr>
          <w:lang w:val="es-ES"/>
        </w:rPr>
        <w:t>17.</w:t>
      </w:r>
      <w:r w:rsidRPr="00511776">
        <w:rPr>
          <w:lang w:val="es-ES"/>
        </w:rPr>
        <w:t>15 hora</w:t>
      </w:r>
      <w:r>
        <w:rPr>
          <w:lang w:val="es-ES"/>
        </w:rPr>
        <w:t>s, hora</w:t>
      </w:r>
      <w:r w:rsidRPr="00511776">
        <w:rPr>
          <w:lang w:val="es-ES"/>
        </w:rPr>
        <w:t xml:space="preserve"> de Ginebra.</w:t>
      </w:r>
    </w:p>
    <w:p w14:paraId="251DAB2C" w14:textId="77777777" w:rsidR="00B27BCB" w:rsidRDefault="00B27BCB" w:rsidP="00B27BCB">
      <w:pPr>
        <w:rPr>
          <w:lang w:val="es-ES"/>
        </w:rPr>
      </w:pPr>
      <w:r w:rsidRPr="00511776">
        <w:rPr>
          <w:lang w:val="es-ES"/>
        </w:rPr>
        <w:t>Las conferencias y los debates durante el SRR-21</w:t>
      </w:r>
      <w:r>
        <w:rPr>
          <w:lang w:val="es-ES"/>
        </w:rPr>
        <w:t>-</w:t>
      </w:r>
      <w:r w:rsidRPr="00511776">
        <w:rPr>
          <w:lang w:val="es-ES"/>
        </w:rPr>
        <w:t xml:space="preserve">Américas se realizaron en español, excepto para algunos materiales, como las presentaciones y las herramientas de </w:t>
      </w:r>
      <w:r w:rsidRPr="004508E8">
        <w:rPr>
          <w:i/>
          <w:iCs/>
          <w:lang w:val="es-ES"/>
        </w:rPr>
        <w:t>software</w:t>
      </w:r>
      <w:r w:rsidRPr="00511776">
        <w:rPr>
          <w:lang w:val="es-ES"/>
        </w:rPr>
        <w:t>, que sólo estaban disponibles en inglés.</w:t>
      </w:r>
    </w:p>
    <w:p w14:paraId="7E3C808F" w14:textId="77777777" w:rsidR="00B27BCB" w:rsidRDefault="00B27BCB" w:rsidP="00B27BCB">
      <w:pPr>
        <w:rPr>
          <w:lang w:val="es-ES"/>
        </w:rPr>
      </w:pPr>
      <w:r w:rsidRPr="003A25D0">
        <w:t xml:space="preserve">El Seminario incluyó sesiones plenarias y tutorías sobre el proceso de coordinación y notificación. El SRR-21-Américas concluyó con un </w:t>
      </w:r>
      <w:r>
        <w:t>f</w:t>
      </w:r>
      <w:r w:rsidRPr="003A25D0">
        <w:t xml:space="preserve">oro de </w:t>
      </w:r>
      <w:r>
        <w:t>cuatro</w:t>
      </w:r>
      <w:r w:rsidRPr="003A25D0">
        <w:t xml:space="preserve"> medias jornadas sobre </w:t>
      </w:r>
      <w:r w:rsidRPr="003A25D0">
        <w:rPr>
          <w:i/>
          <w:iCs/>
        </w:rPr>
        <w:t>«</w:t>
      </w:r>
      <w:r w:rsidRPr="00E45388">
        <w:t>Técnicas modernas de gestión del espectro en la región</w:t>
      </w:r>
      <w:r w:rsidRPr="003A25D0">
        <w:t>», que reunió a las principales partes interesadas de la región. Los temas tratados incluyeron, entre otros, los siguientes: nuevas tendencias en radiodifusión de audio, mini y</w:t>
      </w:r>
      <w:r w:rsidRPr="00DB6B2E">
        <w:rPr>
          <w:lang w:val="es-ES"/>
        </w:rPr>
        <w:t xml:space="preserve"> micro satélites, </w:t>
      </w:r>
      <w:r>
        <w:rPr>
          <w:lang w:val="es-ES"/>
        </w:rPr>
        <w:t>planes n</w:t>
      </w:r>
      <w:r w:rsidRPr="00DB6B2E">
        <w:rPr>
          <w:lang w:val="es-ES"/>
        </w:rPr>
        <w:t>acional</w:t>
      </w:r>
      <w:r>
        <w:rPr>
          <w:lang w:val="es-ES"/>
        </w:rPr>
        <w:t>es</w:t>
      </w:r>
      <w:r w:rsidRPr="00DB6B2E">
        <w:rPr>
          <w:lang w:val="es-ES"/>
        </w:rPr>
        <w:t xml:space="preserve"> de </w:t>
      </w:r>
      <w:r>
        <w:rPr>
          <w:lang w:val="es-ES"/>
        </w:rPr>
        <w:t>c</w:t>
      </w:r>
      <w:r w:rsidRPr="00DB6B2E">
        <w:rPr>
          <w:lang w:val="es-ES"/>
        </w:rPr>
        <w:t xml:space="preserve">omunicaciones de </w:t>
      </w:r>
      <w:r>
        <w:rPr>
          <w:lang w:val="es-ES"/>
        </w:rPr>
        <w:t>e</w:t>
      </w:r>
      <w:r w:rsidRPr="00DB6B2E">
        <w:rPr>
          <w:lang w:val="es-ES"/>
        </w:rPr>
        <w:t xml:space="preserve">mergencia, nuevos sensores y bandas de frecuencias más altas para los modernos sistemas de comprobación técnica del espectro, política de precios del espectro 5G, modelos para la concesión de licencias del espectro, así como las tendencias y los desafíos de los sistemas de radiocomunicaciones cognitivos y los sistemas de radiocomunicaciones definidos por </w:t>
      </w:r>
      <w:r w:rsidRPr="004508E8">
        <w:rPr>
          <w:i/>
          <w:iCs/>
          <w:lang w:val="es-ES"/>
        </w:rPr>
        <w:t>software</w:t>
      </w:r>
      <w:r w:rsidRPr="00DB6B2E">
        <w:rPr>
          <w:lang w:val="es-ES"/>
        </w:rPr>
        <w:t xml:space="preserve">. El seminario concluyó con una mesa redonda sobre el alcance regional de los resultados de la CMR-19 y los retos del </w:t>
      </w:r>
      <w:r>
        <w:rPr>
          <w:lang w:val="es-ES"/>
        </w:rPr>
        <w:t>orden del día</w:t>
      </w:r>
      <w:r w:rsidRPr="00DB6B2E">
        <w:rPr>
          <w:lang w:val="es-ES"/>
        </w:rPr>
        <w:t xml:space="preserve"> de la</w:t>
      </w:r>
      <w:r>
        <w:rPr>
          <w:lang w:val="es-ES"/>
        </w:rPr>
        <w:t> </w:t>
      </w:r>
      <w:r w:rsidRPr="00DB6B2E">
        <w:rPr>
          <w:lang w:val="es-ES"/>
        </w:rPr>
        <w:t>CMR-23</w:t>
      </w:r>
      <w:r>
        <w:rPr>
          <w:lang w:val="es-ES"/>
        </w:rPr>
        <w:t>.</w:t>
      </w:r>
    </w:p>
    <w:p w14:paraId="721CFC63" w14:textId="77777777" w:rsidR="00B27BCB" w:rsidRPr="00511776" w:rsidRDefault="00B27BCB" w:rsidP="00B27BCB">
      <w:pPr>
        <w:rPr>
          <w:lang w:val="es-ES"/>
        </w:rPr>
      </w:pPr>
      <w:r w:rsidRPr="00DB6B2E">
        <w:rPr>
          <w:lang w:val="es-ES"/>
        </w:rPr>
        <w:t>El evento contó con más de 240 participantes de 49 entidades, incluidos 22 países de la Región de las Américas, lo que demuestra el gran éxito del mismo.</w:t>
      </w:r>
    </w:p>
    <w:p w14:paraId="5D0B4757" w14:textId="77777777" w:rsidR="00B27BCB" w:rsidRPr="00874F33" w:rsidRDefault="00B27BCB" w:rsidP="00874F33">
      <w:pPr>
        <w:pStyle w:val="Headingb"/>
        <w:ind w:left="794" w:hanging="794"/>
        <w:rPr>
          <w:rFonts w:eastAsiaTheme="minorEastAsia"/>
        </w:rPr>
      </w:pPr>
      <w:r w:rsidRPr="00874F33">
        <w:t>•</w:t>
      </w:r>
      <w:r w:rsidRPr="00874F33">
        <w:tab/>
        <w:t>Seminario Regional de Radiocomunicaciones de la UIT de 2021 para África (SRR</w:t>
      </w:r>
      <w:r w:rsidRPr="00874F33">
        <w:noBreakHyphen/>
        <w:t>21</w:t>
      </w:r>
      <w:r w:rsidRPr="00874F33">
        <w:noBreakHyphen/>
        <w:t>África)</w:t>
      </w:r>
    </w:p>
    <w:p w14:paraId="14BCCBAB" w14:textId="77777777" w:rsidR="00B27BCB" w:rsidRPr="00DB1608" w:rsidRDefault="00B27BCB" w:rsidP="00B27BCB">
      <w:pPr>
        <w:rPr>
          <w:lang w:val="es-ES"/>
        </w:rPr>
      </w:pPr>
      <w:r w:rsidRPr="00DB1608">
        <w:rPr>
          <w:lang w:val="es-ES"/>
        </w:rPr>
        <w:t>El Seminario Regional de Radiocomunicaciones 2021 para África (SRR-21-África) fue organizado por la UIT (</w:t>
      </w:r>
      <w:r>
        <w:rPr>
          <w:lang w:val="es-ES"/>
        </w:rPr>
        <w:t xml:space="preserve">la </w:t>
      </w:r>
      <w:r w:rsidRPr="00DB1608">
        <w:rPr>
          <w:lang w:val="es-ES"/>
        </w:rPr>
        <w:t xml:space="preserve">BR y </w:t>
      </w:r>
      <w:r>
        <w:rPr>
          <w:lang w:val="es-ES"/>
        </w:rPr>
        <w:t xml:space="preserve">la </w:t>
      </w:r>
      <w:r w:rsidRPr="00DB1608">
        <w:rPr>
          <w:lang w:val="es-ES"/>
        </w:rPr>
        <w:t xml:space="preserve">Oficina de África) en cooperación con la Unión Africana de Telecomunicaciones (UAT) del 5 al 16 de julio de 2021. El Seminario se celebró en formato </w:t>
      </w:r>
      <w:r w:rsidRPr="0061658F">
        <w:rPr>
          <w:lang w:val="es-ES"/>
        </w:rPr>
        <w:t>en línea</w:t>
      </w:r>
      <w:r w:rsidRPr="00DB1608">
        <w:rPr>
          <w:lang w:val="es-ES"/>
        </w:rPr>
        <w:t xml:space="preserve"> con sesiones diarias de </w:t>
      </w:r>
      <w:r>
        <w:rPr>
          <w:lang w:val="es-ES"/>
        </w:rPr>
        <w:t>tres</w:t>
      </w:r>
      <w:r w:rsidRPr="00DB1608">
        <w:rPr>
          <w:lang w:val="es-ES"/>
        </w:rPr>
        <w:t xml:space="preserve"> horas sólo durante los días laborables.</w:t>
      </w:r>
    </w:p>
    <w:p w14:paraId="29DE2AA7" w14:textId="7EE4341D" w:rsidR="00B27BCB" w:rsidRPr="00DB1608" w:rsidRDefault="00B27BCB" w:rsidP="00B27BCB">
      <w:pPr>
        <w:rPr>
          <w:lang w:val="es-ES"/>
        </w:rPr>
      </w:pPr>
      <w:r w:rsidRPr="00DB1608">
        <w:rPr>
          <w:lang w:val="es-ES"/>
        </w:rPr>
        <w:t xml:space="preserve">Se utilizó una licencia de Zoom de la UIT para realizar la reunión </w:t>
      </w:r>
      <w:r>
        <w:rPr>
          <w:lang w:val="es-ES"/>
        </w:rPr>
        <w:t>virtual</w:t>
      </w:r>
      <w:r w:rsidRPr="00DB1608">
        <w:rPr>
          <w:lang w:val="es-ES"/>
        </w:rPr>
        <w:t xml:space="preserve">. Habida cuenta de la diferencia horaria, las sesiones se llevaron a cabo de </w:t>
      </w:r>
      <w:r>
        <w:rPr>
          <w:lang w:val="es-ES"/>
        </w:rPr>
        <w:t>10.</w:t>
      </w:r>
      <w:r w:rsidRPr="00DB1608">
        <w:rPr>
          <w:lang w:val="es-ES"/>
        </w:rPr>
        <w:t>00 a 1</w:t>
      </w:r>
      <w:r>
        <w:rPr>
          <w:lang w:val="es-ES"/>
        </w:rPr>
        <w:t>3.15 horas</w:t>
      </w:r>
      <w:r w:rsidRPr="00DB1608">
        <w:rPr>
          <w:lang w:val="es-ES"/>
        </w:rPr>
        <w:t xml:space="preserve"> (UTC </w:t>
      </w:r>
      <w:r>
        <w:rPr>
          <w:lang w:val="es-ES"/>
        </w:rPr>
        <w:t>+2</w:t>
      </w:r>
      <w:r w:rsidRPr="00DB1608">
        <w:rPr>
          <w:lang w:val="es-ES"/>
        </w:rPr>
        <w:t>H), es decir, de</w:t>
      </w:r>
      <w:r w:rsidR="00874F33">
        <w:rPr>
          <w:lang w:val="es-ES"/>
        </w:rPr>
        <w:t> </w:t>
      </w:r>
      <w:r w:rsidRPr="00DB1608">
        <w:rPr>
          <w:lang w:val="es-ES"/>
        </w:rPr>
        <w:t>1</w:t>
      </w:r>
      <w:r>
        <w:rPr>
          <w:lang w:val="es-ES"/>
        </w:rPr>
        <w:t>2.</w:t>
      </w:r>
      <w:r w:rsidRPr="00DB1608">
        <w:rPr>
          <w:lang w:val="es-ES"/>
        </w:rPr>
        <w:t xml:space="preserve">00 a </w:t>
      </w:r>
      <w:r>
        <w:rPr>
          <w:lang w:val="es-ES"/>
        </w:rPr>
        <w:t>15.15</w:t>
      </w:r>
      <w:r w:rsidRPr="00DB1608">
        <w:rPr>
          <w:lang w:val="es-ES"/>
        </w:rPr>
        <w:t xml:space="preserve"> hora</w:t>
      </w:r>
      <w:r>
        <w:rPr>
          <w:lang w:val="es-ES"/>
        </w:rPr>
        <w:t>s, hora</w:t>
      </w:r>
      <w:r w:rsidRPr="00DB1608">
        <w:rPr>
          <w:lang w:val="es-ES"/>
        </w:rPr>
        <w:t xml:space="preserve"> de Ginebra.</w:t>
      </w:r>
    </w:p>
    <w:p w14:paraId="4B16FFBD" w14:textId="77777777" w:rsidR="00B27BCB" w:rsidRPr="00DB1608" w:rsidRDefault="00B27BCB" w:rsidP="00B27BCB">
      <w:pPr>
        <w:rPr>
          <w:lang w:val="es-ES"/>
        </w:rPr>
      </w:pPr>
      <w:r w:rsidRPr="00DB1608">
        <w:rPr>
          <w:lang w:val="es-ES"/>
        </w:rPr>
        <w:lastRenderedPageBreak/>
        <w:t>Las conferencias y los debates durante el SRR-21-</w:t>
      </w:r>
      <w:r>
        <w:rPr>
          <w:lang w:val="es-ES"/>
        </w:rPr>
        <w:t>África</w:t>
      </w:r>
      <w:r w:rsidRPr="00DB1608">
        <w:rPr>
          <w:lang w:val="es-ES"/>
        </w:rPr>
        <w:t xml:space="preserve"> se realizaron</w:t>
      </w:r>
      <w:r>
        <w:rPr>
          <w:lang w:val="es-ES"/>
        </w:rPr>
        <w:t xml:space="preserve"> en</w:t>
      </w:r>
      <w:r w:rsidRPr="00DB1608">
        <w:rPr>
          <w:lang w:val="es-ES"/>
        </w:rPr>
        <w:t xml:space="preserve"> </w:t>
      </w:r>
      <w:r>
        <w:rPr>
          <w:lang w:val="es-ES"/>
        </w:rPr>
        <w:t>inglés</w:t>
      </w:r>
      <w:r w:rsidRPr="00DB1608">
        <w:rPr>
          <w:lang w:val="es-ES"/>
        </w:rPr>
        <w:t xml:space="preserve"> </w:t>
      </w:r>
      <w:r>
        <w:rPr>
          <w:lang w:val="es-ES"/>
        </w:rPr>
        <w:t>y francés</w:t>
      </w:r>
      <w:r w:rsidRPr="00DB1608">
        <w:rPr>
          <w:lang w:val="es-ES"/>
        </w:rPr>
        <w:t xml:space="preserve">, </w:t>
      </w:r>
      <w:r>
        <w:rPr>
          <w:lang w:val="es-ES"/>
        </w:rPr>
        <w:t>con interpretación simultánea</w:t>
      </w:r>
      <w:r w:rsidRPr="00DB1608">
        <w:rPr>
          <w:lang w:val="es-ES"/>
        </w:rPr>
        <w:t>.</w:t>
      </w:r>
    </w:p>
    <w:p w14:paraId="4C5DE2E8" w14:textId="77777777" w:rsidR="00B27BCB" w:rsidRDefault="00B27BCB" w:rsidP="00B27BCB">
      <w:pPr>
        <w:rPr>
          <w:lang w:val="es-ES"/>
        </w:rPr>
      </w:pPr>
      <w:r>
        <w:rPr>
          <w:lang w:val="es-ES"/>
        </w:rPr>
        <w:t>L</w:t>
      </w:r>
      <w:r w:rsidRPr="003F1C8C">
        <w:rPr>
          <w:lang w:val="es-ES"/>
        </w:rPr>
        <w:t xml:space="preserve">a primera </w:t>
      </w:r>
      <w:r>
        <w:rPr>
          <w:lang w:val="es-ES"/>
        </w:rPr>
        <w:t>parte del Seminario abarcó la gestión del espectro</w:t>
      </w:r>
      <w:r w:rsidRPr="003F1C8C">
        <w:rPr>
          <w:lang w:val="es-ES"/>
        </w:rPr>
        <w:t xml:space="preserve">, </w:t>
      </w:r>
      <w:r>
        <w:rPr>
          <w:lang w:val="es-ES"/>
        </w:rPr>
        <w:t xml:space="preserve">el </w:t>
      </w:r>
      <w:r w:rsidRPr="003F1C8C">
        <w:rPr>
          <w:lang w:val="es-ES"/>
        </w:rPr>
        <w:t>Registro Internacional de Frecuencias</w:t>
      </w:r>
      <w:r>
        <w:rPr>
          <w:lang w:val="es-ES"/>
        </w:rPr>
        <w:t xml:space="preserve"> (MIFR), el Reglamento de Radiocomunicaciones, la Conferencia Mundial de Radiocomunicaciones, la Asamblea de Radiocomunicaciones y el orden del día de la CMR-23. También incluyó formación práctica sobre las herramientas de la UIT para las notificaciones de frecuencias, así como información sobre las actividades de gestión del espectro llevadas a cabo por la BR y la </w:t>
      </w:r>
      <w:r w:rsidRPr="0061658F">
        <w:rPr>
          <w:lang w:val="es-ES"/>
        </w:rPr>
        <w:t>Oficina de Desarrollo de las Telecomunicaciones</w:t>
      </w:r>
      <w:r w:rsidRPr="00E45388">
        <w:rPr>
          <w:lang w:val="es-ES"/>
        </w:rPr>
        <w:t xml:space="preserve"> </w:t>
      </w:r>
      <w:r w:rsidRPr="0079413B">
        <w:rPr>
          <w:lang w:val="es-ES"/>
        </w:rPr>
        <w:t>(BDT)</w:t>
      </w:r>
      <w:r>
        <w:rPr>
          <w:lang w:val="es-ES"/>
        </w:rPr>
        <w:t>. Además, se celebraron cursillos sobre la utilización de esas herramientas para los procedimientos de notificación de estaciones terrenales y estaciones espaciales.</w:t>
      </w:r>
    </w:p>
    <w:p w14:paraId="48D6B1AD" w14:textId="77777777" w:rsidR="00B27BCB" w:rsidRDefault="00B27BCB" w:rsidP="00B27BCB">
      <w:pPr>
        <w:rPr>
          <w:lang w:val="es-ES"/>
        </w:rPr>
      </w:pPr>
      <w:r w:rsidRPr="00567A10">
        <w:rPr>
          <w:lang w:val="es-ES"/>
        </w:rPr>
        <w:t xml:space="preserve">El SRR-21-África concluyó con un foro de </w:t>
      </w:r>
      <w:r>
        <w:rPr>
          <w:lang w:val="es-ES"/>
        </w:rPr>
        <w:t>cuatro</w:t>
      </w:r>
      <w:r w:rsidRPr="00567A10">
        <w:rPr>
          <w:lang w:val="es-ES"/>
        </w:rPr>
        <w:t xml:space="preserve"> medias jornadas sobre </w:t>
      </w:r>
      <w:r>
        <w:rPr>
          <w:lang w:val="es-ES"/>
        </w:rPr>
        <w:t>«</w:t>
      </w:r>
      <w:r w:rsidRPr="00E45388">
        <w:rPr>
          <w:lang w:val="es-ES"/>
        </w:rPr>
        <w:t>Tendencias de las radiocomunicaciones: Oportunidades y desafíos para la región</w:t>
      </w:r>
      <w:r>
        <w:rPr>
          <w:lang w:val="es-ES"/>
        </w:rPr>
        <w:t>»</w:t>
      </w:r>
      <w:r w:rsidRPr="00567A10">
        <w:rPr>
          <w:lang w:val="es-ES"/>
        </w:rPr>
        <w:t>, que reunió a las principales partes interesadas de la región</w:t>
      </w:r>
      <w:r>
        <w:rPr>
          <w:lang w:val="es-ES"/>
        </w:rPr>
        <w:t>. Los temas tratados incluyeron, entre otros, los siguientes: h</w:t>
      </w:r>
      <w:r w:rsidRPr="00567A10">
        <w:rPr>
          <w:lang w:val="es-ES"/>
        </w:rPr>
        <w:t xml:space="preserve">erramientas disponibles en relación con los Cuadros </w:t>
      </w:r>
      <w:r>
        <w:rPr>
          <w:lang w:val="es-ES"/>
        </w:rPr>
        <w:t>n</w:t>
      </w:r>
      <w:r w:rsidRPr="00567A10">
        <w:rPr>
          <w:lang w:val="es-ES"/>
        </w:rPr>
        <w:t xml:space="preserve">acionales de </w:t>
      </w:r>
      <w:r>
        <w:rPr>
          <w:lang w:val="es-ES"/>
        </w:rPr>
        <w:t>a</w:t>
      </w:r>
      <w:r w:rsidRPr="00567A10">
        <w:rPr>
          <w:lang w:val="es-ES"/>
        </w:rPr>
        <w:t xml:space="preserve">tribución de </w:t>
      </w:r>
      <w:r>
        <w:rPr>
          <w:lang w:val="es-ES"/>
        </w:rPr>
        <w:t>f</w:t>
      </w:r>
      <w:r w:rsidRPr="00567A10">
        <w:rPr>
          <w:lang w:val="es-ES"/>
        </w:rPr>
        <w:t xml:space="preserve">recuencias (CNAT), incluido el </w:t>
      </w:r>
      <w:r w:rsidRPr="0061658F">
        <w:rPr>
          <w:lang w:val="es-ES"/>
        </w:rPr>
        <w:t>programa informático</w:t>
      </w:r>
      <w:r w:rsidRPr="00567A10">
        <w:rPr>
          <w:lang w:val="es-ES"/>
        </w:rPr>
        <w:t xml:space="preserve"> del Artículo 5 del RR y los </w:t>
      </w:r>
      <w:r>
        <w:rPr>
          <w:lang w:val="es-ES"/>
        </w:rPr>
        <w:t>CNAT</w:t>
      </w:r>
      <w:r w:rsidRPr="00567A10">
        <w:rPr>
          <w:lang w:val="es-ES"/>
        </w:rPr>
        <w:t xml:space="preserve">, nuevos sensores y bandas </w:t>
      </w:r>
      <w:r>
        <w:rPr>
          <w:lang w:val="es-ES"/>
        </w:rPr>
        <w:t xml:space="preserve">de frecuencias más elevadas </w:t>
      </w:r>
      <w:r w:rsidRPr="00567A10">
        <w:rPr>
          <w:lang w:val="es-ES"/>
        </w:rPr>
        <w:t xml:space="preserve">para </w:t>
      </w:r>
      <w:r>
        <w:rPr>
          <w:lang w:val="es-ES"/>
        </w:rPr>
        <w:t xml:space="preserve">las modernas técnicas de </w:t>
      </w:r>
      <w:r w:rsidRPr="00567A10">
        <w:rPr>
          <w:lang w:val="es-ES"/>
        </w:rPr>
        <w:t>gestión y comprobación técnica del espectro, tendencias</w:t>
      </w:r>
      <w:r>
        <w:rPr>
          <w:lang w:val="es-ES"/>
        </w:rPr>
        <w:t xml:space="preserve"> más recientes</w:t>
      </w:r>
      <w:r w:rsidRPr="00567A10">
        <w:rPr>
          <w:lang w:val="es-ES"/>
        </w:rPr>
        <w:t xml:space="preserve"> en materia de radiodifusión sonora y optimización del Acuerdo</w:t>
      </w:r>
      <w:r>
        <w:rPr>
          <w:lang w:val="es-ES"/>
        </w:rPr>
        <w:t> </w:t>
      </w:r>
      <w:r w:rsidRPr="00567A10">
        <w:rPr>
          <w:lang w:val="es-ES"/>
        </w:rPr>
        <w:t xml:space="preserve">GE84, </w:t>
      </w:r>
      <w:bookmarkStart w:id="70" w:name="_Hlk99056198"/>
      <w:r w:rsidRPr="00567A10">
        <w:rPr>
          <w:lang w:val="es-ES"/>
        </w:rPr>
        <w:t>marco</w:t>
      </w:r>
      <w:r>
        <w:rPr>
          <w:lang w:val="es-ES"/>
        </w:rPr>
        <w:t>s</w:t>
      </w:r>
      <w:r w:rsidRPr="00567A10">
        <w:rPr>
          <w:lang w:val="es-ES"/>
        </w:rPr>
        <w:t xml:space="preserve"> de </w:t>
      </w:r>
      <w:r>
        <w:rPr>
          <w:lang w:val="es-ES"/>
        </w:rPr>
        <w:t xml:space="preserve">los </w:t>
      </w:r>
      <w:r w:rsidRPr="00567A10">
        <w:rPr>
          <w:lang w:val="es-ES"/>
        </w:rPr>
        <w:t xml:space="preserve">planes nacionales para las comunicaciones de emergencia, </w:t>
      </w:r>
      <w:r w:rsidRPr="00D1750A">
        <w:rPr>
          <w:lang w:val="es-ES"/>
        </w:rPr>
        <w:t xml:space="preserve">bandas de </w:t>
      </w:r>
      <w:r>
        <w:rPr>
          <w:lang w:val="es-ES"/>
        </w:rPr>
        <w:t>espectro</w:t>
      </w:r>
      <w:r w:rsidRPr="00567A10">
        <w:rPr>
          <w:lang w:val="es-ES"/>
        </w:rPr>
        <w:t xml:space="preserve">, armonización regional y experiencias en África y otras regiones sobre los retos del despliegue de la 5G en África, </w:t>
      </w:r>
      <w:bookmarkEnd w:id="70"/>
      <w:r w:rsidRPr="00567A10">
        <w:rPr>
          <w:lang w:val="es-ES"/>
        </w:rPr>
        <w:t xml:space="preserve">sistemas </w:t>
      </w:r>
      <w:r>
        <w:rPr>
          <w:lang w:val="es-ES"/>
        </w:rPr>
        <w:t>terrenales</w:t>
      </w:r>
      <w:r w:rsidRPr="00567A10">
        <w:rPr>
          <w:lang w:val="es-ES"/>
        </w:rPr>
        <w:t xml:space="preserve"> de banda ancha, incluidos los fijos, HAPS/HIBS, RLAN, etc., </w:t>
      </w:r>
      <w:r>
        <w:rPr>
          <w:lang w:val="es-ES"/>
        </w:rPr>
        <w:t>s</w:t>
      </w:r>
      <w:r w:rsidRPr="00567A10">
        <w:rPr>
          <w:lang w:val="es-ES"/>
        </w:rPr>
        <w:t xml:space="preserve">istemas de satélites, incluidos los </w:t>
      </w:r>
      <w:r>
        <w:rPr>
          <w:lang w:val="es-ES"/>
        </w:rPr>
        <w:t xml:space="preserve">satélites </w:t>
      </w:r>
      <w:r w:rsidRPr="00567A10">
        <w:rPr>
          <w:lang w:val="es-ES"/>
        </w:rPr>
        <w:t>de banda ancha (</w:t>
      </w:r>
      <w:r>
        <w:rPr>
          <w:lang w:val="es-ES"/>
        </w:rPr>
        <w:t>OSG</w:t>
      </w:r>
      <w:r w:rsidRPr="00567A10">
        <w:rPr>
          <w:lang w:val="es-ES"/>
        </w:rPr>
        <w:t xml:space="preserve"> y no </w:t>
      </w:r>
      <w:r>
        <w:rPr>
          <w:lang w:val="es-ES"/>
        </w:rPr>
        <w:t>OSG</w:t>
      </w:r>
      <w:r w:rsidRPr="00567A10">
        <w:rPr>
          <w:lang w:val="es-ES"/>
        </w:rPr>
        <w:t xml:space="preserve">), </w:t>
      </w:r>
      <w:r w:rsidRPr="00B66B4E">
        <w:rPr>
          <w:lang w:val="es-ES"/>
        </w:rPr>
        <w:t xml:space="preserve">estaciones terrenas en movimiento (ETEM) </w:t>
      </w:r>
      <w:r w:rsidRPr="00567A10">
        <w:rPr>
          <w:lang w:val="es-ES"/>
        </w:rPr>
        <w:t xml:space="preserve">y </w:t>
      </w:r>
      <w:r>
        <w:rPr>
          <w:lang w:val="es-ES"/>
        </w:rPr>
        <w:t xml:space="preserve">pequeños </w:t>
      </w:r>
      <w:r w:rsidRPr="00567A10">
        <w:rPr>
          <w:lang w:val="es-ES"/>
        </w:rPr>
        <w:t xml:space="preserve">satélites. El Foro concluyó con una mesa redonda sobre el alcance regional de los retos del </w:t>
      </w:r>
      <w:r>
        <w:rPr>
          <w:lang w:val="es-ES"/>
        </w:rPr>
        <w:t>orden del día</w:t>
      </w:r>
      <w:r w:rsidRPr="00567A10">
        <w:rPr>
          <w:lang w:val="es-ES"/>
        </w:rPr>
        <w:t xml:space="preserve"> de la CMR-23.</w:t>
      </w:r>
    </w:p>
    <w:p w14:paraId="6F6B1A0E" w14:textId="77777777" w:rsidR="00B27BCB" w:rsidRPr="0017492B" w:rsidRDefault="00B27BCB" w:rsidP="00B27BCB">
      <w:pPr>
        <w:rPr>
          <w:lang w:val="es-ES"/>
        </w:rPr>
      </w:pPr>
      <w:r w:rsidRPr="0017492B">
        <w:rPr>
          <w:lang w:val="es-ES"/>
        </w:rPr>
        <w:t xml:space="preserve">Como </w:t>
      </w:r>
      <w:r>
        <w:rPr>
          <w:lang w:val="es-ES"/>
        </w:rPr>
        <w:t xml:space="preserve">ha ocurrido </w:t>
      </w:r>
      <w:r w:rsidRPr="0017492B">
        <w:rPr>
          <w:lang w:val="es-ES"/>
        </w:rPr>
        <w:t xml:space="preserve">en otros SRR en línea, la participación superó ampliamente las expectativas: el evento contó con casi 220 participantes de más de 68 entidades, entre ellas 39 países de la Región africana, lo que demuestra el gran éxito </w:t>
      </w:r>
      <w:r>
        <w:rPr>
          <w:lang w:val="es-ES"/>
        </w:rPr>
        <w:t>del</w:t>
      </w:r>
      <w:r w:rsidRPr="0017492B">
        <w:rPr>
          <w:lang w:val="es-ES"/>
        </w:rPr>
        <w:t xml:space="preserve"> evento.</w:t>
      </w:r>
    </w:p>
    <w:p w14:paraId="7AD36D9D" w14:textId="77777777" w:rsidR="00B27BCB" w:rsidRPr="00874F33" w:rsidRDefault="00B27BCB" w:rsidP="00874F33">
      <w:pPr>
        <w:pStyle w:val="Headingb"/>
        <w:ind w:left="794" w:hanging="794"/>
      </w:pPr>
      <w:r w:rsidRPr="00874F33">
        <w:t>•</w:t>
      </w:r>
      <w:r w:rsidRPr="00874F33">
        <w:tab/>
        <w:t>Seminario Regional de Radiocomunicaciones de la UIT para la Región de Asia</w:t>
      </w:r>
      <w:r w:rsidRPr="00874F33">
        <w:noBreakHyphen/>
        <w:t>Pacifico (SRR</w:t>
      </w:r>
      <w:r w:rsidRPr="00874F33">
        <w:noBreakHyphen/>
        <w:t>20-Asia-Pacífico)</w:t>
      </w:r>
    </w:p>
    <w:p w14:paraId="1C211AD8" w14:textId="77777777" w:rsidR="00B27BCB" w:rsidRPr="0017492B" w:rsidRDefault="00B27BCB" w:rsidP="00B27BCB">
      <w:pPr>
        <w:rPr>
          <w:lang w:val="es-ES"/>
        </w:rPr>
      </w:pPr>
      <w:r w:rsidRPr="0017492B">
        <w:rPr>
          <w:lang w:val="es-ES"/>
        </w:rPr>
        <w:t>El Seminario Regional de Radiocomunicaciones 2021 para Asia</w:t>
      </w:r>
      <w:r>
        <w:rPr>
          <w:lang w:val="es-ES"/>
        </w:rPr>
        <w:t>-</w:t>
      </w:r>
      <w:r w:rsidRPr="0017492B">
        <w:rPr>
          <w:lang w:val="es-ES"/>
        </w:rPr>
        <w:t>Pacífico (SRR-21</w:t>
      </w:r>
      <w:r>
        <w:rPr>
          <w:lang w:val="es-ES"/>
        </w:rPr>
        <w:t>-</w:t>
      </w:r>
      <w:r w:rsidRPr="0017492B">
        <w:rPr>
          <w:lang w:val="es-ES"/>
        </w:rPr>
        <w:t>Asia-Pacífico) fue organizado por la UIT (la BR y la Oficina de Asia</w:t>
      </w:r>
      <w:r>
        <w:rPr>
          <w:lang w:val="es-ES"/>
        </w:rPr>
        <w:t>-</w:t>
      </w:r>
      <w:r w:rsidRPr="0017492B">
        <w:rPr>
          <w:lang w:val="es-ES"/>
        </w:rPr>
        <w:t xml:space="preserve">Pacífico) en colaboración con la Telecomunidad Asia-Pacífico (APT). </w:t>
      </w:r>
      <w:r>
        <w:rPr>
          <w:lang w:val="es-ES"/>
        </w:rPr>
        <w:t>El</w:t>
      </w:r>
      <w:r w:rsidRPr="0017492B">
        <w:rPr>
          <w:lang w:val="es-ES"/>
        </w:rPr>
        <w:t xml:space="preserve"> SRR-21-Asia</w:t>
      </w:r>
      <w:r>
        <w:rPr>
          <w:lang w:val="es-ES"/>
        </w:rPr>
        <w:t>-</w:t>
      </w:r>
      <w:r w:rsidRPr="0017492B">
        <w:rPr>
          <w:lang w:val="es-ES"/>
        </w:rPr>
        <w:t>Pacífico se celebró en línea del 11 al 22 de octubre de 2021, utilizando una licencia de Zoom de la UIT. Teniendo en cuenta la diferencia horaria local, las sesiones se llevaron a cabo de 13</w:t>
      </w:r>
      <w:r>
        <w:rPr>
          <w:lang w:val="es-ES"/>
        </w:rPr>
        <w:t>.</w:t>
      </w:r>
      <w:r w:rsidRPr="0017492B">
        <w:rPr>
          <w:lang w:val="es-ES"/>
        </w:rPr>
        <w:t>15 a 16</w:t>
      </w:r>
      <w:r>
        <w:rPr>
          <w:lang w:val="es-ES"/>
        </w:rPr>
        <w:t>.</w:t>
      </w:r>
      <w:r w:rsidRPr="0017492B">
        <w:rPr>
          <w:lang w:val="es-ES"/>
        </w:rPr>
        <w:t>45</w:t>
      </w:r>
      <w:r>
        <w:rPr>
          <w:lang w:val="es-ES"/>
        </w:rPr>
        <w:t xml:space="preserve"> horas</w:t>
      </w:r>
      <w:r w:rsidRPr="0017492B">
        <w:rPr>
          <w:lang w:val="es-ES"/>
        </w:rPr>
        <w:t>, hora de Bangkok (UTC</w:t>
      </w:r>
      <w:r>
        <w:rPr>
          <w:lang w:val="es-ES"/>
        </w:rPr>
        <w:t xml:space="preserve"> </w:t>
      </w:r>
      <w:r w:rsidRPr="0017492B">
        <w:rPr>
          <w:lang w:val="es-ES"/>
        </w:rPr>
        <w:t>+7H), es decir, de 07</w:t>
      </w:r>
      <w:r>
        <w:rPr>
          <w:lang w:val="es-ES"/>
        </w:rPr>
        <w:t>.</w:t>
      </w:r>
      <w:r w:rsidRPr="0017492B">
        <w:rPr>
          <w:lang w:val="es-ES"/>
        </w:rPr>
        <w:t>15 a 10</w:t>
      </w:r>
      <w:r>
        <w:rPr>
          <w:lang w:val="es-ES"/>
        </w:rPr>
        <w:t>.</w:t>
      </w:r>
      <w:r w:rsidRPr="0017492B">
        <w:rPr>
          <w:lang w:val="es-ES"/>
        </w:rPr>
        <w:t>45</w:t>
      </w:r>
      <w:r>
        <w:rPr>
          <w:lang w:val="es-ES"/>
        </w:rPr>
        <w:t xml:space="preserve"> horas</w:t>
      </w:r>
      <w:r w:rsidRPr="0017492B">
        <w:rPr>
          <w:lang w:val="es-ES"/>
        </w:rPr>
        <w:t>, hora de Ginebra.</w:t>
      </w:r>
    </w:p>
    <w:p w14:paraId="3D0F9F38" w14:textId="77777777" w:rsidR="00B27BCB" w:rsidRPr="0017492B" w:rsidRDefault="00B27BCB" w:rsidP="00B27BCB">
      <w:pPr>
        <w:rPr>
          <w:lang w:val="es-ES"/>
        </w:rPr>
      </w:pPr>
      <w:r w:rsidRPr="003051C9">
        <w:rPr>
          <w:lang w:val="es-ES"/>
        </w:rPr>
        <w:t>Las conferencias y los debates durante el SRR-21-Asia</w:t>
      </w:r>
      <w:r>
        <w:rPr>
          <w:lang w:val="es-ES"/>
        </w:rPr>
        <w:t>-</w:t>
      </w:r>
      <w:r w:rsidRPr="003051C9">
        <w:rPr>
          <w:lang w:val="es-ES"/>
        </w:rPr>
        <w:t>Pacífico se realizaron únicamente en inglés.</w:t>
      </w:r>
    </w:p>
    <w:p w14:paraId="1B5BFD84" w14:textId="77777777" w:rsidR="00B27BCB" w:rsidRDefault="00B27BCB" w:rsidP="00B27BCB">
      <w:pPr>
        <w:rPr>
          <w:lang w:val="es-ES"/>
        </w:rPr>
      </w:pPr>
      <w:r w:rsidRPr="003051C9">
        <w:rPr>
          <w:lang w:val="es-ES"/>
        </w:rPr>
        <w:t xml:space="preserve">El Seminario incluyó sesiones plenarias y </w:t>
      </w:r>
      <w:r>
        <w:rPr>
          <w:lang w:val="es-ES"/>
        </w:rPr>
        <w:t xml:space="preserve">se celebraron </w:t>
      </w:r>
      <w:r w:rsidRPr="003051C9">
        <w:rPr>
          <w:lang w:val="es-ES"/>
        </w:rPr>
        <w:t>tutorías sobre el proceso de coordinación y notificación. El SRR-21-</w:t>
      </w:r>
      <w:r>
        <w:rPr>
          <w:lang w:val="es-ES"/>
        </w:rPr>
        <w:t xml:space="preserve">Asia-Pacífico </w:t>
      </w:r>
      <w:r w:rsidRPr="003051C9">
        <w:rPr>
          <w:lang w:val="es-ES"/>
        </w:rPr>
        <w:t xml:space="preserve">concluyó con un </w:t>
      </w:r>
      <w:r>
        <w:rPr>
          <w:lang w:val="es-ES"/>
        </w:rPr>
        <w:t>f</w:t>
      </w:r>
      <w:r w:rsidRPr="003051C9">
        <w:rPr>
          <w:lang w:val="es-ES"/>
        </w:rPr>
        <w:t xml:space="preserve">oro de </w:t>
      </w:r>
      <w:r>
        <w:rPr>
          <w:lang w:val="es-ES"/>
        </w:rPr>
        <w:t>cuatro</w:t>
      </w:r>
      <w:r w:rsidRPr="003051C9">
        <w:rPr>
          <w:lang w:val="es-ES"/>
        </w:rPr>
        <w:t xml:space="preserve"> medias jornadas sobre </w:t>
      </w:r>
      <w:r>
        <w:rPr>
          <w:lang w:val="es-ES"/>
        </w:rPr>
        <w:t>«</w:t>
      </w:r>
      <w:r w:rsidRPr="00DC1B04">
        <w:rPr>
          <w:lang w:val="es-ES"/>
        </w:rPr>
        <w:t>Técnicas modernas de gestión del espectro en la región»</w:t>
      </w:r>
      <w:r w:rsidRPr="003051C9">
        <w:rPr>
          <w:lang w:val="es-ES"/>
        </w:rPr>
        <w:t xml:space="preserve">, que reunió a </w:t>
      </w:r>
      <w:r>
        <w:rPr>
          <w:lang w:val="es-ES"/>
        </w:rPr>
        <w:t>las</w:t>
      </w:r>
      <w:r w:rsidRPr="003051C9">
        <w:rPr>
          <w:lang w:val="es-ES"/>
        </w:rPr>
        <w:t xml:space="preserve"> principales</w:t>
      </w:r>
      <w:r>
        <w:rPr>
          <w:lang w:val="es-ES"/>
        </w:rPr>
        <w:t xml:space="preserve"> partes</w:t>
      </w:r>
      <w:r w:rsidRPr="003051C9">
        <w:rPr>
          <w:lang w:val="es-ES"/>
        </w:rPr>
        <w:t xml:space="preserve"> interesad</w:t>
      </w:r>
      <w:r>
        <w:rPr>
          <w:lang w:val="es-ES"/>
        </w:rPr>
        <w:t>a</w:t>
      </w:r>
      <w:r w:rsidRPr="003051C9">
        <w:rPr>
          <w:lang w:val="es-ES"/>
        </w:rPr>
        <w:t xml:space="preserve">s de la región. </w:t>
      </w:r>
      <w:r>
        <w:rPr>
          <w:lang w:val="es-ES"/>
        </w:rPr>
        <w:t>Los temas tratados incluyeron, entre otros, los siguientes: h</w:t>
      </w:r>
      <w:r w:rsidRPr="00EA4893">
        <w:rPr>
          <w:lang w:val="es-ES"/>
        </w:rPr>
        <w:t xml:space="preserve">erramientas disponibles en relación con los Cuadros </w:t>
      </w:r>
      <w:r>
        <w:rPr>
          <w:lang w:val="es-ES"/>
        </w:rPr>
        <w:t>n</w:t>
      </w:r>
      <w:r w:rsidRPr="00EA4893">
        <w:rPr>
          <w:lang w:val="es-ES"/>
        </w:rPr>
        <w:t xml:space="preserve">acionales de </w:t>
      </w:r>
      <w:r>
        <w:rPr>
          <w:lang w:val="es-ES"/>
        </w:rPr>
        <w:t>a</w:t>
      </w:r>
      <w:r w:rsidRPr="00EA4893">
        <w:rPr>
          <w:lang w:val="es-ES"/>
        </w:rPr>
        <w:t xml:space="preserve">tribución de </w:t>
      </w:r>
      <w:r>
        <w:rPr>
          <w:lang w:val="es-ES"/>
        </w:rPr>
        <w:t>f</w:t>
      </w:r>
      <w:r w:rsidRPr="00EA4893">
        <w:rPr>
          <w:lang w:val="es-ES"/>
        </w:rPr>
        <w:t>recuencias (CNAT),</w:t>
      </w:r>
      <w:r>
        <w:rPr>
          <w:lang w:val="es-ES"/>
        </w:rPr>
        <w:t xml:space="preserve"> </w:t>
      </w:r>
      <w:r w:rsidRPr="00EA4893">
        <w:rPr>
          <w:lang w:val="es-ES"/>
        </w:rPr>
        <w:t>modernas técnicas de gestión y comprobación técnica del espectro</w:t>
      </w:r>
      <w:r>
        <w:rPr>
          <w:lang w:val="es-ES"/>
        </w:rPr>
        <w:t>, radiodifusión digital terrenal</w:t>
      </w:r>
      <w:r w:rsidRPr="00EA4893">
        <w:rPr>
          <w:lang w:val="es-ES"/>
        </w:rPr>
        <w:t xml:space="preserve">, </w:t>
      </w:r>
      <w:r>
        <w:rPr>
          <w:lang w:val="es-ES"/>
        </w:rPr>
        <w:t>marcos de los planes nacionales para las c</w:t>
      </w:r>
      <w:r w:rsidRPr="00EA4893">
        <w:rPr>
          <w:lang w:val="es-ES"/>
        </w:rPr>
        <w:t xml:space="preserve">omunicaciones de </w:t>
      </w:r>
      <w:r>
        <w:rPr>
          <w:lang w:val="es-ES"/>
        </w:rPr>
        <w:t>e</w:t>
      </w:r>
      <w:r w:rsidRPr="00EA4893">
        <w:rPr>
          <w:lang w:val="es-ES"/>
        </w:rPr>
        <w:t>mergencia</w:t>
      </w:r>
      <w:r>
        <w:rPr>
          <w:lang w:val="es-ES"/>
        </w:rPr>
        <w:t>, tendencias relativas a las IMT-2020 (5G), sistemas de radiodifusión terrenal tales como los sistemas fijos</w:t>
      </w:r>
      <w:r w:rsidRPr="00EA4893">
        <w:rPr>
          <w:lang w:val="es-ES"/>
        </w:rPr>
        <w:t xml:space="preserve">, sistemas terrenales de banda ancha, </w:t>
      </w:r>
      <w:r>
        <w:rPr>
          <w:lang w:val="es-ES"/>
        </w:rPr>
        <w:t xml:space="preserve">tales como sistemas </w:t>
      </w:r>
      <w:r w:rsidRPr="00EA4893">
        <w:rPr>
          <w:lang w:val="es-ES"/>
        </w:rPr>
        <w:t xml:space="preserve">fijos, </w:t>
      </w:r>
      <w:r w:rsidRPr="00163362">
        <w:rPr>
          <w:lang w:val="es-ES"/>
        </w:rPr>
        <w:t>estaciones en plataformas a gran altitud (HAPS)</w:t>
      </w:r>
      <w:r>
        <w:rPr>
          <w:lang w:val="es-ES"/>
        </w:rPr>
        <w:t>,</w:t>
      </w:r>
      <w:r w:rsidRPr="00163362">
        <w:rPr>
          <w:lang w:val="es-ES"/>
        </w:rPr>
        <w:t xml:space="preserve"> </w:t>
      </w:r>
      <w:r>
        <w:rPr>
          <w:lang w:val="es-ES"/>
        </w:rPr>
        <w:t>e</w:t>
      </w:r>
      <w:r w:rsidRPr="00163362">
        <w:rPr>
          <w:lang w:val="es-ES"/>
        </w:rPr>
        <w:t xml:space="preserve">staciones base </w:t>
      </w:r>
      <w:r>
        <w:rPr>
          <w:lang w:val="es-ES"/>
        </w:rPr>
        <w:t xml:space="preserve">IMT </w:t>
      </w:r>
      <w:r w:rsidRPr="00163362">
        <w:rPr>
          <w:lang w:val="es-ES"/>
        </w:rPr>
        <w:t xml:space="preserve">a gran altitud </w:t>
      </w:r>
      <w:r>
        <w:rPr>
          <w:lang w:val="es-ES"/>
        </w:rPr>
        <w:t>(</w:t>
      </w:r>
      <w:r w:rsidRPr="00EA4893">
        <w:rPr>
          <w:lang w:val="es-ES"/>
        </w:rPr>
        <w:t>HIBS</w:t>
      </w:r>
      <w:r>
        <w:rPr>
          <w:lang w:val="es-ES"/>
        </w:rPr>
        <w:t>)</w:t>
      </w:r>
      <w:r w:rsidRPr="00EA4893">
        <w:rPr>
          <w:lang w:val="es-ES"/>
        </w:rPr>
        <w:t xml:space="preserve">, </w:t>
      </w:r>
      <w:r>
        <w:rPr>
          <w:lang w:val="es-ES"/>
        </w:rPr>
        <w:t>r</w:t>
      </w:r>
      <w:r w:rsidRPr="00163362">
        <w:rPr>
          <w:lang w:val="es-ES"/>
        </w:rPr>
        <w:t>edes inalámbricas de área local (RLAN</w:t>
      </w:r>
      <w:r>
        <w:rPr>
          <w:lang w:val="es-ES"/>
        </w:rPr>
        <w:t>)</w:t>
      </w:r>
      <w:r w:rsidRPr="00EA4893">
        <w:rPr>
          <w:lang w:val="es-ES"/>
        </w:rPr>
        <w:t xml:space="preserve">, </w:t>
      </w:r>
      <w:r>
        <w:rPr>
          <w:lang w:val="es-ES"/>
        </w:rPr>
        <w:t xml:space="preserve">etc., </w:t>
      </w:r>
      <w:r w:rsidRPr="00EA4893">
        <w:rPr>
          <w:lang w:val="es-ES"/>
        </w:rPr>
        <w:t xml:space="preserve">sistemas de satélites, incluidos los satélites de banda ancha (OSG y no OSG), estaciones terrenas en movimiento (ETEM) </w:t>
      </w:r>
      <w:r w:rsidRPr="00EA4893">
        <w:rPr>
          <w:lang w:val="es-ES"/>
        </w:rPr>
        <w:lastRenderedPageBreak/>
        <w:t xml:space="preserve">y pequeños satélites. El </w:t>
      </w:r>
      <w:r>
        <w:rPr>
          <w:lang w:val="es-ES"/>
        </w:rPr>
        <w:t>f</w:t>
      </w:r>
      <w:r w:rsidRPr="00EA4893">
        <w:rPr>
          <w:lang w:val="es-ES"/>
        </w:rPr>
        <w:t>oro concluyó con una mesa redonda sobre el alcance regional de los retos del orden del día de la CMR-23.</w:t>
      </w:r>
    </w:p>
    <w:p w14:paraId="33196016" w14:textId="77777777" w:rsidR="00B27BCB" w:rsidRDefault="00B27BCB" w:rsidP="00B27BCB">
      <w:pPr>
        <w:rPr>
          <w:lang w:val="es-ES"/>
        </w:rPr>
      </w:pPr>
      <w:r w:rsidRPr="00DC1B04">
        <w:rPr>
          <w:lang w:val="es-ES"/>
        </w:rPr>
        <w:t>Como</w:t>
      </w:r>
      <w:r w:rsidRPr="00357AE4">
        <w:rPr>
          <w:lang w:val="es-ES"/>
        </w:rPr>
        <w:t xml:space="preserve"> en el anterior SRR en línea, la participación superó ampliamente las expectativas: el evento contó con casi </w:t>
      </w:r>
      <w:r>
        <w:rPr>
          <w:lang w:val="es-ES"/>
        </w:rPr>
        <w:t>300</w:t>
      </w:r>
      <w:r w:rsidRPr="00357AE4">
        <w:rPr>
          <w:lang w:val="es-ES"/>
        </w:rPr>
        <w:t xml:space="preserve"> participantes de más de </w:t>
      </w:r>
      <w:r>
        <w:rPr>
          <w:lang w:val="es-ES"/>
        </w:rPr>
        <w:t>5</w:t>
      </w:r>
      <w:r w:rsidRPr="00357AE4">
        <w:rPr>
          <w:lang w:val="es-ES"/>
        </w:rPr>
        <w:t xml:space="preserve">8 entidades, entre ellas </w:t>
      </w:r>
      <w:r>
        <w:rPr>
          <w:lang w:val="es-ES"/>
        </w:rPr>
        <w:t>20</w:t>
      </w:r>
      <w:r w:rsidRPr="00357AE4">
        <w:rPr>
          <w:lang w:val="es-ES"/>
        </w:rPr>
        <w:t xml:space="preserve"> países de la Región </w:t>
      </w:r>
      <w:r>
        <w:rPr>
          <w:lang w:val="es-ES"/>
        </w:rPr>
        <w:t>de Asia</w:t>
      </w:r>
      <w:r>
        <w:rPr>
          <w:lang w:val="es-ES"/>
        </w:rPr>
        <w:noBreakHyphen/>
        <w:t>Pacífico</w:t>
      </w:r>
      <w:r w:rsidRPr="00357AE4">
        <w:rPr>
          <w:lang w:val="es-ES"/>
        </w:rPr>
        <w:t xml:space="preserve">, lo que demuestra el gran éxito </w:t>
      </w:r>
      <w:r>
        <w:rPr>
          <w:lang w:val="es-ES"/>
        </w:rPr>
        <w:t>del</w:t>
      </w:r>
      <w:r w:rsidRPr="00357AE4">
        <w:rPr>
          <w:lang w:val="es-ES"/>
        </w:rPr>
        <w:t xml:space="preserve"> evento.</w:t>
      </w:r>
    </w:p>
    <w:p w14:paraId="6F87E922" w14:textId="77777777" w:rsidR="00B27BCB" w:rsidRDefault="00B27BCB" w:rsidP="00B27BCB">
      <w:r w:rsidRPr="00E73DB8">
        <w:t xml:space="preserve">En el Cuadro 8.2.2-2 se </w:t>
      </w:r>
      <w:r w:rsidRPr="00525EEF">
        <w:rPr>
          <w:szCs w:val="24"/>
          <w:lang w:val="es-ES"/>
        </w:rPr>
        <w:t>muestra</w:t>
      </w:r>
      <w:r w:rsidRPr="00E73DB8">
        <w:t xml:space="preserve"> un resumen de los SRR celebrados durante 202</w:t>
      </w:r>
      <w:r>
        <w:t>1</w:t>
      </w:r>
      <w:r w:rsidRPr="00E73DB8">
        <w:t>.</w:t>
      </w:r>
    </w:p>
    <w:p w14:paraId="4C079F95" w14:textId="77777777" w:rsidR="00B27BCB" w:rsidRDefault="00B27BCB" w:rsidP="00B27BCB"/>
    <w:p w14:paraId="5B81F610" w14:textId="77777777" w:rsidR="00B27BCB" w:rsidRDefault="00B27BCB" w:rsidP="00B27BCB">
      <w:pPr>
        <w:sectPr w:rsidR="00B27BCB" w:rsidSect="004D6C09">
          <w:headerReference w:type="default" r:id="rId41"/>
          <w:pgSz w:w="11907" w:h="16834"/>
          <w:pgMar w:top="1418" w:right="1134" w:bottom="1418" w:left="1134" w:header="720" w:footer="720" w:gutter="0"/>
          <w:paperSrc w:first="15" w:other="15"/>
          <w:cols w:space="720"/>
          <w:titlePg/>
        </w:sectPr>
      </w:pPr>
    </w:p>
    <w:p w14:paraId="23C9A2F9" w14:textId="77777777" w:rsidR="00B27BCB" w:rsidRPr="00B2067F" w:rsidRDefault="00B27BCB" w:rsidP="00B27BCB">
      <w:pPr>
        <w:pStyle w:val="TableNoBR"/>
      </w:pPr>
      <w:r w:rsidRPr="0061658F">
        <w:lastRenderedPageBreak/>
        <w:t>CUADRO 8.2.2-2</w:t>
      </w:r>
    </w:p>
    <w:p w14:paraId="097DF829" w14:textId="77777777" w:rsidR="00B27BCB" w:rsidRPr="00B2067F" w:rsidRDefault="00B27BCB" w:rsidP="00B27BCB">
      <w:pPr>
        <w:pStyle w:val="TabletitleBR"/>
      </w:pPr>
      <w:r w:rsidRPr="00B2067F">
        <w:t>Seminarios Regionales de Radiocomunicaciones de la UIT (202</w:t>
      </w:r>
      <w:r>
        <w:t>1</w:t>
      </w:r>
      <w:r w:rsidRPr="00B2067F">
        <w:t>)</w:t>
      </w:r>
    </w:p>
    <w:tbl>
      <w:tblPr>
        <w:tblW w:w="5000" w:type="pct"/>
        <w:jc w:val="center"/>
        <w:tblLayout w:type="fixed"/>
        <w:tblLook w:val="0420" w:firstRow="1" w:lastRow="0" w:firstColumn="0" w:lastColumn="0" w:noHBand="0" w:noVBand="1"/>
      </w:tblPr>
      <w:tblGrid>
        <w:gridCol w:w="1064"/>
        <w:gridCol w:w="1329"/>
        <w:gridCol w:w="895"/>
        <w:gridCol w:w="895"/>
        <w:gridCol w:w="1776"/>
        <w:gridCol w:w="6420"/>
        <w:gridCol w:w="728"/>
        <w:gridCol w:w="881"/>
      </w:tblGrid>
      <w:tr w:rsidR="00B27BCB" w:rsidRPr="00C3231B" w14:paraId="4D010023" w14:textId="77777777" w:rsidTr="00CF5394">
        <w:trPr>
          <w:tblHeader/>
          <w:jc w:val="center"/>
        </w:trPr>
        <w:tc>
          <w:tcPr>
            <w:tcW w:w="1064" w:type="dxa"/>
            <w:tcBorders>
              <w:top w:val="single" w:sz="4" w:space="0" w:color="auto"/>
              <w:left w:val="single" w:sz="4" w:space="0" w:color="auto"/>
            </w:tcBorders>
            <w:shd w:val="clear" w:color="auto" w:fill="8DB3E2" w:themeFill="text2" w:themeFillTint="66"/>
            <w:vAlign w:val="center"/>
            <w:hideMark/>
          </w:tcPr>
          <w:p w14:paraId="40A5FE3B" w14:textId="77777777" w:rsidR="00B27BCB" w:rsidRPr="00C3231B" w:rsidRDefault="00B27BCB" w:rsidP="00CF5394">
            <w:pPr>
              <w:pStyle w:val="Tablehead"/>
              <w:rPr>
                <w:color w:val="FFFFFF" w:themeColor="background1"/>
                <w:sz w:val="20"/>
              </w:rPr>
            </w:pPr>
            <w:r w:rsidRPr="00C3231B">
              <w:rPr>
                <w:color w:val="FFFFFF" w:themeColor="background1"/>
                <w:sz w:val="20"/>
              </w:rPr>
              <w:t>Fecha</w:t>
            </w:r>
          </w:p>
        </w:tc>
        <w:tc>
          <w:tcPr>
            <w:tcW w:w="1330" w:type="dxa"/>
            <w:tcBorders>
              <w:top w:val="single" w:sz="4" w:space="0" w:color="auto"/>
            </w:tcBorders>
            <w:shd w:val="clear" w:color="auto" w:fill="8DB3E2" w:themeFill="text2" w:themeFillTint="66"/>
            <w:vAlign w:val="center"/>
            <w:hideMark/>
          </w:tcPr>
          <w:p w14:paraId="3B170642" w14:textId="77777777" w:rsidR="00B27BCB" w:rsidRPr="00C3231B" w:rsidRDefault="00B27BCB" w:rsidP="00CF5394">
            <w:pPr>
              <w:pStyle w:val="Tablehead"/>
              <w:rPr>
                <w:color w:val="FFFFFF" w:themeColor="background1"/>
                <w:sz w:val="20"/>
              </w:rPr>
            </w:pPr>
            <w:bookmarkStart w:id="71" w:name="lt_pId1063"/>
            <w:r w:rsidRPr="00C3231B">
              <w:rPr>
                <w:color w:val="FFFFFF" w:themeColor="background1"/>
                <w:sz w:val="20"/>
              </w:rPr>
              <w:t>SRR</w:t>
            </w:r>
            <w:bookmarkEnd w:id="71"/>
          </w:p>
        </w:tc>
        <w:tc>
          <w:tcPr>
            <w:tcW w:w="896" w:type="dxa"/>
            <w:tcBorders>
              <w:top w:val="single" w:sz="4" w:space="0" w:color="auto"/>
            </w:tcBorders>
            <w:shd w:val="clear" w:color="auto" w:fill="8DB3E2" w:themeFill="text2" w:themeFillTint="66"/>
            <w:tcMar>
              <w:left w:w="0" w:type="dxa"/>
              <w:right w:w="0" w:type="dxa"/>
            </w:tcMar>
            <w:vAlign w:val="center"/>
            <w:hideMark/>
          </w:tcPr>
          <w:p w14:paraId="7D57F03C" w14:textId="77777777" w:rsidR="00B27BCB" w:rsidRPr="00C3231B" w:rsidRDefault="00B27BCB" w:rsidP="00CF5394">
            <w:pPr>
              <w:pStyle w:val="Tablehead"/>
              <w:rPr>
                <w:color w:val="FFFFFF" w:themeColor="background1"/>
                <w:sz w:val="20"/>
              </w:rPr>
            </w:pPr>
            <w:r w:rsidRPr="00C3231B">
              <w:rPr>
                <w:color w:val="FFFFFF" w:themeColor="background1"/>
                <w:sz w:val="20"/>
              </w:rPr>
              <w:t>Lugar</w:t>
            </w:r>
          </w:p>
        </w:tc>
        <w:tc>
          <w:tcPr>
            <w:tcW w:w="896" w:type="dxa"/>
            <w:tcBorders>
              <w:top w:val="single" w:sz="4" w:space="0" w:color="auto"/>
            </w:tcBorders>
            <w:shd w:val="clear" w:color="auto" w:fill="8DB3E2" w:themeFill="text2" w:themeFillTint="66"/>
            <w:tcMar>
              <w:left w:w="0" w:type="dxa"/>
              <w:right w:w="0" w:type="dxa"/>
            </w:tcMar>
            <w:vAlign w:val="center"/>
            <w:hideMark/>
          </w:tcPr>
          <w:p w14:paraId="31A81AF8" w14:textId="77777777" w:rsidR="00B27BCB" w:rsidRPr="00C3231B" w:rsidRDefault="00B27BCB" w:rsidP="00CF5394">
            <w:pPr>
              <w:pStyle w:val="Tablehead"/>
              <w:rPr>
                <w:color w:val="FFFFFF" w:themeColor="background1"/>
                <w:sz w:val="20"/>
              </w:rPr>
            </w:pPr>
            <w:r w:rsidRPr="00C3231B">
              <w:rPr>
                <w:color w:val="FFFFFF" w:themeColor="background1"/>
                <w:sz w:val="20"/>
              </w:rPr>
              <w:t>Anfitrión</w:t>
            </w:r>
          </w:p>
        </w:tc>
        <w:tc>
          <w:tcPr>
            <w:tcW w:w="1777" w:type="dxa"/>
            <w:tcBorders>
              <w:top w:val="single" w:sz="4" w:space="0" w:color="auto"/>
            </w:tcBorders>
            <w:shd w:val="clear" w:color="auto" w:fill="8DB3E2" w:themeFill="text2" w:themeFillTint="66"/>
            <w:tcMar>
              <w:left w:w="0" w:type="dxa"/>
              <w:right w:w="0" w:type="dxa"/>
            </w:tcMar>
            <w:vAlign w:val="center"/>
            <w:hideMark/>
          </w:tcPr>
          <w:p w14:paraId="191F6899" w14:textId="77777777" w:rsidR="00B27BCB" w:rsidRPr="00C3231B" w:rsidRDefault="00B27BCB" w:rsidP="00CF5394">
            <w:pPr>
              <w:pStyle w:val="Tablehead"/>
              <w:rPr>
                <w:color w:val="FFFFFF" w:themeColor="background1"/>
                <w:sz w:val="20"/>
              </w:rPr>
            </w:pPr>
            <w:r w:rsidRPr="00C3231B">
              <w:rPr>
                <w:color w:val="FFFFFF" w:themeColor="background1"/>
                <w:sz w:val="20"/>
              </w:rPr>
              <w:t>Cooperación</w:t>
            </w:r>
          </w:p>
        </w:tc>
        <w:tc>
          <w:tcPr>
            <w:tcW w:w="6425" w:type="dxa"/>
            <w:tcBorders>
              <w:top w:val="single" w:sz="4" w:space="0" w:color="auto"/>
            </w:tcBorders>
            <w:shd w:val="clear" w:color="auto" w:fill="8DB3E2" w:themeFill="text2" w:themeFillTint="66"/>
            <w:tcMar>
              <w:left w:w="0" w:type="dxa"/>
              <w:right w:w="0" w:type="dxa"/>
            </w:tcMar>
            <w:vAlign w:val="center"/>
            <w:hideMark/>
          </w:tcPr>
          <w:p w14:paraId="64FC7A84" w14:textId="77777777" w:rsidR="00B27BCB" w:rsidRPr="00C3231B" w:rsidRDefault="00B27BCB" w:rsidP="00CF5394">
            <w:pPr>
              <w:pStyle w:val="Tablehead"/>
              <w:rPr>
                <w:color w:val="FFFFFF" w:themeColor="background1"/>
                <w:sz w:val="20"/>
              </w:rPr>
            </w:pPr>
            <w:r w:rsidRPr="00C3231B">
              <w:rPr>
                <w:color w:val="FFFFFF" w:themeColor="background1"/>
                <w:sz w:val="20"/>
              </w:rPr>
              <w:t>Temas del Foro</w:t>
            </w:r>
          </w:p>
        </w:tc>
        <w:tc>
          <w:tcPr>
            <w:tcW w:w="728" w:type="dxa"/>
            <w:tcBorders>
              <w:top w:val="single" w:sz="4" w:space="0" w:color="auto"/>
            </w:tcBorders>
            <w:shd w:val="clear" w:color="auto" w:fill="8DB3E2" w:themeFill="text2" w:themeFillTint="66"/>
            <w:tcMar>
              <w:left w:w="0" w:type="dxa"/>
              <w:right w:w="0" w:type="dxa"/>
            </w:tcMar>
            <w:vAlign w:val="center"/>
            <w:hideMark/>
          </w:tcPr>
          <w:p w14:paraId="44F4F7FD" w14:textId="77777777" w:rsidR="00B27BCB" w:rsidRPr="00C3231B" w:rsidRDefault="00B27BCB" w:rsidP="00CF5394">
            <w:pPr>
              <w:pStyle w:val="Tablehead"/>
              <w:rPr>
                <w:color w:val="FFFFFF" w:themeColor="background1"/>
                <w:sz w:val="20"/>
              </w:rPr>
            </w:pPr>
            <w:bookmarkStart w:id="72" w:name="lt_pId1068"/>
            <w:r w:rsidRPr="00C3231B">
              <w:rPr>
                <w:color w:val="FFFFFF" w:themeColor="background1"/>
                <w:sz w:val="20"/>
              </w:rPr>
              <w:t>Idiom</w:t>
            </w:r>
            <w:bookmarkEnd w:id="72"/>
            <w:r w:rsidRPr="00C3231B">
              <w:rPr>
                <w:color w:val="FFFFFF" w:themeColor="background1"/>
                <w:sz w:val="20"/>
              </w:rPr>
              <w:t>a</w:t>
            </w:r>
          </w:p>
        </w:tc>
        <w:tc>
          <w:tcPr>
            <w:tcW w:w="882" w:type="dxa"/>
            <w:tcBorders>
              <w:top w:val="single" w:sz="4" w:space="0" w:color="auto"/>
              <w:right w:val="single" w:sz="4" w:space="0" w:color="auto"/>
            </w:tcBorders>
            <w:shd w:val="clear" w:color="auto" w:fill="8DB3E2" w:themeFill="text2" w:themeFillTint="66"/>
            <w:tcMar>
              <w:left w:w="0" w:type="dxa"/>
              <w:right w:w="0" w:type="dxa"/>
            </w:tcMar>
            <w:vAlign w:val="center"/>
            <w:hideMark/>
          </w:tcPr>
          <w:p w14:paraId="04DA7D2E" w14:textId="77777777" w:rsidR="00B27BCB" w:rsidRPr="00C3231B" w:rsidRDefault="00B27BCB" w:rsidP="00CF5394">
            <w:pPr>
              <w:pStyle w:val="Tablehead"/>
              <w:rPr>
                <w:color w:val="FFFFFF" w:themeColor="background1"/>
                <w:sz w:val="20"/>
              </w:rPr>
            </w:pPr>
            <w:r w:rsidRPr="00C3231B">
              <w:rPr>
                <w:color w:val="FFFFFF" w:themeColor="background1"/>
                <w:sz w:val="20"/>
              </w:rPr>
              <w:t>Particip./</w:t>
            </w:r>
            <w:r w:rsidRPr="00C3231B">
              <w:rPr>
                <w:color w:val="FFFFFF" w:themeColor="background1"/>
                <w:sz w:val="20"/>
              </w:rPr>
              <w:br/>
              <w:t>Admin.</w:t>
            </w:r>
          </w:p>
        </w:tc>
      </w:tr>
      <w:tr w:rsidR="00B27BCB" w:rsidRPr="00C3231B" w14:paraId="79A1A458" w14:textId="77777777" w:rsidTr="00CF5394">
        <w:trPr>
          <w:jc w:val="center"/>
        </w:trPr>
        <w:tc>
          <w:tcPr>
            <w:tcW w:w="1064" w:type="dxa"/>
            <w:tcBorders>
              <w:left w:val="single" w:sz="4" w:space="0" w:color="auto"/>
              <w:bottom w:val="single" w:sz="4" w:space="0" w:color="auto"/>
            </w:tcBorders>
            <w:shd w:val="clear" w:color="auto" w:fill="DBE5F1" w:themeFill="accent1" w:themeFillTint="33"/>
          </w:tcPr>
          <w:p w14:paraId="3A6F21EC" w14:textId="77777777" w:rsidR="00B27BCB" w:rsidRPr="00C3231B" w:rsidRDefault="00B27BCB" w:rsidP="00CF5394">
            <w:pPr>
              <w:pStyle w:val="Tabletext"/>
              <w:jc w:val="center"/>
              <w:rPr>
                <w:sz w:val="20"/>
              </w:rPr>
            </w:pPr>
          </w:p>
        </w:tc>
        <w:tc>
          <w:tcPr>
            <w:tcW w:w="1330" w:type="dxa"/>
            <w:tcBorders>
              <w:bottom w:val="single" w:sz="4" w:space="0" w:color="auto"/>
            </w:tcBorders>
            <w:shd w:val="clear" w:color="auto" w:fill="DBE5F1" w:themeFill="accent1" w:themeFillTint="33"/>
          </w:tcPr>
          <w:p w14:paraId="54752117" w14:textId="77777777" w:rsidR="00B27BCB" w:rsidRPr="00C3231B" w:rsidRDefault="00B27BCB" w:rsidP="00CF5394">
            <w:pPr>
              <w:pStyle w:val="Tabletext"/>
              <w:jc w:val="center"/>
              <w:rPr>
                <w:sz w:val="20"/>
              </w:rPr>
            </w:pPr>
          </w:p>
        </w:tc>
        <w:tc>
          <w:tcPr>
            <w:tcW w:w="896" w:type="dxa"/>
            <w:tcBorders>
              <w:bottom w:val="single" w:sz="4" w:space="0" w:color="auto"/>
            </w:tcBorders>
            <w:shd w:val="clear" w:color="auto" w:fill="DBE5F1" w:themeFill="accent1" w:themeFillTint="33"/>
          </w:tcPr>
          <w:p w14:paraId="2C835EB3" w14:textId="77777777" w:rsidR="00B27BCB" w:rsidRPr="00C3231B" w:rsidRDefault="00B27BCB" w:rsidP="00CF5394">
            <w:pPr>
              <w:pStyle w:val="Tabletext"/>
              <w:jc w:val="center"/>
              <w:rPr>
                <w:sz w:val="20"/>
              </w:rPr>
            </w:pPr>
          </w:p>
        </w:tc>
        <w:tc>
          <w:tcPr>
            <w:tcW w:w="896" w:type="dxa"/>
            <w:tcBorders>
              <w:bottom w:val="single" w:sz="4" w:space="0" w:color="auto"/>
            </w:tcBorders>
            <w:shd w:val="clear" w:color="auto" w:fill="DBE5F1" w:themeFill="accent1" w:themeFillTint="33"/>
          </w:tcPr>
          <w:p w14:paraId="46D4CFB8" w14:textId="77777777" w:rsidR="00B27BCB" w:rsidRPr="00C3231B" w:rsidRDefault="00B27BCB" w:rsidP="00CF5394">
            <w:pPr>
              <w:pStyle w:val="Tabletext"/>
              <w:jc w:val="center"/>
              <w:rPr>
                <w:sz w:val="20"/>
              </w:rPr>
            </w:pPr>
          </w:p>
        </w:tc>
        <w:tc>
          <w:tcPr>
            <w:tcW w:w="1777" w:type="dxa"/>
            <w:tcBorders>
              <w:bottom w:val="single" w:sz="4" w:space="0" w:color="auto"/>
            </w:tcBorders>
            <w:shd w:val="clear" w:color="auto" w:fill="DBE5F1" w:themeFill="accent1" w:themeFillTint="33"/>
          </w:tcPr>
          <w:p w14:paraId="6D31A5C0" w14:textId="77777777" w:rsidR="00B27BCB" w:rsidRPr="00985FEA" w:rsidRDefault="00B27BCB" w:rsidP="00CF5394">
            <w:pPr>
              <w:pStyle w:val="Tabletext"/>
              <w:jc w:val="center"/>
              <w:rPr>
                <w:b/>
                <w:bCs/>
                <w:sz w:val="20"/>
              </w:rPr>
            </w:pPr>
            <w:r w:rsidRPr="00985FEA">
              <w:rPr>
                <w:b/>
                <w:bCs/>
                <w:sz w:val="20"/>
              </w:rPr>
              <w:t>2021</w:t>
            </w:r>
          </w:p>
        </w:tc>
        <w:tc>
          <w:tcPr>
            <w:tcW w:w="6425" w:type="dxa"/>
            <w:tcBorders>
              <w:bottom w:val="single" w:sz="4" w:space="0" w:color="auto"/>
            </w:tcBorders>
            <w:shd w:val="clear" w:color="auto" w:fill="DBE5F1" w:themeFill="accent1" w:themeFillTint="33"/>
          </w:tcPr>
          <w:p w14:paraId="24B0A3C6" w14:textId="77777777" w:rsidR="00B27BCB" w:rsidRPr="00C3231B" w:rsidRDefault="00B27BCB" w:rsidP="00CF5394">
            <w:pPr>
              <w:pStyle w:val="Tabletext"/>
              <w:rPr>
                <w:sz w:val="20"/>
              </w:rPr>
            </w:pPr>
          </w:p>
        </w:tc>
        <w:tc>
          <w:tcPr>
            <w:tcW w:w="728" w:type="dxa"/>
            <w:tcBorders>
              <w:bottom w:val="single" w:sz="4" w:space="0" w:color="auto"/>
            </w:tcBorders>
            <w:shd w:val="clear" w:color="auto" w:fill="DBE5F1" w:themeFill="accent1" w:themeFillTint="33"/>
          </w:tcPr>
          <w:p w14:paraId="2787A17F" w14:textId="77777777" w:rsidR="00B27BCB" w:rsidRPr="00C3231B" w:rsidRDefault="00B27BCB" w:rsidP="00CF5394">
            <w:pPr>
              <w:pStyle w:val="Tabletext"/>
              <w:jc w:val="center"/>
              <w:rPr>
                <w:sz w:val="20"/>
              </w:rPr>
            </w:pPr>
          </w:p>
        </w:tc>
        <w:tc>
          <w:tcPr>
            <w:tcW w:w="882" w:type="dxa"/>
            <w:tcBorders>
              <w:bottom w:val="single" w:sz="4" w:space="0" w:color="auto"/>
              <w:right w:val="single" w:sz="4" w:space="0" w:color="auto"/>
            </w:tcBorders>
            <w:shd w:val="clear" w:color="auto" w:fill="DBE5F1" w:themeFill="accent1" w:themeFillTint="33"/>
          </w:tcPr>
          <w:p w14:paraId="194B5251" w14:textId="77777777" w:rsidR="00B27BCB" w:rsidRPr="00C3231B" w:rsidRDefault="00B27BCB" w:rsidP="00CF5394">
            <w:pPr>
              <w:pStyle w:val="Tabletext"/>
              <w:jc w:val="center"/>
              <w:rPr>
                <w:sz w:val="20"/>
              </w:rPr>
            </w:pPr>
          </w:p>
        </w:tc>
      </w:tr>
      <w:tr w:rsidR="00B27BCB" w:rsidRPr="0002428D" w14:paraId="3C934759" w14:textId="77777777" w:rsidTr="00CF5394">
        <w:trPr>
          <w:jc w:val="center"/>
        </w:trPr>
        <w:tc>
          <w:tcPr>
            <w:tcW w:w="1064" w:type="dxa"/>
            <w:tcBorders>
              <w:top w:val="single" w:sz="4" w:space="0" w:color="auto"/>
              <w:left w:val="single" w:sz="4" w:space="0" w:color="auto"/>
              <w:bottom w:val="single" w:sz="4" w:space="0" w:color="auto"/>
              <w:right w:val="single" w:sz="4" w:space="0" w:color="auto"/>
            </w:tcBorders>
            <w:hideMark/>
          </w:tcPr>
          <w:p w14:paraId="492AC9A4" w14:textId="77777777" w:rsidR="00B27BCB" w:rsidRPr="00C3231B" w:rsidRDefault="00B27BCB" w:rsidP="00CF5394">
            <w:pPr>
              <w:pStyle w:val="Tabletext"/>
              <w:rPr>
                <w:sz w:val="20"/>
              </w:rPr>
            </w:pPr>
            <w:r w:rsidRPr="00C3231B">
              <w:rPr>
                <w:sz w:val="20"/>
              </w:rPr>
              <w:t xml:space="preserve">26 abril </w:t>
            </w:r>
            <w:r w:rsidRPr="00985FEA">
              <w:rPr>
                <w:sz w:val="20"/>
              </w:rPr>
              <w:t>–</w:t>
            </w:r>
            <w:r w:rsidRPr="00C3231B">
              <w:rPr>
                <w:sz w:val="20"/>
              </w:rPr>
              <w:t xml:space="preserve"> 7 mayo de</w:t>
            </w:r>
            <w:r>
              <w:rPr>
                <w:sz w:val="20"/>
              </w:rPr>
              <w:t> </w:t>
            </w:r>
            <w:r w:rsidRPr="00C3231B">
              <w:rPr>
                <w:sz w:val="20"/>
              </w:rPr>
              <w:t>2021</w:t>
            </w:r>
          </w:p>
        </w:tc>
        <w:tc>
          <w:tcPr>
            <w:tcW w:w="1330" w:type="dxa"/>
            <w:tcBorders>
              <w:top w:val="single" w:sz="4" w:space="0" w:color="auto"/>
              <w:left w:val="single" w:sz="4" w:space="0" w:color="auto"/>
              <w:bottom w:val="single" w:sz="4" w:space="0" w:color="auto"/>
              <w:right w:val="single" w:sz="4" w:space="0" w:color="auto"/>
            </w:tcBorders>
            <w:hideMark/>
          </w:tcPr>
          <w:p w14:paraId="09867438" w14:textId="77777777" w:rsidR="00B27BCB" w:rsidRPr="0002428D" w:rsidRDefault="00B27BCB" w:rsidP="00CF5394">
            <w:pPr>
              <w:pStyle w:val="Tabletext"/>
              <w:rPr>
                <w:sz w:val="20"/>
              </w:rPr>
            </w:pPr>
            <w:r w:rsidRPr="0002428D">
              <w:rPr>
                <w:sz w:val="20"/>
              </w:rPr>
              <w:t>SRR-21</w:t>
            </w:r>
            <w:r>
              <w:rPr>
                <w:sz w:val="20"/>
              </w:rPr>
              <w:t>-</w:t>
            </w:r>
            <w:r w:rsidRPr="0002428D">
              <w:rPr>
                <w:sz w:val="20"/>
              </w:rPr>
              <w:t>Américas</w:t>
            </w:r>
          </w:p>
        </w:tc>
        <w:tc>
          <w:tcPr>
            <w:tcW w:w="896" w:type="dxa"/>
            <w:tcBorders>
              <w:top w:val="single" w:sz="4" w:space="0" w:color="auto"/>
              <w:left w:val="single" w:sz="4" w:space="0" w:color="auto"/>
              <w:bottom w:val="single" w:sz="4" w:space="0" w:color="auto"/>
              <w:right w:val="single" w:sz="4" w:space="0" w:color="auto"/>
            </w:tcBorders>
            <w:hideMark/>
          </w:tcPr>
          <w:p w14:paraId="06254171" w14:textId="77777777" w:rsidR="00B27BCB" w:rsidRPr="0002428D" w:rsidRDefault="00B27BCB" w:rsidP="00CF5394">
            <w:pPr>
              <w:pStyle w:val="Tabletext"/>
              <w:rPr>
                <w:sz w:val="20"/>
              </w:rPr>
            </w:pPr>
            <w:r w:rsidRPr="0002428D">
              <w:rPr>
                <w:sz w:val="20"/>
              </w:rPr>
              <w:t>Reunión virtual</w:t>
            </w:r>
          </w:p>
        </w:tc>
        <w:tc>
          <w:tcPr>
            <w:tcW w:w="896" w:type="dxa"/>
            <w:tcBorders>
              <w:top w:val="single" w:sz="4" w:space="0" w:color="auto"/>
              <w:left w:val="single" w:sz="4" w:space="0" w:color="auto"/>
              <w:bottom w:val="single" w:sz="4" w:space="0" w:color="auto"/>
              <w:right w:val="single" w:sz="4" w:space="0" w:color="auto"/>
            </w:tcBorders>
            <w:hideMark/>
          </w:tcPr>
          <w:p w14:paraId="5E4C4F43" w14:textId="77777777" w:rsidR="00B27BCB" w:rsidRPr="0002428D" w:rsidRDefault="00B27BCB" w:rsidP="00CF5394">
            <w:pPr>
              <w:pStyle w:val="Tabletext"/>
              <w:jc w:val="center"/>
              <w:rPr>
                <w:sz w:val="20"/>
              </w:rPr>
            </w:pPr>
            <w:r w:rsidRPr="0002428D">
              <w:rPr>
                <w:sz w:val="20"/>
              </w:rPr>
              <w:t>−</w:t>
            </w:r>
          </w:p>
        </w:tc>
        <w:tc>
          <w:tcPr>
            <w:tcW w:w="1777" w:type="dxa"/>
            <w:tcBorders>
              <w:top w:val="single" w:sz="4" w:space="0" w:color="auto"/>
              <w:left w:val="single" w:sz="4" w:space="0" w:color="auto"/>
              <w:bottom w:val="single" w:sz="4" w:space="0" w:color="auto"/>
              <w:right w:val="single" w:sz="4" w:space="0" w:color="auto"/>
            </w:tcBorders>
          </w:tcPr>
          <w:p w14:paraId="3089948F" w14:textId="77777777" w:rsidR="00B27BCB" w:rsidRPr="00C3231B" w:rsidRDefault="00B27BCB" w:rsidP="00CF5394">
            <w:pPr>
              <w:pStyle w:val="Tabletext"/>
              <w:rPr>
                <w:sz w:val="20"/>
              </w:rPr>
            </w:pPr>
            <w:r w:rsidRPr="00985FEA">
              <w:rPr>
                <w:sz w:val="20"/>
              </w:rPr>
              <w:t>Comisión Interamericana de Telecomunicaciones</w:t>
            </w:r>
            <w:r>
              <w:rPr>
                <w:sz w:val="20"/>
              </w:rPr>
              <w:t xml:space="preserve"> </w:t>
            </w:r>
            <w:r w:rsidRPr="00C3231B">
              <w:rPr>
                <w:sz w:val="20"/>
              </w:rPr>
              <w:t>(CITEL)</w:t>
            </w:r>
          </w:p>
          <w:p w14:paraId="2914F5E9" w14:textId="77777777" w:rsidR="00B27BCB" w:rsidRPr="00C3231B" w:rsidRDefault="00B27BCB" w:rsidP="00CF5394">
            <w:pPr>
              <w:pStyle w:val="Tabletext"/>
              <w:rPr>
                <w:sz w:val="20"/>
              </w:rPr>
            </w:pPr>
            <w:r w:rsidRPr="00C3231B">
              <w:rPr>
                <w:sz w:val="20"/>
              </w:rPr>
              <w:t xml:space="preserve">Agencia Nacional del Espectro de Colombia </w:t>
            </w:r>
            <w:r>
              <w:rPr>
                <w:sz w:val="20"/>
              </w:rPr>
              <w:t>(</w:t>
            </w:r>
            <w:r w:rsidRPr="00C3231B">
              <w:rPr>
                <w:sz w:val="20"/>
              </w:rPr>
              <w:t>ANE)</w:t>
            </w:r>
          </w:p>
          <w:p w14:paraId="242ABBD2" w14:textId="77777777" w:rsidR="00B27BCB" w:rsidRPr="0002428D" w:rsidRDefault="00B27BCB" w:rsidP="00CF5394">
            <w:pPr>
              <w:pStyle w:val="Tabletext"/>
              <w:rPr>
                <w:sz w:val="20"/>
              </w:rPr>
            </w:pPr>
            <w:r w:rsidRPr="0002428D">
              <w:rPr>
                <w:sz w:val="20"/>
              </w:rPr>
              <w:t>Oficina de la UIT para las Américas</w:t>
            </w:r>
          </w:p>
        </w:tc>
        <w:tc>
          <w:tcPr>
            <w:tcW w:w="6425" w:type="dxa"/>
            <w:tcBorders>
              <w:top w:val="single" w:sz="4" w:space="0" w:color="auto"/>
              <w:left w:val="single" w:sz="4" w:space="0" w:color="auto"/>
              <w:bottom w:val="single" w:sz="4" w:space="0" w:color="auto"/>
              <w:right w:val="single" w:sz="4" w:space="0" w:color="auto"/>
            </w:tcBorders>
            <w:hideMark/>
          </w:tcPr>
          <w:p w14:paraId="16742868" w14:textId="77777777" w:rsidR="00B27BCB" w:rsidRPr="00C3231B" w:rsidRDefault="00B27BCB" w:rsidP="00CF5394">
            <w:pPr>
              <w:pStyle w:val="Tabletext"/>
              <w:rPr>
                <w:sz w:val="20"/>
              </w:rPr>
            </w:pPr>
            <w:r w:rsidRPr="00C3231B">
              <w:rPr>
                <w:sz w:val="20"/>
              </w:rPr>
              <w:t>•</w:t>
            </w:r>
            <w:r w:rsidRPr="00C3231B">
              <w:rPr>
                <w:sz w:val="20"/>
              </w:rPr>
              <w:tab/>
              <w:t>Nuevas tendencias en la radiodifusión sonora</w:t>
            </w:r>
          </w:p>
          <w:p w14:paraId="013ECB58" w14:textId="77777777" w:rsidR="00B27BCB" w:rsidRPr="00C3231B" w:rsidRDefault="00B27BCB" w:rsidP="00CF5394">
            <w:pPr>
              <w:pStyle w:val="Tabletext"/>
              <w:ind w:left="284" w:hanging="284"/>
              <w:rPr>
                <w:sz w:val="20"/>
              </w:rPr>
            </w:pPr>
            <w:r w:rsidRPr="00C3231B">
              <w:rPr>
                <w:sz w:val="20"/>
              </w:rPr>
              <w:t>•</w:t>
            </w:r>
            <w:r w:rsidRPr="00C3231B">
              <w:rPr>
                <w:sz w:val="20"/>
              </w:rPr>
              <w:tab/>
              <w:t>Minisatélites y microsatélites: sistemas de satélites no OSG/misiones de corta duración</w:t>
            </w:r>
          </w:p>
          <w:p w14:paraId="610B8CDD" w14:textId="77777777" w:rsidR="00B27BCB" w:rsidRPr="00C3231B" w:rsidRDefault="00B27BCB" w:rsidP="00CF5394">
            <w:pPr>
              <w:pStyle w:val="Tabletext"/>
              <w:ind w:left="284" w:hanging="284"/>
              <w:rPr>
                <w:sz w:val="20"/>
              </w:rPr>
            </w:pPr>
            <w:r w:rsidRPr="00C3231B">
              <w:rPr>
                <w:sz w:val="20"/>
              </w:rPr>
              <w:t>•</w:t>
            </w:r>
            <w:r w:rsidRPr="00C3231B">
              <w:rPr>
                <w:sz w:val="20"/>
              </w:rPr>
              <w:tab/>
              <w:t>Armonización de los planes de bandas de frecuencias y los planes nacionales de comunicaciones de emergencia</w:t>
            </w:r>
          </w:p>
          <w:p w14:paraId="1327E656" w14:textId="77777777" w:rsidR="00B27BCB" w:rsidRPr="00C3231B" w:rsidRDefault="00B27BCB" w:rsidP="00CF5394">
            <w:pPr>
              <w:pStyle w:val="Tabletext"/>
              <w:ind w:left="284" w:hanging="284"/>
              <w:rPr>
                <w:sz w:val="20"/>
              </w:rPr>
            </w:pPr>
            <w:r w:rsidRPr="00C3231B">
              <w:rPr>
                <w:sz w:val="20"/>
              </w:rPr>
              <w:t>•</w:t>
            </w:r>
            <w:r w:rsidRPr="00C3231B">
              <w:rPr>
                <w:sz w:val="20"/>
              </w:rPr>
              <w:tab/>
              <w:t>Nuevos sensores y bandas más altas para las modernas técnicas de comprobación técnica del espectro</w:t>
            </w:r>
          </w:p>
          <w:p w14:paraId="7CBC2D55" w14:textId="77777777" w:rsidR="00B27BCB" w:rsidRPr="00C3231B" w:rsidRDefault="00B27BCB" w:rsidP="00CF5394">
            <w:pPr>
              <w:pStyle w:val="Tabletext"/>
              <w:rPr>
                <w:sz w:val="20"/>
              </w:rPr>
            </w:pPr>
            <w:r w:rsidRPr="00C3231B">
              <w:rPr>
                <w:sz w:val="20"/>
              </w:rPr>
              <w:t>•</w:t>
            </w:r>
            <w:r w:rsidRPr="00C3231B">
              <w:rPr>
                <w:sz w:val="20"/>
              </w:rPr>
              <w:tab/>
              <w:t>Precios del espectro 5G: &lt;1</w:t>
            </w:r>
            <w:r>
              <w:rPr>
                <w:sz w:val="20"/>
              </w:rPr>
              <w:t> </w:t>
            </w:r>
            <w:r w:rsidRPr="00C3231B">
              <w:rPr>
                <w:sz w:val="20"/>
              </w:rPr>
              <w:t>GHz; 1 a 6</w:t>
            </w:r>
            <w:r>
              <w:rPr>
                <w:sz w:val="20"/>
              </w:rPr>
              <w:t> </w:t>
            </w:r>
            <w:r w:rsidRPr="00C3231B">
              <w:rPr>
                <w:sz w:val="20"/>
              </w:rPr>
              <w:t>GHz; ondas milimétricas</w:t>
            </w:r>
          </w:p>
          <w:p w14:paraId="5A2409A4" w14:textId="77777777" w:rsidR="00B27BCB" w:rsidRPr="00C3231B" w:rsidRDefault="00B27BCB" w:rsidP="00CF5394">
            <w:pPr>
              <w:pStyle w:val="Tabletext"/>
              <w:ind w:left="284" w:hanging="284"/>
              <w:rPr>
                <w:sz w:val="20"/>
              </w:rPr>
            </w:pPr>
            <w:r w:rsidRPr="00C3231B">
              <w:rPr>
                <w:sz w:val="20"/>
              </w:rPr>
              <w:t>•</w:t>
            </w:r>
            <w:r w:rsidRPr="00C3231B">
              <w:rPr>
                <w:sz w:val="20"/>
              </w:rPr>
              <w:tab/>
              <w:t xml:space="preserve">Modelos de concesión de licencias del espectro: </w:t>
            </w:r>
            <w:r>
              <w:rPr>
                <w:sz w:val="20"/>
              </w:rPr>
              <w:t>l</w:t>
            </w:r>
            <w:r w:rsidRPr="00C3231B">
              <w:rPr>
                <w:sz w:val="20"/>
              </w:rPr>
              <w:t>icencias ligeras; mercado secundario, acceso secundario; uso oportunista sin licencia</w:t>
            </w:r>
          </w:p>
          <w:p w14:paraId="3392CAD8" w14:textId="77777777" w:rsidR="00B27BCB" w:rsidRPr="00C3231B" w:rsidRDefault="00B27BCB" w:rsidP="00CF5394">
            <w:pPr>
              <w:pStyle w:val="Tabletext"/>
              <w:ind w:left="284" w:hanging="284"/>
              <w:rPr>
                <w:sz w:val="20"/>
              </w:rPr>
            </w:pPr>
            <w:r w:rsidRPr="00C3231B">
              <w:rPr>
                <w:sz w:val="20"/>
              </w:rPr>
              <w:t>•</w:t>
            </w:r>
            <w:r w:rsidRPr="00C3231B">
              <w:rPr>
                <w:sz w:val="20"/>
              </w:rPr>
              <w:tab/>
              <w:t>Tendencias y desafíos de los sistemas de radio cognitivos y sistemas de radio definid</w:t>
            </w:r>
            <w:r>
              <w:rPr>
                <w:sz w:val="20"/>
              </w:rPr>
              <w:t>o</w:t>
            </w:r>
            <w:r w:rsidRPr="00C3231B">
              <w:rPr>
                <w:sz w:val="20"/>
              </w:rPr>
              <w:t xml:space="preserve">s por </w:t>
            </w:r>
            <w:r w:rsidRPr="00C3231B">
              <w:rPr>
                <w:i/>
                <w:iCs/>
                <w:sz w:val="20"/>
              </w:rPr>
              <w:t>software</w:t>
            </w:r>
          </w:p>
          <w:p w14:paraId="217C9A63" w14:textId="77777777" w:rsidR="00B27BCB" w:rsidRPr="00C3231B" w:rsidRDefault="00B27BCB" w:rsidP="00CF5394">
            <w:pPr>
              <w:pStyle w:val="Tabletext"/>
              <w:ind w:left="284" w:hanging="284"/>
              <w:rPr>
                <w:sz w:val="20"/>
              </w:rPr>
            </w:pPr>
            <w:r w:rsidRPr="00C3231B">
              <w:rPr>
                <w:sz w:val="20"/>
              </w:rPr>
              <w:t>•</w:t>
            </w:r>
            <w:r w:rsidRPr="00C3231B">
              <w:rPr>
                <w:sz w:val="20"/>
              </w:rPr>
              <w:tab/>
              <w:t>Mesa redonda sobre el alcance regional de los resultados de la</w:t>
            </w:r>
            <w:r>
              <w:rPr>
                <w:sz w:val="20"/>
              </w:rPr>
              <w:t> </w:t>
            </w:r>
            <w:r w:rsidRPr="00C3231B">
              <w:rPr>
                <w:sz w:val="20"/>
              </w:rPr>
              <w:t>CMR</w:t>
            </w:r>
            <w:r>
              <w:rPr>
                <w:sz w:val="20"/>
              </w:rPr>
              <w:noBreakHyphen/>
            </w:r>
            <w:r w:rsidRPr="00C3231B">
              <w:rPr>
                <w:sz w:val="20"/>
              </w:rPr>
              <w:t>19 y los retos del orden del día de la CMR-23</w:t>
            </w:r>
          </w:p>
        </w:tc>
        <w:tc>
          <w:tcPr>
            <w:tcW w:w="728" w:type="dxa"/>
            <w:tcBorders>
              <w:top w:val="single" w:sz="4" w:space="0" w:color="auto"/>
              <w:left w:val="single" w:sz="4" w:space="0" w:color="auto"/>
              <w:bottom w:val="single" w:sz="4" w:space="0" w:color="auto"/>
              <w:right w:val="single" w:sz="4" w:space="0" w:color="auto"/>
            </w:tcBorders>
            <w:hideMark/>
          </w:tcPr>
          <w:p w14:paraId="443B7A3E" w14:textId="77777777" w:rsidR="00B27BCB" w:rsidRPr="0002428D" w:rsidRDefault="00B27BCB" w:rsidP="00CF5394">
            <w:pPr>
              <w:pStyle w:val="Tabletext"/>
              <w:jc w:val="center"/>
              <w:rPr>
                <w:sz w:val="20"/>
              </w:rPr>
            </w:pPr>
            <w:r w:rsidRPr="0002428D">
              <w:rPr>
                <w:sz w:val="20"/>
              </w:rPr>
              <w:t>S</w:t>
            </w:r>
          </w:p>
        </w:tc>
        <w:tc>
          <w:tcPr>
            <w:tcW w:w="882" w:type="dxa"/>
            <w:tcBorders>
              <w:top w:val="single" w:sz="4" w:space="0" w:color="auto"/>
              <w:left w:val="single" w:sz="4" w:space="0" w:color="auto"/>
              <w:bottom w:val="single" w:sz="4" w:space="0" w:color="auto"/>
              <w:right w:val="single" w:sz="4" w:space="0" w:color="auto"/>
            </w:tcBorders>
            <w:hideMark/>
          </w:tcPr>
          <w:p w14:paraId="38CD71CB" w14:textId="77777777" w:rsidR="00B27BCB" w:rsidRPr="0002428D" w:rsidRDefault="00B27BCB" w:rsidP="00CF5394">
            <w:pPr>
              <w:pStyle w:val="Tabletext"/>
              <w:jc w:val="center"/>
              <w:rPr>
                <w:sz w:val="20"/>
              </w:rPr>
            </w:pPr>
            <w:r w:rsidRPr="0002428D">
              <w:rPr>
                <w:sz w:val="20"/>
              </w:rPr>
              <w:t>238/49</w:t>
            </w:r>
          </w:p>
        </w:tc>
      </w:tr>
      <w:tr w:rsidR="00B27BCB" w:rsidRPr="0002428D" w14:paraId="002911A7" w14:textId="77777777" w:rsidTr="00CF5394">
        <w:trPr>
          <w:jc w:val="center"/>
        </w:trPr>
        <w:tc>
          <w:tcPr>
            <w:tcW w:w="1064" w:type="dxa"/>
            <w:tcBorders>
              <w:top w:val="single" w:sz="4" w:space="0" w:color="auto"/>
              <w:left w:val="single" w:sz="4" w:space="0" w:color="auto"/>
              <w:bottom w:val="single" w:sz="4" w:space="0" w:color="auto"/>
              <w:right w:val="single" w:sz="4" w:space="0" w:color="auto"/>
            </w:tcBorders>
            <w:shd w:val="clear" w:color="auto" w:fill="DEEAF6"/>
            <w:hideMark/>
          </w:tcPr>
          <w:p w14:paraId="7924E98F" w14:textId="77777777" w:rsidR="00B27BCB" w:rsidRPr="0002428D" w:rsidRDefault="00B27BCB" w:rsidP="00CF5394">
            <w:pPr>
              <w:pStyle w:val="Tabletext"/>
              <w:rPr>
                <w:sz w:val="20"/>
              </w:rPr>
            </w:pPr>
            <w:r w:rsidRPr="0002428D">
              <w:rPr>
                <w:sz w:val="20"/>
              </w:rPr>
              <w:t>5-16 de</w:t>
            </w:r>
            <w:r>
              <w:rPr>
                <w:sz w:val="20"/>
              </w:rPr>
              <w:t> </w:t>
            </w:r>
            <w:r w:rsidRPr="0002428D">
              <w:rPr>
                <w:sz w:val="20"/>
              </w:rPr>
              <w:t>julio de</w:t>
            </w:r>
            <w:r>
              <w:rPr>
                <w:sz w:val="20"/>
              </w:rPr>
              <w:t> </w:t>
            </w:r>
            <w:r w:rsidRPr="0002428D">
              <w:rPr>
                <w:sz w:val="20"/>
              </w:rPr>
              <w:t>2021</w:t>
            </w:r>
          </w:p>
        </w:tc>
        <w:tc>
          <w:tcPr>
            <w:tcW w:w="1330" w:type="dxa"/>
            <w:tcBorders>
              <w:top w:val="single" w:sz="4" w:space="0" w:color="auto"/>
              <w:left w:val="single" w:sz="4" w:space="0" w:color="auto"/>
              <w:bottom w:val="single" w:sz="4" w:space="0" w:color="auto"/>
              <w:right w:val="single" w:sz="4" w:space="0" w:color="auto"/>
            </w:tcBorders>
            <w:shd w:val="clear" w:color="auto" w:fill="DEEAF6"/>
            <w:hideMark/>
          </w:tcPr>
          <w:p w14:paraId="1821170D" w14:textId="77777777" w:rsidR="00B27BCB" w:rsidRPr="0002428D" w:rsidRDefault="00B27BCB" w:rsidP="00CF5394">
            <w:pPr>
              <w:pStyle w:val="Tabletext"/>
              <w:rPr>
                <w:sz w:val="20"/>
              </w:rPr>
            </w:pPr>
            <w:r w:rsidRPr="0002428D">
              <w:rPr>
                <w:sz w:val="20"/>
              </w:rPr>
              <w:t>SRR-21</w:t>
            </w:r>
            <w:r>
              <w:rPr>
                <w:sz w:val="20"/>
              </w:rPr>
              <w:t>-</w:t>
            </w:r>
            <w:r w:rsidRPr="0002428D">
              <w:rPr>
                <w:sz w:val="20"/>
              </w:rPr>
              <w:t>África</w:t>
            </w:r>
          </w:p>
        </w:tc>
        <w:tc>
          <w:tcPr>
            <w:tcW w:w="896" w:type="dxa"/>
            <w:tcBorders>
              <w:top w:val="single" w:sz="4" w:space="0" w:color="auto"/>
              <w:left w:val="single" w:sz="4" w:space="0" w:color="auto"/>
              <w:bottom w:val="single" w:sz="4" w:space="0" w:color="auto"/>
              <w:right w:val="single" w:sz="4" w:space="0" w:color="auto"/>
            </w:tcBorders>
            <w:shd w:val="clear" w:color="auto" w:fill="DEEAF6"/>
            <w:hideMark/>
          </w:tcPr>
          <w:p w14:paraId="487E0A31" w14:textId="77777777" w:rsidR="00B27BCB" w:rsidRPr="0002428D" w:rsidRDefault="00B27BCB" w:rsidP="00CF5394">
            <w:pPr>
              <w:pStyle w:val="Tabletext"/>
              <w:rPr>
                <w:sz w:val="20"/>
              </w:rPr>
            </w:pPr>
            <w:r w:rsidRPr="0002428D">
              <w:rPr>
                <w:sz w:val="20"/>
              </w:rPr>
              <w:t>Reunión virtual</w:t>
            </w:r>
          </w:p>
        </w:tc>
        <w:tc>
          <w:tcPr>
            <w:tcW w:w="896" w:type="dxa"/>
            <w:tcBorders>
              <w:top w:val="single" w:sz="4" w:space="0" w:color="auto"/>
              <w:left w:val="single" w:sz="4" w:space="0" w:color="auto"/>
              <w:bottom w:val="single" w:sz="4" w:space="0" w:color="auto"/>
              <w:right w:val="single" w:sz="4" w:space="0" w:color="auto"/>
            </w:tcBorders>
            <w:shd w:val="clear" w:color="auto" w:fill="DEEAF6"/>
            <w:hideMark/>
          </w:tcPr>
          <w:p w14:paraId="2659C3AF" w14:textId="77777777" w:rsidR="00B27BCB" w:rsidRPr="0002428D" w:rsidRDefault="00B27BCB" w:rsidP="00CF5394">
            <w:pPr>
              <w:pStyle w:val="Tabletext"/>
              <w:jc w:val="center"/>
              <w:rPr>
                <w:sz w:val="20"/>
              </w:rPr>
            </w:pPr>
            <w:r w:rsidRPr="0002428D">
              <w:rPr>
                <w:sz w:val="20"/>
              </w:rPr>
              <w:t>−</w:t>
            </w:r>
          </w:p>
        </w:tc>
        <w:tc>
          <w:tcPr>
            <w:tcW w:w="1777" w:type="dxa"/>
            <w:tcBorders>
              <w:top w:val="single" w:sz="4" w:space="0" w:color="auto"/>
              <w:left w:val="single" w:sz="4" w:space="0" w:color="auto"/>
              <w:bottom w:val="single" w:sz="4" w:space="0" w:color="auto"/>
              <w:right w:val="single" w:sz="4" w:space="0" w:color="auto"/>
            </w:tcBorders>
            <w:shd w:val="clear" w:color="auto" w:fill="DEEAF6"/>
            <w:hideMark/>
          </w:tcPr>
          <w:p w14:paraId="5CB4C7CC" w14:textId="77777777" w:rsidR="00B27BCB" w:rsidRPr="00C3231B" w:rsidRDefault="00B27BCB" w:rsidP="00CF5394">
            <w:pPr>
              <w:pStyle w:val="Tabletext"/>
              <w:rPr>
                <w:sz w:val="20"/>
              </w:rPr>
            </w:pPr>
            <w:r w:rsidRPr="00C3231B">
              <w:rPr>
                <w:sz w:val="20"/>
              </w:rPr>
              <w:t>Unión Africana de Telecomunicaciones (UAT)</w:t>
            </w:r>
          </w:p>
          <w:p w14:paraId="1E61B1EE" w14:textId="77777777" w:rsidR="00B27BCB" w:rsidRPr="00C3231B" w:rsidRDefault="00B27BCB" w:rsidP="00CF5394">
            <w:pPr>
              <w:pStyle w:val="Tabletext"/>
              <w:rPr>
                <w:sz w:val="20"/>
              </w:rPr>
            </w:pPr>
            <w:r w:rsidRPr="00C3231B">
              <w:rPr>
                <w:sz w:val="20"/>
              </w:rPr>
              <w:t>Oficina de la UIT para África</w:t>
            </w:r>
          </w:p>
        </w:tc>
        <w:tc>
          <w:tcPr>
            <w:tcW w:w="6425" w:type="dxa"/>
            <w:tcBorders>
              <w:top w:val="single" w:sz="4" w:space="0" w:color="auto"/>
              <w:left w:val="single" w:sz="4" w:space="0" w:color="auto"/>
              <w:bottom w:val="single" w:sz="4" w:space="0" w:color="auto"/>
              <w:right w:val="single" w:sz="4" w:space="0" w:color="auto"/>
            </w:tcBorders>
            <w:shd w:val="clear" w:color="auto" w:fill="DEEAF6"/>
            <w:hideMark/>
          </w:tcPr>
          <w:p w14:paraId="24F3C29E" w14:textId="77777777" w:rsidR="00B27BCB" w:rsidRPr="0002428D" w:rsidRDefault="00B27BCB" w:rsidP="00CF5394">
            <w:pPr>
              <w:pStyle w:val="Tabletext"/>
              <w:ind w:left="284" w:hanging="284"/>
              <w:rPr>
                <w:sz w:val="20"/>
              </w:rPr>
            </w:pPr>
            <w:r w:rsidRPr="00C3231B">
              <w:rPr>
                <w:sz w:val="20"/>
              </w:rPr>
              <w:t>•</w:t>
            </w:r>
            <w:r w:rsidRPr="00C3231B">
              <w:rPr>
                <w:sz w:val="20"/>
              </w:rPr>
              <w:tab/>
            </w:r>
            <w:r w:rsidRPr="0002428D">
              <w:rPr>
                <w:sz w:val="20"/>
              </w:rPr>
              <w:t xml:space="preserve">Herramientas aplicables al Cuadro nacional de atribución de frecuencias y </w:t>
            </w:r>
            <w:r>
              <w:rPr>
                <w:sz w:val="20"/>
              </w:rPr>
              <w:t xml:space="preserve">herramienta de visualización </w:t>
            </w:r>
            <w:r w:rsidRPr="0002428D">
              <w:rPr>
                <w:sz w:val="20"/>
              </w:rPr>
              <w:t>para el Artículo 5 del RR</w:t>
            </w:r>
          </w:p>
          <w:p w14:paraId="367DE1FE" w14:textId="77777777" w:rsidR="00B27BCB" w:rsidRPr="0002428D" w:rsidRDefault="00B27BCB" w:rsidP="00CF5394">
            <w:pPr>
              <w:pStyle w:val="Tabletext"/>
              <w:ind w:left="284" w:hanging="284"/>
              <w:rPr>
                <w:sz w:val="20"/>
              </w:rPr>
            </w:pPr>
            <w:r w:rsidRPr="0002428D">
              <w:rPr>
                <w:sz w:val="20"/>
              </w:rPr>
              <w:t>•</w:t>
            </w:r>
            <w:r w:rsidRPr="0002428D">
              <w:rPr>
                <w:sz w:val="20"/>
              </w:rPr>
              <w:tab/>
              <w:t>Nuevos sensores y bandas más elevadas para modernas técnicas de comprobación técnica del espectro</w:t>
            </w:r>
          </w:p>
          <w:p w14:paraId="1653A8C4" w14:textId="77777777" w:rsidR="00B27BCB" w:rsidRPr="0002428D" w:rsidRDefault="00B27BCB" w:rsidP="00CF5394">
            <w:pPr>
              <w:pStyle w:val="Tabletext"/>
              <w:ind w:left="284" w:hanging="284"/>
              <w:rPr>
                <w:sz w:val="20"/>
              </w:rPr>
            </w:pPr>
            <w:r w:rsidRPr="0002428D">
              <w:rPr>
                <w:sz w:val="20"/>
              </w:rPr>
              <w:t>•</w:t>
            </w:r>
            <w:r w:rsidRPr="0002428D">
              <w:rPr>
                <w:sz w:val="20"/>
              </w:rPr>
              <w:tab/>
              <w:t>Tendencias más recientes en materia de radiodifusión sonora y optimización del Acuerdo GE84</w:t>
            </w:r>
          </w:p>
          <w:p w14:paraId="227E125D" w14:textId="77777777" w:rsidR="00B27BCB" w:rsidRPr="0002428D" w:rsidRDefault="00B27BCB" w:rsidP="00CF5394">
            <w:pPr>
              <w:pStyle w:val="Tabletext"/>
              <w:ind w:left="284" w:hanging="284"/>
              <w:rPr>
                <w:sz w:val="20"/>
              </w:rPr>
            </w:pPr>
            <w:r w:rsidRPr="0002428D">
              <w:rPr>
                <w:sz w:val="20"/>
              </w:rPr>
              <w:t>•</w:t>
            </w:r>
            <w:r w:rsidRPr="0002428D">
              <w:rPr>
                <w:sz w:val="20"/>
              </w:rPr>
              <w:tab/>
              <w:t xml:space="preserve">Marcos </w:t>
            </w:r>
            <w:r>
              <w:rPr>
                <w:sz w:val="20"/>
              </w:rPr>
              <w:t>de los</w:t>
            </w:r>
            <w:r w:rsidRPr="0002428D">
              <w:rPr>
                <w:sz w:val="20"/>
              </w:rPr>
              <w:t xml:space="preserve"> planes nacionales para las comunicaciones de emergencia</w:t>
            </w:r>
          </w:p>
          <w:p w14:paraId="5993453D" w14:textId="77777777" w:rsidR="00B27BCB" w:rsidRPr="0002428D" w:rsidRDefault="00B27BCB" w:rsidP="00CF5394">
            <w:pPr>
              <w:pStyle w:val="Tabletext"/>
              <w:ind w:left="284" w:hanging="284"/>
              <w:rPr>
                <w:sz w:val="20"/>
              </w:rPr>
            </w:pPr>
            <w:r w:rsidRPr="0002428D">
              <w:rPr>
                <w:sz w:val="20"/>
              </w:rPr>
              <w:t>•</w:t>
            </w:r>
            <w:r w:rsidRPr="0002428D">
              <w:rPr>
                <w:sz w:val="20"/>
              </w:rPr>
              <w:tab/>
              <w:t xml:space="preserve">Bandas </w:t>
            </w:r>
            <w:r>
              <w:rPr>
                <w:sz w:val="20"/>
              </w:rPr>
              <w:t>de espectro</w:t>
            </w:r>
            <w:r w:rsidRPr="0002428D">
              <w:rPr>
                <w:sz w:val="20"/>
              </w:rPr>
              <w:t xml:space="preserve">; </w:t>
            </w:r>
            <w:r>
              <w:rPr>
                <w:sz w:val="20"/>
              </w:rPr>
              <w:t>a</w:t>
            </w:r>
            <w:r w:rsidRPr="0002428D">
              <w:rPr>
                <w:sz w:val="20"/>
              </w:rPr>
              <w:t>rmonización regional, experiencias en África y otras regiones sobre los retos del despliegue del 5G en África</w:t>
            </w:r>
          </w:p>
          <w:p w14:paraId="01D40BA2" w14:textId="77777777" w:rsidR="00B27BCB" w:rsidRPr="0002428D" w:rsidRDefault="00B27BCB" w:rsidP="00CF5394">
            <w:pPr>
              <w:pStyle w:val="Tabletext"/>
              <w:ind w:left="284" w:hanging="284"/>
              <w:rPr>
                <w:sz w:val="20"/>
              </w:rPr>
            </w:pPr>
            <w:r w:rsidRPr="0002428D">
              <w:rPr>
                <w:sz w:val="20"/>
              </w:rPr>
              <w:t>•</w:t>
            </w:r>
            <w:r w:rsidRPr="0002428D">
              <w:rPr>
                <w:sz w:val="20"/>
              </w:rPr>
              <w:tab/>
              <w:t xml:space="preserve">Otros sistemas terrenales de banda ancha: </w:t>
            </w:r>
            <w:r>
              <w:rPr>
                <w:sz w:val="20"/>
              </w:rPr>
              <w:t>f</w:t>
            </w:r>
            <w:r w:rsidRPr="0002428D">
              <w:rPr>
                <w:sz w:val="20"/>
              </w:rPr>
              <w:t>ijos; HAPS/HIBS; RLAN</w:t>
            </w:r>
          </w:p>
          <w:p w14:paraId="3ECEEA7E" w14:textId="77777777" w:rsidR="00B27BCB" w:rsidRPr="0002428D" w:rsidRDefault="00B27BCB" w:rsidP="00CF5394">
            <w:pPr>
              <w:pStyle w:val="Tabletext"/>
              <w:ind w:left="284" w:hanging="284"/>
              <w:rPr>
                <w:sz w:val="20"/>
              </w:rPr>
            </w:pPr>
            <w:r w:rsidRPr="0002428D">
              <w:rPr>
                <w:sz w:val="20"/>
              </w:rPr>
              <w:t>•</w:t>
            </w:r>
            <w:r w:rsidRPr="0002428D">
              <w:rPr>
                <w:sz w:val="20"/>
              </w:rPr>
              <w:tab/>
              <w:t xml:space="preserve">Sistemas de satélite: </w:t>
            </w:r>
            <w:r>
              <w:rPr>
                <w:sz w:val="20"/>
              </w:rPr>
              <w:t>s</w:t>
            </w:r>
            <w:r w:rsidRPr="0002428D">
              <w:rPr>
                <w:sz w:val="20"/>
              </w:rPr>
              <w:t>atélites de banda ancha (OSG y no OSG); ETEM; pequeños satélites</w:t>
            </w:r>
          </w:p>
          <w:p w14:paraId="2306B6CC" w14:textId="77777777" w:rsidR="00B27BCB" w:rsidRPr="00C3231B" w:rsidRDefault="00B27BCB" w:rsidP="00CF5394">
            <w:pPr>
              <w:pStyle w:val="Tabletext"/>
              <w:ind w:left="284" w:hanging="284"/>
              <w:rPr>
                <w:sz w:val="20"/>
              </w:rPr>
            </w:pPr>
            <w:r w:rsidRPr="0002428D">
              <w:rPr>
                <w:sz w:val="20"/>
              </w:rPr>
              <w:t>•</w:t>
            </w:r>
            <w:r w:rsidRPr="0002428D">
              <w:rPr>
                <w:sz w:val="20"/>
              </w:rPr>
              <w:tab/>
              <w:t>Mesa redonda sobre el alcance regional de los resultados de la CMR</w:t>
            </w:r>
            <w:r>
              <w:rPr>
                <w:sz w:val="20"/>
              </w:rPr>
              <w:noBreakHyphen/>
            </w:r>
            <w:r w:rsidRPr="0002428D">
              <w:rPr>
                <w:sz w:val="20"/>
              </w:rPr>
              <w:t>19 y los retos del orden del día de la CMR-23</w:t>
            </w:r>
          </w:p>
        </w:tc>
        <w:tc>
          <w:tcPr>
            <w:tcW w:w="728" w:type="dxa"/>
            <w:tcBorders>
              <w:top w:val="single" w:sz="4" w:space="0" w:color="auto"/>
              <w:left w:val="single" w:sz="4" w:space="0" w:color="auto"/>
              <w:bottom w:val="single" w:sz="4" w:space="0" w:color="auto"/>
              <w:right w:val="single" w:sz="4" w:space="0" w:color="auto"/>
            </w:tcBorders>
            <w:shd w:val="clear" w:color="auto" w:fill="DEEAF6"/>
            <w:hideMark/>
          </w:tcPr>
          <w:p w14:paraId="539F847A" w14:textId="77777777" w:rsidR="00B27BCB" w:rsidRPr="0002428D" w:rsidRDefault="00B27BCB" w:rsidP="00CF5394">
            <w:pPr>
              <w:pStyle w:val="Tabletext"/>
              <w:jc w:val="center"/>
              <w:rPr>
                <w:sz w:val="20"/>
              </w:rPr>
            </w:pPr>
            <w:r w:rsidRPr="0002428D">
              <w:rPr>
                <w:sz w:val="20"/>
              </w:rPr>
              <w:t xml:space="preserve">E </w:t>
            </w:r>
            <w:r>
              <w:rPr>
                <w:sz w:val="20"/>
              </w:rPr>
              <w:t>y</w:t>
            </w:r>
            <w:r w:rsidRPr="0002428D">
              <w:rPr>
                <w:sz w:val="20"/>
              </w:rPr>
              <w:t xml:space="preserve"> F</w:t>
            </w:r>
          </w:p>
        </w:tc>
        <w:tc>
          <w:tcPr>
            <w:tcW w:w="882" w:type="dxa"/>
            <w:tcBorders>
              <w:top w:val="single" w:sz="4" w:space="0" w:color="auto"/>
              <w:left w:val="single" w:sz="4" w:space="0" w:color="auto"/>
              <w:bottom w:val="single" w:sz="4" w:space="0" w:color="auto"/>
              <w:right w:val="single" w:sz="4" w:space="0" w:color="auto"/>
            </w:tcBorders>
            <w:shd w:val="clear" w:color="auto" w:fill="DEEAF6"/>
            <w:hideMark/>
          </w:tcPr>
          <w:p w14:paraId="29AA2A64" w14:textId="77777777" w:rsidR="00B27BCB" w:rsidRPr="0002428D" w:rsidRDefault="00B27BCB" w:rsidP="00CF5394">
            <w:pPr>
              <w:pStyle w:val="Tabletext"/>
              <w:jc w:val="center"/>
              <w:rPr>
                <w:sz w:val="20"/>
              </w:rPr>
            </w:pPr>
            <w:r w:rsidRPr="0002428D">
              <w:rPr>
                <w:sz w:val="20"/>
              </w:rPr>
              <w:t>217/68</w:t>
            </w:r>
          </w:p>
        </w:tc>
      </w:tr>
      <w:tr w:rsidR="00B27BCB" w:rsidRPr="00BF0AA6" w14:paraId="1D7D6CAD" w14:textId="77777777" w:rsidTr="00CF5394">
        <w:trPr>
          <w:jc w:val="center"/>
        </w:trPr>
        <w:tc>
          <w:tcPr>
            <w:tcW w:w="1064" w:type="dxa"/>
            <w:tcBorders>
              <w:top w:val="single" w:sz="4" w:space="0" w:color="auto"/>
              <w:left w:val="single" w:sz="4" w:space="0" w:color="auto"/>
              <w:bottom w:val="single" w:sz="4" w:space="0" w:color="auto"/>
              <w:right w:val="single" w:sz="4" w:space="0" w:color="auto"/>
            </w:tcBorders>
          </w:tcPr>
          <w:p w14:paraId="4296E68B" w14:textId="77777777" w:rsidR="00B27BCB" w:rsidRPr="00BF0AA6" w:rsidRDefault="00B27BCB" w:rsidP="00CF5394">
            <w:pPr>
              <w:pStyle w:val="Tabletext"/>
              <w:rPr>
                <w:sz w:val="20"/>
              </w:rPr>
            </w:pPr>
            <w:bookmarkStart w:id="73" w:name="_Toc446060786"/>
            <w:r w:rsidRPr="00C3231B">
              <w:rPr>
                <w:sz w:val="20"/>
              </w:rPr>
              <w:lastRenderedPageBreak/>
              <w:t>11-22 de</w:t>
            </w:r>
            <w:r>
              <w:rPr>
                <w:sz w:val="20"/>
              </w:rPr>
              <w:t> </w:t>
            </w:r>
            <w:r w:rsidRPr="00C3231B">
              <w:rPr>
                <w:sz w:val="20"/>
              </w:rPr>
              <w:t>octubre de</w:t>
            </w:r>
            <w:r>
              <w:rPr>
                <w:sz w:val="20"/>
              </w:rPr>
              <w:t> </w:t>
            </w:r>
            <w:r w:rsidRPr="00C3231B">
              <w:rPr>
                <w:sz w:val="20"/>
              </w:rPr>
              <w:t>2021</w:t>
            </w:r>
          </w:p>
        </w:tc>
        <w:tc>
          <w:tcPr>
            <w:tcW w:w="1330" w:type="dxa"/>
            <w:tcBorders>
              <w:top w:val="single" w:sz="4" w:space="0" w:color="auto"/>
              <w:left w:val="single" w:sz="4" w:space="0" w:color="auto"/>
              <w:bottom w:val="single" w:sz="4" w:space="0" w:color="auto"/>
              <w:right w:val="single" w:sz="4" w:space="0" w:color="auto"/>
            </w:tcBorders>
          </w:tcPr>
          <w:p w14:paraId="32174927" w14:textId="77777777" w:rsidR="00B27BCB" w:rsidRPr="00BF0AA6" w:rsidRDefault="00B27BCB" w:rsidP="00CF5394">
            <w:pPr>
              <w:pStyle w:val="Tabletext"/>
              <w:rPr>
                <w:sz w:val="20"/>
              </w:rPr>
            </w:pPr>
            <w:r w:rsidRPr="00C3231B">
              <w:rPr>
                <w:sz w:val="20"/>
              </w:rPr>
              <w:t>SRR-21</w:t>
            </w:r>
            <w:r>
              <w:rPr>
                <w:sz w:val="20"/>
              </w:rPr>
              <w:t>-</w:t>
            </w:r>
            <w:r w:rsidRPr="00C3231B">
              <w:rPr>
                <w:sz w:val="20"/>
              </w:rPr>
              <w:t>Asia</w:t>
            </w:r>
            <w:r>
              <w:rPr>
                <w:sz w:val="20"/>
              </w:rPr>
              <w:t>-</w:t>
            </w:r>
            <w:r w:rsidRPr="00C3231B">
              <w:rPr>
                <w:sz w:val="20"/>
              </w:rPr>
              <w:t>Pacífico</w:t>
            </w:r>
          </w:p>
        </w:tc>
        <w:tc>
          <w:tcPr>
            <w:tcW w:w="896" w:type="dxa"/>
            <w:tcBorders>
              <w:top w:val="single" w:sz="4" w:space="0" w:color="auto"/>
              <w:left w:val="single" w:sz="4" w:space="0" w:color="auto"/>
              <w:bottom w:val="single" w:sz="4" w:space="0" w:color="auto"/>
              <w:right w:val="single" w:sz="4" w:space="0" w:color="auto"/>
            </w:tcBorders>
          </w:tcPr>
          <w:p w14:paraId="425E1930" w14:textId="77777777" w:rsidR="00B27BCB" w:rsidRPr="00BF0AA6" w:rsidRDefault="00B27BCB" w:rsidP="00CF5394">
            <w:pPr>
              <w:pStyle w:val="Tabletext"/>
              <w:rPr>
                <w:sz w:val="20"/>
              </w:rPr>
            </w:pPr>
            <w:r w:rsidRPr="00C3231B">
              <w:rPr>
                <w:sz w:val="20"/>
              </w:rPr>
              <w:t>Reunión virtual</w:t>
            </w:r>
          </w:p>
        </w:tc>
        <w:tc>
          <w:tcPr>
            <w:tcW w:w="896" w:type="dxa"/>
            <w:tcBorders>
              <w:top w:val="single" w:sz="4" w:space="0" w:color="auto"/>
              <w:left w:val="single" w:sz="4" w:space="0" w:color="auto"/>
              <w:bottom w:val="single" w:sz="4" w:space="0" w:color="auto"/>
              <w:right w:val="single" w:sz="4" w:space="0" w:color="auto"/>
            </w:tcBorders>
          </w:tcPr>
          <w:p w14:paraId="2EF90CDF" w14:textId="77777777" w:rsidR="00B27BCB" w:rsidRPr="00BF0AA6" w:rsidRDefault="00B27BCB" w:rsidP="00CF5394">
            <w:pPr>
              <w:pStyle w:val="Tabletext"/>
              <w:jc w:val="center"/>
              <w:rPr>
                <w:sz w:val="20"/>
              </w:rPr>
            </w:pPr>
            <w:r w:rsidRPr="00BF0AA6">
              <w:rPr>
                <w:sz w:val="20"/>
              </w:rPr>
              <w:t>−</w:t>
            </w:r>
          </w:p>
        </w:tc>
        <w:tc>
          <w:tcPr>
            <w:tcW w:w="1777" w:type="dxa"/>
            <w:tcBorders>
              <w:top w:val="single" w:sz="4" w:space="0" w:color="auto"/>
              <w:left w:val="single" w:sz="4" w:space="0" w:color="auto"/>
              <w:bottom w:val="single" w:sz="4" w:space="0" w:color="auto"/>
              <w:right w:val="single" w:sz="4" w:space="0" w:color="auto"/>
            </w:tcBorders>
          </w:tcPr>
          <w:p w14:paraId="236F96F6" w14:textId="77777777" w:rsidR="00B27BCB" w:rsidRPr="00C3231B" w:rsidRDefault="00B27BCB" w:rsidP="00CF5394">
            <w:pPr>
              <w:pStyle w:val="Tabletext"/>
              <w:rPr>
                <w:sz w:val="20"/>
              </w:rPr>
            </w:pPr>
            <w:r w:rsidRPr="00C3231B">
              <w:rPr>
                <w:sz w:val="20"/>
              </w:rPr>
              <w:t>Telecomunidad Asia-Pacífico (APT)</w:t>
            </w:r>
          </w:p>
          <w:p w14:paraId="0AFF2DF1" w14:textId="77777777" w:rsidR="00B27BCB" w:rsidRPr="00BF0AA6" w:rsidRDefault="00B27BCB" w:rsidP="00CF5394">
            <w:pPr>
              <w:pStyle w:val="Tabletext"/>
              <w:rPr>
                <w:sz w:val="20"/>
              </w:rPr>
            </w:pPr>
            <w:r w:rsidRPr="00C3231B">
              <w:rPr>
                <w:sz w:val="20"/>
              </w:rPr>
              <w:t>Oficina de la UIT para Asia</w:t>
            </w:r>
            <w:r>
              <w:rPr>
                <w:sz w:val="20"/>
              </w:rPr>
              <w:t>-</w:t>
            </w:r>
            <w:r w:rsidRPr="00C3231B">
              <w:rPr>
                <w:sz w:val="20"/>
              </w:rPr>
              <w:t>Pacífico</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923078" w14:textId="77777777" w:rsidR="00B27BCB" w:rsidRPr="00C3231B" w:rsidRDefault="00B27BCB" w:rsidP="00CF5394">
            <w:pPr>
              <w:pStyle w:val="Tabletext"/>
              <w:ind w:left="284" w:hanging="284"/>
              <w:rPr>
                <w:sz w:val="20"/>
              </w:rPr>
            </w:pPr>
            <w:r w:rsidRPr="00C3231B">
              <w:rPr>
                <w:sz w:val="20"/>
              </w:rPr>
              <w:t>•</w:t>
            </w:r>
            <w:r w:rsidRPr="00C3231B">
              <w:rPr>
                <w:sz w:val="20"/>
              </w:rPr>
              <w:tab/>
            </w:r>
            <w:r w:rsidRPr="00BF0AA6">
              <w:rPr>
                <w:sz w:val="20"/>
              </w:rPr>
              <w:t>Herramientas aplicables al Cuadro nacional de atribución de frecuencias</w:t>
            </w:r>
          </w:p>
          <w:p w14:paraId="555A5518" w14:textId="77777777" w:rsidR="00B27BCB" w:rsidRPr="00C3231B" w:rsidRDefault="00B27BCB" w:rsidP="00CF5394">
            <w:pPr>
              <w:pStyle w:val="Tabletext"/>
              <w:rPr>
                <w:sz w:val="20"/>
              </w:rPr>
            </w:pPr>
            <w:r w:rsidRPr="00C3231B">
              <w:rPr>
                <w:sz w:val="20"/>
              </w:rPr>
              <w:t>•</w:t>
            </w:r>
            <w:r w:rsidRPr="00C3231B">
              <w:rPr>
                <w:sz w:val="20"/>
              </w:rPr>
              <w:tab/>
              <w:t>Modernas técnicas de gestión y comprobación técnica del espectro</w:t>
            </w:r>
          </w:p>
          <w:p w14:paraId="057F49F9" w14:textId="77777777" w:rsidR="00B27BCB" w:rsidRPr="00C3231B" w:rsidRDefault="00B27BCB" w:rsidP="00CF5394">
            <w:pPr>
              <w:pStyle w:val="Tabletext"/>
              <w:rPr>
                <w:sz w:val="20"/>
              </w:rPr>
            </w:pPr>
            <w:r w:rsidRPr="00C3231B">
              <w:rPr>
                <w:sz w:val="20"/>
              </w:rPr>
              <w:t>•</w:t>
            </w:r>
            <w:r w:rsidRPr="00C3231B">
              <w:rPr>
                <w:sz w:val="20"/>
              </w:rPr>
              <w:tab/>
              <w:t>Radiodifusión terrenal digital para TV y audio</w:t>
            </w:r>
          </w:p>
          <w:p w14:paraId="7F45772C" w14:textId="77777777" w:rsidR="00B27BCB" w:rsidRPr="00C3231B" w:rsidRDefault="00B27BCB" w:rsidP="00CF5394">
            <w:pPr>
              <w:pStyle w:val="Tabletext"/>
              <w:rPr>
                <w:sz w:val="20"/>
              </w:rPr>
            </w:pPr>
            <w:r w:rsidRPr="00C3231B">
              <w:rPr>
                <w:sz w:val="20"/>
              </w:rPr>
              <w:t>•</w:t>
            </w:r>
            <w:r w:rsidRPr="00C3231B">
              <w:rPr>
                <w:sz w:val="20"/>
              </w:rPr>
              <w:tab/>
              <w:t>Marcos de planes nacionales para las comunicaciones de emergencia</w:t>
            </w:r>
          </w:p>
          <w:p w14:paraId="26F9C926" w14:textId="77777777" w:rsidR="00B27BCB" w:rsidRPr="00C3231B" w:rsidRDefault="00B27BCB" w:rsidP="00CF5394">
            <w:pPr>
              <w:pStyle w:val="Tabletext"/>
              <w:rPr>
                <w:sz w:val="20"/>
              </w:rPr>
            </w:pPr>
            <w:r w:rsidRPr="00C3231B">
              <w:rPr>
                <w:sz w:val="20"/>
              </w:rPr>
              <w:t>•</w:t>
            </w:r>
            <w:r w:rsidRPr="00C3231B">
              <w:rPr>
                <w:sz w:val="20"/>
              </w:rPr>
              <w:tab/>
              <w:t>Tendencias de las IMT-2020 (5G)</w:t>
            </w:r>
          </w:p>
          <w:p w14:paraId="57A67B83" w14:textId="77777777" w:rsidR="00B27BCB" w:rsidRPr="00C3231B" w:rsidRDefault="00B27BCB" w:rsidP="00CF5394">
            <w:pPr>
              <w:pStyle w:val="Tabletext"/>
              <w:ind w:left="284" w:hanging="284"/>
              <w:rPr>
                <w:sz w:val="20"/>
              </w:rPr>
            </w:pPr>
            <w:r w:rsidRPr="00C3231B">
              <w:rPr>
                <w:sz w:val="20"/>
              </w:rPr>
              <w:t>•</w:t>
            </w:r>
            <w:r w:rsidRPr="00C3231B">
              <w:rPr>
                <w:sz w:val="20"/>
              </w:rPr>
              <w:tab/>
              <w:t xml:space="preserve">Otros sistemas terrenales de banda ancha: </w:t>
            </w:r>
            <w:r>
              <w:rPr>
                <w:sz w:val="20"/>
              </w:rPr>
              <w:t>f</w:t>
            </w:r>
            <w:r w:rsidRPr="00C3231B">
              <w:rPr>
                <w:sz w:val="20"/>
              </w:rPr>
              <w:t>ijos; HAPS/HIBS; RLAN</w:t>
            </w:r>
          </w:p>
          <w:p w14:paraId="28DD4016" w14:textId="77777777" w:rsidR="00B27BCB" w:rsidRPr="00C3231B" w:rsidRDefault="00B27BCB" w:rsidP="00CF5394">
            <w:pPr>
              <w:pStyle w:val="Tabletext"/>
              <w:rPr>
                <w:sz w:val="20"/>
              </w:rPr>
            </w:pPr>
            <w:r w:rsidRPr="00C3231B">
              <w:rPr>
                <w:sz w:val="20"/>
              </w:rPr>
              <w:t>•</w:t>
            </w:r>
            <w:r w:rsidRPr="00C3231B">
              <w:rPr>
                <w:sz w:val="20"/>
              </w:rPr>
              <w:tab/>
              <w:t>Precios del espectro 5G: &lt;</w:t>
            </w:r>
            <w:r>
              <w:rPr>
                <w:sz w:val="20"/>
              </w:rPr>
              <w:t xml:space="preserve"> </w:t>
            </w:r>
            <w:r w:rsidRPr="00C3231B">
              <w:rPr>
                <w:sz w:val="20"/>
              </w:rPr>
              <w:t>1</w:t>
            </w:r>
            <w:r>
              <w:rPr>
                <w:sz w:val="20"/>
              </w:rPr>
              <w:t> </w:t>
            </w:r>
            <w:r w:rsidRPr="00C3231B">
              <w:rPr>
                <w:sz w:val="20"/>
              </w:rPr>
              <w:t>GHz; 1 a 6</w:t>
            </w:r>
            <w:r>
              <w:rPr>
                <w:sz w:val="20"/>
              </w:rPr>
              <w:t> </w:t>
            </w:r>
            <w:r w:rsidRPr="00C3231B">
              <w:rPr>
                <w:sz w:val="20"/>
              </w:rPr>
              <w:t>GHz; ondas milimétricas</w:t>
            </w:r>
          </w:p>
          <w:p w14:paraId="4AF04A42" w14:textId="77777777" w:rsidR="00B27BCB" w:rsidRPr="00C3231B" w:rsidRDefault="00B27BCB" w:rsidP="00CF5394">
            <w:pPr>
              <w:pStyle w:val="Tabletext"/>
              <w:ind w:left="284" w:hanging="284"/>
              <w:rPr>
                <w:sz w:val="20"/>
              </w:rPr>
            </w:pPr>
            <w:r w:rsidRPr="00C3231B">
              <w:rPr>
                <w:sz w:val="20"/>
              </w:rPr>
              <w:t>•</w:t>
            </w:r>
            <w:r w:rsidRPr="00C3231B">
              <w:rPr>
                <w:sz w:val="20"/>
              </w:rPr>
              <w:tab/>
              <w:t>Sistemas de satélite: satélites de banda ancha (OSG y no OSG); ETEM; pequeños satélites</w:t>
            </w:r>
          </w:p>
          <w:p w14:paraId="7F5D9DA4" w14:textId="77777777" w:rsidR="00B27BCB" w:rsidRPr="00BF0AA6" w:rsidRDefault="00B27BCB" w:rsidP="00CF5394">
            <w:pPr>
              <w:pStyle w:val="Tabletext"/>
              <w:ind w:left="284" w:hanging="284"/>
              <w:rPr>
                <w:sz w:val="20"/>
              </w:rPr>
            </w:pPr>
            <w:r w:rsidRPr="00C3231B">
              <w:rPr>
                <w:sz w:val="20"/>
              </w:rPr>
              <w:t>•</w:t>
            </w:r>
            <w:r w:rsidRPr="00C3231B">
              <w:rPr>
                <w:sz w:val="20"/>
              </w:rPr>
              <w:tab/>
              <w:t>Mesa redonda sobre el alcance regional de los resultados de la CMR</w:t>
            </w:r>
            <w:r>
              <w:rPr>
                <w:sz w:val="20"/>
              </w:rPr>
              <w:noBreakHyphen/>
            </w:r>
            <w:r w:rsidRPr="00C3231B">
              <w:rPr>
                <w:sz w:val="20"/>
              </w:rPr>
              <w:t>19 y los retos del orden del día de la CMR-23</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5758A59" w14:textId="77777777" w:rsidR="00B27BCB" w:rsidRPr="00BF0AA6" w:rsidRDefault="00B27BCB" w:rsidP="00CF5394">
            <w:pPr>
              <w:pStyle w:val="Tabletext"/>
              <w:jc w:val="center"/>
              <w:rPr>
                <w:sz w:val="20"/>
              </w:rPr>
            </w:pPr>
            <w:r>
              <w:rPr>
                <w:sz w:val="20"/>
              </w:rPr>
              <w:t>E</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49495638" w14:textId="77777777" w:rsidR="00B27BCB" w:rsidRPr="00BF0AA6" w:rsidRDefault="00B27BCB" w:rsidP="00CF5394">
            <w:pPr>
              <w:pStyle w:val="Tabletext"/>
              <w:jc w:val="center"/>
              <w:rPr>
                <w:sz w:val="20"/>
              </w:rPr>
            </w:pPr>
            <w:r w:rsidRPr="00985FEA">
              <w:rPr>
                <w:sz w:val="20"/>
              </w:rPr>
              <w:t>287/58</w:t>
            </w:r>
          </w:p>
        </w:tc>
      </w:tr>
    </w:tbl>
    <w:p w14:paraId="6FBEE384" w14:textId="77777777" w:rsidR="00B27BCB" w:rsidRDefault="00B27BCB" w:rsidP="00B27BCB">
      <w:pPr>
        <w:keepNext/>
        <w:keepLines/>
        <w:spacing w:before="160"/>
        <w:ind w:left="794" w:hanging="794"/>
        <w:textAlignment w:val="auto"/>
        <w:outlineLvl w:val="2"/>
        <w:rPr>
          <w:b/>
        </w:rPr>
        <w:sectPr w:rsidR="00B27BCB" w:rsidSect="00CF5394">
          <w:headerReference w:type="first" r:id="rId42"/>
          <w:pgSz w:w="16834" w:h="11907" w:orient="landscape"/>
          <w:pgMar w:top="1134" w:right="1418" w:bottom="1134" w:left="1418" w:header="720" w:footer="720" w:gutter="0"/>
          <w:paperSrc w:first="15" w:other="15"/>
          <w:cols w:space="720"/>
          <w:titlePg/>
          <w:docGrid w:linePitch="326"/>
        </w:sectPr>
      </w:pPr>
    </w:p>
    <w:p w14:paraId="092B216A" w14:textId="77777777" w:rsidR="00B27BCB" w:rsidRPr="00423B98" w:rsidRDefault="00B27BCB" w:rsidP="00B27BCB">
      <w:pPr>
        <w:pStyle w:val="Heading3"/>
      </w:pPr>
      <w:r w:rsidRPr="00423B98">
        <w:lastRenderedPageBreak/>
        <w:t>8.2.3</w:t>
      </w:r>
      <w:r w:rsidRPr="00423B98">
        <w:tab/>
      </w:r>
      <w:bookmarkEnd w:id="73"/>
      <w:r w:rsidRPr="00423B98">
        <w:t>Seminarios Mundiales y Regionales de Radiocomunicaciones previstos para 202</w:t>
      </w:r>
      <w:r>
        <w:t>2</w:t>
      </w:r>
      <w:r w:rsidRPr="00423B98">
        <w:t>-2023</w:t>
      </w:r>
    </w:p>
    <w:p w14:paraId="56AD86B2" w14:textId="77777777" w:rsidR="00B27BCB" w:rsidRPr="00525EEF" w:rsidRDefault="00B27BCB" w:rsidP="00B27BCB">
      <w:pPr>
        <w:textAlignment w:val="auto"/>
      </w:pPr>
      <w:r w:rsidRPr="00525EEF">
        <w:t>En base a la planificación de SMR y SRR para 2020-2023 (Cuadro 8.2.2-1), se están considerando los siguientes seminarios en 202</w:t>
      </w:r>
      <w:r>
        <w:t>2</w:t>
      </w:r>
      <w:r w:rsidRPr="00525EEF">
        <w:t>:</w:t>
      </w:r>
    </w:p>
    <w:p w14:paraId="5A15346D" w14:textId="49642FF7" w:rsidR="00B27BCB" w:rsidRPr="00F2111C" w:rsidRDefault="00B27BCB" w:rsidP="00B27BCB">
      <w:pPr>
        <w:pStyle w:val="enumlev1"/>
      </w:pPr>
      <w:r w:rsidRPr="00F2111C">
        <w:t>–</w:t>
      </w:r>
      <w:r w:rsidRPr="00F2111C">
        <w:tab/>
        <w:t>SRR-22-Estados Árabes; 13 a 24 de marzo de 2022, en línea, en árabe e inglés</w:t>
      </w:r>
      <w:r w:rsidR="00874F33">
        <w:t>.</w:t>
      </w:r>
    </w:p>
    <w:p w14:paraId="7A892AA9" w14:textId="2390EC27" w:rsidR="00B27BCB" w:rsidRPr="00F2111C" w:rsidRDefault="00B27BCB" w:rsidP="00B27BCB">
      <w:pPr>
        <w:pStyle w:val="enumlev1"/>
      </w:pPr>
      <w:r w:rsidRPr="00F2111C">
        <w:t>–</w:t>
      </w:r>
      <w:r w:rsidRPr="00F2111C">
        <w:tab/>
        <w:t xml:space="preserve">SRR-22-Países de </w:t>
      </w:r>
      <w:r>
        <w:t>Europa Oriental</w:t>
      </w:r>
      <w:r w:rsidRPr="00F2111C">
        <w:t xml:space="preserve">: segundo </w:t>
      </w:r>
      <w:r>
        <w:t xml:space="preserve">o tercer </w:t>
      </w:r>
      <w:r w:rsidRPr="00F2111C">
        <w:t xml:space="preserve">trimestre de 2022 (a determinar), </w:t>
      </w:r>
      <w:r>
        <w:t>presencial si es posible (pendiente de confirmar)</w:t>
      </w:r>
      <w:r w:rsidR="00874F33">
        <w:t>.</w:t>
      </w:r>
    </w:p>
    <w:p w14:paraId="7B369944" w14:textId="42B4748E" w:rsidR="00B27BCB" w:rsidRDefault="00B27BCB" w:rsidP="00B27BCB">
      <w:pPr>
        <w:pStyle w:val="enumlev1"/>
      </w:pPr>
      <w:r w:rsidRPr="00F2111C">
        <w:t>–</w:t>
      </w:r>
      <w:r w:rsidRPr="00F2111C">
        <w:tab/>
        <w:t>SRR-22-Asia-Pacífico: octubre de 2022, presencial si es posible (</w:t>
      </w:r>
      <w:r w:rsidRPr="000664D6">
        <w:t>pendiente de confirmar</w:t>
      </w:r>
      <w:r w:rsidRPr="00F2111C">
        <w:t>).</w:t>
      </w:r>
    </w:p>
    <w:p w14:paraId="78A2B9EA" w14:textId="09C04A58" w:rsidR="00B27BCB" w:rsidRPr="00F2111C" w:rsidRDefault="00B27BCB" w:rsidP="00B27BCB">
      <w:pPr>
        <w:pStyle w:val="enumlev1"/>
      </w:pPr>
      <w:r w:rsidRPr="00F2111C">
        <w:t>–</w:t>
      </w:r>
      <w:r w:rsidRPr="00F2111C">
        <w:tab/>
        <w:t>S</w:t>
      </w:r>
      <w:r>
        <w:t>M</w:t>
      </w:r>
      <w:r w:rsidRPr="00F2111C">
        <w:t>R</w:t>
      </w:r>
      <w:r>
        <w:t>-22: 24 al 28 de octubre de 2022, presencial</w:t>
      </w:r>
      <w:r w:rsidR="00874F33">
        <w:t>.</w:t>
      </w:r>
    </w:p>
    <w:p w14:paraId="15C33BB9" w14:textId="77777777" w:rsidR="00B27BCB" w:rsidRDefault="00B27BCB" w:rsidP="00B27BCB">
      <w:pPr>
        <w:textAlignment w:val="auto"/>
      </w:pPr>
      <w:r>
        <w:t>Como se ha indicado anteriormente, se está coordinando y ajustando la planificación de 2022 con las Oficinas Regionales de la UIT y los grupos regionales pertinentes, teniendo en cuenta los problemas que han surgido debido al brote de SARS-CoV-2 y los consiguientes cambios de formato necesarios para la celebración de estos eventos.</w:t>
      </w:r>
    </w:p>
    <w:p w14:paraId="7DD6E977" w14:textId="77777777" w:rsidR="00B27BCB" w:rsidRPr="00EA77EC" w:rsidRDefault="00B27BCB" w:rsidP="00B27BCB">
      <w:pPr>
        <w:pStyle w:val="Heading3"/>
      </w:pPr>
      <w:bookmarkStart w:id="74" w:name="_Toc446060787"/>
      <w:r w:rsidRPr="00EA77EC">
        <w:t>8.2.4</w:t>
      </w:r>
      <w:r w:rsidRPr="00EA77EC">
        <w:tab/>
      </w:r>
      <w:bookmarkEnd w:id="74"/>
      <w:r w:rsidRPr="00EA77EC">
        <w:t>Otros eventos</w:t>
      </w:r>
    </w:p>
    <w:p w14:paraId="38C78273" w14:textId="77777777" w:rsidR="00B27BCB" w:rsidRPr="00EA77EC" w:rsidRDefault="00B27BCB" w:rsidP="00B27BCB">
      <w:pPr>
        <w:textAlignment w:val="auto"/>
      </w:pPr>
      <w:bookmarkStart w:id="75" w:name="lt_pId1203"/>
      <w:r w:rsidRPr="00EA77EC">
        <w:t>Los expertos de la BR siguieron asistiendo y prestando apoyo a diversos eventos como los organizados por organismos especializados de las Naciones Unidas y organizaciones regionales de telecomunicaciones, así como a conferencias y simposios no organizados por la UIT. La BR también organizó seminarios y talleres y respondió a solicitudes de asistencia de Estados Miembros. Debido a las restricciones de viaje provocadas por el brote de SARS-CoV-2, casi todas las reuniones se celebraron en línea, incluido grandes eventos como:</w:t>
      </w:r>
    </w:p>
    <w:bookmarkEnd w:id="75"/>
    <w:p w14:paraId="58E4584F" w14:textId="77777777" w:rsidR="00B27BCB" w:rsidRPr="00EF482E" w:rsidRDefault="00B27BCB" w:rsidP="00B27BCB">
      <w:pPr>
        <w:pStyle w:val="enumlev1"/>
        <w:rPr>
          <w:lang w:val="es-ES" w:eastAsia="zh-CN"/>
        </w:rPr>
      </w:pPr>
      <w:r w:rsidRPr="00EF482E">
        <w:rPr>
          <w:lang w:val="es-ES" w:eastAsia="zh-CN"/>
        </w:rPr>
        <w:t>–</w:t>
      </w:r>
      <w:r w:rsidRPr="00EF482E">
        <w:rPr>
          <w:lang w:val="es-ES" w:eastAsia="zh-CN"/>
        </w:rPr>
        <w:tab/>
        <w:t>Taller de capacitación en cuestiones de satélites de la SADC.</w:t>
      </w:r>
    </w:p>
    <w:p w14:paraId="4B1CA311" w14:textId="77777777" w:rsidR="00B27BCB" w:rsidRPr="00EF482E" w:rsidRDefault="00B27BCB" w:rsidP="00B27BCB">
      <w:pPr>
        <w:pStyle w:val="enumlev1"/>
        <w:rPr>
          <w:lang w:val="es-ES" w:eastAsia="zh-CN"/>
        </w:rPr>
      </w:pPr>
      <w:r w:rsidRPr="00EF482E">
        <w:rPr>
          <w:lang w:val="es-ES" w:eastAsia="zh-CN"/>
        </w:rPr>
        <w:t>–</w:t>
      </w:r>
      <w:r w:rsidRPr="00EF482E">
        <w:rPr>
          <w:lang w:val="es-ES" w:eastAsia="zh-CN"/>
        </w:rPr>
        <w:tab/>
        <w:t>Taller UIT/UAT sobre la aplicación del punto 1.4 del orden del día de la CMR-19.</w:t>
      </w:r>
    </w:p>
    <w:p w14:paraId="24A8B13F" w14:textId="77777777" w:rsidR="00B27BCB" w:rsidRPr="00EF482E" w:rsidRDefault="00B27BCB" w:rsidP="00B27BCB">
      <w:pPr>
        <w:pStyle w:val="enumlev1"/>
        <w:rPr>
          <w:lang w:val="es-ES" w:eastAsia="zh-CN"/>
        </w:rPr>
      </w:pPr>
      <w:r w:rsidRPr="00EF482E">
        <w:rPr>
          <w:lang w:val="es-ES" w:eastAsia="zh-CN"/>
        </w:rPr>
        <w:t>–</w:t>
      </w:r>
      <w:r w:rsidRPr="00EF482E">
        <w:rPr>
          <w:lang w:val="es-ES" w:eastAsia="zh-CN"/>
        </w:rPr>
        <w:tab/>
        <w:t>Talleres UIT/PRIDA sobre gestión del espectro – inglés/francés.</w:t>
      </w:r>
    </w:p>
    <w:p w14:paraId="76A49134" w14:textId="77777777" w:rsidR="00B27BCB" w:rsidRPr="00EF482E" w:rsidRDefault="00B27BCB" w:rsidP="00B27BCB">
      <w:pPr>
        <w:pStyle w:val="enumlev1"/>
        <w:rPr>
          <w:lang w:val="es-ES" w:eastAsia="zh-CN"/>
        </w:rPr>
      </w:pPr>
      <w:r w:rsidRPr="00EF482E">
        <w:rPr>
          <w:lang w:val="es-ES" w:eastAsia="zh-CN"/>
        </w:rPr>
        <w:t>–</w:t>
      </w:r>
      <w:r w:rsidRPr="00EF482E">
        <w:rPr>
          <w:lang w:val="es-ES" w:eastAsia="zh-CN"/>
        </w:rPr>
        <w:tab/>
        <w:t>Talleres UIT/PRIDA sobre IoT y servicios digitales – inglés/francés.</w:t>
      </w:r>
    </w:p>
    <w:p w14:paraId="2263777F" w14:textId="77777777" w:rsidR="00B27BCB" w:rsidRPr="00EF482E" w:rsidRDefault="00B27BCB" w:rsidP="00B27BCB">
      <w:pPr>
        <w:pStyle w:val="enumlev1"/>
        <w:rPr>
          <w:lang w:val="es-ES" w:eastAsia="zh-CN"/>
        </w:rPr>
      </w:pPr>
      <w:r w:rsidRPr="00EF482E">
        <w:rPr>
          <w:lang w:val="es-ES" w:eastAsia="zh-CN"/>
        </w:rPr>
        <w:t>–</w:t>
      </w:r>
      <w:r w:rsidRPr="00EF482E">
        <w:rPr>
          <w:lang w:val="es-ES" w:eastAsia="zh-CN"/>
        </w:rPr>
        <w:tab/>
        <w:t xml:space="preserve">Seminario Regional de la UIT </w:t>
      </w:r>
      <w:r>
        <w:rPr>
          <w:lang w:val="es-ES" w:eastAsia="zh-CN"/>
        </w:rPr>
        <w:t xml:space="preserve">para </w:t>
      </w:r>
      <w:r w:rsidRPr="00EF482E">
        <w:rPr>
          <w:lang w:val="es-ES" w:eastAsia="zh-CN"/>
        </w:rPr>
        <w:t>Europa y la CEI– Espectro y Radiodifusión.</w:t>
      </w:r>
    </w:p>
    <w:p w14:paraId="5CEC0380" w14:textId="77777777" w:rsidR="00B27BCB" w:rsidRPr="00EF482E" w:rsidRDefault="00B27BCB" w:rsidP="00B27BCB">
      <w:pPr>
        <w:pStyle w:val="enumlev1"/>
        <w:rPr>
          <w:lang w:val="es-ES" w:eastAsia="zh-CN"/>
        </w:rPr>
      </w:pPr>
      <w:r w:rsidRPr="00EF482E">
        <w:rPr>
          <w:lang w:val="es-ES" w:eastAsia="zh-CN"/>
        </w:rPr>
        <w:t>–</w:t>
      </w:r>
      <w:r w:rsidRPr="00EF482E">
        <w:rPr>
          <w:lang w:val="es-ES" w:eastAsia="zh-CN"/>
        </w:rPr>
        <w:tab/>
        <w:t>Talleres de los Grupos de Coordinación 1 a 4 – Optimización del Plan GE84 para los países africanos – inglés/francés.</w:t>
      </w:r>
    </w:p>
    <w:p w14:paraId="654F2076" w14:textId="77777777" w:rsidR="00B27BCB" w:rsidRPr="00EF482E" w:rsidRDefault="00B27BCB" w:rsidP="00B27BCB">
      <w:pPr>
        <w:pStyle w:val="enumlev1"/>
        <w:rPr>
          <w:lang w:val="es-ES" w:eastAsia="zh-CN"/>
        </w:rPr>
      </w:pPr>
      <w:r w:rsidRPr="00EF482E">
        <w:rPr>
          <w:lang w:val="es-ES" w:eastAsia="zh-CN"/>
        </w:rPr>
        <w:t>–</w:t>
      </w:r>
      <w:r w:rsidRPr="00EF482E">
        <w:rPr>
          <w:lang w:val="es-ES" w:eastAsia="zh-CN"/>
        </w:rPr>
        <w:tab/>
        <w:t>Formación UIT/ITSO para las Américas.</w:t>
      </w:r>
    </w:p>
    <w:p w14:paraId="279D3C57" w14:textId="77777777" w:rsidR="00B27BCB" w:rsidRPr="00EF482E" w:rsidRDefault="00B27BCB" w:rsidP="00B27BCB">
      <w:pPr>
        <w:pStyle w:val="enumlev1"/>
        <w:rPr>
          <w:lang w:val="es-ES" w:eastAsia="zh-CN"/>
        </w:rPr>
      </w:pPr>
      <w:r w:rsidRPr="00EF482E">
        <w:rPr>
          <w:lang w:val="es-ES" w:eastAsia="zh-CN"/>
        </w:rPr>
        <w:t>–</w:t>
      </w:r>
      <w:r w:rsidRPr="00EF482E">
        <w:rPr>
          <w:lang w:val="es-ES" w:eastAsia="zh-CN"/>
        </w:rPr>
        <w:tab/>
        <w:t xml:space="preserve">Taller </w:t>
      </w:r>
      <w:r>
        <w:rPr>
          <w:lang w:val="es-ES" w:eastAsia="zh-CN"/>
        </w:rPr>
        <w:t xml:space="preserve">de la </w:t>
      </w:r>
      <w:r w:rsidRPr="00EF482E">
        <w:rPr>
          <w:lang w:val="es-ES" w:eastAsia="zh-CN"/>
        </w:rPr>
        <w:t xml:space="preserve">UIT sobre </w:t>
      </w:r>
      <w:r>
        <w:rPr>
          <w:lang w:val="es-ES" w:eastAsia="zh-CN"/>
        </w:rPr>
        <w:t xml:space="preserve">la comprobación técnica </w:t>
      </w:r>
      <w:r w:rsidRPr="00EF482E">
        <w:rPr>
          <w:lang w:val="es-ES" w:eastAsia="zh-CN"/>
        </w:rPr>
        <w:t>del espectro para la Región Árabe.</w:t>
      </w:r>
    </w:p>
    <w:p w14:paraId="5620978B" w14:textId="77777777" w:rsidR="00B27BCB" w:rsidRDefault="00B27BCB" w:rsidP="00B27BCB">
      <w:pPr>
        <w:pStyle w:val="Heading2"/>
      </w:pPr>
      <w:r w:rsidRPr="00EA77EC">
        <w:t>8.3</w:t>
      </w:r>
      <w:r w:rsidRPr="00EA77EC">
        <w:tab/>
        <w:t>Asistencia a los Estados Miembros, en particular a países en desarrollo y PMA</w:t>
      </w:r>
    </w:p>
    <w:p w14:paraId="3B628357" w14:textId="77777777" w:rsidR="00B27BCB" w:rsidRPr="00EA77EC" w:rsidRDefault="00B27BCB" w:rsidP="00B27BCB">
      <w:pPr>
        <w:pStyle w:val="Heading3"/>
      </w:pPr>
      <w:bookmarkStart w:id="76" w:name="_Toc424047611"/>
      <w:bookmarkStart w:id="77" w:name="_Toc446060789"/>
      <w:r w:rsidRPr="00EA77EC">
        <w:t>8.3.1</w:t>
      </w:r>
      <w:r w:rsidRPr="00EA77EC">
        <w:tab/>
      </w:r>
      <w:bookmarkEnd w:id="76"/>
      <w:bookmarkEnd w:id="77"/>
      <w:r w:rsidRPr="00EA77EC">
        <w:t>Asistencia a las administraciones de los países en desarrollo</w:t>
      </w:r>
    </w:p>
    <w:p w14:paraId="4D558442" w14:textId="77777777" w:rsidR="00B27BCB" w:rsidRPr="00EA77EC" w:rsidRDefault="00B27BCB" w:rsidP="00B27BCB">
      <w:pPr>
        <w:textAlignment w:val="auto"/>
      </w:pPr>
      <w:r w:rsidRPr="00EA77EC">
        <w:t>La Oficina siguió prestando asistencia a las administraciones de los países en desarrollo a través de medidas tales como:</w:t>
      </w:r>
    </w:p>
    <w:p w14:paraId="64BFC824" w14:textId="77777777" w:rsidR="00B27BCB" w:rsidRPr="00EA77EC" w:rsidRDefault="00B27BCB" w:rsidP="00B27BCB">
      <w:pPr>
        <w:pStyle w:val="enumlev1"/>
      </w:pPr>
      <w:r w:rsidRPr="00EA77EC">
        <w:t>–</w:t>
      </w:r>
      <w:r w:rsidRPr="00EA77EC">
        <w:tab/>
      </w:r>
      <w:r>
        <w:t>A</w:t>
      </w:r>
      <w:r w:rsidRPr="00EA77EC">
        <w:t xml:space="preserve">poyo a las actividades nacionales de gestión del espectro en un entorno reglamentario en rápida evolución (véase la Resolución </w:t>
      </w:r>
      <w:r w:rsidRPr="00EA77EC">
        <w:rPr>
          <w:b/>
          <w:bCs/>
        </w:rPr>
        <w:t>7 (Rev.CMR-19)</w:t>
      </w:r>
      <w:r w:rsidRPr="00EA77EC">
        <w:t xml:space="preserve">), así como de asistencia técnica en el campo de las radiocomunicaciones espaciales (Resolución </w:t>
      </w:r>
      <w:r w:rsidRPr="00EA77EC">
        <w:rPr>
          <w:b/>
          <w:bCs/>
        </w:rPr>
        <w:t>15 (Rev.CMR-03)</w:t>
      </w:r>
      <w:r w:rsidRPr="00EA77EC">
        <w:t>), ya sea en la sede de la UIT o en el terreno.</w:t>
      </w:r>
    </w:p>
    <w:p w14:paraId="2C6E0A0F" w14:textId="77777777" w:rsidR="00B27BCB" w:rsidRPr="00EA77EC" w:rsidRDefault="00B27BCB" w:rsidP="00B27BCB">
      <w:pPr>
        <w:pStyle w:val="enumlev1"/>
      </w:pPr>
      <w:r w:rsidRPr="00EA77EC">
        <w:t>–</w:t>
      </w:r>
      <w:r w:rsidRPr="00EA77EC">
        <w:tab/>
      </w:r>
      <w:r>
        <w:t>P</w:t>
      </w:r>
      <w:r w:rsidRPr="00EA77EC">
        <w:t>articipación en las reuniones de los grupos de coordinación regional, como se estipula en el Artículo 12 del Reglamento de Radiocomunicaciones.</w:t>
      </w:r>
    </w:p>
    <w:p w14:paraId="1484BA64" w14:textId="77777777" w:rsidR="00B27BCB" w:rsidRPr="00EA77EC" w:rsidRDefault="00B27BCB" w:rsidP="00B27BCB">
      <w:pPr>
        <w:pStyle w:val="enumlev1"/>
      </w:pPr>
      <w:r w:rsidRPr="00EA77EC">
        <w:t>–</w:t>
      </w:r>
      <w:r w:rsidRPr="00EA77EC">
        <w:tab/>
      </w:r>
      <w:r>
        <w:t>P</w:t>
      </w:r>
      <w:r w:rsidRPr="00EA77EC">
        <w:t xml:space="preserve">restación de asistencia en relación con </w:t>
      </w:r>
      <w:r>
        <w:t xml:space="preserve">la hoja de ruta sobre el espectro </w:t>
      </w:r>
      <w:r w:rsidRPr="00EA77EC">
        <w:t>a largo plazo para la banda ancha móvil y la asignación de frecuencias para la banda ancha móvil (IMT).</w:t>
      </w:r>
    </w:p>
    <w:p w14:paraId="42EF591B" w14:textId="77777777" w:rsidR="00B27BCB" w:rsidRPr="00EA77EC" w:rsidRDefault="00B27BCB" w:rsidP="00B27BCB">
      <w:pPr>
        <w:pStyle w:val="enumlev1"/>
      </w:pPr>
      <w:r w:rsidRPr="00EA77EC">
        <w:lastRenderedPageBreak/>
        <w:t>–</w:t>
      </w:r>
      <w:r w:rsidRPr="00EA77EC">
        <w:tab/>
      </w:r>
      <w:r>
        <w:t>P</w:t>
      </w:r>
      <w:r w:rsidRPr="00EA77EC">
        <w:t>rovisión de directrices y apoyo técnico para la transición a la televisión digital y la atribución del dividendo digital.</w:t>
      </w:r>
    </w:p>
    <w:p w14:paraId="733A4549" w14:textId="77777777" w:rsidR="00B27BCB" w:rsidRPr="00EA77EC" w:rsidRDefault="00B27BCB" w:rsidP="00B27BCB">
      <w:pPr>
        <w:textAlignment w:val="auto"/>
      </w:pPr>
      <w:r w:rsidRPr="00EA77EC">
        <w:t xml:space="preserve">A lo largo del año 2020 se finalizaron las prestaciones de asistencia </w:t>
      </w:r>
      <w:r>
        <w:t xml:space="preserve">directa </w:t>
      </w:r>
      <w:r w:rsidRPr="00EA77EC">
        <w:t>que estaban en curso. No se han recibido nuevas solicitudes</w:t>
      </w:r>
      <w:r>
        <w:t xml:space="preserve"> de asistencia</w:t>
      </w:r>
      <w:r w:rsidRPr="00EA77EC">
        <w:t xml:space="preserve"> directa.</w:t>
      </w:r>
    </w:p>
    <w:p w14:paraId="1D80F19D" w14:textId="77777777" w:rsidR="00B27BCB" w:rsidRPr="00EA77EC" w:rsidRDefault="00B27BCB" w:rsidP="00B27BCB">
      <w:pPr>
        <w:pStyle w:val="Heading3"/>
      </w:pPr>
      <w:r w:rsidRPr="00EA77EC">
        <w:t>8.3.2</w:t>
      </w:r>
      <w:r w:rsidRPr="00EA77EC">
        <w:tab/>
        <w:t>Asistencia a los grupos regionales</w:t>
      </w:r>
    </w:p>
    <w:p w14:paraId="76C1E3AE" w14:textId="77777777" w:rsidR="00B27BCB" w:rsidRPr="00EA77EC" w:rsidRDefault="00B27BCB" w:rsidP="00B27BCB">
      <w:pPr>
        <w:textAlignment w:val="auto"/>
      </w:pPr>
      <w:r w:rsidRPr="00EA77EC">
        <w:t xml:space="preserve">La Oficina siguió participando en las reuniones de los grupos de coordinación regionales (por ejemplo, la HFCC) conforme a lo estipulado en el Artículo 12 del Reglamento de Radiocomunicaciones, prestando la asistencia y </w:t>
      </w:r>
      <w:r>
        <w:t xml:space="preserve">la </w:t>
      </w:r>
      <w:r w:rsidRPr="00EA77EC">
        <w:t>colaboración necesarias, como se indica a continuación.</w:t>
      </w:r>
    </w:p>
    <w:p w14:paraId="07488DA4" w14:textId="77777777" w:rsidR="00B27BCB" w:rsidRPr="00F46492" w:rsidRDefault="00B27BCB" w:rsidP="00B27BCB">
      <w:pPr>
        <w:pStyle w:val="Heading4"/>
        <w:rPr>
          <w:lang w:val="es-ES"/>
        </w:rPr>
      </w:pPr>
      <w:bookmarkStart w:id="78" w:name="_Toc424047613"/>
      <w:r w:rsidRPr="00F46492">
        <w:rPr>
          <w:lang w:val="es-ES"/>
        </w:rPr>
        <w:t>8.3.2.1</w:t>
      </w:r>
      <w:r w:rsidRPr="00F46492">
        <w:rPr>
          <w:lang w:val="es-ES"/>
        </w:rPr>
        <w:tab/>
      </w:r>
      <w:bookmarkStart w:id="79" w:name="lt_pId1318"/>
      <w:r w:rsidRPr="00F46492">
        <w:rPr>
          <w:lang w:val="es-ES"/>
        </w:rPr>
        <w:t>Asistencia a la UAT</w:t>
      </w:r>
      <w:bookmarkEnd w:id="78"/>
      <w:bookmarkEnd w:id="79"/>
    </w:p>
    <w:p w14:paraId="056E70C6" w14:textId="77777777" w:rsidR="00B27BCB" w:rsidRPr="006547A4" w:rsidRDefault="00B27BCB" w:rsidP="00B27BCB">
      <w:r w:rsidRPr="007D08A2">
        <w:rPr>
          <w:b/>
          <w:bCs/>
          <w:lang w:val="es-ES"/>
        </w:rPr>
        <w:t>Proyecto de optimización del Plan G</w:t>
      </w:r>
      <w:r>
        <w:rPr>
          <w:b/>
          <w:bCs/>
          <w:lang w:val="es-ES"/>
        </w:rPr>
        <w:t>E</w:t>
      </w:r>
      <w:r w:rsidRPr="007D08A2">
        <w:rPr>
          <w:b/>
          <w:bCs/>
          <w:lang w:val="es-ES"/>
        </w:rPr>
        <w:t>84 para África</w:t>
      </w:r>
      <w:r w:rsidRPr="006547A4">
        <w:rPr>
          <w:lang w:val="es-ES"/>
        </w:rPr>
        <w:t>:</w:t>
      </w:r>
      <w:r w:rsidRPr="007D08A2">
        <w:rPr>
          <w:lang w:val="es-ES"/>
        </w:rPr>
        <w:t xml:space="preserve"> </w:t>
      </w:r>
      <w:r>
        <w:rPr>
          <w:lang w:val="es-ES"/>
        </w:rPr>
        <w:t>l</w:t>
      </w:r>
      <w:r w:rsidRPr="004A0D04">
        <w:t>a Oficina, en colaboración con la</w:t>
      </w:r>
      <w:r>
        <w:t> UAT</w:t>
      </w:r>
      <w:r w:rsidRPr="004A0D04">
        <w:t xml:space="preserve">, puso en marcha un proceso de optimización del Plan GE84 para los países africanos en 2019 y finalizó </w:t>
      </w:r>
      <w:r>
        <w:t>la labor</w:t>
      </w:r>
      <w:r w:rsidRPr="004A0D04">
        <w:t xml:space="preserve"> el 28 de enero de 2022. El objetivo principal de esta optimización es lograr un uso eficiente de la banda 87,5-108 MHz (FM) para la radiodifusión sonora analógica y atribuir nuevas frecuencias a la radiodifusión en FM con miras a satisfacer la creciente necesidad de frecuencias adicionales en los países africanos.</w:t>
      </w:r>
    </w:p>
    <w:p w14:paraId="78E90523" w14:textId="77777777" w:rsidR="00B27BCB" w:rsidRPr="004A0D04" w:rsidRDefault="00B27BCB" w:rsidP="00B27BCB">
      <w:pPr>
        <w:textAlignment w:val="auto"/>
      </w:pPr>
      <w:r w:rsidRPr="004A0D04">
        <w:t xml:space="preserve">Los resultados del proyecto de optimización del Plan GE84 para África superaron las expectativas. Una tasa de éxito del 85% de las asignaciones de frecuencias </w:t>
      </w:r>
      <w:r>
        <w:t>de FM</w:t>
      </w:r>
      <w:r w:rsidRPr="004A0D04">
        <w:t xml:space="preserve"> presentadas significa que 18</w:t>
      </w:r>
      <w:r>
        <w:t> </w:t>
      </w:r>
      <w:r w:rsidRPr="004A0D04">
        <w:t>326 asignaciones en total pueden utilizarse ahora sin interferencias perjudiciales.</w:t>
      </w:r>
    </w:p>
    <w:p w14:paraId="1E770C2C" w14:textId="77777777" w:rsidR="00B27BCB" w:rsidRPr="00120517" w:rsidRDefault="00B27BCB" w:rsidP="00B27BCB">
      <w:pPr>
        <w:textAlignment w:val="auto"/>
      </w:pPr>
      <w:bookmarkStart w:id="80" w:name="lt_pId1319"/>
      <w:r w:rsidRPr="00F2111C">
        <w:rPr>
          <w:b/>
          <w:bCs/>
        </w:rPr>
        <w:t>PRIDA</w:t>
      </w:r>
      <w:r w:rsidRPr="00120517">
        <w:t>: El proyecto de la Iniciativa de Política y Reglamentación para el África Digital (PRIDA) es una iniciativa c</w:t>
      </w:r>
      <w:r>
        <w:t>onjunta d</w:t>
      </w:r>
      <w:r w:rsidRPr="00120517">
        <w:t>e la Unión Africana, la Unión Europea y la UIT, en la que también participan comunidades económicas regionales, la UAT, asociaciones de reglamentación regionales, organismos reguladores nacionales y otros interesados. La BR, junto con la BDT, participa activamente en la iniciativa encaminada al «</w:t>
      </w:r>
      <w:r w:rsidRPr="00F2111C">
        <w:t>Aumento de la penetración de la banda ancha inalámbrica a través de la mejora y la armonización de la utilización del espectro y la reglamentación»</w:t>
      </w:r>
      <w:r w:rsidRPr="00120517">
        <w:t xml:space="preserve">. En ese sentido, </w:t>
      </w:r>
      <w:r>
        <w:t>durante</w:t>
      </w:r>
      <w:r w:rsidRPr="00120517">
        <w:t xml:space="preserve"> 202</w:t>
      </w:r>
      <w:r>
        <w:t>1</w:t>
      </w:r>
      <w:r w:rsidRPr="00120517">
        <w:t xml:space="preserve"> se celebraron las cinco reuniones siguientes:</w:t>
      </w:r>
      <w:bookmarkEnd w:id="80"/>
    </w:p>
    <w:p w14:paraId="581AC295" w14:textId="5D76FCCA" w:rsidR="00B27BCB" w:rsidRDefault="00B27BCB" w:rsidP="00B27BCB">
      <w:pPr>
        <w:pStyle w:val="enumlev1"/>
      </w:pPr>
      <w:r w:rsidRPr="00120517">
        <w:t>–</w:t>
      </w:r>
      <w:r w:rsidRPr="00120517">
        <w:tab/>
        <w:t xml:space="preserve">Taller </w:t>
      </w:r>
      <w:r>
        <w:t>de validación de los informes técnicos y orientaciones de PRIDA: en línea del 9 al 11</w:t>
      </w:r>
      <w:r w:rsidR="00A020E0">
        <w:t> </w:t>
      </w:r>
      <w:r>
        <w:t>de marzo de 2021</w:t>
      </w:r>
    </w:p>
    <w:p w14:paraId="15A7BCBA" w14:textId="77777777" w:rsidR="00B27BCB" w:rsidRDefault="00B27BCB" w:rsidP="00B27BCB">
      <w:pPr>
        <w:pStyle w:val="enumlev1"/>
      </w:pPr>
      <w:r w:rsidRPr="00120517">
        <w:t>–</w:t>
      </w:r>
      <w:r w:rsidRPr="00120517">
        <w:tab/>
        <w:t xml:space="preserve">Taller </w:t>
      </w:r>
      <w:r>
        <w:t>sobre la elaboración de Cuadros Nacionales de Atribuciones de Frecuencias (CNAF): en línea, del 24 al 27 de mayo de 2021</w:t>
      </w:r>
    </w:p>
    <w:p w14:paraId="5EFFE2F1" w14:textId="473499E4" w:rsidR="00B27BCB" w:rsidRDefault="00B27BCB" w:rsidP="00B27BCB">
      <w:pPr>
        <w:pStyle w:val="enumlev1"/>
      </w:pPr>
      <w:r w:rsidRPr="00321E10">
        <w:t>–</w:t>
      </w:r>
      <w:r w:rsidRPr="00321E10">
        <w:tab/>
      </w:r>
      <w:r>
        <w:t xml:space="preserve">Cuadros Nacionales de Atribuciones de </w:t>
      </w:r>
      <w:r w:rsidR="003D2F5F">
        <w:t>Frecuencias:</w:t>
      </w:r>
      <w:r>
        <w:t xml:space="preserve"> Actividad 2 – Asistencia técnica facilitada</w:t>
      </w:r>
    </w:p>
    <w:p w14:paraId="19B21A4F" w14:textId="77777777" w:rsidR="00B27BCB" w:rsidRDefault="00B27BCB" w:rsidP="00B27BCB">
      <w:pPr>
        <w:pStyle w:val="enumlev1"/>
      </w:pPr>
      <w:r w:rsidRPr="00120517">
        <w:t>–</w:t>
      </w:r>
      <w:r w:rsidRPr="00120517">
        <w:tab/>
        <w:t xml:space="preserve">Taller </w:t>
      </w:r>
      <w:r>
        <w:t>de validación del Método de cálculo armonizado para África (HCM4A): del 24 al 29 de noviembre de 2021</w:t>
      </w:r>
    </w:p>
    <w:p w14:paraId="60A80B9C" w14:textId="77777777" w:rsidR="00B27BCB" w:rsidRPr="00120517" w:rsidRDefault="00B27BCB" w:rsidP="00B27BCB">
      <w:pPr>
        <w:pStyle w:val="enumlev1"/>
      </w:pPr>
      <w:r w:rsidRPr="00120517">
        <w:t>–</w:t>
      </w:r>
      <w:r w:rsidRPr="00120517">
        <w:tab/>
      </w:r>
      <w:r>
        <w:t>Reunión con los coordinadores PRIDA: en línea, 19 de octubre de 2021.</w:t>
      </w:r>
    </w:p>
    <w:p w14:paraId="29D24161" w14:textId="77777777" w:rsidR="00B27BCB" w:rsidRPr="00120517" w:rsidRDefault="00B27BCB" w:rsidP="00A928FF">
      <w:pPr>
        <w:pStyle w:val="Heading2"/>
      </w:pPr>
      <w:bookmarkStart w:id="81" w:name="_Toc418163382"/>
      <w:bookmarkStart w:id="82" w:name="_Toc418232300"/>
      <w:bookmarkStart w:id="83" w:name="_Toc424047620"/>
      <w:bookmarkStart w:id="84" w:name="_Toc446060792"/>
      <w:r w:rsidRPr="00120517">
        <w:t>8.4</w:t>
      </w:r>
      <w:r w:rsidRPr="00120517">
        <w:tab/>
      </w:r>
      <w:bookmarkStart w:id="85" w:name="lt_pId1333"/>
      <w:r w:rsidRPr="00120517">
        <w:t>Asociaciones estratégicas, incluida la cooperación intersectorial</w:t>
      </w:r>
      <w:bookmarkEnd w:id="81"/>
      <w:bookmarkEnd w:id="82"/>
      <w:bookmarkEnd w:id="83"/>
      <w:bookmarkEnd w:id="84"/>
      <w:bookmarkEnd w:id="85"/>
    </w:p>
    <w:p w14:paraId="0222FAB0" w14:textId="3B9C4BA4" w:rsidR="00B27BCB" w:rsidRPr="00120517" w:rsidRDefault="00B27BCB" w:rsidP="00A020E0">
      <w:bookmarkStart w:id="86" w:name="lt_pId1334"/>
      <w:r w:rsidRPr="00120517">
        <w:t xml:space="preserve">Debido al brote de SARS-CoV-2, </w:t>
      </w:r>
      <w:r>
        <w:t xml:space="preserve">en 2021 </w:t>
      </w:r>
      <w:r w:rsidR="008B0D3A">
        <w:t>sólo</w:t>
      </w:r>
      <w:r w:rsidRPr="00120517">
        <w:t xml:space="preserve"> se ha celebrado un </w:t>
      </w:r>
      <w:r>
        <w:t>programa</w:t>
      </w:r>
      <w:r w:rsidRPr="00120517">
        <w:t xml:space="preserve"> de capacitación UIT/ITSO sobre comunicaciones por satélite</w:t>
      </w:r>
      <w:r>
        <w:t xml:space="preserve">. El curso en línea de seis semanas dirigido por un instructor </w:t>
      </w:r>
      <w:r w:rsidR="008B0D3A">
        <w:t>«</w:t>
      </w:r>
      <w:r>
        <w:t>Comunicaciones por satélite y procedimientos del Reglamento de Radiocomunicaciones</w:t>
      </w:r>
      <w:r w:rsidR="008B0D3A">
        <w:t>»</w:t>
      </w:r>
      <w:r>
        <w:t xml:space="preserve"> se celebró del 4 de octubre al 12 de noviembre de 2021. Su principal objetivo ha sido sensibilizar a personas, organizaciones e instituciones sobre las políticas, la reglamentación, los marcos de concesión de licencias y los aspectos técnicos asociados a la provisión de servicios de comunicaciones por satélite.</w:t>
      </w:r>
      <w:r w:rsidRPr="00120517">
        <w:t xml:space="preserve"> Este </w:t>
      </w:r>
      <w:r>
        <w:t xml:space="preserve">programa </w:t>
      </w:r>
      <w:r w:rsidRPr="00120517">
        <w:t xml:space="preserve">forma parte de una </w:t>
      </w:r>
      <w:r w:rsidRPr="00120517">
        <w:lastRenderedPageBreak/>
        <w:t>colaboración entre la UIT y la ITSO para la impartición de formación relacionada con las comunicaciones por satélite</w:t>
      </w:r>
      <w:bookmarkEnd w:id="86"/>
      <w:r w:rsidRPr="00120517">
        <w:t>.</w:t>
      </w:r>
    </w:p>
    <w:p w14:paraId="12F7DA41" w14:textId="77777777" w:rsidR="00B27BCB" w:rsidRPr="00120517" w:rsidRDefault="00B27BCB" w:rsidP="00B27BCB">
      <w:pPr>
        <w:pStyle w:val="Heading3"/>
      </w:pPr>
      <w:bookmarkStart w:id="87" w:name="_Toc427230145"/>
      <w:bookmarkStart w:id="88" w:name="_Toc427158785"/>
      <w:bookmarkStart w:id="89" w:name="_Toc427046906"/>
      <w:bookmarkStart w:id="90" w:name="_Toc20478083"/>
      <w:r w:rsidRPr="00120517">
        <w:t>8.4.1</w:t>
      </w:r>
      <w:r w:rsidRPr="00120517">
        <w:tab/>
        <w:t>Cooperación con el UIT-D</w:t>
      </w:r>
      <w:bookmarkEnd w:id="87"/>
      <w:bookmarkEnd w:id="88"/>
      <w:bookmarkEnd w:id="89"/>
      <w:bookmarkEnd w:id="90"/>
    </w:p>
    <w:p w14:paraId="497C9874" w14:textId="77777777" w:rsidR="00B27BCB" w:rsidRDefault="00B27BCB" w:rsidP="00B27BCB">
      <w:pPr>
        <w:textAlignment w:val="auto"/>
      </w:pPr>
      <w:r w:rsidRPr="00120517">
        <w:t>La Oficina de Radiocomunicaciones mantiene una estrecha colaboración con la BDT en asuntos de interés común al UIT-R y el UIT</w:t>
      </w:r>
      <w:r w:rsidRPr="00120517">
        <w:noBreakHyphen/>
        <w:t>D. Además, la BR ha participado en las reuniones pertinentes de las Comisiones de Estudio del UIT-D, los Grupos de Relator y el GADT, donde las actividades de coordinación han incluido temas como la gestión del espectro, la radiodifusión digital y la migración de los sistemas analógicos, la transición a las IMT y su implantación, y las tecnologías de acceso inalámbrico de banda ancha.</w:t>
      </w:r>
    </w:p>
    <w:p w14:paraId="4BF16465" w14:textId="77777777" w:rsidR="00B27BCB" w:rsidRPr="00120517" w:rsidRDefault="00B27BCB" w:rsidP="00B27BCB">
      <w:pPr>
        <w:pStyle w:val="Heading4"/>
      </w:pPr>
      <w:bookmarkStart w:id="91" w:name="_Toc427230146"/>
      <w:bookmarkStart w:id="92" w:name="_Toc427158786"/>
      <w:bookmarkStart w:id="93" w:name="_Toc427046907"/>
      <w:bookmarkStart w:id="94" w:name="_Toc20478084"/>
      <w:r w:rsidRPr="00120517">
        <w:t>8.4.1.1</w:t>
      </w:r>
      <w:r w:rsidRPr="00120517">
        <w:tab/>
        <w:t>Simposio Mundial para Organismos Reguladores</w:t>
      </w:r>
      <w:bookmarkEnd w:id="91"/>
      <w:bookmarkEnd w:id="92"/>
      <w:bookmarkEnd w:id="93"/>
      <w:bookmarkEnd w:id="94"/>
      <w:r w:rsidRPr="00120517">
        <w:t xml:space="preserve"> (GSR)</w:t>
      </w:r>
    </w:p>
    <w:p w14:paraId="06A550C2" w14:textId="77777777" w:rsidR="00B27BCB" w:rsidRDefault="00B27BCB" w:rsidP="00B27BCB">
      <w:r w:rsidRPr="00120517">
        <w:t>La BR contribuyó al Simposio Mundial para Organismos Reguladores de la UIT en 202</w:t>
      </w:r>
      <w:r>
        <w:t>1</w:t>
      </w:r>
      <w:r w:rsidRPr="00120517">
        <w:t xml:space="preserve"> participando en un panel de debate </w:t>
      </w:r>
      <w:r>
        <w:t>centrado en los habilitadores reglamentarios de la conectividad, incluida la importancia del uso compartido del espectro y las redes, el despliegue conjunto de infraestructura, la forma de equilibrar la asequibilidad, el retorno de las inversiones y la innovación tecnológica, así como porqué la reglamentación importa.</w:t>
      </w:r>
    </w:p>
    <w:p w14:paraId="0F17E2B2" w14:textId="77777777" w:rsidR="00B27BCB" w:rsidRPr="00120517" w:rsidRDefault="00B27BCB" w:rsidP="00B27BCB">
      <w:pPr>
        <w:pStyle w:val="Heading4"/>
      </w:pPr>
      <w:bookmarkStart w:id="95" w:name="_Toc424047623"/>
      <w:r w:rsidRPr="00120517">
        <w:t>8.4.1.2</w:t>
      </w:r>
      <w:bookmarkStart w:id="96" w:name="lt_pId1359"/>
      <w:r w:rsidRPr="00120517">
        <w:tab/>
      </w:r>
      <w:bookmarkEnd w:id="95"/>
      <w:bookmarkEnd w:id="96"/>
      <w:r w:rsidRPr="00120517">
        <w:t>Simposio Mundial sobre Indicadores de Telecomunicaciones/TIC</w:t>
      </w:r>
    </w:p>
    <w:p w14:paraId="22606D54" w14:textId="77777777" w:rsidR="00B27BCB" w:rsidRPr="00120517" w:rsidRDefault="00B27BCB" w:rsidP="00B27BCB">
      <w:pPr>
        <w:textAlignment w:val="auto"/>
      </w:pPr>
      <w:r>
        <w:t>El SMIT no</w:t>
      </w:r>
      <w:r w:rsidRPr="00120517">
        <w:t xml:space="preserve"> se celebró </w:t>
      </w:r>
      <w:r>
        <w:t>en</w:t>
      </w:r>
      <w:r w:rsidRPr="00120517">
        <w:t xml:space="preserve"> 202</w:t>
      </w:r>
      <w:r>
        <w:t>1.</w:t>
      </w:r>
    </w:p>
    <w:p w14:paraId="684EFEDD" w14:textId="77777777" w:rsidR="00B27BCB" w:rsidRPr="00120517" w:rsidRDefault="00B27BCB" w:rsidP="00B27BCB">
      <w:pPr>
        <w:pStyle w:val="Heading4"/>
      </w:pPr>
      <w:bookmarkStart w:id="97" w:name="_Toc427230147"/>
      <w:bookmarkStart w:id="98" w:name="_Toc427158787"/>
      <w:bookmarkStart w:id="99" w:name="_Toc427046908"/>
      <w:bookmarkStart w:id="100" w:name="_Toc20478085"/>
      <w:r w:rsidRPr="00120517">
        <w:t>8.4.1.3</w:t>
      </w:r>
      <w:r w:rsidRPr="00120517">
        <w:tab/>
        <w:t xml:space="preserve">Encuesta sobre las TIC y </w:t>
      </w:r>
      <w:bookmarkEnd w:id="97"/>
      <w:bookmarkEnd w:id="98"/>
      <w:bookmarkEnd w:id="99"/>
      <w:bookmarkEnd w:id="100"/>
      <w:r>
        <w:t>el observatorio de las TIC (</w:t>
      </w:r>
      <w:r w:rsidRPr="00120517">
        <w:t>ICT Eye</w:t>
      </w:r>
      <w:r>
        <w:t>)</w:t>
      </w:r>
    </w:p>
    <w:p w14:paraId="39944BD6" w14:textId="77777777" w:rsidR="00B27BCB" w:rsidRPr="00120517" w:rsidRDefault="00B27BCB" w:rsidP="00B27BCB">
      <w:pPr>
        <w:textAlignment w:val="auto"/>
      </w:pPr>
      <w:bookmarkStart w:id="101" w:name="lt_pId1363"/>
      <w:r w:rsidRPr="00120517">
        <w:t>La BR colaboró con la BDT en la elaboración de los indicadores y las definiciones utilizados para recopilar datos sobre tecnologías y normas de banda ancha móvil, participando en las reuniones del Grupo de Expertos sobre indicadores de las telecomunicaciones/TIC (GEIT).</w:t>
      </w:r>
      <w:bookmarkEnd w:id="101"/>
    </w:p>
    <w:p w14:paraId="092E2BA2" w14:textId="77777777" w:rsidR="00B27BCB" w:rsidRPr="00120517" w:rsidRDefault="00B27BCB" w:rsidP="00B27BCB">
      <w:pPr>
        <w:textAlignment w:val="auto"/>
      </w:pPr>
      <w:r w:rsidRPr="00120517">
        <w:t>En 202</w:t>
      </w:r>
      <w:r>
        <w:t>1</w:t>
      </w:r>
      <w:r w:rsidRPr="00120517">
        <w:t xml:space="preserve">, la reunión del GEIT se celebró en línea </w:t>
      </w:r>
      <w:r>
        <w:t xml:space="preserve">del 13 al 15 </w:t>
      </w:r>
      <w:r w:rsidRPr="00120517">
        <w:t>de septiembre de 202</w:t>
      </w:r>
      <w:r>
        <w:t>1</w:t>
      </w:r>
      <w:r w:rsidRPr="00120517">
        <w:t xml:space="preserve">. Se debatió sobre </w:t>
      </w:r>
      <w:r>
        <w:t>los</w:t>
      </w:r>
      <w:r w:rsidRPr="00120517">
        <w:t xml:space="preserve"> indicador</w:t>
      </w:r>
      <w:r>
        <w:t>es</w:t>
      </w:r>
      <w:r w:rsidRPr="00120517">
        <w:t xml:space="preserve"> relativo</w:t>
      </w:r>
      <w:r>
        <w:t>s</w:t>
      </w:r>
      <w:r w:rsidRPr="00120517">
        <w:t xml:space="preserve"> al espectro de las IMT</w:t>
      </w:r>
      <w:r>
        <w:t>. La reunión GEIT 2021 acordó:</w:t>
      </w:r>
      <w:r w:rsidRPr="00120517">
        <w:t xml:space="preserve"> </w:t>
      </w:r>
    </w:p>
    <w:p w14:paraId="4B4CA5FD" w14:textId="4C71416F" w:rsidR="00B27BCB" w:rsidRPr="00AE71C9" w:rsidRDefault="007F30AC" w:rsidP="00A928FF">
      <w:pPr>
        <w:pStyle w:val="enumlev1"/>
        <w:rPr>
          <w:lang w:val="es-ES"/>
        </w:rPr>
      </w:pPr>
      <w:bookmarkStart w:id="102" w:name="lt_pId1366"/>
      <w:r>
        <w:rPr>
          <w:lang w:val="es-ES"/>
        </w:rPr>
        <w:t>1</w:t>
      </w:r>
      <w:r w:rsidR="00916842">
        <w:rPr>
          <w:lang w:val="es-ES"/>
        </w:rPr>
        <w:t>)</w:t>
      </w:r>
      <w:r>
        <w:rPr>
          <w:lang w:val="es-ES"/>
        </w:rPr>
        <w:tab/>
      </w:r>
      <w:r w:rsidR="00B27BCB" w:rsidRPr="00AE71C9">
        <w:rPr>
          <w:lang w:val="es-ES"/>
        </w:rPr>
        <w:t xml:space="preserve">Añadir </w:t>
      </w:r>
      <w:r w:rsidR="00B27BCB">
        <w:rPr>
          <w:lang w:val="es-ES"/>
        </w:rPr>
        <w:t xml:space="preserve">los </w:t>
      </w:r>
      <w:r w:rsidR="00B27BCB" w:rsidRPr="00AE71C9">
        <w:rPr>
          <w:lang w:val="es-ES"/>
        </w:rPr>
        <w:t>siguientes</w:t>
      </w:r>
      <w:r w:rsidR="00B27BCB">
        <w:rPr>
          <w:lang w:val="es-ES"/>
        </w:rPr>
        <w:t xml:space="preserve"> nuevos indicadores</w:t>
      </w:r>
      <w:r w:rsidR="00B27BCB" w:rsidRPr="00AE71C9">
        <w:rPr>
          <w:lang w:val="es-ES"/>
        </w:rPr>
        <w:t>:</w:t>
      </w:r>
    </w:p>
    <w:p w14:paraId="5688C755" w14:textId="75599A97" w:rsidR="00B27BCB" w:rsidRPr="00AE71C9" w:rsidRDefault="007F30AC" w:rsidP="007F30AC">
      <w:pPr>
        <w:pStyle w:val="enumlev2"/>
        <w:rPr>
          <w:lang w:val="es-ES"/>
        </w:rPr>
      </w:pPr>
      <w:r>
        <w:rPr>
          <w:lang w:val="es-ES"/>
        </w:rPr>
        <w:t>a</w:t>
      </w:r>
      <w:r w:rsidR="00916842">
        <w:rPr>
          <w:lang w:val="es-ES"/>
        </w:rPr>
        <w:t>)</w:t>
      </w:r>
      <w:r>
        <w:rPr>
          <w:lang w:val="es-ES"/>
        </w:rPr>
        <w:tab/>
      </w:r>
      <w:r w:rsidR="00B27BCB" w:rsidRPr="00AE71C9">
        <w:rPr>
          <w:lang w:val="es-ES"/>
        </w:rPr>
        <w:t>Abon</w:t>
      </w:r>
      <w:r w:rsidR="00B27BCB">
        <w:rPr>
          <w:lang w:val="es-ES"/>
        </w:rPr>
        <w:t>ados</w:t>
      </w:r>
      <w:r w:rsidR="00B27BCB" w:rsidRPr="00AE71C9">
        <w:rPr>
          <w:lang w:val="es-ES"/>
        </w:rPr>
        <w:t xml:space="preserve"> de banda ancha móvil activos </w:t>
      </w:r>
      <w:r w:rsidR="00B27BCB">
        <w:rPr>
          <w:lang w:val="es-ES"/>
        </w:rPr>
        <w:t>con 5G/IMT-2020, y</w:t>
      </w:r>
    </w:p>
    <w:p w14:paraId="5853DB59" w14:textId="7B727485" w:rsidR="00B27BCB" w:rsidRPr="00AE71C9" w:rsidRDefault="007F30AC" w:rsidP="007F30AC">
      <w:pPr>
        <w:pStyle w:val="enumlev2"/>
        <w:rPr>
          <w:lang w:val="es-ES"/>
        </w:rPr>
      </w:pPr>
      <w:r>
        <w:rPr>
          <w:lang w:val="es-ES"/>
        </w:rPr>
        <w:t>b</w:t>
      </w:r>
      <w:r w:rsidR="00916842">
        <w:rPr>
          <w:lang w:val="es-ES"/>
        </w:rPr>
        <w:t>)</w:t>
      </w:r>
      <w:r>
        <w:rPr>
          <w:lang w:val="es-ES"/>
        </w:rPr>
        <w:tab/>
      </w:r>
      <w:r w:rsidR="00B27BCB" w:rsidRPr="00AE71C9">
        <w:rPr>
          <w:lang w:val="es-ES"/>
        </w:rPr>
        <w:t>Abon</w:t>
      </w:r>
      <w:r w:rsidR="00B27BCB">
        <w:rPr>
          <w:lang w:val="es-ES"/>
        </w:rPr>
        <w:t>ad</w:t>
      </w:r>
      <w:r w:rsidR="00B27BCB" w:rsidRPr="00AE71C9">
        <w:rPr>
          <w:lang w:val="es-ES"/>
        </w:rPr>
        <w:t xml:space="preserve">os </w:t>
      </w:r>
      <w:r w:rsidR="00B27BCB">
        <w:rPr>
          <w:lang w:val="es-ES"/>
        </w:rPr>
        <w:t>móviles</w:t>
      </w:r>
      <w:r w:rsidR="00B27BCB" w:rsidRPr="00AE71C9">
        <w:rPr>
          <w:lang w:val="es-ES"/>
        </w:rPr>
        <w:t xml:space="preserve"> celulares</w:t>
      </w:r>
      <w:r w:rsidR="00B27BCB">
        <w:rPr>
          <w:lang w:val="es-ES"/>
        </w:rPr>
        <w:t xml:space="preserve"> </w:t>
      </w:r>
      <w:r w:rsidR="00B27BCB" w:rsidRPr="00AE71C9">
        <w:rPr>
          <w:lang w:val="es-ES"/>
        </w:rPr>
        <w:t>co</w:t>
      </w:r>
      <w:r w:rsidR="00B27BCB">
        <w:rPr>
          <w:lang w:val="es-ES"/>
        </w:rPr>
        <w:t xml:space="preserve">n acceso a </w:t>
      </w:r>
      <w:r w:rsidR="00B27BCB" w:rsidRPr="00AE71C9">
        <w:rPr>
          <w:lang w:val="es-ES"/>
        </w:rPr>
        <w:t xml:space="preserve">5G/IMT-2020, como un </w:t>
      </w:r>
      <w:r w:rsidR="00B27BCB">
        <w:rPr>
          <w:lang w:val="es-ES"/>
        </w:rPr>
        <w:t>n</w:t>
      </w:r>
      <w:r w:rsidR="00B27BCB" w:rsidRPr="00AE71C9">
        <w:rPr>
          <w:lang w:val="es-ES"/>
        </w:rPr>
        <w:t>uevo</w:t>
      </w:r>
      <w:r w:rsidR="00B27BCB">
        <w:rPr>
          <w:lang w:val="es-ES"/>
        </w:rPr>
        <w:t xml:space="preserve"> subindicador de abonos celulares móviles activos</w:t>
      </w:r>
      <w:r w:rsidR="00916842">
        <w:rPr>
          <w:lang w:val="es-ES"/>
        </w:rPr>
        <w:t>.</w:t>
      </w:r>
    </w:p>
    <w:p w14:paraId="2412CC83" w14:textId="580B6A16" w:rsidR="00B27BCB" w:rsidRPr="00AE71C9" w:rsidRDefault="007F30AC" w:rsidP="007F30AC">
      <w:pPr>
        <w:pStyle w:val="enumlev1"/>
        <w:rPr>
          <w:lang w:val="es-ES"/>
        </w:rPr>
      </w:pPr>
      <w:r>
        <w:rPr>
          <w:lang w:val="es-ES"/>
        </w:rPr>
        <w:t>2</w:t>
      </w:r>
      <w:r w:rsidR="00916842">
        <w:rPr>
          <w:lang w:val="es-ES"/>
        </w:rPr>
        <w:t>)</w:t>
      </w:r>
      <w:r>
        <w:rPr>
          <w:lang w:val="es-ES"/>
        </w:rPr>
        <w:tab/>
      </w:r>
      <w:r w:rsidR="00B27BCB" w:rsidRPr="00AE71C9">
        <w:rPr>
          <w:lang w:val="es-ES"/>
        </w:rPr>
        <w:t xml:space="preserve">Refinar el alcance de los </w:t>
      </w:r>
      <w:r w:rsidR="00B27BCB">
        <w:rPr>
          <w:lang w:val="es-ES"/>
        </w:rPr>
        <w:t xml:space="preserve">siguientes </w:t>
      </w:r>
      <w:r w:rsidR="00B27BCB" w:rsidRPr="00AE71C9">
        <w:rPr>
          <w:lang w:val="es-ES"/>
        </w:rPr>
        <w:t xml:space="preserve">indicadores </w:t>
      </w:r>
      <w:r w:rsidR="00B27BCB">
        <w:rPr>
          <w:lang w:val="es-ES"/>
        </w:rPr>
        <w:t>existentes,</w:t>
      </w:r>
      <w:r w:rsidR="00B27BCB" w:rsidRPr="00AE71C9">
        <w:rPr>
          <w:lang w:val="es-ES"/>
        </w:rPr>
        <w:t xml:space="preserve"> </w:t>
      </w:r>
      <w:r w:rsidR="00B27BCB">
        <w:rPr>
          <w:lang w:val="es-ES"/>
        </w:rPr>
        <w:t>tal como se propone en el informe de subgrupo</w:t>
      </w:r>
      <w:r w:rsidR="00B27BCB" w:rsidRPr="00AE71C9">
        <w:rPr>
          <w:lang w:val="es-ES"/>
        </w:rPr>
        <w:t>:</w:t>
      </w:r>
    </w:p>
    <w:p w14:paraId="003C75A4" w14:textId="2E240F63" w:rsidR="00B27BCB" w:rsidRPr="00AE71C9" w:rsidRDefault="007F30AC" w:rsidP="007F30AC">
      <w:pPr>
        <w:pStyle w:val="enumlev2"/>
        <w:rPr>
          <w:lang w:val="es-ES"/>
        </w:rPr>
      </w:pPr>
      <w:r>
        <w:rPr>
          <w:lang w:val="es-ES"/>
        </w:rPr>
        <w:t>a</w:t>
      </w:r>
      <w:r w:rsidR="00916842">
        <w:rPr>
          <w:lang w:val="es-ES"/>
        </w:rPr>
        <w:t>)</w:t>
      </w:r>
      <w:r>
        <w:rPr>
          <w:lang w:val="es-ES"/>
        </w:rPr>
        <w:tab/>
      </w:r>
      <w:r w:rsidR="00B27BCB" w:rsidRPr="007F30AC">
        <w:rPr>
          <w:lang w:val="es-ES"/>
        </w:rPr>
        <w:t>abonados móviles 4G/LTE activos (incluyendo cualquier nueva tecnología más</w:t>
      </w:r>
      <w:r w:rsidR="00B27BCB" w:rsidRPr="00AE71C9">
        <w:rPr>
          <w:lang w:val="es-ES"/>
        </w:rPr>
        <w:t xml:space="preserve"> avanzada)</w:t>
      </w:r>
      <w:r w:rsidR="00916842">
        <w:rPr>
          <w:lang w:val="es-ES"/>
        </w:rPr>
        <w:t>;</w:t>
      </w:r>
    </w:p>
    <w:p w14:paraId="2A79C2F6" w14:textId="39B69E60" w:rsidR="00B27BCB" w:rsidRPr="00AE71C9" w:rsidRDefault="007F30AC" w:rsidP="007F30AC">
      <w:pPr>
        <w:pStyle w:val="enumlev2"/>
        <w:rPr>
          <w:lang w:val="es-ES"/>
        </w:rPr>
      </w:pPr>
      <w:r>
        <w:rPr>
          <w:lang w:val="es-ES"/>
        </w:rPr>
        <w:t>b</w:t>
      </w:r>
      <w:r w:rsidR="00916842">
        <w:rPr>
          <w:lang w:val="es-ES"/>
        </w:rPr>
        <w:t>)</w:t>
      </w:r>
      <w:r>
        <w:rPr>
          <w:lang w:val="es-ES"/>
        </w:rPr>
        <w:tab/>
      </w:r>
      <w:r w:rsidR="00B27BCB">
        <w:rPr>
          <w:lang w:val="es-ES"/>
        </w:rPr>
        <w:t>a</w:t>
      </w:r>
      <w:r w:rsidR="00B27BCB" w:rsidRPr="00AE71C9">
        <w:rPr>
          <w:lang w:val="es-ES"/>
        </w:rPr>
        <w:t>bon</w:t>
      </w:r>
      <w:r w:rsidR="00B27BCB">
        <w:rPr>
          <w:lang w:val="es-ES"/>
        </w:rPr>
        <w:t>ad</w:t>
      </w:r>
      <w:r w:rsidR="00B27BCB" w:rsidRPr="00AE71C9">
        <w:rPr>
          <w:lang w:val="es-ES"/>
        </w:rPr>
        <w:t>os de banda ancha móvil activos (</w:t>
      </w:r>
      <w:r w:rsidR="00B27BCB">
        <w:rPr>
          <w:lang w:val="es-ES"/>
        </w:rPr>
        <w:t>incluyendo</w:t>
      </w:r>
      <w:r w:rsidR="00B27BCB" w:rsidRPr="00AE71C9">
        <w:rPr>
          <w:lang w:val="es-ES"/>
        </w:rPr>
        <w:t xml:space="preserve"> cualquier banda ancha con 5G/IMT-2020)</w:t>
      </w:r>
      <w:r w:rsidR="00916842">
        <w:rPr>
          <w:lang w:val="es-ES"/>
        </w:rPr>
        <w:t>;</w:t>
      </w:r>
    </w:p>
    <w:p w14:paraId="1C391B8E" w14:textId="0139F7F8" w:rsidR="00B27BCB" w:rsidRPr="00AE71C9" w:rsidRDefault="007F30AC" w:rsidP="007F30AC">
      <w:pPr>
        <w:pStyle w:val="enumlev2"/>
        <w:rPr>
          <w:lang w:val="es-ES"/>
        </w:rPr>
      </w:pPr>
      <w:r>
        <w:rPr>
          <w:lang w:val="es-ES"/>
        </w:rPr>
        <w:t>c</w:t>
      </w:r>
      <w:r w:rsidR="00916842">
        <w:rPr>
          <w:lang w:val="es-ES"/>
        </w:rPr>
        <w:t>)</w:t>
      </w:r>
      <w:r>
        <w:rPr>
          <w:lang w:val="es-ES"/>
        </w:rPr>
        <w:tab/>
      </w:r>
      <w:r w:rsidR="00B27BCB" w:rsidRPr="00AE71C9">
        <w:rPr>
          <w:lang w:val="es-ES"/>
        </w:rPr>
        <w:t>abon</w:t>
      </w:r>
      <w:r w:rsidR="00B27BCB">
        <w:rPr>
          <w:lang w:val="es-ES"/>
        </w:rPr>
        <w:t>ad</w:t>
      </w:r>
      <w:r w:rsidR="00B27BCB" w:rsidRPr="00AE71C9">
        <w:rPr>
          <w:lang w:val="es-ES"/>
        </w:rPr>
        <w:t>os de banda ancha fijos activos (incluyendo</w:t>
      </w:r>
      <w:r w:rsidR="00B27BCB">
        <w:rPr>
          <w:lang w:val="es-ES"/>
        </w:rPr>
        <w:t xml:space="preserve"> banda ancha inalámbrica fija soportada en </w:t>
      </w:r>
      <w:r w:rsidR="00B27BCB" w:rsidRPr="00AE71C9">
        <w:rPr>
          <w:lang w:val="es-ES"/>
        </w:rPr>
        <w:t>5G/IMT-2020)</w:t>
      </w:r>
      <w:r w:rsidR="00916842">
        <w:rPr>
          <w:lang w:val="es-ES"/>
        </w:rPr>
        <w:t>.</w:t>
      </w:r>
    </w:p>
    <w:p w14:paraId="55E2E3B0" w14:textId="3D31311A" w:rsidR="00B27BCB" w:rsidRPr="00F0407D" w:rsidRDefault="007F30AC" w:rsidP="007F30AC">
      <w:pPr>
        <w:pStyle w:val="enumlev1"/>
        <w:rPr>
          <w:lang w:val="es-ES"/>
        </w:rPr>
      </w:pPr>
      <w:r>
        <w:rPr>
          <w:lang w:val="es-ES"/>
        </w:rPr>
        <w:t>3</w:t>
      </w:r>
      <w:r w:rsidR="00916842">
        <w:rPr>
          <w:lang w:val="es-ES"/>
        </w:rPr>
        <w:t>)</w:t>
      </w:r>
      <w:r>
        <w:rPr>
          <w:lang w:val="es-ES"/>
        </w:rPr>
        <w:tab/>
      </w:r>
      <w:r w:rsidR="00B27BCB" w:rsidRPr="00F0407D">
        <w:rPr>
          <w:lang w:val="es-ES"/>
        </w:rPr>
        <w:t xml:space="preserve">Recopilar datos sobre los bloques de espectro asignados </w:t>
      </w:r>
      <w:r w:rsidR="00B27BCB">
        <w:rPr>
          <w:lang w:val="es-ES"/>
        </w:rPr>
        <w:t>para</w:t>
      </w:r>
      <w:r w:rsidR="00B27BCB" w:rsidRPr="00F0407D">
        <w:rPr>
          <w:lang w:val="es-ES"/>
        </w:rPr>
        <w:t xml:space="preserve"> 5G cuando se informe del indicador </w:t>
      </w:r>
      <w:r w:rsidR="008B0D3A">
        <w:rPr>
          <w:lang w:val="es-ES"/>
        </w:rPr>
        <w:t>«</w:t>
      </w:r>
      <w:r w:rsidR="00B27BCB" w:rsidRPr="00F0407D">
        <w:rPr>
          <w:lang w:val="es-ES"/>
        </w:rPr>
        <w:t>espectro to</w:t>
      </w:r>
      <w:r w:rsidR="00B27BCB">
        <w:rPr>
          <w:lang w:val="es-ES"/>
        </w:rPr>
        <w:t>t</w:t>
      </w:r>
      <w:r w:rsidR="00B27BCB" w:rsidRPr="00F0407D">
        <w:rPr>
          <w:lang w:val="es-ES"/>
        </w:rPr>
        <w:t xml:space="preserve">al asignado </w:t>
      </w:r>
      <w:r w:rsidR="00B27BCB">
        <w:rPr>
          <w:lang w:val="es-ES"/>
        </w:rPr>
        <w:t>en</w:t>
      </w:r>
      <w:r w:rsidR="00B27BCB" w:rsidRPr="00F0407D">
        <w:rPr>
          <w:lang w:val="es-ES"/>
        </w:rPr>
        <w:t xml:space="preserve"> cada uno de los</w:t>
      </w:r>
      <w:r w:rsidR="00B27BCB">
        <w:rPr>
          <w:lang w:val="es-ES"/>
        </w:rPr>
        <w:t xml:space="preserve"> </w:t>
      </w:r>
      <w:r w:rsidR="00B27BCB" w:rsidRPr="00F0407D">
        <w:rPr>
          <w:lang w:val="es-ES"/>
        </w:rPr>
        <w:t>tres bloques</w:t>
      </w:r>
      <w:r w:rsidR="00B27BCB" w:rsidRPr="00941169">
        <w:rPr>
          <w:lang w:val="es-ES"/>
        </w:rPr>
        <w:t xml:space="preserve"> </w:t>
      </w:r>
      <w:r w:rsidR="00B27BCB" w:rsidRPr="00F0407D">
        <w:rPr>
          <w:lang w:val="es-ES"/>
        </w:rPr>
        <w:t>principal</w:t>
      </w:r>
      <w:r w:rsidR="00B27BCB">
        <w:rPr>
          <w:lang w:val="es-ES"/>
        </w:rPr>
        <w:t>e</w:t>
      </w:r>
      <w:r w:rsidR="00B27BCB" w:rsidRPr="00F0407D">
        <w:rPr>
          <w:lang w:val="es-ES"/>
        </w:rPr>
        <w:t>s</w:t>
      </w:r>
      <w:r w:rsidR="008B0D3A">
        <w:rPr>
          <w:lang w:val="es-ES"/>
        </w:rPr>
        <w:t>»</w:t>
      </w:r>
      <w:r w:rsidR="00B27BCB" w:rsidRPr="00F0407D">
        <w:rPr>
          <w:lang w:val="es-ES"/>
        </w:rPr>
        <w:t>, indicando</w:t>
      </w:r>
      <w:r w:rsidR="0075154F">
        <w:rPr>
          <w:lang w:val="es-ES"/>
        </w:rPr>
        <w:t>:</w:t>
      </w:r>
      <w:r w:rsidR="00B27BCB" w:rsidRPr="00F0407D">
        <w:rPr>
          <w:lang w:val="es-ES"/>
        </w:rPr>
        <w:t xml:space="preserve"> a)</w:t>
      </w:r>
      <w:r w:rsidR="0075154F">
        <w:rPr>
          <w:lang w:val="es-ES"/>
        </w:rPr>
        <w:t> </w:t>
      </w:r>
      <w:r w:rsidR="00B27BCB" w:rsidRPr="00F0407D">
        <w:rPr>
          <w:lang w:val="es-ES"/>
        </w:rPr>
        <w:t xml:space="preserve">la banda de espectro específica asignada </w:t>
      </w:r>
      <w:r w:rsidR="00B27BCB">
        <w:rPr>
          <w:lang w:val="es-ES"/>
        </w:rPr>
        <w:t>a</w:t>
      </w:r>
      <w:r w:rsidR="00B27BCB" w:rsidRPr="00F0407D">
        <w:rPr>
          <w:lang w:val="es-ES"/>
        </w:rPr>
        <w:t xml:space="preserve"> 5G, </w:t>
      </w:r>
      <w:r w:rsidR="00B27BCB">
        <w:rPr>
          <w:lang w:val="es-ES"/>
        </w:rPr>
        <w:t>y</w:t>
      </w:r>
      <w:r w:rsidR="00B27BCB" w:rsidRPr="00F0407D">
        <w:rPr>
          <w:lang w:val="es-ES"/>
        </w:rPr>
        <w:t xml:space="preserve"> </w:t>
      </w:r>
      <w:r w:rsidR="00B27BCB" w:rsidRPr="0075154F">
        <w:rPr>
          <w:lang w:val="es-ES"/>
        </w:rPr>
        <w:t>b)</w:t>
      </w:r>
      <w:r w:rsidR="0075154F">
        <w:rPr>
          <w:lang w:val="es-ES"/>
        </w:rPr>
        <w:t> </w:t>
      </w:r>
      <w:r w:rsidR="00B27BCB">
        <w:rPr>
          <w:lang w:val="es-ES"/>
        </w:rPr>
        <w:t xml:space="preserve">la capacidad total asignada para </w:t>
      </w:r>
      <w:r w:rsidR="00B27BCB" w:rsidRPr="00F0407D">
        <w:rPr>
          <w:lang w:val="es-ES"/>
        </w:rPr>
        <w:t>5G (</w:t>
      </w:r>
      <w:r w:rsidR="00B27BCB">
        <w:rPr>
          <w:lang w:val="es-ES"/>
        </w:rPr>
        <w:t>e</w:t>
      </w:r>
      <w:r w:rsidR="00B27BCB" w:rsidRPr="00F0407D">
        <w:rPr>
          <w:lang w:val="es-ES"/>
        </w:rPr>
        <w:t>n MHz).</w:t>
      </w:r>
    </w:p>
    <w:p w14:paraId="7C45AD40" w14:textId="579E8656" w:rsidR="00B27BCB" w:rsidRPr="00F0407D" w:rsidRDefault="007F30AC" w:rsidP="007F30AC">
      <w:pPr>
        <w:pStyle w:val="enumlev1"/>
        <w:rPr>
          <w:lang w:val="es-ES"/>
        </w:rPr>
      </w:pPr>
      <w:r>
        <w:rPr>
          <w:lang w:val="es-ES"/>
        </w:rPr>
        <w:t>4</w:t>
      </w:r>
      <w:r w:rsidR="00916842">
        <w:rPr>
          <w:lang w:val="es-ES"/>
        </w:rPr>
        <w:t>)</w:t>
      </w:r>
      <w:r>
        <w:rPr>
          <w:lang w:val="es-ES"/>
        </w:rPr>
        <w:tab/>
      </w:r>
      <w:r w:rsidR="00B27BCB">
        <w:rPr>
          <w:lang w:val="es-ES"/>
        </w:rPr>
        <w:t>Admitir</w:t>
      </w:r>
      <w:r w:rsidR="00B27BCB" w:rsidRPr="00F0407D">
        <w:rPr>
          <w:lang w:val="es-ES"/>
        </w:rPr>
        <w:t xml:space="preserve"> comentarios del UIT-R y los miembros el </w:t>
      </w:r>
      <w:r w:rsidR="00B27BCB">
        <w:rPr>
          <w:lang w:val="es-ES"/>
        </w:rPr>
        <w:t>GEIT</w:t>
      </w:r>
      <w:r w:rsidR="00B27BCB" w:rsidRPr="00F0407D">
        <w:rPr>
          <w:lang w:val="es-ES"/>
        </w:rPr>
        <w:t xml:space="preserve"> </w:t>
      </w:r>
      <w:r w:rsidR="00B27BCB">
        <w:rPr>
          <w:lang w:val="es-ES"/>
        </w:rPr>
        <w:t xml:space="preserve">hasta el </w:t>
      </w:r>
      <w:r w:rsidR="00B27BCB" w:rsidRPr="00F0407D">
        <w:rPr>
          <w:lang w:val="es-ES"/>
        </w:rPr>
        <w:t xml:space="preserve">15 </w:t>
      </w:r>
      <w:r w:rsidR="00B27BCB">
        <w:rPr>
          <w:lang w:val="es-ES"/>
        </w:rPr>
        <w:t xml:space="preserve">de octubre de </w:t>
      </w:r>
      <w:r w:rsidR="00B27BCB" w:rsidRPr="00F0407D">
        <w:rPr>
          <w:lang w:val="es-ES"/>
        </w:rPr>
        <w:t>2021</w:t>
      </w:r>
      <w:r w:rsidR="0075154F">
        <w:rPr>
          <w:lang w:val="es-ES"/>
        </w:rPr>
        <w:t>.</w:t>
      </w:r>
    </w:p>
    <w:p w14:paraId="18147A0C" w14:textId="18354441" w:rsidR="00B27BCB" w:rsidRPr="00F0407D" w:rsidRDefault="007F30AC" w:rsidP="007F30AC">
      <w:pPr>
        <w:pStyle w:val="enumlev1"/>
        <w:rPr>
          <w:lang w:val="es-ES"/>
        </w:rPr>
      </w:pPr>
      <w:r>
        <w:rPr>
          <w:lang w:val="es-ES"/>
        </w:rPr>
        <w:t>5</w:t>
      </w:r>
      <w:r w:rsidR="00916842">
        <w:rPr>
          <w:lang w:val="es-ES"/>
        </w:rPr>
        <w:t>)</w:t>
      </w:r>
      <w:r>
        <w:rPr>
          <w:lang w:val="es-ES"/>
        </w:rPr>
        <w:tab/>
      </w:r>
      <w:r w:rsidR="00B27BCB">
        <w:rPr>
          <w:lang w:val="es-ES"/>
        </w:rPr>
        <w:t>Recopilar los</w:t>
      </w:r>
      <w:r w:rsidR="00B27BCB" w:rsidRPr="00F0407D">
        <w:rPr>
          <w:lang w:val="es-ES"/>
        </w:rPr>
        <w:t xml:space="preserve"> nuevos indicadores </w:t>
      </w:r>
      <w:r w:rsidR="00B27BCB">
        <w:rPr>
          <w:lang w:val="es-ES"/>
        </w:rPr>
        <w:t>en el Cuesti</w:t>
      </w:r>
      <w:r w:rsidR="00B27BCB" w:rsidRPr="00F0407D">
        <w:rPr>
          <w:lang w:val="es-ES"/>
        </w:rPr>
        <w:t>o</w:t>
      </w:r>
      <w:r w:rsidR="00B27BCB">
        <w:rPr>
          <w:lang w:val="es-ES"/>
        </w:rPr>
        <w:t>n</w:t>
      </w:r>
      <w:r w:rsidR="00B27BCB" w:rsidRPr="00F0407D">
        <w:rPr>
          <w:lang w:val="es-ES"/>
        </w:rPr>
        <w:t xml:space="preserve">ario largo </w:t>
      </w:r>
      <w:r w:rsidR="00B27BCB">
        <w:rPr>
          <w:lang w:val="es-ES"/>
        </w:rPr>
        <w:t xml:space="preserve">WTI </w:t>
      </w:r>
      <w:r w:rsidR="00B27BCB" w:rsidRPr="00F0407D">
        <w:rPr>
          <w:lang w:val="es-ES"/>
        </w:rPr>
        <w:t>2022</w:t>
      </w:r>
      <w:r w:rsidR="00B27BCB">
        <w:rPr>
          <w:lang w:val="es-ES"/>
        </w:rPr>
        <w:t xml:space="preserve"> del UIT</w:t>
      </w:r>
      <w:r w:rsidR="0075154F">
        <w:rPr>
          <w:lang w:val="es-ES"/>
        </w:rPr>
        <w:t>.</w:t>
      </w:r>
    </w:p>
    <w:p w14:paraId="649AD355" w14:textId="4C815446" w:rsidR="00B27BCB" w:rsidRPr="00F0407D" w:rsidRDefault="007F30AC" w:rsidP="007F30AC">
      <w:pPr>
        <w:pStyle w:val="enumlev1"/>
        <w:rPr>
          <w:lang w:val="es-ES"/>
        </w:rPr>
      </w:pPr>
      <w:r>
        <w:rPr>
          <w:lang w:val="es-ES"/>
        </w:rPr>
        <w:t>6</w:t>
      </w:r>
      <w:r w:rsidR="00916842">
        <w:rPr>
          <w:lang w:val="es-ES"/>
        </w:rPr>
        <w:t>)</w:t>
      </w:r>
      <w:r>
        <w:rPr>
          <w:lang w:val="es-ES"/>
        </w:rPr>
        <w:tab/>
      </w:r>
      <w:r w:rsidR="00B27BCB" w:rsidRPr="00F0407D">
        <w:rPr>
          <w:lang w:val="es-ES"/>
        </w:rPr>
        <w:t xml:space="preserve">Ampliar el mandato del subgrupo 5G con el propósito de investigar las implicaciones </w:t>
      </w:r>
      <w:r w:rsidR="00B27BCB">
        <w:rPr>
          <w:lang w:val="es-ES"/>
        </w:rPr>
        <w:t>que afectan a</w:t>
      </w:r>
      <w:r w:rsidR="00B27BCB" w:rsidRPr="00F0407D">
        <w:rPr>
          <w:lang w:val="es-ES"/>
        </w:rPr>
        <w:t xml:space="preserve"> los abonos M2M (</w:t>
      </w:r>
      <w:r w:rsidR="00B27BCB">
        <w:rPr>
          <w:lang w:val="es-ES"/>
        </w:rPr>
        <w:t>máquina</w:t>
      </w:r>
      <w:r w:rsidR="00B27BCB" w:rsidRPr="00F0407D">
        <w:rPr>
          <w:lang w:val="es-ES"/>
        </w:rPr>
        <w:t xml:space="preserve"> a m</w:t>
      </w:r>
      <w:r w:rsidR="00B27BCB">
        <w:rPr>
          <w:lang w:val="es-ES"/>
        </w:rPr>
        <w:t>áquina)</w:t>
      </w:r>
      <w:r w:rsidR="00B27BCB" w:rsidRPr="00F0407D">
        <w:rPr>
          <w:lang w:val="es-ES"/>
        </w:rPr>
        <w:t>.</w:t>
      </w:r>
    </w:p>
    <w:bookmarkEnd w:id="102"/>
    <w:p w14:paraId="22AA4DD4" w14:textId="77777777" w:rsidR="00B27BCB" w:rsidRDefault="00B27BCB" w:rsidP="00B27BCB">
      <w:pPr>
        <w:textAlignment w:val="auto"/>
      </w:pPr>
      <w:r w:rsidRPr="00120517">
        <w:lastRenderedPageBreak/>
        <w:t xml:space="preserve">La BR y la BDT están trabajando conjuntamente </w:t>
      </w:r>
      <w:r>
        <w:t xml:space="preserve">en cómo tratar </w:t>
      </w:r>
      <w:r w:rsidRPr="00120517">
        <w:t xml:space="preserve">y </w:t>
      </w:r>
      <w:r>
        <w:t xml:space="preserve">distribuir </w:t>
      </w:r>
      <w:r w:rsidRPr="00120517">
        <w:t>los indicadores relevantes sobre este asunto.</w:t>
      </w:r>
    </w:p>
    <w:p w14:paraId="7A7891B5" w14:textId="77777777" w:rsidR="00B27BCB" w:rsidRPr="00120517" w:rsidRDefault="00B27BCB" w:rsidP="00B27BCB">
      <w:pPr>
        <w:pStyle w:val="Heading4"/>
      </w:pPr>
      <w:bookmarkStart w:id="103" w:name="_Hlk98358105"/>
      <w:bookmarkStart w:id="104" w:name="_Toc20478086"/>
      <w:r w:rsidRPr="00120517">
        <w:t>8.4.1.4</w:t>
      </w:r>
      <w:r w:rsidRPr="00120517">
        <w:tab/>
        <w:t xml:space="preserve">Programa </w:t>
      </w:r>
      <w:bookmarkEnd w:id="103"/>
      <w:r w:rsidRPr="00120517">
        <w:t>de capacitación en gestión del espectro</w:t>
      </w:r>
      <w:bookmarkEnd w:id="104"/>
    </w:p>
    <w:p w14:paraId="7E7AC8D5" w14:textId="77777777" w:rsidR="00B27BCB" w:rsidRDefault="00B27BCB" w:rsidP="00B27BCB">
      <w:r w:rsidRPr="00120517">
        <w:t>La BR ha participado activamente desde 2013 en un proyecto conjunto con la BDT para la elaboración del Programa de capacitación en gestión del espectro (SMTP), en sus distintas fases: diseño, preparación del material, revisión por expertos y prueba piloto. A lo largo de los años, se han realizado varias actualizaciones y la BR ha revisado periódicamente el material del SMTP. Recientemente, se han realizado actualizaciones para incluir los resultados de la CMR-19 y la</w:t>
      </w:r>
      <w:r>
        <w:t> </w:t>
      </w:r>
      <w:r w:rsidRPr="00120517">
        <w:t>AR</w:t>
      </w:r>
      <w:r w:rsidRPr="00120517">
        <w:noBreakHyphen/>
        <w:t>19.</w:t>
      </w:r>
    </w:p>
    <w:p w14:paraId="47778BCA" w14:textId="77777777" w:rsidR="00B27BCB" w:rsidRPr="00074EA4" w:rsidRDefault="00B27BCB" w:rsidP="00B27BCB">
      <w:pPr>
        <w:rPr>
          <w:lang w:val="es-ES"/>
        </w:rPr>
      </w:pPr>
      <w:bookmarkStart w:id="105" w:name="_Toc418163383"/>
      <w:bookmarkStart w:id="106" w:name="_Toc418232301"/>
      <w:bookmarkStart w:id="107" w:name="_Toc424047626"/>
      <w:bookmarkStart w:id="108" w:name="_Toc446060795"/>
      <w:r w:rsidRPr="00074EA4">
        <w:rPr>
          <w:lang w:val="es-ES"/>
        </w:rPr>
        <w:t>Teniendo en cuenta los recursos necesarios para mantener/actualizar esta herramienta y la importancia que tiene para muchas administraciones, actualmente se está debatiendo en la BDT si el</w:t>
      </w:r>
      <w:r>
        <w:rPr>
          <w:lang w:val="es-ES"/>
        </w:rPr>
        <w:t> </w:t>
      </w:r>
      <w:r w:rsidRPr="00074EA4">
        <w:rPr>
          <w:lang w:val="es-ES"/>
        </w:rPr>
        <w:t xml:space="preserve">SMTP </w:t>
      </w:r>
      <w:proofErr w:type="gramStart"/>
      <w:r w:rsidRPr="00074EA4">
        <w:rPr>
          <w:lang w:val="es-ES"/>
        </w:rPr>
        <w:t>podría</w:t>
      </w:r>
      <w:proofErr w:type="gramEnd"/>
      <w:r w:rsidRPr="00074EA4">
        <w:rPr>
          <w:lang w:val="es-ES"/>
        </w:rPr>
        <w:t xml:space="preserve"> mejorarse o migrar a una herramienta diferente</w:t>
      </w:r>
      <w:r>
        <w:rPr>
          <w:lang w:val="es-ES"/>
        </w:rPr>
        <w:t>.</w:t>
      </w:r>
    </w:p>
    <w:p w14:paraId="503A9A53" w14:textId="77777777" w:rsidR="00B27BCB" w:rsidRPr="007377AD" w:rsidRDefault="00B27BCB" w:rsidP="00B27BCB">
      <w:pPr>
        <w:rPr>
          <w:b/>
        </w:rPr>
      </w:pPr>
      <w:r w:rsidRPr="007377AD">
        <w:rPr>
          <w:b/>
        </w:rPr>
        <w:t>8.4.2</w:t>
      </w:r>
      <w:r w:rsidRPr="007377AD">
        <w:rPr>
          <w:b/>
        </w:rPr>
        <w:tab/>
        <w:t>ITU Telecom</w:t>
      </w:r>
    </w:p>
    <w:p w14:paraId="733F491A" w14:textId="77777777" w:rsidR="00B27BCB" w:rsidRDefault="00B27BCB" w:rsidP="00B27BCB">
      <w:r w:rsidRPr="00A146EB">
        <w:t>La BR ayudó al equipo de ITU Telecom en la organización de ITU Digital World 202</w:t>
      </w:r>
      <w:r>
        <w:t>1</w:t>
      </w:r>
      <w:r w:rsidRPr="00A146EB">
        <w:t xml:space="preserve"> </w:t>
      </w:r>
      <w:r>
        <w:t>(v</w:t>
      </w:r>
      <w:r w:rsidRPr="00A146EB">
        <w:t>irtual</w:t>
      </w:r>
      <w:r>
        <w:t>)</w:t>
      </w:r>
      <w:r w:rsidRPr="00A146EB">
        <w:t xml:space="preserve"> y moderó </w:t>
      </w:r>
      <w:r>
        <w:t>mesas redondas sobre:</w:t>
      </w:r>
    </w:p>
    <w:p w14:paraId="5DE45A50" w14:textId="18CC7BF0" w:rsidR="00B27BCB" w:rsidRPr="007377AD" w:rsidRDefault="007F30AC" w:rsidP="007F30AC">
      <w:pPr>
        <w:pStyle w:val="enumlev1"/>
        <w:rPr>
          <w:lang w:val="es-ES"/>
        </w:rPr>
      </w:pPr>
      <w:r w:rsidRPr="007F30AC">
        <w:rPr>
          <w:lang w:val="es-ES"/>
        </w:rPr>
        <w:t>•</w:t>
      </w:r>
      <w:r>
        <w:rPr>
          <w:lang w:val="es-ES"/>
        </w:rPr>
        <w:tab/>
      </w:r>
      <w:r w:rsidR="008B0D3A">
        <w:rPr>
          <w:lang w:val="es-ES"/>
        </w:rPr>
        <w:t>«</w:t>
      </w:r>
      <w:r w:rsidR="00B27BCB" w:rsidRPr="007377AD">
        <w:rPr>
          <w:lang w:val="es-ES"/>
        </w:rPr>
        <w:t>Gestio</w:t>
      </w:r>
      <w:r w:rsidR="00B27BCB">
        <w:rPr>
          <w:lang w:val="es-ES"/>
        </w:rPr>
        <w:t>n</w:t>
      </w:r>
      <w:r w:rsidR="00B27BCB" w:rsidRPr="007377AD">
        <w:rPr>
          <w:lang w:val="es-ES"/>
        </w:rPr>
        <w:t>ar el crecimiento, gest</w:t>
      </w:r>
      <w:r w:rsidR="00B27BCB">
        <w:rPr>
          <w:lang w:val="es-ES"/>
        </w:rPr>
        <w:t>i</w:t>
      </w:r>
      <w:r w:rsidR="00B27BCB" w:rsidRPr="007377AD">
        <w:rPr>
          <w:lang w:val="es-ES"/>
        </w:rPr>
        <w:t>onar el espectro: pr</w:t>
      </w:r>
      <w:r w:rsidR="00B27BCB">
        <w:rPr>
          <w:lang w:val="es-ES"/>
        </w:rPr>
        <w:t>á</w:t>
      </w:r>
      <w:r w:rsidR="00B27BCB" w:rsidRPr="007377AD">
        <w:rPr>
          <w:lang w:val="es-ES"/>
        </w:rPr>
        <w:t>ctic</w:t>
      </w:r>
      <w:r w:rsidR="00B27BCB">
        <w:rPr>
          <w:lang w:val="es-ES"/>
        </w:rPr>
        <w:t>a</w:t>
      </w:r>
      <w:r w:rsidR="00B27BCB" w:rsidRPr="007377AD">
        <w:rPr>
          <w:lang w:val="es-ES"/>
        </w:rPr>
        <w:t>s idóneas para la armonización del espectro</w:t>
      </w:r>
      <w:r w:rsidR="008B0D3A">
        <w:rPr>
          <w:lang w:val="es-ES"/>
        </w:rPr>
        <w:t>»</w:t>
      </w:r>
    </w:p>
    <w:p w14:paraId="1C69903F" w14:textId="1ADF06CC" w:rsidR="00B27BCB" w:rsidRPr="007377AD" w:rsidRDefault="007F30AC" w:rsidP="007F30AC">
      <w:pPr>
        <w:pStyle w:val="enumlev1"/>
        <w:rPr>
          <w:lang w:val="es-ES"/>
        </w:rPr>
      </w:pPr>
      <w:r w:rsidRPr="007F30AC">
        <w:rPr>
          <w:lang w:val="es-ES"/>
        </w:rPr>
        <w:t>•</w:t>
      </w:r>
      <w:r>
        <w:rPr>
          <w:lang w:val="es-ES"/>
        </w:rPr>
        <w:tab/>
      </w:r>
      <w:r w:rsidR="008B0D3A">
        <w:rPr>
          <w:lang w:val="es-ES"/>
        </w:rPr>
        <w:t>«</w:t>
      </w:r>
      <w:r w:rsidR="00B27BCB" w:rsidRPr="007377AD">
        <w:rPr>
          <w:lang w:val="es-ES"/>
        </w:rPr>
        <w:t>El espacio para el cambio: sat</w:t>
      </w:r>
      <w:r w:rsidR="00B27BCB">
        <w:rPr>
          <w:lang w:val="es-ES"/>
        </w:rPr>
        <w:t xml:space="preserve">élites al servicio de la </w:t>
      </w:r>
      <w:r w:rsidR="00B27BCB" w:rsidRPr="007377AD">
        <w:rPr>
          <w:lang w:val="es-ES"/>
        </w:rPr>
        <w:t>transformaci</w:t>
      </w:r>
      <w:r w:rsidR="00B27BCB">
        <w:rPr>
          <w:lang w:val="es-ES"/>
        </w:rPr>
        <w:t>ón</w:t>
      </w:r>
      <w:r w:rsidR="00B27BCB" w:rsidRPr="007377AD">
        <w:rPr>
          <w:lang w:val="es-ES"/>
        </w:rPr>
        <w:t xml:space="preserve"> digital</w:t>
      </w:r>
      <w:r w:rsidR="008B0D3A">
        <w:rPr>
          <w:lang w:val="es-ES"/>
        </w:rPr>
        <w:t>»</w:t>
      </w:r>
    </w:p>
    <w:p w14:paraId="18CF8AEB" w14:textId="134E4E03" w:rsidR="00B27BCB" w:rsidRPr="007377AD" w:rsidRDefault="007F30AC" w:rsidP="007F30AC">
      <w:pPr>
        <w:pStyle w:val="enumlev1"/>
        <w:rPr>
          <w:lang w:val="es-ES"/>
        </w:rPr>
      </w:pPr>
      <w:r w:rsidRPr="007F30AC">
        <w:rPr>
          <w:lang w:val="es-ES"/>
        </w:rPr>
        <w:t>•</w:t>
      </w:r>
      <w:r>
        <w:rPr>
          <w:lang w:val="es-ES"/>
        </w:rPr>
        <w:tab/>
      </w:r>
      <w:r w:rsidR="008B0D3A">
        <w:rPr>
          <w:lang w:val="es-ES"/>
        </w:rPr>
        <w:t>«</w:t>
      </w:r>
      <w:r w:rsidR="00B27BCB" w:rsidRPr="007377AD">
        <w:rPr>
          <w:lang w:val="es-ES"/>
        </w:rPr>
        <w:t>5G: impuls</w:t>
      </w:r>
      <w:r w:rsidR="00B27BCB">
        <w:rPr>
          <w:lang w:val="es-ES"/>
        </w:rPr>
        <w:t>o de la transformaci</w:t>
      </w:r>
      <w:r w:rsidR="00B27BCB" w:rsidRPr="007377AD">
        <w:rPr>
          <w:lang w:val="es-ES"/>
        </w:rPr>
        <w:t xml:space="preserve">ón digital hoy, </w:t>
      </w:r>
      <w:r w:rsidR="00B27BCB">
        <w:rPr>
          <w:lang w:val="es-ES"/>
        </w:rPr>
        <w:t>¿</w:t>
      </w:r>
      <w:r w:rsidR="00B27BCB" w:rsidRPr="007377AD">
        <w:rPr>
          <w:lang w:val="es-ES"/>
        </w:rPr>
        <w:t>o mañana?</w:t>
      </w:r>
      <w:r w:rsidR="008B0D3A">
        <w:rPr>
          <w:lang w:val="es-ES"/>
        </w:rPr>
        <w:t>»</w:t>
      </w:r>
    </w:p>
    <w:p w14:paraId="6D111E87" w14:textId="1EC11D47" w:rsidR="00B27BCB" w:rsidRPr="00A146EB" w:rsidRDefault="00B27BCB" w:rsidP="00B27BCB">
      <w:r>
        <w:rPr>
          <w:lang w:val="es-ES"/>
        </w:rPr>
        <w:t xml:space="preserve">así como </w:t>
      </w:r>
      <w:r w:rsidRPr="00A146EB">
        <w:t xml:space="preserve">una mesa redonda ministerial sobre </w:t>
      </w:r>
      <w:r w:rsidR="008B0D3A">
        <w:t>«</w:t>
      </w:r>
      <w:r>
        <w:t>Impulso a la infraestructura: replantear el papel del gobierno en la transformación digital</w:t>
      </w:r>
      <w:bookmarkEnd w:id="105"/>
      <w:bookmarkEnd w:id="106"/>
      <w:bookmarkEnd w:id="107"/>
      <w:bookmarkEnd w:id="108"/>
      <w:r w:rsidR="008B0D3A">
        <w:t>»</w:t>
      </w:r>
      <w:r>
        <w:t>.</w:t>
      </w:r>
    </w:p>
    <w:p w14:paraId="44CD13FC" w14:textId="77777777" w:rsidR="00B27BCB" w:rsidRPr="00A146EB" w:rsidRDefault="00B27BCB" w:rsidP="00B27BCB">
      <w:pPr>
        <w:pStyle w:val="Heading2"/>
      </w:pPr>
      <w:bookmarkStart w:id="109" w:name="_Toc446060796"/>
      <w:r w:rsidRPr="00A146EB">
        <w:t>8.5</w:t>
      </w:r>
      <w:r w:rsidRPr="00A146EB">
        <w:tab/>
      </w:r>
      <w:bookmarkEnd w:id="109"/>
      <w:r w:rsidRPr="00A146EB">
        <w:t>Miembros</w:t>
      </w:r>
    </w:p>
    <w:p w14:paraId="0A84769A" w14:textId="77777777" w:rsidR="00B27BCB" w:rsidRPr="00A146EB" w:rsidRDefault="00B27BCB" w:rsidP="00B27BCB">
      <w:pPr>
        <w:pStyle w:val="Heading3"/>
      </w:pPr>
      <w:r w:rsidRPr="00A146EB">
        <w:t>8.5.1</w:t>
      </w:r>
      <w:r w:rsidRPr="00A146EB">
        <w:tab/>
        <w:t>Miembros de la UIT</w:t>
      </w:r>
    </w:p>
    <w:p w14:paraId="16C6B36F" w14:textId="77777777" w:rsidR="00B27BCB" w:rsidRDefault="00B27BCB" w:rsidP="00B27BCB">
      <w:pPr>
        <w:textAlignment w:val="auto"/>
      </w:pPr>
      <w:bookmarkStart w:id="110" w:name="lt_pId1391"/>
      <w:r w:rsidRPr="00A146EB">
        <w:t xml:space="preserve">Los Cuadros 8.5.1-1 a 8.5.1-3 muestran la proporción de Miembros por Sector y Región, junto con </w:t>
      </w:r>
      <w:r>
        <w:t>sus</w:t>
      </w:r>
      <w:r w:rsidRPr="00A146EB">
        <w:t xml:space="preserve"> contribuciones en 202</w:t>
      </w:r>
      <w:r>
        <w:t>1</w:t>
      </w:r>
      <w:r w:rsidRPr="00A146EB">
        <w:t>, y la evolución del número de Miembros de Sector, Asociados e Instituciones Académicas del UIT-R durante el periodo comprendido entre 201</w:t>
      </w:r>
      <w:r>
        <w:t>7</w:t>
      </w:r>
      <w:r w:rsidRPr="00A146EB">
        <w:t xml:space="preserve"> y 202</w:t>
      </w:r>
      <w:r>
        <w:t>1</w:t>
      </w:r>
      <w:r w:rsidRPr="00A146EB">
        <w:t>.</w:t>
      </w:r>
      <w:bookmarkEnd w:id="110"/>
    </w:p>
    <w:p w14:paraId="5FDE79B8" w14:textId="77777777" w:rsidR="00B27BCB" w:rsidRPr="00A146EB" w:rsidRDefault="00B27BCB" w:rsidP="00B27BCB">
      <w:pPr>
        <w:pStyle w:val="TableNoBR"/>
        <w:rPr>
          <w:caps w:val="0"/>
        </w:rPr>
      </w:pPr>
      <w:bookmarkStart w:id="111" w:name="lt_pId1392"/>
      <w:r w:rsidRPr="00074EA4">
        <w:t>Cuadro 8.5.1-1</w:t>
      </w:r>
      <w:bookmarkEnd w:id="111"/>
    </w:p>
    <w:p w14:paraId="74F08439" w14:textId="77777777" w:rsidR="00B27BCB" w:rsidRDefault="00B27BCB" w:rsidP="00B27BCB">
      <w:pPr>
        <w:pStyle w:val="Figure"/>
        <w:keepNext w:val="0"/>
        <w:keepLines w:val="0"/>
        <w:rPr>
          <w:noProof/>
        </w:rPr>
      </w:pPr>
      <w:bookmarkStart w:id="112" w:name="lt_pId1393"/>
      <w:r>
        <w:rPr>
          <w:noProof/>
          <w:lang w:val="en-US"/>
        </w:rPr>
        <w:drawing>
          <wp:inline distT="0" distB="0" distL="0" distR="0" wp14:anchorId="52813DA0" wp14:editId="432614CB">
            <wp:extent cx="6120765" cy="2355215"/>
            <wp:effectExtent l="19050" t="19050" r="13335" b="26035"/>
            <wp:docPr id="22"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pic:nvPicPr>
                  <pic:blipFill>
                    <a:blip r:embed="rId43"/>
                    <a:stretch>
                      <a:fillRect/>
                    </a:stretch>
                  </pic:blipFill>
                  <pic:spPr>
                    <a:xfrm>
                      <a:off x="0" y="0"/>
                      <a:ext cx="6120765" cy="2355215"/>
                    </a:xfrm>
                    <a:prstGeom prst="rect">
                      <a:avLst/>
                    </a:prstGeom>
                    <a:ln>
                      <a:solidFill>
                        <a:srgbClr val="4F81BD"/>
                      </a:solidFill>
                    </a:ln>
                  </pic:spPr>
                </pic:pic>
              </a:graphicData>
            </a:graphic>
          </wp:inline>
        </w:drawing>
      </w:r>
    </w:p>
    <w:p w14:paraId="4A0D6CA0" w14:textId="77777777" w:rsidR="00B27BCB" w:rsidRPr="00D85002" w:rsidRDefault="00B27BCB" w:rsidP="00B27BCB">
      <w:pPr>
        <w:pStyle w:val="TableNoBR"/>
        <w:rPr>
          <w:caps w:val="0"/>
        </w:rPr>
      </w:pPr>
      <w:r w:rsidRPr="00074EA4">
        <w:lastRenderedPageBreak/>
        <w:t>Cuadro 8.5.1-2</w:t>
      </w:r>
      <w:bookmarkEnd w:id="112"/>
    </w:p>
    <w:p w14:paraId="000D21F3" w14:textId="77777777" w:rsidR="00B27BCB" w:rsidRDefault="00B27BCB" w:rsidP="00B27BCB">
      <w:pPr>
        <w:pStyle w:val="Figure"/>
        <w:keepNext w:val="0"/>
        <w:keepLines w:val="0"/>
        <w:rPr>
          <w:sz w:val="20"/>
        </w:rPr>
      </w:pPr>
      <w:r>
        <w:rPr>
          <w:noProof/>
          <w:lang w:val="en-US"/>
        </w:rPr>
        <w:drawing>
          <wp:inline distT="0" distB="0" distL="0" distR="0" wp14:anchorId="26F87847" wp14:editId="252B0F0A">
            <wp:extent cx="6120000" cy="4179600"/>
            <wp:effectExtent l="19050" t="19050" r="14605" b="11430"/>
            <wp:docPr id="8" name="Picture 8"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with medium confidence"/>
                    <pic:cNvPicPr/>
                  </pic:nvPicPr>
                  <pic:blipFill>
                    <a:blip r:embed="rId44"/>
                    <a:stretch>
                      <a:fillRect/>
                    </a:stretch>
                  </pic:blipFill>
                  <pic:spPr>
                    <a:xfrm>
                      <a:off x="0" y="0"/>
                      <a:ext cx="6120000" cy="4179600"/>
                    </a:xfrm>
                    <a:prstGeom prst="rect">
                      <a:avLst/>
                    </a:prstGeom>
                    <a:ln>
                      <a:solidFill>
                        <a:srgbClr val="4F81BD"/>
                      </a:solidFill>
                    </a:ln>
                  </pic:spPr>
                </pic:pic>
              </a:graphicData>
            </a:graphic>
          </wp:inline>
        </w:drawing>
      </w:r>
    </w:p>
    <w:p w14:paraId="12DC295E" w14:textId="77777777" w:rsidR="00B27BCB" w:rsidRDefault="00B27BCB" w:rsidP="00B27BCB">
      <w:pPr>
        <w:pStyle w:val="TableNoBR"/>
        <w:rPr>
          <w:caps w:val="0"/>
        </w:rPr>
      </w:pPr>
      <w:r w:rsidRPr="00074EA4">
        <w:t>CUADRO 8.5.1-3</w:t>
      </w:r>
    </w:p>
    <w:p w14:paraId="232BB692" w14:textId="77777777" w:rsidR="00B27BCB" w:rsidRDefault="00B27BCB" w:rsidP="00B27BCB">
      <w:pPr>
        <w:pStyle w:val="Figure"/>
        <w:keepNext w:val="0"/>
        <w:keepLines w:val="0"/>
      </w:pPr>
      <w:bookmarkStart w:id="113" w:name="_Toc19090142"/>
      <w:bookmarkStart w:id="114" w:name="_Toc20478069"/>
      <w:r>
        <w:rPr>
          <w:noProof/>
          <w:lang w:val="en-US"/>
        </w:rPr>
        <w:drawing>
          <wp:inline distT="0" distB="0" distL="0" distR="0" wp14:anchorId="7FECC4E7" wp14:editId="394ABCB1">
            <wp:extent cx="6120765" cy="1844675"/>
            <wp:effectExtent l="19050" t="19050" r="13335" b="22225"/>
            <wp:docPr id="11" name="Picture 1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with low confidence"/>
                    <pic:cNvPicPr/>
                  </pic:nvPicPr>
                  <pic:blipFill>
                    <a:blip r:embed="rId45"/>
                    <a:stretch>
                      <a:fillRect/>
                    </a:stretch>
                  </pic:blipFill>
                  <pic:spPr>
                    <a:xfrm>
                      <a:off x="0" y="0"/>
                      <a:ext cx="6120765" cy="1844675"/>
                    </a:xfrm>
                    <a:prstGeom prst="rect">
                      <a:avLst/>
                    </a:prstGeom>
                    <a:ln>
                      <a:solidFill>
                        <a:srgbClr val="4F81BD"/>
                      </a:solidFill>
                    </a:ln>
                  </pic:spPr>
                </pic:pic>
              </a:graphicData>
            </a:graphic>
          </wp:inline>
        </w:drawing>
      </w:r>
    </w:p>
    <w:p w14:paraId="5F07C1BE" w14:textId="77777777" w:rsidR="00B27BCB" w:rsidRPr="000D2522" w:rsidRDefault="00B27BCB" w:rsidP="00B27BCB">
      <w:pPr>
        <w:pStyle w:val="Heading3"/>
      </w:pPr>
      <w:r w:rsidRPr="000D2522">
        <w:t>8.5.2</w:t>
      </w:r>
      <w:r w:rsidRPr="000D2522">
        <w:tab/>
      </w:r>
      <w:bookmarkEnd w:id="113"/>
      <w:r w:rsidRPr="000D2522">
        <w:t>Miembros</w:t>
      </w:r>
      <w:bookmarkEnd w:id="114"/>
      <w:r w:rsidRPr="000D2522">
        <w:t xml:space="preserve"> del UIT-R</w:t>
      </w:r>
    </w:p>
    <w:p w14:paraId="47A08152" w14:textId="77777777" w:rsidR="00B27BCB" w:rsidRPr="000D2522" w:rsidRDefault="00B27BCB" w:rsidP="00B27BCB">
      <w:pPr>
        <w:textAlignment w:val="auto"/>
      </w:pPr>
      <w:r w:rsidRPr="000D2522">
        <w:t>En el Cuadro 8.5.2 se muestra la evolución del número de Miembros de Sector, Asociados e Instituciones Académicas del UIT-R durante el periodo comprendido entre 2017 y 202</w:t>
      </w:r>
      <w:r>
        <w:t>1</w:t>
      </w:r>
      <w:r w:rsidRPr="000D2522">
        <w:t>.</w:t>
      </w:r>
    </w:p>
    <w:p w14:paraId="738E04D2" w14:textId="77777777" w:rsidR="00B27BCB" w:rsidRPr="000D2522" w:rsidRDefault="00B27BCB" w:rsidP="00B27BCB">
      <w:pPr>
        <w:pStyle w:val="TableNoBR"/>
        <w:rPr>
          <w:caps w:val="0"/>
        </w:rPr>
      </w:pPr>
      <w:bookmarkStart w:id="115" w:name="lt_pId1398"/>
      <w:r w:rsidRPr="00074EA4">
        <w:lastRenderedPageBreak/>
        <w:t>CUADRO 8.5.2</w:t>
      </w:r>
      <w:bookmarkEnd w:id="115"/>
    </w:p>
    <w:p w14:paraId="2A5BEAEB" w14:textId="77777777" w:rsidR="00B27BCB" w:rsidRPr="000D2522" w:rsidRDefault="00B27BCB" w:rsidP="00B27BCB">
      <w:pPr>
        <w:pStyle w:val="TabletitleBR"/>
        <w:rPr>
          <w:b w:val="0"/>
        </w:rPr>
      </w:pPr>
      <w:r w:rsidRPr="00074EA4">
        <w:t>Evolución de los Miembros del UIT-R desde 2017</w:t>
      </w:r>
    </w:p>
    <w:tbl>
      <w:tblPr>
        <w:tblStyle w:val="GridTable5Dark-Accent111"/>
        <w:tblW w:w="9664" w:type="dxa"/>
        <w:jc w:val="center"/>
        <w:tblInd w:w="0" w:type="dxa"/>
        <w:tblLayout w:type="fixed"/>
        <w:tblLook w:val="04A0" w:firstRow="1" w:lastRow="0" w:firstColumn="1" w:lastColumn="0" w:noHBand="0" w:noVBand="1"/>
      </w:tblPr>
      <w:tblGrid>
        <w:gridCol w:w="1640"/>
        <w:gridCol w:w="992"/>
        <w:gridCol w:w="992"/>
        <w:gridCol w:w="992"/>
        <w:gridCol w:w="992"/>
        <w:gridCol w:w="992"/>
        <w:gridCol w:w="1417"/>
        <w:gridCol w:w="1647"/>
      </w:tblGrid>
      <w:tr w:rsidR="00B27BCB" w:rsidRPr="004443C0" w14:paraId="239477BF" w14:textId="77777777" w:rsidTr="009C5E9D">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0" w:type="dxa"/>
            <w:tcBorders>
              <w:bottom w:val="single" w:sz="4" w:space="0" w:color="FFFFFF" w:themeColor="background1"/>
            </w:tcBorders>
            <w:noWrap/>
            <w:hideMark/>
          </w:tcPr>
          <w:p w14:paraId="23501250" w14:textId="77777777" w:rsidR="00B27BCB" w:rsidRPr="004443C0" w:rsidRDefault="00B27BCB" w:rsidP="00CF5394">
            <w:pPr>
              <w:pStyle w:val="Tablehead"/>
              <w:rPr>
                <w:b/>
                <w:bCs w:val="0"/>
              </w:rPr>
            </w:pPr>
          </w:p>
        </w:tc>
        <w:tc>
          <w:tcPr>
            <w:tcW w:w="992" w:type="dxa"/>
            <w:tcBorders>
              <w:bottom w:val="single" w:sz="4" w:space="0" w:color="FFFFFF" w:themeColor="background1"/>
            </w:tcBorders>
            <w:noWrap/>
            <w:hideMark/>
          </w:tcPr>
          <w:p w14:paraId="51DB51D7" w14:textId="77777777" w:rsidR="00B27BCB" w:rsidRPr="004443C0"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4443C0">
              <w:rPr>
                <w:b/>
                <w:bCs w:val="0"/>
              </w:rPr>
              <w:t>2017</w:t>
            </w:r>
          </w:p>
        </w:tc>
        <w:tc>
          <w:tcPr>
            <w:tcW w:w="992" w:type="dxa"/>
            <w:tcBorders>
              <w:bottom w:val="single" w:sz="4" w:space="0" w:color="FFFFFF" w:themeColor="background1"/>
            </w:tcBorders>
            <w:noWrap/>
            <w:hideMark/>
          </w:tcPr>
          <w:p w14:paraId="65DF8995" w14:textId="77777777" w:rsidR="00B27BCB" w:rsidRPr="004443C0"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4443C0">
              <w:rPr>
                <w:b/>
                <w:bCs w:val="0"/>
              </w:rPr>
              <w:t>2018</w:t>
            </w:r>
          </w:p>
        </w:tc>
        <w:tc>
          <w:tcPr>
            <w:tcW w:w="992" w:type="dxa"/>
            <w:tcBorders>
              <w:bottom w:val="single" w:sz="4" w:space="0" w:color="FFFFFF" w:themeColor="background1"/>
            </w:tcBorders>
            <w:noWrap/>
            <w:hideMark/>
          </w:tcPr>
          <w:p w14:paraId="4BAE0939" w14:textId="77777777" w:rsidR="00B27BCB" w:rsidRPr="004443C0"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4443C0">
              <w:rPr>
                <w:b/>
                <w:bCs w:val="0"/>
              </w:rPr>
              <w:t>2019</w:t>
            </w:r>
          </w:p>
        </w:tc>
        <w:tc>
          <w:tcPr>
            <w:tcW w:w="992" w:type="dxa"/>
            <w:tcBorders>
              <w:bottom w:val="single" w:sz="4" w:space="0" w:color="FFFFFF" w:themeColor="background1"/>
            </w:tcBorders>
            <w:hideMark/>
          </w:tcPr>
          <w:p w14:paraId="6EA49F5A" w14:textId="77777777" w:rsidR="00B27BCB" w:rsidRPr="004443C0"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4443C0">
              <w:rPr>
                <w:b/>
                <w:bCs w:val="0"/>
              </w:rPr>
              <w:t>2020</w:t>
            </w:r>
          </w:p>
        </w:tc>
        <w:tc>
          <w:tcPr>
            <w:tcW w:w="992" w:type="dxa"/>
            <w:tcBorders>
              <w:bottom w:val="single" w:sz="4" w:space="0" w:color="FFFFFF" w:themeColor="background1"/>
            </w:tcBorders>
            <w:noWrap/>
            <w:hideMark/>
          </w:tcPr>
          <w:p w14:paraId="3C82431F" w14:textId="77777777" w:rsidR="00B27BCB" w:rsidRPr="004443C0"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sz w:val="20"/>
              </w:rPr>
            </w:pPr>
            <w:bookmarkStart w:id="116" w:name="lt_pId1404"/>
            <w:r w:rsidRPr="004443C0">
              <w:rPr>
                <w:b/>
                <w:bCs w:val="0"/>
              </w:rPr>
              <w:t>202</w:t>
            </w:r>
            <w:bookmarkEnd w:id="116"/>
            <w:r w:rsidRPr="004443C0">
              <w:rPr>
                <w:b/>
                <w:bCs w:val="0"/>
              </w:rPr>
              <w:t>1</w:t>
            </w:r>
          </w:p>
        </w:tc>
        <w:tc>
          <w:tcPr>
            <w:tcW w:w="1417" w:type="dxa"/>
            <w:tcBorders>
              <w:bottom w:val="single" w:sz="4" w:space="0" w:color="FFFFFF" w:themeColor="background1"/>
            </w:tcBorders>
          </w:tcPr>
          <w:p w14:paraId="6C55C6D0" w14:textId="77777777" w:rsidR="00B27BCB" w:rsidRPr="004443C0"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4443C0">
              <w:rPr>
                <w:b/>
                <w:bCs w:val="0"/>
              </w:rPr>
              <w:t>2020 vs 2017</w:t>
            </w:r>
          </w:p>
        </w:tc>
        <w:tc>
          <w:tcPr>
            <w:tcW w:w="1647" w:type="dxa"/>
            <w:tcBorders>
              <w:bottom w:val="single" w:sz="4" w:space="0" w:color="FFFFFF" w:themeColor="background1"/>
            </w:tcBorders>
            <w:noWrap/>
            <w:hideMark/>
          </w:tcPr>
          <w:p w14:paraId="31B90F80" w14:textId="77777777" w:rsidR="00B27BCB" w:rsidRPr="004443C0"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4443C0">
              <w:rPr>
                <w:b/>
                <w:bCs w:val="0"/>
              </w:rPr>
              <w:t>% de aumento</w:t>
            </w:r>
          </w:p>
        </w:tc>
      </w:tr>
      <w:tr w:rsidR="00B27BCB" w:rsidRPr="000D2522" w14:paraId="2AA0DF57" w14:textId="77777777" w:rsidTr="009C5E9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FFFFFF" w:themeColor="background1"/>
              <w:bottom w:val="single" w:sz="4" w:space="0" w:color="FFFFFF" w:themeColor="background1"/>
              <w:right w:val="single" w:sz="4" w:space="0" w:color="FFFFFF" w:themeColor="background1"/>
            </w:tcBorders>
            <w:noWrap/>
            <w:hideMark/>
          </w:tcPr>
          <w:p w14:paraId="11C2907D" w14:textId="77777777" w:rsidR="00B27BCB" w:rsidRPr="000D2522" w:rsidRDefault="00B27BCB" w:rsidP="00CF5394">
            <w:pPr>
              <w:pStyle w:val="Tabletext"/>
              <w:rPr>
                <w:sz w:val="20"/>
              </w:rPr>
            </w:pPr>
            <w:r w:rsidRPr="000D2522">
              <w:t>Miembros</w:t>
            </w:r>
            <w:r w:rsidRPr="000D2522">
              <w:br/>
              <w:t>de Sector</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02DC46E"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D2522">
              <w:t>26</w:t>
            </w:r>
            <w:r>
              <w:t>6</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6D59292"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D2522">
              <w:t>26</w:t>
            </w:r>
            <w:r>
              <w:t>4</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A64A003"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D2522">
              <w:t>272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15B7D0A"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D2522">
              <w:t>27</w:t>
            </w:r>
            <w:r>
              <w:t>5</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DD8BC55"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278</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BDB83C"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D2522">
              <w:t>1</w:t>
            </w:r>
            <w:r>
              <w:t>2</w:t>
            </w:r>
          </w:p>
        </w:tc>
        <w:tc>
          <w:tcPr>
            <w:tcW w:w="1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F51A7D7"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D2522">
              <w:t>4,</w:t>
            </w:r>
            <w:r>
              <w:t>5</w:t>
            </w:r>
            <w:r w:rsidRPr="000D2522">
              <w:t>%</w:t>
            </w:r>
          </w:p>
        </w:tc>
      </w:tr>
      <w:tr w:rsidR="00B27BCB" w:rsidRPr="000D2522" w14:paraId="16AB30F6" w14:textId="77777777" w:rsidTr="009C5E9D">
        <w:trPr>
          <w:trHeight w:val="300"/>
          <w:jc w:val="center"/>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FFFFFF" w:themeColor="background1"/>
              <w:bottom w:val="single" w:sz="4" w:space="0" w:color="FFFFFF" w:themeColor="background1"/>
              <w:right w:val="single" w:sz="4" w:space="0" w:color="FFFFFF" w:themeColor="background1"/>
            </w:tcBorders>
            <w:noWrap/>
            <w:hideMark/>
          </w:tcPr>
          <w:p w14:paraId="78A4C65F" w14:textId="77777777" w:rsidR="00B27BCB" w:rsidRPr="000D2522" w:rsidRDefault="00B27BCB" w:rsidP="00CF5394">
            <w:pPr>
              <w:pStyle w:val="Tabletext"/>
              <w:rPr>
                <w:sz w:val="20"/>
              </w:rPr>
            </w:pPr>
            <w:r w:rsidRPr="000D2522">
              <w:t>Asociados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45B2C6F" w14:textId="77777777" w:rsidR="00B27BCB" w:rsidRPr="000D2522"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rsidRPr="000D2522">
              <w:t>21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8C49D55" w14:textId="77777777" w:rsidR="00B27BCB" w:rsidRPr="000D2522"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rsidRPr="000D2522">
              <w:t>20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9D474C9" w14:textId="77777777" w:rsidR="00B27BCB" w:rsidRPr="000D2522"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rsidRPr="000D2522">
              <w:t>21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691119E" w14:textId="77777777" w:rsidR="00B27BCB" w:rsidRPr="000D2522"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rsidRPr="000D2522">
              <w:t>2</w:t>
            </w:r>
            <w:r>
              <w:t>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65DC8FE" w14:textId="77777777" w:rsidR="00B27BCB" w:rsidRPr="000D2522"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rsidRPr="000D2522">
              <w:t>2</w:t>
            </w:r>
            <w:r>
              <w:t>8</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49602" w14:textId="77777777" w:rsidR="00B27BCB" w:rsidRPr="000D2522"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7</w:t>
            </w:r>
          </w:p>
        </w:tc>
        <w:tc>
          <w:tcPr>
            <w:tcW w:w="1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02BAD7C" w14:textId="77777777" w:rsidR="00B27BCB" w:rsidRPr="000D2522"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33,3</w:t>
            </w:r>
            <w:r w:rsidRPr="000D2522">
              <w:t>%</w:t>
            </w:r>
          </w:p>
        </w:tc>
      </w:tr>
      <w:tr w:rsidR="00B27BCB" w:rsidRPr="000D2522" w14:paraId="21B5CD0B" w14:textId="77777777" w:rsidTr="009C5E9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FFFFFF" w:themeColor="background1"/>
              <w:right w:val="single" w:sz="4" w:space="0" w:color="FFFFFF" w:themeColor="background1"/>
            </w:tcBorders>
            <w:noWrap/>
            <w:hideMark/>
          </w:tcPr>
          <w:p w14:paraId="408208B6" w14:textId="77777777" w:rsidR="00B27BCB" w:rsidRPr="000D2522" w:rsidRDefault="00B27BCB" w:rsidP="00CF5394">
            <w:pPr>
              <w:pStyle w:val="Tabletext"/>
              <w:rPr>
                <w:sz w:val="20"/>
              </w:rPr>
            </w:pPr>
            <w:bookmarkStart w:id="117" w:name="lt_pId1420"/>
            <w:r w:rsidRPr="000D2522">
              <w:t>Instituciones Académicas*</w:t>
            </w:r>
            <w:bookmarkEnd w:id="117"/>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795028F"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D2522">
              <w:t>1</w:t>
            </w:r>
            <w:r>
              <w:t>19</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A901CFE"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D2522">
              <w:t>14</w:t>
            </w:r>
            <w:r>
              <w:t>7</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5B4E51C"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D2522">
              <w:t>15</w:t>
            </w:r>
            <w:r>
              <w:t>6</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7C63CCA"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D2522">
              <w:t>16</w:t>
            </w:r>
            <w:r>
              <w:t>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B16CE27"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161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EF6D8F"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42</w:t>
            </w:r>
          </w:p>
        </w:tc>
        <w:tc>
          <w:tcPr>
            <w:tcW w:w="1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04AD40E" w14:textId="77777777" w:rsidR="00B27BCB" w:rsidRPr="000D2522"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rsidRPr="000D2522">
              <w:t>3</w:t>
            </w:r>
            <w:r>
              <w:t>5,2</w:t>
            </w:r>
            <w:r w:rsidRPr="000D2522">
              <w:t>%</w:t>
            </w:r>
          </w:p>
        </w:tc>
      </w:tr>
    </w:tbl>
    <w:p w14:paraId="5687DC10" w14:textId="77777777" w:rsidR="00B27BCB" w:rsidRPr="000D2522" w:rsidRDefault="00B27BCB" w:rsidP="009C5E9D">
      <w:pPr>
        <w:pStyle w:val="Tablelegend"/>
        <w:ind w:left="284" w:hanging="284"/>
      </w:pPr>
      <w:bookmarkStart w:id="118" w:name="lt_pId1427"/>
      <w:r w:rsidRPr="000D2522">
        <w:t>*</w:t>
      </w:r>
      <w:r>
        <w:tab/>
      </w:r>
      <w:r w:rsidRPr="000D2522">
        <w:t xml:space="preserve">De acuerdo con la decisión de la PP-14, las Instituciones Académicas son miembros de los </w:t>
      </w:r>
      <w:r>
        <w:t>tres</w:t>
      </w:r>
      <w:r w:rsidRPr="000D2522">
        <w:t xml:space="preserve"> Sectores de la UIT.</w:t>
      </w:r>
      <w:bookmarkEnd w:id="118"/>
    </w:p>
    <w:p w14:paraId="35122D13" w14:textId="77777777" w:rsidR="00B27BCB" w:rsidRPr="00C64FB3" w:rsidRDefault="00B27BCB" w:rsidP="00B27BCB">
      <w:pPr>
        <w:pStyle w:val="Heading2"/>
      </w:pPr>
      <w:bookmarkStart w:id="119" w:name="_Toc19090143"/>
      <w:bookmarkStart w:id="120" w:name="_Toc20478070"/>
      <w:r w:rsidRPr="00C64FB3">
        <w:t>8.6</w:t>
      </w:r>
      <w:r w:rsidRPr="00C64FB3">
        <w:tab/>
      </w:r>
      <w:bookmarkEnd w:id="119"/>
      <w:r w:rsidRPr="00C64FB3">
        <w:t>Comunicación y promoción</w:t>
      </w:r>
      <w:bookmarkEnd w:id="120"/>
    </w:p>
    <w:p w14:paraId="155814E3" w14:textId="77777777" w:rsidR="00B27BCB" w:rsidRPr="00C64FB3" w:rsidRDefault="00B27BCB" w:rsidP="00B27BCB">
      <w:pPr>
        <w:pStyle w:val="Heading3"/>
        <w:rPr>
          <w:i/>
          <w:iCs/>
        </w:rPr>
      </w:pPr>
      <w:r w:rsidRPr="00C64FB3">
        <w:t>8.6.1</w:t>
      </w:r>
      <w:r w:rsidRPr="00C64FB3">
        <w:tab/>
      </w:r>
      <w:bookmarkStart w:id="121" w:name="lt_pId1431"/>
      <w:r w:rsidRPr="00C64FB3">
        <w:t>Sitio web</w:t>
      </w:r>
      <w:bookmarkEnd w:id="121"/>
    </w:p>
    <w:p w14:paraId="6F25F9EA" w14:textId="77777777" w:rsidR="00B27BCB" w:rsidRPr="00C64FB3" w:rsidRDefault="00B27BCB" w:rsidP="00B27BCB">
      <w:pPr>
        <w:textAlignment w:val="auto"/>
      </w:pPr>
      <w:bookmarkStart w:id="122" w:name="lt_pId1432"/>
      <w:r w:rsidRPr="00C64FB3">
        <w:t xml:space="preserve">La BR completó las mejoras, actualizaciones y traducciones de los menús del sitio web del UIT-R, de conformidad con las directrices para la armonización de los menús web sectoriales. Esta labor se presentó durante la reunión del Grupo de Trabajo del Consejo sobre los Idiomas (GTC-Idiomas), celebrada el </w:t>
      </w:r>
      <w:r>
        <w:t>5</w:t>
      </w:r>
      <w:r w:rsidRPr="00C64FB3">
        <w:t xml:space="preserve"> de febrero de 202</w:t>
      </w:r>
      <w:r>
        <w:t>1</w:t>
      </w:r>
      <w:r w:rsidRPr="00C64FB3">
        <w:t>.</w:t>
      </w:r>
      <w:bookmarkEnd w:id="122"/>
    </w:p>
    <w:p w14:paraId="1EF181B7" w14:textId="77777777" w:rsidR="00B27BCB" w:rsidRPr="00E93A3A" w:rsidRDefault="00B27BCB" w:rsidP="00B27BCB">
      <w:pPr>
        <w:textAlignment w:val="auto"/>
      </w:pPr>
      <w:bookmarkStart w:id="123" w:name="lt_pId1434"/>
      <w:r w:rsidRPr="00C64FB3">
        <w:t xml:space="preserve">En el Cuadro 8.6-1 se indica la situación actual en términos de traducción de todas las páginas web de los niveles 0 y 1 del </w:t>
      </w:r>
      <w:hyperlink r:id="rId46" w:history="1">
        <w:r w:rsidRPr="00C64FB3">
          <w:rPr>
            <w:color w:val="0000FF" w:themeColor="hyperlink"/>
            <w:u w:val="single"/>
          </w:rPr>
          <w:t>sitio web del UIT-R</w:t>
        </w:r>
      </w:hyperlink>
      <w:r w:rsidRPr="00C64FB3">
        <w:t xml:space="preserve"> y su disponibilidad en los seis idiomas oficiales de la UIT. Las cifras incluidas en este cuadro se refieren al número de páginas de destino de los diversos departamentos de la BR (nivel 0) y al número de páginas a las que dan acceso con un solo clic (nivel 1).</w:t>
      </w:r>
      <w:bookmarkStart w:id="124" w:name="lt_pId1436"/>
      <w:bookmarkEnd w:id="123"/>
    </w:p>
    <w:p w14:paraId="320A1F20" w14:textId="77777777" w:rsidR="00B27BCB" w:rsidRPr="00C64FB3" w:rsidRDefault="00B27BCB" w:rsidP="00B27BCB">
      <w:pPr>
        <w:pStyle w:val="TableNoBR"/>
        <w:rPr>
          <w:caps w:val="0"/>
        </w:rPr>
      </w:pPr>
      <w:r w:rsidRPr="00E93A3A">
        <w:t>CUADRO 8.6.1-1</w:t>
      </w:r>
      <w:bookmarkEnd w:id="124"/>
    </w:p>
    <w:p w14:paraId="4958D9B4" w14:textId="77777777" w:rsidR="00B27BCB" w:rsidRPr="00C64FB3" w:rsidRDefault="00B27BCB" w:rsidP="00B27BCB">
      <w:pPr>
        <w:pStyle w:val="TabletitleBR"/>
        <w:rPr>
          <w:b w:val="0"/>
        </w:rPr>
      </w:pPr>
      <w:r w:rsidRPr="00E93A3A">
        <w:t>Estadísticas de disponibilidad de las páginas web del UIT-R en los distintos idiomas</w:t>
      </w:r>
    </w:p>
    <w:tbl>
      <w:tblPr>
        <w:tblStyle w:val="GridTable5Dark-Accent14"/>
        <w:tblW w:w="5000" w:type="pct"/>
        <w:jc w:val="center"/>
        <w:tblInd w:w="0" w:type="dxa"/>
        <w:tblLayout w:type="fixed"/>
        <w:tblLook w:val="04A0" w:firstRow="1" w:lastRow="0" w:firstColumn="1" w:lastColumn="0" w:noHBand="0" w:noVBand="1"/>
      </w:tblPr>
      <w:tblGrid>
        <w:gridCol w:w="849"/>
        <w:gridCol w:w="4158"/>
        <w:gridCol w:w="741"/>
        <w:gridCol w:w="768"/>
        <w:gridCol w:w="786"/>
        <w:gridCol w:w="770"/>
        <w:gridCol w:w="770"/>
        <w:gridCol w:w="787"/>
      </w:tblGrid>
      <w:tr w:rsidR="00B27BCB" w:rsidRPr="00C64FB3" w14:paraId="5EE205FA" w14:textId="77777777" w:rsidTr="00CF539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07" w:type="dxa"/>
            <w:gridSpan w:val="2"/>
            <w:vMerge w:val="restart"/>
            <w:tcBorders>
              <w:bottom w:val="single" w:sz="4" w:space="0" w:color="FFFFFF" w:themeColor="background1"/>
            </w:tcBorders>
            <w:noWrap/>
            <w:hideMark/>
          </w:tcPr>
          <w:p w14:paraId="70A4A860" w14:textId="77777777" w:rsidR="00B27BCB" w:rsidRPr="004443C0" w:rsidRDefault="00B27BCB" w:rsidP="00CF5394">
            <w:pPr>
              <w:pStyle w:val="Tablehead"/>
              <w:rPr>
                <w:b/>
                <w:bCs w:val="0"/>
              </w:rPr>
            </w:pPr>
          </w:p>
        </w:tc>
        <w:tc>
          <w:tcPr>
            <w:tcW w:w="4622" w:type="dxa"/>
            <w:gridSpan w:val="6"/>
            <w:tcBorders>
              <w:bottom w:val="single" w:sz="4" w:space="0" w:color="FFFFFF" w:themeColor="background1"/>
            </w:tcBorders>
            <w:hideMark/>
          </w:tcPr>
          <w:p w14:paraId="77DC70D8" w14:textId="77777777" w:rsidR="00B27BCB" w:rsidRPr="004443C0" w:rsidRDefault="00B27BCB"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4443C0">
              <w:rPr>
                <w:b/>
                <w:bCs w:val="0"/>
              </w:rPr>
              <w:t xml:space="preserve">Situación de la traducción de las páginas web </w:t>
            </w:r>
            <w:r>
              <w:rPr>
                <w:b/>
                <w:bCs w:val="0"/>
              </w:rPr>
              <w:br/>
            </w:r>
            <w:r w:rsidRPr="004443C0">
              <w:rPr>
                <w:b/>
                <w:bCs w:val="0"/>
              </w:rPr>
              <w:t>del UIT</w:t>
            </w:r>
            <w:r w:rsidRPr="004443C0">
              <w:rPr>
                <w:b/>
                <w:bCs w:val="0"/>
              </w:rPr>
              <w:noBreakHyphen/>
              <w:t>R de nivel 0 y 1</w:t>
            </w:r>
            <w:r>
              <w:rPr>
                <w:b/>
                <w:bCs w:val="0"/>
              </w:rPr>
              <w:br/>
            </w:r>
            <w:r w:rsidRPr="004443C0">
              <w:rPr>
                <w:b/>
                <w:bCs w:val="0"/>
              </w:rPr>
              <w:t>(1</w:t>
            </w:r>
            <w:r w:rsidRPr="004443C0">
              <w:rPr>
                <w:b/>
                <w:bCs w:val="0"/>
                <w:vertAlign w:val="superscript"/>
              </w:rPr>
              <w:t>er</w:t>
            </w:r>
            <w:r w:rsidRPr="004443C0">
              <w:rPr>
                <w:b/>
                <w:bCs w:val="0"/>
              </w:rPr>
              <w:t xml:space="preserve"> trimestre de 2022)</w:t>
            </w:r>
          </w:p>
        </w:tc>
      </w:tr>
      <w:tr w:rsidR="00B27BCB" w:rsidRPr="00C64FB3" w14:paraId="055AAAFA" w14:textId="77777777" w:rsidTr="00CF539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007" w:type="dxa"/>
            <w:gridSpan w:val="2"/>
            <w:vMerge/>
            <w:tcBorders>
              <w:top w:val="single" w:sz="4" w:space="0" w:color="FFFFFF" w:themeColor="background1"/>
              <w:bottom w:val="single" w:sz="4" w:space="0" w:color="FFFFFF" w:themeColor="background1"/>
              <w:right w:val="nil"/>
            </w:tcBorders>
            <w:vAlign w:val="center"/>
            <w:hideMark/>
          </w:tcPr>
          <w:p w14:paraId="200C3D3C" w14:textId="77777777" w:rsidR="00B27BCB" w:rsidRPr="00C64FB3" w:rsidRDefault="00B27BCB" w:rsidP="00CF5394">
            <w:pPr>
              <w:tabs>
                <w:tab w:val="clear" w:pos="794"/>
                <w:tab w:val="clear" w:pos="1191"/>
                <w:tab w:val="clear" w:pos="1588"/>
                <w:tab w:val="clear" w:pos="1985"/>
              </w:tabs>
              <w:overflowPunct/>
              <w:autoSpaceDE/>
              <w:autoSpaceDN/>
              <w:adjustRightInd/>
              <w:spacing w:before="0"/>
              <w:textAlignment w:val="auto"/>
            </w:pPr>
          </w:p>
        </w:tc>
        <w:tc>
          <w:tcPr>
            <w:tcW w:w="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095F27A" w14:textId="77777777" w:rsidR="00B27BCB" w:rsidRPr="00C64FB3" w:rsidRDefault="00B27BCB" w:rsidP="00CF5394">
            <w:pPr>
              <w:pStyle w:val="Tablehead"/>
              <w:cnfStyle w:val="000000100000" w:firstRow="0" w:lastRow="0" w:firstColumn="0" w:lastColumn="0" w:oddVBand="0" w:evenVBand="0" w:oddHBand="1" w:evenHBand="0" w:firstRowFirstColumn="0" w:firstRowLastColumn="0" w:lastRowFirstColumn="0" w:lastRowLastColumn="0"/>
            </w:pPr>
            <w:r w:rsidRPr="00C64FB3">
              <w:t>E</w:t>
            </w:r>
          </w:p>
        </w:tc>
        <w:tc>
          <w:tcPr>
            <w:tcW w:w="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383F754" w14:textId="77777777" w:rsidR="00B27BCB" w:rsidRPr="00C64FB3" w:rsidRDefault="00B27BCB" w:rsidP="00CF5394">
            <w:pPr>
              <w:pStyle w:val="Tablehead"/>
              <w:cnfStyle w:val="000000100000" w:firstRow="0" w:lastRow="0" w:firstColumn="0" w:lastColumn="0" w:oddVBand="0" w:evenVBand="0" w:oddHBand="1" w:evenHBand="0" w:firstRowFirstColumn="0" w:firstRowLastColumn="0" w:lastRowFirstColumn="0" w:lastRowLastColumn="0"/>
            </w:pPr>
            <w:r w:rsidRPr="00C64FB3">
              <w:t>F</w:t>
            </w:r>
          </w:p>
        </w:tc>
        <w:tc>
          <w:tcPr>
            <w:tcW w:w="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8B43685" w14:textId="77777777" w:rsidR="00B27BCB" w:rsidRPr="00C64FB3" w:rsidRDefault="00B27BCB" w:rsidP="00CF5394">
            <w:pPr>
              <w:pStyle w:val="Tablehead"/>
              <w:cnfStyle w:val="000000100000" w:firstRow="0" w:lastRow="0" w:firstColumn="0" w:lastColumn="0" w:oddVBand="0" w:evenVBand="0" w:oddHBand="1" w:evenHBand="0" w:firstRowFirstColumn="0" w:firstRowLastColumn="0" w:lastRowFirstColumn="0" w:lastRowLastColumn="0"/>
            </w:pPr>
            <w:r w:rsidRPr="00C64FB3">
              <w:t>S</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49C6077" w14:textId="77777777" w:rsidR="00B27BCB" w:rsidRPr="00C64FB3" w:rsidRDefault="00B27BCB" w:rsidP="00CF5394">
            <w:pPr>
              <w:pStyle w:val="Tablehead"/>
              <w:cnfStyle w:val="000000100000" w:firstRow="0" w:lastRow="0" w:firstColumn="0" w:lastColumn="0" w:oddVBand="0" w:evenVBand="0" w:oddHBand="1" w:evenHBand="0" w:firstRowFirstColumn="0" w:firstRowLastColumn="0" w:lastRowFirstColumn="0" w:lastRowLastColumn="0"/>
            </w:pPr>
            <w:r w:rsidRPr="00C64FB3">
              <w:t>A</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E2D6808" w14:textId="77777777" w:rsidR="00B27BCB" w:rsidRPr="00C64FB3" w:rsidRDefault="00B27BCB" w:rsidP="00CF5394">
            <w:pPr>
              <w:pStyle w:val="Tablehead"/>
              <w:cnfStyle w:val="000000100000" w:firstRow="0" w:lastRow="0" w:firstColumn="0" w:lastColumn="0" w:oddVBand="0" w:evenVBand="0" w:oddHBand="1" w:evenHBand="0" w:firstRowFirstColumn="0" w:firstRowLastColumn="0" w:lastRowFirstColumn="0" w:lastRowLastColumn="0"/>
            </w:pPr>
            <w:r w:rsidRPr="00C64FB3">
              <w:t>C</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EFCDA97" w14:textId="77777777" w:rsidR="00B27BCB" w:rsidRPr="00C64FB3" w:rsidRDefault="00B27BCB" w:rsidP="00CF5394">
            <w:pPr>
              <w:pStyle w:val="Tablehead"/>
              <w:cnfStyle w:val="000000100000" w:firstRow="0" w:lastRow="0" w:firstColumn="0" w:lastColumn="0" w:oddVBand="0" w:evenVBand="0" w:oddHBand="1" w:evenHBand="0" w:firstRowFirstColumn="0" w:firstRowLastColumn="0" w:lastRowFirstColumn="0" w:lastRowLastColumn="0"/>
            </w:pPr>
            <w:r w:rsidRPr="00C64FB3">
              <w:t>R</w:t>
            </w:r>
          </w:p>
        </w:tc>
      </w:tr>
      <w:tr w:rsidR="00B27BCB" w:rsidRPr="00C64FB3" w14:paraId="139951FD" w14:textId="77777777" w:rsidTr="00CF5394">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025DDD51" w14:textId="77777777" w:rsidR="00B27BCB" w:rsidRPr="00C64FB3" w:rsidRDefault="00B27BCB" w:rsidP="00CF5394">
            <w:pPr>
              <w:pStyle w:val="Tabletext"/>
            </w:pPr>
            <w:r w:rsidRPr="00C64FB3">
              <w:t>SSD</w:t>
            </w:r>
          </w:p>
        </w:tc>
        <w:tc>
          <w:tcPr>
            <w:tcW w:w="4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6000B25" w14:textId="77777777" w:rsidR="00B27BCB" w:rsidRPr="00C64FB3" w:rsidRDefault="00B27BCB" w:rsidP="00CF5394">
            <w:pPr>
              <w:pStyle w:val="Tabletext"/>
              <w:cnfStyle w:val="000000000000" w:firstRow="0" w:lastRow="0" w:firstColumn="0" w:lastColumn="0" w:oddVBand="0" w:evenVBand="0" w:oddHBand="0" w:evenHBand="0" w:firstRowFirstColumn="0" w:firstRowLastColumn="0" w:lastRowFirstColumn="0" w:lastRowLastColumn="0"/>
            </w:pPr>
            <w:r w:rsidRPr="00C64FB3">
              <w:t>Servicios espaciales</w:t>
            </w:r>
          </w:p>
        </w:tc>
        <w:tc>
          <w:tcPr>
            <w:tcW w:w="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AB8766B"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33</w:t>
            </w:r>
          </w:p>
        </w:tc>
        <w:tc>
          <w:tcPr>
            <w:tcW w:w="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1A3A78A"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20</w:t>
            </w:r>
          </w:p>
        </w:tc>
        <w:tc>
          <w:tcPr>
            <w:tcW w:w="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E5F033D"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20</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E0C3E83"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7</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6C6F6A3"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7</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9F0BD42"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7</w:t>
            </w:r>
          </w:p>
        </w:tc>
      </w:tr>
      <w:tr w:rsidR="00B27BCB" w:rsidRPr="00C64FB3" w14:paraId="468D07E1" w14:textId="77777777" w:rsidTr="00CF539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7BEB158C" w14:textId="77777777" w:rsidR="00B27BCB" w:rsidRPr="00C64FB3" w:rsidRDefault="00B27BCB" w:rsidP="00CF5394">
            <w:pPr>
              <w:pStyle w:val="Tabletext"/>
            </w:pPr>
            <w:r w:rsidRPr="00C64FB3">
              <w:t>TSD</w:t>
            </w:r>
          </w:p>
        </w:tc>
        <w:tc>
          <w:tcPr>
            <w:tcW w:w="4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4A6965F" w14:textId="77777777" w:rsidR="00B27BCB" w:rsidRPr="00C64FB3" w:rsidRDefault="00B27BCB" w:rsidP="00CF5394">
            <w:pPr>
              <w:pStyle w:val="Tabletext"/>
              <w:cnfStyle w:val="000000100000" w:firstRow="0" w:lastRow="0" w:firstColumn="0" w:lastColumn="0" w:oddVBand="0" w:evenVBand="0" w:oddHBand="1" w:evenHBand="0" w:firstRowFirstColumn="0" w:firstRowLastColumn="0" w:lastRowFirstColumn="0" w:lastRowLastColumn="0"/>
            </w:pPr>
            <w:r w:rsidRPr="00C64FB3">
              <w:t>Servicios terrenales</w:t>
            </w:r>
          </w:p>
        </w:tc>
        <w:tc>
          <w:tcPr>
            <w:tcW w:w="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5E36D64"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21</w:t>
            </w:r>
          </w:p>
        </w:tc>
        <w:tc>
          <w:tcPr>
            <w:tcW w:w="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0E8559F"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12</w:t>
            </w:r>
          </w:p>
        </w:tc>
        <w:tc>
          <w:tcPr>
            <w:tcW w:w="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C296264"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12</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AB087ED"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12</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15B35D6"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12</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32D2910"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12</w:t>
            </w:r>
          </w:p>
        </w:tc>
      </w:tr>
      <w:tr w:rsidR="00B27BCB" w:rsidRPr="00C64FB3" w14:paraId="6486ABA9" w14:textId="77777777" w:rsidTr="00CF5394">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2B741E01" w14:textId="77777777" w:rsidR="00B27BCB" w:rsidRPr="00C64FB3" w:rsidRDefault="00B27BCB" w:rsidP="00CF5394">
            <w:pPr>
              <w:pStyle w:val="Tabletext"/>
            </w:pPr>
            <w:r w:rsidRPr="00C64FB3">
              <w:t>SGD</w:t>
            </w:r>
          </w:p>
        </w:tc>
        <w:tc>
          <w:tcPr>
            <w:tcW w:w="4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0AFC8FC" w14:textId="77777777" w:rsidR="00B27BCB" w:rsidRPr="00C64FB3" w:rsidRDefault="00B27BCB" w:rsidP="00CF5394">
            <w:pPr>
              <w:pStyle w:val="Tabletext"/>
              <w:cnfStyle w:val="000000000000" w:firstRow="0" w:lastRow="0" w:firstColumn="0" w:lastColumn="0" w:oddVBand="0" w:evenVBand="0" w:oddHBand="0" w:evenHBand="0" w:firstRowFirstColumn="0" w:firstRowLastColumn="0" w:lastRowFirstColumn="0" w:lastRowLastColumn="0"/>
            </w:pPr>
            <w:r w:rsidRPr="00C64FB3">
              <w:t>Comisiones de Estudio</w:t>
            </w:r>
          </w:p>
        </w:tc>
        <w:tc>
          <w:tcPr>
            <w:tcW w:w="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2BE1D01"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32</w:t>
            </w:r>
          </w:p>
        </w:tc>
        <w:tc>
          <w:tcPr>
            <w:tcW w:w="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26B5E58"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16</w:t>
            </w:r>
          </w:p>
        </w:tc>
        <w:tc>
          <w:tcPr>
            <w:tcW w:w="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C0F2B8A"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16</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D06113E"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14</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CD055A3"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14</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F720716"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14</w:t>
            </w:r>
          </w:p>
        </w:tc>
      </w:tr>
      <w:tr w:rsidR="00B27BCB" w:rsidRPr="00C64FB3" w14:paraId="388A0807" w14:textId="77777777" w:rsidTr="00CF5394">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84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1D7455FA" w14:textId="77777777" w:rsidR="00B27BCB" w:rsidRPr="00C64FB3" w:rsidRDefault="00B27BCB" w:rsidP="00CF5394">
            <w:pPr>
              <w:pStyle w:val="Tabletext"/>
            </w:pPr>
            <w:r w:rsidRPr="00C64FB3">
              <w:t>Conf.</w:t>
            </w:r>
          </w:p>
        </w:tc>
        <w:tc>
          <w:tcPr>
            <w:tcW w:w="4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3131AA9" w14:textId="77777777" w:rsidR="00B27BCB" w:rsidRPr="00C64FB3" w:rsidRDefault="00B27BCB" w:rsidP="00CF5394">
            <w:pPr>
              <w:pStyle w:val="Tabletext"/>
              <w:cnfStyle w:val="000000100000" w:firstRow="0" w:lastRow="0" w:firstColumn="0" w:lastColumn="0" w:oddVBand="0" w:evenVBand="0" w:oddHBand="1" w:evenHBand="0" w:firstRowFirstColumn="0" w:firstRowLastColumn="0" w:lastRowFirstColumn="0" w:lastRowLastColumn="0"/>
            </w:pPr>
            <w:r w:rsidRPr="00C64FB3">
              <w:t>Conferencias/</w:t>
            </w:r>
            <w:r>
              <w:t>r</w:t>
            </w:r>
            <w:r w:rsidRPr="00C64FB3">
              <w:t>euniones/</w:t>
            </w:r>
            <w:r>
              <w:t>s</w:t>
            </w:r>
            <w:r w:rsidRPr="00C64FB3">
              <w:t>eminarios/</w:t>
            </w:r>
            <w:r>
              <w:t>t</w:t>
            </w:r>
            <w:r w:rsidRPr="00C64FB3">
              <w:t>alleres</w:t>
            </w:r>
          </w:p>
        </w:tc>
        <w:tc>
          <w:tcPr>
            <w:tcW w:w="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EF279C5"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14</w:t>
            </w:r>
          </w:p>
        </w:tc>
        <w:tc>
          <w:tcPr>
            <w:tcW w:w="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7365322"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11</w:t>
            </w:r>
          </w:p>
        </w:tc>
        <w:tc>
          <w:tcPr>
            <w:tcW w:w="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A200DA7"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12</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AB89263"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7</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5D4CE2E"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7</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FF6C254"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7</w:t>
            </w:r>
          </w:p>
        </w:tc>
      </w:tr>
      <w:tr w:rsidR="00B27BCB" w:rsidRPr="00C64FB3" w14:paraId="5621FD2B" w14:textId="77777777" w:rsidTr="00CF5394">
        <w:trPr>
          <w:trHeight w:val="315"/>
          <w:jc w:val="center"/>
        </w:trPr>
        <w:tc>
          <w:tcPr>
            <w:cnfStyle w:val="001000000000" w:firstRow="0" w:lastRow="0" w:firstColumn="1" w:lastColumn="0" w:oddVBand="0" w:evenVBand="0" w:oddHBand="0" w:evenHBand="0" w:firstRowFirstColumn="0" w:firstRowLastColumn="0" w:lastRowFirstColumn="0" w:lastRowLastColumn="0"/>
            <w:tcW w:w="84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2262C398" w14:textId="77777777" w:rsidR="00B27BCB" w:rsidRPr="00C64FB3" w:rsidRDefault="00B27BCB" w:rsidP="00CF5394">
            <w:pPr>
              <w:pStyle w:val="Tabletext"/>
            </w:pPr>
            <w:r w:rsidRPr="00C64FB3">
              <w:t>Otros</w:t>
            </w:r>
          </w:p>
        </w:tc>
        <w:tc>
          <w:tcPr>
            <w:tcW w:w="4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1F669E6" w14:textId="77777777" w:rsidR="00B27BCB" w:rsidRPr="00C64FB3" w:rsidRDefault="00B27BCB" w:rsidP="00CF5394">
            <w:pPr>
              <w:pStyle w:val="Tabletext"/>
              <w:cnfStyle w:val="000000000000" w:firstRow="0" w:lastRow="0" w:firstColumn="0" w:lastColumn="0" w:oddVBand="0" w:evenVBand="0" w:oddHBand="0" w:evenHBand="0" w:firstRowFirstColumn="0" w:firstRowLastColumn="0" w:lastRowFirstColumn="0" w:lastRowLastColumn="0"/>
            </w:pPr>
            <w:r w:rsidRPr="00C64FB3">
              <w:t>Información/</w:t>
            </w:r>
            <w:r>
              <w:t>p</w:t>
            </w:r>
            <w:r w:rsidRPr="00C64FB3">
              <w:t>romoción/</w:t>
            </w:r>
            <w:r>
              <w:t>e</w:t>
            </w:r>
            <w:r w:rsidRPr="00C64FB3">
              <w:t>ventos</w:t>
            </w:r>
          </w:p>
        </w:tc>
        <w:tc>
          <w:tcPr>
            <w:tcW w:w="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5496191"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16</w:t>
            </w:r>
          </w:p>
        </w:tc>
        <w:tc>
          <w:tcPr>
            <w:tcW w:w="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B30B652"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13</w:t>
            </w:r>
          </w:p>
        </w:tc>
        <w:tc>
          <w:tcPr>
            <w:tcW w:w="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6CF1591"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12</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17B5B34"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11</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466B992"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11</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3EA1484" w14:textId="77777777" w:rsidR="00B27BCB" w:rsidRPr="00C64FB3" w:rsidRDefault="00B27BCB" w:rsidP="00CF5394">
            <w:pPr>
              <w:pStyle w:val="Tabletext"/>
              <w:jc w:val="center"/>
              <w:cnfStyle w:val="000000000000" w:firstRow="0" w:lastRow="0" w:firstColumn="0" w:lastColumn="0" w:oddVBand="0" w:evenVBand="0" w:oddHBand="0" w:evenHBand="0" w:firstRowFirstColumn="0" w:firstRowLastColumn="0" w:lastRowFirstColumn="0" w:lastRowLastColumn="0"/>
            </w:pPr>
            <w:r>
              <w:t>11</w:t>
            </w:r>
          </w:p>
        </w:tc>
      </w:tr>
      <w:tr w:rsidR="00B27BCB" w:rsidRPr="00C64FB3" w14:paraId="2570E4EC" w14:textId="77777777" w:rsidTr="00CF539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007" w:type="dxa"/>
            <w:gridSpan w:val="2"/>
            <w:tcBorders>
              <w:top w:val="single" w:sz="4" w:space="0" w:color="FFFFFF" w:themeColor="background1"/>
              <w:right w:val="single" w:sz="4" w:space="0" w:color="FFFFFF" w:themeColor="background1"/>
            </w:tcBorders>
            <w:noWrap/>
            <w:hideMark/>
          </w:tcPr>
          <w:p w14:paraId="70FA4611" w14:textId="77777777" w:rsidR="00B27BCB" w:rsidRPr="00C64FB3" w:rsidRDefault="00B27BCB" w:rsidP="00CF5394">
            <w:pPr>
              <w:pStyle w:val="Tabletext"/>
            </w:pPr>
            <w:r w:rsidRPr="00C64FB3">
              <w:t>Sitio web del UIT-R (total)</w:t>
            </w:r>
          </w:p>
        </w:tc>
        <w:tc>
          <w:tcPr>
            <w:tcW w:w="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C5EE626"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116</w:t>
            </w:r>
          </w:p>
        </w:tc>
        <w:tc>
          <w:tcPr>
            <w:tcW w:w="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FB00FE7"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72</w:t>
            </w:r>
            <w:r>
              <w:br/>
              <w:t>(62%)</w:t>
            </w:r>
          </w:p>
        </w:tc>
        <w:tc>
          <w:tcPr>
            <w:tcW w:w="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05EF16D"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72</w:t>
            </w:r>
            <w:r>
              <w:br/>
              <w:t>(62%)</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560BAA3"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51</w:t>
            </w:r>
            <w:r>
              <w:br/>
              <w:t>(44%)</w:t>
            </w:r>
          </w:p>
        </w:tc>
        <w:tc>
          <w:tcPr>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AE4E976"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51</w:t>
            </w:r>
            <w:r>
              <w:br/>
              <w:t>(44%)</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ADD436F" w14:textId="77777777" w:rsidR="00B27BCB" w:rsidRPr="00C64FB3" w:rsidRDefault="00B27BCB" w:rsidP="00CF5394">
            <w:pPr>
              <w:pStyle w:val="Tabletext"/>
              <w:jc w:val="center"/>
              <w:cnfStyle w:val="000000100000" w:firstRow="0" w:lastRow="0" w:firstColumn="0" w:lastColumn="0" w:oddVBand="0" w:evenVBand="0" w:oddHBand="1" w:evenHBand="0" w:firstRowFirstColumn="0" w:firstRowLastColumn="0" w:lastRowFirstColumn="0" w:lastRowLastColumn="0"/>
            </w:pPr>
            <w:r>
              <w:t>51</w:t>
            </w:r>
            <w:r>
              <w:br/>
              <w:t>(44%)</w:t>
            </w:r>
          </w:p>
        </w:tc>
      </w:tr>
    </w:tbl>
    <w:p w14:paraId="770B0547" w14:textId="77777777" w:rsidR="00B27BCB" w:rsidRPr="00C64FB3" w:rsidRDefault="00B27BCB" w:rsidP="00B27BCB">
      <w:pPr>
        <w:pStyle w:val="Heading3"/>
      </w:pPr>
      <w:r w:rsidRPr="00C64FB3">
        <w:t>8.6.2</w:t>
      </w:r>
      <w:r w:rsidRPr="00C64FB3">
        <w:tab/>
        <w:t>Promoción y relaciones con los medios</w:t>
      </w:r>
    </w:p>
    <w:p w14:paraId="7CD662EF" w14:textId="77777777" w:rsidR="00B27BCB" w:rsidRDefault="00B27BCB" w:rsidP="00B27BCB">
      <w:r w:rsidRPr="00C64FB3">
        <w:t>Durante 202</w:t>
      </w:r>
      <w:r>
        <w:t>1</w:t>
      </w:r>
      <w:r w:rsidRPr="00C64FB3">
        <w:t>, el objetivo principal de las comunicaciones de la BR ha estado centrado en las reuniones virtuales y los seminarios web de la BR y en la promoción de los trabajos de la Oficina en línea y a través de las redes sociales.</w:t>
      </w:r>
    </w:p>
    <w:p w14:paraId="479E6BA0" w14:textId="77777777" w:rsidR="00B27BCB" w:rsidRDefault="00B27BCB" w:rsidP="00B27BCB">
      <w:r>
        <w:lastRenderedPageBreak/>
        <w:t>La Oficina de Radiocomunicaciones organizó tres seminarios web de servicios espaciales entre septiembre y noviembre de 2021. Los seminarios web alcanzaron una asistencia récord de 5 476 participantes de 135 países. Los seminarios web ofrecieron a los participantes la posibilidad recibir información respecto de la evolución de la situación técnica y reglamentaria actual, y las tendencias de la industria de satélites.</w:t>
      </w:r>
    </w:p>
    <w:p w14:paraId="2393BC42" w14:textId="77777777" w:rsidR="00B27BCB" w:rsidRPr="00AB5009" w:rsidRDefault="00B27BCB" w:rsidP="00B27BCB">
      <w:pPr>
        <w:rPr>
          <w:lang w:val="es-ES"/>
        </w:rPr>
      </w:pPr>
      <w:r w:rsidRPr="00AB5009">
        <w:rPr>
          <w:lang w:val="es-ES"/>
        </w:rPr>
        <w:t xml:space="preserve">La Oficina de Radiocomunicaciones ha compilado </w:t>
      </w:r>
      <w:r>
        <w:rPr>
          <w:lang w:val="es-ES"/>
        </w:rPr>
        <w:t>«</w:t>
      </w:r>
      <w:hyperlink r:id="rId47" w:history="1">
        <w:r w:rsidRPr="00AB5009">
          <w:rPr>
            <w:rStyle w:val="Hyperlink"/>
            <w:lang w:val="es-ES"/>
          </w:rPr>
          <w:t>Lo mejor del SMR-20</w:t>
        </w:r>
      </w:hyperlink>
      <w:r>
        <w:rPr>
          <w:lang w:val="es-ES"/>
        </w:rPr>
        <w:t>»,</w:t>
      </w:r>
      <w:r w:rsidRPr="00AB5009">
        <w:rPr>
          <w:lang w:val="es-ES"/>
        </w:rPr>
        <w:t xml:space="preserve"> que es una colección de los vídeos y presentaciones realizad</w:t>
      </w:r>
      <w:r>
        <w:rPr>
          <w:lang w:val="es-ES"/>
        </w:rPr>
        <w:t>a</w:t>
      </w:r>
      <w:r w:rsidRPr="00AB5009">
        <w:rPr>
          <w:lang w:val="es-ES"/>
        </w:rPr>
        <w:t xml:space="preserve">s durante el Seminario. </w:t>
      </w:r>
      <w:r>
        <w:rPr>
          <w:lang w:val="es-ES"/>
        </w:rPr>
        <w:t>Se i</w:t>
      </w:r>
      <w:r w:rsidRPr="00AB5009">
        <w:rPr>
          <w:lang w:val="es-ES"/>
        </w:rPr>
        <w:t xml:space="preserve">ncluyen presentaciones sobre la aplicación de las disposiciones del Reglamento de Radiocomunicaciones, los resultados de la Conferencia Mundial de Radiocomunicaciones de 2019, las actividades de los departamentos de servicios terrestres y espaciales, la labor de las diversas Comisiones de Estudio del UIT-R y las tendencias actuales </w:t>
      </w:r>
      <w:r>
        <w:rPr>
          <w:lang w:val="es-ES"/>
        </w:rPr>
        <w:t xml:space="preserve">que presentan </w:t>
      </w:r>
      <w:r w:rsidRPr="00AB5009">
        <w:rPr>
          <w:lang w:val="es-ES"/>
        </w:rPr>
        <w:t>diversos servicios de radiocomunicaciones</w:t>
      </w:r>
      <w:r>
        <w:rPr>
          <w:lang w:val="es-ES"/>
        </w:rPr>
        <w:t>.</w:t>
      </w:r>
    </w:p>
    <w:p w14:paraId="75A9EF5D" w14:textId="77777777" w:rsidR="00B27BCB" w:rsidRPr="00AB5009" w:rsidRDefault="00B27BCB" w:rsidP="00B27BCB">
      <w:pPr>
        <w:rPr>
          <w:lang w:val="es-ES"/>
        </w:rPr>
      </w:pPr>
      <w:r w:rsidRPr="00AB5009">
        <w:rPr>
          <w:lang w:val="es-ES"/>
        </w:rPr>
        <w:t xml:space="preserve">Durante 2021, la Oficina de Radiocomunicaciones publicó </w:t>
      </w:r>
      <w:r>
        <w:rPr>
          <w:lang w:val="es-ES"/>
        </w:rPr>
        <w:t>siete</w:t>
      </w:r>
      <w:r w:rsidRPr="00AB5009">
        <w:rPr>
          <w:lang w:val="es-ES"/>
        </w:rPr>
        <w:t xml:space="preserve"> comunicados de prensa y comunicados de los Miembros.</w:t>
      </w:r>
    </w:p>
    <w:p w14:paraId="1350B641" w14:textId="77777777" w:rsidR="00B27BCB" w:rsidRDefault="00B27BCB" w:rsidP="00B27BCB">
      <w:pPr>
        <w:rPr>
          <w:lang w:val="es-ES"/>
        </w:rPr>
      </w:pPr>
      <w:r w:rsidRPr="00F46492">
        <w:rPr>
          <w:lang w:val="es-ES"/>
        </w:rPr>
        <w:t xml:space="preserve">El </w:t>
      </w:r>
      <w:r>
        <w:rPr>
          <w:lang w:val="es-ES"/>
        </w:rPr>
        <w:t>primer</w:t>
      </w:r>
      <w:r w:rsidRPr="00F46492">
        <w:rPr>
          <w:lang w:val="es-ES"/>
        </w:rPr>
        <w:t xml:space="preserve"> </w:t>
      </w:r>
      <w:r>
        <w:rPr>
          <w:lang w:val="es-ES"/>
        </w:rPr>
        <w:t>t</w:t>
      </w:r>
      <w:r w:rsidRPr="00F46492">
        <w:rPr>
          <w:lang w:val="es-ES"/>
        </w:rPr>
        <w:t xml:space="preserve">aller </w:t>
      </w:r>
      <w:r>
        <w:rPr>
          <w:lang w:val="es-ES"/>
        </w:rPr>
        <w:t>i</w:t>
      </w:r>
      <w:r w:rsidRPr="00F46492">
        <w:rPr>
          <w:lang w:val="es-ES"/>
        </w:rPr>
        <w:t>nterregional de la UIT sobre la preparación de la CMR-23 contó con más de 620</w:t>
      </w:r>
      <w:r>
        <w:rPr>
          <w:lang w:val="es-ES"/>
        </w:rPr>
        <w:t> </w:t>
      </w:r>
      <w:r w:rsidRPr="00F46492">
        <w:rPr>
          <w:lang w:val="es-ES"/>
        </w:rPr>
        <w:t xml:space="preserve">participantes, entre ellos 448 de 70 Estados Miembros, 126 Miembros de Sector y representantes de organizaciones internacionales, de la industria de las telecomunicaciones, de asociaciones y de instituciones académicas. La reunión virtual SRR-21 para África atrajo a más de 270 participantes de 54 países, incluidos 42 países de la Región de África de la UIT. </w:t>
      </w:r>
      <w:r>
        <w:rPr>
          <w:lang w:val="es-ES"/>
        </w:rPr>
        <w:t>El</w:t>
      </w:r>
      <w:r w:rsidRPr="00F46492">
        <w:rPr>
          <w:lang w:val="es-ES"/>
        </w:rPr>
        <w:t xml:space="preserve"> SRR para Asia</w:t>
      </w:r>
      <w:r>
        <w:rPr>
          <w:lang w:val="es-ES"/>
        </w:rPr>
        <w:t>-</w:t>
      </w:r>
      <w:r w:rsidRPr="00F46492">
        <w:rPr>
          <w:lang w:val="es-ES"/>
        </w:rPr>
        <w:t xml:space="preserve">Pacífico atrajo a 370 participantes de más de 40 países, mientras que </w:t>
      </w:r>
      <w:r>
        <w:rPr>
          <w:lang w:val="es-ES"/>
        </w:rPr>
        <w:t>el</w:t>
      </w:r>
      <w:r w:rsidRPr="00F46492">
        <w:rPr>
          <w:lang w:val="es-ES"/>
        </w:rPr>
        <w:t xml:space="preserve"> SRR-21 virtual para las Américas atrajo a 300 participantes en representación de 37 países, incluidos 28 países de América Latina y el Caribe.</w:t>
      </w:r>
    </w:p>
    <w:p w14:paraId="1A6C8BA5" w14:textId="77777777" w:rsidR="00B27BCB" w:rsidRDefault="00B27BCB" w:rsidP="00B27BCB">
      <w:pPr>
        <w:rPr>
          <w:lang w:val="es-ES"/>
        </w:rPr>
      </w:pPr>
      <w:r w:rsidRPr="001127F4">
        <w:rPr>
          <w:lang w:val="es-ES"/>
        </w:rPr>
        <w:t xml:space="preserve">La Oficina también participó activamente en varios Días Internacionales de las Naciones Unidas que están directamente relacionados con </w:t>
      </w:r>
      <w:r>
        <w:rPr>
          <w:lang w:val="es-ES"/>
        </w:rPr>
        <w:t>la labor</w:t>
      </w:r>
      <w:r w:rsidRPr="001127F4">
        <w:rPr>
          <w:lang w:val="es-ES"/>
        </w:rPr>
        <w:t xml:space="preserve"> de la BR. Entre ellos figuran el Día Mundial de la Radio, el Día </w:t>
      </w:r>
      <w:r>
        <w:rPr>
          <w:lang w:val="es-ES"/>
        </w:rPr>
        <w:t>I</w:t>
      </w:r>
      <w:r w:rsidRPr="001127F4">
        <w:rPr>
          <w:lang w:val="es-ES"/>
        </w:rPr>
        <w:t xml:space="preserve">nternacional de las </w:t>
      </w:r>
      <w:r>
        <w:rPr>
          <w:lang w:val="es-ES"/>
        </w:rPr>
        <w:t>M</w:t>
      </w:r>
      <w:r w:rsidRPr="001127F4">
        <w:rPr>
          <w:lang w:val="es-ES"/>
        </w:rPr>
        <w:t xml:space="preserve">ujeres y las </w:t>
      </w:r>
      <w:r>
        <w:rPr>
          <w:lang w:val="es-ES"/>
        </w:rPr>
        <w:t>N</w:t>
      </w:r>
      <w:r w:rsidRPr="001127F4">
        <w:rPr>
          <w:lang w:val="es-ES"/>
        </w:rPr>
        <w:t xml:space="preserve">iñas en la </w:t>
      </w:r>
      <w:r>
        <w:rPr>
          <w:lang w:val="es-ES"/>
        </w:rPr>
        <w:t>C</w:t>
      </w:r>
      <w:r w:rsidRPr="001127F4">
        <w:rPr>
          <w:lang w:val="es-ES"/>
        </w:rPr>
        <w:t>ienci</w:t>
      </w:r>
      <w:r>
        <w:rPr>
          <w:lang w:val="es-ES"/>
        </w:rPr>
        <w:t>a</w:t>
      </w:r>
      <w:r w:rsidRPr="001127F4">
        <w:rPr>
          <w:lang w:val="es-ES"/>
        </w:rPr>
        <w:t>, el Día Meteorológico Mundial, el Día Internacional de los Vuelos Espaciales Tripulados, el Día Mundial de las Telecomunicaciones y la Sociedad de la Información, el Día Mundial de los Océanos, el Día Marítimo Mundial, la Semana Mundial del Espacio, el Día Mundial de la Televisión, el Día Mundial de la Normalización y el Día de la Aviación Civil Internacional. El equipo de comunicaci</w:t>
      </w:r>
      <w:r>
        <w:rPr>
          <w:lang w:val="es-ES"/>
        </w:rPr>
        <w:t xml:space="preserve">ón </w:t>
      </w:r>
      <w:r w:rsidRPr="001127F4">
        <w:rPr>
          <w:lang w:val="es-ES"/>
        </w:rPr>
        <w:t xml:space="preserve">de la BR, en estrecha colaboración con los </w:t>
      </w:r>
      <w:r>
        <w:rPr>
          <w:lang w:val="es-ES"/>
        </w:rPr>
        <w:t>coordinadores</w:t>
      </w:r>
      <w:r w:rsidRPr="001127F4">
        <w:rPr>
          <w:lang w:val="es-ES"/>
        </w:rPr>
        <w:t xml:space="preserve">, redactó artículos y blogs que fueron publicados </w:t>
      </w:r>
      <w:r>
        <w:rPr>
          <w:lang w:val="es-ES"/>
        </w:rPr>
        <w:t>en</w:t>
      </w:r>
      <w:r w:rsidRPr="001127F4">
        <w:rPr>
          <w:lang w:val="es-ES"/>
        </w:rPr>
        <w:t xml:space="preserve"> </w:t>
      </w:r>
      <w:r w:rsidRPr="0088450A">
        <w:rPr>
          <w:i/>
          <w:iCs/>
          <w:lang w:val="es-ES"/>
        </w:rPr>
        <w:t>Actualidades de la UIT</w:t>
      </w:r>
      <w:r>
        <w:rPr>
          <w:lang w:val="es-ES"/>
        </w:rPr>
        <w:t xml:space="preserve"> </w:t>
      </w:r>
      <w:r w:rsidRPr="001127F4">
        <w:rPr>
          <w:lang w:val="es-ES"/>
        </w:rPr>
        <w:t xml:space="preserve">y </w:t>
      </w:r>
      <w:r>
        <w:rPr>
          <w:lang w:val="es-ES"/>
        </w:rPr>
        <w:t>en Noticias ONU</w:t>
      </w:r>
      <w:r w:rsidRPr="001127F4">
        <w:rPr>
          <w:lang w:val="es-ES"/>
        </w:rPr>
        <w:t>.</w:t>
      </w:r>
    </w:p>
    <w:p w14:paraId="5135FCFA" w14:textId="77777777" w:rsidR="00B27BCB" w:rsidRPr="002E1285" w:rsidRDefault="00B27BCB" w:rsidP="00B27BCB">
      <w:pPr>
        <w:pStyle w:val="Heading4"/>
      </w:pPr>
      <w:bookmarkStart w:id="125" w:name="_Toc19090145"/>
      <w:bookmarkStart w:id="126" w:name="_Toc20478072"/>
      <w:r w:rsidRPr="002E1285">
        <w:t>8.6.2.1</w:t>
      </w:r>
      <w:r w:rsidRPr="002E1285">
        <w:tab/>
      </w:r>
      <w:bookmarkStart w:id="127" w:name="_Hlk34136563"/>
      <w:r w:rsidRPr="002E1285">
        <w:t>Preguntas más frecuentes</w:t>
      </w:r>
      <w:bookmarkEnd w:id="127"/>
      <w:r w:rsidRPr="002E1285">
        <w:t>,</w:t>
      </w:r>
      <w:bookmarkEnd w:id="125"/>
      <w:r w:rsidRPr="002E1285">
        <w:t xml:space="preserve"> documentos de antecedentes</w:t>
      </w:r>
      <w:bookmarkEnd w:id="126"/>
      <w:r w:rsidRPr="002E1285">
        <w:t xml:space="preserve"> y revista </w:t>
      </w:r>
      <w:r w:rsidRPr="0088450A">
        <w:rPr>
          <w:i/>
          <w:iCs/>
        </w:rPr>
        <w:t>Actualidades de la UIT</w:t>
      </w:r>
    </w:p>
    <w:p w14:paraId="1F36D9F7" w14:textId="77777777" w:rsidR="00B27BCB" w:rsidRPr="002E1285" w:rsidRDefault="00B27BCB" w:rsidP="00B27BCB">
      <w:pPr>
        <w:textAlignment w:val="auto"/>
      </w:pPr>
      <w:bookmarkStart w:id="128" w:name="lt_pId1505"/>
      <w:r>
        <w:t>Durante</w:t>
      </w:r>
      <w:r w:rsidRPr="002E1285">
        <w:t xml:space="preserve"> 202</w:t>
      </w:r>
      <w:r>
        <w:t xml:space="preserve">1 </w:t>
      </w:r>
      <w:r w:rsidRPr="002E1285">
        <w:t xml:space="preserve">se siguieron elaborando y manteniendo conjuntos de preguntas más frecuentes (FAQ), documentos de antecedentes para los medios, artículos, la revista </w:t>
      </w:r>
      <w:r w:rsidRPr="0088450A">
        <w:rPr>
          <w:i/>
          <w:iCs/>
        </w:rPr>
        <w:t>Actualidades de la UIT</w:t>
      </w:r>
      <w:r w:rsidRPr="002E1285">
        <w:t xml:space="preserve"> y otros recursos </w:t>
      </w:r>
      <w:bookmarkEnd w:id="128"/>
      <w:r w:rsidRPr="002E1285">
        <w:t>que se indican a continuación:</w:t>
      </w:r>
    </w:p>
    <w:p w14:paraId="165495BA" w14:textId="77777777" w:rsidR="00B27BCB" w:rsidRPr="002E1285" w:rsidRDefault="00B27BCB" w:rsidP="00B27BCB">
      <w:pPr>
        <w:textAlignment w:val="auto"/>
      </w:pPr>
      <w:bookmarkStart w:id="129" w:name="lt_pId1506"/>
      <w:r w:rsidRPr="002E1285">
        <w:t>Preguntas más frecuentes:</w:t>
      </w:r>
      <w:bookmarkEnd w:id="129"/>
    </w:p>
    <w:p w14:paraId="4600AE80" w14:textId="77777777" w:rsidR="00B27BCB" w:rsidRPr="002E1285" w:rsidRDefault="00B27BCB" w:rsidP="00B27BCB">
      <w:pPr>
        <w:pStyle w:val="enumlev1"/>
      </w:pPr>
      <w:r>
        <w:t>–</w:t>
      </w:r>
      <w:r w:rsidRPr="002E1285">
        <w:tab/>
      </w:r>
      <w:hyperlink r:id="rId48" w:history="1">
        <w:bookmarkStart w:id="130" w:name="_Hlk34647004"/>
        <w:r w:rsidRPr="002E1285">
          <w:rPr>
            <w:color w:val="0000FF" w:themeColor="hyperlink"/>
            <w:u w:val="single"/>
          </w:rPr>
          <w:t>FAQ del UIT-R</w:t>
        </w:r>
        <w:bookmarkEnd w:id="130"/>
        <w:r w:rsidRPr="002E1285">
          <w:rPr>
            <w:color w:val="0000FF" w:themeColor="hyperlink"/>
            <w:u w:val="single"/>
          </w:rPr>
          <w:t xml:space="preserve"> sobre escala de tiempo universal (UTC) – segundo intercalar</w:t>
        </w:r>
      </w:hyperlink>
    </w:p>
    <w:p w14:paraId="23334B9A" w14:textId="77777777" w:rsidR="00B27BCB" w:rsidRPr="002E1285" w:rsidRDefault="00B27BCB" w:rsidP="00B27BCB">
      <w:pPr>
        <w:pStyle w:val="enumlev1"/>
      </w:pPr>
      <w:bookmarkStart w:id="131" w:name="lt_pId1508"/>
      <w:r>
        <w:t>–</w:t>
      </w:r>
      <w:r w:rsidRPr="002E1285">
        <w:tab/>
      </w:r>
      <w:hyperlink r:id="rId49" w:tgtFrame="_blank" w:history="1">
        <w:r w:rsidRPr="002E1285">
          <w:rPr>
            <w:color w:val="0000FF" w:themeColor="hyperlink"/>
            <w:u w:val="single"/>
          </w:rPr>
          <w:t>FAQ del UIT-R sobre telecomunicaciones móviles internacionales (IMT)</w:t>
        </w:r>
      </w:hyperlink>
      <w:bookmarkEnd w:id="131"/>
    </w:p>
    <w:p w14:paraId="01E82A64" w14:textId="77777777" w:rsidR="00B27BCB" w:rsidRPr="002E1285" w:rsidRDefault="00B27BCB" w:rsidP="00B27BCB">
      <w:pPr>
        <w:pStyle w:val="enumlev1"/>
      </w:pPr>
      <w:r>
        <w:t>–</w:t>
      </w:r>
      <w:r w:rsidRPr="002E1285">
        <w:tab/>
      </w:r>
      <w:hyperlink r:id="rId50" w:tgtFrame="_blank" w:history="1">
        <w:bookmarkStart w:id="132" w:name="lt_pId1509"/>
        <w:r w:rsidRPr="002E1285">
          <w:rPr>
            <w:color w:val="0000FF" w:themeColor="hyperlink"/>
            <w:u w:val="single"/>
          </w:rPr>
          <w:t xml:space="preserve">FAQ del UIT-R sobre el </w:t>
        </w:r>
        <w:bookmarkEnd w:id="132"/>
        <w:r w:rsidRPr="002E1285">
          <w:rPr>
            <w:color w:val="0000FF" w:themeColor="hyperlink"/>
            <w:u w:val="single"/>
          </w:rPr>
          <w:t>dividendo digital y la transición a los sistemas digitales (DSO)</w:t>
        </w:r>
      </w:hyperlink>
    </w:p>
    <w:p w14:paraId="42AEF0D4" w14:textId="77777777" w:rsidR="00B27BCB" w:rsidRPr="002E1285" w:rsidRDefault="00B27BCB" w:rsidP="00B27BCB">
      <w:pPr>
        <w:pStyle w:val="enumlev1"/>
      </w:pPr>
      <w:r>
        <w:t>–</w:t>
      </w:r>
      <w:r w:rsidRPr="002E1285">
        <w:tab/>
      </w:r>
      <w:hyperlink r:id="rId51" w:tgtFrame="_blank" w:history="1">
        <w:r w:rsidRPr="002E1285">
          <w:rPr>
            <w:color w:val="0000FF" w:themeColor="hyperlink"/>
            <w:u w:val="single"/>
          </w:rPr>
          <w:t>FAQ del UIT-R sobre el Reglamento de Radiocomunicaciones</w:t>
        </w:r>
      </w:hyperlink>
    </w:p>
    <w:p w14:paraId="4C59DF31" w14:textId="77777777" w:rsidR="00B27BCB" w:rsidRPr="002E1285" w:rsidRDefault="00B27BCB" w:rsidP="00B27BCB">
      <w:pPr>
        <w:textAlignment w:val="auto"/>
      </w:pPr>
      <w:r w:rsidRPr="002E1285">
        <w:t>Documentos de antecedentes para los medios y el público en general:</w:t>
      </w:r>
    </w:p>
    <w:p w14:paraId="2ED4340B" w14:textId="77777777" w:rsidR="00B27BCB" w:rsidRPr="002E1285" w:rsidRDefault="00B27BCB" w:rsidP="00B27BCB">
      <w:pPr>
        <w:pStyle w:val="enumlev1"/>
        <w:rPr>
          <w:u w:val="single"/>
        </w:rPr>
      </w:pPr>
      <w:r>
        <w:t>–</w:t>
      </w:r>
      <w:r w:rsidRPr="002E1285">
        <w:tab/>
        <w:t>Cuestiones terrenales:</w:t>
      </w:r>
    </w:p>
    <w:p w14:paraId="1DDD4A49" w14:textId="77777777" w:rsidR="00B27BCB" w:rsidRPr="002E1285" w:rsidRDefault="00B27BCB" w:rsidP="00B27BCB">
      <w:pPr>
        <w:pStyle w:val="enumlev2"/>
      </w:pPr>
      <w:r>
        <w:t>•</w:t>
      </w:r>
      <w:r w:rsidRPr="002E1285">
        <w:tab/>
      </w:r>
      <w:hyperlink r:id="rId52" w:history="1">
        <w:r w:rsidRPr="002E1285">
          <w:rPr>
            <w:color w:val="0000FF" w:themeColor="hyperlink"/>
            <w:u w:val="single"/>
          </w:rPr>
          <w:t>5G. Quinta generación de tecnologías móviles (IMT-2020 y posteriores)</w:t>
        </w:r>
      </w:hyperlink>
    </w:p>
    <w:p w14:paraId="4D77A683" w14:textId="77777777" w:rsidR="00B27BCB" w:rsidRPr="002E1285" w:rsidRDefault="00B27BCB" w:rsidP="00B27BCB">
      <w:pPr>
        <w:pStyle w:val="enumlev2"/>
        <w:rPr>
          <w:u w:val="single"/>
        </w:rPr>
      </w:pPr>
      <w:r>
        <w:t>•</w:t>
      </w:r>
      <w:r w:rsidRPr="002E1285">
        <w:tab/>
      </w:r>
      <w:hyperlink r:id="rId53" w:history="1">
        <w:r w:rsidRPr="002E1285">
          <w:rPr>
            <w:color w:val="0000FF" w:themeColor="hyperlink"/>
            <w:u w:val="single"/>
          </w:rPr>
          <w:t>5G. Exposición humana a los campos electromagnéticos (CEM) y salud</w:t>
        </w:r>
      </w:hyperlink>
    </w:p>
    <w:p w14:paraId="023BE12F" w14:textId="77777777" w:rsidR="00B27BCB" w:rsidRPr="002E1285" w:rsidRDefault="00B27BCB" w:rsidP="00B27BCB">
      <w:pPr>
        <w:pStyle w:val="enumlev2"/>
      </w:pPr>
      <w:r>
        <w:lastRenderedPageBreak/>
        <w:t>•</w:t>
      </w:r>
      <w:r w:rsidRPr="002E1285">
        <w:tab/>
      </w:r>
      <w:hyperlink r:id="rId54" w:history="1">
        <w:r w:rsidRPr="002E1285">
          <w:rPr>
            <w:color w:val="0000FF" w:themeColor="hyperlink"/>
            <w:u w:val="single"/>
          </w:rPr>
          <w:t>Sistemas de estaciones en plataformas a gran altitud (HAPS)</w:t>
        </w:r>
      </w:hyperlink>
    </w:p>
    <w:p w14:paraId="4E3A89A3" w14:textId="77777777" w:rsidR="00B27BCB" w:rsidRPr="002E1285" w:rsidRDefault="00B27BCB" w:rsidP="00B27BCB">
      <w:pPr>
        <w:pStyle w:val="enumlev2"/>
        <w:rPr>
          <w:u w:val="single"/>
        </w:rPr>
      </w:pPr>
      <w:r>
        <w:t>•</w:t>
      </w:r>
      <w:r w:rsidRPr="002E1285">
        <w:tab/>
      </w:r>
      <w:hyperlink r:id="rId55" w:history="1">
        <w:r w:rsidRPr="002E1285">
          <w:rPr>
            <w:color w:val="0000FF" w:themeColor="hyperlink"/>
            <w:u w:val="single"/>
          </w:rPr>
          <w:t>Radiocomunicaciones para la seguridad de los barcos y de las personas en el mar</w:t>
        </w:r>
      </w:hyperlink>
    </w:p>
    <w:p w14:paraId="36BF0996" w14:textId="77777777" w:rsidR="00B27BCB" w:rsidRPr="002E1285" w:rsidRDefault="00B27BCB" w:rsidP="00B27BCB">
      <w:pPr>
        <w:pStyle w:val="enumlev1"/>
      </w:pPr>
      <w:r>
        <w:t>–</w:t>
      </w:r>
      <w:r w:rsidRPr="002E1285">
        <w:tab/>
      </w:r>
      <w:hyperlink r:id="rId56" w:history="1">
        <w:r w:rsidRPr="002E1285">
          <w:rPr>
            <w:color w:val="0000FF" w:themeColor="hyperlink"/>
            <w:u w:val="single"/>
          </w:rPr>
          <w:t>Comisiones de Estudio de la UIT</w:t>
        </w:r>
      </w:hyperlink>
    </w:p>
    <w:p w14:paraId="59DF8207" w14:textId="77777777" w:rsidR="00B27BCB" w:rsidRPr="002E1285" w:rsidRDefault="00B27BCB" w:rsidP="00B27BCB">
      <w:pPr>
        <w:pStyle w:val="enumlev1"/>
      </w:pPr>
      <w:r>
        <w:t>–</w:t>
      </w:r>
      <w:r w:rsidRPr="002E1285">
        <w:tab/>
      </w:r>
      <w:hyperlink r:id="rId57" w:history="1">
        <w:r w:rsidRPr="002E1285">
          <w:rPr>
            <w:color w:val="0000FF" w:themeColor="hyperlink"/>
            <w:u w:val="single"/>
          </w:rPr>
          <w:t>UIT-R: Gestión mundial del espectro de frecuencias</w:t>
        </w:r>
      </w:hyperlink>
    </w:p>
    <w:p w14:paraId="6E8C2BC5" w14:textId="77777777" w:rsidR="00B27BCB" w:rsidRPr="002E1285" w:rsidRDefault="00B27BCB" w:rsidP="00B27BCB">
      <w:pPr>
        <w:pStyle w:val="enumlev1"/>
        <w:rPr>
          <w:u w:val="single"/>
        </w:rPr>
      </w:pPr>
      <w:r>
        <w:t>–</w:t>
      </w:r>
      <w:r w:rsidRPr="002E1285">
        <w:tab/>
        <w:t>Cuestiones relacionadas con los satélites:</w:t>
      </w:r>
    </w:p>
    <w:p w14:paraId="12780D9E" w14:textId="77777777" w:rsidR="00B27BCB" w:rsidRPr="002E1285" w:rsidRDefault="00B27BCB" w:rsidP="00B27BCB">
      <w:pPr>
        <w:pStyle w:val="enumlev2"/>
      </w:pPr>
      <w:r>
        <w:t>•</w:t>
      </w:r>
      <w:r w:rsidRPr="002E1285">
        <w:tab/>
      </w:r>
      <w:hyperlink r:id="rId58" w:history="1">
        <w:r w:rsidRPr="002E1285">
          <w:rPr>
            <w:color w:val="0000FF" w:themeColor="hyperlink"/>
            <w:u w:val="single"/>
          </w:rPr>
          <w:t>Estaciones terrenas en movimiento (ETEM)</w:t>
        </w:r>
      </w:hyperlink>
    </w:p>
    <w:p w14:paraId="22AF335A" w14:textId="77777777" w:rsidR="00B27BCB" w:rsidRPr="002E1285" w:rsidRDefault="00B27BCB" w:rsidP="00B27BCB">
      <w:pPr>
        <w:pStyle w:val="enumlev2"/>
      </w:pPr>
      <w:r>
        <w:t>•</w:t>
      </w:r>
      <w:r w:rsidRPr="002E1285">
        <w:tab/>
      </w:r>
      <w:hyperlink r:id="rId59" w:history="1">
        <w:r w:rsidRPr="002E1285">
          <w:rPr>
            <w:color w:val="0000FF" w:themeColor="hyperlink"/>
            <w:u w:val="single"/>
          </w:rPr>
          <w:t>Sistemas de satélites no geoestacionarios</w:t>
        </w:r>
      </w:hyperlink>
    </w:p>
    <w:p w14:paraId="3651CC14" w14:textId="77777777" w:rsidR="00B27BCB" w:rsidRDefault="00B27BCB" w:rsidP="00B27BCB">
      <w:pPr>
        <w:pStyle w:val="enumlev2"/>
      </w:pPr>
      <w:r>
        <w:t>•</w:t>
      </w:r>
      <w:r w:rsidRPr="002E1285">
        <w:tab/>
      </w:r>
      <w:hyperlink r:id="rId60" w:history="1">
        <w:r w:rsidRPr="002E1285">
          <w:rPr>
            <w:color w:val="0000FF" w:themeColor="hyperlink"/>
            <w:u w:val="single"/>
          </w:rPr>
          <w:t>Sistemas de satélites no geoestacionarios con misiones de corta duración</w:t>
        </w:r>
      </w:hyperlink>
    </w:p>
    <w:p w14:paraId="7B0EE092" w14:textId="77777777" w:rsidR="00B27BCB" w:rsidRPr="00842AEA" w:rsidRDefault="00B27BCB" w:rsidP="00B27BCB">
      <w:pPr>
        <w:textAlignment w:val="auto"/>
        <w:rPr>
          <w:rFonts w:eastAsia="SimSun"/>
          <w:szCs w:val="24"/>
          <w:lang w:val="es-ES"/>
        </w:rPr>
      </w:pPr>
      <w:r w:rsidRPr="00842AEA">
        <w:rPr>
          <w:rFonts w:eastAsia="SimSun"/>
          <w:szCs w:val="24"/>
          <w:lang w:val="es-ES"/>
        </w:rPr>
        <w:t>MyITU</w:t>
      </w:r>
    </w:p>
    <w:p w14:paraId="04CA41EB" w14:textId="77777777" w:rsidR="00B27BCB" w:rsidRPr="006003AD" w:rsidRDefault="00B27BCB" w:rsidP="00B27BCB">
      <w:pPr>
        <w:textAlignment w:val="auto"/>
      </w:pPr>
      <w:r w:rsidRPr="006003AD">
        <w:t xml:space="preserve">En 2021 la Oficina de Radiocomunicaciones publicó dos números especiales de la revista </w:t>
      </w:r>
      <w:r w:rsidRPr="006003AD">
        <w:rPr>
          <w:i/>
          <w:iCs/>
        </w:rPr>
        <w:t>Actualidades de la UIT</w:t>
      </w:r>
      <w:r w:rsidRPr="006003AD">
        <w:t>. Fueron los siguientes:</w:t>
      </w:r>
    </w:p>
    <w:p w14:paraId="5E4F9808" w14:textId="77777777" w:rsidR="00B27BCB" w:rsidRDefault="00B27BCB" w:rsidP="00B27BCB">
      <w:pPr>
        <w:pStyle w:val="enumlev1"/>
        <w:rPr>
          <w:lang w:val="es-ES"/>
        </w:rPr>
      </w:pPr>
      <w:r>
        <w:t>–</w:t>
      </w:r>
      <w:r>
        <w:tab/>
      </w:r>
      <w:hyperlink r:id="rId61" w:history="1">
        <w:r w:rsidRPr="00C4389B">
          <w:rPr>
            <w:rStyle w:val="Hyperlink"/>
            <w:lang w:val="es-ES"/>
          </w:rPr>
          <w:t>Un nuevo mundo, una nueva radio</w:t>
        </w:r>
      </w:hyperlink>
      <w:r>
        <w:rPr>
          <w:lang w:val="es-ES"/>
        </w:rPr>
        <w:t>: la UIT celebra el Día Mundial de la Radio</w:t>
      </w:r>
    </w:p>
    <w:p w14:paraId="2E884592" w14:textId="77777777" w:rsidR="00B27BCB" w:rsidRDefault="00B27BCB" w:rsidP="00B27BCB">
      <w:pPr>
        <w:pStyle w:val="enumlev1"/>
      </w:pPr>
      <w:r>
        <w:t>–</w:t>
      </w:r>
      <w:r>
        <w:tab/>
      </w:r>
      <w:hyperlink r:id="rId62" w:history="1">
        <w:r w:rsidRPr="00554F49">
          <w:rPr>
            <w:rStyle w:val="Hyperlink"/>
          </w:rPr>
          <w:t>Liderazgo femenino en las radiocomunicaciones y el espacio</w:t>
        </w:r>
      </w:hyperlink>
    </w:p>
    <w:p w14:paraId="3CE1C3A3" w14:textId="77777777" w:rsidR="00B27BCB" w:rsidRPr="006003AD" w:rsidRDefault="00B27BCB" w:rsidP="00B27BCB">
      <w:pPr>
        <w:textAlignment w:val="auto"/>
      </w:pPr>
      <w:r w:rsidRPr="006003AD">
        <w:t xml:space="preserve">El Director de la Oficina de Radiocomunicaciones ha contribuido de manera regular mediante artículos en </w:t>
      </w:r>
      <w:r w:rsidRPr="006003AD">
        <w:rPr>
          <w:i/>
          <w:iCs/>
        </w:rPr>
        <w:t>Actualidades de la UIT</w:t>
      </w:r>
      <w:r w:rsidRPr="006003AD">
        <w:t xml:space="preserve">, blogs y </w:t>
      </w:r>
      <w:r w:rsidRPr="006003AD">
        <w:rPr>
          <w:i/>
          <w:iCs/>
        </w:rPr>
        <w:t>podcasts</w:t>
      </w:r>
      <w:r w:rsidRPr="006003AD">
        <w:t>. Los siguientes fueron publicados con su autoría:</w:t>
      </w:r>
    </w:p>
    <w:p w14:paraId="3C1B16A3" w14:textId="77777777" w:rsidR="00B27BCB" w:rsidRPr="00842AEA" w:rsidRDefault="00B27BCB" w:rsidP="00B27BCB">
      <w:pPr>
        <w:pStyle w:val="enumlev1"/>
        <w:rPr>
          <w:lang w:val="es-ES"/>
        </w:rPr>
      </w:pPr>
      <w:r w:rsidRPr="00791451">
        <w:rPr>
          <w:lang w:val="es-ES"/>
        </w:rPr>
        <w:t>–</w:t>
      </w:r>
      <w:r w:rsidRPr="00842AEA">
        <w:rPr>
          <w:lang w:val="es-ES"/>
        </w:rPr>
        <w:tab/>
      </w:r>
      <w:hyperlink r:id="rId63" w:history="1">
        <w:r w:rsidRPr="00842AEA">
          <w:rPr>
            <w:rStyle w:val="Hyperlink"/>
            <w:lang w:val="es-ES"/>
          </w:rPr>
          <w:t>Celebración de la resiliencia de la radio</w:t>
        </w:r>
      </w:hyperlink>
    </w:p>
    <w:p w14:paraId="76403D8F" w14:textId="77777777" w:rsidR="00B27BCB" w:rsidRPr="00376384" w:rsidRDefault="00B27BCB" w:rsidP="00B27BCB">
      <w:pPr>
        <w:pStyle w:val="enumlev1"/>
        <w:rPr>
          <w:rFonts w:eastAsia="SimSun" w:cs="Arial"/>
          <w:szCs w:val="22"/>
          <w:lang w:val="es-ES" w:eastAsia="zh-CN"/>
        </w:rPr>
      </w:pPr>
      <w:r w:rsidRPr="00791451">
        <w:rPr>
          <w:lang w:val="es-ES"/>
        </w:rPr>
        <w:t>–</w:t>
      </w:r>
      <w:r w:rsidRPr="00376384">
        <w:rPr>
          <w:lang w:val="es-ES"/>
        </w:rPr>
        <w:tab/>
      </w:r>
      <w:hyperlink r:id="rId64" w:history="1">
        <w:r w:rsidRPr="00376384">
          <w:rPr>
            <w:rFonts w:eastAsia="SimSun" w:cs="Arial"/>
            <w:color w:val="0000FF" w:themeColor="hyperlink"/>
            <w:szCs w:val="22"/>
            <w:u w:val="single"/>
            <w:lang w:val="es-ES" w:eastAsia="zh-CN"/>
          </w:rPr>
          <w:t xml:space="preserve">Un nuevo mundo, una nueva radio: </w:t>
        </w:r>
        <w:r>
          <w:rPr>
            <w:rFonts w:eastAsia="SimSun" w:cs="Arial"/>
            <w:color w:val="0000FF" w:themeColor="hyperlink"/>
            <w:szCs w:val="22"/>
            <w:u w:val="single"/>
            <w:lang w:val="es-ES" w:eastAsia="zh-CN"/>
          </w:rPr>
          <w:t>c</w:t>
        </w:r>
        <w:r w:rsidRPr="00376384">
          <w:rPr>
            <w:rFonts w:eastAsia="SimSun" w:cs="Arial"/>
            <w:color w:val="0000FF" w:themeColor="hyperlink"/>
            <w:szCs w:val="22"/>
            <w:u w:val="single"/>
            <w:lang w:val="es-ES" w:eastAsia="zh-CN"/>
          </w:rPr>
          <w:t>elebración de la resilien</w:t>
        </w:r>
        <w:r>
          <w:rPr>
            <w:rFonts w:eastAsia="SimSun" w:cs="Arial"/>
            <w:color w:val="0000FF" w:themeColor="hyperlink"/>
            <w:szCs w:val="22"/>
            <w:u w:val="single"/>
            <w:lang w:val="es-ES" w:eastAsia="zh-CN"/>
          </w:rPr>
          <w:t>cia</w:t>
        </w:r>
        <w:r w:rsidRPr="00376384">
          <w:rPr>
            <w:rFonts w:eastAsia="SimSun" w:cs="Arial"/>
            <w:color w:val="0000FF" w:themeColor="hyperlink"/>
            <w:szCs w:val="22"/>
            <w:u w:val="single"/>
            <w:lang w:val="es-ES" w:eastAsia="zh-CN"/>
          </w:rPr>
          <w:t xml:space="preserve"> del medio más </w:t>
        </w:r>
        <w:r>
          <w:rPr>
            <w:rFonts w:eastAsia="SimSun" w:cs="Arial"/>
            <w:color w:val="0000FF" w:themeColor="hyperlink"/>
            <w:szCs w:val="22"/>
            <w:u w:val="single"/>
            <w:lang w:val="es-ES" w:eastAsia="zh-CN"/>
          </w:rPr>
          <w:t>usado en todo el mundo</w:t>
        </w:r>
      </w:hyperlink>
    </w:p>
    <w:p w14:paraId="198688B1" w14:textId="77777777" w:rsidR="00B27BCB" w:rsidRPr="00376384" w:rsidRDefault="00B27BCB" w:rsidP="00B27BCB">
      <w:pPr>
        <w:pStyle w:val="enumlev1"/>
        <w:rPr>
          <w:lang w:val="es-ES"/>
        </w:rPr>
      </w:pPr>
      <w:r w:rsidRPr="00791451">
        <w:rPr>
          <w:lang w:val="es-ES"/>
        </w:rPr>
        <w:t>–</w:t>
      </w:r>
      <w:r w:rsidRPr="00376384">
        <w:rPr>
          <w:lang w:val="es-ES"/>
        </w:rPr>
        <w:tab/>
      </w:r>
      <w:r w:rsidRPr="004508E8">
        <w:rPr>
          <w:i/>
          <w:iCs/>
          <w:lang w:val="es-ES"/>
        </w:rPr>
        <w:t>Podcast</w:t>
      </w:r>
      <w:r w:rsidRPr="00376384">
        <w:rPr>
          <w:lang w:val="es-ES"/>
        </w:rPr>
        <w:t xml:space="preserve"> para el Día Mundial de la Radio </w:t>
      </w:r>
      <w:r w:rsidRPr="006003AD">
        <w:rPr>
          <w:lang w:val="es-ES"/>
        </w:rPr>
        <w:t>–</w:t>
      </w:r>
      <w:r>
        <w:rPr>
          <w:lang w:val="es-ES"/>
        </w:rPr>
        <w:t xml:space="preserve"> </w:t>
      </w:r>
      <w:hyperlink r:id="rId65" w:history="1">
        <w:r w:rsidRPr="00376384">
          <w:rPr>
            <w:color w:val="0000FF" w:themeColor="hyperlink"/>
            <w:u w:val="single"/>
            <w:lang w:val="es-ES"/>
          </w:rPr>
          <w:t xml:space="preserve">Tecnología para el Bien: </w:t>
        </w:r>
        <w:r>
          <w:rPr>
            <w:color w:val="0000FF" w:themeColor="hyperlink"/>
            <w:u w:val="single"/>
            <w:lang w:val="es-ES"/>
          </w:rPr>
          <w:t xml:space="preserve">la resiliencia de la </w:t>
        </w:r>
        <w:r w:rsidRPr="00376384">
          <w:rPr>
            <w:color w:val="0000FF" w:themeColor="hyperlink"/>
            <w:u w:val="single"/>
            <w:lang w:val="es-ES"/>
          </w:rPr>
          <w:t>radio</w:t>
        </w:r>
      </w:hyperlink>
    </w:p>
    <w:p w14:paraId="5936BDF3" w14:textId="77777777" w:rsidR="00B27BCB" w:rsidRPr="00EF482E" w:rsidRDefault="00B27BCB" w:rsidP="00B27BCB">
      <w:pPr>
        <w:pStyle w:val="enumlev1"/>
        <w:rPr>
          <w:lang w:val="es-ES"/>
        </w:rPr>
      </w:pPr>
      <w:r w:rsidRPr="00791451">
        <w:rPr>
          <w:lang w:val="es-ES"/>
        </w:rPr>
        <w:t>–</w:t>
      </w:r>
      <w:r w:rsidRPr="00D473CA">
        <w:rPr>
          <w:lang w:val="es-ES"/>
        </w:rPr>
        <w:tab/>
      </w:r>
      <w:hyperlink r:id="rId66" w:history="1">
        <w:r w:rsidRPr="00D473CA">
          <w:rPr>
            <w:rStyle w:val="Hyperlink"/>
            <w:lang w:val="es-ES"/>
          </w:rPr>
          <w:t>Día Marítimo Mundial: gente de mar segura y conectada</w:t>
        </w:r>
      </w:hyperlink>
    </w:p>
    <w:p w14:paraId="2421F057" w14:textId="77777777" w:rsidR="00B27BCB" w:rsidRPr="00EC0009" w:rsidRDefault="00B27BCB" w:rsidP="00B27BCB">
      <w:pPr>
        <w:pStyle w:val="enumlev1"/>
        <w:rPr>
          <w:lang w:val="es-ES"/>
        </w:rPr>
      </w:pPr>
      <w:r w:rsidRPr="00791451">
        <w:rPr>
          <w:lang w:val="es-ES"/>
        </w:rPr>
        <w:t>–</w:t>
      </w:r>
      <w:r w:rsidRPr="00EC0009">
        <w:rPr>
          <w:lang w:val="es-ES"/>
        </w:rPr>
        <w:tab/>
      </w:r>
      <w:hyperlink r:id="rId67" w:history="1">
        <w:r>
          <w:rPr>
            <w:rStyle w:val="Hyperlink"/>
            <w:lang w:val="es-ES"/>
          </w:rPr>
          <w:t>¿Por qué necesitamos normas técnicas para una gestión eficiente del espectro radioeléctrico?</w:t>
        </w:r>
      </w:hyperlink>
    </w:p>
    <w:p w14:paraId="450E0402" w14:textId="77777777" w:rsidR="00B27BCB" w:rsidRPr="006003AD" w:rsidRDefault="00B27BCB" w:rsidP="00B27BCB">
      <w:pPr>
        <w:textAlignment w:val="auto"/>
      </w:pPr>
      <w:r w:rsidRPr="006003AD">
        <w:t xml:space="preserve">La Oficina también ha animado a los altos cargos de la BR a contribuir con artículos y blogs en </w:t>
      </w:r>
      <w:r w:rsidRPr="006003AD">
        <w:rPr>
          <w:i/>
          <w:iCs/>
        </w:rPr>
        <w:t>Actualidades de la UIT</w:t>
      </w:r>
      <w:r w:rsidRPr="006003AD">
        <w:t xml:space="preserve"> para destacar el trabajo que realiza la Oficina. También ha habido un flujo constante de artículos de los Miembros de Sector del UIT-R.</w:t>
      </w:r>
    </w:p>
    <w:p w14:paraId="45BCA8BA" w14:textId="77777777" w:rsidR="00B27BCB" w:rsidRPr="006003AD" w:rsidRDefault="00B27BCB" w:rsidP="00B27BCB">
      <w:pPr>
        <w:textAlignment w:val="auto"/>
      </w:pPr>
      <w:r w:rsidRPr="006003AD">
        <w:t>Los siguientes artículos se han publicado en 2021:</w:t>
      </w:r>
    </w:p>
    <w:p w14:paraId="71A1C5E7" w14:textId="77777777" w:rsidR="00B27BCB" w:rsidRPr="00CF1686" w:rsidRDefault="00B27BCB" w:rsidP="00B27BCB">
      <w:pPr>
        <w:pStyle w:val="enumlev1"/>
      </w:pPr>
      <w:r w:rsidRPr="00791451">
        <w:rPr>
          <w:lang w:val="es-ES"/>
        </w:rPr>
        <w:t>–</w:t>
      </w:r>
      <w:r w:rsidRPr="0049146F">
        <w:rPr>
          <w:lang w:val="es-ES"/>
        </w:rPr>
        <w:tab/>
      </w:r>
      <w:hyperlink r:id="rId68" w:history="1">
        <w:r w:rsidRPr="005A59C5">
          <w:rPr>
            <w:rStyle w:val="Hyperlink"/>
            <w:rFonts w:eastAsia="SimSun"/>
          </w:rPr>
          <w:t>Más allá de 5G: ¿Qué es lo siguiente para las IMT?</w:t>
        </w:r>
      </w:hyperlink>
    </w:p>
    <w:p w14:paraId="6632230E" w14:textId="77777777" w:rsidR="00B27BCB" w:rsidRPr="00CF1686" w:rsidRDefault="00B27BCB" w:rsidP="00B27BCB">
      <w:pPr>
        <w:pStyle w:val="enumlev1"/>
      </w:pPr>
      <w:r w:rsidRPr="00791451">
        <w:rPr>
          <w:lang w:val="es-ES"/>
        </w:rPr>
        <w:t>–</w:t>
      </w:r>
      <w:r w:rsidRPr="0049146F">
        <w:rPr>
          <w:lang w:val="es-ES"/>
        </w:rPr>
        <w:tab/>
      </w:r>
      <w:hyperlink r:id="rId69" w:history="1">
        <w:r w:rsidRPr="005A59C5">
          <w:rPr>
            <w:rStyle w:val="Hyperlink"/>
            <w:rFonts w:eastAsia="SimSun"/>
          </w:rPr>
          <w:t>¿En qué me afectan las radiocomunicaciones espaciales para aplicaciones científicas?</w:t>
        </w:r>
      </w:hyperlink>
    </w:p>
    <w:p w14:paraId="2C77BEE8" w14:textId="77777777" w:rsidR="00B27BCB" w:rsidRPr="00CF1686" w:rsidRDefault="00B27BCB" w:rsidP="00B27BCB">
      <w:pPr>
        <w:pStyle w:val="enumlev1"/>
      </w:pPr>
      <w:r w:rsidRPr="00791451">
        <w:rPr>
          <w:lang w:val="es-ES"/>
        </w:rPr>
        <w:t>–</w:t>
      </w:r>
      <w:r w:rsidRPr="00703BE3">
        <w:rPr>
          <w:lang w:val="es-ES"/>
        </w:rPr>
        <w:tab/>
      </w:r>
      <w:hyperlink r:id="rId70" w:history="1">
        <w:r w:rsidRPr="00703BE3">
          <w:rPr>
            <w:rStyle w:val="Hyperlink"/>
            <w:lang w:val="es-ES"/>
          </w:rPr>
          <w:t>Principales funciones de la radio en situaciones de crisis y emergencia</w:t>
        </w:r>
      </w:hyperlink>
    </w:p>
    <w:p w14:paraId="08E39690" w14:textId="77777777" w:rsidR="00B27BCB" w:rsidRPr="00CF1686" w:rsidRDefault="00B27BCB" w:rsidP="00B27BCB">
      <w:pPr>
        <w:pStyle w:val="enumlev1"/>
      </w:pPr>
      <w:r w:rsidRPr="00791451">
        <w:rPr>
          <w:lang w:val="es-ES"/>
        </w:rPr>
        <w:t>–</w:t>
      </w:r>
      <w:r w:rsidRPr="00703BE3">
        <w:rPr>
          <w:lang w:val="es-ES"/>
        </w:rPr>
        <w:tab/>
      </w:r>
      <w:hyperlink r:id="rId71" w:history="1">
        <w:r w:rsidRPr="005A59C5">
          <w:rPr>
            <w:rStyle w:val="Hyperlink"/>
            <w:rFonts w:eastAsia="SimSun"/>
          </w:rPr>
          <w:t>Alcanza la excelencia para que no puedan ignorarte: mujeres y niñas en la ciencia, la tecnología, la ingeniería y las matemáticas (CTIM)</w:t>
        </w:r>
      </w:hyperlink>
    </w:p>
    <w:p w14:paraId="1E13C258" w14:textId="77777777" w:rsidR="00B27BCB" w:rsidRPr="00CF1686" w:rsidRDefault="00B27BCB" w:rsidP="00B27BCB">
      <w:pPr>
        <w:pStyle w:val="enumlev1"/>
      </w:pPr>
      <w:r w:rsidRPr="00791451">
        <w:rPr>
          <w:lang w:val="es-ES"/>
        </w:rPr>
        <w:t>–</w:t>
      </w:r>
      <w:r w:rsidRPr="00703BE3">
        <w:rPr>
          <w:lang w:val="es-ES"/>
        </w:rPr>
        <w:tab/>
      </w:r>
      <w:hyperlink r:id="rId72" w:history="1">
        <w:r w:rsidRPr="005A59C5">
          <w:rPr>
            <w:rStyle w:val="Hyperlink"/>
            <w:rFonts w:eastAsia="SimSun"/>
          </w:rPr>
          <w:t>Reglamento de Radiocomunicaciones: la clave para observar los océanos, el clima y la meteorología</w:t>
        </w:r>
      </w:hyperlink>
    </w:p>
    <w:p w14:paraId="77136E00" w14:textId="77777777" w:rsidR="00B27BCB" w:rsidRPr="00CF1686" w:rsidRDefault="00B27BCB" w:rsidP="00B27BCB">
      <w:pPr>
        <w:pStyle w:val="enumlev1"/>
      </w:pPr>
      <w:r w:rsidRPr="00791451">
        <w:rPr>
          <w:lang w:val="es-ES"/>
        </w:rPr>
        <w:t>–</w:t>
      </w:r>
      <w:r w:rsidRPr="00703BE3">
        <w:rPr>
          <w:lang w:val="es-ES"/>
        </w:rPr>
        <w:tab/>
      </w:r>
      <w:hyperlink r:id="rId73" w:history="1">
        <w:r w:rsidRPr="005A59C5">
          <w:rPr>
            <w:rStyle w:val="Hyperlink"/>
            <w:rFonts w:eastAsia="SimSun"/>
          </w:rPr>
          <w:t>Supervisión de la atmósfera, los océanos y el clima desde el espacio</w:t>
        </w:r>
      </w:hyperlink>
    </w:p>
    <w:p w14:paraId="3F6FF381" w14:textId="77777777" w:rsidR="00B27BCB" w:rsidRPr="00CF1686" w:rsidRDefault="00B27BCB" w:rsidP="00B27BCB">
      <w:pPr>
        <w:pStyle w:val="enumlev1"/>
      </w:pPr>
      <w:r w:rsidRPr="00791451">
        <w:rPr>
          <w:lang w:val="es-ES"/>
        </w:rPr>
        <w:t>–</w:t>
      </w:r>
      <w:r w:rsidRPr="000000D2">
        <w:rPr>
          <w:lang w:val="es-ES"/>
        </w:rPr>
        <w:tab/>
      </w:r>
      <w:hyperlink r:id="rId74" w:history="1">
        <w:r w:rsidRPr="005A59C5">
          <w:rPr>
            <w:rStyle w:val="Hyperlink"/>
            <w:rFonts w:eastAsia="SimSun"/>
          </w:rPr>
          <w:t>En casa, pero nunca solo: celebración del Día Mundial del Radioaficionado</w:t>
        </w:r>
      </w:hyperlink>
    </w:p>
    <w:p w14:paraId="44DD7F4B" w14:textId="77777777" w:rsidR="00B27BCB" w:rsidRPr="00CF1686" w:rsidRDefault="00B27BCB" w:rsidP="00B27BCB">
      <w:pPr>
        <w:pStyle w:val="enumlev1"/>
      </w:pPr>
      <w:r w:rsidRPr="00791451">
        <w:rPr>
          <w:lang w:val="es-ES"/>
        </w:rPr>
        <w:t>–</w:t>
      </w:r>
      <w:r w:rsidRPr="000000D2">
        <w:rPr>
          <w:lang w:val="es-ES"/>
        </w:rPr>
        <w:tab/>
      </w:r>
      <w:hyperlink r:id="rId75" w:history="1">
        <w:r w:rsidRPr="005A59C5">
          <w:rPr>
            <w:rStyle w:val="Hyperlink"/>
            <w:rFonts w:eastAsia="SimSun"/>
          </w:rPr>
          <w:t>Porqué importan los medios de comunicación: imágenes de mujeres científicas e ingenieras</w:t>
        </w:r>
      </w:hyperlink>
    </w:p>
    <w:p w14:paraId="00693B83" w14:textId="77777777" w:rsidR="00B27BCB" w:rsidRPr="00CF1686" w:rsidRDefault="00B27BCB" w:rsidP="00B27BCB">
      <w:pPr>
        <w:pStyle w:val="enumlev1"/>
      </w:pPr>
      <w:r w:rsidRPr="00791451">
        <w:rPr>
          <w:lang w:val="es-ES"/>
        </w:rPr>
        <w:t>–</w:t>
      </w:r>
      <w:r w:rsidRPr="0049146F">
        <w:rPr>
          <w:lang w:val="es-ES"/>
        </w:rPr>
        <w:tab/>
      </w:r>
      <w:r w:rsidRPr="004508E8">
        <w:rPr>
          <w:i/>
          <w:iCs/>
          <w:lang w:val="es-ES"/>
        </w:rPr>
        <w:t>Podcast</w:t>
      </w:r>
      <w:r w:rsidRPr="0049146F">
        <w:rPr>
          <w:rFonts w:eastAsia="Calibri" w:cs="Arial"/>
          <w:szCs w:val="24"/>
          <w:lang w:val="es-ES" w:eastAsia="zh-CN"/>
        </w:rPr>
        <w:t xml:space="preserve">: </w:t>
      </w:r>
      <w:r>
        <w:rPr>
          <w:rFonts w:eastAsia="Calibri" w:cs="Arial"/>
          <w:szCs w:val="24"/>
          <w:lang w:val="es-ES" w:eastAsia="zh-CN"/>
        </w:rPr>
        <w:t>«</w:t>
      </w:r>
      <w:r w:rsidRPr="0049146F">
        <w:rPr>
          <w:rFonts w:eastAsia="Calibri" w:cs="Arial"/>
          <w:szCs w:val="24"/>
          <w:lang w:val="es-ES" w:eastAsia="zh-CN"/>
        </w:rPr>
        <w:t>Una UIT cargada de tecnología</w:t>
      </w:r>
      <w:r>
        <w:rPr>
          <w:rFonts w:eastAsia="Calibri" w:cs="Arial"/>
          <w:szCs w:val="24"/>
          <w:lang w:val="es-ES" w:eastAsia="zh-CN"/>
        </w:rPr>
        <w:t>»</w:t>
      </w:r>
      <w:r w:rsidRPr="0049146F">
        <w:rPr>
          <w:rFonts w:eastAsia="SimSun" w:cs="Arial"/>
          <w:szCs w:val="22"/>
          <w:lang w:val="es-ES" w:eastAsia="zh-CN"/>
        </w:rPr>
        <w:t xml:space="preserve">: </w:t>
      </w:r>
      <w:hyperlink r:id="rId76" w:history="1">
        <w:r w:rsidRPr="005A59C5">
          <w:rPr>
            <w:rStyle w:val="Hyperlink"/>
            <w:rFonts w:eastAsia="SimSun"/>
          </w:rPr>
          <w:t>Entrevista con Robyn Gatens, Directora, Estación Espacial Internacional, NASA</w:t>
        </w:r>
      </w:hyperlink>
    </w:p>
    <w:p w14:paraId="601CCD35" w14:textId="77777777" w:rsidR="00B27BCB" w:rsidRPr="00CF1686" w:rsidRDefault="00B27BCB" w:rsidP="00B27BCB">
      <w:pPr>
        <w:pStyle w:val="enumlev1"/>
      </w:pPr>
      <w:r w:rsidRPr="00791451">
        <w:rPr>
          <w:lang w:val="es-ES"/>
        </w:rPr>
        <w:t>–</w:t>
      </w:r>
      <w:r w:rsidRPr="0049146F">
        <w:rPr>
          <w:lang w:val="es-ES"/>
        </w:rPr>
        <w:tab/>
      </w:r>
      <w:hyperlink r:id="rId77" w:history="1">
        <w:r w:rsidRPr="00F81581">
          <w:rPr>
            <w:rStyle w:val="Hyperlink"/>
            <w:rFonts w:eastAsia="SimSun"/>
          </w:rPr>
          <w:t>Visión económica de las órbitas bajas entorno a la Tierra</w:t>
        </w:r>
      </w:hyperlink>
    </w:p>
    <w:p w14:paraId="4BF94212" w14:textId="77777777" w:rsidR="00B27BCB" w:rsidRPr="00CF1686" w:rsidRDefault="00B27BCB" w:rsidP="00B27BCB">
      <w:pPr>
        <w:pStyle w:val="enumlev1"/>
      </w:pPr>
      <w:r w:rsidRPr="00791451">
        <w:rPr>
          <w:lang w:val="es-ES"/>
        </w:rPr>
        <w:lastRenderedPageBreak/>
        <w:t>–</w:t>
      </w:r>
      <w:r w:rsidRPr="0049146F">
        <w:rPr>
          <w:lang w:val="es-ES"/>
        </w:rPr>
        <w:tab/>
      </w:r>
      <w:hyperlink r:id="rId78" w:history="1">
        <w:r w:rsidRPr="00F81581">
          <w:rPr>
            <w:rStyle w:val="Hyperlink"/>
            <w:rFonts w:eastAsia="SimSun"/>
          </w:rPr>
          <w:t>Los beneficios del espacio deben estar a disposición de todos</w:t>
        </w:r>
      </w:hyperlink>
    </w:p>
    <w:p w14:paraId="34689045" w14:textId="77777777" w:rsidR="00B27BCB" w:rsidRPr="00CF1686" w:rsidRDefault="00B27BCB" w:rsidP="00B27BCB">
      <w:pPr>
        <w:pStyle w:val="enumlev1"/>
      </w:pPr>
      <w:r w:rsidRPr="00791451">
        <w:rPr>
          <w:lang w:val="es-ES"/>
        </w:rPr>
        <w:t>–</w:t>
      </w:r>
      <w:r w:rsidRPr="0049146F">
        <w:rPr>
          <w:lang w:val="es-ES"/>
        </w:rPr>
        <w:tab/>
      </w:r>
      <w:hyperlink r:id="rId79" w:history="1">
        <w:r w:rsidRPr="00F81581">
          <w:rPr>
            <w:rStyle w:val="Hyperlink"/>
            <w:rFonts w:eastAsia="SimSun"/>
          </w:rPr>
          <w:t>¿Debe convertirse el espacio el decimoctavo ODS?</w:t>
        </w:r>
      </w:hyperlink>
    </w:p>
    <w:p w14:paraId="2A7377D7" w14:textId="77777777" w:rsidR="00B27BCB" w:rsidRPr="00CF1686" w:rsidRDefault="00B27BCB" w:rsidP="00B27BCB">
      <w:pPr>
        <w:pStyle w:val="enumlev1"/>
      </w:pPr>
      <w:r w:rsidRPr="00791451">
        <w:rPr>
          <w:lang w:val="es-ES"/>
        </w:rPr>
        <w:t>–</w:t>
      </w:r>
      <w:r w:rsidRPr="0049146F">
        <w:rPr>
          <w:lang w:val="es-ES"/>
        </w:rPr>
        <w:tab/>
      </w:r>
      <w:hyperlink r:id="rId80" w:history="1">
        <w:r w:rsidRPr="00F81581">
          <w:rPr>
            <w:rStyle w:val="Hyperlink"/>
            <w:rFonts w:eastAsia="SimSun"/>
          </w:rPr>
          <w:t>Impulso a la biodiversidad en la industria aeroespacial</w:t>
        </w:r>
      </w:hyperlink>
    </w:p>
    <w:p w14:paraId="2AC9459A" w14:textId="77777777" w:rsidR="00B27BCB" w:rsidRPr="00CF1686" w:rsidRDefault="00B27BCB" w:rsidP="00B27BCB">
      <w:pPr>
        <w:pStyle w:val="enumlev1"/>
      </w:pPr>
      <w:r w:rsidRPr="00791451">
        <w:rPr>
          <w:lang w:val="es-ES"/>
        </w:rPr>
        <w:t>–</w:t>
      </w:r>
      <w:r w:rsidRPr="0049146F">
        <w:rPr>
          <w:lang w:val="es-ES"/>
        </w:rPr>
        <w:tab/>
      </w:r>
      <w:hyperlink r:id="rId81" w:history="1">
        <w:r w:rsidRPr="00F81581">
          <w:rPr>
            <w:rStyle w:val="Hyperlink"/>
            <w:rFonts w:eastAsia="SimSun"/>
          </w:rPr>
          <w:t>Satélites para conectar a los desconectados</w:t>
        </w:r>
      </w:hyperlink>
    </w:p>
    <w:p w14:paraId="067FFE44" w14:textId="77777777" w:rsidR="00B27BCB" w:rsidRPr="00CF1686" w:rsidRDefault="00B27BCB" w:rsidP="00B27BCB">
      <w:pPr>
        <w:pStyle w:val="enumlev1"/>
      </w:pPr>
      <w:r w:rsidRPr="00791451">
        <w:rPr>
          <w:lang w:val="es-ES"/>
        </w:rPr>
        <w:t>–</w:t>
      </w:r>
      <w:r w:rsidRPr="000000D2">
        <w:rPr>
          <w:lang w:val="es-ES"/>
        </w:rPr>
        <w:tab/>
      </w:r>
      <w:hyperlink r:id="rId82" w:history="1">
        <w:r w:rsidRPr="00F81581">
          <w:rPr>
            <w:rStyle w:val="Hyperlink"/>
            <w:rFonts w:eastAsia="SimSun"/>
          </w:rPr>
          <w:t>El «efecto Scully» atrae a las mujeres y las niñas a desarrollar carreras en los ámbitos de la ciencia, la tecnología, la ingeniería y las matemáticas (CTIM)</w:t>
        </w:r>
      </w:hyperlink>
    </w:p>
    <w:p w14:paraId="774A1798" w14:textId="77777777" w:rsidR="00B27BCB" w:rsidRPr="00CF1686" w:rsidRDefault="00B27BCB" w:rsidP="00B27BCB">
      <w:pPr>
        <w:pStyle w:val="enumlev1"/>
      </w:pPr>
      <w:r w:rsidRPr="00791451">
        <w:rPr>
          <w:lang w:val="es-ES"/>
        </w:rPr>
        <w:t>–</w:t>
      </w:r>
      <w:r w:rsidRPr="000000D2">
        <w:rPr>
          <w:lang w:val="es-ES"/>
        </w:rPr>
        <w:tab/>
      </w:r>
      <w:hyperlink r:id="rId83" w:history="1">
        <w:r w:rsidRPr="00F81581">
          <w:rPr>
            <w:rStyle w:val="Hyperlink"/>
            <w:rFonts w:eastAsia="SimSun"/>
          </w:rPr>
          <w:t>Servicios espaciales fiables: ¿Por qué y cómo?</w:t>
        </w:r>
      </w:hyperlink>
    </w:p>
    <w:p w14:paraId="70781874" w14:textId="77777777" w:rsidR="00B27BCB" w:rsidRPr="00CF1686" w:rsidRDefault="00B27BCB" w:rsidP="00B27BCB">
      <w:pPr>
        <w:pStyle w:val="enumlev1"/>
      </w:pPr>
      <w:r w:rsidRPr="00791451">
        <w:rPr>
          <w:lang w:val="es-ES"/>
        </w:rPr>
        <w:t>–</w:t>
      </w:r>
      <w:r w:rsidRPr="00EB469B">
        <w:rPr>
          <w:lang w:val="es-ES"/>
        </w:rPr>
        <w:tab/>
      </w:r>
      <w:hyperlink r:id="rId84" w:history="1">
        <w:r w:rsidRPr="00F81581">
          <w:rPr>
            <w:rStyle w:val="Hyperlink"/>
            <w:rFonts w:eastAsia="SimSun"/>
            <w:lang w:val="es-ES"/>
          </w:rPr>
          <w:t>Aspirante a astrobióloga se pone a Marte como objetivo</w:t>
        </w:r>
      </w:hyperlink>
    </w:p>
    <w:p w14:paraId="4A4F0C42" w14:textId="77777777" w:rsidR="00B27BCB" w:rsidRPr="00CF1686" w:rsidRDefault="00B27BCB" w:rsidP="00B27BCB">
      <w:pPr>
        <w:pStyle w:val="enumlev1"/>
      </w:pPr>
      <w:r w:rsidRPr="00791451">
        <w:rPr>
          <w:lang w:val="es-ES"/>
        </w:rPr>
        <w:t>–</w:t>
      </w:r>
      <w:r w:rsidRPr="00EB469B">
        <w:rPr>
          <w:lang w:val="es-ES"/>
        </w:rPr>
        <w:tab/>
      </w:r>
      <w:hyperlink r:id="rId85" w:history="1">
        <w:r w:rsidRPr="00EB469B">
          <w:rPr>
            <w:rStyle w:val="Hyperlink"/>
            <w:lang w:val="es-ES"/>
          </w:rPr>
          <w:t>Gestionar el espectro de radiofrecuencias en medio de una nueva carrera espacial</w:t>
        </w:r>
      </w:hyperlink>
    </w:p>
    <w:p w14:paraId="55960C07" w14:textId="77777777" w:rsidR="00B27BCB" w:rsidRPr="00CF1686" w:rsidRDefault="00B27BCB" w:rsidP="00B27BCB">
      <w:pPr>
        <w:pStyle w:val="enumlev1"/>
      </w:pPr>
      <w:r w:rsidRPr="00791451">
        <w:rPr>
          <w:lang w:val="es-ES"/>
        </w:rPr>
        <w:t>–</w:t>
      </w:r>
      <w:r w:rsidRPr="00340E0A">
        <w:rPr>
          <w:lang w:val="es-ES"/>
        </w:rPr>
        <w:tab/>
      </w:r>
      <w:hyperlink r:id="rId86" w:history="1">
        <w:r w:rsidRPr="00F81581">
          <w:rPr>
            <w:rStyle w:val="Hyperlink"/>
            <w:rFonts w:eastAsia="SimSun"/>
          </w:rPr>
          <w:t>Más allá de la radiodifusión de los últimos Juegos Olímpicos: la tecnología de la televisión une al mundo</w:t>
        </w:r>
      </w:hyperlink>
    </w:p>
    <w:p w14:paraId="78585064" w14:textId="77777777" w:rsidR="00B27BCB" w:rsidRPr="00C23BF1" w:rsidRDefault="00B27BCB" w:rsidP="00B27BCB">
      <w:pPr>
        <w:textAlignment w:val="auto"/>
      </w:pPr>
      <w:r w:rsidRPr="00C23BF1">
        <w:t>Otros recursos creados, mantenidos y actualizados durante el periodo:</w:t>
      </w:r>
    </w:p>
    <w:p w14:paraId="6F110316" w14:textId="77777777" w:rsidR="00B27BCB" w:rsidRPr="00C23BF1" w:rsidRDefault="00B27BCB" w:rsidP="00B27BCB">
      <w:pPr>
        <w:pStyle w:val="enumlev1"/>
      </w:pPr>
      <w:r>
        <w:t>–</w:t>
      </w:r>
      <w:r w:rsidRPr="00C23BF1">
        <w:tab/>
      </w:r>
      <w:bookmarkStart w:id="133" w:name="lt_pId1520"/>
      <w:r>
        <w:fldChar w:fldCharType="begin"/>
      </w:r>
      <w:r>
        <w:instrText xml:space="preserve"> HYPERLINK "https://www.itu.int/oth/R040200003F/es" </w:instrText>
      </w:r>
      <w:r>
        <w:fldChar w:fldCharType="separate"/>
      </w:r>
      <w:r w:rsidRPr="005A59C5">
        <w:rPr>
          <w:rStyle w:val="Hyperlink"/>
        </w:rPr>
        <w:t xml:space="preserve">Acceso gratuito en línea a publicaciones, </w:t>
      </w:r>
      <w:r w:rsidRPr="005A59C5">
        <w:rPr>
          <w:rStyle w:val="Hyperlink"/>
          <w:i/>
          <w:iCs/>
        </w:rPr>
        <w:t>software</w:t>
      </w:r>
      <w:r w:rsidRPr="005A59C5">
        <w:rPr>
          <w:rStyle w:val="Hyperlink"/>
        </w:rPr>
        <w:t xml:space="preserve"> y bases de datos del UIT-R</w:t>
      </w:r>
      <w:bookmarkEnd w:id="133"/>
      <w:r>
        <w:fldChar w:fldCharType="end"/>
      </w:r>
    </w:p>
    <w:p w14:paraId="7AB05F72" w14:textId="77777777" w:rsidR="00B27BCB" w:rsidRPr="00C23BF1" w:rsidRDefault="00B27BCB" w:rsidP="00B27BCB">
      <w:pPr>
        <w:pStyle w:val="enumlev1"/>
      </w:pPr>
      <w:r>
        <w:t>–</w:t>
      </w:r>
      <w:r w:rsidRPr="00C23BF1">
        <w:tab/>
      </w:r>
      <w:hyperlink r:id="rId87" w:history="1">
        <w:r w:rsidRPr="005A59C5">
          <w:rPr>
            <w:rStyle w:val="Hyperlink"/>
          </w:rPr>
          <w:t>La inteligencia artificial (IA) nos ofrecerá unas radiocomunicaciones más inteligentes</w:t>
        </w:r>
      </w:hyperlink>
    </w:p>
    <w:p w14:paraId="5B4A8D60" w14:textId="77777777" w:rsidR="00B27BCB" w:rsidRPr="00C23BF1" w:rsidRDefault="00B27BCB" w:rsidP="00B27BCB">
      <w:pPr>
        <w:pStyle w:val="enumlev1"/>
        <w:rPr>
          <w:u w:val="single"/>
        </w:rPr>
      </w:pPr>
      <w:r>
        <w:t>–</w:t>
      </w:r>
      <w:r w:rsidRPr="00C23BF1">
        <w:tab/>
      </w:r>
      <w:hyperlink r:id="rId88" w:history="1">
        <w:r w:rsidRPr="005A59C5">
          <w:rPr>
            <w:rStyle w:val="Hyperlink"/>
          </w:rPr>
          <w:t>Norma mundial de la UIT para las telecomunicaciones móviles internacionales «IMT para 2020 y en adelante»</w:t>
        </w:r>
      </w:hyperlink>
    </w:p>
    <w:p w14:paraId="561E8A8B" w14:textId="77777777" w:rsidR="00B27BCB" w:rsidRPr="00C23BF1" w:rsidRDefault="00B27BCB" w:rsidP="00B27BCB">
      <w:pPr>
        <w:pStyle w:val="enumlev1"/>
        <w:rPr>
          <w:u w:val="single"/>
        </w:rPr>
      </w:pPr>
      <w:r>
        <w:t>–</w:t>
      </w:r>
      <w:r w:rsidRPr="00C23BF1">
        <w:tab/>
      </w:r>
      <w:hyperlink r:id="rId89" w:history="1">
        <w:r w:rsidRPr="005A59C5">
          <w:rPr>
            <w:rStyle w:val="Hyperlink"/>
          </w:rPr>
          <w:t>Radiocomunicaciones y cambio climático</w:t>
        </w:r>
      </w:hyperlink>
    </w:p>
    <w:p w14:paraId="6CB5DB33" w14:textId="77777777" w:rsidR="00B27BCB" w:rsidRPr="00C23BF1" w:rsidRDefault="00B27BCB" w:rsidP="00B27BCB">
      <w:pPr>
        <w:pStyle w:val="enumlev1"/>
        <w:rPr>
          <w:u w:val="single"/>
        </w:rPr>
      </w:pPr>
      <w:r>
        <w:t>–</w:t>
      </w:r>
      <w:r w:rsidRPr="00C23BF1">
        <w:tab/>
      </w:r>
      <w:hyperlink r:id="rId90" w:history="1">
        <w:r w:rsidRPr="005A59C5">
          <w:rPr>
            <w:rStyle w:val="Hyperlink"/>
          </w:rPr>
          <w:t>Radiocomunicaciones de emergencia</w:t>
        </w:r>
      </w:hyperlink>
    </w:p>
    <w:p w14:paraId="17A7122A" w14:textId="77777777" w:rsidR="00B27BCB" w:rsidRDefault="00B27BCB" w:rsidP="00B27BCB">
      <w:pPr>
        <w:pStyle w:val="enumlev1"/>
      </w:pPr>
      <w:r>
        <w:t>–</w:t>
      </w:r>
      <w:r w:rsidRPr="00C23BF1">
        <w:tab/>
      </w:r>
      <w:hyperlink r:id="rId91" w:history="1">
        <w:r w:rsidRPr="005A59C5">
          <w:rPr>
            <w:rStyle w:val="Hyperlink"/>
          </w:rPr>
          <w:t>Contribución del Sector UIT-R a la reducción de la brecha digital de discapacidad</w:t>
        </w:r>
      </w:hyperlink>
    </w:p>
    <w:p w14:paraId="7F70989D" w14:textId="77777777" w:rsidR="00B27BCB" w:rsidRPr="00164645" w:rsidRDefault="00B27BCB" w:rsidP="00BF3C52">
      <w:pPr>
        <w:pStyle w:val="Heading4"/>
      </w:pPr>
      <w:r w:rsidRPr="005A59C5">
        <w:t>8.6.2.2</w:t>
      </w:r>
      <w:r w:rsidRPr="005A59C5">
        <w:tab/>
        <w:t xml:space="preserve">Comunicaciones de marca, ventas y </w:t>
      </w:r>
      <w:r w:rsidRPr="005A59C5">
        <w:rPr>
          <w:i/>
          <w:iCs/>
        </w:rPr>
        <w:t>marketing</w:t>
      </w:r>
    </w:p>
    <w:p w14:paraId="1D9BCA8E" w14:textId="77777777" w:rsidR="00B27BCB" w:rsidRPr="00164645" w:rsidRDefault="00B27BCB" w:rsidP="00BF3C52">
      <w:pPr>
        <w:keepNext/>
        <w:keepLines/>
        <w:textAlignment w:val="auto"/>
        <w:rPr>
          <w:u w:val="single"/>
        </w:rPr>
      </w:pPr>
      <w:r w:rsidRPr="00164645">
        <w:t>Las actividades de marca y comunicación realizadas a lo largo del año 202</w:t>
      </w:r>
      <w:r>
        <w:t>1</w:t>
      </w:r>
      <w:r w:rsidRPr="00164645">
        <w:t xml:space="preserve"> se centraron en la utilización de la nueva plataforma MyITU en colaboración con ventas y </w:t>
      </w:r>
      <w:r w:rsidRPr="009D2F28">
        <w:rPr>
          <w:i/>
          <w:iCs/>
        </w:rPr>
        <w:t>marketing</w:t>
      </w:r>
      <w:r w:rsidRPr="00164645">
        <w:t xml:space="preserve"> para promover las siguientes publicaciones del UIT-R:</w:t>
      </w:r>
    </w:p>
    <w:p w14:paraId="7CB66573" w14:textId="77777777" w:rsidR="00B27BCB" w:rsidRPr="00CF1686" w:rsidRDefault="00B27BCB" w:rsidP="001E3169">
      <w:pPr>
        <w:pStyle w:val="enumlev1"/>
      </w:pPr>
      <w:r>
        <w:t>–</w:t>
      </w:r>
      <w:r w:rsidRPr="00164645">
        <w:tab/>
      </w:r>
      <w:hyperlink r:id="rId92" w:history="1">
        <w:r w:rsidRPr="005A59C5">
          <w:rPr>
            <w:rStyle w:val="Hyperlink"/>
          </w:rPr>
          <w:t>Actas finales de la CMR-19 – My ITU</w:t>
        </w:r>
      </w:hyperlink>
    </w:p>
    <w:p w14:paraId="7C5EF1FF" w14:textId="77777777" w:rsidR="00B27BCB" w:rsidRPr="00CF1686" w:rsidRDefault="00B27BCB" w:rsidP="001E3169">
      <w:pPr>
        <w:pStyle w:val="enumlev1"/>
      </w:pPr>
      <w:r>
        <w:t>–</w:t>
      </w:r>
      <w:r w:rsidRPr="00164645">
        <w:tab/>
      </w:r>
      <w:hyperlink r:id="rId93" w:history="1">
        <w:r w:rsidRPr="005A59C5">
          <w:rPr>
            <w:rStyle w:val="Hyperlink"/>
          </w:rPr>
          <w:t>Reglamento de Radiocomunicaciones de 2020 – My ITU</w:t>
        </w:r>
      </w:hyperlink>
    </w:p>
    <w:p w14:paraId="6176C257" w14:textId="77777777" w:rsidR="00B27BCB" w:rsidRPr="005D1AC6" w:rsidRDefault="00B27BCB" w:rsidP="00B27BCB">
      <w:pPr>
        <w:pStyle w:val="enumlev1"/>
        <w:rPr>
          <w:lang w:val="en-US"/>
        </w:rPr>
      </w:pPr>
      <w:r w:rsidRPr="005D1AC6">
        <w:rPr>
          <w:lang w:val="en-US"/>
        </w:rPr>
        <w:t>–</w:t>
      </w:r>
      <w:r w:rsidRPr="005D1AC6">
        <w:rPr>
          <w:lang w:val="en-US"/>
        </w:rPr>
        <w:tab/>
      </w:r>
      <w:hyperlink r:id="rId94" w:history="1">
        <w:r w:rsidRPr="000664D6">
          <w:rPr>
            <w:rStyle w:val="Hyperlink"/>
            <w:lang w:val="en-US"/>
          </w:rPr>
          <w:t xml:space="preserve">Manual Marítimo 2020 </w:t>
        </w:r>
        <w:r w:rsidRPr="005D1AC6">
          <w:rPr>
            <w:rStyle w:val="Hyperlink"/>
            <w:lang w:val="en-US"/>
          </w:rPr>
          <w:t>– My ITU</w:t>
        </w:r>
      </w:hyperlink>
    </w:p>
    <w:p w14:paraId="240A6371" w14:textId="77777777" w:rsidR="00B27BCB" w:rsidRPr="00164645" w:rsidRDefault="00B27BCB" w:rsidP="00B27BCB">
      <w:pPr>
        <w:pStyle w:val="enumlev1"/>
        <w:rPr>
          <w:lang w:val="en-US"/>
        </w:rPr>
      </w:pPr>
      <w:r w:rsidRPr="00791451">
        <w:rPr>
          <w:lang w:val="en-US"/>
        </w:rPr>
        <w:t>–</w:t>
      </w:r>
      <w:r w:rsidRPr="00164645">
        <w:rPr>
          <w:lang w:val="en-US"/>
        </w:rPr>
        <w:tab/>
      </w:r>
      <w:hyperlink r:id="rId95" w:history="1">
        <w:r w:rsidRPr="005D1AC6">
          <w:rPr>
            <w:rStyle w:val="Hyperlink"/>
            <w:i/>
            <w:iCs/>
            <w:lang w:val="en-US"/>
          </w:rPr>
          <w:t>Software</w:t>
        </w:r>
        <w:r w:rsidRPr="005D1AC6">
          <w:rPr>
            <w:rStyle w:val="Hyperlink"/>
            <w:lang w:val="en-US"/>
          </w:rPr>
          <w:t xml:space="preserve"> RR5 – My ITU</w:t>
        </w:r>
      </w:hyperlink>
    </w:p>
    <w:p w14:paraId="3D95A5BE" w14:textId="77777777" w:rsidR="00B27BCB" w:rsidRDefault="00B27BCB" w:rsidP="00B27BCB">
      <w:pPr>
        <w:pStyle w:val="enumlev1"/>
      </w:pPr>
      <w:r w:rsidRPr="00791451">
        <w:rPr>
          <w:lang w:val="es-ES"/>
        </w:rPr>
        <w:t>–</w:t>
      </w:r>
      <w:r w:rsidRPr="00EA02AE">
        <w:rPr>
          <w:lang w:val="es-ES"/>
        </w:rPr>
        <w:tab/>
      </w:r>
      <w:hyperlink r:id="rId96" w:history="1">
        <w:r w:rsidRPr="008B79FB">
          <w:rPr>
            <w:rStyle w:val="Hyperlink"/>
          </w:rPr>
          <w:t>Lista V − Nomenclátor de las estaciones de barco y de las asignaciones a identidades del servicio móvil marítimo 2020 – My ITU</w:t>
        </w:r>
      </w:hyperlink>
    </w:p>
    <w:p w14:paraId="31042CA3" w14:textId="77777777" w:rsidR="00B27BCB" w:rsidRPr="009D2F28" w:rsidRDefault="00B27BCB" w:rsidP="00B27BCB">
      <w:pPr>
        <w:pStyle w:val="enumlev1"/>
      </w:pPr>
      <w:r w:rsidRPr="00791451">
        <w:rPr>
          <w:lang w:val="es-ES"/>
        </w:rPr>
        <w:t>–</w:t>
      </w:r>
      <w:r w:rsidRPr="00EF7A26">
        <w:rPr>
          <w:lang w:val="es-ES"/>
        </w:rPr>
        <w:tab/>
      </w:r>
      <w:hyperlink r:id="rId97" w:history="1">
        <w:r w:rsidRPr="008B79FB">
          <w:rPr>
            <w:rStyle w:val="Hyperlink"/>
          </w:rPr>
          <w:t>Lista IV – Nomenclátor de las estaciones costeras y de las estaciones que efectúan servicios especiales 2021</w:t>
        </w:r>
      </w:hyperlink>
    </w:p>
    <w:p w14:paraId="08312F0D" w14:textId="77777777" w:rsidR="00B27BCB" w:rsidRPr="008B79FB" w:rsidRDefault="00B27BCB" w:rsidP="00B27BCB">
      <w:pPr>
        <w:pStyle w:val="enumlev1"/>
      </w:pPr>
      <w:r w:rsidRPr="00791451">
        <w:rPr>
          <w:lang w:val="es-ES"/>
        </w:rPr>
        <w:t>–</w:t>
      </w:r>
      <w:r w:rsidRPr="00832B65">
        <w:rPr>
          <w:lang w:val="es-ES"/>
        </w:rPr>
        <w:tab/>
      </w:r>
      <w:hyperlink r:id="rId98" w:history="1">
        <w:r w:rsidRPr="008B79FB">
          <w:rPr>
            <w:rStyle w:val="Hyperlink"/>
            <w:lang w:val="es-ES"/>
          </w:rPr>
          <w:t>Herramienta de navegación del Reglamento de Radiocomunicaciones</w:t>
        </w:r>
      </w:hyperlink>
    </w:p>
    <w:p w14:paraId="61E6C449" w14:textId="77777777" w:rsidR="00B27BCB" w:rsidRPr="008B79FB" w:rsidRDefault="00B27BCB" w:rsidP="00B27BCB">
      <w:pPr>
        <w:pStyle w:val="enumlev1"/>
      </w:pPr>
      <w:r w:rsidRPr="00791451">
        <w:rPr>
          <w:lang w:val="es-ES"/>
        </w:rPr>
        <w:t>–</w:t>
      </w:r>
      <w:r w:rsidRPr="00832B65">
        <w:rPr>
          <w:lang w:val="es-ES"/>
        </w:rPr>
        <w:tab/>
      </w:r>
      <w:hyperlink r:id="rId99" w:history="1">
        <w:r w:rsidRPr="00832B65">
          <w:rPr>
            <w:rStyle w:val="Hyperlink"/>
            <w:lang w:val="es-ES"/>
          </w:rPr>
          <w:t>Reglas de Procedimiento aprobadas por la Junta del Reglamento de Radiocomunicaciones</w:t>
        </w:r>
      </w:hyperlink>
    </w:p>
    <w:p w14:paraId="6D05180E" w14:textId="77777777" w:rsidR="00B27BCB" w:rsidRDefault="00B27BCB" w:rsidP="00B27BCB">
      <w:pPr>
        <w:pStyle w:val="Heading4"/>
      </w:pPr>
      <w:r w:rsidRPr="00826B09">
        <w:t>8.6.2.3</w:t>
      </w:r>
      <w:r w:rsidRPr="00826B09">
        <w:tab/>
        <w:t>Exposiciones y demostraciones</w:t>
      </w:r>
    </w:p>
    <w:p w14:paraId="7778D4BB" w14:textId="77777777" w:rsidR="00B27BCB" w:rsidRPr="00965AB8" w:rsidRDefault="00B27BCB" w:rsidP="00B27BCB">
      <w:pPr>
        <w:textAlignment w:val="auto"/>
      </w:pPr>
      <w:r w:rsidRPr="00965AB8">
        <w:t>Debido a la crisis sanitaria mundial y las restricciones de viaje resultantes, no se han realizado exposiciones y demostraciones durante este periodo.</w:t>
      </w:r>
    </w:p>
    <w:p w14:paraId="71860FAE" w14:textId="77777777" w:rsidR="00B27BCB" w:rsidRPr="00965AB8" w:rsidRDefault="00B27BCB" w:rsidP="00B27BCB">
      <w:pPr>
        <w:pStyle w:val="Heading2"/>
      </w:pPr>
      <w:r w:rsidRPr="00965AB8">
        <w:t>8.7</w:t>
      </w:r>
      <w:r w:rsidRPr="00965AB8">
        <w:tab/>
        <w:t>Igualdad de género</w:t>
      </w:r>
    </w:p>
    <w:p w14:paraId="3F1468E4" w14:textId="1DA5B002" w:rsidR="00B27BCB" w:rsidRPr="00965AB8" w:rsidRDefault="00B27BCB" w:rsidP="009C5E9D">
      <w:r w:rsidRPr="00965AB8">
        <w:t>La promoción de la igualdad de género en todas las esferas de la actual sociedad digital nunca ha sido tan esencial como ahora, cuando el mundo se embarca en el Decenio de Acción para lograr la Agenda</w:t>
      </w:r>
      <w:r w:rsidR="00E451E0">
        <w:t> </w:t>
      </w:r>
      <w:r w:rsidRPr="00965AB8">
        <w:t xml:space="preserve">2030 para el Desarrollo Sostenible. Las tecnologías digitales son esenciales para </w:t>
      </w:r>
      <w:r>
        <w:t xml:space="preserve">alcanzar </w:t>
      </w:r>
      <w:r w:rsidRPr="00965AB8">
        <w:lastRenderedPageBreak/>
        <w:t>los 17</w:t>
      </w:r>
      <w:r w:rsidR="001E3169">
        <w:t> </w:t>
      </w:r>
      <w:r w:rsidRPr="00965AB8">
        <w:t xml:space="preserve">Objetivos de Desarrollo Sostenible y aumentar la proporción de mujeres que disponen de acceso a las tecnologías digitales y las utilizan para mejorar sus vidas y, por extensión, la mejora de las vidas de sus familias y sociedad es un desafío de desarrollo que nos interesa a todos. </w:t>
      </w:r>
    </w:p>
    <w:p w14:paraId="0D08D536" w14:textId="77777777" w:rsidR="00B27BCB" w:rsidRPr="00965AB8" w:rsidRDefault="00B27BCB" w:rsidP="00B27BCB">
      <w:pPr>
        <w:textAlignment w:val="auto"/>
      </w:pPr>
      <w:r w:rsidRPr="00965AB8">
        <w:rPr>
          <w:bCs/>
        </w:rPr>
        <w:t>En 202</w:t>
      </w:r>
      <w:r>
        <w:rPr>
          <w:bCs/>
        </w:rPr>
        <w:t>1</w:t>
      </w:r>
      <w:r w:rsidRPr="00965AB8">
        <w:rPr>
          <w:bCs/>
        </w:rPr>
        <w:t xml:space="preserve">, se </w:t>
      </w:r>
      <w:r>
        <w:rPr>
          <w:bCs/>
        </w:rPr>
        <w:t>lograron avances en</w:t>
      </w:r>
      <w:r w:rsidRPr="00965AB8">
        <w:rPr>
          <w:bCs/>
        </w:rPr>
        <w:t xml:space="preserve"> las siguientes actividades:</w:t>
      </w:r>
    </w:p>
    <w:p w14:paraId="26E83F0D" w14:textId="77777777" w:rsidR="00B27BCB" w:rsidRPr="00965AB8" w:rsidRDefault="00B27BCB" w:rsidP="00B27BCB">
      <w:pPr>
        <w:pStyle w:val="Heading3"/>
      </w:pPr>
      <w:r w:rsidRPr="00965AB8">
        <w:t>8.7.1</w:t>
      </w:r>
      <w:r w:rsidRPr="00965AB8">
        <w:tab/>
        <w:t>Grupo por Correspondencia del GAR sobre Cuestiones de Género</w:t>
      </w:r>
    </w:p>
    <w:p w14:paraId="36C7A5AC" w14:textId="77777777" w:rsidR="00B27BCB" w:rsidRPr="008C023C" w:rsidRDefault="00B27BCB" w:rsidP="00B27BCB">
      <w:r>
        <w:t>L</w:t>
      </w:r>
      <w:r w:rsidRPr="008C023C">
        <w:t xml:space="preserve">os trabajos del Grupo por Correspondencia sobre Cuestiones de Género del GAR </w:t>
      </w:r>
      <w:r>
        <w:t xml:space="preserve">se describen </w:t>
      </w:r>
      <w:r w:rsidRPr="008C023C">
        <w:t xml:space="preserve">en </w:t>
      </w:r>
      <w:r>
        <w:t>sus informes independientes a la reunión del GAR 2021.</w:t>
      </w:r>
    </w:p>
    <w:p w14:paraId="242B8A0F" w14:textId="77777777" w:rsidR="00B27BCB" w:rsidRPr="008C023C" w:rsidRDefault="00B27BCB" w:rsidP="00B27BCB">
      <w:pPr>
        <w:pStyle w:val="Heading3"/>
      </w:pPr>
      <w:r w:rsidRPr="008C023C">
        <w:t>8.7.2</w:t>
      </w:r>
      <w:r w:rsidRPr="008C023C">
        <w:tab/>
        <w:t>Red de mujeres para la CMR-23 (#NOW4WRC23)</w:t>
      </w:r>
    </w:p>
    <w:p w14:paraId="355C1B5F" w14:textId="77777777" w:rsidR="00B27BCB" w:rsidRPr="008C023C" w:rsidRDefault="00B27BCB" w:rsidP="00B27BCB">
      <w:pPr>
        <w:textAlignment w:val="auto"/>
      </w:pPr>
      <w:r w:rsidRPr="008C023C">
        <w:t xml:space="preserve">Antes de la CMR-19, se lanzó la Red de mujeres para la CMR-19 de la UIT que se ha dedicado a promover a las mujeres en las radiocomunicaciones, las telecomunicaciones/TIC y los ámbitos conexos para ayudar al logro del Objetivo 5 de Desarrollo Sostenible de las Naciones Unidas sobre la igualdad de género. El objetivo de esta iniciativa era comenzar a crear capacidad y fomentar una mayor participación de mujeres en </w:t>
      </w:r>
      <w:r>
        <w:t>funciones</w:t>
      </w:r>
      <w:r w:rsidRPr="008C023C">
        <w:t xml:space="preserve"> clave, para que asistan a reuniones y conferencias como delegadas, presidentas o vicepresidentas, por ejemplo, y esforzarse en superar el umbral del 30 por ciento necesario para que se produzca un cambio real. Además, </w:t>
      </w:r>
      <w:r>
        <w:t xml:space="preserve">también </w:t>
      </w:r>
      <w:r w:rsidRPr="008C023C">
        <w:t xml:space="preserve">tiene como </w:t>
      </w:r>
      <w:r>
        <w:t>objetivo</w:t>
      </w:r>
      <w:r w:rsidRPr="008C023C">
        <w:t xml:space="preserve"> fomentar una mayor inclusión de género y asegurar que las mujeres delegadas asumen funciones </w:t>
      </w:r>
      <w:r>
        <w:t>principales</w:t>
      </w:r>
      <w:r w:rsidRPr="008C023C">
        <w:t xml:space="preserve"> en las futuras conferencias y eventos de radiocomunicaciones, </w:t>
      </w:r>
      <w:r>
        <w:t>e impulsar el crecimiento de</w:t>
      </w:r>
      <w:r w:rsidRPr="008C023C">
        <w:t xml:space="preserve"> la comunidad de mujeres de la UIT, su capacidad y contribución.</w:t>
      </w:r>
    </w:p>
    <w:p w14:paraId="2992CEA6" w14:textId="77777777" w:rsidR="00B27BCB" w:rsidRDefault="00B27BCB" w:rsidP="00BF3C52">
      <w:pPr>
        <w:keepNext/>
        <w:keepLines/>
        <w:rPr>
          <w:lang w:val="es-ES"/>
        </w:rPr>
      </w:pPr>
      <w:r w:rsidRPr="003E6C84">
        <w:rPr>
          <w:lang w:val="es-ES"/>
        </w:rPr>
        <w:t xml:space="preserve">La </w:t>
      </w:r>
      <w:r w:rsidRPr="003E6C84">
        <w:rPr>
          <w:b/>
          <w:lang w:val="es-ES"/>
        </w:rPr>
        <w:t xml:space="preserve">Red de mujeres para la CMR-23 </w:t>
      </w:r>
      <w:r>
        <w:rPr>
          <w:b/>
          <w:lang w:val="es-ES"/>
        </w:rPr>
        <w:t>(</w:t>
      </w:r>
      <w:bookmarkStart w:id="134" w:name="_Hlk98507817"/>
      <w:r>
        <w:rPr>
          <w:b/>
          <w:lang w:val="es-ES"/>
        </w:rPr>
        <w:t>NOW4WRC23</w:t>
      </w:r>
      <w:bookmarkEnd w:id="134"/>
      <w:r>
        <w:rPr>
          <w:b/>
          <w:lang w:val="es-ES"/>
        </w:rPr>
        <w:t xml:space="preserve">) </w:t>
      </w:r>
      <w:r w:rsidRPr="003E6C84">
        <w:rPr>
          <w:lang w:val="es-ES"/>
        </w:rPr>
        <w:t xml:space="preserve">que celebró su </w:t>
      </w:r>
      <w:hyperlink r:id="rId100" w:history="1">
        <w:r w:rsidRPr="003E6C84">
          <w:rPr>
            <w:rStyle w:val="Hyperlink"/>
            <w:lang w:val="es-ES"/>
          </w:rPr>
          <w:t>reuni</w:t>
        </w:r>
        <w:r>
          <w:rPr>
            <w:rStyle w:val="Hyperlink"/>
            <w:lang w:val="es-ES"/>
          </w:rPr>
          <w:t>ó</w:t>
        </w:r>
        <w:r w:rsidRPr="003E6C84">
          <w:rPr>
            <w:rStyle w:val="Hyperlink"/>
            <w:lang w:val="es-ES"/>
          </w:rPr>
          <w:t xml:space="preserve">n de lanzamiento </w:t>
        </w:r>
      </w:hyperlink>
      <w:r w:rsidRPr="003E6C84">
        <w:rPr>
          <w:lang w:val="es-ES"/>
        </w:rPr>
        <w:t>e</w:t>
      </w:r>
      <w:r>
        <w:rPr>
          <w:lang w:val="es-ES"/>
        </w:rPr>
        <w:t xml:space="preserve">n paralelo con el Seminario Mundial de Radiocomunicaciones 2020 (SMR-20), </w:t>
      </w:r>
      <w:r w:rsidRPr="00465F97">
        <w:rPr>
          <w:lang w:val="es-ES"/>
        </w:rPr>
        <w:t xml:space="preserve">ha </w:t>
      </w:r>
      <w:r>
        <w:rPr>
          <w:lang w:val="es-ES"/>
        </w:rPr>
        <w:t xml:space="preserve">estado </w:t>
      </w:r>
      <w:r w:rsidRPr="00465F97">
        <w:rPr>
          <w:lang w:val="es-ES"/>
        </w:rPr>
        <w:t>activ</w:t>
      </w:r>
      <w:r>
        <w:rPr>
          <w:lang w:val="es-ES"/>
        </w:rPr>
        <w:t>a</w:t>
      </w:r>
      <w:r w:rsidRPr="00465F97">
        <w:rPr>
          <w:lang w:val="es-ES"/>
        </w:rPr>
        <w:t xml:space="preserve"> a nivel </w:t>
      </w:r>
      <w:r>
        <w:rPr>
          <w:lang w:val="es-ES"/>
        </w:rPr>
        <w:t>mundial</w:t>
      </w:r>
      <w:r w:rsidRPr="00465F97">
        <w:rPr>
          <w:lang w:val="es-ES"/>
        </w:rPr>
        <w:t xml:space="preserve"> </w:t>
      </w:r>
      <w:r>
        <w:rPr>
          <w:lang w:val="es-ES"/>
        </w:rPr>
        <w:t>y</w:t>
      </w:r>
      <w:r w:rsidRPr="00465F97">
        <w:rPr>
          <w:lang w:val="es-ES"/>
        </w:rPr>
        <w:t xml:space="preserve"> regional.</w:t>
      </w:r>
      <w:r>
        <w:rPr>
          <w:lang w:val="es-ES"/>
        </w:rPr>
        <w:t xml:space="preserve"> </w:t>
      </w:r>
      <w:r w:rsidRPr="00465F97">
        <w:rPr>
          <w:lang w:val="es-ES"/>
        </w:rPr>
        <w:t>A nivel mundial, NOW4WRC23 ha establecido un programa de tutoría que pone en contacto a mentor</w:t>
      </w:r>
      <w:r>
        <w:rPr>
          <w:lang w:val="es-ES"/>
        </w:rPr>
        <w:t>a</w:t>
      </w:r>
      <w:r w:rsidRPr="00465F97">
        <w:rPr>
          <w:lang w:val="es-ES"/>
        </w:rPr>
        <w:t>s y alumn</w:t>
      </w:r>
      <w:r>
        <w:rPr>
          <w:lang w:val="es-ES"/>
        </w:rPr>
        <w:t>a</w:t>
      </w:r>
      <w:r w:rsidRPr="00465F97">
        <w:rPr>
          <w:lang w:val="es-ES"/>
        </w:rPr>
        <w:t>s que participan en los trabajos del UIT-R y que tienen áreas de interés comunes. A nivel regional, la iniciativa NOW4WRC23 está dirigida por las copresiden</w:t>
      </w:r>
      <w:r>
        <w:rPr>
          <w:lang w:val="es-ES"/>
        </w:rPr>
        <w:t xml:space="preserve">tas </w:t>
      </w:r>
      <w:r w:rsidRPr="00465F97">
        <w:rPr>
          <w:lang w:val="es-ES"/>
        </w:rPr>
        <w:t>regionales de NOW4WRC23, que llevan a cabo programas y talleres regionales de tutoría junto con las reuniones de sus organizaciones regionales de telecomunicaciones asociadas.</w:t>
      </w:r>
      <w:r>
        <w:rPr>
          <w:lang w:val="es-ES"/>
        </w:rPr>
        <w:t xml:space="preserve"> Las Copresidentas y representantes de las </w:t>
      </w:r>
      <w:r w:rsidRPr="00465F97">
        <w:rPr>
          <w:lang w:val="es-ES"/>
        </w:rPr>
        <w:t xml:space="preserve">NOW4WRC23 </w:t>
      </w:r>
      <w:r>
        <w:rPr>
          <w:lang w:val="es-ES"/>
        </w:rPr>
        <w:t>regionales son las siguientes</w:t>
      </w:r>
      <w:r w:rsidRPr="00465F97">
        <w:rPr>
          <w:lang w:val="es-ES"/>
        </w:rPr>
        <w:t xml:space="preserve">: </w:t>
      </w:r>
    </w:p>
    <w:p w14:paraId="000E868F" w14:textId="73336509" w:rsidR="00B27BCB" w:rsidRPr="00BF3C52" w:rsidRDefault="00BF3C52" w:rsidP="00BF3C52">
      <w:pPr>
        <w:pStyle w:val="enumlev1"/>
        <w:rPr>
          <w:lang w:val="en-US"/>
        </w:rPr>
      </w:pPr>
      <w:r w:rsidRPr="00BF3C52">
        <w:rPr>
          <w:lang w:val="en-US"/>
        </w:rPr>
        <w:t>–</w:t>
      </w:r>
      <w:r w:rsidRPr="00BF3C52">
        <w:rPr>
          <w:lang w:val="en-US"/>
        </w:rPr>
        <w:tab/>
      </w:r>
      <w:r w:rsidR="00B27BCB" w:rsidRPr="00BF3C52">
        <w:rPr>
          <w:lang w:val="en-US"/>
        </w:rPr>
        <w:t>APT</w:t>
      </w:r>
      <w:r w:rsidR="002E6301">
        <w:rPr>
          <w:lang w:val="en-US"/>
        </w:rPr>
        <w:t xml:space="preserve"> </w:t>
      </w:r>
      <w:r w:rsidR="002E6301" w:rsidRPr="002E6301">
        <w:rPr>
          <w:lang w:val="en-US"/>
        </w:rPr>
        <w:t>–</w:t>
      </w:r>
      <w:r w:rsidR="00B27BCB" w:rsidRPr="00BF3C52">
        <w:rPr>
          <w:lang w:val="en-US"/>
        </w:rPr>
        <w:t xml:space="preserve"> Sra. Zhu Keer (China)</w:t>
      </w:r>
    </w:p>
    <w:p w14:paraId="484CBDAB" w14:textId="04E0C6B6" w:rsidR="00B27BCB" w:rsidRPr="00B27BCB" w:rsidRDefault="00BF3C52" w:rsidP="00BF3C52">
      <w:pPr>
        <w:pStyle w:val="enumlev1"/>
      </w:pPr>
      <w:r>
        <w:t>–</w:t>
      </w:r>
      <w:r>
        <w:tab/>
      </w:r>
      <w:r w:rsidR="00B27BCB" w:rsidRPr="00B27BCB">
        <w:t>ASMG</w:t>
      </w:r>
      <w:r w:rsidR="002E6301">
        <w:t xml:space="preserve"> </w:t>
      </w:r>
      <w:r w:rsidR="002E6301" w:rsidRPr="002E6301">
        <w:rPr>
          <w:lang w:val="en-US"/>
        </w:rPr>
        <w:t>–</w:t>
      </w:r>
      <w:r w:rsidR="002E6301">
        <w:rPr>
          <w:lang w:val="en-US"/>
        </w:rPr>
        <w:t xml:space="preserve"> </w:t>
      </w:r>
      <w:r w:rsidR="00B27BCB" w:rsidRPr="00B27BCB">
        <w:t>Sra. Asma Al Mheiri (UAE) y Sra. Zeina Mokaddem (Inmarsat)</w:t>
      </w:r>
    </w:p>
    <w:p w14:paraId="431518EC" w14:textId="19E6A1F1" w:rsidR="00B27BCB" w:rsidRPr="00D2632F" w:rsidRDefault="00BF3C52" w:rsidP="00BF3C52">
      <w:pPr>
        <w:pStyle w:val="enumlev1"/>
        <w:rPr>
          <w:lang w:val="es-ES"/>
        </w:rPr>
      </w:pPr>
      <w:r w:rsidRPr="00BF3C52">
        <w:rPr>
          <w:lang w:val="es-ES"/>
        </w:rPr>
        <w:t>–</w:t>
      </w:r>
      <w:r>
        <w:rPr>
          <w:lang w:val="es-ES"/>
        </w:rPr>
        <w:tab/>
      </w:r>
      <w:r w:rsidR="00B27BCB" w:rsidRPr="00D2632F">
        <w:rPr>
          <w:lang w:val="es-ES"/>
        </w:rPr>
        <w:t>ATU</w:t>
      </w:r>
      <w:r w:rsidR="002E6301">
        <w:t xml:space="preserve"> </w:t>
      </w:r>
      <w:r w:rsidR="002E6301" w:rsidRPr="005E5BF8">
        <w:rPr>
          <w:lang w:val="fr-CH"/>
        </w:rPr>
        <w:t xml:space="preserve">– </w:t>
      </w:r>
      <w:r w:rsidR="00B27BCB" w:rsidRPr="00D2632F">
        <w:rPr>
          <w:lang w:val="es-ES"/>
        </w:rPr>
        <w:t>Sra. Aminata Niang Diagne (Senegal)</w:t>
      </w:r>
    </w:p>
    <w:p w14:paraId="1B69E802" w14:textId="747C3751" w:rsidR="00B27BCB" w:rsidRDefault="00BF3C52" w:rsidP="00BF3C52">
      <w:pPr>
        <w:pStyle w:val="enumlev1"/>
        <w:rPr>
          <w:rFonts w:eastAsia="Calibri"/>
        </w:rPr>
      </w:pPr>
      <w:r w:rsidRPr="00BF3C52">
        <w:rPr>
          <w:rFonts w:eastAsia="Calibri"/>
        </w:rPr>
        <w:t>–</w:t>
      </w:r>
      <w:r>
        <w:rPr>
          <w:rFonts w:eastAsia="Calibri"/>
        </w:rPr>
        <w:tab/>
      </w:r>
      <w:r w:rsidR="00B27BCB" w:rsidRPr="001D4385">
        <w:rPr>
          <w:rFonts w:eastAsia="Calibri"/>
        </w:rPr>
        <w:t>CEPT</w:t>
      </w:r>
      <w:r w:rsidR="002E6301">
        <w:t xml:space="preserve"> </w:t>
      </w:r>
      <w:r w:rsidR="002E6301" w:rsidRPr="002E6301">
        <w:rPr>
          <w:lang w:val="en-US"/>
        </w:rPr>
        <w:t>–</w:t>
      </w:r>
      <w:r w:rsidR="002E6301">
        <w:rPr>
          <w:lang w:val="en-US"/>
        </w:rPr>
        <w:t xml:space="preserve"> </w:t>
      </w:r>
      <w:r w:rsidR="00B27BCB">
        <w:rPr>
          <w:rFonts w:eastAsia="Calibri"/>
        </w:rPr>
        <w:t xml:space="preserve">Sra. </w:t>
      </w:r>
      <w:r w:rsidR="00B27BCB" w:rsidRPr="001D4385">
        <w:rPr>
          <w:rFonts w:eastAsia="Calibri"/>
        </w:rPr>
        <w:t>Amela Hatibovic-Sehic (</w:t>
      </w:r>
      <w:r w:rsidR="00B27BCB">
        <w:rPr>
          <w:rFonts w:eastAsia="Calibri"/>
        </w:rPr>
        <w:t>Suecia</w:t>
      </w:r>
      <w:r w:rsidR="00B27BCB" w:rsidRPr="001D4385">
        <w:rPr>
          <w:rFonts w:eastAsia="Calibri"/>
        </w:rPr>
        <w:t>)</w:t>
      </w:r>
    </w:p>
    <w:p w14:paraId="48F65923" w14:textId="0E35557F" w:rsidR="00B27BCB" w:rsidRPr="00D2632F" w:rsidRDefault="00BF3C52" w:rsidP="00BF3C52">
      <w:pPr>
        <w:pStyle w:val="enumlev1"/>
        <w:rPr>
          <w:lang w:val="es-ES"/>
        </w:rPr>
      </w:pPr>
      <w:r w:rsidRPr="00BF3C52">
        <w:rPr>
          <w:lang w:val="es-ES"/>
        </w:rPr>
        <w:t>–</w:t>
      </w:r>
      <w:r>
        <w:rPr>
          <w:lang w:val="es-ES"/>
        </w:rPr>
        <w:tab/>
      </w:r>
      <w:r w:rsidR="00B27BCB" w:rsidRPr="00D2632F">
        <w:rPr>
          <w:lang w:val="es-ES"/>
        </w:rPr>
        <w:t>CITEL</w:t>
      </w:r>
      <w:r w:rsidR="002E6301">
        <w:t xml:space="preserve"> </w:t>
      </w:r>
      <w:r w:rsidR="002E6301" w:rsidRPr="005E5BF8">
        <w:rPr>
          <w:lang w:val="fr-CH"/>
        </w:rPr>
        <w:t xml:space="preserve">– </w:t>
      </w:r>
      <w:r w:rsidR="00B27BCB" w:rsidRPr="00D2632F">
        <w:rPr>
          <w:lang w:val="es-ES"/>
        </w:rPr>
        <w:t>Sra. Jennifer Manner (USA) y</w:t>
      </w:r>
    </w:p>
    <w:p w14:paraId="2DC66756" w14:textId="6C04A033" w:rsidR="00B27BCB" w:rsidRPr="00AD7115" w:rsidRDefault="00BF3C52" w:rsidP="00BF3C52">
      <w:pPr>
        <w:pStyle w:val="enumlev1"/>
        <w:rPr>
          <w:lang w:val="es-ES"/>
        </w:rPr>
      </w:pPr>
      <w:r w:rsidRPr="00BF3C52">
        <w:rPr>
          <w:lang w:val="es-ES"/>
        </w:rPr>
        <w:t>–</w:t>
      </w:r>
      <w:r>
        <w:rPr>
          <w:lang w:val="es-ES"/>
        </w:rPr>
        <w:tab/>
      </w:r>
      <w:r w:rsidR="00B27BCB" w:rsidRPr="00D2632F">
        <w:rPr>
          <w:lang w:val="es-ES"/>
        </w:rPr>
        <w:t>RCC – Sra. Aizhan T</w:t>
      </w:r>
      <w:r w:rsidR="00B27BCB" w:rsidRPr="00AD7115">
        <w:rPr>
          <w:lang w:val="es-ES"/>
        </w:rPr>
        <w:t>iyanak (Kazajstán)</w:t>
      </w:r>
    </w:p>
    <w:p w14:paraId="2F771CFE" w14:textId="77777777" w:rsidR="00B27BCB" w:rsidRPr="00E93954" w:rsidRDefault="00B27BCB" w:rsidP="00B27BCB">
      <w:pPr>
        <w:rPr>
          <w:lang w:val="es-ES"/>
        </w:rPr>
      </w:pPr>
      <w:r>
        <w:rPr>
          <w:lang w:val="es-ES"/>
        </w:rPr>
        <w:t>La</w:t>
      </w:r>
      <w:r w:rsidRPr="00465F97">
        <w:rPr>
          <w:lang w:val="es-ES"/>
        </w:rPr>
        <w:t xml:space="preserve"> NOW4WRC23 celebró una sesión informativa durante el primer taller interregional para la </w:t>
      </w:r>
      <w:r>
        <w:rPr>
          <w:lang w:val="es-ES"/>
        </w:rPr>
        <w:t xml:space="preserve">preparación de la CMR-23, celebrado del </w:t>
      </w:r>
      <w:r w:rsidRPr="00465F97">
        <w:rPr>
          <w:lang w:val="es-ES"/>
        </w:rPr>
        <w:t>13</w:t>
      </w:r>
      <w:r>
        <w:rPr>
          <w:lang w:val="es-ES"/>
        </w:rPr>
        <w:t xml:space="preserve"> al </w:t>
      </w:r>
      <w:r w:rsidRPr="00465F97">
        <w:rPr>
          <w:lang w:val="es-ES"/>
        </w:rPr>
        <w:t xml:space="preserve">15 </w:t>
      </w:r>
      <w:r>
        <w:rPr>
          <w:lang w:val="es-ES"/>
        </w:rPr>
        <w:t xml:space="preserve">de diciembre de </w:t>
      </w:r>
      <w:r w:rsidRPr="00465F97">
        <w:rPr>
          <w:lang w:val="es-ES"/>
        </w:rPr>
        <w:t>2021. La presentación de</w:t>
      </w:r>
      <w:r>
        <w:rPr>
          <w:lang w:val="es-ES"/>
        </w:rPr>
        <w:t xml:space="preserve"> la</w:t>
      </w:r>
      <w:r w:rsidRPr="00465F97">
        <w:rPr>
          <w:lang w:val="es-ES"/>
        </w:rPr>
        <w:t xml:space="preserve"> NOW4WRC23 al </w:t>
      </w:r>
      <w:r>
        <w:rPr>
          <w:lang w:val="es-ES"/>
        </w:rPr>
        <w:t xml:space="preserve">mismo </w:t>
      </w:r>
      <w:r w:rsidRPr="00465F97">
        <w:rPr>
          <w:lang w:val="es-ES"/>
        </w:rPr>
        <w:t>puede e</w:t>
      </w:r>
      <w:r>
        <w:rPr>
          <w:lang w:val="es-ES"/>
        </w:rPr>
        <w:t xml:space="preserve">ncontrarse </w:t>
      </w:r>
      <w:hyperlink r:id="rId101" w:history="1">
        <w:r>
          <w:rPr>
            <w:rStyle w:val="Hyperlink"/>
          </w:rPr>
          <w:t>aquí</w:t>
        </w:r>
      </w:hyperlink>
      <w:r w:rsidRPr="00465F97">
        <w:rPr>
          <w:lang w:val="es-ES"/>
        </w:rPr>
        <w:t xml:space="preserve">. </w:t>
      </w:r>
      <w:r w:rsidRPr="00E93954">
        <w:rPr>
          <w:lang w:val="es-ES"/>
        </w:rPr>
        <w:t>En ese momento se identificaron como prioridades principal</w:t>
      </w:r>
      <w:r>
        <w:rPr>
          <w:lang w:val="es-ES"/>
        </w:rPr>
        <w:t>e</w:t>
      </w:r>
      <w:r w:rsidRPr="00E93954">
        <w:rPr>
          <w:lang w:val="es-ES"/>
        </w:rPr>
        <w:t xml:space="preserve">s </w:t>
      </w:r>
      <w:r>
        <w:rPr>
          <w:lang w:val="es-ES"/>
        </w:rPr>
        <w:t>de la</w:t>
      </w:r>
      <w:r w:rsidRPr="00E93954">
        <w:rPr>
          <w:lang w:val="es-ES"/>
        </w:rPr>
        <w:t xml:space="preserve"> NOW4WRC23 </w:t>
      </w:r>
      <w:r>
        <w:rPr>
          <w:lang w:val="es-ES"/>
        </w:rPr>
        <w:t xml:space="preserve">las tres </w:t>
      </w:r>
      <w:r w:rsidRPr="00E93954">
        <w:rPr>
          <w:lang w:val="es-ES"/>
        </w:rPr>
        <w:t>siguientes:</w:t>
      </w:r>
    </w:p>
    <w:p w14:paraId="07A01272" w14:textId="77777777" w:rsidR="00B27BCB" w:rsidRPr="00E93954" w:rsidRDefault="00B27BCB" w:rsidP="00B27BCB">
      <w:pPr>
        <w:pStyle w:val="enumlev1"/>
        <w:rPr>
          <w:lang w:val="es-ES"/>
        </w:rPr>
      </w:pPr>
      <w:r w:rsidRPr="005354BB">
        <w:rPr>
          <w:lang w:val="es-ES"/>
        </w:rPr>
        <w:t>–</w:t>
      </w:r>
      <w:r w:rsidRPr="00E93954">
        <w:rPr>
          <w:lang w:val="es-ES"/>
        </w:rPr>
        <w:tab/>
        <w:t>Más oportunidades de liderazgo para las muje</w:t>
      </w:r>
      <w:r>
        <w:rPr>
          <w:lang w:val="es-ES"/>
        </w:rPr>
        <w:t>res</w:t>
      </w:r>
    </w:p>
    <w:p w14:paraId="22F04E8C" w14:textId="77777777" w:rsidR="00B27BCB" w:rsidRPr="002B445A" w:rsidRDefault="00B27BCB" w:rsidP="00B27BCB">
      <w:pPr>
        <w:pStyle w:val="enumlev2"/>
      </w:pPr>
      <w:r w:rsidRPr="005354BB">
        <w:rPr>
          <w:lang w:val="es-ES"/>
        </w:rPr>
        <w:t>•</w:t>
      </w:r>
      <w:r w:rsidRPr="00E93954">
        <w:rPr>
          <w:lang w:val="es-ES"/>
        </w:rPr>
        <w:tab/>
      </w:r>
      <w:r w:rsidRPr="002B445A">
        <w:t>Promover una mayor presencia de mujeres en la presidencias y puestos de dirección de los grupos preparatorios a todos lo</w:t>
      </w:r>
      <w:r>
        <w:t>s</w:t>
      </w:r>
      <w:r w:rsidRPr="002B445A">
        <w:t xml:space="preserve"> niveles</w:t>
      </w:r>
    </w:p>
    <w:p w14:paraId="78020DFF" w14:textId="2F1D9186" w:rsidR="00B27BCB" w:rsidRPr="002B445A" w:rsidRDefault="00B27BCB" w:rsidP="00B27BCB">
      <w:pPr>
        <w:pStyle w:val="enumlev2"/>
      </w:pPr>
      <w:r>
        <w:t>•</w:t>
      </w:r>
      <w:r w:rsidRPr="002B445A">
        <w:tab/>
        <w:t>Preparar candidaturas a puestos de Presidencias de la CMR</w:t>
      </w:r>
      <w:r w:rsidR="00792311">
        <w:t>.</w:t>
      </w:r>
    </w:p>
    <w:p w14:paraId="01DFF83C" w14:textId="77777777" w:rsidR="00B27BCB" w:rsidRPr="002B445A" w:rsidRDefault="00B27BCB" w:rsidP="00B27BCB">
      <w:pPr>
        <w:pStyle w:val="enumlev1"/>
      </w:pPr>
      <w:r>
        <w:t>–</w:t>
      </w:r>
      <w:r w:rsidRPr="002B445A">
        <w:tab/>
        <w:t>Necesidad de identificar más mentor</w:t>
      </w:r>
      <w:r>
        <w:t>a</w:t>
      </w:r>
      <w:r w:rsidRPr="002B445A">
        <w:t>s para el programa</w:t>
      </w:r>
    </w:p>
    <w:p w14:paraId="0842CE5F" w14:textId="1C6497DA" w:rsidR="00B27BCB" w:rsidRPr="002B445A" w:rsidRDefault="00B27BCB" w:rsidP="00B27BCB">
      <w:pPr>
        <w:pStyle w:val="enumlev2"/>
      </w:pPr>
      <w:r>
        <w:t>•</w:t>
      </w:r>
      <w:r w:rsidRPr="002B445A">
        <w:tab/>
        <w:t>Hacer un llamamiento para reclutar mentor</w:t>
      </w:r>
      <w:r>
        <w:t>a</w:t>
      </w:r>
      <w:r w:rsidRPr="002B445A">
        <w:t>s</w:t>
      </w:r>
      <w:r w:rsidR="00792311">
        <w:t>.</w:t>
      </w:r>
    </w:p>
    <w:p w14:paraId="05F3CB50" w14:textId="77777777" w:rsidR="00B27BCB" w:rsidRPr="002B445A" w:rsidRDefault="00B27BCB" w:rsidP="00E451E0">
      <w:pPr>
        <w:pStyle w:val="enumlev1"/>
        <w:keepNext/>
        <w:keepLines/>
      </w:pPr>
      <w:r>
        <w:lastRenderedPageBreak/>
        <w:t>–</w:t>
      </w:r>
      <w:r w:rsidRPr="002B445A">
        <w:tab/>
        <w:t>Efectos de la vuelta a las reuniones presenciales</w:t>
      </w:r>
    </w:p>
    <w:p w14:paraId="74CB7A64" w14:textId="5A223553" w:rsidR="00B27BCB" w:rsidRPr="002B445A" w:rsidRDefault="00B27BCB" w:rsidP="00B27BCB">
      <w:pPr>
        <w:pStyle w:val="enumlev2"/>
      </w:pPr>
      <w:r>
        <w:t>•</w:t>
      </w:r>
      <w:r w:rsidRPr="002B445A">
        <w:tab/>
        <w:t xml:space="preserve">Garantizar la participación continuada de mujeres y alumnas en el programa de </w:t>
      </w:r>
      <w:proofErr w:type="spellStart"/>
      <w:r w:rsidRPr="002B445A">
        <w:t>mentorización</w:t>
      </w:r>
      <w:proofErr w:type="spellEnd"/>
      <w:r w:rsidR="00792311">
        <w:t>.</w:t>
      </w:r>
    </w:p>
    <w:p w14:paraId="3D234412" w14:textId="77777777" w:rsidR="00B27BCB" w:rsidRPr="00E95B32" w:rsidRDefault="00B27BCB" w:rsidP="00B27BCB">
      <w:r>
        <w:t xml:space="preserve">El </w:t>
      </w:r>
      <w:r w:rsidRPr="00E95B32">
        <w:t>GC-Género</w:t>
      </w:r>
      <w:r>
        <w:t xml:space="preserve"> del GAR apoyará y presentará contribuciones al trabajo en curso de la </w:t>
      </w:r>
      <w:r w:rsidRPr="00E95B32">
        <w:t>NOW4WRC23 para mejorar y maximizar la eficacia de esta iniciativa.</w:t>
      </w:r>
    </w:p>
    <w:p w14:paraId="0CF72F26" w14:textId="77777777" w:rsidR="00B27BCB" w:rsidRDefault="00B27BCB" w:rsidP="00B27BCB">
      <w:pPr>
        <w:pStyle w:val="Heading1"/>
      </w:pPr>
      <w:r>
        <w:t>9</w:t>
      </w:r>
      <w:r>
        <w:tab/>
      </w:r>
      <w:r w:rsidRPr="00F04079">
        <w:t>Resto</w:t>
      </w:r>
      <w:r>
        <w:t xml:space="preserve"> de acciones de seguimiento solicitadas por el GAR en su reunión de 2021</w:t>
      </w:r>
    </w:p>
    <w:p w14:paraId="01D878A9" w14:textId="77777777" w:rsidR="00B27BCB" w:rsidRDefault="00B27BCB" w:rsidP="00B27BCB">
      <w:r>
        <w:t xml:space="preserve">En respuesta a las solicitudes del GAR en su reunión de 2021, contenidas en el resumen de conclusiones (Circular Administrativa </w:t>
      </w:r>
      <w:hyperlink r:id="rId102" w:history="1">
        <w:r>
          <w:rPr>
            <w:rStyle w:val="Hyperlink"/>
          </w:rPr>
          <w:t>CA/256</w:t>
        </w:r>
      </w:hyperlink>
      <w:r>
        <w:t>), además de las actividades indicadas en las secciones anteriores, la BR ha llevado a cabo las acciones siguientes:</w:t>
      </w:r>
    </w:p>
    <w:p w14:paraId="6899932E" w14:textId="77777777" w:rsidR="00B27BCB" w:rsidRDefault="00B27BCB" w:rsidP="00B27BCB">
      <w:pPr>
        <w:pStyle w:val="Heading2"/>
      </w:pPr>
      <w:r w:rsidRPr="00E95B32">
        <w:t>9.1</w:t>
      </w:r>
      <w:r w:rsidRPr="00E95B32">
        <w:tab/>
        <w:t>Petición del Grupo de Trabajo del Consejo sobre los Idiomas (GTC-Idiomas) relativa al examen y la actualización del Documento C14/INF/4 por el GAR</w:t>
      </w:r>
    </w:p>
    <w:p w14:paraId="66B036DC" w14:textId="77777777" w:rsidR="00B27BCB" w:rsidRPr="00E95B32" w:rsidRDefault="00B27BCB" w:rsidP="002E6301">
      <w:r w:rsidRPr="00E95B32">
        <w:t xml:space="preserve">En el marco del punto 3 del orden del día recogido en el Documento CA/256, relativo a la solicitud de examen y actualización de C14/INF/4, el GAR aprobó la actualización propuesta que figura en el Anexo al Documento RAG21/26 y también aprobó la adición en el cuadro de una línea para las «páginas web», como se muestra en el Anexo 1 al Documento CA/256 para indicar así que actualmente es práctica habitual en todos los Sectores. Esta decisión del GAR fue incluida en el Documento </w:t>
      </w:r>
      <w:hyperlink r:id="rId103" w:history="1">
        <w:r w:rsidRPr="00E95B32">
          <w:rPr>
            <w:rStyle w:val="Hyperlink"/>
          </w:rPr>
          <w:t>C22/INF/7</w:t>
        </w:r>
      </w:hyperlink>
      <w:r w:rsidRPr="00E95B32">
        <w:t>, aprobado por el Grupo de Trabajo del Consejo sobre los Idiomas en su última reunión celebrada el 18 de enero de 2022.</w:t>
      </w:r>
    </w:p>
    <w:p w14:paraId="11357D07" w14:textId="77777777" w:rsidR="00B27BCB" w:rsidRDefault="00B27BCB" w:rsidP="00B27BCB">
      <w:pPr>
        <w:pStyle w:val="Heading2"/>
      </w:pPr>
      <w:r>
        <w:t>9.2</w:t>
      </w:r>
      <w:r>
        <w:tab/>
        <w:t>Otras acciones llevadas a cabo por el Departamento de Comisiones de Estudio de la BR</w:t>
      </w:r>
    </w:p>
    <w:p w14:paraId="0882B765" w14:textId="6B56826D" w:rsidR="00BF3C52" w:rsidRDefault="00B27BCB" w:rsidP="002E6301">
      <w:r>
        <w:t xml:space="preserve">El Departamento de Comisiones de Estudio de la BR llevó a cabo las restantes acciones solicitadas por el GAR en su reunión de 2021 que se describen en la sección 9 del </w:t>
      </w:r>
      <w:proofErr w:type="spellStart"/>
      <w:r>
        <w:t>Addéndum</w:t>
      </w:r>
      <w:proofErr w:type="spellEnd"/>
      <w:r>
        <w:t xml:space="preserve"> 1 al presente documento.</w:t>
      </w:r>
    </w:p>
    <w:p w14:paraId="6F04A37F" w14:textId="77777777" w:rsidR="002E6301" w:rsidRPr="005E5BF8" w:rsidRDefault="002E6301" w:rsidP="00411C49">
      <w:pPr>
        <w:pStyle w:val="Reasons"/>
        <w:rPr>
          <w:lang w:val="fr-CH"/>
        </w:rPr>
      </w:pPr>
    </w:p>
    <w:p w14:paraId="20013E24" w14:textId="77777777" w:rsidR="002E6301" w:rsidRDefault="002E6301">
      <w:pPr>
        <w:jc w:val="center"/>
      </w:pPr>
      <w:r>
        <w:t>______________</w:t>
      </w:r>
    </w:p>
    <w:sectPr w:rsidR="002E6301" w:rsidSect="004D6C09">
      <w:headerReference w:type="default" r:id="rId104"/>
      <w:footerReference w:type="default" r:id="rId105"/>
      <w:footerReference w:type="first" r:id="rId10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AFE4" w14:textId="77777777" w:rsidR="00CF5394" w:rsidRDefault="00CF5394">
      <w:r>
        <w:separator/>
      </w:r>
    </w:p>
  </w:endnote>
  <w:endnote w:type="continuationSeparator" w:id="0">
    <w:p w14:paraId="091DA6CF" w14:textId="77777777" w:rsidR="00CF5394" w:rsidRDefault="00CF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E1DD" w14:textId="443A0A87" w:rsidR="00CF5394" w:rsidRPr="005E5BF8" w:rsidRDefault="00CF5394" w:rsidP="005E5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7E5C" w14:textId="50FE3B69" w:rsidR="00CF5394" w:rsidRPr="005E5BF8" w:rsidRDefault="00CF5394" w:rsidP="005E5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BB10" w14:textId="77777777" w:rsidR="00CF5394" w:rsidRDefault="00CF5394">
      <w:r>
        <w:t>____________________</w:t>
      </w:r>
    </w:p>
  </w:footnote>
  <w:footnote w:type="continuationSeparator" w:id="0">
    <w:p w14:paraId="37922F1A" w14:textId="77777777" w:rsidR="00CF5394" w:rsidRDefault="00CF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A600" w14:textId="77777777" w:rsidR="00CF5394" w:rsidRDefault="00CF5394">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2DFD5B" w14:textId="77777777" w:rsidR="00CF5394" w:rsidRDefault="00CF5394" w:rsidP="00CF5394">
    <w:pPr>
      <w:pStyle w:val="Header"/>
      <w:spacing w:after="120"/>
      <w:rPr>
        <w:lang w:val="es-ES"/>
      </w:rPr>
    </w:pPr>
    <w:r>
      <w:rPr>
        <w:lang w:val="es-ES"/>
      </w:rPr>
      <w:t>RAG/44 (Rev.1)-S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C86A" w14:textId="77777777" w:rsidR="00CF5394" w:rsidRDefault="00CF5394" w:rsidP="008169C1">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p>
  <w:p w14:paraId="47DD665F" w14:textId="77777777" w:rsidR="00CF5394" w:rsidRDefault="00CF5394" w:rsidP="008169C1">
    <w:pPr>
      <w:pStyle w:val="Header"/>
      <w:spacing w:after="120"/>
      <w:rPr>
        <w:lang w:val="es-ES"/>
      </w:rPr>
    </w:pPr>
    <w:r>
      <w:rPr>
        <w:lang w:val="es-ES"/>
      </w:rPr>
      <w:t>RAG/44 (Rev.1)-S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B2DF" w14:textId="77777777" w:rsidR="00CF5394" w:rsidRDefault="00CF5394" w:rsidP="008169C1">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p>
  <w:p w14:paraId="5ACAD6DF" w14:textId="77777777" w:rsidR="00CF5394" w:rsidRDefault="00CF5394" w:rsidP="008169C1">
    <w:pPr>
      <w:pStyle w:val="Header"/>
      <w:spacing w:after="120"/>
      <w:rPr>
        <w:lang w:val="es-ES"/>
      </w:rPr>
    </w:pPr>
    <w:r>
      <w:rPr>
        <w:lang w:val="es-ES"/>
      </w:rPr>
      <w:t>RAG/44 (Rev.1)-S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EA4A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EAF0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DE61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7244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E4AD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1A85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706D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5807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024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0E0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01EBF"/>
    <w:multiLevelType w:val="hybridMultilevel"/>
    <w:tmpl w:val="FFE6C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24FCC"/>
    <w:multiLevelType w:val="hybridMultilevel"/>
    <w:tmpl w:val="08AE71CE"/>
    <w:lvl w:ilvl="0" w:tplc="8152BCD8">
      <w:start w:val="1"/>
      <w:numFmt w:val="bullet"/>
      <w:lvlText w:val=""/>
      <w:lvlJc w:val="left"/>
      <w:pPr>
        <w:ind w:left="720" w:hanging="360"/>
      </w:pPr>
      <w:rPr>
        <w:rFonts w:ascii="Symbol" w:hAnsi="Symbol" w:hint="default"/>
      </w:rPr>
    </w:lvl>
    <w:lvl w:ilvl="1" w:tplc="1C38D770">
      <w:start w:val="1"/>
      <w:numFmt w:val="bullet"/>
      <w:lvlText w:val="o"/>
      <w:lvlJc w:val="left"/>
      <w:pPr>
        <w:ind w:left="1440" w:hanging="360"/>
      </w:pPr>
      <w:rPr>
        <w:rFonts w:ascii="Courier New" w:hAnsi="Courier New" w:hint="default"/>
      </w:rPr>
    </w:lvl>
    <w:lvl w:ilvl="2" w:tplc="66FC6496">
      <w:start w:val="1"/>
      <w:numFmt w:val="bullet"/>
      <w:lvlText w:val=""/>
      <w:lvlJc w:val="left"/>
      <w:pPr>
        <w:ind w:left="2160" w:hanging="360"/>
      </w:pPr>
      <w:rPr>
        <w:rFonts w:ascii="Wingdings" w:hAnsi="Wingdings" w:hint="default"/>
      </w:rPr>
    </w:lvl>
    <w:lvl w:ilvl="3" w:tplc="28187382">
      <w:start w:val="1"/>
      <w:numFmt w:val="bullet"/>
      <w:lvlText w:val=""/>
      <w:lvlJc w:val="left"/>
      <w:pPr>
        <w:ind w:left="2880" w:hanging="360"/>
      </w:pPr>
      <w:rPr>
        <w:rFonts w:ascii="Symbol" w:hAnsi="Symbol" w:hint="default"/>
      </w:rPr>
    </w:lvl>
    <w:lvl w:ilvl="4" w:tplc="ABB4B63A">
      <w:start w:val="1"/>
      <w:numFmt w:val="bullet"/>
      <w:lvlText w:val="o"/>
      <w:lvlJc w:val="left"/>
      <w:pPr>
        <w:ind w:left="3600" w:hanging="360"/>
      </w:pPr>
      <w:rPr>
        <w:rFonts w:ascii="Courier New" w:hAnsi="Courier New" w:hint="default"/>
      </w:rPr>
    </w:lvl>
    <w:lvl w:ilvl="5" w:tplc="78F0FE44">
      <w:start w:val="1"/>
      <w:numFmt w:val="bullet"/>
      <w:lvlText w:val=""/>
      <w:lvlJc w:val="left"/>
      <w:pPr>
        <w:ind w:left="4320" w:hanging="360"/>
      </w:pPr>
      <w:rPr>
        <w:rFonts w:ascii="Wingdings" w:hAnsi="Wingdings" w:hint="default"/>
      </w:rPr>
    </w:lvl>
    <w:lvl w:ilvl="6" w:tplc="2BF6CAE6">
      <w:start w:val="1"/>
      <w:numFmt w:val="bullet"/>
      <w:lvlText w:val=""/>
      <w:lvlJc w:val="left"/>
      <w:pPr>
        <w:ind w:left="5040" w:hanging="360"/>
      </w:pPr>
      <w:rPr>
        <w:rFonts w:ascii="Symbol" w:hAnsi="Symbol" w:hint="default"/>
      </w:rPr>
    </w:lvl>
    <w:lvl w:ilvl="7" w:tplc="8D5A19AA">
      <w:start w:val="1"/>
      <w:numFmt w:val="bullet"/>
      <w:lvlText w:val="o"/>
      <w:lvlJc w:val="left"/>
      <w:pPr>
        <w:ind w:left="5760" w:hanging="360"/>
      </w:pPr>
      <w:rPr>
        <w:rFonts w:ascii="Courier New" w:hAnsi="Courier New" w:hint="default"/>
      </w:rPr>
    </w:lvl>
    <w:lvl w:ilvl="8" w:tplc="F80CABAA">
      <w:start w:val="1"/>
      <w:numFmt w:val="bullet"/>
      <w:lvlText w:val=""/>
      <w:lvlJc w:val="left"/>
      <w:pPr>
        <w:ind w:left="6480" w:hanging="360"/>
      </w:pPr>
      <w:rPr>
        <w:rFonts w:ascii="Wingdings" w:hAnsi="Wingdings" w:hint="default"/>
      </w:rPr>
    </w:lvl>
  </w:abstractNum>
  <w:abstractNum w:abstractNumId="12" w15:restartNumberingAfterBreak="0">
    <w:nsid w:val="0B9E5F0C"/>
    <w:multiLevelType w:val="hybridMultilevel"/>
    <w:tmpl w:val="416420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4C7DD3"/>
    <w:multiLevelType w:val="hybridMultilevel"/>
    <w:tmpl w:val="CEAC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861933"/>
    <w:multiLevelType w:val="hybridMultilevel"/>
    <w:tmpl w:val="C966F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437D59"/>
    <w:multiLevelType w:val="hybridMultilevel"/>
    <w:tmpl w:val="F156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18" w15:restartNumberingAfterBreak="0">
    <w:nsid w:val="26A4256C"/>
    <w:multiLevelType w:val="hybridMultilevel"/>
    <w:tmpl w:val="917EF220"/>
    <w:lvl w:ilvl="0" w:tplc="3CF4E23A">
      <w:numFmt w:val="bullet"/>
      <w:lvlText w:val="•"/>
      <w:lvlJc w:val="left"/>
      <w:pPr>
        <w:ind w:left="1157" w:hanging="797"/>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01383B"/>
    <w:multiLevelType w:val="hybridMultilevel"/>
    <w:tmpl w:val="47504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6DB2629"/>
    <w:multiLevelType w:val="hybridMultilevel"/>
    <w:tmpl w:val="487E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013A4"/>
    <w:multiLevelType w:val="hybridMultilevel"/>
    <w:tmpl w:val="5010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06256"/>
    <w:multiLevelType w:val="hybridMultilevel"/>
    <w:tmpl w:val="A556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F0118"/>
    <w:multiLevelType w:val="hybridMultilevel"/>
    <w:tmpl w:val="3590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214DD"/>
    <w:multiLevelType w:val="hybridMultilevel"/>
    <w:tmpl w:val="52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557598F"/>
    <w:multiLevelType w:val="hybridMultilevel"/>
    <w:tmpl w:val="6B3654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8012B1"/>
    <w:multiLevelType w:val="hybridMultilevel"/>
    <w:tmpl w:val="73F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12E70"/>
    <w:multiLevelType w:val="hybridMultilevel"/>
    <w:tmpl w:val="856E319C"/>
    <w:lvl w:ilvl="0" w:tplc="FFFFFFFF">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3"/>
  </w:num>
  <w:num w:numId="4">
    <w:abstractNumId w:val="27"/>
  </w:num>
  <w:num w:numId="5">
    <w:abstractNumId w:val="17"/>
  </w:num>
  <w:num w:numId="6">
    <w:abstractNumId w:val="16"/>
  </w:num>
  <w:num w:numId="7">
    <w:abstractNumId w:val="15"/>
  </w:num>
  <w:num w:numId="8">
    <w:abstractNumId w:val="19"/>
  </w:num>
  <w:num w:numId="9">
    <w:abstractNumId w:val="24"/>
  </w:num>
  <w:num w:numId="10">
    <w:abstractNumId w:val="14"/>
  </w:num>
  <w:num w:numId="11">
    <w:abstractNumId w:val="21"/>
  </w:num>
  <w:num w:numId="12">
    <w:abstractNumId w:val="18"/>
  </w:num>
  <w:num w:numId="13">
    <w:abstractNumId w:val="2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0"/>
  </w:num>
  <w:num w:numId="26">
    <w:abstractNumId w:val="10"/>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CB"/>
    <w:rsid w:val="000216B8"/>
    <w:rsid w:val="000C62BA"/>
    <w:rsid w:val="000D756D"/>
    <w:rsid w:val="0012592F"/>
    <w:rsid w:val="001565E0"/>
    <w:rsid w:val="001E3169"/>
    <w:rsid w:val="001F2F50"/>
    <w:rsid w:val="0020238F"/>
    <w:rsid w:val="002E6301"/>
    <w:rsid w:val="0031432E"/>
    <w:rsid w:val="0034043B"/>
    <w:rsid w:val="003D2F5F"/>
    <w:rsid w:val="003E2028"/>
    <w:rsid w:val="00414D8B"/>
    <w:rsid w:val="004575BF"/>
    <w:rsid w:val="00482905"/>
    <w:rsid w:val="00494752"/>
    <w:rsid w:val="004D6C09"/>
    <w:rsid w:val="0057336B"/>
    <w:rsid w:val="005A2195"/>
    <w:rsid w:val="005D3E02"/>
    <w:rsid w:val="005E5BF8"/>
    <w:rsid w:val="0060268B"/>
    <w:rsid w:val="00610642"/>
    <w:rsid w:val="00616601"/>
    <w:rsid w:val="00646EEF"/>
    <w:rsid w:val="00663829"/>
    <w:rsid w:val="00664995"/>
    <w:rsid w:val="006A42AB"/>
    <w:rsid w:val="006B5313"/>
    <w:rsid w:val="006E291F"/>
    <w:rsid w:val="00743D37"/>
    <w:rsid w:val="0075154F"/>
    <w:rsid w:val="007903AC"/>
    <w:rsid w:val="00792311"/>
    <w:rsid w:val="007F30AC"/>
    <w:rsid w:val="008169C1"/>
    <w:rsid w:val="008506C9"/>
    <w:rsid w:val="00852D8F"/>
    <w:rsid w:val="00874F33"/>
    <w:rsid w:val="008B0D3A"/>
    <w:rsid w:val="008F0106"/>
    <w:rsid w:val="00916842"/>
    <w:rsid w:val="00920C3D"/>
    <w:rsid w:val="00924B63"/>
    <w:rsid w:val="00982618"/>
    <w:rsid w:val="009C205E"/>
    <w:rsid w:val="009C5E9D"/>
    <w:rsid w:val="00A020E0"/>
    <w:rsid w:val="00A0579C"/>
    <w:rsid w:val="00A40825"/>
    <w:rsid w:val="00A7663C"/>
    <w:rsid w:val="00A928FF"/>
    <w:rsid w:val="00AB4BAD"/>
    <w:rsid w:val="00B171FC"/>
    <w:rsid w:val="00B27BCB"/>
    <w:rsid w:val="00B32E51"/>
    <w:rsid w:val="00B95D2E"/>
    <w:rsid w:val="00BC5D9D"/>
    <w:rsid w:val="00BF3C52"/>
    <w:rsid w:val="00C837F0"/>
    <w:rsid w:val="00CB7A43"/>
    <w:rsid w:val="00CF4CAC"/>
    <w:rsid w:val="00CF5394"/>
    <w:rsid w:val="00D51E1E"/>
    <w:rsid w:val="00DE77E6"/>
    <w:rsid w:val="00E451E0"/>
    <w:rsid w:val="00E72EA7"/>
    <w:rsid w:val="00EA4101"/>
    <w:rsid w:val="00EA5116"/>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4F055"/>
  <w15:docId w15:val="{1B09EA93-54C6-4296-A1D2-52CC1715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aliases w:val="CEO_Hyperlink,超级链接"/>
    <w:basedOn w:val="DefaultParagraphFont"/>
    <w:uiPriority w:val="99"/>
    <w:unhideWhenUsed/>
    <w:rsid w:val="00B27BCB"/>
    <w:rPr>
      <w:color w:val="0000FF" w:themeColor="hyperlink"/>
      <w:u w:val="single"/>
    </w:rPr>
  </w:style>
  <w:style w:type="character" w:customStyle="1" w:styleId="Heading1Char">
    <w:name w:val="Heading 1 Char"/>
    <w:basedOn w:val="DefaultParagraphFont"/>
    <w:link w:val="Heading1"/>
    <w:rsid w:val="00B27BCB"/>
    <w:rPr>
      <w:rFonts w:ascii="Times New Roman" w:hAnsi="Times New Roman"/>
      <w:b/>
      <w:sz w:val="24"/>
      <w:lang w:val="es-ES_tradnl" w:eastAsia="en-US"/>
    </w:rPr>
  </w:style>
  <w:style w:type="character" w:customStyle="1" w:styleId="Heading2Char">
    <w:name w:val="Heading 2 Char"/>
    <w:basedOn w:val="DefaultParagraphFont"/>
    <w:link w:val="Heading2"/>
    <w:rsid w:val="00B27BCB"/>
    <w:rPr>
      <w:rFonts w:ascii="Times New Roman" w:hAnsi="Times New Roman"/>
      <w:b/>
      <w:sz w:val="24"/>
      <w:lang w:val="es-ES_tradnl" w:eastAsia="en-US"/>
    </w:rPr>
  </w:style>
  <w:style w:type="character" w:styleId="FollowedHyperlink">
    <w:name w:val="FollowedHyperlink"/>
    <w:basedOn w:val="DefaultParagraphFont"/>
    <w:semiHidden/>
    <w:unhideWhenUsed/>
    <w:rsid w:val="00B27BCB"/>
    <w:rPr>
      <w:color w:val="800080" w:themeColor="followedHyperlink"/>
      <w:u w:val="single"/>
    </w:rPr>
  </w:style>
  <w:style w:type="character" w:customStyle="1" w:styleId="UnresolvedMention1">
    <w:name w:val="Unresolved Mention1"/>
    <w:basedOn w:val="DefaultParagraphFont"/>
    <w:uiPriority w:val="99"/>
    <w:semiHidden/>
    <w:unhideWhenUsed/>
    <w:rsid w:val="00B27BCB"/>
    <w:rPr>
      <w:color w:val="605E5C"/>
      <w:shd w:val="clear" w:color="auto" w:fill="E1DFDD"/>
    </w:rPr>
  </w:style>
  <w:style w:type="character" w:customStyle="1" w:styleId="Heading3Char">
    <w:name w:val="Heading 3 Char"/>
    <w:basedOn w:val="DefaultParagraphFont"/>
    <w:link w:val="Heading3"/>
    <w:rsid w:val="00B27BCB"/>
    <w:rPr>
      <w:rFonts w:ascii="Times New Roman" w:hAnsi="Times New Roman"/>
      <w:b/>
      <w:sz w:val="24"/>
      <w:lang w:val="es-ES_tradnl" w:eastAsia="en-US"/>
    </w:rPr>
  </w:style>
  <w:style w:type="character" w:customStyle="1" w:styleId="Heading4Char">
    <w:name w:val="Heading 4 Char"/>
    <w:basedOn w:val="DefaultParagraphFont"/>
    <w:link w:val="Heading4"/>
    <w:rsid w:val="00B27BCB"/>
    <w:rPr>
      <w:rFonts w:ascii="Times New Roman" w:hAnsi="Times New Roman"/>
      <w:b/>
      <w:sz w:val="24"/>
      <w:lang w:val="es-ES_tradnl" w:eastAsia="en-US"/>
    </w:rPr>
  </w:style>
  <w:style w:type="paragraph" w:styleId="ListParagraph">
    <w:name w:val="List Paragraph"/>
    <w:basedOn w:val="Normal"/>
    <w:uiPriority w:val="34"/>
    <w:qFormat/>
    <w:rsid w:val="00B27BCB"/>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TabletextChar">
    <w:name w:val="Table_text Char"/>
    <w:basedOn w:val="DefaultParagraphFont"/>
    <w:link w:val="Tabletext"/>
    <w:locked/>
    <w:rsid w:val="00B27BCB"/>
    <w:rPr>
      <w:rFonts w:ascii="Times New Roman" w:hAnsi="Times New Roman"/>
      <w:sz w:val="22"/>
      <w:lang w:val="es-ES_tradnl" w:eastAsia="en-US"/>
    </w:rPr>
  </w:style>
  <w:style w:type="character" w:customStyle="1" w:styleId="TableheadChar">
    <w:name w:val="Table_head Char"/>
    <w:basedOn w:val="DefaultParagraphFont"/>
    <w:link w:val="Tablehead"/>
    <w:rsid w:val="00B27BCB"/>
    <w:rPr>
      <w:rFonts w:ascii="Times New Roman" w:hAnsi="Times New Roman"/>
      <w:b/>
      <w:sz w:val="22"/>
      <w:lang w:val="es-ES_tradnl" w:eastAsia="en-US"/>
    </w:rPr>
  </w:style>
  <w:style w:type="table" w:customStyle="1" w:styleId="GridTable5Dark-Accent11">
    <w:name w:val="Grid Table 5 Dark - Accent 11"/>
    <w:basedOn w:val="TableNormal"/>
    <w:next w:val="GridTable5Dark-Accent1"/>
    <w:uiPriority w:val="50"/>
    <w:rsid w:val="00B27B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1">
    <w:name w:val="Grid Table 5 Dark Accent 1"/>
    <w:basedOn w:val="TableNormal"/>
    <w:uiPriority w:val="50"/>
    <w:rsid w:val="00B27B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2">
    <w:name w:val="Grid Table 5 Dark - Accent 12"/>
    <w:basedOn w:val="TableNormal"/>
    <w:next w:val="GridTable5Dark-Accent1"/>
    <w:uiPriority w:val="50"/>
    <w:rsid w:val="00B27B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3">
    <w:name w:val="Grid Table 5 Dark - Accent 13"/>
    <w:basedOn w:val="TableNormal"/>
    <w:next w:val="GridTable5Dark-Accent1"/>
    <w:uiPriority w:val="50"/>
    <w:rsid w:val="00B27B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Grid">
    <w:name w:val="Table Grid"/>
    <w:basedOn w:val="TableNormal"/>
    <w:rsid w:val="00B2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uiPriority w:val="50"/>
    <w:rsid w:val="00B27BCB"/>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4">
    <w:name w:val="Grid Table 5 Dark - Accent 14"/>
    <w:basedOn w:val="TableNormal"/>
    <w:next w:val="GridTable5Dark-Accent1"/>
    <w:uiPriority w:val="50"/>
    <w:rsid w:val="00B27BCB"/>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B27BCB"/>
    <w:pPr>
      <w:tabs>
        <w:tab w:val="clear" w:pos="794"/>
        <w:tab w:val="clear" w:pos="1191"/>
        <w:tab w:val="clear" w:pos="1588"/>
        <w:tab w:val="clear" w:pos="1985"/>
      </w:tabs>
      <w:overflowPunct/>
      <w:autoSpaceDE/>
      <w:autoSpaceDN/>
      <w:adjustRightInd/>
      <w:spacing w:before="0"/>
      <w:textAlignment w:val="auto"/>
    </w:pPr>
    <w:rPr>
      <w:szCs w:val="24"/>
      <w:lang w:val="en-GB"/>
    </w:rPr>
  </w:style>
  <w:style w:type="character" w:styleId="CommentReference">
    <w:name w:val="annotation reference"/>
    <w:basedOn w:val="DefaultParagraphFont"/>
    <w:semiHidden/>
    <w:unhideWhenUsed/>
    <w:rsid w:val="00B27BCB"/>
    <w:rPr>
      <w:sz w:val="16"/>
      <w:szCs w:val="16"/>
    </w:rPr>
  </w:style>
  <w:style w:type="paragraph" w:styleId="CommentText">
    <w:name w:val="annotation text"/>
    <w:basedOn w:val="Normal"/>
    <w:link w:val="CommentTextChar"/>
    <w:semiHidden/>
    <w:unhideWhenUsed/>
    <w:rsid w:val="00B27BCB"/>
    <w:rPr>
      <w:sz w:val="20"/>
    </w:rPr>
  </w:style>
  <w:style w:type="character" w:customStyle="1" w:styleId="CommentTextChar">
    <w:name w:val="Comment Text Char"/>
    <w:basedOn w:val="DefaultParagraphFont"/>
    <w:link w:val="CommentText"/>
    <w:semiHidden/>
    <w:rsid w:val="00B27BCB"/>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B27BCB"/>
    <w:rPr>
      <w:b/>
      <w:bCs/>
    </w:rPr>
  </w:style>
  <w:style w:type="character" w:customStyle="1" w:styleId="CommentSubjectChar">
    <w:name w:val="Comment Subject Char"/>
    <w:basedOn w:val="CommentTextChar"/>
    <w:link w:val="CommentSubject"/>
    <w:semiHidden/>
    <w:rsid w:val="00B27BCB"/>
    <w:rPr>
      <w:rFonts w:ascii="Times New Roman" w:hAnsi="Times New Roman"/>
      <w:b/>
      <w:bCs/>
      <w:lang w:val="es-ES_tradnl" w:eastAsia="en-US"/>
    </w:rPr>
  </w:style>
  <w:style w:type="paragraph" w:customStyle="1" w:styleId="Reasons">
    <w:name w:val="Reasons"/>
    <w:basedOn w:val="Normal"/>
    <w:qFormat/>
    <w:rsid w:val="00B27BCB"/>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B27BCB"/>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EA5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go/wrc-23-regional" TargetMode="External"/><Relationship Id="rId21" Type="http://schemas.openxmlformats.org/officeDocument/2006/relationships/hyperlink" Target="https://www.itu.int/md/S21-CL-C-0096/es" TargetMode="External"/><Relationship Id="rId42" Type="http://schemas.openxmlformats.org/officeDocument/2006/relationships/header" Target="header2.xml"/><Relationship Id="rId47" Type="http://schemas.openxmlformats.org/officeDocument/2006/relationships/hyperlink" Target="https://www.itu.int/bestofwrs/" TargetMode="External"/><Relationship Id="rId63" Type="http://schemas.openxmlformats.org/officeDocument/2006/relationships/hyperlink" Target="https://www.itu.int/hub/2021/02/celebrating-the-resilience-of-radio/" TargetMode="External"/><Relationship Id="rId68" Type="http://schemas.openxmlformats.org/officeDocument/2006/relationships/hyperlink" Target="https://www.itu.int/hub/2021/02/beyond-5g-whats-next-for-imt/" TargetMode="External"/><Relationship Id="rId84" Type="http://schemas.openxmlformats.org/officeDocument/2006/relationships/hyperlink" Target="https://www.itu.int/hub/2021/10/aspiring-astrobiologist-aims-for-mars/" TargetMode="External"/><Relationship Id="rId89" Type="http://schemas.openxmlformats.org/officeDocument/2006/relationships/hyperlink" Target="https://www.itu.int/en/ITU-R/information/Pages/climate-change.aspx" TargetMode="External"/><Relationship Id="rId7" Type="http://schemas.openxmlformats.org/officeDocument/2006/relationships/image" Target="media/image1.jpeg"/><Relationship Id="rId71" Type="http://schemas.openxmlformats.org/officeDocument/2006/relationships/hyperlink" Target="https://www.itu.int/hub/2021/03/be-so-good-they-cant-ignore-you-women-and-girls-in-stem/" TargetMode="External"/><Relationship Id="rId92" Type="http://schemas.openxmlformats.org/officeDocument/2006/relationships/hyperlink" Target="https://www.itu.int/hub/publication/R-ACT-WRC.14-2019/" TargetMode="External"/><Relationship Id="rId2" Type="http://schemas.openxmlformats.org/officeDocument/2006/relationships/styles" Target="styles.xml"/><Relationship Id="rId16" Type="http://schemas.openxmlformats.org/officeDocument/2006/relationships/hyperlink" Target="https://www.itu.int/md/S14-CL-INF-0004/es" TargetMode="External"/><Relationship Id="rId29" Type="http://schemas.openxmlformats.org/officeDocument/2006/relationships/hyperlink" Target="https://www.itu.int/en/ITU-R/information/events/webcast/Pages/default.aspx" TargetMode="External"/><Relationship Id="rId107" Type="http://schemas.openxmlformats.org/officeDocument/2006/relationships/fontTable" Target="fontTable.xml"/><Relationship Id="rId11" Type="http://schemas.openxmlformats.org/officeDocument/2006/relationships/hyperlink" Target="https://www.itu.int/md/S21-CL-C-0016/es" TargetMode="External"/><Relationship Id="rId24" Type="http://schemas.openxmlformats.org/officeDocument/2006/relationships/hyperlink" Target="https://www.itu.int/md/R00-CA-CIR-0251/es" TargetMode="External"/><Relationship Id="rId32" Type="http://schemas.openxmlformats.org/officeDocument/2006/relationships/hyperlink" Target="http://www.itu.int/wrc-23" TargetMode="External"/><Relationship Id="rId37" Type="http://schemas.openxmlformats.org/officeDocument/2006/relationships/hyperlink" Target="https://www.itu.int/en/ITU-R/space/support/nonGSO/RES32/Pages/default.aspx" TargetMode="External"/><Relationship Id="rId40" Type="http://schemas.openxmlformats.org/officeDocument/2006/relationships/hyperlink" Target="https://www.itu.int/bestofwrs/" TargetMode="External"/><Relationship Id="rId45" Type="http://schemas.openxmlformats.org/officeDocument/2006/relationships/image" Target="media/image5.png"/><Relationship Id="rId53" Type="http://schemas.openxmlformats.org/officeDocument/2006/relationships/hyperlink" Target="https://www.itu.int/es/mediacentre/backgrounders/Pages/5G-EMF-health.aspx" TargetMode="External"/><Relationship Id="rId58" Type="http://schemas.openxmlformats.org/officeDocument/2006/relationships/hyperlink" Target="https://www.itu.int/es/mediacentre/backgrounders/Pages/Earth-stations-in-motion-satellite-issues.aspx" TargetMode="External"/><Relationship Id="rId66" Type="http://schemas.openxmlformats.org/officeDocument/2006/relationships/hyperlink" Target="https://www.itu.int/hub/2021/09/world-maritime-day-keeping-seafarers-safe-and-connected/" TargetMode="External"/><Relationship Id="rId74" Type="http://schemas.openxmlformats.org/officeDocument/2006/relationships/hyperlink" Target="https://www.itu.int/hub/2021/04/home-but-never-alone-celebrating-world-amateur-radio-day/" TargetMode="External"/><Relationship Id="rId79" Type="http://schemas.openxmlformats.org/officeDocument/2006/relationships/hyperlink" Target="https://www.itu.int/hub/2021/06/should-space-become-the-18th-sdg/" TargetMode="External"/><Relationship Id="rId87" Type="http://schemas.openxmlformats.org/officeDocument/2006/relationships/hyperlink" Target="https://www.itu.int/es/action/ai/emerging-radio-technologies/Pages/default.aspx" TargetMode="External"/><Relationship Id="rId102" Type="http://schemas.openxmlformats.org/officeDocument/2006/relationships/hyperlink" Target="https://www.itu.int/md/R00-CA-CIR-0256/es" TargetMode="External"/><Relationship Id="rId5" Type="http://schemas.openxmlformats.org/officeDocument/2006/relationships/footnotes" Target="footnotes.xml"/><Relationship Id="rId61" Type="http://schemas.openxmlformats.org/officeDocument/2006/relationships/hyperlink" Target="https://www.itu.int/hub/publication/s-gen-news-2021-1/" TargetMode="External"/><Relationship Id="rId82" Type="http://schemas.openxmlformats.org/officeDocument/2006/relationships/hyperlink" Target="https://www.itu.int/hub/2021/09/scully-effect-entices-women-and-girls-into-stem-careers/" TargetMode="External"/><Relationship Id="rId90" Type="http://schemas.openxmlformats.org/officeDocument/2006/relationships/hyperlink" Target="https://www.itu.int/en/ITU-R/information/Pages/emergency.aspx" TargetMode="External"/><Relationship Id="rId95" Type="http://schemas.openxmlformats.org/officeDocument/2006/relationships/hyperlink" Target="https://www.itu.int/hub/publication/r-reg-rr5-2020/" TargetMode="External"/><Relationship Id="rId19" Type="http://schemas.openxmlformats.org/officeDocument/2006/relationships/hyperlink" Target="https://www.itu.int/md/S21-RCLCWGLANG11-C-0002/es" TargetMode="External"/><Relationship Id="rId14" Type="http://schemas.openxmlformats.org/officeDocument/2006/relationships/image" Target="media/image2.png"/><Relationship Id="rId22" Type="http://schemas.openxmlformats.org/officeDocument/2006/relationships/hyperlink" Target="https://www.itu.int/md/S21-DM-CIR-01017/es" TargetMode="External"/><Relationship Id="rId27" Type="http://schemas.openxmlformats.org/officeDocument/2006/relationships/hyperlink" Target="http://www.itu.int/go/ITU-R/wrc-23-irwsp-21" TargetMode="External"/><Relationship Id="rId30" Type="http://schemas.openxmlformats.org/officeDocument/2006/relationships/hyperlink" Target="https://www.itu.int/md/R19-WSHWRC23-C/es" TargetMode="External"/><Relationship Id="rId35" Type="http://schemas.openxmlformats.org/officeDocument/2006/relationships/hyperlink" Target="https://www.itu.int/md/R00-CR-CIR-0475/es" TargetMode="External"/><Relationship Id="rId43" Type="http://schemas.openxmlformats.org/officeDocument/2006/relationships/image" Target="media/image3.png"/><Relationship Id="rId48" Type="http://schemas.openxmlformats.org/officeDocument/2006/relationships/hyperlink" Target="https://www.itu.int/en/ITU-R/Documents/ITU-R-FAQ-UTC.pdf" TargetMode="External"/><Relationship Id="rId56" Type="http://schemas.openxmlformats.org/officeDocument/2006/relationships/hyperlink" Target="https://www.itu.int/es/mediacentre/backgrounders/Pages/itu-study-groups.aspx" TargetMode="External"/><Relationship Id="rId64" Type="http://schemas.openxmlformats.org/officeDocument/2006/relationships/hyperlink" Target="https://www.un.org/es/cr%C3%B3nica-onu/nuevo-mundo-nueva-radio-celebraci%C3%B3n-de-la-resiliencia-del-medio-de-comunicaci%C3%B3n-m%C3%A1s" TargetMode="External"/><Relationship Id="rId69" Type="http://schemas.openxmlformats.org/officeDocument/2006/relationships/hyperlink" Target="https://www.itu.int/hub/2021/02/what-do-space-science-radiocommunications-have-to-do-with-me/" TargetMode="External"/><Relationship Id="rId77" Type="http://schemas.openxmlformats.org/officeDocument/2006/relationships/hyperlink" Target="https://www.itu.int/hub/2021/04/envisioning-a-low-earth-orbit-economy/" TargetMode="External"/><Relationship Id="rId100" Type="http://schemas.openxmlformats.org/officeDocument/2006/relationships/hyperlink" Target="https://www.itu.int/es/mediacentre/Pages/cm08-2020-Radiocommunication-Sector-gender-equality-equity-parity.aspx" TargetMode="External"/><Relationship Id="rId105" Type="http://schemas.openxmlformats.org/officeDocument/2006/relationships/footer" Target="footer1.xml"/><Relationship Id="rId8" Type="http://schemas.openxmlformats.org/officeDocument/2006/relationships/hyperlink" Target="https://www.itu.int/md/R00-CA-CIR-0259/es" TargetMode="External"/><Relationship Id="rId51" Type="http://schemas.openxmlformats.org/officeDocument/2006/relationships/hyperlink" Target="https://www.itu.int/en/ITU-R/terrestrial/Pages/by-categories-faq.aspx?maincategorizedby=1" TargetMode="External"/><Relationship Id="rId72" Type="http://schemas.openxmlformats.org/officeDocument/2006/relationships/hyperlink" Target="https://www.itu.int/hub/2021/03/radio-regulations-key-to-observing-oceans-climate-and-weather/" TargetMode="External"/><Relationship Id="rId80" Type="http://schemas.openxmlformats.org/officeDocument/2006/relationships/hyperlink" Target="https://www.itu.int/hub/2021/06/boosting-diversity-in-the-aerospace-industry/" TargetMode="External"/><Relationship Id="rId85" Type="http://schemas.openxmlformats.org/officeDocument/2006/relationships/hyperlink" Target="https://www.itu.int/hub/2021/11/managing-radio-frequency-spectrum-amid-a-new-space-race/" TargetMode="External"/><Relationship Id="rId93" Type="http://schemas.openxmlformats.org/officeDocument/2006/relationships/hyperlink" Target="https://www.itu.int/hub/publication/r-reg-rr-2020/" TargetMode="External"/><Relationship Id="rId98" Type="http://schemas.openxmlformats.org/officeDocument/2006/relationships/hyperlink" Target="https://www.itu.int/hub/publication/r-reg-rrx-2021/" TargetMode="External"/><Relationship Id="rId3" Type="http://schemas.openxmlformats.org/officeDocument/2006/relationships/settings" Target="settings.xml"/><Relationship Id="rId12" Type="http://schemas.openxmlformats.org/officeDocument/2006/relationships/hyperlink" Target="https://www.itu.int/md/S21-DM-CIR-01017/es" TargetMode="External"/><Relationship Id="rId17" Type="http://schemas.openxmlformats.org/officeDocument/2006/relationships/hyperlink" Target="https://www.itu.int/md/S14-CL-INF-0004/es" TargetMode="External"/><Relationship Id="rId25" Type="http://schemas.openxmlformats.org/officeDocument/2006/relationships/hyperlink" Target="http://www.itu.int/go/rcpm-wrc-23-studies" TargetMode="External"/><Relationship Id="rId33" Type="http://schemas.openxmlformats.org/officeDocument/2006/relationships/hyperlink" Target="http://www.itu.int/wrc-23/booklet-wrc-23" TargetMode="External"/><Relationship Id="rId38" Type="http://schemas.openxmlformats.org/officeDocument/2006/relationships/hyperlink" Target="https://www.itu.int/en/publications/ITU-R/pages/publications.aspx?parent=R-REG-RR-2020&amp;media=electronic" TargetMode="External"/><Relationship Id="rId46" Type="http://schemas.openxmlformats.org/officeDocument/2006/relationships/hyperlink" Target="https://www.itu.int/es/ITU-R/Pages/default.aspx" TargetMode="External"/><Relationship Id="rId59" Type="http://schemas.openxmlformats.org/officeDocument/2006/relationships/hyperlink" Target="https://www.itu.int/es/mediacentre/backgrounders/Pages/Non-geostationary-satellite-systems.aspx" TargetMode="External"/><Relationship Id="rId67" Type="http://schemas.openxmlformats.org/officeDocument/2006/relationships/hyperlink" Target="https://www.itu.int/hub/2021/10/why-we-need-technical-standards-to-manage-radio-frequency-spectrum-efficiently/" TargetMode="External"/><Relationship Id="rId103" Type="http://schemas.openxmlformats.org/officeDocument/2006/relationships/hyperlink" Target="https://www.itu.int/md/S22-CL-INF-0007/es" TargetMode="External"/><Relationship Id="rId108" Type="http://schemas.openxmlformats.org/officeDocument/2006/relationships/theme" Target="theme/theme1.xml"/><Relationship Id="rId20" Type="http://schemas.openxmlformats.org/officeDocument/2006/relationships/hyperlink" Target="https://www.itu.int/md/S20-CL-C-0069/es" TargetMode="External"/><Relationship Id="rId41" Type="http://schemas.openxmlformats.org/officeDocument/2006/relationships/header" Target="header1.xml"/><Relationship Id="rId54" Type="http://schemas.openxmlformats.org/officeDocument/2006/relationships/hyperlink" Target="https://www.itu.int/es/mediacentre/backgrounders/Pages/High-altitude-platform-systems.aspx" TargetMode="External"/><Relationship Id="rId62" Type="http://schemas.openxmlformats.org/officeDocument/2006/relationships/hyperlink" Target="https://www.itu.int/hub/publication/s-gen-news-2021-2/" TargetMode="External"/><Relationship Id="rId70" Type="http://schemas.openxmlformats.org/officeDocument/2006/relationships/hyperlink" Target="https://www.itu.int/hub/2021/02/radios-key-role-in-crisis-and-emergency-situations/" TargetMode="External"/><Relationship Id="rId75" Type="http://schemas.openxmlformats.org/officeDocument/2006/relationships/hyperlink" Target="https://www.itu.int/hub/2021/04/why-media-matters-images-of-women-scientists-and-engineers/" TargetMode="External"/><Relationship Id="rId83" Type="http://schemas.openxmlformats.org/officeDocument/2006/relationships/hyperlink" Target="https://www.itu.int/hub/2021/10/reliable-space-services-why-and-how/" TargetMode="External"/><Relationship Id="rId88" Type="http://schemas.openxmlformats.org/officeDocument/2006/relationships/hyperlink" Target="https://www.itu.int/en/ITU-R/study-groups/rsg5/rwp5d/imt-2020/Pages/default.aspx" TargetMode="External"/><Relationship Id="rId91" Type="http://schemas.openxmlformats.org/officeDocument/2006/relationships/hyperlink" Target="https://www.itu.int/es/ITU-R/information/Pages/disabilities-divide.aspx" TargetMode="External"/><Relationship Id="rId96" Type="http://schemas.openxmlformats.org/officeDocument/2006/relationships/hyperlink" Target="https://www.itu.int/hub/publication/r-sp-lm-v-202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08-CL-C-0056/es" TargetMode="External"/><Relationship Id="rId23" Type="http://schemas.openxmlformats.org/officeDocument/2006/relationships/hyperlink" Target="https://www.itu.int/md/S21-SG-CIR-0049/es" TargetMode="External"/><Relationship Id="rId28" Type="http://schemas.openxmlformats.org/officeDocument/2006/relationships/hyperlink" Target="https://www.itu.int/md/R19-WSHWRC23-C-0028/es" TargetMode="External"/><Relationship Id="rId36" Type="http://schemas.openxmlformats.org/officeDocument/2006/relationships/hyperlink" Target="http://www.itu.int/go/space/res35" TargetMode="External"/><Relationship Id="rId49" Type="http://schemas.openxmlformats.org/officeDocument/2006/relationships/hyperlink" Target="https://www.itu.int/en/ITU-R/Documents/ITU-R-FAQ-IMT.pdf" TargetMode="External"/><Relationship Id="rId57" Type="http://schemas.openxmlformats.org/officeDocument/2006/relationships/hyperlink" Target="https://www.itu.int/es/mediacentre/backgrounders/Pages/itu-r-managing-the-radio-frequency-spectrum-for-the-world.aspx" TargetMode="External"/><Relationship Id="rId106" Type="http://schemas.openxmlformats.org/officeDocument/2006/relationships/footer" Target="footer2.xml"/><Relationship Id="rId10" Type="http://schemas.openxmlformats.org/officeDocument/2006/relationships/hyperlink" Target="https://www.itu.int/es/council/2020/Pages/default.aspx" TargetMode="External"/><Relationship Id="rId31" Type="http://schemas.openxmlformats.org/officeDocument/2006/relationships/hyperlink" Target="http://www.itu.int/net4/Proposals/CPI/WRC23" TargetMode="External"/><Relationship Id="rId44" Type="http://schemas.openxmlformats.org/officeDocument/2006/relationships/image" Target="media/image4.png"/><Relationship Id="rId52" Type="http://schemas.openxmlformats.org/officeDocument/2006/relationships/hyperlink" Target="https://www.itu.int/es/mediacentre/backgrounders/Pages/5G-fifth-generation-of-mobile-technologies.aspx" TargetMode="External"/><Relationship Id="rId60" Type="http://schemas.openxmlformats.org/officeDocument/2006/relationships/hyperlink" Target="https://www.itu.int/en/mediacentre/backgrounders/Pages/non-GSO-satellite-systems-with-short-duration-missions.aspx" TargetMode="External"/><Relationship Id="rId65" Type="http://schemas.openxmlformats.org/officeDocument/2006/relationships/hyperlink" Target="https://soundcloud.com/ituproduction/technology-for-good-8-the-resilience-of-radio" TargetMode="External"/><Relationship Id="rId73" Type="http://schemas.openxmlformats.org/officeDocument/2006/relationships/hyperlink" Target="https://www.itu.int/hub/2021/03/monitoring-the-atmosphere-ocean-and-climate-from-space/" TargetMode="External"/><Relationship Id="rId78" Type="http://schemas.openxmlformats.org/officeDocument/2006/relationships/hyperlink" Target="https://www.itu.int/hub/2021/05/the-benefits-of-space-must-be-accessible-to-all/" TargetMode="External"/><Relationship Id="rId81" Type="http://schemas.openxmlformats.org/officeDocument/2006/relationships/hyperlink" Target="https://www.itu.int/hub/2021/06/satellites-to-connect-the-unconnected/" TargetMode="External"/><Relationship Id="rId86" Type="http://schemas.openxmlformats.org/officeDocument/2006/relationships/hyperlink" Target="https://www.itu.int/hub/2021/11/behind-the-latest-olympics-broadcasts-tv-tech-brings-the-world-together/" TargetMode="External"/><Relationship Id="rId94" Type="http://schemas.openxmlformats.org/officeDocument/2006/relationships/hyperlink" Target="https://www.itu.int/hub/publication/r-sp-lm-mm-2020/" TargetMode="External"/><Relationship Id="rId99" Type="http://schemas.openxmlformats.org/officeDocument/2006/relationships/hyperlink" Target="https://www.itu.int/hub/publication/r-reg-rop-2021/" TargetMode="External"/><Relationship Id="rId101" Type="http://schemas.openxmlformats.org/officeDocument/2006/relationships/hyperlink" Target="https://www.itu.int/dms_pub/itu-r/md/19/wshwrc23/c/R19-WSHWRC23-C-0005!!PDF-E.pdf" TargetMode="External"/><Relationship Id="rId4" Type="http://schemas.openxmlformats.org/officeDocument/2006/relationships/webSettings" Target="webSettings.xml"/><Relationship Id="rId9" Type="http://schemas.openxmlformats.org/officeDocument/2006/relationships/hyperlink" Target="https://www.itu.int/es/council/2021/Pages/default.aspx" TargetMode="External"/><Relationship Id="rId13" Type="http://schemas.openxmlformats.org/officeDocument/2006/relationships/hyperlink" Target="https://www.itu.int/md/S22-CL-C-0016/es" TargetMode="External"/><Relationship Id="rId18" Type="http://schemas.openxmlformats.org/officeDocument/2006/relationships/hyperlink" Target="https://www.itu.int/md/S14-CL-INF-0004/es" TargetMode="External"/><Relationship Id="rId39" Type="http://schemas.openxmlformats.org/officeDocument/2006/relationships/hyperlink" Target="https://www.itu.int/hub/publication/r-reg-rr-2020/" TargetMode="External"/><Relationship Id="rId34" Type="http://schemas.openxmlformats.org/officeDocument/2006/relationships/hyperlink" Target="https://www.itu.int/ITUR/space/asreceived/Publication/AsReceived" TargetMode="External"/><Relationship Id="rId50" Type="http://schemas.openxmlformats.org/officeDocument/2006/relationships/hyperlink" Target="https://www.itu.int/en/ITU-R/Documents/ITU-R-FAQ-DD-DSO.pdf" TargetMode="External"/><Relationship Id="rId55" Type="http://schemas.openxmlformats.org/officeDocument/2006/relationships/hyperlink" Target="https://www.itu.int/es/mediacentre/backgrounders/Pages/Radiocommunications-for-keeping-ships-and-people-safe-at-sea.aspx" TargetMode="External"/><Relationship Id="rId76" Type="http://schemas.openxmlformats.org/officeDocument/2006/relationships/hyperlink" Target="https://soundcloud.com/ituproduction/itu-technologized-interview-with-robyn-gatens-director-international-space-station-nasa/s-pbh0D2H6g2c" TargetMode="External"/><Relationship Id="rId97" Type="http://schemas.openxmlformats.org/officeDocument/2006/relationships/hyperlink" Target="https://www.itu.int/hub/publication/r-sp-lm-iv-2021/" TargetMode="External"/><Relationship Id="rId10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PS_RAG21.dotm</Template>
  <TotalTime>174</TotalTime>
  <Pages>36</Pages>
  <Words>15065</Words>
  <Characters>87527</Characters>
  <Application>Microsoft Office Word</Application>
  <DocSecurity>0</DocSecurity>
  <Lines>1989</Lines>
  <Paragraphs>1152</Paragraphs>
  <ScaleCrop>false</ScaleCrop>
  <HeadingPairs>
    <vt:vector size="2" baseType="variant">
      <vt:variant>
        <vt:lpstr>Title</vt:lpstr>
      </vt:variant>
      <vt:variant>
        <vt:i4>1</vt:i4>
      </vt:variant>
    </vt:vector>
  </HeadingPairs>
  <TitlesOfParts>
    <vt:vector size="1" baseType="lpstr">
      <vt:lpstr>INFORME A LA VIGÉSIMA NOVENA REUNIÓN DEL GRUPO ASESOR DE RADIOCOMUNICACIONES</vt:lpstr>
    </vt:vector>
  </TitlesOfParts>
  <Manager>General Secretariat - Pool</Manager>
  <Company>International Telecommunication Union (ITU)</Company>
  <LinksUpToDate>false</LinksUpToDate>
  <CharactersWithSpaces>101440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NOVENA REUNIÓN DEL GRUPO ASESOR DE RADIOCOMUNICACIONES</dc:title>
  <dc:subject>GRUPO ASESOR DE RADIOCOMUNICACIONES</dc:subject>
  <dc:creator>Director de la Oficina de Radiocomunicaciones</dc:creator>
  <cp:keywords>RAG03-1</cp:keywords>
  <dc:description>Revisión 1 al Documento RAG/44-S  For: _x000d_Document date: 22 de marzo de 2022_x000d_Saved by ITU51013816 at 19:22:24 on 30/03/2022</dc:description>
  <cp:lastModifiedBy>BR</cp:lastModifiedBy>
  <cp:revision>25</cp:revision>
  <cp:lastPrinted>1993-02-18T11:12:00Z</cp:lastPrinted>
  <dcterms:created xsi:type="dcterms:W3CDTF">2022-03-28T15:42:00Z</dcterms:created>
  <dcterms:modified xsi:type="dcterms:W3CDTF">2022-04-01T07:08:00Z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Revisión 1 al Documento RAG/44-S</vt:lpwstr>
  </property>
  <property fmtid="{D5CDD505-2E9C-101B-9397-08002B2CF9AE}" pid="3" name="Docdate">
    <vt:lpwstr>22 de marzo de 2022</vt:lpwstr>
  </property>
  <property fmtid="{D5CDD505-2E9C-101B-9397-08002B2CF9AE}" pid="4" name="Docorlang">
    <vt:lpwstr>Original: inglés</vt:lpwstr>
  </property>
  <property fmtid="{D5CDD505-2E9C-101B-9397-08002B2CF9AE}" pid="5" name="Docauthor">
    <vt:lpwstr>Director de la Oficina de Radiocomunicaciones</vt:lpwstr>
  </property>
</Properties>
</file>